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2020</w:t>
      </w:r>
      <w:r>
        <w:fldChar w:fldCharType="end"/>
      </w:r>
      <w:r>
        <w:t xml:space="preserve">, </w:t>
      </w:r>
      <w:r>
        <w:fldChar w:fldCharType="begin"/>
      </w:r>
      <w:r>
        <w:instrText xml:space="preserve"> DocProperty FromSuffix </w:instrText>
      </w:r>
      <w:r>
        <w:fldChar w:fldCharType="separate"/>
      </w:r>
      <w:r>
        <w:t>01-l0-01</w:t>
      </w:r>
      <w:r>
        <w:fldChar w:fldCharType="end"/>
      </w:r>
      <w:r>
        <w:t>] and [</w:t>
      </w:r>
      <w:r>
        <w:fldChar w:fldCharType="begin"/>
      </w:r>
      <w:r>
        <w:instrText xml:space="preserve"> DocProperty ToAsAtDate</w:instrText>
      </w:r>
      <w:r>
        <w:fldChar w:fldCharType="separate"/>
      </w:r>
      <w:r>
        <w:t>01 Sep 2020</w:t>
      </w:r>
      <w:r>
        <w:fldChar w:fldCharType="end"/>
      </w:r>
      <w:r>
        <w:t xml:space="preserve">, </w:t>
      </w:r>
      <w:r>
        <w:fldChar w:fldCharType="begin"/>
      </w:r>
      <w:r>
        <w:instrText xml:space="preserve"> DocProperty ToSuffix</w:instrText>
      </w:r>
      <w:r>
        <w:fldChar w:fldCharType="separate"/>
      </w:r>
      <w:r>
        <w:t>01-m0-01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rPr>
          <w:del w:id="1" w:author="Master Repository Process" w:date="2022-02-07T09:53:00Z"/>
        </w:rPr>
      </w:pPr>
      <w:del w:id="2" w:author="Master Repository Process" w:date="2022-02-07T09:53:00Z">
        <w:r>
          <w:lastRenderedPageBreak/>
          <w:delText>Western Australia</w:delText>
        </w:r>
      </w:del>
    </w:p>
    <w:p>
      <w:pPr>
        <w:pStyle w:val="PrincipalActReg"/>
      </w:pPr>
      <w:r>
        <w:t>Education and Care Services National Law (Western Australia)</w:t>
      </w:r>
    </w:p>
    <w:p>
      <w:pPr>
        <w:pStyle w:val="NameofActReg"/>
      </w:pPr>
      <w:r>
        <w:t>Education and Care Services National Regulations 2012</w:t>
      </w:r>
    </w:p>
    <w:p>
      <w:pPr>
        <w:pStyle w:val="Heading2"/>
        <w:pageBreakBefore w:val="0"/>
        <w:spacing w:before="220"/>
      </w:pPr>
      <w:bookmarkStart w:id="3" w:name="_Toc95119523"/>
      <w:bookmarkStart w:id="4" w:name="_Toc95119918"/>
      <w:bookmarkStart w:id="5" w:name="_Toc95118882"/>
      <w:r>
        <w:rPr>
          <w:rStyle w:val="CharPartNo"/>
        </w:rPr>
        <w:t>C</w:t>
      </w:r>
      <w:bookmarkStart w:id="6" w:name="_GoBack"/>
      <w:bookmarkEnd w:id="6"/>
      <w:r>
        <w:rPr>
          <w:rStyle w:val="CharPartNo"/>
        </w:rPr>
        <w:t>hapter 1</w:t>
      </w:r>
      <w:r>
        <w:rPr>
          <w:rStyle w:val="CharDivNo"/>
        </w:rPr>
        <w:t> </w:t>
      </w:r>
      <w:r>
        <w:t>—</w:t>
      </w:r>
      <w:r>
        <w:rPr>
          <w:rStyle w:val="CharDivText"/>
        </w:rPr>
        <w:t> </w:t>
      </w:r>
      <w:r>
        <w:rPr>
          <w:rStyle w:val="CharPartText"/>
        </w:rPr>
        <w:t>Preliminary</w:t>
      </w:r>
      <w:bookmarkEnd w:id="3"/>
      <w:bookmarkEnd w:id="4"/>
      <w:bookmarkEnd w:id="5"/>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7" w:name="_Toc95119919"/>
      <w:bookmarkStart w:id="8" w:name="_Toc95118883"/>
      <w:r>
        <w:rPr>
          <w:rStyle w:val="CharSectno"/>
        </w:rPr>
        <w:t>1</w:t>
      </w:r>
      <w:r>
        <w:t>.</w:t>
      </w:r>
      <w:r>
        <w:tab/>
        <w:t>Citation</w:t>
      </w:r>
      <w:bookmarkEnd w:id="7"/>
      <w:bookmarkEnd w:id="8"/>
    </w:p>
    <w:p>
      <w:pPr>
        <w:pStyle w:val="Subsection"/>
      </w:pPr>
      <w:r>
        <w:tab/>
      </w:r>
      <w:r>
        <w:tab/>
      </w:r>
      <w:bookmarkStart w:id="9" w:name="Start_Cursor"/>
      <w:bookmarkEnd w:id="9"/>
      <w:r>
        <w:t xml:space="preserve">These Regulations are the </w:t>
      </w:r>
      <w:r>
        <w:rPr>
          <w:i/>
        </w:rPr>
        <w:t>Education and Care Services National Regulations 2012</w:t>
      </w:r>
      <w:r>
        <w:t>.</w:t>
      </w:r>
    </w:p>
    <w:p>
      <w:pPr>
        <w:pStyle w:val="Heading5"/>
      </w:pPr>
      <w:bookmarkStart w:id="10" w:name="_Toc95119920"/>
      <w:bookmarkStart w:id="11" w:name="_Toc95118884"/>
      <w:r>
        <w:rPr>
          <w:rStyle w:val="CharSectno"/>
        </w:rPr>
        <w:t>2</w:t>
      </w:r>
      <w:r>
        <w:t>.</w:t>
      </w:r>
      <w:r>
        <w:tab/>
        <w:t>Authorising provisions</w:t>
      </w:r>
      <w:bookmarkEnd w:id="10"/>
      <w:bookmarkEnd w:id="11"/>
    </w:p>
    <w:p>
      <w:pPr>
        <w:pStyle w:val="Subsection"/>
      </w:pPr>
      <w:r>
        <w:tab/>
      </w:r>
      <w:r>
        <w:tab/>
        <w:t xml:space="preserve">These Regulations are made under sections 301 and 324 of the </w:t>
      </w:r>
      <w:r>
        <w:rPr>
          <w:i/>
        </w:rPr>
        <w:t>Education and Care Services National Law</w:t>
      </w:r>
      <w:r>
        <w:t>.</w:t>
      </w:r>
    </w:p>
    <w:p>
      <w:pPr>
        <w:pStyle w:val="Heading5"/>
      </w:pPr>
      <w:bookmarkStart w:id="12" w:name="_Toc95119921"/>
      <w:bookmarkStart w:id="13" w:name="_Toc95118885"/>
      <w:r>
        <w:rPr>
          <w:rStyle w:val="CharSectno"/>
        </w:rPr>
        <w:t>3</w:t>
      </w:r>
      <w:r>
        <w:t>.</w:t>
      </w:r>
      <w:r>
        <w:tab/>
        <w:t>Commencement</w:t>
      </w:r>
      <w:bookmarkEnd w:id="12"/>
      <w:bookmarkEnd w:id="13"/>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14" w:name="_Toc95119922"/>
      <w:bookmarkStart w:id="15" w:name="_Toc95118886"/>
      <w:r>
        <w:rPr>
          <w:rStyle w:val="CharSectno"/>
        </w:rPr>
        <w:t>4</w:t>
      </w:r>
      <w:r>
        <w:t>.</w:t>
      </w:r>
      <w:r>
        <w:tab/>
        <w:t>Definitions</w:t>
      </w:r>
      <w:bookmarkEnd w:id="14"/>
      <w:bookmarkEnd w:id="15"/>
    </w:p>
    <w:p>
      <w:pPr>
        <w:pStyle w:val="Subsection"/>
        <w:keepNext/>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 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or a suitably qualified person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the same on each outing;</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tab/>
        <w:t>(b)</w:t>
      </w:r>
      <w:r>
        <w:tab/>
        <w:t>for Western Australia — 1 August 2012;</w:t>
      </w:r>
    </w:p>
    <w:p>
      <w:pPr>
        <w:pStyle w:val="Defstar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keepNext/>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Gazette 13 Dec 2013 p.</w:t>
      </w:r>
      <w:r>
        <w:rPr>
          <w:sz w:val="19"/>
        </w:rPr>
        <w:t> </w:t>
      </w:r>
      <w:r>
        <w:t>6151</w:t>
      </w:r>
      <w:r>
        <w:noBreakHyphen/>
        <w:t>2; 28 Nov 2014 p. 4402; 26 Jun 2018 p. 2358; 28 Sep 2018 p. 3605</w:t>
      </w:r>
      <w:r>
        <w:noBreakHyphen/>
        <w:t>6; 24 Dec 2019 p. 4422.]</w:t>
      </w:r>
    </w:p>
    <w:p>
      <w:pPr>
        <w:pStyle w:val="Heading5"/>
        <w:spacing w:before="260"/>
      </w:pPr>
      <w:bookmarkStart w:id="16" w:name="_Toc95119923"/>
      <w:bookmarkStart w:id="17" w:name="_Toc95118887"/>
      <w:r>
        <w:rPr>
          <w:rStyle w:val="CharSectno"/>
        </w:rPr>
        <w:t>5</w:t>
      </w:r>
      <w:r>
        <w:t>.</w:t>
      </w:r>
      <w:r>
        <w:tab/>
        <w:t>Services that are not education and care services</w:t>
      </w:r>
      <w:bookmarkEnd w:id="16"/>
      <w:bookmarkEnd w:id="17"/>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keepNext/>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tab/>
        <w:t>(ii)</w:t>
      </w:r>
      <w:r>
        <w:tab/>
        <w:t>the service was not approved for the purposes of the family assistance law;</w:t>
      </w:r>
    </w:p>
    <w:p>
      <w:pPr>
        <w:pStyle w:val="Indenta"/>
      </w:pPr>
      <w:r>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tab/>
        <w:t>(l)</w:t>
      </w:r>
      <w:r>
        <w:tab/>
        <w:t xml:space="preserve">a licensed playschool under the </w:t>
      </w:r>
      <w:r>
        <w:rPr>
          <w:i/>
          <w:iCs/>
        </w:rPr>
        <w:t>Children and Young People Act 2008</w:t>
      </w:r>
      <w:r>
        <w:t xml:space="preserve"> of the Australian Capital Territory;</w:t>
      </w:r>
    </w:p>
    <w:p>
      <w:pPr>
        <w:pStyle w:val="Indenta"/>
      </w:pPr>
      <w:r>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r>
      <w:del w:id="18" w:author="Master Repository Process" w:date="2022-02-07T09:53:00Z">
        <w:r>
          <w:delText>a licensed limited hours service or short term</w:delText>
        </w:r>
      </w:del>
      <w:ins w:id="19" w:author="Master Repository Process" w:date="2022-02-07T09:53:00Z">
        <w:r>
          <w:t>an approved children’s</w:t>
        </w:r>
      </w:ins>
      <w:r>
        <w:t xml:space="preserve"> service under the </w:t>
      </w:r>
      <w:r>
        <w:rPr>
          <w:i/>
        </w:rPr>
        <w:t>Children’s Services Act 1996</w:t>
      </w:r>
      <w:r>
        <w:t xml:space="preserve"> of Victoria</w:t>
      </w:r>
      <w:ins w:id="20" w:author="Master Repository Process" w:date="2022-02-07T09:53:00Z">
        <w:r>
          <w:t xml:space="preserve"> that, immediately before 17 May 2020, was a licensed limited hours Type 2 service under that Act</w:t>
        </w:r>
      </w:ins>
      <w:r>
        <w:t>;</w:t>
      </w:r>
    </w:p>
    <w:p>
      <w:pPr>
        <w:pStyle w:val="Indenta"/>
      </w:pPr>
      <w:r>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Gazette 5 Mar 2013 p. 1107; 3 Nov 2017 p. 5481; 26 Jun 2018 p. 2358</w:t>
      </w:r>
      <w:r>
        <w:noBreakHyphen/>
        <w:t>9</w:t>
      </w:r>
      <w:ins w:id="21" w:author="Master Repository Process" w:date="2022-02-07T09:53:00Z">
        <w:r>
          <w:t>; SL 2020/143 r. 5</w:t>
        </w:r>
      </w:ins>
      <w:r>
        <w:t>.]</w:t>
      </w:r>
    </w:p>
    <w:p>
      <w:pPr>
        <w:pStyle w:val="Heading5"/>
      </w:pPr>
      <w:bookmarkStart w:id="22" w:name="_Toc95119924"/>
      <w:bookmarkStart w:id="23" w:name="_Toc95118888"/>
      <w:r>
        <w:rPr>
          <w:rStyle w:val="CharSectno"/>
        </w:rPr>
        <w:t>6</w:t>
      </w:r>
      <w:r>
        <w:t>.</w:t>
      </w:r>
      <w:r>
        <w:tab/>
        <w:t>Eligible association</w:t>
      </w:r>
      <w:bookmarkEnd w:id="22"/>
      <w:bookmarkEnd w:id="23"/>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24" w:name="_Toc95119925"/>
      <w:bookmarkStart w:id="25" w:name="_Toc95118889"/>
      <w:r>
        <w:rPr>
          <w:rStyle w:val="CharSectno"/>
        </w:rPr>
        <w:t>7</w:t>
      </w:r>
      <w:r>
        <w:t>.</w:t>
      </w:r>
      <w:r>
        <w:tab/>
        <w:t>Prescribed rating system</w:t>
      </w:r>
      <w:bookmarkEnd w:id="24"/>
      <w:bookmarkEnd w:id="25"/>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26" w:name="_Toc95119926"/>
      <w:bookmarkStart w:id="27" w:name="_Toc95118890"/>
      <w:r>
        <w:rPr>
          <w:rStyle w:val="CharSectno"/>
        </w:rPr>
        <w:t>8</w:t>
      </w:r>
      <w:r>
        <w:t>.</w:t>
      </w:r>
      <w:r>
        <w:tab/>
        <w:t>National Quality Standard</w:t>
      </w:r>
      <w:bookmarkEnd w:id="26"/>
      <w:bookmarkEnd w:id="27"/>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28" w:name="_Toc95119927"/>
      <w:bookmarkStart w:id="29" w:name="_Toc95118891"/>
      <w:r>
        <w:rPr>
          <w:rStyle w:val="CharSectno"/>
        </w:rPr>
        <w:t>9</w:t>
      </w:r>
      <w:r>
        <w:t>.</w:t>
      </w:r>
      <w:r>
        <w:tab/>
        <w:t>Prescribed entities</w:t>
      </w:r>
      <w:bookmarkEnd w:id="28"/>
      <w:bookmarkEnd w:id="29"/>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pPr>
      <w:r>
        <w:tab/>
        <w:t>(b)</w:t>
      </w:r>
      <w:r>
        <w:tab/>
        <w:t>a body politic.</w:t>
      </w:r>
    </w:p>
    <w:p>
      <w:pPr>
        <w:pStyle w:val="Footnotesection"/>
      </w:pPr>
      <w:r>
        <w:tab/>
        <w:t>[Regulation 9 inserted: Gazette 13 Dec 2013 p.</w:t>
      </w:r>
      <w:r>
        <w:rPr>
          <w:sz w:val="19"/>
        </w:rPr>
        <w:t> </w:t>
      </w:r>
      <w:r>
        <w:t>6152.]</w:t>
      </w:r>
    </w:p>
    <w:p>
      <w:pPr>
        <w:pStyle w:val="Heading5"/>
      </w:pPr>
      <w:bookmarkStart w:id="30" w:name="_Toc95119928"/>
      <w:bookmarkStart w:id="31" w:name="_Toc95118892"/>
      <w:r>
        <w:rPr>
          <w:rStyle w:val="CharSectno"/>
        </w:rPr>
        <w:t>10</w:t>
      </w:r>
      <w:r>
        <w:t>.</w:t>
      </w:r>
      <w:r>
        <w:tab/>
        <w:t xml:space="preserve">Meaning of </w:t>
      </w:r>
      <w:r>
        <w:rPr>
          <w:i/>
        </w:rPr>
        <w:t>actively working towards</w:t>
      </w:r>
      <w:r>
        <w:t xml:space="preserve"> a qualification</w:t>
      </w:r>
      <w:bookmarkEnd w:id="30"/>
      <w:bookmarkEnd w:id="31"/>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keepNext/>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the educator is making satisfactory progress towards completion of the course; and</w:t>
      </w:r>
    </w:p>
    <w:p>
      <w:pPr>
        <w:pStyle w:val="Indenti"/>
      </w:pPr>
      <w:r>
        <w:tab/>
        <w:t>(iii)</w:t>
      </w:r>
      <w:r>
        <w:tab/>
        <w:t>the educator 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Gazette 28 Nov 2014 p. 4402; 24 Dec 2019 p. 4422.]</w:t>
      </w:r>
    </w:p>
    <w:p>
      <w:pPr>
        <w:pStyle w:val="Heading5"/>
      </w:pPr>
      <w:bookmarkStart w:id="32" w:name="_Toc95119929"/>
      <w:bookmarkStart w:id="33" w:name="_Toc95118893"/>
      <w:r>
        <w:rPr>
          <w:rStyle w:val="CharSectno"/>
        </w:rPr>
        <w:t>11</w:t>
      </w:r>
      <w:r>
        <w:t>.</w:t>
      </w:r>
      <w:r>
        <w:tab/>
        <w:t xml:space="preserve">Meaning of </w:t>
      </w:r>
      <w:r>
        <w:rPr>
          <w:i/>
        </w:rPr>
        <w:t>in attendance</w:t>
      </w:r>
      <w:r>
        <w:t xml:space="preserve"> at a centre</w:t>
      </w:r>
      <w:r>
        <w:noBreakHyphen/>
        <w:t>based service</w:t>
      </w:r>
      <w:bookmarkEnd w:id="32"/>
      <w:bookmarkEnd w:id="33"/>
    </w:p>
    <w:p>
      <w:pPr>
        <w:pStyle w:val="Subsection"/>
      </w:pPr>
      <w:r>
        <w:tab/>
      </w:r>
      <w:r>
        <w:tab/>
        <w:t xml:space="preserve">For the purposes of these Regulations, an early childhood teacher or a suitably qualified person is </w:t>
      </w:r>
      <w:r>
        <w:rPr>
          <w:rStyle w:val="CharDefText"/>
        </w:rPr>
        <w:t>in attendance</w:t>
      </w:r>
      <w:r>
        <w:t xml:space="preserve"> at a centre</w:t>
      </w:r>
      <w:r>
        <w:noBreakHyphen/>
        <w:t xml:space="preserve">based service if the early childhood teacher or the suitably qualified person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Footnotesection"/>
      </w:pPr>
      <w:r>
        <w:tab/>
        <w:t>[Regulation 11 amended: Gazette 24 Dec 2019 p. 4423.]</w:t>
      </w:r>
    </w:p>
    <w:p>
      <w:pPr>
        <w:pStyle w:val="Heading5"/>
      </w:pPr>
      <w:bookmarkStart w:id="34" w:name="_Toc95119930"/>
      <w:bookmarkStart w:id="35" w:name="_Toc95118894"/>
      <w:r>
        <w:rPr>
          <w:rStyle w:val="CharSectno"/>
        </w:rPr>
        <w:t>12</w:t>
      </w:r>
      <w:r>
        <w:t>.</w:t>
      </w:r>
      <w:r>
        <w:tab/>
        <w:t xml:space="preserve">Meaning of </w:t>
      </w:r>
      <w:r>
        <w:rPr>
          <w:i/>
        </w:rPr>
        <w:t>serious incident</w:t>
      </w:r>
      <w:bookmarkEnd w:id="34"/>
      <w:bookmarkEnd w:id="35"/>
    </w:p>
    <w:p>
      <w:pPr>
        <w:pStyle w:val="Subsection"/>
      </w:pPr>
      <w:r>
        <w:tab/>
      </w:r>
      <w:r>
        <w:tab/>
        <w:t xml:space="preserve">For the purposes of the definition of </w:t>
      </w:r>
      <w:r>
        <w:rPr>
          <w:rStyle w:val="CharDefText"/>
        </w:rPr>
        <w:t>serious incident</w:t>
      </w:r>
      <w:r>
        <w:t xml:space="preserve"> in section 5(1) of the Law, each of the following is prescribed as a serious incident — </w:t>
      </w:r>
    </w:p>
    <w:p>
      <w:pPr>
        <w:pStyle w:val="Indenta"/>
      </w:pPr>
      <w:r>
        <w:tab/>
        <w:t>(a)</w:t>
      </w:r>
      <w:r>
        <w:tab/>
        <w:t xml:space="preserve">the death of a child — </w:t>
      </w:r>
    </w:p>
    <w:p>
      <w:pPr>
        <w:pStyle w:val="Indenti"/>
      </w:pPr>
      <w:r>
        <w:tab/>
        <w:t>(i)</w:t>
      </w:r>
      <w:r>
        <w:tab/>
        <w:t>while that child is being educated and cared for by an education and care service; or</w:t>
      </w:r>
    </w:p>
    <w:p>
      <w:pPr>
        <w:pStyle w:val="Indenti"/>
      </w:pPr>
      <w:r>
        <w:tab/>
        <w:t>(ii)</w:t>
      </w:r>
      <w:r>
        <w:tab/>
        <w:t>following an incident occurring while that child was being educated and cared for by an education and care service;</w:t>
      </w:r>
    </w:p>
    <w:p>
      <w:pPr>
        <w:pStyle w:val="Indenta"/>
      </w:pPr>
      <w:r>
        <w:tab/>
        <w:t>(b)</w:t>
      </w:r>
      <w:r>
        <w:tab/>
        <w:t xml:space="preserve">any incident involving serious injury or trauma to a child occurring while that child is being educated and cared for by an education and care service — </w:t>
      </w:r>
    </w:p>
    <w:p>
      <w:pPr>
        <w:pStyle w:val="Indenti"/>
      </w:pPr>
      <w:r>
        <w:tab/>
        <w:t>(i)</w:t>
      </w:r>
      <w:r>
        <w:tab/>
        <w:t>which a reasonable person would consider required urgent medical attention from a registered medical practitioner; or</w:t>
      </w:r>
    </w:p>
    <w:p>
      <w:pPr>
        <w:pStyle w:val="Indenti"/>
      </w:pPr>
      <w:r>
        <w:tab/>
        <w:t>(ii)</w:t>
      </w:r>
      <w:r>
        <w:tab/>
        <w:t>for which the child attended, or ought reasonably to have attended, a hospital;</w:t>
      </w:r>
    </w:p>
    <w:p>
      <w:pPr>
        <w:pStyle w:val="PermNoteHeading"/>
      </w:pPr>
      <w:r>
        <w:tab/>
        <w:t>Example for this subparagraph:</w:t>
      </w:r>
    </w:p>
    <w:p>
      <w:pPr>
        <w:pStyle w:val="PermNoteText"/>
      </w:pPr>
      <w:r>
        <w:tab/>
      </w:r>
      <w:r>
        <w:tab/>
        <w:t>A broken limb.</w:t>
      </w:r>
    </w:p>
    <w:p>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pPr>
        <w:pStyle w:val="PermNoteHeading"/>
      </w:pPr>
      <w:r>
        <w:tab/>
        <w:t>Example for this paragraph:</w:t>
      </w:r>
    </w:p>
    <w:p>
      <w:pPr>
        <w:pStyle w:val="PermNoteText"/>
      </w:pPr>
      <w:r>
        <w:tab/>
      </w:r>
      <w:r>
        <w:tab/>
        <w:t>Severe asthma attack, seizure or anaphylaxis reaction.</w:t>
      </w:r>
    </w:p>
    <w:p>
      <w:pPr>
        <w:pStyle w:val="Indenta"/>
      </w:pPr>
      <w:r>
        <w:tab/>
        <w:t>(d)</w:t>
      </w:r>
      <w:r>
        <w:tab/>
        <w:t>any emergency for which emergency services attended;</w:t>
      </w:r>
    </w:p>
    <w:p>
      <w:pPr>
        <w:pStyle w:val="Indenta"/>
      </w:pPr>
      <w:r>
        <w:tab/>
        <w:t>(e)</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inserted: Gazette 28 Sep 2018 p. 3606</w:t>
      </w:r>
      <w:r>
        <w:noBreakHyphen/>
        <w:t>8.]</w:t>
      </w:r>
    </w:p>
    <w:p>
      <w:pPr>
        <w:pStyle w:val="Heading5"/>
      </w:pPr>
      <w:bookmarkStart w:id="36" w:name="_Toc95119931"/>
      <w:bookmarkStart w:id="37" w:name="_Toc95118895"/>
      <w:r>
        <w:rPr>
          <w:rStyle w:val="CharSectno"/>
        </w:rPr>
        <w:t>13</w:t>
      </w:r>
      <w:r>
        <w:t>.</w:t>
      </w:r>
      <w:r>
        <w:tab/>
        <w:t xml:space="preserve">Meaning of </w:t>
      </w:r>
      <w:r>
        <w:rPr>
          <w:i/>
        </w:rPr>
        <w:t>working directly with children</w:t>
      </w:r>
      <w:bookmarkEnd w:id="36"/>
      <w:bookmarkEnd w:id="37"/>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38" w:name="_Toc95119537"/>
      <w:bookmarkStart w:id="39" w:name="_Toc95119932"/>
      <w:bookmarkStart w:id="40" w:name="_Toc95118896"/>
      <w:r>
        <w:rPr>
          <w:rStyle w:val="CharPartNo"/>
        </w:rPr>
        <w:t>Chapter 2</w:t>
      </w:r>
      <w:r>
        <w:t> — </w:t>
      </w:r>
      <w:r>
        <w:rPr>
          <w:rStyle w:val="CharPartText"/>
        </w:rPr>
        <w:t>Approvals</w:t>
      </w:r>
      <w:bookmarkEnd w:id="38"/>
      <w:bookmarkEnd w:id="39"/>
      <w:bookmarkEnd w:id="40"/>
    </w:p>
    <w:p>
      <w:pPr>
        <w:pStyle w:val="Footnoteheading"/>
      </w:pPr>
      <w:r>
        <w:tab/>
        <w:t>[Heading amended: Gazette 28 Sep 2018 p. 3608.]</w:t>
      </w:r>
    </w:p>
    <w:p>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Heading3"/>
      </w:pPr>
      <w:bookmarkStart w:id="41" w:name="_Toc95119538"/>
      <w:bookmarkStart w:id="42" w:name="_Toc95119933"/>
      <w:bookmarkStart w:id="43" w:name="_Toc95118897"/>
      <w:r>
        <w:rPr>
          <w:rStyle w:val="CharDivNo"/>
        </w:rPr>
        <w:t>Part 2.1</w:t>
      </w:r>
      <w:r>
        <w:t> — </w:t>
      </w:r>
      <w:r>
        <w:rPr>
          <w:rStyle w:val="CharDivText"/>
        </w:rPr>
        <w:t>Provider approvals</w:t>
      </w:r>
      <w:bookmarkEnd w:id="41"/>
      <w:bookmarkEnd w:id="42"/>
      <w:bookmarkEnd w:id="43"/>
    </w:p>
    <w:p>
      <w:pPr>
        <w:pStyle w:val="Heading5"/>
      </w:pPr>
      <w:bookmarkStart w:id="44" w:name="_Toc95119934"/>
      <w:bookmarkStart w:id="45" w:name="_Toc95118898"/>
      <w:r>
        <w:rPr>
          <w:rStyle w:val="CharSectno"/>
        </w:rPr>
        <w:t>14</w:t>
      </w:r>
      <w:r>
        <w:t>.</w:t>
      </w:r>
      <w:r>
        <w:tab/>
        <w:t>Application for provider approval by individual</w:t>
      </w:r>
      <w:bookmarkEnd w:id="44"/>
      <w:bookmarkEnd w:id="45"/>
      <w:r>
        <w:t xml:space="preserve"> </w:t>
      </w:r>
    </w:p>
    <w:p>
      <w:pPr>
        <w:pStyle w:val="Subsection"/>
        <w:keepNext/>
      </w:pPr>
      <w:r>
        <w:tab/>
      </w:r>
      <w:r>
        <w:tab/>
        <w:t>For section 10(3)(a)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Notes for this regulation:</w:t>
      </w:r>
    </w:p>
    <w:p>
      <w:pPr>
        <w:pStyle w:val="PermNoteText"/>
      </w:pPr>
      <w:r>
        <w:tab/>
        <w:t>1.</w:t>
      </w:r>
      <w:r>
        <w:tab/>
        <w:t>If there is more than one applicant, the prescribed information must be provided in respect of each applicant — see section 10(3) of the Law.</w:t>
      </w:r>
    </w:p>
    <w:p>
      <w:pPr>
        <w:pStyle w:val="PermNoteText"/>
      </w:pPr>
      <w:r>
        <w:tab/>
        <w:t>2.</w:t>
      </w:r>
      <w:r>
        <w:tab/>
        <w:t>This regulation differs from regulation 14 of the national regulations made by the Ministerial Council.</w:t>
      </w:r>
    </w:p>
    <w:p>
      <w:pPr>
        <w:pStyle w:val="Footnotesection"/>
      </w:pPr>
      <w:r>
        <w:tab/>
        <w:t>[Regulation 14 amended: Gazette 13 Dec 2013 p.</w:t>
      </w:r>
      <w:r>
        <w:rPr>
          <w:sz w:val="19"/>
        </w:rPr>
        <w:t> </w:t>
      </w:r>
      <w:r>
        <w:t>6153</w:t>
      </w:r>
      <w:r>
        <w:noBreakHyphen/>
        <w:t>4; 28 Nov 2014 p. 4402; 28 Sep 2018 p. 3608.]</w:t>
      </w:r>
    </w:p>
    <w:p>
      <w:pPr>
        <w:pStyle w:val="Heading5"/>
      </w:pPr>
      <w:bookmarkStart w:id="46" w:name="_Toc95119935"/>
      <w:bookmarkStart w:id="47" w:name="_Toc95118899"/>
      <w:r>
        <w:rPr>
          <w:rStyle w:val="CharSectno"/>
        </w:rPr>
        <w:t>15</w:t>
      </w:r>
      <w:r>
        <w:t>.</w:t>
      </w:r>
      <w:r>
        <w:tab/>
        <w:t>Application for provider approval by person other than an individual</w:t>
      </w:r>
      <w:bookmarkEnd w:id="46"/>
      <w:bookmarkEnd w:id="47"/>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keepNext/>
      </w:pPr>
      <w:r>
        <w:tab/>
        <w:t>(f)</w:t>
      </w:r>
      <w:r>
        <w:tab/>
        <w:t>for each individual who will be a person with management or control of an education and care service 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48" w:name="_Toc95119936"/>
      <w:bookmarkStart w:id="49" w:name="_Toc95118900"/>
      <w:r>
        <w:rPr>
          <w:rStyle w:val="CharSectno"/>
        </w:rPr>
        <w:t>16</w:t>
      </w:r>
      <w:r>
        <w:t>.</w:t>
      </w:r>
      <w:r>
        <w:tab/>
        <w:t>Matters relating to criminal history</w:t>
      </w:r>
      <w:bookmarkEnd w:id="48"/>
      <w:bookmarkEnd w:id="49"/>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50" w:name="_Toc95119937"/>
      <w:bookmarkStart w:id="51" w:name="_Toc95118901"/>
      <w:r>
        <w:rPr>
          <w:rStyle w:val="CharSectno"/>
        </w:rPr>
        <w:t>17</w:t>
      </w:r>
      <w:r>
        <w:t>.</w:t>
      </w:r>
      <w:r>
        <w:tab/>
        <w:t>Application for amendment of provider approval</w:t>
      </w:r>
      <w:bookmarkEnd w:id="50"/>
      <w:bookmarkEnd w:id="51"/>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52" w:name="_Toc95119938"/>
      <w:bookmarkStart w:id="53" w:name="_Toc95118902"/>
      <w:r>
        <w:rPr>
          <w:rStyle w:val="CharSectno"/>
        </w:rPr>
        <w:t>18</w:t>
      </w:r>
      <w:r>
        <w:t>.</w:t>
      </w:r>
      <w:r>
        <w:tab/>
        <w:t>Maximum period of suspension of provider approval</w:t>
      </w:r>
      <w:bookmarkEnd w:id="52"/>
      <w:bookmarkEnd w:id="53"/>
      <w:r>
        <w:t xml:space="preserve"> </w:t>
      </w:r>
    </w:p>
    <w:p>
      <w:pPr>
        <w:pStyle w:val="Subsection"/>
      </w:pPr>
      <w:r>
        <w:tab/>
      </w:r>
      <w:r>
        <w:tab/>
        <w:t>The prescribed maximum period of suspension of a provider approval under section 27(a) or 33(1)(a)(ii) of the Law is 12 months.</w:t>
      </w:r>
    </w:p>
    <w:p>
      <w:pPr>
        <w:pStyle w:val="Heading5"/>
      </w:pPr>
      <w:bookmarkStart w:id="54" w:name="_Toc95119939"/>
      <w:bookmarkStart w:id="55" w:name="_Toc95118903"/>
      <w:r>
        <w:rPr>
          <w:rStyle w:val="CharSectno"/>
        </w:rPr>
        <w:t>19</w:t>
      </w:r>
      <w:r>
        <w:t>.</w:t>
      </w:r>
      <w:r>
        <w:tab/>
        <w:t>Application for voluntary suspension of provider approval</w:t>
      </w:r>
      <w:bookmarkEnd w:id="54"/>
      <w:bookmarkEnd w:id="55"/>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56" w:name="_Toc95119940"/>
      <w:bookmarkStart w:id="57" w:name="_Toc95118904"/>
      <w:r>
        <w:rPr>
          <w:rStyle w:val="CharSectno"/>
        </w:rPr>
        <w:t>20</w:t>
      </w:r>
      <w:r>
        <w:t>.</w:t>
      </w:r>
      <w:r>
        <w:tab/>
        <w:t>Application by individual executor for provider approval</w:t>
      </w:r>
      <w:bookmarkEnd w:id="56"/>
      <w:bookmarkEnd w:id="57"/>
      <w:r>
        <w:t xml:space="preserve"> </w:t>
      </w:r>
    </w:p>
    <w:p>
      <w:pPr>
        <w:pStyle w:val="Subsection"/>
      </w:pPr>
      <w:r>
        <w:tab/>
      </w:r>
      <w:r>
        <w:tab/>
        <w:t>For section 39(6)(b)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keepNext/>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pPr>
      <w:r>
        <w:tab/>
        <w:t>Note for this regulation:</w:t>
      </w:r>
    </w:p>
    <w:p>
      <w:pPr>
        <w:pStyle w:val="PermNoteText"/>
      </w:pPr>
      <w:r>
        <w:tab/>
      </w:r>
      <w:r>
        <w:tab/>
        <w:t>This regulation differs from regulation 20 of the national regulations made by the Ministerial Council.</w:t>
      </w:r>
    </w:p>
    <w:p>
      <w:pPr>
        <w:pStyle w:val="Footnotesection"/>
      </w:pPr>
      <w:r>
        <w:tab/>
        <w:t>[Regulation 20 amended: Gazette 13 Dec 2013 p.</w:t>
      </w:r>
      <w:r>
        <w:rPr>
          <w:sz w:val="19"/>
        </w:rPr>
        <w:t> </w:t>
      </w:r>
      <w:r>
        <w:t>6154</w:t>
      </w:r>
      <w:r>
        <w:noBreakHyphen/>
        <w:t>5; 28 Nov 2014 p. 4403; 28 Sep 2018 p. 3608</w:t>
      </w:r>
      <w:r>
        <w:noBreakHyphen/>
        <w:t>9.]</w:t>
      </w:r>
    </w:p>
    <w:p>
      <w:pPr>
        <w:pStyle w:val="Heading5"/>
      </w:pPr>
      <w:bookmarkStart w:id="58" w:name="_Toc95119941"/>
      <w:bookmarkStart w:id="59" w:name="_Toc95118905"/>
      <w:r>
        <w:rPr>
          <w:rStyle w:val="CharSectno"/>
        </w:rPr>
        <w:t>21</w:t>
      </w:r>
      <w:r>
        <w:t>.</w:t>
      </w:r>
      <w:r>
        <w:tab/>
        <w:t>Application by executor other than an individual for provider approval</w:t>
      </w:r>
      <w:bookmarkEnd w:id="58"/>
      <w:bookmarkEnd w:id="59"/>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60" w:name="_Toc95119942"/>
      <w:bookmarkStart w:id="61" w:name="_Toc95118906"/>
      <w:r>
        <w:rPr>
          <w:rStyle w:val="CharSectno"/>
        </w:rPr>
        <w:t>22</w:t>
      </w:r>
      <w:r>
        <w:t>.</w:t>
      </w:r>
      <w:r>
        <w:tab/>
        <w:t>Application by individual for provider approval on incapacity of approved provider</w:t>
      </w:r>
      <w:bookmarkEnd w:id="60"/>
      <w:bookmarkEnd w:id="61"/>
      <w:r>
        <w:t xml:space="preserve"> </w:t>
      </w:r>
    </w:p>
    <w:p>
      <w:pPr>
        <w:pStyle w:val="Subsection"/>
      </w:pPr>
      <w:r>
        <w:tab/>
      </w:r>
      <w:r>
        <w:tab/>
        <w:t xml:space="preserve">For section 40(3)(b) of the Law, the following information is prescribed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pPr>
      <w:r>
        <w:tab/>
        <w:t>Note for this regulation:</w:t>
      </w:r>
    </w:p>
    <w:p>
      <w:pPr>
        <w:pStyle w:val="PermNoteText"/>
      </w:pPr>
      <w:r>
        <w:tab/>
      </w:r>
      <w:r>
        <w:tab/>
        <w:t>This regulation differs from regulation 22 of the national regulations made by the Ministerial Council.</w:t>
      </w:r>
    </w:p>
    <w:p>
      <w:pPr>
        <w:pStyle w:val="Footnotesection"/>
      </w:pPr>
      <w:r>
        <w:tab/>
        <w:t>[Regulation 22 amended: Gazette 13 Dec 2013 p.</w:t>
      </w:r>
      <w:r>
        <w:rPr>
          <w:sz w:val="19"/>
        </w:rPr>
        <w:t> </w:t>
      </w:r>
      <w:r>
        <w:t>6155</w:t>
      </w:r>
      <w:r>
        <w:noBreakHyphen/>
        <w:t>6; 28 Nov 2014 p. 4403; 28 Sep 2018 p. 3609.]</w:t>
      </w:r>
    </w:p>
    <w:p>
      <w:pPr>
        <w:pStyle w:val="Heading5"/>
      </w:pPr>
      <w:bookmarkStart w:id="62" w:name="_Toc95119943"/>
      <w:bookmarkStart w:id="63" w:name="_Toc95118907"/>
      <w:r>
        <w:rPr>
          <w:rStyle w:val="CharSectno"/>
        </w:rPr>
        <w:t>23</w:t>
      </w:r>
      <w:r>
        <w:t>.</w:t>
      </w:r>
      <w:r>
        <w:tab/>
        <w:t>Application by person other than an individual for provider approval on incapacity of approved provider</w:t>
      </w:r>
      <w:bookmarkEnd w:id="62"/>
      <w:bookmarkEnd w:id="63"/>
      <w:r>
        <w:t xml:space="preserve"> </w:t>
      </w:r>
    </w:p>
    <w:p>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spacing w:before="100"/>
      </w:pPr>
      <w:r>
        <w:tab/>
        <w:t>(e)</w:t>
      </w:r>
      <w:r>
        <w:tab/>
        <w:t xml:space="preserve">the proposed duration of the provider approval; </w:t>
      </w:r>
    </w:p>
    <w:p>
      <w:pPr>
        <w:pStyle w:val="MiscellaneousBody"/>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spacing w:before="100"/>
      </w:pPr>
      <w:r>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pPr>
      <w:r>
        <w:tab/>
        <w:t>Note for this regulation:</w:t>
      </w:r>
    </w:p>
    <w:p>
      <w:pPr>
        <w:pStyle w:val="PermNoteText"/>
      </w:pPr>
      <w:r>
        <w:tab/>
      </w:r>
      <w:r>
        <w:tab/>
        <w:t>This regulation differs from regulation 23 of the national regulations made by the Ministerial Council.</w:t>
      </w:r>
    </w:p>
    <w:p>
      <w:pPr>
        <w:pStyle w:val="Footnotesection"/>
      </w:pPr>
      <w:r>
        <w:tab/>
        <w:t>[Regulation 23 amended: Gazette 28 Sep 2018 p. 3609</w:t>
      </w:r>
      <w:r>
        <w:noBreakHyphen/>
        <w:t>10.]</w:t>
      </w:r>
    </w:p>
    <w:p>
      <w:pPr>
        <w:pStyle w:val="Heading3"/>
      </w:pPr>
      <w:bookmarkStart w:id="64" w:name="_Toc95119549"/>
      <w:bookmarkStart w:id="65" w:name="_Toc95119944"/>
      <w:bookmarkStart w:id="66" w:name="_Toc95118908"/>
      <w:r>
        <w:rPr>
          <w:rStyle w:val="CharDivNo"/>
        </w:rPr>
        <w:t>Part 2.2</w:t>
      </w:r>
      <w:r>
        <w:t> — </w:t>
      </w:r>
      <w:r>
        <w:rPr>
          <w:rStyle w:val="CharDivText"/>
        </w:rPr>
        <w:t>Service approvals</w:t>
      </w:r>
      <w:bookmarkEnd w:id="64"/>
      <w:bookmarkEnd w:id="65"/>
      <w:bookmarkEnd w:id="66"/>
    </w:p>
    <w:p>
      <w:pPr>
        <w:pStyle w:val="Heading4"/>
      </w:pPr>
      <w:bookmarkStart w:id="67" w:name="_Toc95119550"/>
      <w:bookmarkStart w:id="68" w:name="_Toc95119945"/>
      <w:bookmarkStart w:id="69" w:name="_Toc95118909"/>
      <w:r>
        <w:t>Division 1 — Applications for service approvals</w:t>
      </w:r>
      <w:bookmarkEnd w:id="67"/>
      <w:bookmarkEnd w:id="68"/>
      <w:bookmarkEnd w:id="69"/>
    </w:p>
    <w:p>
      <w:pPr>
        <w:pStyle w:val="Heading5"/>
      </w:pPr>
      <w:bookmarkStart w:id="70" w:name="_Toc95119946"/>
      <w:bookmarkStart w:id="71" w:name="_Toc95118910"/>
      <w:r>
        <w:rPr>
          <w:rStyle w:val="CharSectno"/>
        </w:rPr>
        <w:t>24</w:t>
      </w:r>
      <w:r>
        <w:t>.</w:t>
      </w:r>
      <w:r>
        <w:tab/>
        <w:t>Application for service approval — centre</w:t>
      </w:r>
      <w:r>
        <w:noBreakHyphen/>
        <w:t>based service</w:t>
      </w:r>
      <w:bookmarkEnd w:id="70"/>
      <w:bookmarkEnd w:id="71"/>
      <w:r>
        <w:t xml:space="preserve"> </w:t>
      </w:r>
    </w:p>
    <w:p>
      <w:pPr>
        <w:pStyle w:val="Subsection"/>
      </w:pPr>
      <w:r>
        <w:tab/>
      </w:r>
      <w:r>
        <w:tab/>
        <w:t>For section 44(1)(c) of the Law, the following information is prescribed information for an application for a service approval for a centre</w:t>
      </w:r>
      <w:r>
        <w:noBreakHyphen/>
        <w:t>based service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the full name and contact details, including the after</w:t>
      </w:r>
      <w:r>
        <w:noBreakHyphen/>
        <w:t>hours telephone number, of each nominated supervisor.</w:t>
      </w:r>
    </w:p>
    <w:p>
      <w:pPr>
        <w:pStyle w:val="PermNoteHeading"/>
      </w:pPr>
      <w:r>
        <w:tab/>
        <w:t>Notes for this regulation:</w:t>
      </w:r>
    </w:p>
    <w:p>
      <w:pPr>
        <w:pStyle w:val="PermNoteText"/>
      </w:pPr>
      <w:r>
        <w:tab/>
        <w:t>1.</w:t>
      </w:r>
      <w:r>
        <w:tab/>
        <w:t>The application must include a nominated supervisor’s written consent to the nomination unless the nominated supervisor is the approved provider — see section 44(1)(da) of the Law.</w:t>
      </w:r>
    </w:p>
    <w:p>
      <w:pPr>
        <w:pStyle w:val="PermNoteText"/>
      </w:pPr>
      <w:r>
        <w:tab/>
        <w:t>2.</w:t>
      </w:r>
      <w:r>
        <w:tab/>
        <w:t>This regulation differs from regulation 24 of the national regulations made by the Ministerial Council.</w:t>
      </w:r>
    </w:p>
    <w:p>
      <w:pPr>
        <w:pStyle w:val="Footnotesection"/>
      </w:pPr>
      <w:r>
        <w:tab/>
        <w:t>[Regulation 24 amended: Gazette 28 Sep 2018 p. 3610.]</w:t>
      </w:r>
    </w:p>
    <w:p>
      <w:pPr>
        <w:pStyle w:val="Heading5"/>
      </w:pPr>
      <w:bookmarkStart w:id="72" w:name="_Toc95119947"/>
      <w:bookmarkStart w:id="73" w:name="_Toc95118911"/>
      <w:r>
        <w:rPr>
          <w:rStyle w:val="CharSectno"/>
        </w:rPr>
        <w:t>25</w:t>
      </w:r>
      <w:r>
        <w:t>.</w:t>
      </w:r>
      <w:r>
        <w:tab/>
        <w:t>Additional information about proposed education and care service premises</w:t>
      </w:r>
      <w:bookmarkEnd w:id="72"/>
      <w:bookmarkEnd w:id="73"/>
      <w:r>
        <w:t xml:space="preserve"> </w:t>
      </w:r>
    </w:p>
    <w:p>
      <w:pPr>
        <w:pStyle w:val="Subsection"/>
      </w:pPr>
      <w:r>
        <w:tab/>
        <w:t>(1)</w:t>
      </w:r>
      <w:r>
        <w:tab/>
        <w:t>In addition to the information referred to in regulation 24, the following information about the proposed education and care service premises is prescribed information —</w:t>
      </w:r>
    </w:p>
    <w:p>
      <w:pPr>
        <w:pStyle w:val="Indenta"/>
      </w:pPr>
      <w:r>
        <w:tab/>
        <w:t>(a)</w:t>
      </w:r>
      <w:r>
        <w:tab/>
        <w:t>the location and street address of the proposed education and care service premises;</w:t>
      </w:r>
    </w:p>
    <w:p>
      <w:pPr>
        <w:pStyle w:val="Indenta"/>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Ednotesubsection"/>
      </w:pPr>
      <w:r>
        <w:tab/>
        <w:t>[(2)</w:t>
      </w:r>
      <w:r>
        <w:tab/>
        <w:t>deleted]</w:t>
      </w:r>
    </w:p>
    <w:p>
      <w:pPr>
        <w:pStyle w:val="PermNoteHeading"/>
      </w:pPr>
      <w:r>
        <w:tab/>
        <w:t>Note for this regulation:</w:t>
      </w:r>
    </w:p>
    <w:p>
      <w:pPr>
        <w:pStyle w:val="PermNoteText"/>
      </w:pPr>
      <w:r>
        <w:tab/>
      </w:r>
      <w:r>
        <w:tab/>
        <w:t>This regulation differs from regulation 25 of the national regulations made by the Ministerial Council.</w:t>
      </w:r>
    </w:p>
    <w:p>
      <w:pPr>
        <w:pStyle w:val="Footnotesection"/>
      </w:pPr>
      <w:r>
        <w:tab/>
        <w:t>[Regulation 25 amended: Gazette 13 Dec 2013 p.</w:t>
      </w:r>
      <w:r>
        <w:rPr>
          <w:sz w:val="19"/>
        </w:rPr>
        <w:t> </w:t>
      </w:r>
      <w:r>
        <w:t>6156</w:t>
      </w:r>
      <w:r>
        <w:noBreakHyphen/>
        <w:t>7; 28 Sep 2018 p. 3611.]</w:t>
      </w:r>
    </w:p>
    <w:p>
      <w:pPr>
        <w:pStyle w:val="Heading5"/>
      </w:pPr>
      <w:bookmarkStart w:id="74" w:name="_Toc95119948"/>
      <w:bookmarkStart w:id="75" w:name="_Toc95118912"/>
      <w:r>
        <w:rPr>
          <w:rStyle w:val="CharSectno"/>
        </w:rPr>
        <w:t>25A</w:t>
      </w:r>
      <w:r>
        <w:t>.</w:t>
      </w:r>
      <w:r>
        <w:tab/>
        <w:t>Application for service approval for a centre</w:t>
      </w:r>
      <w:r>
        <w:noBreakHyphen/>
        <w:t>based service — relocation of existing centre</w:t>
      </w:r>
      <w:r>
        <w:noBreakHyphen/>
        <w:t>based service</w:t>
      </w:r>
      <w:bookmarkEnd w:id="74"/>
      <w:bookmarkEnd w:id="75"/>
    </w:p>
    <w:p>
      <w:pPr>
        <w:pStyle w:val="PermNoteHeading"/>
      </w:pPr>
      <w:r>
        <w:tab/>
        <w:t>Note for this regulation:</w:t>
      </w:r>
    </w:p>
    <w:p>
      <w:pPr>
        <w:pStyle w:val="PermNoteText"/>
        <w:keepNext/>
      </w:pPr>
      <w:r>
        <w:tab/>
      </w:r>
      <w:r>
        <w:tab/>
        <w:t>Regulation 25A of the national regulations made by the Ministerial Council does not apply as a law of WA.</w:t>
      </w:r>
    </w:p>
    <w:p>
      <w:pPr>
        <w:pStyle w:val="Footnotesection"/>
      </w:pPr>
      <w:r>
        <w:tab/>
        <w:t>[Regulation 25A inserted: Gazette 28 Sep 2018 p. 3611.]</w:t>
      </w:r>
    </w:p>
    <w:p>
      <w:pPr>
        <w:pStyle w:val="Heading5"/>
      </w:pPr>
      <w:bookmarkStart w:id="76" w:name="_Toc95119949"/>
      <w:bookmarkStart w:id="77" w:name="_Toc95118913"/>
      <w:r>
        <w:rPr>
          <w:rStyle w:val="CharSectno"/>
        </w:rPr>
        <w:t>26</w:t>
      </w:r>
      <w:r>
        <w:t>.</w:t>
      </w:r>
      <w:r>
        <w:tab/>
        <w:t>Application for service approval — family day care service</w:t>
      </w:r>
      <w:bookmarkEnd w:id="76"/>
      <w:bookmarkEnd w:id="77"/>
      <w:r>
        <w:t xml:space="preserve"> </w:t>
      </w:r>
    </w:p>
    <w:p>
      <w:pPr>
        <w:pStyle w:val="Subsection"/>
      </w:pPr>
      <w:r>
        <w:tab/>
        <w:t>(1)</w:t>
      </w:r>
      <w:r>
        <w:tab/>
        <w:t xml:space="preserve">For section 44(1)(c) of the Law, the following information is prescribed information for a service approval for a family day care service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(fa)</w:t>
      </w:r>
      <w:r>
        <w:tab/>
        <w:t>a statement that the applicant has the right to occupy and use the proposed premises as a principal office and any document evidencing this;</w:t>
      </w:r>
    </w:p>
    <w:p>
      <w:pPr>
        <w:pStyle w:val="PermNoteHeading"/>
      </w:pPr>
      <w:r>
        <w:tab/>
        <w:t>Example for this paragraph:</w:t>
      </w:r>
    </w:p>
    <w:p>
      <w:pPr>
        <w:pStyle w:val="PermNoteText"/>
      </w:pPr>
      <w:r>
        <w:tab/>
      </w:r>
      <w:r>
        <w:tab/>
        <w:t>A lease of the premises.</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pPr>
        <w:pStyle w:val="Indenta"/>
      </w:pPr>
      <w:r>
        <w:tab/>
        <w:t>(h)</w:t>
      </w:r>
      <w:r>
        <w:tab/>
        <w:t>the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the full name and contact details, including the after</w:t>
      </w:r>
      <w:r>
        <w:noBreakHyphen/>
        <w:t>hours telephone number, of each nominated supervisor;</w:t>
      </w:r>
    </w:p>
    <w:p>
      <w:pPr>
        <w:pStyle w:val="PermNoteHeading"/>
      </w:pPr>
      <w:r>
        <w:tab/>
        <w:t>Note for this paragraph:</w:t>
      </w:r>
    </w:p>
    <w:p>
      <w:pPr>
        <w:pStyle w:val="PermNoteText"/>
      </w:pPr>
      <w:r>
        <w:tab/>
      </w:r>
      <w:r>
        <w:tab/>
        <w:t>The application must include a nominated supervisor’s written consent to the nomination unless the nominated supervisor is the approved provider — see section 44(1)(da) of the Law.</w:t>
      </w:r>
    </w:p>
    <w:p>
      <w:pPr>
        <w:pStyle w:val="Indenta"/>
        <w:keepNext/>
      </w:pPr>
      <w:r>
        <w:tab/>
        <w:t>(n)</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 xml:space="preserve">An assessment referred to in subregulation (1)(n)(iii) must consider the matters set out in regulation 116(2). </w:t>
      </w:r>
    </w:p>
    <w:p>
      <w:pPr>
        <w:pStyle w:val="PermNoteHeading"/>
      </w:pPr>
      <w:r>
        <w:tab/>
        <w:t>Notes for this regulation:</w:t>
      </w:r>
    </w:p>
    <w:p>
      <w:pPr>
        <w:pStyle w:val="PermNoteText"/>
      </w:pPr>
      <w:r>
        <w:tab/>
        <w:t>1.</w:t>
      </w:r>
      <w:r>
        <w:tab/>
        <w:t>The application must include the certified supervisor’s written consent to the nomination — see section 44(1)(d) of the Law.</w:t>
      </w:r>
    </w:p>
    <w:p>
      <w:pPr>
        <w:pStyle w:val="PermNoteText"/>
      </w:pPr>
      <w:r>
        <w:tab/>
        <w:t>2.</w:t>
      </w:r>
      <w:r>
        <w:tab/>
        <w:t>This regulation differs from regulation 26 of the national regulations made by the Ministerial Council.</w:t>
      </w:r>
    </w:p>
    <w:p>
      <w:pPr>
        <w:pStyle w:val="Footnotesection"/>
      </w:pPr>
      <w:r>
        <w:tab/>
        <w:t>[Regulation 26 amended: Gazette 28 Sep 2018 p. 3612</w:t>
      </w:r>
      <w:r>
        <w:noBreakHyphen/>
        <w:t>14.]</w:t>
      </w:r>
    </w:p>
    <w:p>
      <w:pPr>
        <w:pStyle w:val="Heading5"/>
      </w:pPr>
      <w:bookmarkStart w:id="78" w:name="_Toc95119950"/>
      <w:bookmarkStart w:id="79" w:name="_Toc95118914"/>
      <w:r>
        <w:rPr>
          <w:rStyle w:val="CharSectno"/>
        </w:rPr>
        <w:t>27</w:t>
      </w:r>
      <w:r>
        <w:t>.</w:t>
      </w:r>
      <w:r>
        <w:tab/>
        <w:t>Additional matters to have regard to in determining application for service approval</w:t>
      </w:r>
      <w:bookmarkEnd w:id="78"/>
      <w:bookmarkEnd w:id="79"/>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PermNoteHeading"/>
      </w:pPr>
      <w:r>
        <w:tab/>
        <w:t>Note for this regulation:</w:t>
      </w:r>
    </w:p>
    <w:p>
      <w:pPr>
        <w:pStyle w:val="PermNoteText"/>
      </w:pPr>
      <w:r>
        <w:tab/>
      </w:r>
      <w:r>
        <w:tab/>
        <w:t>See section 47(1)(g) of the Law.</w:t>
      </w:r>
    </w:p>
    <w:p>
      <w:pPr>
        <w:pStyle w:val="Heading5"/>
      </w:pPr>
      <w:bookmarkStart w:id="80" w:name="_Toc95119951"/>
      <w:bookmarkStart w:id="81" w:name="_Toc95118915"/>
      <w:r>
        <w:rPr>
          <w:rStyle w:val="CharSectno"/>
        </w:rPr>
        <w:t>28</w:t>
      </w:r>
      <w:r>
        <w:t>.</w:t>
      </w:r>
      <w:r>
        <w:tab/>
        <w:t>Additional grounds for refusal to grant service approval</w:t>
      </w:r>
      <w:bookmarkEnd w:id="80"/>
      <w:bookmarkEnd w:id="81"/>
      <w:r>
        <w:t xml:space="preserve"> </w:t>
      </w:r>
    </w:p>
    <w:p>
      <w:pPr>
        <w:pStyle w:val="Subsection"/>
        <w:keepNext/>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keepNext/>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82" w:name="_Toc95119952"/>
      <w:bookmarkStart w:id="83" w:name="_Toc95118916"/>
      <w:r>
        <w:rPr>
          <w:rStyle w:val="CharSectno"/>
        </w:rPr>
        <w:t>29</w:t>
      </w:r>
      <w:r>
        <w:t>.</w:t>
      </w:r>
      <w:r>
        <w:tab/>
        <w:t>Condition on service approval — insurance</w:t>
      </w:r>
      <w:bookmarkEnd w:id="82"/>
      <w:bookmarkEnd w:id="83"/>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84" w:name="_Toc95119953"/>
      <w:bookmarkStart w:id="85" w:name="_Toc95118917"/>
      <w:r>
        <w:rPr>
          <w:rStyle w:val="CharSectno"/>
        </w:rPr>
        <w:t>30</w:t>
      </w:r>
      <w:r>
        <w:t>.</w:t>
      </w:r>
      <w:r>
        <w:tab/>
        <w:t>Condition on service approval — family day care educator insurance</w:t>
      </w:r>
      <w:bookmarkEnd w:id="84"/>
      <w:bookmarkEnd w:id="85"/>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86" w:name="_Toc95119954"/>
      <w:bookmarkStart w:id="87" w:name="_Toc95118918"/>
      <w:r>
        <w:rPr>
          <w:rStyle w:val="CharSectno"/>
        </w:rPr>
        <w:t>31</w:t>
      </w:r>
      <w:r>
        <w:t>.</w:t>
      </w:r>
      <w:r>
        <w:tab/>
        <w:t>Condition on service approval — quality improvement plan</w:t>
      </w:r>
      <w:bookmarkEnd w:id="86"/>
      <w:bookmarkEnd w:id="87"/>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Gazette 28 Nov 2014 p. 4403.]</w:t>
      </w:r>
    </w:p>
    <w:p>
      <w:pPr>
        <w:pStyle w:val="Heading5"/>
      </w:pPr>
      <w:bookmarkStart w:id="88" w:name="_Toc95119955"/>
      <w:bookmarkStart w:id="89" w:name="_Toc95118919"/>
      <w:r>
        <w:rPr>
          <w:rStyle w:val="CharSectno"/>
        </w:rPr>
        <w:t>32</w:t>
      </w:r>
      <w:r>
        <w:t>.</w:t>
      </w:r>
      <w:r>
        <w:tab/>
        <w:t>Condition on service approval — entitlement to occupy premises</w:t>
      </w:r>
      <w:bookmarkEnd w:id="88"/>
      <w:bookmarkEnd w:id="89"/>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90" w:name="_Toc95119956"/>
      <w:bookmarkStart w:id="91" w:name="_Toc95118920"/>
      <w:r>
        <w:rPr>
          <w:rStyle w:val="CharSectno"/>
        </w:rPr>
        <w:t>32A</w:t>
      </w:r>
      <w:r>
        <w:t>.</w:t>
      </w:r>
      <w:r>
        <w:tab/>
        <w:t>Condition on service approval — maximum number of family day care educators</w:t>
      </w:r>
      <w:bookmarkEnd w:id="90"/>
      <w:bookmarkEnd w:id="91"/>
    </w:p>
    <w:p>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pPr>
        <w:pStyle w:val="PermNoteHeading"/>
      </w:pPr>
      <w:r>
        <w:tab/>
        <w:t>Note for this regulation:</w:t>
      </w:r>
    </w:p>
    <w:p>
      <w:pPr>
        <w:pStyle w:val="PermNoteText"/>
      </w:pPr>
      <w:r>
        <w:tab/>
      </w:r>
      <w:r>
        <w:tab/>
        <w:t>See section 51(5) of the Law.</w:t>
      </w:r>
    </w:p>
    <w:p>
      <w:pPr>
        <w:pStyle w:val="Footnotesection"/>
      </w:pPr>
      <w:r>
        <w:tab/>
        <w:t>[Regulation 32A inserted: Gazette 28 Sep 2018 p. 3614.]</w:t>
      </w:r>
    </w:p>
    <w:p>
      <w:pPr>
        <w:pStyle w:val="Heading5"/>
      </w:pPr>
      <w:bookmarkStart w:id="92" w:name="_Toc95119957"/>
      <w:bookmarkStart w:id="93" w:name="_Toc95118921"/>
      <w:r>
        <w:rPr>
          <w:rStyle w:val="CharSectno"/>
        </w:rPr>
        <w:t>33</w:t>
      </w:r>
      <w:r>
        <w:t>.</w:t>
      </w:r>
      <w:r>
        <w:tab/>
        <w:t>Annual fees</w:t>
      </w:r>
      <w:bookmarkEnd w:id="92"/>
      <w:bookmarkEnd w:id="93"/>
    </w:p>
    <w:p>
      <w:pPr>
        <w:pStyle w:val="Subsection"/>
      </w:pPr>
      <w:r>
        <w:tab/>
      </w:r>
      <w:r>
        <w:tab/>
        <w:t>The approved provider of an education and care service must pay the relevant annual fee set out in Schedule 2 for the service approval on or before 1 July each year.</w:t>
      </w:r>
    </w:p>
    <w:p>
      <w:pPr>
        <w:pStyle w:val="Footnotesection"/>
      </w:pPr>
      <w:r>
        <w:tab/>
        <w:t>[Regulation 33 amended: Gazette 13 Dec 2013 p.</w:t>
      </w:r>
      <w:r>
        <w:rPr>
          <w:sz w:val="19"/>
        </w:rPr>
        <w:t> </w:t>
      </w:r>
      <w:r>
        <w:t>6157.]</w:t>
      </w:r>
    </w:p>
    <w:p>
      <w:pPr>
        <w:pStyle w:val="Heading4"/>
      </w:pPr>
      <w:bookmarkStart w:id="94" w:name="_Toc95119563"/>
      <w:bookmarkStart w:id="95" w:name="_Toc95119958"/>
      <w:bookmarkStart w:id="96" w:name="_Toc95118922"/>
      <w:r>
        <w:t>Division 2 — Amendment of service approval and notice of change to nominated supervisor</w:t>
      </w:r>
      <w:bookmarkEnd w:id="94"/>
      <w:bookmarkEnd w:id="95"/>
      <w:bookmarkEnd w:id="96"/>
    </w:p>
    <w:p>
      <w:pPr>
        <w:pStyle w:val="Heading5"/>
      </w:pPr>
      <w:bookmarkStart w:id="97" w:name="_Toc95119959"/>
      <w:bookmarkStart w:id="98" w:name="_Toc95118923"/>
      <w:r>
        <w:rPr>
          <w:rStyle w:val="CharSectno"/>
        </w:rPr>
        <w:t>34</w:t>
      </w:r>
      <w:r>
        <w:t>.</w:t>
      </w:r>
      <w:r>
        <w:tab/>
        <w:t>Prescribed information for application to amend service approval</w:t>
      </w:r>
      <w:bookmarkEnd w:id="97"/>
      <w:bookmarkEnd w:id="98"/>
      <w:r>
        <w:t xml:space="preserve"> </w:t>
      </w:r>
    </w:p>
    <w:p>
      <w:pPr>
        <w:pStyle w:val="Subsection"/>
      </w:pPr>
      <w:r>
        <w:tab/>
        <w:t>(1)</w:t>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Indenta"/>
      </w:pPr>
      <w:r>
        <w:tab/>
        <w:t>(f)</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An assessment referred to in subregulation (1)(f)(iii) must consider the matters set out in regulation 116(2).</w:t>
      </w:r>
    </w:p>
    <w:p>
      <w:pPr>
        <w:pStyle w:val="Footnotesection"/>
      </w:pPr>
      <w:r>
        <w:tab/>
        <w:t>[Regulation 34 amended: Gazette 28 Sep 2018 p. 3614</w:t>
      </w:r>
      <w:r>
        <w:noBreakHyphen/>
        <w:t>15.]</w:t>
      </w:r>
    </w:p>
    <w:p>
      <w:pPr>
        <w:pStyle w:val="Heading5"/>
      </w:pPr>
      <w:bookmarkStart w:id="99" w:name="_Toc95119960"/>
      <w:bookmarkStart w:id="100" w:name="_Toc95118924"/>
      <w:r>
        <w:rPr>
          <w:rStyle w:val="CharSectno"/>
        </w:rPr>
        <w:t>35</w:t>
      </w:r>
      <w:r>
        <w:t>.</w:t>
      </w:r>
      <w:r>
        <w:tab/>
        <w:t>Notice of addition of new nominated supervisor</w:t>
      </w:r>
      <w:bookmarkEnd w:id="99"/>
      <w:bookmarkEnd w:id="100"/>
    </w:p>
    <w:p>
      <w:pPr>
        <w:pStyle w:val="Subsection"/>
      </w:pPr>
      <w:r>
        <w:tab/>
      </w:r>
      <w:r>
        <w:tab/>
        <w:t xml:space="preserve">A notice under section 56 of the Law to add a new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Ednotepara"/>
      </w:pPr>
      <w:r>
        <w:tab/>
        <w:t>[(e), (f)</w:t>
      </w:r>
      <w:r>
        <w:tab/>
        <w:t>deleted]</w:t>
      </w:r>
    </w:p>
    <w:p>
      <w:pPr>
        <w:pStyle w:val="Indenta"/>
      </w:pPr>
      <w:r>
        <w:tab/>
        <w:t>(g)</w:t>
      </w:r>
      <w:r>
        <w:tab/>
        <w:t>the date on which the new nominated supervisor commences or commenced work as a nominated supervisor.</w:t>
      </w:r>
    </w:p>
    <w:p>
      <w:pPr>
        <w:pStyle w:val="PermNoteHeading"/>
      </w:pPr>
      <w:r>
        <w:tab/>
        <w:t>Note for this regulation:</w:t>
      </w:r>
    </w:p>
    <w:p>
      <w:pPr>
        <w:pStyle w:val="PermNoteText"/>
      </w:pPr>
      <w:r>
        <w:tab/>
      </w:r>
      <w:r>
        <w:tab/>
        <w:t>A notice must include a nominated supervisor’s written consent to the nomination unless the nominated supervisor is the approved provider — see section 56(2)(a) of the Law.</w:t>
      </w:r>
    </w:p>
    <w:p>
      <w:pPr>
        <w:pStyle w:val="Footnotesection"/>
      </w:pPr>
      <w:r>
        <w:tab/>
        <w:t>[Regulation 35 amended: Gazette 28 Sep 2018 p. 3616.]</w:t>
      </w:r>
    </w:p>
    <w:p>
      <w:pPr>
        <w:pStyle w:val="Heading4"/>
      </w:pPr>
      <w:bookmarkStart w:id="101" w:name="_Toc95119566"/>
      <w:bookmarkStart w:id="102" w:name="_Toc95119961"/>
      <w:bookmarkStart w:id="103" w:name="_Toc95118925"/>
      <w:r>
        <w:t>Division 3 — Transfer of service approval</w:t>
      </w:r>
      <w:bookmarkEnd w:id="101"/>
      <w:bookmarkEnd w:id="102"/>
      <w:bookmarkEnd w:id="103"/>
    </w:p>
    <w:p>
      <w:pPr>
        <w:pStyle w:val="Heading5"/>
      </w:pPr>
      <w:bookmarkStart w:id="104" w:name="_Toc95119962"/>
      <w:bookmarkStart w:id="105" w:name="_Toc95118926"/>
      <w:r>
        <w:rPr>
          <w:rStyle w:val="CharSectno"/>
        </w:rPr>
        <w:t>36</w:t>
      </w:r>
      <w:r>
        <w:t>.</w:t>
      </w:r>
      <w:r>
        <w:tab/>
        <w:t>Notice of transfer of service approval — centre</w:t>
      </w:r>
      <w:r>
        <w:noBreakHyphen/>
        <w:t>based service</w:t>
      </w:r>
      <w:bookmarkEnd w:id="104"/>
      <w:bookmarkEnd w:id="105"/>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106" w:name="_Toc95119963"/>
      <w:bookmarkStart w:id="107" w:name="_Toc95118927"/>
      <w:r>
        <w:rPr>
          <w:rStyle w:val="CharSectno"/>
        </w:rPr>
        <w:t>37</w:t>
      </w:r>
      <w:r>
        <w:t>.</w:t>
      </w:r>
      <w:r>
        <w:tab/>
        <w:t>Notice of transfer of service approval — family day care service</w:t>
      </w:r>
      <w:bookmarkEnd w:id="106"/>
      <w:bookmarkEnd w:id="107"/>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keepNext/>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108" w:name="_Toc95119964"/>
      <w:bookmarkStart w:id="109" w:name="_Toc95118928"/>
      <w:r>
        <w:rPr>
          <w:rStyle w:val="CharSectno"/>
        </w:rPr>
        <w:t>38</w:t>
      </w:r>
      <w:r>
        <w:t>.</w:t>
      </w:r>
      <w:r>
        <w:tab/>
        <w:t>Notification of decision to intervene in transfer of service approval</w:t>
      </w:r>
      <w:bookmarkEnd w:id="108"/>
      <w:bookmarkEnd w:id="109"/>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110" w:name="_Toc95119570"/>
      <w:bookmarkStart w:id="111" w:name="_Toc95119965"/>
      <w:bookmarkStart w:id="112" w:name="_Toc95118929"/>
      <w:r>
        <w:t>Division 4 — Suspension of service approval</w:t>
      </w:r>
      <w:bookmarkEnd w:id="110"/>
      <w:bookmarkEnd w:id="111"/>
      <w:bookmarkEnd w:id="112"/>
    </w:p>
    <w:p>
      <w:pPr>
        <w:pStyle w:val="Heading5"/>
      </w:pPr>
      <w:bookmarkStart w:id="113" w:name="_Toc95119966"/>
      <w:bookmarkStart w:id="114" w:name="_Toc95118930"/>
      <w:r>
        <w:rPr>
          <w:rStyle w:val="CharSectno"/>
        </w:rPr>
        <w:t>39</w:t>
      </w:r>
      <w:r>
        <w:t>.</w:t>
      </w:r>
      <w:r>
        <w:tab/>
        <w:t>Maximum period of suspension of service approval</w:t>
      </w:r>
      <w:bookmarkEnd w:id="113"/>
      <w:bookmarkEnd w:id="114"/>
      <w:r>
        <w:t xml:space="preserve"> </w:t>
      </w:r>
    </w:p>
    <w:p>
      <w:pPr>
        <w:pStyle w:val="Subsection"/>
      </w:pPr>
      <w:r>
        <w:tab/>
      </w:r>
      <w:r>
        <w:tab/>
        <w:t>The prescribed maximum period of suspension of a service approval under sections 72(b)(i) and 79(1)(a)(ii) of the Law is 12 months.</w:t>
      </w:r>
    </w:p>
    <w:p>
      <w:pPr>
        <w:pStyle w:val="Footnotesection"/>
      </w:pPr>
      <w:r>
        <w:tab/>
        <w:t>[Regulation 39 amended: Gazette 24 Dec 2019 p. 4423.]</w:t>
      </w:r>
    </w:p>
    <w:p>
      <w:pPr>
        <w:pStyle w:val="Heading5"/>
      </w:pPr>
      <w:bookmarkStart w:id="115" w:name="_Toc95119967"/>
      <w:bookmarkStart w:id="116" w:name="_Toc95118931"/>
      <w:r>
        <w:rPr>
          <w:rStyle w:val="CharSectno"/>
        </w:rPr>
        <w:t>40</w:t>
      </w:r>
      <w:r>
        <w:t>.</w:t>
      </w:r>
      <w:r>
        <w:tab/>
        <w:t>Application for voluntary suspension of service approval</w:t>
      </w:r>
      <w:bookmarkEnd w:id="115"/>
      <w:bookmarkEnd w:id="116"/>
      <w:r>
        <w:t xml:space="preserve"> </w:t>
      </w:r>
    </w:p>
    <w:p>
      <w:pPr>
        <w:pStyle w:val="Subsection"/>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117" w:name="_Toc95119573"/>
      <w:bookmarkStart w:id="118" w:name="_Toc95119968"/>
      <w:bookmarkStart w:id="119" w:name="_Toc95118932"/>
      <w:r>
        <w:t>Division 5 — Service waiver</w:t>
      </w:r>
      <w:bookmarkEnd w:id="117"/>
      <w:bookmarkEnd w:id="118"/>
      <w:bookmarkEnd w:id="119"/>
    </w:p>
    <w:p>
      <w:pPr>
        <w:pStyle w:val="Heading5"/>
      </w:pPr>
      <w:bookmarkStart w:id="120" w:name="_Toc95119969"/>
      <w:bookmarkStart w:id="121" w:name="_Toc95118933"/>
      <w:r>
        <w:rPr>
          <w:rStyle w:val="CharSectno"/>
        </w:rPr>
        <w:t>41</w:t>
      </w:r>
      <w:r>
        <w:t>.</w:t>
      </w:r>
      <w:r>
        <w:tab/>
        <w:t>Service waiver — prescribed elements</w:t>
      </w:r>
      <w:bookmarkEnd w:id="120"/>
      <w:bookmarkEnd w:id="121"/>
      <w:r>
        <w:t xml:space="preserve"> </w:t>
      </w:r>
    </w:p>
    <w:p>
      <w:pPr>
        <w:pStyle w:val="Subsection"/>
      </w:pPr>
      <w:r>
        <w:tab/>
      </w:r>
      <w:r>
        <w:tab/>
        <w:t xml:space="preserve">For the purposes of section 87(1) of the Law, the prescribed elements are — </w:t>
      </w:r>
    </w:p>
    <w:p>
      <w:pPr>
        <w:pStyle w:val="Indenta"/>
        <w:spacing w:before="70"/>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72A, 117, 124, 127 and 128; and</w:t>
      </w:r>
    </w:p>
    <w:p>
      <w:pPr>
        <w:pStyle w:val="Indenti"/>
      </w:pPr>
      <w:r>
        <w:tab/>
        <w:t>(iv)</w:t>
      </w:r>
      <w:r>
        <w:tab/>
        <w:t>any provision in Chapter 7 that applies in place of a provision referred to in subparagraph (i), (ii) or (iii).</w:t>
      </w:r>
    </w:p>
    <w:p>
      <w:pPr>
        <w:pStyle w:val="Footnotesection"/>
      </w:pPr>
      <w:r>
        <w:tab/>
        <w:t>[Regulation 41 amended: Gazette 28 Sep 2018 p. 3616.]</w:t>
      </w:r>
    </w:p>
    <w:p>
      <w:pPr>
        <w:pStyle w:val="Heading5"/>
      </w:pPr>
      <w:bookmarkStart w:id="122" w:name="_Toc95119970"/>
      <w:bookmarkStart w:id="123" w:name="_Toc95118934"/>
      <w:r>
        <w:rPr>
          <w:rStyle w:val="CharSectno"/>
        </w:rPr>
        <w:t>42</w:t>
      </w:r>
      <w:r>
        <w:t>.</w:t>
      </w:r>
      <w:r>
        <w:tab/>
        <w:t>Prescribed information — application for service waiver</w:t>
      </w:r>
      <w:bookmarkEnd w:id="122"/>
      <w:bookmarkEnd w:id="123"/>
      <w:r>
        <w:t xml:space="preserve"> </w:t>
      </w:r>
    </w:p>
    <w:p>
      <w:pPr>
        <w:pStyle w:val="Subsection"/>
      </w:pPr>
      <w:r>
        <w:tab/>
      </w:r>
      <w:r>
        <w:tab/>
        <w:t>For section 88(b) of the Law, the following information is prescribed information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pPr>
      <w:r>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PermNoteHeading"/>
      </w:pPr>
      <w:r>
        <w:tab/>
        <w:t>Notes for this regulation:</w:t>
      </w:r>
    </w:p>
    <w:p>
      <w:pPr>
        <w:pStyle w:val="PermNoteText"/>
      </w:pPr>
      <w:r>
        <w:tab/>
        <w:t>1.</w:t>
      </w:r>
      <w:r>
        <w:tab/>
        <w:t>See section 88 of the Law.</w:t>
      </w:r>
    </w:p>
    <w:p>
      <w:pPr>
        <w:pStyle w:val="PermNoteText"/>
      </w:pPr>
      <w:r>
        <w:tab/>
        <w:t>2.</w:t>
      </w:r>
      <w:r>
        <w:tab/>
        <w:t>This regulation differs from regulation 42 of the national regulations made by the Ministerial Council.</w:t>
      </w:r>
    </w:p>
    <w:p>
      <w:pPr>
        <w:pStyle w:val="Footnotesection"/>
      </w:pPr>
      <w:r>
        <w:tab/>
        <w:t>[Regulation 42 amended: Gazette 28 Sep 2018 p. 3617.]</w:t>
      </w:r>
    </w:p>
    <w:p>
      <w:pPr>
        <w:pStyle w:val="Heading5"/>
      </w:pPr>
      <w:bookmarkStart w:id="124" w:name="_Toc95119971"/>
      <w:bookmarkStart w:id="125" w:name="_Toc95118935"/>
      <w:r>
        <w:rPr>
          <w:rStyle w:val="CharSectno"/>
        </w:rPr>
        <w:t>43</w:t>
      </w:r>
      <w:r>
        <w:t>.</w:t>
      </w:r>
      <w:r>
        <w:tab/>
        <w:t>Prescribed period — revocation of service waiver</w:t>
      </w:r>
      <w:bookmarkEnd w:id="124"/>
      <w:bookmarkEnd w:id="125"/>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Footnotesection"/>
      </w:pPr>
      <w:r>
        <w:tab/>
        <w:t>[Regulation 43 amended: Gazette 3 Nov 2017 p. 5481.]</w:t>
      </w:r>
    </w:p>
    <w:p>
      <w:pPr>
        <w:pStyle w:val="Heading4"/>
      </w:pPr>
      <w:bookmarkStart w:id="126" w:name="_Toc95119577"/>
      <w:bookmarkStart w:id="127" w:name="_Toc95119972"/>
      <w:bookmarkStart w:id="128" w:name="_Toc95118936"/>
      <w:r>
        <w:t>Division 6 — Temporary waiver</w:t>
      </w:r>
      <w:bookmarkEnd w:id="126"/>
      <w:bookmarkEnd w:id="127"/>
      <w:bookmarkEnd w:id="128"/>
    </w:p>
    <w:p>
      <w:pPr>
        <w:pStyle w:val="Heading5"/>
      </w:pPr>
      <w:bookmarkStart w:id="129" w:name="_Toc95119973"/>
      <w:bookmarkStart w:id="130" w:name="_Toc95118937"/>
      <w:r>
        <w:rPr>
          <w:rStyle w:val="CharSectno"/>
        </w:rPr>
        <w:t>44</w:t>
      </w:r>
      <w:r>
        <w:t>.</w:t>
      </w:r>
      <w:r>
        <w:tab/>
        <w:t>Temporary waiver — prescribed elements</w:t>
      </w:r>
      <w:bookmarkEnd w:id="129"/>
      <w:bookmarkEnd w:id="130"/>
    </w:p>
    <w:p>
      <w:pPr>
        <w:pStyle w:val="Subsection"/>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keepNext/>
      </w:pPr>
      <w:r>
        <w:tab/>
        <w:t>(iii)</w:t>
      </w:r>
      <w:r>
        <w:tab/>
        <w:t>in the case of a family day care service, regulations 72A, 117, 124, 127, 128 and 136; and</w:t>
      </w:r>
    </w:p>
    <w:p>
      <w:pPr>
        <w:pStyle w:val="Indenti"/>
      </w:pPr>
      <w:r>
        <w:tab/>
        <w:t>(iv)</w:t>
      </w:r>
      <w:r>
        <w:tab/>
        <w:t>any provision in Chapter 7 that applies in place of a provision referred to in subparagraph (i), (ii) or (iii).</w:t>
      </w:r>
    </w:p>
    <w:p>
      <w:pPr>
        <w:pStyle w:val="Footnotesection"/>
      </w:pPr>
      <w:r>
        <w:tab/>
        <w:t>[Regulation 44 amended: Gazette 28 Sep 2018 p. 3617.]</w:t>
      </w:r>
    </w:p>
    <w:p>
      <w:pPr>
        <w:pStyle w:val="Heading5"/>
      </w:pPr>
      <w:bookmarkStart w:id="131" w:name="_Toc95119974"/>
      <w:bookmarkStart w:id="132" w:name="_Toc95118938"/>
      <w:r>
        <w:rPr>
          <w:rStyle w:val="CharSectno"/>
        </w:rPr>
        <w:t>45</w:t>
      </w:r>
      <w:r>
        <w:t>.</w:t>
      </w:r>
      <w:r>
        <w:tab/>
        <w:t>Application for temporary waiver</w:t>
      </w:r>
      <w:bookmarkEnd w:id="131"/>
      <w:bookmarkEnd w:id="132"/>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elements or regulations;</w:t>
      </w:r>
    </w:p>
    <w:p>
      <w:pPr>
        <w:pStyle w:val="Indenta"/>
        <w:keepNext/>
      </w:pPr>
      <w:r>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pPr>
      <w:r>
        <w:tab/>
      </w:r>
      <w:r>
        <w:tab/>
        <w:t>See section 95 of the Law.</w:t>
      </w:r>
    </w:p>
    <w:p>
      <w:pPr>
        <w:pStyle w:val="Ednotepart"/>
        <w:rPr>
          <w:rStyle w:val="CharDivNo"/>
        </w:rPr>
      </w:pPr>
      <w:r>
        <w:rPr>
          <w:rStyle w:val="CharDivNo"/>
        </w:rPr>
        <w:t>[Part 2.3</w:t>
      </w:r>
      <w:r>
        <w:rPr>
          <w:rStyle w:val="CharDivNo"/>
          <w:b/>
        </w:rPr>
        <w:t xml:space="preserve"> </w:t>
      </w:r>
      <w:r>
        <w:rPr>
          <w:rStyle w:val="CharDivNo"/>
        </w:rPr>
        <w:t>(r. 46</w:t>
      </w:r>
      <w:r>
        <w:rPr>
          <w:rStyle w:val="CharDivNo"/>
        </w:rPr>
        <w:noBreakHyphen/>
        <w:t>54) deleted: Gazette</w:t>
      </w:r>
      <w:r>
        <w:t xml:space="preserve"> 28 Sep 2018 p. 3617.]</w:t>
      </w:r>
    </w:p>
    <w:p>
      <w:pPr>
        <w:pStyle w:val="Heading2"/>
      </w:pPr>
      <w:bookmarkStart w:id="133" w:name="_Toc95119580"/>
      <w:bookmarkStart w:id="134" w:name="_Toc95119975"/>
      <w:bookmarkStart w:id="135" w:name="_Toc95118939"/>
      <w:r>
        <w:rPr>
          <w:rStyle w:val="CharPartNo"/>
        </w:rPr>
        <w:t>Chapter 3</w:t>
      </w:r>
      <w:r>
        <w:t> — </w:t>
      </w:r>
      <w:r>
        <w:rPr>
          <w:rStyle w:val="CharPartText"/>
        </w:rPr>
        <w:t>Assessments and ratings</w:t>
      </w:r>
      <w:bookmarkEnd w:id="133"/>
      <w:bookmarkEnd w:id="134"/>
      <w:bookmarkEnd w:id="135"/>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136" w:name="_Toc95119581"/>
      <w:bookmarkStart w:id="137" w:name="_Toc95119976"/>
      <w:bookmarkStart w:id="138" w:name="_Toc95118940"/>
      <w:r>
        <w:rPr>
          <w:rStyle w:val="CharDivNo"/>
        </w:rPr>
        <w:t>Part 3.1</w:t>
      </w:r>
      <w:r>
        <w:t> — </w:t>
      </w:r>
      <w:r>
        <w:rPr>
          <w:rStyle w:val="CharDivText"/>
        </w:rPr>
        <w:t>Quality improvement plans</w:t>
      </w:r>
      <w:bookmarkEnd w:id="136"/>
      <w:bookmarkEnd w:id="137"/>
      <w:bookmarkEnd w:id="138"/>
    </w:p>
    <w:p>
      <w:pPr>
        <w:pStyle w:val="Heading5"/>
      </w:pPr>
      <w:bookmarkStart w:id="139" w:name="_Toc95119977"/>
      <w:bookmarkStart w:id="140" w:name="_Toc95118941"/>
      <w:r>
        <w:rPr>
          <w:rStyle w:val="CharSectno"/>
        </w:rPr>
        <w:t>55</w:t>
      </w:r>
      <w:r>
        <w:t>.</w:t>
      </w:r>
      <w:r>
        <w:tab/>
        <w:t>Quality improvement plans</w:t>
      </w:r>
      <w:bookmarkEnd w:id="139"/>
      <w:bookmarkEnd w:id="140"/>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Gazette 28 Nov 2014 p. 4403.]</w:t>
      </w:r>
    </w:p>
    <w:p>
      <w:pPr>
        <w:pStyle w:val="Heading5"/>
      </w:pPr>
      <w:bookmarkStart w:id="141" w:name="_Toc95119978"/>
      <w:bookmarkStart w:id="142" w:name="_Toc95118942"/>
      <w:r>
        <w:rPr>
          <w:rStyle w:val="CharSectno"/>
        </w:rPr>
        <w:t>56</w:t>
      </w:r>
      <w:r>
        <w:t>.</w:t>
      </w:r>
      <w:r>
        <w:tab/>
        <w:t>Review and revision of quality improvement plans</w:t>
      </w:r>
      <w:bookmarkEnd w:id="141"/>
      <w:bookmarkEnd w:id="142"/>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143" w:name="_Toc95119584"/>
      <w:bookmarkStart w:id="144" w:name="_Toc95119979"/>
      <w:bookmarkStart w:id="145" w:name="_Toc95118943"/>
      <w:r>
        <w:rPr>
          <w:rStyle w:val="CharDivNo"/>
        </w:rPr>
        <w:t>Part 3.2</w:t>
      </w:r>
      <w:r>
        <w:t> — </w:t>
      </w:r>
      <w:r>
        <w:rPr>
          <w:rStyle w:val="CharDivText"/>
        </w:rPr>
        <w:t>Prescribed rating levels</w:t>
      </w:r>
      <w:bookmarkEnd w:id="143"/>
      <w:bookmarkEnd w:id="144"/>
      <w:bookmarkEnd w:id="145"/>
    </w:p>
    <w:p>
      <w:pPr>
        <w:pStyle w:val="Heading5"/>
      </w:pPr>
      <w:bookmarkStart w:id="146" w:name="_Toc95119980"/>
      <w:bookmarkStart w:id="147" w:name="_Toc95118944"/>
      <w:r>
        <w:rPr>
          <w:rStyle w:val="CharSectno"/>
        </w:rPr>
        <w:t>57</w:t>
      </w:r>
      <w:r>
        <w:t>.</w:t>
      </w:r>
      <w:r>
        <w:tab/>
        <w:t>Rating levels</w:t>
      </w:r>
      <w:bookmarkEnd w:id="146"/>
      <w:bookmarkEnd w:id="147"/>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spacing w:before="60"/>
      </w:pPr>
      <w:r>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148" w:name="_Toc95119981"/>
      <w:bookmarkStart w:id="149" w:name="_Toc95118945"/>
      <w:r>
        <w:rPr>
          <w:rStyle w:val="CharSectno"/>
        </w:rPr>
        <w:t>58</w:t>
      </w:r>
      <w:r>
        <w:t>.</w:t>
      </w:r>
      <w:r>
        <w:tab/>
        <w:t>Prescribed provisional rating</w:t>
      </w:r>
      <w:bookmarkEnd w:id="148"/>
      <w:bookmarkEnd w:id="149"/>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150" w:name="_Toc95119982"/>
      <w:bookmarkStart w:id="151" w:name="_Toc95118946"/>
      <w:r>
        <w:rPr>
          <w:rStyle w:val="CharSectno"/>
        </w:rPr>
        <w:t>59</w:t>
      </w:r>
      <w:r>
        <w:t>.</w:t>
      </w:r>
      <w:r>
        <w:tab/>
        <w:t>Significant Improvement Required</w:t>
      </w:r>
      <w:bookmarkEnd w:id="150"/>
      <w:bookmarkEnd w:id="151"/>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Gazette 23 Jan 2018 p. 247.]</w:t>
      </w:r>
    </w:p>
    <w:p>
      <w:pPr>
        <w:pStyle w:val="Heading5"/>
      </w:pPr>
      <w:bookmarkStart w:id="152" w:name="_Toc95119983"/>
      <w:bookmarkStart w:id="153" w:name="_Toc95118947"/>
      <w:r>
        <w:rPr>
          <w:rStyle w:val="CharSectno"/>
        </w:rPr>
        <w:t>60</w:t>
      </w:r>
      <w:r>
        <w:t>.</w:t>
      </w:r>
      <w:r>
        <w:tab/>
        <w:t>Working Towards National Quality Standard</w:t>
      </w:r>
      <w:bookmarkEnd w:id="152"/>
      <w:bookmarkEnd w:id="153"/>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154" w:name="_Toc95119984"/>
      <w:bookmarkStart w:id="155" w:name="_Toc95118948"/>
      <w:r>
        <w:rPr>
          <w:rStyle w:val="CharSectno"/>
        </w:rPr>
        <w:t>61</w:t>
      </w:r>
      <w:r>
        <w:t>.</w:t>
      </w:r>
      <w:r>
        <w:tab/>
        <w:t>Meeting National Quality Standard</w:t>
      </w:r>
      <w:bookmarkEnd w:id="154"/>
      <w:bookmarkEnd w:id="155"/>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156" w:name="_Toc95119985"/>
      <w:bookmarkStart w:id="157" w:name="_Toc95118949"/>
      <w:r>
        <w:rPr>
          <w:rStyle w:val="CharSectno"/>
        </w:rPr>
        <w:t>62</w:t>
      </w:r>
      <w:r>
        <w:t>.</w:t>
      </w:r>
      <w:r>
        <w:tab/>
        <w:t>Exceeding National Quality Standard</w:t>
      </w:r>
      <w:bookmarkEnd w:id="156"/>
      <w:bookmarkEnd w:id="157"/>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Gazette 6 Jun 2014 p. 1787.]</w:t>
      </w:r>
    </w:p>
    <w:p>
      <w:pPr>
        <w:pStyle w:val="Heading3"/>
      </w:pPr>
      <w:bookmarkStart w:id="158" w:name="_Toc95119591"/>
      <w:bookmarkStart w:id="159" w:name="_Toc95119986"/>
      <w:bookmarkStart w:id="160" w:name="_Toc95118950"/>
      <w:r>
        <w:rPr>
          <w:rStyle w:val="CharDivNo"/>
        </w:rPr>
        <w:t>Part 3.3</w:t>
      </w:r>
      <w:r>
        <w:t> — </w:t>
      </w:r>
      <w:r>
        <w:rPr>
          <w:rStyle w:val="CharDivText"/>
        </w:rPr>
        <w:t>Assessment</w:t>
      </w:r>
      <w:bookmarkEnd w:id="158"/>
      <w:bookmarkEnd w:id="159"/>
      <w:bookmarkEnd w:id="160"/>
    </w:p>
    <w:p>
      <w:pPr>
        <w:pStyle w:val="Heading4"/>
      </w:pPr>
      <w:bookmarkStart w:id="161" w:name="_Toc95119592"/>
      <w:bookmarkStart w:id="162" w:name="_Toc95119987"/>
      <w:bookmarkStart w:id="163" w:name="_Toc95118951"/>
      <w:r>
        <w:t>Division 1 — Assessment</w:t>
      </w:r>
      <w:bookmarkEnd w:id="161"/>
      <w:bookmarkEnd w:id="162"/>
      <w:bookmarkEnd w:id="163"/>
    </w:p>
    <w:p>
      <w:pPr>
        <w:pStyle w:val="Heading5"/>
      </w:pPr>
      <w:bookmarkStart w:id="164" w:name="_Toc95119988"/>
      <w:bookmarkStart w:id="165" w:name="_Toc95118952"/>
      <w:r>
        <w:rPr>
          <w:rStyle w:val="CharSectno"/>
        </w:rPr>
        <w:t>63</w:t>
      </w:r>
      <w:r>
        <w:t>.</w:t>
      </w:r>
      <w:r>
        <w:tab/>
        <w:t>Assessing approved education and care services</w:t>
      </w:r>
      <w:bookmarkEnd w:id="164"/>
      <w:bookmarkEnd w:id="165"/>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tab/>
        <w:t>2.</w:t>
      </w:r>
      <w:r>
        <w:tab/>
        <w:t>This regulation differs from regulation 63 of the national regulations made by the Ministerial Council.</w:t>
      </w:r>
    </w:p>
    <w:p>
      <w:pPr>
        <w:pStyle w:val="Heading5"/>
      </w:pPr>
      <w:bookmarkStart w:id="166" w:name="_Toc95119989"/>
      <w:bookmarkStart w:id="167" w:name="_Toc95118953"/>
      <w:r>
        <w:rPr>
          <w:rStyle w:val="CharSectno"/>
        </w:rPr>
        <w:t>64</w:t>
      </w:r>
      <w:r>
        <w:t>.</w:t>
      </w:r>
      <w:r>
        <w:tab/>
        <w:t>Matters for determination of rating</w:t>
      </w:r>
      <w:bookmarkEnd w:id="166"/>
      <w:bookmarkEnd w:id="167"/>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168" w:name="_Toc95119990"/>
      <w:bookmarkStart w:id="169" w:name="_Toc95118954"/>
      <w:r>
        <w:rPr>
          <w:rStyle w:val="CharSectno"/>
        </w:rPr>
        <w:t>65</w:t>
      </w:r>
      <w:r>
        <w:t>.</w:t>
      </w:r>
      <w:r>
        <w:tab/>
        <w:t>Assessment and rating of new education and care services</w:t>
      </w:r>
      <w:bookmarkEnd w:id="168"/>
      <w:bookmarkEnd w:id="169"/>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170" w:name="_Toc95119596"/>
      <w:bookmarkStart w:id="171" w:name="_Toc95119991"/>
      <w:bookmarkStart w:id="172" w:name="_Toc95118955"/>
      <w:r>
        <w:t>Division 2 — Reassessment</w:t>
      </w:r>
      <w:bookmarkEnd w:id="170"/>
      <w:bookmarkEnd w:id="171"/>
      <w:bookmarkEnd w:id="172"/>
    </w:p>
    <w:p>
      <w:pPr>
        <w:pStyle w:val="Heading5"/>
      </w:pPr>
      <w:bookmarkStart w:id="173" w:name="_Toc95119992"/>
      <w:bookmarkStart w:id="174" w:name="_Toc95118956"/>
      <w:r>
        <w:rPr>
          <w:rStyle w:val="CharSectno"/>
        </w:rPr>
        <w:t>66</w:t>
      </w:r>
      <w:r>
        <w:t>.</w:t>
      </w:r>
      <w:r>
        <w:tab/>
        <w:t>Application for reassessment</w:t>
      </w:r>
      <w:bookmarkEnd w:id="173"/>
      <w:bookmarkEnd w:id="174"/>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spacing w:before="100"/>
      </w:pPr>
      <w:r>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175" w:name="_Toc95119993"/>
      <w:bookmarkStart w:id="176" w:name="_Toc95118957"/>
      <w:r>
        <w:rPr>
          <w:rStyle w:val="CharSectno"/>
        </w:rPr>
        <w:t>67</w:t>
      </w:r>
      <w:r>
        <w:t>.</w:t>
      </w:r>
      <w:r>
        <w:tab/>
        <w:t>Reassessment by Regulatory Authority</w:t>
      </w:r>
      <w:bookmarkEnd w:id="175"/>
      <w:bookmarkEnd w:id="176"/>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177" w:name="_Toc95119599"/>
      <w:bookmarkStart w:id="178" w:name="_Toc95119994"/>
      <w:bookmarkStart w:id="179" w:name="_Toc95118958"/>
      <w:r>
        <w:rPr>
          <w:rStyle w:val="CharDivNo"/>
        </w:rPr>
        <w:t>Part 3.4</w:t>
      </w:r>
      <w:r>
        <w:t> — </w:t>
      </w:r>
      <w:r>
        <w:rPr>
          <w:rStyle w:val="CharDivText"/>
        </w:rPr>
        <w:t>Review of ratings</w:t>
      </w:r>
      <w:bookmarkEnd w:id="177"/>
      <w:bookmarkEnd w:id="178"/>
      <w:bookmarkEnd w:id="179"/>
    </w:p>
    <w:p>
      <w:pPr>
        <w:pStyle w:val="Heading4"/>
      </w:pPr>
      <w:bookmarkStart w:id="180" w:name="_Toc95119600"/>
      <w:bookmarkStart w:id="181" w:name="_Toc95119995"/>
      <w:bookmarkStart w:id="182" w:name="_Toc95118959"/>
      <w:r>
        <w:t>Division 1 — Review of ratings by Regulatory Authority</w:t>
      </w:r>
      <w:bookmarkEnd w:id="180"/>
      <w:bookmarkEnd w:id="181"/>
      <w:bookmarkEnd w:id="182"/>
    </w:p>
    <w:p>
      <w:pPr>
        <w:pStyle w:val="Heading5"/>
      </w:pPr>
      <w:bookmarkStart w:id="183" w:name="_Toc95119996"/>
      <w:bookmarkStart w:id="184" w:name="_Toc95118960"/>
      <w:r>
        <w:rPr>
          <w:rStyle w:val="CharSectno"/>
        </w:rPr>
        <w:t>68</w:t>
      </w:r>
      <w:r>
        <w:t>.</w:t>
      </w:r>
      <w:r>
        <w:tab/>
        <w:t>Prescribed information for request for review of rating</w:t>
      </w:r>
      <w:bookmarkEnd w:id="183"/>
      <w:bookmarkEnd w:id="184"/>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185" w:name="_Toc95119602"/>
      <w:bookmarkStart w:id="186" w:name="_Toc95119997"/>
      <w:bookmarkStart w:id="187" w:name="_Toc95118961"/>
      <w:r>
        <w:t>Division 2 — Review of ratings by Ratings Review Panel</w:t>
      </w:r>
      <w:bookmarkEnd w:id="185"/>
      <w:bookmarkEnd w:id="186"/>
      <w:bookmarkEnd w:id="187"/>
    </w:p>
    <w:p>
      <w:pPr>
        <w:pStyle w:val="Heading5"/>
      </w:pPr>
      <w:bookmarkStart w:id="188" w:name="_Toc95119998"/>
      <w:bookmarkStart w:id="189" w:name="_Toc95118962"/>
      <w:r>
        <w:rPr>
          <w:rStyle w:val="CharSectno"/>
        </w:rPr>
        <w:t>69</w:t>
      </w:r>
      <w:r>
        <w:t>.</w:t>
      </w:r>
      <w:r>
        <w:tab/>
        <w:t>Application for further review by Ratings Review Panel</w:t>
      </w:r>
      <w:bookmarkEnd w:id="188"/>
      <w:bookmarkEnd w:id="189"/>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190" w:name="_Toc95119999"/>
      <w:bookmarkStart w:id="191" w:name="_Toc95118963"/>
      <w:r>
        <w:rPr>
          <w:rStyle w:val="CharSectno"/>
        </w:rPr>
        <w:t>70</w:t>
      </w:r>
      <w:r>
        <w:t>.</w:t>
      </w:r>
      <w:r>
        <w:tab/>
        <w:t>Prescribed areas of expertise or expert knowledge of Ratings Review Panel pool</w:t>
      </w:r>
      <w:bookmarkEnd w:id="190"/>
      <w:bookmarkEnd w:id="191"/>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pPr>
      <w:r>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192" w:name="_Toc95119605"/>
      <w:bookmarkStart w:id="193" w:name="_Toc95120000"/>
      <w:bookmarkStart w:id="194" w:name="_Toc95118964"/>
      <w:r>
        <w:rPr>
          <w:rStyle w:val="CharDivNo"/>
        </w:rPr>
        <w:t>Part 3.5</w:t>
      </w:r>
      <w:r>
        <w:t> — </w:t>
      </w:r>
      <w:r>
        <w:rPr>
          <w:rStyle w:val="CharDivText"/>
        </w:rPr>
        <w:t>Highest rating</w:t>
      </w:r>
      <w:bookmarkEnd w:id="192"/>
      <w:bookmarkEnd w:id="193"/>
      <w:bookmarkEnd w:id="194"/>
    </w:p>
    <w:p>
      <w:pPr>
        <w:pStyle w:val="Heading5"/>
      </w:pPr>
      <w:bookmarkStart w:id="195" w:name="_Toc95120001"/>
      <w:bookmarkStart w:id="196" w:name="_Toc95118965"/>
      <w:r>
        <w:rPr>
          <w:rStyle w:val="CharSectno"/>
        </w:rPr>
        <w:t>70A</w:t>
      </w:r>
      <w:r>
        <w:t>.</w:t>
      </w:r>
      <w:r>
        <w:tab/>
        <w:t>Prescribed rating levels for application for highest rating</w:t>
      </w:r>
      <w:bookmarkEnd w:id="195"/>
      <w:bookmarkEnd w:id="196"/>
    </w:p>
    <w:p>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pPr>
        <w:pStyle w:val="Footnotesection"/>
      </w:pPr>
      <w:r>
        <w:tab/>
        <w:t>[Regulation 70A inserted: Gazette 28 Sep 2018 p. 3617.]</w:t>
      </w:r>
    </w:p>
    <w:p>
      <w:pPr>
        <w:pStyle w:val="Heading5"/>
      </w:pPr>
      <w:bookmarkStart w:id="197" w:name="_Toc95120002"/>
      <w:bookmarkStart w:id="198" w:name="_Toc95118966"/>
      <w:r>
        <w:rPr>
          <w:rStyle w:val="CharSectno"/>
        </w:rPr>
        <w:t>71</w:t>
      </w:r>
      <w:r>
        <w:t>.</w:t>
      </w:r>
      <w:r>
        <w:tab/>
        <w:t>Application or reapplication for the highest rating</w:t>
      </w:r>
      <w:bookmarkEnd w:id="197"/>
      <w:bookmarkEnd w:id="198"/>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199" w:name="_Toc95119608"/>
      <w:bookmarkStart w:id="200" w:name="_Toc95120003"/>
      <w:bookmarkStart w:id="201" w:name="_Toc95118967"/>
      <w:r>
        <w:rPr>
          <w:rStyle w:val="CharDivNo"/>
        </w:rPr>
        <w:t>Part 3.6</w:t>
      </w:r>
      <w:r>
        <w:t> — </w:t>
      </w:r>
      <w:r>
        <w:rPr>
          <w:rStyle w:val="CharDivText"/>
        </w:rPr>
        <w:t>Offences</w:t>
      </w:r>
      <w:bookmarkEnd w:id="199"/>
      <w:bookmarkEnd w:id="200"/>
      <w:bookmarkEnd w:id="201"/>
    </w:p>
    <w:p>
      <w:pPr>
        <w:pStyle w:val="Heading5"/>
      </w:pPr>
      <w:bookmarkStart w:id="202" w:name="_Toc95120004"/>
      <w:bookmarkStart w:id="203" w:name="_Toc95118968"/>
      <w:r>
        <w:rPr>
          <w:rStyle w:val="CharSectno"/>
        </w:rPr>
        <w:t>72</w:t>
      </w:r>
      <w:r>
        <w:t>.</w:t>
      </w:r>
      <w:r>
        <w:tab/>
        <w:t>Offences in relation to giving false or misleading statements about ratings</w:t>
      </w:r>
      <w:bookmarkEnd w:id="202"/>
      <w:bookmarkEnd w:id="203"/>
      <w:r>
        <w:t xml:space="preserve"> </w:t>
      </w:r>
    </w:p>
    <w:p>
      <w:pPr>
        <w:pStyle w:val="Subsection"/>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PermNoteText"/>
      </w:pPr>
    </w:p>
    <w:p>
      <w:pPr>
        <w:pStyle w:val="Heading2"/>
      </w:pPr>
      <w:bookmarkStart w:id="204" w:name="_Toc95119610"/>
      <w:bookmarkStart w:id="205" w:name="_Toc95120005"/>
      <w:bookmarkStart w:id="206" w:name="_Toc95118969"/>
      <w:r>
        <w:rPr>
          <w:rStyle w:val="CharPartNo"/>
        </w:rPr>
        <w:t>Chapter 4</w:t>
      </w:r>
      <w:r>
        <w:rPr>
          <w:rStyle w:val="CharDivNo"/>
        </w:rPr>
        <w:t> </w:t>
      </w:r>
      <w:r>
        <w:t>—</w:t>
      </w:r>
      <w:r>
        <w:rPr>
          <w:rStyle w:val="CharDivText"/>
        </w:rPr>
        <w:t> </w:t>
      </w:r>
      <w:r>
        <w:rPr>
          <w:rStyle w:val="CharPartText"/>
        </w:rPr>
        <w:t>Operational requirements</w:t>
      </w:r>
      <w:bookmarkEnd w:id="204"/>
      <w:bookmarkEnd w:id="205"/>
      <w:bookmarkEnd w:id="206"/>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keepNext/>
        <w:rPr>
          <w:rFonts w:ascii="Arial" w:hAnsi="Arial" w:cs="Arial"/>
          <w:sz w:val="18"/>
          <w:szCs w:val="18"/>
        </w:rPr>
      </w:pPr>
      <w:r>
        <w:rPr>
          <w:rFonts w:ascii="Arial" w:hAnsi="Arial" w:cs="Arial"/>
          <w:b/>
          <w:sz w:val="18"/>
          <w:szCs w:val="18"/>
        </w:rPr>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pPr>
      <w:bookmarkStart w:id="207" w:name="_Toc95119611"/>
      <w:bookmarkStart w:id="208" w:name="_Toc95120006"/>
      <w:bookmarkStart w:id="209" w:name="_Toc95118970"/>
      <w:r>
        <w:rPr>
          <w:rStyle w:val="CharDivNo"/>
        </w:rPr>
        <w:t>Part 4.1AA</w:t>
      </w:r>
      <w:r>
        <w:t> — </w:t>
      </w:r>
      <w:r>
        <w:rPr>
          <w:rStyle w:val="CharDivText"/>
        </w:rPr>
        <w:t>Location of principal office</w:t>
      </w:r>
      <w:bookmarkEnd w:id="207"/>
      <w:bookmarkEnd w:id="208"/>
      <w:bookmarkEnd w:id="209"/>
    </w:p>
    <w:p>
      <w:pPr>
        <w:pStyle w:val="Footnoteheading"/>
      </w:pPr>
      <w:r>
        <w:tab/>
        <w:t>[Heading inserted: Gazette 28 Sep 2018 p. 3618.]</w:t>
      </w:r>
    </w:p>
    <w:p>
      <w:pPr>
        <w:pStyle w:val="Heading5"/>
      </w:pPr>
      <w:bookmarkStart w:id="210" w:name="_Toc95120007"/>
      <w:bookmarkStart w:id="211" w:name="_Toc95118971"/>
      <w:r>
        <w:rPr>
          <w:rStyle w:val="CharSectno"/>
        </w:rPr>
        <w:t>72A</w:t>
      </w:r>
      <w:r>
        <w:t>.</w:t>
      </w:r>
      <w:r>
        <w:tab/>
        <w:t>Location of principal office of family day care service</w:t>
      </w:r>
      <w:bookmarkEnd w:id="210"/>
      <w:bookmarkEnd w:id="211"/>
    </w:p>
    <w:p>
      <w:pPr>
        <w:pStyle w:val="Subsection"/>
      </w:pPr>
      <w:r>
        <w:tab/>
      </w:r>
      <w:r>
        <w:tab/>
        <w:t>The principal office of an approved family day care service must be located within the jurisdiction in which the service approval for the service is granted.</w:t>
      </w:r>
    </w:p>
    <w:p>
      <w:pPr>
        <w:pStyle w:val="Penstart"/>
      </w:pPr>
      <w:r>
        <w:tab/>
        <w:t>Penalty: $2 000.</w:t>
      </w:r>
    </w:p>
    <w:p>
      <w:pPr>
        <w:pStyle w:val="Footnotesection"/>
      </w:pPr>
      <w:r>
        <w:tab/>
        <w:t>[Regulation 72A inserted: Gazette 28 Sep 2018 p. 3618.]</w:t>
      </w:r>
    </w:p>
    <w:p>
      <w:pPr>
        <w:pStyle w:val="Heading3"/>
      </w:pPr>
      <w:bookmarkStart w:id="212" w:name="_Toc95119613"/>
      <w:bookmarkStart w:id="213" w:name="_Toc95120008"/>
      <w:bookmarkStart w:id="214" w:name="_Toc95118972"/>
      <w:r>
        <w:rPr>
          <w:rStyle w:val="CharDivNo"/>
        </w:rPr>
        <w:t>Part 4.1</w:t>
      </w:r>
      <w:r>
        <w:t> — </w:t>
      </w:r>
      <w:r>
        <w:rPr>
          <w:rStyle w:val="CharDivText"/>
        </w:rPr>
        <w:t>Educational program and practice</w:t>
      </w:r>
      <w:bookmarkEnd w:id="212"/>
      <w:bookmarkEnd w:id="213"/>
      <w:bookmarkEnd w:id="214"/>
    </w:p>
    <w:p>
      <w:pPr>
        <w:pStyle w:val="Heading5"/>
      </w:pPr>
      <w:bookmarkStart w:id="215" w:name="_Toc95120009"/>
      <w:bookmarkStart w:id="216" w:name="_Toc95118973"/>
      <w:r>
        <w:rPr>
          <w:rStyle w:val="CharSectno"/>
        </w:rPr>
        <w:t>73</w:t>
      </w:r>
      <w:r>
        <w:t>.</w:t>
      </w:r>
      <w:r>
        <w:tab/>
        <w:t>Educational program</w:t>
      </w:r>
      <w:bookmarkEnd w:id="215"/>
      <w:bookmarkEnd w:id="216"/>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217" w:name="_Toc95120010"/>
      <w:bookmarkStart w:id="218" w:name="_Toc95118974"/>
      <w:r>
        <w:rPr>
          <w:rStyle w:val="CharSectno"/>
        </w:rPr>
        <w:t>74</w:t>
      </w:r>
      <w:r>
        <w:t>.</w:t>
      </w:r>
      <w:r>
        <w:tab/>
        <w:t>Documenting of child assessments or evaluations for delivery of educational program</w:t>
      </w:r>
      <w:bookmarkEnd w:id="217"/>
      <w:bookmarkEnd w:id="218"/>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evaluations of the child’s wellbeing, development and learning.</w:t>
      </w:r>
    </w:p>
    <w:p>
      <w:pPr>
        <w:pStyle w:val="Subsection"/>
        <w:keepNext/>
      </w:pPr>
      <w:r>
        <w:tab/>
        <w:t>(2)</w:t>
      </w:r>
      <w:r>
        <w:tab/>
        <w:t xml:space="preserve">In preparing the documentation, the approved provider must — </w:t>
      </w:r>
    </w:p>
    <w:p>
      <w:pPr>
        <w:pStyle w:val="Indenta"/>
        <w:keepNext/>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219" w:name="_Toc95120011"/>
      <w:bookmarkStart w:id="220" w:name="_Toc95118975"/>
      <w:r>
        <w:rPr>
          <w:rStyle w:val="CharSectno"/>
        </w:rPr>
        <w:t>75</w:t>
      </w:r>
      <w:r>
        <w:t>.</w:t>
      </w:r>
      <w:r>
        <w:tab/>
        <w:t>Information about educational program to be kept available</w:t>
      </w:r>
      <w:bookmarkEnd w:id="219"/>
      <w:bookmarkEnd w:id="220"/>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75 of the national regulations made by the Ministerial Council.</w:t>
      </w:r>
    </w:p>
    <w:p>
      <w:pPr>
        <w:pStyle w:val="Footnotesection"/>
      </w:pPr>
      <w:r>
        <w:tab/>
        <w:t>[Regulation 75 amended: Gazette 28 Nov 2014 p. 4404.]</w:t>
      </w:r>
    </w:p>
    <w:p>
      <w:pPr>
        <w:pStyle w:val="Heading5"/>
      </w:pPr>
      <w:bookmarkStart w:id="221" w:name="_Toc95120012"/>
      <w:bookmarkStart w:id="222" w:name="_Toc95118976"/>
      <w:r>
        <w:rPr>
          <w:rStyle w:val="CharSectno"/>
        </w:rPr>
        <w:t>76</w:t>
      </w:r>
      <w:r>
        <w:t>.</w:t>
      </w:r>
      <w:r>
        <w:tab/>
        <w:t>Information about educational program to be given to parents</w:t>
      </w:r>
      <w:bookmarkEnd w:id="221"/>
      <w:bookmarkEnd w:id="222"/>
      <w:r>
        <w:t xml:space="preserve"> </w:t>
      </w:r>
    </w:p>
    <w:p>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223" w:name="_Toc95119618"/>
      <w:bookmarkStart w:id="224" w:name="_Toc95120013"/>
      <w:bookmarkStart w:id="225" w:name="_Toc95118977"/>
      <w:r>
        <w:rPr>
          <w:rStyle w:val="CharDivNo"/>
        </w:rPr>
        <w:t>Part 4.2</w:t>
      </w:r>
      <w:r>
        <w:t> — </w:t>
      </w:r>
      <w:r>
        <w:rPr>
          <w:rStyle w:val="CharDivText"/>
        </w:rPr>
        <w:t>Children’s health and safety</w:t>
      </w:r>
      <w:bookmarkEnd w:id="223"/>
      <w:bookmarkEnd w:id="224"/>
      <w:bookmarkEnd w:id="225"/>
    </w:p>
    <w:p>
      <w:pPr>
        <w:pStyle w:val="Heading4"/>
      </w:pPr>
      <w:bookmarkStart w:id="226" w:name="_Toc95119619"/>
      <w:bookmarkStart w:id="227" w:name="_Toc95120014"/>
      <w:bookmarkStart w:id="228" w:name="_Toc95118978"/>
      <w:r>
        <w:t>Division 1 — Health, safety and wellbeing of children</w:t>
      </w:r>
      <w:bookmarkEnd w:id="226"/>
      <w:bookmarkEnd w:id="227"/>
      <w:bookmarkEnd w:id="228"/>
    </w:p>
    <w:p>
      <w:pPr>
        <w:pStyle w:val="Heading5"/>
      </w:pPr>
      <w:bookmarkStart w:id="229" w:name="_Toc95120015"/>
      <w:bookmarkStart w:id="230" w:name="_Toc95118979"/>
      <w:r>
        <w:rPr>
          <w:rStyle w:val="CharSectno"/>
        </w:rPr>
        <w:t>77</w:t>
      </w:r>
      <w:r>
        <w:t>.</w:t>
      </w:r>
      <w:r>
        <w:tab/>
        <w:t>Health, hygiene and safe food practices</w:t>
      </w:r>
      <w:bookmarkEnd w:id="229"/>
      <w:bookmarkEnd w:id="230"/>
      <w:r>
        <w:t xml:space="preserve"> </w:t>
      </w:r>
    </w:p>
    <w:p>
      <w:pPr>
        <w:pStyle w:val="Subsection"/>
      </w:pPr>
      <w:r>
        <w:tab/>
        <w:t>(1)</w:t>
      </w:r>
      <w:r>
        <w:tab/>
        <w:t xml:space="preserve">The approved provider of an education and care service must ensure that nominated supervisors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A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77 amended: Gazette 28 Sep 2018 p. 3618.]</w:t>
      </w:r>
    </w:p>
    <w:p>
      <w:pPr>
        <w:pStyle w:val="Heading5"/>
      </w:pPr>
      <w:bookmarkStart w:id="231" w:name="_Toc95120016"/>
      <w:bookmarkStart w:id="232" w:name="_Toc95118980"/>
      <w:r>
        <w:rPr>
          <w:rStyle w:val="CharSectno"/>
        </w:rPr>
        <w:t>78</w:t>
      </w:r>
      <w:r>
        <w:t>.</w:t>
      </w:r>
      <w:r>
        <w:tab/>
        <w:t>Food and beverages</w:t>
      </w:r>
      <w:bookmarkEnd w:id="231"/>
      <w:bookmarkEnd w:id="232"/>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keepNext/>
      </w:pPr>
      <w:r>
        <w:tab/>
        <w:t>(2)</w:t>
      </w:r>
      <w:r>
        <w:tab/>
        <w:t xml:space="preserve">A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78 amended: Gazette 28 Sep 2018 p. 3618.]</w:t>
      </w:r>
    </w:p>
    <w:p>
      <w:pPr>
        <w:pStyle w:val="Heading5"/>
      </w:pPr>
      <w:bookmarkStart w:id="233" w:name="_Toc95120017"/>
      <w:bookmarkStart w:id="234" w:name="_Toc95118981"/>
      <w:r>
        <w:rPr>
          <w:rStyle w:val="CharSectno"/>
        </w:rPr>
        <w:t>79</w:t>
      </w:r>
      <w:r>
        <w:t>.</w:t>
      </w:r>
      <w:r>
        <w:tab/>
        <w:t>Service providing food and beverages</w:t>
      </w:r>
      <w:bookmarkEnd w:id="233"/>
      <w:bookmarkEnd w:id="234"/>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A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79 amended: Gazette 28 Sep 2018 p. 3619.]</w:t>
      </w:r>
    </w:p>
    <w:p>
      <w:pPr>
        <w:pStyle w:val="Heading5"/>
      </w:pPr>
      <w:bookmarkStart w:id="235" w:name="_Toc95120018"/>
      <w:bookmarkStart w:id="236" w:name="_Toc95118982"/>
      <w:r>
        <w:rPr>
          <w:rStyle w:val="CharSectno"/>
        </w:rPr>
        <w:t>80</w:t>
      </w:r>
      <w:r>
        <w:t>.</w:t>
      </w:r>
      <w:r>
        <w:tab/>
        <w:t>Weekly menu</w:t>
      </w:r>
      <w:bookmarkEnd w:id="235"/>
      <w:bookmarkEnd w:id="236"/>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Gazette 28 Nov 2014 p. 4404; 28 Sep 2018 p. 3619.]</w:t>
      </w:r>
    </w:p>
    <w:p>
      <w:pPr>
        <w:pStyle w:val="Heading5"/>
      </w:pPr>
      <w:bookmarkStart w:id="237" w:name="_Toc95120019"/>
      <w:bookmarkStart w:id="238" w:name="_Toc95118983"/>
      <w:r>
        <w:rPr>
          <w:rStyle w:val="CharSectno"/>
        </w:rPr>
        <w:t>81</w:t>
      </w:r>
      <w:r>
        <w:t>.</w:t>
      </w:r>
      <w:r>
        <w:tab/>
        <w:t>Sleep and rest</w:t>
      </w:r>
      <w:bookmarkEnd w:id="237"/>
      <w:bookmarkEnd w:id="238"/>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A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81 amended: Gazette 28 Sep 2018 p. 3619.]</w:t>
      </w:r>
    </w:p>
    <w:p>
      <w:pPr>
        <w:pStyle w:val="Heading5"/>
      </w:pPr>
      <w:bookmarkStart w:id="239" w:name="_Toc95120020"/>
      <w:bookmarkStart w:id="240" w:name="_Toc95118984"/>
      <w:r>
        <w:rPr>
          <w:rStyle w:val="CharSectno"/>
        </w:rPr>
        <w:t>82</w:t>
      </w:r>
      <w:r>
        <w:t>.</w:t>
      </w:r>
      <w:r>
        <w:tab/>
        <w:t>Tobacco, drug and alcohol</w:t>
      </w:r>
      <w:r>
        <w:noBreakHyphen/>
        <w:t>free environment</w:t>
      </w:r>
      <w:bookmarkEnd w:id="239"/>
      <w:bookmarkEnd w:id="240"/>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241" w:name="_Toc95120021"/>
      <w:bookmarkStart w:id="242" w:name="_Toc95118985"/>
      <w:r>
        <w:rPr>
          <w:rStyle w:val="CharSectno"/>
        </w:rPr>
        <w:t>83</w:t>
      </w:r>
      <w:r>
        <w:t>.</w:t>
      </w:r>
      <w:r>
        <w:tab/>
        <w:t>Staff members and family day care educators not to be affected by alcohol or drugs</w:t>
      </w:r>
      <w:bookmarkEnd w:id="241"/>
      <w:bookmarkEnd w:id="242"/>
      <w:r>
        <w:t xml:space="preserve"> </w:t>
      </w:r>
    </w:p>
    <w:p>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pPr>
        <w:pStyle w:val="Penstart"/>
      </w:pPr>
      <w:r>
        <w:tab/>
        <w:t>Penalty: $2000.</w:t>
      </w:r>
    </w:p>
    <w:p>
      <w:pPr>
        <w:pStyle w:val="Subsection"/>
      </w:pPr>
      <w:r>
        <w:tab/>
        <w:t>(2)</w:t>
      </w:r>
      <w:r>
        <w:tab/>
        <w:t xml:space="preserve">A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the supervisor’s capacity to supervise or provide education and care to the children.</w:t>
      </w:r>
    </w:p>
    <w:p>
      <w:pPr>
        <w:pStyle w:val="Penstart"/>
      </w:pPr>
      <w:r>
        <w:tab/>
        <w:t>Penalty: $2000.</w:t>
      </w:r>
    </w:p>
    <w:p>
      <w:pPr>
        <w:pStyle w:val="Subsection"/>
        <w:keepNext/>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the educator’s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83 amended: Gazette 28 Sep 2018 p. 3619</w:t>
      </w:r>
      <w:r>
        <w:noBreakHyphen/>
        <w:t>20.]</w:t>
      </w:r>
    </w:p>
    <w:p>
      <w:pPr>
        <w:pStyle w:val="Heading5"/>
      </w:pPr>
      <w:bookmarkStart w:id="243" w:name="_Toc95120022"/>
      <w:bookmarkStart w:id="244" w:name="_Toc95118986"/>
      <w:r>
        <w:rPr>
          <w:rStyle w:val="CharSectno"/>
        </w:rPr>
        <w:t>84</w:t>
      </w:r>
      <w:r>
        <w:t>.</w:t>
      </w:r>
      <w:r>
        <w:tab/>
        <w:t>Awareness of child protection law</w:t>
      </w:r>
      <w:bookmarkEnd w:id="243"/>
      <w:bookmarkEnd w:id="244"/>
      <w:r>
        <w:t xml:space="preserve"> </w:t>
      </w:r>
    </w:p>
    <w:p>
      <w:pPr>
        <w:pStyle w:val="Subsection"/>
      </w:pPr>
      <w:r>
        <w:tab/>
      </w:r>
      <w:r>
        <w:tab/>
        <w:t xml:space="preserve">The approved provider of an education and care service must ensure that nominated supervisors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84 amended: Gazette 28 Sep 2018 p. 3620.]</w:t>
      </w:r>
    </w:p>
    <w:p>
      <w:pPr>
        <w:pStyle w:val="Heading4"/>
      </w:pPr>
      <w:bookmarkStart w:id="245" w:name="_Toc95119628"/>
      <w:bookmarkStart w:id="246" w:name="_Toc95120023"/>
      <w:bookmarkStart w:id="247" w:name="_Toc95118987"/>
      <w:r>
        <w:t>Division 2 — Incidents, injury, trauma and illness</w:t>
      </w:r>
      <w:bookmarkEnd w:id="245"/>
      <w:bookmarkEnd w:id="246"/>
      <w:bookmarkEnd w:id="247"/>
    </w:p>
    <w:p>
      <w:pPr>
        <w:pStyle w:val="Heading5"/>
      </w:pPr>
      <w:bookmarkStart w:id="248" w:name="_Toc95120024"/>
      <w:bookmarkStart w:id="249" w:name="_Toc95118988"/>
      <w:r>
        <w:rPr>
          <w:rStyle w:val="CharSectno"/>
        </w:rPr>
        <w:t>85</w:t>
      </w:r>
      <w:r>
        <w:t>.</w:t>
      </w:r>
      <w:r>
        <w:tab/>
        <w:t>Incident, injury, trauma and illness policies and procedures</w:t>
      </w:r>
      <w:bookmarkEnd w:id="248"/>
      <w:bookmarkEnd w:id="249"/>
      <w:r>
        <w:t xml:space="preserve"> </w:t>
      </w:r>
    </w:p>
    <w:p>
      <w:pPr>
        <w:pStyle w:val="Subsection"/>
        <w:keepNext/>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250" w:name="_Toc95120025"/>
      <w:bookmarkStart w:id="251" w:name="_Toc95118989"/>
      <w:r>
        <w:rPr>
          <w:rStyle w:val="CharSectno"/>
        </w:rPr>
        <w:t>86</w:t>
      </w:r>
      <w:r>
        <w:t>.</w:t>
      </w:r>
      <w:r>
        <w:tab/>
        <w:t>Notification to parents of incident, injury, trauma and illness</w:t>
      </w:r>
      <w:bookmarkEnd w:id="250"/>
      <w:bookmarkEnd w:id="251"/>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Gazette 28 Nov 2014 p. 4404.]</w:t>
      </w:r>
    </w:p>
    <w:p>
      <w:pPr>
        <w:pStyle w:val="Heading5"/>
      </w:pPr>
      <w:bookmarkStart w:id="252" w:name="_Toc95120026"/>
      <w:bookmarkStart w:id="253" w:name="_Toc95118990"/>
      <w:r>
        <w:rPr>
          <w:rStyle w:val="CharSectno"/>
        </w:rPr>
        <w:t>87</w:t>
      </w:r>
      <w:r>
        <w:t>.</w:t>
      </w:r>
      <w:r>
        <w:tab/>
        <w:t>Incident, injury, trauma and illness record</w:t>
      </w:r>
      <w:bookmarkEnd w:id="252"/>
      <w:bookmarkEnd w:id="253"/>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keepNext/>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254" w:name="_Toc95120027"/>
      <w:bookmarkStart w:id="255" w:name="_Toc95118991"/>
      <w:r>
        <w:rPr>
          <w:rStyle w:val="CharSectno"/>
        </w:rPr>
        <w:t>88</w:t>
      </w:r>
      <w:r>
        <w:t>.</w:t>
      </w:r>
      <w:r>
        <w:tab/>
        <w:t>Infectious diseases</w:t>
      </w:r>
      <w:bookmarkEnd w:id="254"/>
      <w:bookmarkEnd w:id="255"/>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keepNext/>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256" w:name="_Toc95120028"/>
      <w:bookmarkStart w:id="257" w:name="_Toc95118992"/>
      <w:r>
        <w:rPr>
          <w:rStyle w:val="CharSectno"/>
        </w:rPr>
        <w:t>89</w:t>
      </w:r>
      <w:r>
        <w:t>.</w:t>
      </w:r>
      <w:r>
        <w:tab/>
        <w:t>First aid kits</w:t>
      </w:r>
      <w:bookmarkEnd w:id="256"/>
      <w:bookmarkEnd w:id="257"/>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258" w:name="_Toc95119634"/>
      <w:bookmarkStart w:id="259" w:name="_Toc95120029"/>
      <w:bookmarkStart w:id="260" w:name="_Toc95118993"/>
      <w:r>
        <w:t>Division 3 — Medical conditions policy</w:t>
      </w:r>
      <w:bookmarkEnd w:id="258"/>
      <w:bookmarkEnd w:id="259"/>
      <w:bookmarkEnd w:id="260"/>
    </w:p>
    <w:p>
      <w:pPr>
        <w:pStyle w:val="Heading5"/>
      </w:pPr>
      <w:bookmarkStart w:id="261" w:name="_Toc95120030"/>
      <w:bookmarkStart w:id="262" w:name="_Toc95118994"/>
      <w:r>
        <w:rPr>
          <w:rStyle w:val="CharSectno"/>
        </w:rPr>
        <w:t>90</w:t>
      </w:r>
      <w:r>
        <w:t>.</w:t>
      </w:r>
      <w:r>
        <w:tab/>
        <w:t>Medical conditions policy</w:t>
      </w:r>
      <w:bookmarkEnd w:id="261"/>
      <w:bookmarkEnd w:id="262"/>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nominated supervisors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pPr>
      <w:r>
        <w:tab/>
        <w:t>[Regulation 90 amended: Gazette 28 Sep 2018 p. 3620.]</w:t>
      </w:r>
    </w:p>
    <w:p>
      <w:pPr>
        <w:pStyle w:val="Heading5"/>
      </w:pPr>
      <w:bookmarkStart w:id="263" w:name="_Toc95120031"/>
      <w:bookmarkStart w:id="264" w:name="_Toc95118995"/>
      <w:r>
        <w:rPr>
          <w:rStyle w:val="CharSectno"/>
        </w:rPr>
        <w:t>91</w:t>
      </w:r>
      <w:r>
        <w:t>.</w:t>
      </w:r>
      <w:r>
        <w:tab/>
        <w:t>Medical conditions policy to be provided to parents</w:t>
      </w:r>
      <w:bookmarkEnd w:id="263"/>
      <w:bookmarkEnd w:id="264"/>
      <w:r>
        <w:t xml:space="preserve"> </w:t>
      </w:r>
    </w:p>
    <w:p>
      <w:pPr>
        <w:pStyle w:val="Subsection"/>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65" w:name="_Toc95119637"/>
      <w:bookmarkStart w:id="266" w:name="_Toc95120032"/>
      <w:bookmarkStart w:id="267" w:name="_Toc95118996"/>
      <w:r>
        <w:t>Division 4 — Administration of medication</w:t>
      </w:r>
      <w:bookmarkEnd w:id="265"/>
      <w:bookmarkEnd w:id="266"/>
      <w:bookmarkEnd w:id="267"/>
    </w:p>
    <w:p>
      <w:pPr>
        <w:pStyle w:val="Heading5"/>
      </w:pPr>
      <w:bookmarkStart w:id="268" w:name="_Toc95120033"/>
      <w:bookmarkStart w:id="269" w:name="_Toc95118997"/>
      <w:r>
        <w:rPr>
          <w:rStyle w:val="CharSectno"/>
        </w:rPr>
        <w:t>92</w:t>
      </w:r>
      <w:r>
        <w:t>.</w:t>
      </w:r>
      <w:r>
        <w:tab/>
        <w:t>Medication record</w:t>
      </w:r>
      <w:bookmarkEnd w:id="268"/>
      <w:bookmarkEnd w:id="269"/>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Gazette 28 Nov 2014 p. 4404.]</w:t>
      </w:r>
    </w:p>
    <w:p>
      <w:pPr>
        <w:pStyle w:val="Heading5"/>
      </w:pPr>
      <w:bookmarkStart w:id="270" w:name="_Toc95120034"/>
      <w:bookmarkStart w:id="271" w:name="_Toc95118998"/>
      <w:r>
        <w:rPr>
          <w:rStyle w:val="CharSectno"/>
        </w:rPr>
        <w:t>93</w:t>
      </w:r>
      <w:r>
        <w:t>.</w:t>
      </w:r>
      <w:r>
        <w:tab/>
        <w:t>Administration of medication</w:t>
      </w:r>
      <w:bookmarkEnd w:id="270"/>
      <w:bookmarkEnd w:id="271"/>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A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Footnotesection"/>
      </w:pPr>
      <w:r>
        <w:tab/>
        <w:t>[Regulation 93 amended: Gazette 28 Sep 2018 p. 3620.]</w:t>
      </w:r>
    </w:p>
    <w:p>
      <w:pPr>
        <w:pStyle w:val="Heading5"/>
        <w:spacing w:before="200"/>
      </w:pPr>
      <w:bookmarkStart w:id="272" w:name="_Toc95120035"/>
      <w:bookmarkStart w:id="273" w:name="_Toc95118999"/>
      <w:r>
        <w:rPr>
          <w:rStyle w:val="CharSectno"/>
        </w:rPr>
        <w:t>94</w:t>
      </w:r>
      <w:r>
        <w:t>.</w:t>
      </w:r>
      <w:r>
        <w:tab/>
        <w:t>Exception to authorisation requirement — anaphylaxis or asthma emergency</w:t>
      </w:r>
      <w:bookmarkEnd w:id="272"/>
      <w:bookmarkEnd w:id="273"/>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spacing w:before="120"/>
      </w:pPr>
      <w:r>
        <w:tab/>
        <w:t>(2)</w:t>
      </w:r>
      <w:r>
        <w:tab/>
        <w:t xml:space="preserve">If medication is administered under this regulation, the approved provider or a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Gazette 28 Nov 2014 p. 4405; 28 Sep 2018 p. 3621.]</w:t>
      </w:r>
    </w:p>
    <w:p>
      <w:pPr>
        <w:pStyle w:val="Heading5"/>
      </w:pPr>
      <w:bookmarkStart w:id="274" w:name="_Toc95120036"/>
      <w:bookmarkStart w:id="275" w:name="_Toc95119000"/>
      <w:r>
        <w:rPr>
          <w:rStyle w:val="CharSectno"/>
        </w:rPr>
        <w:t>95</w:t>
      </w:r>
      <w:r>
        <w:t>.</w:t>
      </w:r>
      <w:r>
        <w:tab/>
        <w:t>Procedure for administration of medication</w:t>
      </w:r>
      <w:bookmarkEnd w:id="274"/>
      <w:bookmarkEnd w:id="275"/>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276" w:name="_Toc95120037"/>
      <w:bookmarkStart w:id="277" w:name="_Toc95119001"/>
      <w:r>
        <w:rPr>
          <w:rStyle w:val="CharSectno"/>
        </w:rPr>
        <w:t>96</w:t>
      </w:r>
      <w:r>
        <w:t>.</w:t>
      </w:r>
      <w:r>
        <w:tab/>
        <w:t>Self</w:t>
      </w:r>
      <w:r>
        <w:noBreakHyphen/>
        <w:t>administration of medication</w:t>
      </w:r>
      <w:bookmarkEnd w:id="276"/>
      <w:bookmarkEnd w:id="277"/>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278" w:name="_Toc95119643"/>
      <w:bookmarkStart w:id="279" w:name="_Toc95120038"/>
      <w:bookmarkStart w:id="280" w:name="_Toc95119002"/>
      <w:r>
        <w:t>Division 5 — Emergencies and communication</w:t>
      </w:r>
      <w:bookmarkEnd w:id="278"/>
      <w:bookmarkEnd w:id="279"/>
      <w:bookmarkEnd w:id="280"/>
    </w:p>
    <w:p>
      <w:pPr>
        <w:pStyle w:val="Heading5"/>
      </w:pPr>
      <w:bookmarkStart w:id="281" w:name="_Toc95120039"/>
      <w:bookmarkStart w:id="282" w:name="_Toc95119003"/>
      <w:r>
        <w:rPr>
          <w:rStyle w:val="CharSectno"/>
        </w:rPr>
        <w:t>97</w:t>
      </w:r>
      <w:r>
        <w:t>.</w:t>
      </w:r>
      <w:r>
        <w:tab/>
        <w:t>Emergency and evacuation procedures</w:t>
      </w:r>
      <w:bookmarkEnd w:id="281"/>
      <w:bookmarkEnd w:id="282"/>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(3) or (4).</w:t>
      </w:r>
    </w:p>
    <w:p>
      <w:pPr>
        <w:pStyle w:val="Footnotesection"/>
      </w:pPr>
      <w:r>
        <w:tab/>
        <w:t>[Regulation 97 amended: Gazette 13 Dec 2013 p.</w:t>
      </w:r>
      <w:r>
        <w:rPr>
          <w:sz w:val="19"/>
        </w:rPr>
        <w:t> </w:t>
      </w:r>
      <w:r>
        <w:t>6158</w:t>
      </w:r>
      <w:r>
        <w:noBreakHyphen/>
        <w:t>9.]</w:t>
      </w:r>
    </w:p>
    <w:p>
      <w:pPr>
        <w:pStyle w:val="Heading5"/>
      </w:pPr>
      <w:bookmarkStart w:id="283" w:name="_Toc95120040"/>
      <w:bookmarkStart w:id="284" w:name="_Toc95119004"/>
      <w:r>
        <w:rPr>
          <w:rStyle w:val="CharSectno"/>
        </w:rPr>
        <w:t>98</w:t>
      </w:r>
      <w:r>
        <w:t>.</w:t>
      </w:r>
      <w:r>
        <w:tab/>
        <w:t>Telephone or other communication equipment</w:t>
      </w:r>
      <w:bookmarkEnd w:id="283"/>
      <w:bookmarkEnd w:id="284"/>
      <w:r>
        <w:t xml:space="preserve"> </w:t>
      </w:r>
    </w:p>
    <w:p>
      <w:pPr>
        <w:pStyle w:val="Subsection"/>
      </w:pPr>
      <w:r>
        <w:tab/>
      </w:r>
      <w:r>
        <w:tab/>
        <w:t>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$1000.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Gazette 28 Nov 2014 p. 4405; 28 Sep 2018 p. 3621.]</w:t>
      </w:r>
    </w:p>
    <w:p>
      <w:pPr>
        <w:pStyle w:val="Heading4"/>
        <w:keepLines/>
      </w:pPr>
      <w:bookmarkStart w:id="285" w:name="_Toc95119646"/>
      <w:bookmarkStart w:id="286" w:name="_Toc95120041"/>
      <w:bookmarkStart w:id="287" w:name="_Toc95119005"/>
      <w:r>
        <w:t>Division 6 — Collection of children from premises and excursions</w:t>
      </w:r>
      <w:bookmarkEnd w:id="285"/>
      <w:bookmarkEnd w:id="286"/>
      <w:bookmarkEnd w:id="287"/>
    </w:p>
    <w:p>
      <w:pPr>
        <w:pStyle w:val="Heading5"/>
      </w:pPr>
      <w:bookmarkStart w:id="288" w:name="_Toc95120042"/>
      <w:bookmarkStart w:id="289" w:name="_Toc95119006"/>
      <w:r>
        <w:rPr>
          <w:rStyle w:val="CharSectno"/>
        </w:rPr>
        <w:t>99</w:t>
      </w:r>
      <w:r>
        <w:t>.</w:t>
      </w:r>
      <w:r>
        <w:tab/>
        <w:t>Children leaving the education and care service premises</w:t>
      </w:r>
      <w:bookmarkEnd w:id="288"/>
      <w:bookmarkEnd w:id="289"/>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For a provision reflecting regulation 99 of the national regulations made by the Ministerial Council see section 165A of the Law as applying in Western Australia.</w:t>
      </w:r>
    </w:p>
    <w:p>
      <w:pPr>
        <w:pStyle w:val="Heading5"/>
      </w:pPr>
      <w:bookmarkStart w:id="290" w:name="_Toc95120043"/>
      <w:bookmarkStart w:id="291" w:name="_Toc95119007"/>
      <w:r>
        <w:rPr>
          <w:rStyle w:val="CharSectno"/>
        </w:rPr>
        <w:t>100</w:t>
      </w:r>
      <w:r>
        <w:t>.</w:t>
      </w:r>
      <w:r>
        <w:tab/>
        <w:t>Risk assessment must be conducted before excursion</w:t>
      </w:r>
      <w:bookmarkEnd w:id="290"/>
      <w:bookmarkEnd w:id="291"/>
      <w:r>
        <w:t xml:space="preserve"> </w:t>
      </w:r>
    </w:p>
    <w:p>
      <w:pPr>
        <w:pStyle w:val="Subsection"/>
      </w:pPr>
      <w:r>
        <w:tab/>
        <w:t>(1)</w:t>
      </w:r>
      <w:r>
        <w:tab/>
        <w:t>The approved provider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(2)</w:t>
      </w:r>
      <w:r>
        <w:tab/>
        <w:t>A nominated supervisor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(3)</w:t>
      </w:r>
      <w:r>
        <w:tab/>
        <w:t>A family day care educator must carry out a risk assessment in accordance with regulation 101 before an authorisation is sought under regulation 102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pPr>
      <w:r>
        <w:tab/>
        <w:t>(c)</w:t>
      </w:r>
      <w:r>
        <w:tab/>
        <w:t>that risk assessment has been conducted not more than 12 months before the excursion is to occur.</w:t>
      </w:r>
    </w:p>
    <w:p>
      <w:pPr>
        <w:pStyle w:val="Footnotesection"/>
      </w:pPr>
      <w:r>
        <w:tab/>
        <w:t>[Regulation 100 amended: Gazette 3 Nov 2017 p. 5482; 28 Sep 2018 p. 3621.]</w:t>
      </w:r>
    </w:p>
    <w:p>
      <w:pPr>
        <w:pStyle w:val="Heading5"/>
      </w:pPr>
      <w:bookmarkStart w:id="292" w:name="_Toc95120044"/>
      <w:bookmarkStart w:id="293" w:name="_Toc95119008"/>
      <w:r>
        <w:rPr>
          <w:rStyle w:val="CharSectno"/>
        </w:rPr>
        <w:t>101</w:t>
      </w:r>
      <w:r>
        <w:t>.</w:t>
      </w:r>
      <w:r>
        <w:tab/>
        <w:t>Conduct of risk assessment for excursion</w:t>
      </w:r>
      <w:bookmarkEnd w:id="292"/>
      <w:bookmarkEnd w:id="293"/>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keepNext/>
      </w:pPr>
      <w:r>
        <w:tab/>
        <w:t>(c)</w:t>
      </w:r>
      <w:r>
        <w:tab/>
        <w:t>any risks associated with water</w:t>
      </w:r>
      <w:r>
        <w:noBreakHyphen/>
        <w:t>based activities; and</w:t>
      </w:r>
    </w:p>
    <w:p>
      <w:pPr>
        <w:pStyle w:val="Indenta"/>
      </w:pPr>
      <w:r>
        <w:tab/>
        <w:t>(d)</w:t>
      </w:r>
      <w:r>
        <w:tab/>
        <w:t>the transport to and from the proposed destination for the excursion; 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Heading5"/>
      </w:pPr>
      <w:bookmarkStart w:id="294" w:name="_Toc95120045"/>
      <w:bookmarkStart w:id="295" w:name="_Toc95119009"/>
      <w:r>
        <w:rPr>
          <w:rStyle w:val="CharSectno"/>
        </w:rPr>
        <w:t>102</w:t>
      </w:r>
      <w:r>
        <w:t>.</w:t>
      </w:r>
      <w:r>
        <w:tab/>
        <w:t>Authorisation for excursions</w:t>
      </w:r>
      <w:bookmarkEnd w:id="294"/>
      <w:bookmarkEnd w:id="295"/>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A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keepNext/>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spacing w:before="70"/>
      </w:pPr>
      <w:r>
        <w:tab/>
        <w:t>(c)</w:t>
      </w:r>
      <w:r>
        <w:tab/>
        <w:t>the date the child is to be taken on the excursion (unless the authorisation is for a regular outing); and</w:t>
      </w:r>
    </w:p>
    <w:p>
      <w:pPr>
        <w:pStyle w:val="Indenta"/>
        <w:spacing w:before="70"/>
      </w:pPr>
      <w:r>
        <w:tab/>
        <w:t>(d)</w:t>
      </w:r>
      <w:r>
        <w:tab/>
        <w:t>a description of the proposed destination for the excursion; and</w:t>
      </w:r>
    </w:p>
    <w:p>
      <w:pPr>
        <w:pStyle w:val="Indenta"/>
        <w:spacing w:before="70"/>
      </w:pPr>
      <w:r>
        <w:tab/>
        <w:t>(e)</w:t>
      </w:r>
      <w:r>
        <w:tab/>
        <w:t>the method of transport to be used for the excursion; 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Footnotesection"/>
      </w:pPr>
      <w:r>
        <w:tab/>
        <w:t>[Regulation 102 amended: Gazette 28 Sep 2018 p. 3621.]</w:t>
      </w:r>
    </w:p>
    <w:p>
      <w:pPr>
        <w:pStyle w:val="Heading3"/>
      </w:pPr>
      <w:bookmarkStart w:id="296" w:name="_Toc95119651"/>
      <w:bookmarkStart w:id="297" w:name="_Toc95120046"/>
      <w:bookmarkStart w:id="298" w:name="_Toc95119010"/>
      <w:r>
        <w:rPr>
          <w:rStyle w:val="CharDivNo"/>
        </w:rPr>
        <w:t>Part 4.3</w:t>
      </w:r>
      <w:r>
        <w:t> — </w:t>
      </w:r>
      <w:r>
        <w:rPr>
          <w:rStyle w:val="CharDivText"/>
        </w:rPr>
        <w:t>Physical environment</w:t>
      </w:r>
      <w:bookmarkEnd w:id="296"/>
      <w:bookmarkEnd w:id="297"/>
      <w:bookmarkEnd w:id="298"/>
    </w:p>
    <w:p>
      <w:pPr>
        <w:pStyle w:val="Heading4"/>
      </w:pPr>
      <w:bookmarkStart w:id="299" w:name="_Toc95119652"/>
      <w:bookmarkStart w:id="300" w:name="_Toc95120047"/>
      <w:bookmarkStart w:id="301" w:name="_Toc95119011"/>
      <w:r>
        <w:t>Division 1 — Centre</w:t>
      </w:r>
      <w:r>
        <w:noBreakHyphen/>
        <w:t>based services and family day care services</w:t>
      </w:r>
      <w:bookmarkEnd w:id="299"/>
      <w:bookmarkEnd w:id="300"/>
      <w:bookmarkEnd w:id="301"/>
    </w:p>
    <w:p>
      <w:pPr>
        <w:pStyle w:val="Heading5"/>
      </w:pPr>
      <w:bookmarkStart w:id="302" w:name="_Toc95120048"/>
      <w:bookmarkStart w:id="303" w:name="_Toc95119012"/>
      <w:r>
        <w:rPr>
          <w:rStyle w:val="CharSectno"/>
        </w:rPr>
        <w:t>103</w:t>
      </w:r>
      <w:r>
        <w:t>.</w:t>
      </w:r>
      <w:r>
        <w:tab/>
        <w:t>Premises, furniture and equipment to be safe, clean and in good repair</w:t>
      </w:r>
      <w:bookmarkEnd w:id="302"/>
      <w:bookmarkEnd w:id="303"/>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04" w:name="_Toc95120049"/>
      <w:bookmarkStart w:id="305" w:name="_Toc95119013"/>
      <w:r>
        <w:rPr>
          <w:rStyle w:val="CharSectno"/>
        </w:rPr>
        <w:t>104</w:t>
      </w:r>
      <w:r>
        <w:t>.</w:t>
      </w:r>
      <w:r>
        <w:tab/>
        <w:t>Fencing</w:t>
      </w:r>
      <w:bookmarkEnd w:id="304"/>
      <w:bookmarkEnd w:id="305"/>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104 amended: Gazette 28 Nov 2014 p. 4405.]</w:t>
      </w:r>
    </w:p>
    <w:p>
      <w:pPr>
        <w:pStyle w:val="Heading5"/>
      </w:pPr>
      <w:bookmarkStart w:id="306" w:name="_Toc95120050"/>
      <w:bookmarkStart w:id="307" w:name="_Toc95119014"/>
      <w:r>
        <w:rPr>
          <w:rStyle w:val="CharSectno"/>
        </w:rPr>
        <w:t>105</w:t>
      </w:r>
      <w:r>
        <w:t>.</w:t>
      </w:r>
      <w:r>
        <w:tab/>
        <w:t>Furniture, materials and equipment</w:t>
      </w:r>
      <w:bookmarkEnd w:id="306"/>
      <w:bookmarkEnd w:id="307"/>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08" w:name="_Toc95120051"/>
      <w:bookmarkStart w:id="309" w:name="_Toc95119015"/>
      <w:r>
        <w:rPr>
          <w:rStyle w:val="CharSectno"/>
        </w:rPr>
        <w:t>106</w:t>
      </w:r>
      <w:r>
        <w:t>.</w:t>
      </w:r>
      <w:r>
        <w:tab/>
        <w:t>Laundry and hygiene facilities</w:t>
      </w:r>
      <w:bookmarkEnd w:id="308"/>
      <w:bookmarkEnd w:id="309"/>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310" w:name="_Toc95120052"/>
      <w:bookmarkStart w:id="311" w:name="_Toc95119016"/>
      <w:r>
        <w:rPr>
          <w:rStyle w:val="CharSectno"/>
        </w:rPr>
        <w:t>107</w:t>
      </w:r>
      <w:r>
        <w:t>.</w:t>
      </w:r>
      <w:r>
        <w:tab/>
        <w:t>Space requirements — indoor space</w:t>
      </w:r>
      <w:bookmarkEnd w:id="310"/>
      <w:bookmarkEnd w:id="311"/>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Gazette 13 Dec 2013 p.</w:t>
      </w:r>
      <w:r>
        <w:rPr>
          <w:sz w:val="19"/>
        </w:rPr>
        <w:t> </w:t>
      </w:r>
      <w:r>
        <w:t>6159.]</w:t>
      </w:r>
    </w:p>
    <w:p>
      <w:pPr>
        <w:pStyle w:val="Heading5"/>
      </w:pPr>
      <w:bookmarkStart w:id="312" w:name="_Toc95120053"/>
      <w:bookmarkStart w:id="313" w:name="_Toc95119017"/>
      <w:r>
        <w:rPr>
          <w:rStyle w:val="CharSectno"/>
        </w:rPr>
        <w:t>108</w:t>
      </w:r>
      <w:r>
        <w:t>.</w:t>
      </w:r>
      <w:r>
        <w:tab/>
        <w:t>Space requirements — outdoor space</w:t>
      </w:r>
      <w:bookmarkEnd w:id="312"/>
      <w:bookmarkEnd w:id="313"/>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keepNext/>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Gazette 13 Dec 2013 p.</w:t>
      </w:r>
      <w:r>
        <w:rPr>
          <w:sz w:val="19"/>
        </w:rPr>
        <w:t> </w:t>
      </w:r>
      <w:r>
        <w:t>6159.]</w:t>
      </w:r>
    </w:p>
    <w:p>
      <w:pPr>
        <w:pStyle w:val="Heading5"/>
      </w:pPr>
      <w:bookmarkStart w:id="314" w:name="_Toc95120054"/>
      <w:bookmarkStart w:id="315" w:name="_Toc95119018"/>
      <w:r>
        <w:rPr>
          <w:rStyle w:val="CharSectno"/>
        </w:rPr>
        <w:t>109</w:t>
      </w:r>
      <w:r>
        <w:t>.</w:t>
      </w:r>
      <w:r>
        <w:tab/>
        <w:t>Toilet and hygiene facilities</w:t>
      </w:r>
      <w:bookmarkEnd w:id="314"/>
      <w:bookmarkEnd w:id="315"/>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316" w:name="_Toc95120055"/>
      <w:bookmarkStart w:id="317" w:name="_Toc95119019"/>
      <w:r>
        <w:rPr>
          <w:rStyle w:val="CharSectno"/>
        </w:rPr>
        <w:t>110</w:t>
      </w:r>
      <w:r>
        <w:t>.</w:t>
      </w:r>
      <w:r>
        <w:tab/>
        <w:t>Ventilation and natural light</w:t>
      </w:r>
      <w:bookmarkEnd w:id="316"/>
      <w:bookmarkEnd w:id="317"/>
      <w:r>
        <w:t xml:space="preserve"> </w:t>
      </w:r>
    </w:p>
    <w:p>
      <w:pPr>
        <w:pStyle w:val="Subsection"/>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18" w:name="_Toc95119661"/>
      <w:bookmarkStart w:id="319" w:name="_Toc95120056"/>
      <w:bookmarkStart w:id="320" w:name="_Toc95119020"/>
      <w:r>
        <w:t>Division 2 — Additional requirements for centre</w:t>
      </w:r>
      <w:r>
        <w:noBreakHyphen/>
        <w:t>based services</w:t>
      </w:r>
      <w:bookmarkEnd w:id="318"/>
      <w:bookmarkEnd w:id="319"/>
      <w:bookmarkEnd w:id="320"/>
    </w:p>
    <w:p>
      <w:pPr>
        <w:pStyle w:val="Heading5"/>
      </w:pPr>
      <w:bookmarkStart w:id="321" w:name="_Toc95120057"/>
      <w:bookmarkStart w:id="322" w:name="_Toc95119021"/>
      <w:r>
        <w:rPr>
          <w:rStyle w:val="CharSectno"/>
        </w:rPr>
        <w:t>111</w:t>
      </w:r>
      <w:r>
        <w:t>.</w:t>
      </w:r>
      <w:r>
        <w:tab/>
        <w:t>Administrative space</w:t>
      </w:r>
      <w:bookmarkEnd w:id="321"/>
      <w:bookmarkEnd w:id="322"/>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Gazette 28 Nov 2014 p. 4405.]</w:t>
      </w:r>
    </w:p>
    <w:p>
      <w:pPr>
        <w:pStyle w:val="Heading5"/>
      </w:pPr>
      <w:bookmarkStart w:id="323" w:name="_Toc95120058"/>
      <w:bookmarkStart w:id="324" w:name="_Toc95119022"/>
      <w:r>
        <w:rPr>
          <w:rStyle w:val="CharSectno"/>
        </w:rPr>
        <w:t>112</w:t>
      </w:r>
      <w:r>
        <w:t>.</w:t>
      </w:r>
      <w:r>
        <w:tab/>
        <w:t>Nappy change facilities</w:t>
      </w:r>
      <w:bookmarkEnd w:id="323"/>
      <w:bookmarkEnd w:id="324"/>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Heading5"/>
      </w:pPr>
      <w:bookmarkStart w:id="325" w:name="_Toc95120059"/>
      <w:bookmarkStart w:id="326" w:name="_Toc95119023"/>
      <w:r>
        <w:rPr>
          <w:rStyle w:val="CharSectno"/>
        </w:rPr>
        <w:t>113</w:t>
      </w:r>
      <w:r>
        <w:t>.</w:t>
      </w:r>
      <w:r>
        <w:tab/>
        <w:t>Outdoor space — natural environment</w:t>
      </w:r>
      <w:bookmarkEnd w:id="325"/>
      <w:bookmarkEnd w:id="326"/>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27" w:name="_Toc95120060"/>
      <w:bookmarkStart w:id="328" w:name="_Toc95119024"/>
      <w:r>
        <w:rPr>
          <w:rStyle w:val="CharSectno"/>
        </w:rPr>
        <w:t>114</w:t>
      </w:r>
      <w:r>
        <w:t>.</w:t>
      </w:r>
      <w:r>
        <w:tab/>
        <w:t>Outdoor space — shade</w:t>
      </w:r>
      <w:bookmarkEnd w:id="327"/>
      <w:bookmarkEnd w:id="328"/>
      <w:r>
        <w:t xml:space="preserve"> </w:t>
      </w:r>
    </w:p>
    <w:p>
      <w:pPr>
        <w:pStyle w:val="Subsection"/>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29" w:name="_Toc95120061"/>
      <w:bookmarkStart w:id="330" w:name="_Toc95119025"/>
      <w:r>
        <w:rPr>
          <w:rStyle w:val="CharSectno"/>
        </w:rPr>
        <w:t>115</w:t>
      </w:r>
      <w:r>
        <w:t>.</w:t>
      </w:r>
      <w:r>
        <w:tab/>
        <w:t>Premises designed to facilitate supervision</w:t>
      </w:r>
      <w:bookmarkEnd w:id="329"/>
      <w:bookmarkEnd w:id="330"/>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31" w:name="_Toc95119667"/>
      <w:bookmarkStart w:id="332" w:name="_Toc95120062"/>
      <w:bookmarkStart w:id="333" w:name="_Toc95119026"/>
      <w:r>
        <w:t>Division 3 — Additional provisions for family day care services</w:t>
      </w:r>
      <w:bookmarkEnd w:id="331"/>
      <w:bookmarkEnd w:id="332"/>
      <w:bookmarkEnd w:id="333"/>
    </w:p>
    <w:p>
      <w:pPr>
        <w:pStyle w:val="Heading5"/>
      </w:pPr>
      <w:bookmarkStart w:id="334" w:name="_Toc95120063"/>
      <w:bookmarkStart w:id="335" w:name="_Toc95119027"/>
      <w:r>
        <w:rPr>
          <w:rStyle w:val="CharSectno"/>
        </w:rPr>
        <w:t>116</w:t>
      </w:r>
      <w:r>
        <w:t>.</w:t>
      </w:r>
      <w:r>
        <w:tab/>
        <w:t>Assessments of family day care residences and approved family day care venues</w:t>
      </w:r>
      <w:bookmarkEnd w:id="334"/>
      <w:bookmarkEnd w:id="335"/>
      <w:r>
        <w:t xml:space="preserve"> </w:t>
      </w:r>
    </w:p>
    <w:p>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pPr>
        <w:pStyle w:val="Penstart"/>
      </w:pPr>
      <w:r>
        <w:tab/>
        <w:t>Penalty: $2 000.</w:t>
      </w:r>
    </w:p>
    <w:p>
      <w:pPr>
        <w:pStyle w:val="Subsection"/>
      </w:pPr>
      <w:r>
        <w:tab/>
        <w:t>(1A)</w:t>
      </w:r>
      <w:r>
        <w:tab/>
        <w:t xml:space="preserve">Subregulation (1) does not apply in respect of an approved family day care venue if an assessment (including a risk assessment) of the family day care venue was included in — </w:t>
      </w:r>
    </w:p>
    <w:p>
      <w:pPr>
        <w:pStyle w:val="Indenta"/>
      </w:pPr>
      <w:r>
        <w:tab/>
        <w:t>(a)</w:t>
      </w:r>
      <w:r>
        <w:tab/>
        <w:t>an application for a service approval under regulation 26(n)(iii); or</w:t>
      </w:r>
    </w:p>
    <w:p>
      <w:pPr>
        <w:pStyle w:val="Indenta"/>
      </w:pPr>
      <w:r>
        <w:tab/>
        <w:t>(b)</w:t>
      </w:r>
      <w:r>
        <w:tab/>
        <w:t>an application to amend a service approval under regulation 34(f)(iii).</w:t>
      </w:r>
    </w:p>
    <w:p>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pPr>
        <w:pStyle w:val="Penstart"/>
      </w:pPr>
      <w:r>
        <w:tab/>
        <w:t>Penalty: $2 000.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116 amended: Gazette 28 Sep 2018 p. 3621</w:t>
      </w:r>
      <w:r>
        <w:noBreakHyphen/>
        <w:t>2.]</w:t>
      </w:r>
    </w:p>
    <w:p>
      <w:pPr>
        <w:pStyle w:val="Heading5"/>
      </w:pPr>
      <w:bookmarkStart w:id="336" w:name="_Toc95120064"/>
      <w:bookmarkStart w:id="337" w:name="_Toc95119028"/>
      <w:r>
        <w:rPr>
          <w:rStyle w:val="CharSectno"/>
        </w:rPr>
        <w:t>117</w:t>
      </w:r>
      <w:r>
        <w:t>.</w:t>
      </w:r>
      <w:r>
        <w:tab/>
        <w:t>Glass</w:t>
      </w:r>
      <w:bookmarkEnd w:id="336"/>
      <w:bookmarkEnd w:id="337"/>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Gazette 28 Nov 2014 p. 4406.]</w:t>
      </w:r>
    </w:p>
    <w:p>
      <w:pPr>
        <w:pStyle w:val="Heading3"/>
      </w:pPr>
      <w:bookmarkStart w:id="338" w:name="_Toc95119670"/>
      <w:bookmarkStart w:id="339" w:name="_Toc95120065"/>
      <w:bookmarkStart w:id="340" w:name="_Toc95119029"/>
      <w:r>
        <w:rPr>
          <w:rStyle w:val="CharDivNo"/>
        </w:rPr>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338"/>
      <w:bookmarkEnd w:id="339"/>
      <w:bookmarkEnd w:id="340"/>
    </w:p>
    <w:p>
      <w:pPr>
        <w:pStyle w:val="Footnoteheading"/>
      </w:pPr>
      <w:r>
        <w:tab/>
        <w:t>[Heading inserted: Gazette 28 Sep 2018 p. 3622.]</w:t>
      </w:r>
    </w:p>
    <w:p>
      <w:pPr>
        <w:pStyle w:val="Heading5"/>
      </w:pPr>
      <w:bookmarkStart w:id="341" w:name="_Toc95120066"/>
      <w:bookmarkStart w:id="342" w:name="_Toc95119030"/>
      <w:r>
        <w:rPr>
          <w:rStyle w:val="CharSectno"/>
        </w:rPr>
        <w:t>117A</w:t>
      </w:r>
      <w:r>
        <w:t>.</w:t>
      </w:r>
      <w:r>
        <w:tab/>
        <w:t>Placing a person in day</w:t>
      </w:r>
      <w:r>
        <w:noBreakHyphen/>
        <w:t>to</w:t>
      </w:r>
      <w:r>
        <w:noBreakHyphen/>
        <w:t>day charge</w:t>
      </w:r>
      <w:bookmarkEnd w:id="341"/>
      <w:bookmarkEnd w:id="342"/>
    </w:p>
    <w:p>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pPr>
        <w:pStyle w:val="Indenta"/>
      </w:pPr>
      <w:r>
        <w:tab/>
        <w:t>(a)</w:t>
      </w:r>
      <w:r>
        <w:tab/>
        <w:t>the person is placed in day</w:t>
      </w:r>
      <w:r>
        <w:noBreakHyphen/>
        <w:t>to</w:t>
      </w:r>
      <w:r>
        <w:noBreakHyphen/>
        <w:t>day charge by the approved provider or a nominated supervisor of the education and care service; and</w:t>
      </w:r>
    </w:p>
    <w:p>
      <w:pPr>
        <w:pStyle w:val="Indenta"/>
      </w:pPr>
      <w:r>
        <w:tab/>
        <w:t>(b)</w:t>
      </w:r>
      <w:r>
        <w:tab/>
        <w:t>the person consents to the placement in writing.</w:t>
      </w:r>
    </w:p>
    <w:p>
      <w:pPr>
        <w:pStyle w:val="Footnotesection"/>
      </w:pPr>
      <w:r>
        <w:tab/>
        <w:t>[Regulation 117A inserted: Gazette 28 Sep 2018 p. 3622</w:t>
      </w:r>
      <w:r>
        <w:noBreakHyphen/>
        <w:t>3.]</w:t>
      </w:r>
    </w:p>
    <w:p>
      <w:pPr>
        <w:pStyle w:val="Heading5"/>
      </w:pPr>
      <w:bookmarkStart w:id="343" w:name="_Toc95120067"/>
      <w:bookmarkStart w:id="344" w:name="_Toc95119031"/>
      <w:r>
        <w:rPr>
          <w:rStyle w:val="CharSectno"/>
        </w:rPr>
        <w:t>117B</w:t>
      </w:r>
      <w:r>
        <w:t>.</w:t>
      </w:r>
      <w:r>
        <w:tab/>
        <w:t>Minimum requirements for a person in day</w:t>
      </w:r>
      <w:r>
        <w:noBreakHyphen/>
        <w:t>to</w:t>
      </w:r>
      <w:r>
        <w:noBreakHyphen/>
        <w:t>day charge</w:t>
      </w:r>
      <w:bookmarkEnd w:id="343"/>
      <w:bookmarkEnd w:id="344"/>
    </w:p>
    <w:p>
      <w:pPr>
        <w:pStyle w:val="Subsection"/>
      </w:pPr>
      <w:r>
        <w:tab/>
        <w:t>(1)</w:t>
      </w:r>
      <w:r>
        <w:tab/>
        <w:t>An approved provider or a nominated supervisor of an education and care service must not place a person in day</w:t>
      </w:r>
      <w:r>
        <w:noBreakHyphen/>
        <w:t>to</w:t>
      </w:r>
      <w:r>
        <w:noBreakHyphen/>
        <w:t xml:space="preserve">day charge unless — </w:t>
      </w:r>
    </w:p>
    <w:p>
      <w:pPr>
        <w:pStyle w:val="Indenta"/>
      </w:pPr>
      <w:r>
        <w:tab/>
        <w:t>(a)</w:t>
      </w:r>
      <w:r>
        <w:tab/>
        <w:t>the person has attained the age of 18 years; and</w:t>
      </w:r>
    </w:p>
    <w:p>
      <w:pPr>
        <w:pStyle w:val="Indenta"/>
      </w:pPr>
      <w:r>
        <w:tab/>
        <w:t>(b)</w:t>
      </w:r>
      <w:r>
        <w:tab/>
        <w:t xml:space="preserve">the approved provider or nominated supervisor (as the case requires) — </w:t>
      </w:r>
    </w:p>
    <w:p>
      <w:pPr>
        <w:pStyle w:val="Indenti"/>
      </w:pPr>
      <w:r>
        <w:tab/>
        <w:t>(i)</w:t>
      </w:r>
      <w:r>
        <w:tab/>
        <w:t>has had regard to the matters set out in subregulation (2); and</w:t>
      </w:r>
    </w:p>
    <w:p>
      <w:pPr>
        <w:pStyle w:val="Indenti"/>
      </w:pPr>
      <w:r>
        <w:tab/>
        <w:t>(ii)</w:t>
      </w:r>
      <w:r>
        <w:tab/>
        <w:t>has taken reasonable steps to ensure that the person has adequate knowledge and understanding of the provision of education and care to children and an ability to effectively supervise and manage an education and care service.</w:t>
      </w:r>
    </w:p>
    <w:p>
      <w:pPr>
        <w:pStyle w:val="Subsection"/>
      </w:pPr>
      <w:r>
        <w:tab/>
        <w:t>(2)</w:t>
      </w:r>
      <w:r>
        <w:tab/>
        <w:t xml:space="preserve">For the purposes of subregulation (1)(b)(i),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117B inserted: Gazette 28 Sep 2018 p. 3623</w:t>
      </w:r>
      <w:r>
        <w:noBreakHyphen/>
        <w:t>4.]</w:t>
      </w:r>
    </w:p>
    <w:p>
      <w:pPr>
        <w:pStyle w:val="Heading5"/>
      </w:pPr>
      <w:bookmarkStart w:id="345" w:name="_Toc95120068"/>
      <w:bookmarkStart w:id="346" w:name="_Toc95119032"/>
      <w:r>
        <w:rPr>
          <w:rStyle w:val="CharSectno"/>
        </w:rPr>
        <w:t>117C</w:t>
      </w:r>
      <w:r>
        <w:t>.</w:t>
      </w:r>
      <w:r>
        <w:tab/>
        <w:t>Minimum requirements for a nominated supervisor</w:t>
      </w:r>
      <w:bookmarkEnd w:id="345"/>
      <w:bookmarkEnd w:id="346"/>
    </w:p>
    <w:p>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pPr>
        <w:pStyle w:val="Indenta"/>
      </w:pPr>
      <w:r>
        <w:tab/>
        <w:t>(a)</w:t>
      </w:r>
      <w:r>
        <w:tab/>
        <w:t>have attained the age of 18 years; and</w:t>
      </w:r>
    </w:p>
    <w:p>
      <w:pPr>
        <w:pStyle w:val="Indenta"/>
      </w:pPr>
      <w:r>
        <w:tab/>
        <w:t>(b)</w:t>
      </w:r>
      <w:r>
        <w:tab/>
        <w:t>have adequate knowledge and understanding of the provision of education and care to children; and</w:t>
      </w:r>
    </w:p>
    <w:p>
      <w:pPr>
        <w:pStyle w:val="Indenta"/>
      </w:pPr>
      <w:r>
        <w:tab/>
        <w:t>(c)</w:t>
      </w:r>
      <w:r>
        <w:tab/>
        <w:t>have the ability to effectively supervise and manage an education and care service.</w:t>
      </w:r>
    </w:p>
    <w:p>
      <w:pPr>
        <w:pStyle w:val="Subsection"/>
      </w:pPr>
      <w:r>
        <w:tab/>
        <w:t>(2)</w:t>
      </w:r>
      <w:r>
        <w:tab/>
        <w:t xml:space="preserve">In determining whether to nominate a person as a nominated supervisor, an approved provider of an education and care service must have regard to the following matters — </w:t>
      </w:r>
    </w:p>
    <w:p>
      <w:pPr>
        <w:pStyle w:val="Indenta"/>
      </w:pPr>
      <w:r>
        <w:tab/>
        <w:t>(a)</w:t>
      </w:r>
      <w:r>
        <w:tab/>
        <w:t xml:space="preserve">the history of the person’s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117C inserted: Gazette 28 Sep 2018 p. 3624</w:t>
      </w:r>
      <w:r>
        <w:noBreakHyphen/>
        <w:t>5.]</w:t>
      </w:r>
    </w:p>
    <w:p>
      <w:pPr>
        <w:pStyle w:val="Heading3"/>
      </w:pPr>
      <w:bookmarkStart w:id="347" w:name="_Toc95119674"/>
      <w:bookmarkStart w:id="348" w:name="_Toc95120069"/>
      <w:bookmarkStart w:id="349" w:name="_Toc95119033"/>
      <w:r>
        <w:rPr>
          <w:rStyle w:val="CharDivNo"/>
        </w:rPr>
        <w:t>Part 4.4</w:t>
      </w:r>
      <w:r>
        <w:t> — </w:t>
      </w:r>
      <w:r>
        <w:rPr>
          <w:rStyle w:val="CharDivText"/>
        </w:rPr>
        <w:t>Staffing arrangements</w:t>
      </w:r>
      <w:bookmarkEnd w:id="347"/>
      <w:bookmarkEnd w:id="348"/>
      <w:bookmarkEnd w:id="349"/>
    </w:p>
    <w:p>
      <w:pPr>
        <w:pStyle w:val="Heading4"/>
      </w:pPr>
      <w:bookmarkStart w:id="350" w:name="_Toc95119675"/>
      <w:bookmarkStart w:id="351" w:name="_Toc95120070"/>
      <w:bookmarkStart w:id="352" w:name="_Toc95119034"/>
      <w:r>
        <w:t>Division 1 — Educational leader</w:t>
      </w:r>
      <w:bookmarkEnd w:id="350"/>
      <w:bookmarkEnd w:id="351"/>
      <w:bookmarkEnd w:id="352"/>
    </w:p>
    <w:p>
      <w:pPr>
        <w:pStyle w:val="Heading5"/>
      </w:pPr>
      <w:bookmarkStart w:id="353" w:name="_Toc95120071"/>
      <w:bookmarkStart w:id="354" w:name="_Toc95119035"/>
      <w:r>
        <w:rPr>
          <w:rStyle w:val="CharSectno"/>
        </w:rPr>
        <w:t>118</w:t>
      </w:r>
      <w:r>
        <w:t>.</w:t>
      </w:r>
      <w:r>
        <w:tab/>
        <w:t>Educational leader</w:t>
      </w:r>
      <w:bookmarkEnd w:id="353"/>
      <w:bookmarkEnd w:id="354"/>
      <w:r>
        <w:t xml:space="preserve"> </w:t>
      </w:r>
    </w:p>
    <w:p>
      <w:pPr>
        <w:pStyle w:val="Subsection"/>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55" w:name="_Toc95119677"/>
      <w:bookmarkStart w:id="356" w:name="_Toc95120072"/>
      <w:bookmarkStart w:id="357" w:name="_Toc95119036"/>
      <w:r>
        <w:t>Division 2 — Age and supervision requirements</w:t>
      </w:r>
      <w:bookmarkEnd w:id="355"/>
      <w:bookmarkEnd w:id="356"/>
      <w:bookmarkEnd w:id="357"/>
    </w:p>
    <w:p>
      <w:pPr>
        <w:pStyle w:val="Heading5"/>
      </w:pPr>
      <w:bookmarkStart w:id="358" w:name="_Toc95120073"/>
      <w:bookmarkStart w:id="359" w:name="_Toc95119037"/>
      <w:r>
        <w:rPr>
          <w:rStyle w:val="CharSectno"/>
        </w:rPr>
        <w:t>119</w:t>
      </w:r>
      <w:r>
        <w:t>.</w:t>
      </w:r>
      <w:r>
        <w:tab/>
        <w:t>Family day care educator and family day care educator assistant to be at least 18 years old</w:t>
      </w:r>
      <w:bookmarkEnd w:id="358"/>
      <w:bookmarkEnd w:id="359"/>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60" w:name="_Toc95120074"/>
      <w:bookmarkStart w:id="361" w:name="_Toc95119038"/>
      <w:r>
        <w:rPr>
          <w:rStyle w:val="CharSectno"/>
        </w:rPr>
        <w:t>120</w:t>
      </w:r>
      <w:r>
        <w:t>.</w:t>
      </w:r>
      <w:r>
        <w:tab/>
        <w:t>Educators who are under 18 to be supervised</w:t>
      </w:r>
      <w:bookmarkEnd w:id="360"/>
      <w:bookmarkEnd w:id="361"/>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62" w:name="_Toc95119680"/>
      <w:bookmarkStart w:id="363" w:name="_Toc95120075"/>
      <w:bookmarkStart w:id="364" w:name="_Toc95119039"/>
      <w:r>
        <w:t>Division 3 — Minimum number of educators and family day care co</w:t>
      </w:r>
      <w:r>
        <w:noBreakHyphen/>
        <w:t>ordinators required</w:t>
      </w:r>
      <w:bookmarkEnd w:id="362"/>
      <w:bookmarkEnd w:id="363"/>
      <w:bookmarkEnd w:id="364"/>
    </w:p>
    <w:p>
      <w:pPr>
        <w:pStyle w:val="Footnoteheading"/>
      </w:pPr>
      <w:r>
        <w:tab/>
        <w:t>[Heading amended: Gazette 28 Sep 2018 p. 3625.]</w:t>
      </w:r>
    </w:p>
    <w:p>
      <w:pPr>
        <w:pStyle w:val="Heading5"/>
      </w:pPr>
      <w:bookmarkStart w:id="365" w:name="_Toc95120076"/>
      <w:bookmarkStart w:id="366" w:name="_Toc95119040"/>
      <w:r>
        <w:rPr>
          <w:rStyle w:val="CharSectno"/>
        </w:rPr>
        <w:t>121</w:t>
      </w:r>
      <w:r>
        <w:t>.</w:t>
      </w:r>
      <w:r>
        <w:tab/>
        <w:t>Application of Division 3</w:t>
      </w:r>
      <w:bookmarkEnd w:id="365"/>
      <w:bookmarkEnd w:id="366"/>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367" w:name="_Toc95120077"/>
      <w:bookmarkStart w:id="368" w:name="_Toc95119041"/>
      <w:r>
        <w:rPr>
          <w:rStyle w:val="CharSectno"/>
        </w:rPr>
        <w:t>122</w:t>
      </w:r>
      <w:r>
        <w:t>.</w:t>
      </w:r>
      <w:r>
        <w:tab/>
        <w:t>Educators must be working directly with children to be included in ratios</w:t>
      </w:r>
      <w:bookmarkEnd w:id="367"/>
      <w:bookmarkEnd w:id="368"/>
      <w:r>
        <w:t xml:space="preserve"> </w:t>
      </w:r>
    </w:p>
    <w:p>
      <w:pPr>
        <w:pStyle w:val="Subsection"/>
      </w:pPr>
      <w:r>
        <w:tab/>
        <w:t>(1)</w:t>
      </w:r>
      <w:r>
        <w:tab/>
        <w:t>An educator cannot be included in calculating the educator to child ratio of a centre</w:t>
      </w:r>
      <w:r>
        <w:noBreakHyphen/>
        <w:t>based service unless the educator is working directly with children at the service.</w:t>
      </w:r>
    </w:p>
    <w:p>
      <w:pPr>
        <w:pStyle w:val="Subsection"/>
      </w:pPr>
      <w:r>
        <w:tab/>
        <w:t>(2)</w:t>
      </w:r>
      <w:r>
        <w:tab/>
        <w:t>In this regulation, a reference to an educator includes an early childhood teacher or a suitably qualified person who is counted as an educator under regulation 123(3).</w:t>
      </w:r>
    </w:p>
    <w:p>
      <w:pPr>
        <w:pStyle w:val="Footnotesection"/>
      </w:pPr>
      <w:r>
        <w:tab/>
        <w:t>[Regulation 122 amended: Gazette 24 Dec 2019 p. 4423.]</w:t>
      </w:r>
    </w:p>
    <w:p>
      <w:pPr>
        <w:pStyle w:val="Heading5"/>
      </w:pPr>
      <w:bookmarkStart w:id="369" w:name="_Toc95120078"/>
      <w:bookmarkStart w:id="370" w:name="_Toc95119042"/>
      <w:r>
        <w:rPr>
          <w:rStyle w:val="CharSectno"/>
        </w:rPr>
        <w:t>123</w:t>
      </w:r>
      <w:r>
        <w:t>.</w:t>
      </w:r>
      <w:r>
        <w:tab/>
        <w:t>Educator to child ratios — centre</w:t>
      </w:r>
      <w:r>
        <w:noBreakHyphen/>
        <w:t>based services</w:t>
      </w:r>
      <w:bookmarkEnd w:id="369"/>
      <w:bookmarkEnd w:id="370"/>
      <w:r>
        <w:t xml:space="preserve"> </w:t>
      </w:r>
    </w:p>
    <w:p>
      <w:pPr>
        <w:pStyle w:val="Subsection"/>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tab/>
        <w:t>(ii)</w:t>
      </w:r>
      <w:r>
        <w:tab/>
        <w:t>for Western Australia — 1 educator to 10 children;</w:t>
      </w:r>
    </w:p>
    <w:p>
      <w:pPr>
        <w:pStyle w:val="Indenta"/>
      </w:pPr>
      <w:r>
        <w:tab/>
        <w:t>(d)</w:t>
      </w:r>
      <w:r>
        <w:tab/>
        <w:t>for children over preschool age, the ratio set out in regulation 369.</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or a suitably qualified person is required under Division 5 to be in attendance at a centre</w:t>
      </w:r>
      <w:r>
        <w:noBreakHyphen/>
        <w:t>based service, subject to regulation 122 that early childhood teacher or suitably qualified person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pPr>
      <w:r>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 372.</w:t>
      </w:r>
    </w:p>
    <w:p>
      <w:pPr>
        <w:pStyle w:val="Footnotesection"/>
      </w:pPr>
      <w:r>
        <w:tab/>
        <w:t>[Regulation 123 amended: Gazette 5 Mar 2013 p. 1108; 13 Dec 2013 p.</w:t>
      </w:r>
      <w:r>
        <w:rPr>
          <w:sz w:val="19"/>
        </w:rPr>
        <w:t> </w:t>
      </w:r>
      <w:r>
        <w:t>6160</w:t>
      </w:r>
      <w:r>
        <w:noBreakHyphen/>
        <w:t>1; 3 Jul 2015 p. 2667</w:t>
      </w:r>
      <w:r>
        <w:noBreakHyphen/>
        <w:t>8; 28 Sep 2018 p. 3626; 24 Dec 2019 p. 4423.]</w:t>
      </w:r>
    </w:p>
    <w:p>
      <w:pPr>
        <w:pStyle w:val="Heading5"/>
      </w:pPr>
      <w:bookmarkStart w:id="371" w:name="_Toc95120079"/>
      <w:bookmarkStart w:id="372" w:name="_Toc95119043"/>
      <w:r>
        <w:rPr>
          <w:rStyle w:val="CharSectno"/>
        </w:rPr>
        <w:t>123A</w:t>
      </w:r>
      <w:r>
        <w:t>.</w:t>
      </w:r>
      <w:r>
        <w:tab/>
        <w:t>Family day care co</w:t>
      </w:r>
      <w:r>
        <w:noBreakHyphen/>
        <w:t>ordinator to educator ratios — family day care service</w:t>
      </w:r>
      <w:bookmarkEnd w:id="371"/>
      <w:bookmarkEnd w:id="372"/>
    </w:p>
    <w:p>
      <w:pPr>
        <w:pStyle w:val="Subsection"/>
      </w:pPr>
      <w:r>
        <w:tab/>
      </w:r>
      <w:r>
        <w:tab/>
        <w:t>For the purposes of section 163(1) of the Law, the prescribed minimum number of qualified persons employed or engaged as family day care co</w:t>
      </w:r>
      <w:r>
        <w:noBreakHyphen/>
        <w:t xml:space="preserve">ordinators of the family day care service is to be calculated in accordance with the following ratios — </w:t>
      </w:r>
    </w:p>
    <w:p>
      <w:pPr>
        <w:pStyle w:val="Indenta"/>
      </w:pPr>
      <w:r>
        <w:tab/>
        <w:t>(a)</w:t>
      </w:r>
      <w:r>
        <w:tab/>
        <w:t>for the first 12 months after the service commences providing education and care to children as part of the family day care service, 1 full</w:t>
      </w:r>
      <w:r>
        <w:noBreakHyphen/>
        <w:t>time equivalent family day care co</w:t>
      </w:r>
      <w:r>
        <w:noBreakHyphen/>
        <w:t>ordinator for every 15 family day care educators;</w:t>
      </w:r>
    </w:p>
    <w:p>
      <w:pPr>
        <w:pStyle w:val="Indenta"/>
      </w:pPr>
      <w:r>
        <w:tab/>
        <w:t>(b)</w:t>
      </w:r>
      <w:r>
        <w:tab/>
        <w:t>after the end of that 12 month period, 1 full</w:t>
      </w:r>
      <w:r>
        <w:noBreakHyphen/>
        <w:t>time equivalent family day care co</w:t>
      </w:r>
      <w:r>
        <w:noBreakHyphen/>
        <w:t>ordinator for every 25 family day care educators.</w:t>
      </w:r>
    </w:p>
    <w:p>
      <w:pPr>
        <w:pStyle w:val="Footnotesection"/>
      </w:pPr>
      <w:r>
        <w:tab/>
        <w:t>[Regulation 123A inserted: Gazette 28 Sep 2018 p. 3626.]</w:t>
      </w:r>
    </w:p>
    <w:p>
      <w:pPr>
        <w:pStyle w:val="Heading5"/>
      </w:pPr>
      <w:bookmarkStart w:id="373" w:name="_Toc95120080"/>
      <w:bookmarkStart w:id="374" w:name="_Toc95119044"/>
      <w:r>
        <w:rPr>
          <w:rStyle w:val="CharSectno"/>
        </w:rPr>
        <w:t>124</w:t>
      </w:r>
      <w:r>
        <w:t>.</w:t>
      </w:r>
      <w:r>
        <w:tab/>
        <w:t>Number of children who can be educated and cared for — family day care educator</w:t>
      </w:r>
      <w:bookmarkEnd w:id="373"/>
      <w:bookmarkEnd w:id="374"/>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spacing w:before="70"/>
      </w:pPr>
      <w:r>
        <w:tab/>
        <w:t>(a)</w:t>
      </w:r>
      <w:r>
        <w:tab/>
        <w:t>no more than 4 can be preschool age or under;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preschool age or under,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4"/>
      </w:pPr>
      <w:bookmarkStart w:id="375" w:name="_Toc95119686"/>
      <w:bookmarkStart w:id="376" w:name="_Toc95120081"/>
      <w:bookmarkStart w:id="377" w:name="_Toc95119045"/>
      <w:r>
        <w:t>Division 4 — Educational qualifications for educators</w:t>
      </w:r>
      <w:bookmarkEnd w:id="375"/>
      <w:bookmarkEnd w:id="376"/>
      <w:bookmarkEnd w:id="377"/>
    </w:p>
    <w:p>
      <w:pPr>
        <w:pStyle w:val="Heading5"/>
        <w:spacing w:before="200"/>
      </w:pPr>
      <w:bookmarkStart w:id="378" w:name="_Toc95120082"/>
      <w:bookmarkStart w:id="379" w:name="_Toc95119046"/>
      <w:r>
        <w:rPr>
          <w:rStyle w:val="CharSectno"/>
        </w:rPr>
        <w:t>125</w:t>
      </w:r>
      <w:r>
        <w:t>.</w:t>
      </w:r>
      <w:r>
        <w:tab/>
        <w:t>Application of Division 4</w:t>
      </w:r>
      <w:bookmarkEnd w:id="378"/>
      <w:bookmarkEnd w:id="379"/>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sections 55A and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pPr>
      <w:r>
        <w:tab/>
        <w:t>[Regulation 125 amended: Gazette 28 Sep 2018 p. 3627.]</w:t>
      </w:r>
    </w:p>
    <w:p>
      <w:pPr>
        <w:pStyle w:val="Heading5"/>
      </w:pPr>
      <w:bookmarkStart w:id="380" w:name="_Toc95120083"/>
      <w:bookmarkStart w:id="381" w:name="_Toc95119047"/>
      <w:r>
        <w:rPr>
          <w:rStyle w:val="CharSectno"/>
        </w:rPr>
        <w:t>126</w:t>
      </w:r>
      <w:r>
        <w:t>.</w:t>
      </w:r>
      <w:r>
        <w:tab/>
        <w:t>Centre</w:t>
      </w:r>
      <w:r>
        <w:noBreakHyphen/>
        <w:t>based services — general educator qualifications</w:t>
      </w:r>
      <w:bookmarkEnd w:id="380"/>
      <w:bookmarkEnd w:id="381"/>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have, or be actively working towards, at least an approved diploma level education and care qualification; and</w:t>
      </w:r>
    </w:p>
    <w:p>
      <w:pPr>
        <w:pStyle w:val="Indenta"/>
        <w:spacing w:before="60"/>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w:t>
      </w:r>
      <w:del w:id="382" w:author="Master Repository Process" w:date="2022-02-07T09:53:00Z">
        <w:r>
          <w:delText xml:space="preserve"> or South Australia</w:delText>
        </w:r>
      </w:del>
      <w:r>
        <w:t>.</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 is to be counted as meeting the requirements of subregulation (1)(a).</w:t>
      </w:r>
    </w:p>
    <w:p>
      <w:pPr>
        <w:pStyle w:val="Subsection"/>
      </w:pPr>
      <w:r>
        <w:tab/>
        <w:t>(4)</w:t>
      </w:r>
      <w:r>
        <w:tab/>
        <w:t>If Division 5 requires a second early childhood teacher or a suitably qualified person to be in attendance at a centre</w:t>
      </w:r>
      <w:r>
        <w:noBreakHyphen/>
        <w:t>based service, that person, or a person taken to be a second early childhood teacher or a suitably qualified person under regulation 135(2),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An early childhood teacher or suitably qualified person can be included in determining the number of educators who have an approved diploma level education and care qualification if the teacher or suitably qualified person is working directly with children.</w:t>
      </w:r>
    </w:p>
    <w:p>
      <w:pPr>
        <w:pStyle w:val="Footnotesection"/>
      </w:pPr>
      <w:r>
        <w:tab/>
        <w:t>[Regulation 126 amended: Gazette 28 Nov 2014 p. 4406; 24 Dec 2019 p. 4424</w:t>
      </w:r>
      <w:ins w:id="383" w:author="Master Repository Process" w:date="2022-02-07T09:53:00Z">
        <w:r>
          <w:t>; SL 2020/143 r. 10</w:t>
        </w:r>
      </w:ins>
      <w:r>
        <w:t>.]</w:t>
      </w:r>
    </w:p>
    <w:p>
      <w:pPr>
        <w:pStyle w:val="Heading5"/>
      </w:pPr>
      <w:bookmarkStart w:id="384" w:name="_Toc95120084"/>
      <w:bookmarkStart w:id="385" w:name="_Toc95119048"/>
      <w:r>
        <w:rPr>
          <w:rStyle w:val="CharSectno"/>
        </w:rPr>
        <w:t>127</w:t>
      </w:r>
      <w:r>
        <w:t>.</w:t>
      </w:r>
      <w:r>
        <w:tab/>
        <w:t>Family day care educator qualifications</w:t>
      </w:r>
      <w:bookmarkEnd w:id="384"/>
      <w:bookmarkEnd w:id="385"/>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386" w:name="_Toc95120085"/>
      <w:bookmarkStart w:id="387" w:name="_Toc95119049"/>
      <w:r>
        <w:rPr>
          <w:rStyle w:val="CharSectno"/>
        </w:rPr>
        <w:t>128</w:t>
      </w:r>
      <w:r>
        <w:t>.</w:t>
      </w:r>
      <w:r>
        <w:tab/>
        <w:t>Family day care co</w:t>
      </w:r>
      <w:r>
        <w:noBreakHyphen/>
        <w:t>ordinator qualifications</w:t>
      </w:r>
      <w:bookmarkEnd w:id="386"/>
      <w:bookmarkEnd w:id="387"/>
      <w:r>
        <w:t xml:space="preserve"> </w:t>
      </w:r>
    </w:p>
    <w:p>
      <w:pPr>
        <w:pStyle w:val="Subsection"/>
      </w:pPr>
      <w:r>
        <w:tab/>
      </w:r>
      <w:r>
        <w:tab/>
        <w:t>A family day care co</w:t>
      </w:r>
      <w:r>
        <w:noBreakHyphen/>
        <w:t>ordinator must have an approved diploma level education and care qualification.</w:t>
      </w:r>
    </w:p>
    <w:p>
      <w:pPr>
        <w:pStyle w:val="Heading4"/>
      </w:pPr>
      <w:bookmarkStart w:id="388" w:name="_Toc95119691"/>
      <w:bookmarkStart w:id="389" w:name="_Toc95120086"/>
      <w:bookmarkStart w:id="390" w:name="_Toc95119050"/>
      <w:r>
        <w:t>Division 5 — Requirements for educators who are early childhood teachers</w:t>
      </w:r>
      <w:bookmarkEnd w:id="388"/>
      <w:bookmarkEnd w:id="389"/>
      <w:bookmarkEnd w:id="390"/>
    </w:p>
    <w:p>
      <w:pPr>
        <w:pStyle w:val="Heading5"/>
      </w:pPr>
      <w:bookmarkStart w:id="391" w:name="_Toc95120087"/>
      <w:bookmarkStart w:id="392" w:name="_Toc95119051"/>
      <w:r>
        <w:rPr>
          <w:rStyle w:val="CharSectno"/>
        </w:rPr>
        <w:t>129</w:t>
      </w:r>
      <w:r>
        <w:t>.</w:t>
      </w:r>
      <w:r>
        <w:tab/>
        <w:t>Application of Division 5</w:t>
      </w:r>
      <w:bookmarkEnd w:id="391"/>
      <w:bookmarkEnd w:id="392"/>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keepLines/>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Gazette 13 Dec 2013 p.</w:t>
      </w:r>
      <w:r>
        <w:rPr>
          <w:sz w:val="19"/>
        </w:rPr>
        <w:t> </w:t>
      </w:r>
      <w:r>
        <w:t>6161.]</w:t>
      </w:r>
    </w:p>
    <w:p>
      <w:pPr>
        <w:pStyle w:val="Heading5"/>
      </w:pPr>
      <w:bookmarkStart w:id="393" w:name="_Toc95120088"/>
      <w:bookmarkStart w:id="394" w:name="_Toc95119052"/>
      <w:r>
        <w:rPr>
          <w:rStyle w:val="CharSectno"/>
        </w:rPr>
        <w:t>130</w:t>
      </w:r>
      <w:r>
        <w:t>.</w:t>
      </w:r>
      <w:r>
        <w:tab/>
        <w:t>Requirement for early childhood teacher — centre</w:t>
      </w:r>
      <w:r>
        <w:noBreakHyphen/>
        <w:t>based services — fewer than 25 approved places</w:t>
      </w:r>
      <w:bookmarkEnd w:id="393"/>
      <w:bookmarkEnd w:id="394"/>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395" w:name="_Toc95120089"/>
      <w:bookmarkStart w:id="396" w:name="_Toc95119053"/>
      <w:r>
        <w:rPr>
          <w:rStyle w:val="CharSectno"/>
        </w:rPr>
        <w:t>131</w:t>
      </w:r>
      <w:r>
        <w:t>.</w:t>
      </w:r>
      <w:r>
        <w:tab/>
        <w:t>Requirement for early childhood teacher — centre</w:t>
      </w:r>
      <w:r>
        <w:noBreakHyphen/>
        <w:t>based services — 25 or more approved places but fewer than 25 children</w:t>
      </w:r>
      <w:bookmarkEnd w:id="395"/>
      <w:bookmarkEnd w:id="396"/>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Gazette 13 Dec 2013 p.</w:t>
      </w:r>
      <w:r>
        <w:rPr>
          <w:sz w:val="19"/>
        </w:rPr>
        <w:t> </w:t>
      </w:r>
      <w:r>
        <w:t>6162.]</w:t>
      </w:r>
    </w:p>
    <w:p>
      <w:pPr>
        <w:pStyle w:val="Heading5"/>
        <w:spacing w:before="260"/>
      </w:pPr>
      <w:bookmarkStart w:id="397" w:name="_Toc95120090"/>
      <w:bookmarkStart w:id="398" w:name="_Toc95119054"/>
      <w:r>
        <w:rPr>
          <w:rStyle w:val="CharSectno"/>
        </w:rPr>
        <w:t>132</w:t>
      </w:r>
      <w:r>
        <w:t>.</w:t>
      </w:r>
      <w:r>
        <w:tab/>
        <w:t>Requirement for early childhood teacher — centre</w:t>
      </w:r>
      <w:r>
        <w:noBreakHyphen/>
        <w:t>based services — 25 to 59 children</w:t>
      </w:r>
      <w:bookmarkEnd w:id="397"/>
      <w:bookmarkEnd w:id="398"/>
      <w:r>
        <w:t xml:space="preserve"> </w:t>
      </w:r>
    </w:p>
    <w:p>
      <w:pPr>
        <w:pStyle w:val="Subsection"/>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399" w:name="_Toc95120091"/>
      <w:bookmarkStart w:id="400" w:name="_Toc95119055"/>
      <w:r>
        <w:rPr>
          <w:rStyle w:val="CharSectno"/>
        </w:rPr>
        <w:t>133</w:t>
      </w:r>
      <w:r>
        <w:t>.</w:t>
      </w:r>
      <w:r>
        <w:tab/>
        <w:t>Requirement for early childhood teacher — centre</w:t>
      </w:r>
      <w:r>
        <w:noBreakHyphen/>
        <w:t>based services — 60 to 80 children</w:t>
      </w:r>
      <w:bookmarkEnd w:id="399"/>
      <w:bookmarkEnd w:id="400"/>
      <w:r>
        <w:t xml:space="preserve"> </w:t>
      </w:r>
    </w:p>
    <w:p>
      <w:pPr>
        <w:pStyle w:val="Subsection"/>
        <w:keepNext/>
      </w:pPr>
      <w:r>
        <w:tab/>
        <w:t>(1)</w:t>
      </w:r>
      <w:r>
        <w:tab/>
        <w:t>If a centre</w:t>
      </w:r>
      <w:r>
        <w:noBreakHyphen/>
        <w:t xml:space="preserve">based service provides education and care to 60 or more but not more than 80 children preschool age or under on a given day — </w:t>
      </w:r>
    </w:p>
    <w:p>
      <w:pPr>
        <w:pStyle w:val="Indenta"/>
        <w:keepNext/>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Footnotesection"/>
      </w:pPr>
      <w:r>
        <w:tab/>
        <w:t>[Regulation 133 amended: Gazette 24 Dec 2019 p. 4424.]</w:t>
      </w:r>
    </w:p>
    <w:p>
      <w:pPr>
        <w:pStyle w:val="Heading5"/>
      </w:pPr>
      <w:bookmarkStart w:id="401" w:name="_Toc95120092"/>
      <w:bookmarkStart w:id="402" w:name="_Toc95119056"/>
      <w:r>
        <w:rPr>
          <w:rStyle w:val="CharSectno"/>
        </w:rPr>
        <w:t>134</w:t>
      </w:r>
      <w:r>
        <w:t>.</w:t>
      </w:r>
      <w:r>
        <w:tab/>
        <w:t>Requirement for early childhood teacher — centre</w:t>
      </w:r>
      <w:r>
        <w:noBreakHyphen/>
        <w:t>based services — more than 80 children</w:t>
      </w:r>
      <w:bookmarkEnd w:id="401"/>
      <w:bookmarkEnd w:id="402"/>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Footnotesection"/>
      </w:pPr>
      <w:r>
        <w:tab/>
        <w:t>[Regulation 134 amended: Gazette 24 Dec 2019 p. 4424.]</w:t>
      </w:r>
    </w:p>
    <w:p>
      <w:pPr>
        <w:pStyle w:val="Heading5"/>
      </w:pPr>
      <w:bookmarkStart w:id="403" w:name="_Toc95120093"/>
      <w:bookmarkStart w:id="404" w:name="_Toc95119057"/>
      <w:r>
        <w:rPr>
          <w:rStyle w:val="CharSectno"/>
        </w:rPr>
        <w:t>135</w:t>
      </w:r>
      <w:r>
        <w:t>.</w:t>
      </w:r>
      <w:r>
        <w:tab/>
        <w:t>Illness or absence of early childhood teacher or suitably qualified person</w:t>
      </w:r>
      <w:bookmarkEnd w:id="403"/>
      <w:bookmarkEnd w:id="404"/>
    </w:p>
    <w:p>
      <w:pPr>
        <w:pStyle w:val="Subsection"/>
        <w:keepNext/>
      </w:pPr>
      <w:r>
        <w:tab/>
        <w:t>(1)</w:t>
      </w:r>
      <w:r>
        <w:tab/>
        <w:t>If an early childhood teacher who is required under regulation 132(1), 133(1)(a) or 134(1)(a) to be in attendance at a centre</w:t>
      </w:r>
      <w:r>
        <w:noBreakHyphen/>
        <w:t>based service is absent from the centre</w:t>
      </w:r>
      <w:r>
        <w:noBreakHyphen/>
        <w:t>based service because of short</w:t>
      </w:r>
      <w:r>
        <w:noBreakHyphen/>
        <w:t xml:space="preserve">term illness or leave, the following persons may be taken to be an early childhood teacher during that absence — </w:t>
      </w:r>
    </w:p>
    <w:p>
      <w:pPr>
        <w:pStyle w:val="Indenta"/>
        <w:keepNext/>
      </w:pPr>
      <w:r>
        <w:tab/>
        <w:t>(a)</w:t>
      </w:r>
      <w:r>
        <w:tab/>
        <w:t xml:space="preserve">in any case — </w:t>
      </w:r>
    </w:p>
    <w:p>
      <w:pPr>
        <w:pStyle w:val="Indenti"/>
      </w:pPr>
      <w:r>
        <w:tab/>
        <w:t>(i)</w:t>
      </w:r>
      <w:r>
        <w:tab/>
        <w:t>a person who holds an approved diploma level education and care qualification; or</w:t>
      </w:r>
    </w:p>
    <w:p>
      <w:pPr>
        <w:pStyle w:val="Indenti"/>
      </w:pPr>
      <w:r>
        <w:tab/>
        <w:t>(ii)</w:t>
      </w:r>
      <w:r>
        <w:tab/>
        <w:t xml:space="preserve">a person who holds a qualification in primary teaching; </w:t>
      </w:r>
    </w:p>
    <w:p>
      <w:pPr>
        <w:pStyle w:val="Indenta"/>
      </w:pPr>
      <w:r>
        <w:tab/>
      </w:r>
      <w:r>
        <w:tab/>
        <w:t>and</w:t>
      </w:r>
    </w:p>
    <w:p>
      <w:pPr>
        <w:pStyle w:val="Indenta"/>
      </w:pPr>
      <w:r>
        <w:tab/>
        <w:t>(b)</w:t>
      </w:r>
      <w:r>
        <w:tab/>
        <w:t>in the case of an early childhood teacher who is required to be in attendance under regulation 133(1)(a) or 134(1)(a), a suitably qualified person.</w:t>
      </w:r>
    </w:p>
    <w:p>
      <w:pPr>
        <w:pStyle w:val="Subsection"/>
      </w:pPr>
      <w:r>
        <w:tab/>
        <w:t>(2)</w:t>
      </w:r>
      <w:r>
        <w:tab/>
        <w:t>If a second early childhood teacher or a suitably qualified person who is required under regulation 133(1)(b) or 134(1)(b) to be in attendance at a centre</w:t>
      </w:r>
      <w:r>
        <w:noBreakHyphen/>
        <w:t>based service is absent from the centre</w:t>
      </w:r>
      <w:r>
        <w:noBreakHyphen/>
        <w:t>based service because of short</w:t>
      </w:r>
      <w:r>
        <w:noBreakHyphen/>
        <w:t xml:space="preserve">term illness or leave, the following persons may be taken for the purposes of regulation 133(1)(b) or 134(1)(b) to be a second early childhood teacher or suitably qualified person during that absence — </w:t>
      </w:r>
    </w:p>
    <w:p>
      <w:pPr>
        <w:pStyle w:val="Indenta"/>
      </w:pPr>
      <w:r>
        <w:tab/>
        <w:t>(a)</w:t>
      </w:r>
      <w:r>
        <w:tab/>
        <w:t xml:space="preserve">a person who holds an approved diploma level education and care qualification; </w:t>
      </w:r>
    </w:p>
    <w:p>
      <w:pPr>
        <w:pStyle w:val="Indenta"/>
      </w:pPr>
      <w:r>
        <w:tab/>
        <w:t>(b)</w:t>
      </w:r>
      <w:r>
        <w:tab/>
        <w:t>a person who holds a qualification in primary teaching.</w:t>
      </w:r>
    </w:p>
    <w:p>
      <w:pPr>
        <w:pStyle w:val="Subsection"/>
      </w:pPr>
      <w:r>
        <w:tab/>
        <w:t>(3)</w:t>
      </w:r>
      <w:r>
        <w:tab/>
        <w:t>An early childhood teacher required to be in attendance under regulation 132(1), 133(1)(a) or 134(1)(a) may be replaced in accordance with subregulation (1) for a maximum of 60 days in any 12 month period.</w:t>
      </w:r>
    </w:p>
    <w:p>
      <w:pPr>
        <w:pStyle w:val="Subsection"/>
      </w:pPr>
      <w:r>
        <w:tab/>
        <w:t>(4)</w:t>
      </w:r>
      <w:r>
        <w:tab/>
        <w:t>A second early childhood teacher or a suitably qualified person required to be in attendance under regulation 133(1)(b) or 134(1)(b) may be replaced in accordance with subregulation (2) for a maximum of 60 days in any 12 month period.</w:t>
      </w:r>
    </w:p>
    <w:p>
      <w:pPr>
        <w:pStyle w:val="Subsection"/>
      </w:pPr>
      <w:r>
        <w:tab/>
        <w:t>(5)</w:t>
      </w:r>
      <w:r>
        <w:tab/>
        <w:t>For the purposes of subregulations (3) and (4), in relation to a part</w:t>
      </w:r>
      <w:r>
        <w:noBreakHyphen/>
        <w:t>time early childhood teacher, part</w:t>
      </w:r>
      <w:r>
        <w:noBreakHyphen/>
        <w:t>time second early childhood teacher or part</w:t>
      </w:r>
      <w:r>
        <w:noBreakHyphen/>
        <w:t>time suitably qualified person (as the case requires), 60 days is to be calculated on a pro rata basis.</w:t>
      </w:r>
    </w:p>
    <w:p>
      <w:pPr>
        <w:pStyle w:val="Footnotesection"/>
      </w:pPr>
      <w:r>
        <w:tab/>
        <w:t>[Regulation 135 inserted: Gazette 24 Dec 2019 p. 4424</w:t>
      </w:r>
      <w:r>
        <w:noBreakHyphen/>
        <w:t>5.]</w:t>
      </w:r>
    </w:p>
    <w:p>
      <w:pPr>
        <w:pStyle w:val="Heading4"/>
      </w:pPr>
      <w:bookmarkStart w:id="405" w:name="_Toc95119699"/>
      <w:bookmarkStart w:id="406" w:name="_Toc95120094"/>
      <w:bookmarkStart w:id="407" w:name="_Toc95119058"/>
      <w:r>
        <w:t>Division 6 — First aid qualifications</w:t>
      </w:r>
      <w:bookmarkEnd w:id="405"/>
      <w:bookmarkEnd w:id="406"/>
      <w:bookmarkEnd w:id="407"/>
    </w:p>
    <w:p>
      <w:pPr>
        <w:pStyle w:val="Heading5"/>
      </w:pPr>
      <w:bookmarkStart w:id="408" w:name="_Toc95120095"/>
      <w:bookmarkStart w:id="409" w:name="_Toc95119059"/>
      <w:r>
        <w:rPr>
          <w:rStyle w:val="CharSectno"/>
        </w:rPr>
        <w:t>136</w:t>
      </w:r>
      <w:r>
        <w:t>.</w:t>
      </w:r>
      <w:r>
        <w:tab/>
        <w:t>First aid qualifications</w:t>
      </w:r>
      <w:bookmarkEnd w:id="408"/>
      <w:bookmarkEnd w:id="409"/>
      <w:r>
        <w:t xml:space="preserve"> </w:t>
      </w:r>
    </w:p>
    <w:p>
      <w:pPr>
        <w:pStyle w:val="Subsection"/>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w:t>
      </w:r>
    </w:p>
    <w:p>
      <w:pPr>
        <w:pStyle w:val="Defpara"/>
      </w:pPr>
      <w:r>
        <w:tab/>
      </w:r>
      <w:r>
        <w:tab/>
        <w:t>and</w:t>
      </w:r>
    </w:p>
    <w:p>
      <w:pPr>
        <w:pStyle w:val="Defpara"/>
      </w:pPr>
      <w:r>
        <w:tab/>
        <w:t>(b)</w:t>
      </w:r>
      <w:r>
        <w:tab/>
        <w:t>has been approved by the National Authority in accordance with Division 7.</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136 amended: Gazette 28 Nov 2014 p. 4406-7; 3 Nov 2017 p. 5483.]</w:t>
      </w:r>
    </w:p>
    <w:p>
      <w:pPr>
        <w:pStyle w:val="Heading4"/>
      </w:pPr>
      <w:bookmarkStart w:id="410" w:name="_Toc95119701"/>
      <w:bookmarkStart w:id="411" w:name="_Toc95120096"/>
      <w:bookmarkStart w:id="412" w:name="_Toc95119060"/>
      <w:r>
        <w:t>Division 7 — Approval and determination of qualifications</w:t>
      </w:r>
      <w:bookmarkEnd w:id="410"/>
      <w:bookmarkEnd w:id="411"/>
      <w:bookmarkEnd w:id="412"/>
    </w:p>
    <w:p>
      <w:pPr>
        <w:pStyle w:val="Heading5"/>
      </w:pPr>
      <w:bookmarkStart w:id="413" w:name="_Toc95120097"/>
      <w:bookmarkStart w:id="414" w:name="_Toc95119061"/>
      <w:r>
        <w:rPr>
          <w:rStyle w:val="CharSectno"/>
        </w:rPr>
        <w:t>137</w:t>
      </w:r>
      <w:r>
        <w:t>.</w:t>
      </w:r>
      <w:r>
        <w:tab/>
        <w:t>Approval of qualifications</w:t>
      </w:r>
      <w:bookmarkEnd w:id="413"/>
      <w:bookmarkEnd w:id="414"/>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pPr>
      <w:r>
        <w:tab/>
        <w:t>(b)</w:t>
      </w:r>
      <w:r>
        <w:tab/>
        <w:t>the percentage of total units required for completion of an approved early childhood teaching qualification.</w:t>
      </w:r>
    </w:p>
    <w:p>
      <w:pPr>
        <w:pStyle w:val="Footnotesection"/>
      </w:pPr>
      <w:r>
        <w:tab/>
        <w:t>[Regulation 137 amended: Gazette 28 Nov 2014 p. 4407.]</w:t>
      </w:r>
    </w:p>
    <w:p>
      <w:pPr>
        <w:pStyle w:val="Heading5"/>
      </w:pPr>
      <w:bookmarkStart w:id="415" w:name="_Toc95120098"/>
      <w:bookmarkStart w:id="416" w:name="_Toc95119062"/>
      <w:r>
        <w:rPr>
          <w:rStyle w:val="CharSectno"/>
        </w:rPr>
        <w:t>138</w:t>
      </w:r>
      <w:r>
        <w:t>.</w:t>
      </w:r>
      <w:r>
        <w:tab/>
        <w:t>Application for qualification to be assessed for inclusion on the list of approved qualifications</w:t>
      </w:r>
      <w:bookmarkEnd w:id="415"/>
      <w:bookmarkEnd w:id="416"/>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417" w:name="_Toc95120099"/>
      <w:bookmarkStart w:id="418" w:name="_Toc95119063"/>
      <w:r>
        <w:rPr>
          <w:rStyle w:val="CharSectno"/>
        </w:rPr>
        <w:t>139</w:t>
      </w:r>
      <w:r>
        <w:t>.</w:t>
      </w:r>
      <w:r>
        <w:tab/>
        <w:t>Application for determination of equivalent qualification</w:t>
      </w:r>
      <w:bookmarkEnd w:id="417"/>
      <w:bookmarkEnd w:id="418"/>
      <w:r>
        <w:t xml:space="preserve"> </w:t>
      </w:r>
    </w:p>
    <w:p>
      <w:pPr>
        <w:pStyle w:val="Subsection"/>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Footnotesection"/>
      </w:pPr>
      <w:r>
        <w:tab/>
        <w:t>[Regulation 139 amended: Gazette 13 Dec 2013 p.</w:t>
      </w:r>
      <w:r>
        <w:rPr>
          <w:sz w:val="19"/>
        </w:rPr>
        <w:t> </w:t>
      </w:r>
      <w:r>
        <w:t>6162.]</w:t>
      </w:r>
    </w:p>
    <w:p>
      <w:pPr>
        <w:pStyle w:val="Heading5"/>
      </w:pPr>
      <w:bookmarkStart w:id="419" w:name="_Toc95120100"/>
      <w:bookmarkStart w:id="420" w:name="_Toc95119064"/>
      <w:r>
        <w:rPr>
          <w:rStyle w:val="CharSectno"/>
        </w:rPr>
        <w:t>140</w:t>
      </w:r>
      <w:r>
        <w:t>.</w:t>
      </w:r>
      <w:r>
        <w:tab/>
        <w:t>Application for determination of an equivalent qualification</w:t>
      </w:r>
      <w:bookmarkEnd w:id="419"/>
      <w:bookmarkEnd w:id="420"/>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spacing w:before="50"/>
      </w:pPr>
      <w:r>
        <w:tab/>
        <w:t>(j)</w:t>
      </w:r>
      <w:r>
        <w:tab/>
        <w:t xml:space="preserve">a summary of the applicant’s education, other than the qualification that is to be determined, including — </w:t>
      </w:r>
    </w:p>
    <w:p>
      <w:pPr>
        <w:pStyle w:val="Indenti"/>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Gazette 13 Dec 2013 p.</w:t>
      </w:r>
      <w:r>
        <w:rPr>
          <w:sz w:val="19"/>
        </w:rPr>
        <w:t> </w:t>
      </w:r>
      <w:r>
        <w:t>6162.]</w:t>
      </w:r>
    </w:p>
    <w:p>
      <w:pPr>
        <w:pStyle w:val="Heading5"/>
      </w:pPr>
      <w:bookmarkStart w:id="421" w:name="_Toc95120101"/>
      <w:bookmarkStart w:id="422" w:name="_Toc95119065"/>
      <w:r>
        <w:rPr>
          <w:rStyle w:val="CharSectno"/>
        </w:rPr>
        <w:t>141</w:t>
      </w:r>
      <w:r>
        <w:t>.</w:t>
      </w:r>
      <w:r>
        <w:tab/>
        <w:t>Additional information for application for determination of equivalent qualification</w:t>
      </w:r>
      <w:bookmarkEnd w:id="421"/>
      <w:bookmarkEnd w:id="422"/>
      <w:r>
        <w:t xml:space="preserve"> </w:t>
      </w:r>
    </w:p>
    <w:p>
      <w:pPr>
        <w:pStyle w:val="Subsection"/>
      </w:pPr>
      <w:r>
        <w:tab/>
        <w:t>(1)</w:t>
      </w:r>
      <w:r>
        <w:tab/>
        <w:t xml:space="preserve">The following documents must also be provided with an application for determination of an equivalent qualification — </w:t>
      </w:r>
    </w:p>
    <w:p>
      <w:pPr>
        <w:pStyle w:val="Indenta"/>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Gazette 13 Dec 2013 p.</w:t>
      </w:r>
      <w:r>
        <w:rPr>
          <w:sz w:val="19"/>
        </w:rPr>
        <w:t> </w:t>
      </w:r>
      <w:r>
        <w:t>6162</w:t>
      </w:r>
      <w:r>
        <w:noBreakHyphen/>
        <w:t>3.]</w:t>
      </w:r>
    </w:p>
    <w:p>
      <w:pPr>
        <w:pStyle w:val="Heading5"/>
      </w:pPr>
      <w:bookmarkStart w:id="423" w:name="_Toc95120102"/>
      <w:bookmarkStart w:id="424" w:name="_Toc95119066"/>
      <w:r>
        <w:rPr>
          <w:rStyle w:val="CharSectno"/>
        </w:rPr>
        <w:t>142</w:t>
      </w:r>
      <w:r>
        <w:t>.</w:t>
      </w:r>
      <w:r>
        <w:tab/>
        <w:t>Translations of documents</w:t>
      </w:r>
      <w:bookmarkEnd w:id="423"/>
      <w:bookmarkEnd w:id="424"/>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425" w:name="_Toc95120103"/>
      <w:bookmarkStart w:id="426" w:name="_Toc95119067"/>
      <w:r>
        <w:rPr>
          <w:rStyle w:val="CharSectno"/>
        </w:rPr>
        <w:t>143</w:t>
      </w:r>
      <w:r>
        <w:t>.</w:t>
      </w:r>
      <w:r>
        <w:tab/>
        <w:t>Certification of documents</w:t>
      </w:r>
      <w:bookmarkEnd w:id="425"/>
      <w:bookmarkEnd w:id="426"/>
      <w:r>
        <w:t xml:space="preserve"> </w:t>
      </w:r>
    </w:p>
    <w:p>
      <w:pPr>
        <w:pStyle w:val="Subsection"/>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Gazette 13 Dec 2013 p.</w:t>
      </w:r>
      <w:r>
        <w:rPr>
          <w:sz w:val="19"/>
        </w:rPr>
        <w:t> </w:t>
      </w:r>
      <w:r>
        <w:t>6163.]</w:t>
      </w:r>
    </w:p>
    <w:p>
      <w:pPr>
        <w:pStyle w:val="Heading3"/>
      </w:pPr>
      <w:bookmarkStart w:id="427" w:name="_Toc95119709"/>
      <w:bookmarkStart w:id="428" w:name="_Toc95120104"/>
      <w:bookmarkStart w:id="429" w:name="_Toc95119068"/>
      <w:r>
        <w:t>Division 7A — Minimum requirements for a family day care educator</w:t>
      </w:r>
      <w:bookmarkEnd w:id="427"/>
      <w:bookmarkEnd w:id="428"/>
      <w:bookmarkEnd w:id="429"/>
    </w:p>
    <w:p>
      <w:pPr>
        <w:pStyle w:val="Footnoteheading"/>
      </w:pPr>
      <w:r>
        <w:tab/>
        <w:t>[Heading inserted: Gazette 28 Sep 2018 p. 3627.]</w:t>
      </w:r>
    </w:p>
    <w:p>
      <w:pPr>
        <w:pStyle w:val="Heading5"/>
      </w:pPr>
      <w:bookmarkStart w:id="430" w:name="_Toc95120105"/>
      <w:bookmarkStart w:id="431" w:name="_Toc95119069"/>
      <w:r>
        <w:rPr>
          <w:rStyle w:val="CharSectno"/>
        </w:rPr>
        <w:t>143A</w:t>
      </w:r>
      <w:r>
        <w:t>.</w:t>
      </w:r>
      <w:r>
        <w:tab/>
        <w:t>Minimum requirements for a family day care educator</w:t>
      </w:r>
      <w:bookmarkEnd w:id="430"/>
      <w:bookmarkEnd w:id="431"/>
    </w:p>
    <w:p>
      <w:pPr>
        <w:pStyle w:val="Subsection"/>
      </w:pPr>
      <w:r>
        <w:tab/>
        <w:t>(1)</w:t>
      </w:r>
      <w:r>
        <w:tab/>
        <w:t xml:space="preserve">An approved provider of a family day care service must not register or engage a person as a family day care educator unless the approved provider — </w:t>
      </w:r>
    </w:p>
    <w:p>
      <w:pPr>
        <w:pStyle w:val="Indenta"/>
      </w:pPr>
      <w:r>
        <w:tab/>
        <w:t>(a)</w:t>
      </w:r>
      <w:r>
        <w:tab/>
        <w:t>has had regard to the matters set out in subregulation (2); and</w:t>
      </w:r>
    </w:p>
    <w:p>
      <w:pPr>
        <w:pStyle w:val="Indenta"/>
      </w:pPr>
      <w:r>
        <w:tab/>
        <w:t>(b)</w:t>
      </w:r>
      <w:r>
        <w:tab/>
        <w:t>has taken reasonable steps to ensure that the person has adequate knowledge and understanding of the provision of education and care to children.</w:t>
      </w:r>
    </w:p>
    <w:p>
      <w:pPr>
        <w:pStyle w:val="Penstart"/>
      </w:pPr>
      <w:r>
        <w:tab/>
        <w:t>Penalty: $2 000.</w:t>
      </w:r>
    </w:p>
    <w:p>
      <w:pPr>
        <w:pStyle w:val="Subsection"/>
      </w:pPr>
      <w:r>
        <w:tab/>
        <w:t>(2)</w:t>
      </w:r>
      <w:r>
        <w:tab/>
        <w:t xml:space="preserve">For the purposes of subregulation (1)(a),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143A inserted: Gazette 28 Sep 2018 p. 3627</w:t>
      </w:r>
      <w:r>
        <w:noBreakHyphen/>
        <w:t>8.]</w:t>
      </w:r>
    </w:p>
    <w:p>
      <w:pPr>
        <w:pStyle w:val="Heading5"/>
      </w:pPr>
      <w:bookmarkStart w:id="432" w:name="_Toc95120106"/>
      <w:bookmarkStart w:id="433" w:name="_Toc95119070"/>
      <w:r>
        <w:rPr>
          <w:rStyle w:val="CharSectno"/>
        </w:rPr>
        <w:t>143B</w:t>
      </w:r>
      <w:r>
        <w:t>.</w:t>
      </w:r>
      <w:r>
        <w:tab/>
        <w:t>Ongoing management of family day care educators</w:t>
      </w:r>
      <w:bookmarkEnd w:id="432"/>
      <w:bookmarkEnd w:id="433"/>
    </w:p>
    <w:p>
      <w:pPr>
        <w:pStyle w:val="Subsection"/>
      </w:pPr>
      <w:r>
        <w:tab/>
      </w:r>
      <w:r>
        <w:tab/>
        <w:t xml:space="preserve">An approved provider of a family day care service must take reasonable steps to ensure that — </w:t>
      </w:r>
    </w:p>
    <w:p>
      <w:pPr>
        <w:pStyle w:val="Indenta"/>
      </w:pPr>
      <w:r>
        <w:tab/>
        <w:t>(a)</w:t>
      </w:r>
      <w:r>
        <w:tab/>
        <w:t>each family day care educator engaged by or registered with the service maintains an adequate knowledge and understanding of the provision of education and care to children; and</w:t>
      </w:r>
    </w:p>
    <w:p>
      <w:pPr>
        <w:pStyle w:val="Indenta"/>
      </w:pPr>
      <w:r>
        <w:tab/>
        <w:t>(b)</w:t>
      </w:r>
      <w:r>
        <w:tab/>
        <w:t>any serious incident that occurs while a child is being educated and cared for by a family day care educator as part of the service is adequately addressed; and</w:t>
      </w:r>
    </w:p>
    <w:p>
      <w:pPr>
        <w:pStyle w:val="Indenta"/>
      </w:pPr>
      <w:r>
        <w:tab/>
        <w:t>(c)</w:t>
      </w:r>
      <w:r>
        <w:tab/>
        <w:t>any complaints alleging that the Law has been contravened or that a serious incident has occurred or is occurring while a child was or is being educated and cared for by a family day care educator are adequately addressed.</w:t>
      </w:r>
    </w:p>
    <w:p>
      <w:pPr>
        <w:pStyle w:val="Penstart"/>
      </w:pPr>
      <w:r>
        <w:tab/>
        <w:t>Penalty: $2 000.</w:t>
      </w:r>
    </w:p>
    <w:p>
      <w:pPr>
        <w:pStyle w:val="Footnotesection"/>
      </w:pPr>
      <w:r>
        <w:tab/>
        <w:t>[Regulation 143B inserted: Gazette 28 Sep 2018 p. 3628</w:t>
      </w:r>
      <w:r>
        <w:noBreakHyphen/>
        <w:t>9.]</w:t>
      </w:r>
    </w:p>
    <w:p>
      <w:pPr>
        <w:pStyle w:val="Heading4"/>
      </w:pPr>
      <w:bookmarkStart w:id="434" w:name="_Toc95119712"/>
      <w:bookmarkStart w:id="435" w:name="_Toc95120107"/>
      <w:bookmarkStart w:id="436" w:name="_Toc95119071"/>
      <w:r>
        <w:t>Division 8 — Family day care educator assistant</w:t>
      </w:r>
      <w:bookmarkEnd w:id="434"/>
      <w:bookmarkEnd w:id="435"/>
      <w:bookmarkEnd w:id="436"/>
    </w:p>
    <w:p>
      <w:pPr>
        <w:pStyle w:val="Heading5"/>
      </w:pPr>
      <w:bookmarkStart w:id="437" w:name="_Toc95120108"/>
      <w:bookmarkStart w:id="438" w:name="_Toc95119072"/>
      <w:r>
        <w:rPr>
          <w:rStyle w:val="CharSectno"/>
        </w:rPr>
        <w:t>144</w:t>
      </w:r>
      <w:r>
        <w:t>.</w:t>
      </w:r>
      <w:r>
        <w:tab/>
        <w:t>Family day care educator assistant</w:t>
      </w:r>
      <w:bookmarkEnd w:id="437"/>
      <w:bookmarkEnd w:id="438"/>
    </w:p>
    <w:p>
      <w:pPr>
        <w:pStyle w:val="Subsection"/>
      </w:pPr>
      <w:r>
        <w:tab/>
        <w:t>(1)</w:t>
      </w:r>
      <w:r>
        <w:tab/>
        <w:t xml:space="preserve">For the purposes of section 164A(1) and (2) of the Law, a person other than a family day care educator may educate and care for a child as part of a family day care service if — </w:t>
      </w:r>
    </w:p>
    <w:p>
      <w:pPr>
        <w:pStyle w:val="Indenta"/>
      </w:pPr>
      <w:r>
        <w:tab/>
        <w:t>(a)</w:t>
      </w:r>
      <w:r>
        <w:tab/>
        <w:t>the person is a family day care educator assistant approved under subregulation (2); and</w:t>
      </w:r>
    </w:p>
    <w:p>
      <w:pPr>
        <w:pStyle w:val="Indenta"/>
      </w:pPr>
      <w:r>
        <w:tab/>
        <w:t>(b)</w:t>
      </w:r>
      <w:r>
        <w:tab/>
        <w:t>the person provides education and care in the circumstances set out in subregulation (4).</w:t>
      </w:r>
    </w:p>
    <w:p>
      <w:pPr>
        <w:pStyle w:val="Subsection"/>
      </w:pPr>
      <w:r>
        <w:tab/>
        <w:t>(2)</w:t>
      </w:r>
      <w:r>
        <w:tab/>
        <w:t>An approved provider of a family day care service may approve a person as a family day care educator assistant to assist a family day care educator in providing education and care to children as part of the family day care service.</w:t>
      </w:r>
    </w:p>
    <w:p>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pPr>
        <w:pStyle w:val="Subsection"/>
      </w:pPr>
      <w:r>
        <w:tab/>
        <w:t>(4)</w:t>
      </w:r>
      <w:r>
        <w:tab/>
        <w:t xml:space="preserve">An approved family day care educator assistant may assist the family day care educator — </w:t>
      </w:r>
    </w:p>
    <w:p>
      <w:pPr>
        <w:pStyle w:val="Indenta"/>
      </w:pPr>
      <w:r>
        <w:tab/>
        <w:t>(a)</w:t>
      </w:r>
      <w:r>
        <w:tab/>
        <w:t xml:space="preserve">in the absence of the family day care educator, to transport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or</w:t>
      </w:r>
    </w:p>
    <w:p>
      <w:pPr>
        <w:pStyle w:val="Indenta"/>
      </w:pPr>
      <w:r>
        <w:tab/>
        <w:t>(b)</w:t>
      </w:r>
      <w:r>
        <w:tab/>
        <w:t>in the absence of the family day care educator, in emergency situations, including when the educator requires urgent medical care or treatment; or</w:t>
      </w:r>
    </w:p>
    <w:p>
      <w:pPr>
        <w:pStyle w:val="Indenta"/>
      </w:pPr>
      <w:r>
        <w:tab/>
        <w:t>(c)</w:t>
      </w:r>
      <w:r>
        <w:tab/>
        <w:t xml:space="preserve">in the absence of the family day care educator, to enable the educator to attend an appointment (other than a regular appointment) in unforeseen or exceptional circumstances,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t>or</w:t>
      </w:r>
    </w:p>
    <w:p>
      <w:pPr>
        <w:pStyle w:val="Indenta"/>
      </w:pPr>
      <w:r>
        <w:tab/>
        <w:t>(d)</w:t>
      </w:r>
      <w:r>
        <w:tab/>
        <w:t>while the educator is educating and caring for children as part of the family day care service.</w:t>
      </w:r>
    </w:p>
    <w:p>
      <w:pPr>
        <w:pStyle w:val="Footnotesection"/>
      </w:pPr>
      <w:r>
        <w:tab/>
        <w:t>[Regulation 144 inserted: Gazette 28 Sep 2018 p. 3629</w:t>
      </w:r>
      <w:r>
        <w:noBreakHyphen/>
        <w:t>30.]</w:t>
      </w:r>
    </w:p>
    <w:p>
      <w:pPr>
        <w:pStyle w:val="Heading4"/>
        <w:spacing w:before="220"/>
      </w:pPr>
      <w:bookmarkStart w:id="439" w:name="_Toc95119714"/>
      <w:bookmarkStart w:id="440" w:name="_Toc95120109"/>
      <w:bookmarkStart w:id="441" w:name="_Toc95119073"/>
      <w:r>
        <w:t>Division 9 — Staff and educator records — centre</w:t>
      </w:r>
      <w:r>
        <w:noBreakHyphen/>
        <w:t>based services</w:t>
      </w:r>
      <w:bookmarkEnd w:id="439"/>
      <w:bookmarkEnd w:id="440"/>
      <w:bookmarkEnd w:id="441"/>
    </w:p>
    <w:p>
      <w:pPr>
        <w:pStyle w:val="Heading5"/>
        <w:spacing w:before="180"/>
      </w:pPr>
      <w:bookmarkStart w:id="442" w:name="_Toc95120110"/>
      <w:bookmarkStart w:id="443" w:name="_Toc95119074"/>
      <w:r>
        <w:rPr>
          <w:rStyle w:val="CharSectno"/>
        </w:rPr>
        <w:t>145</w:t>
      </w:r>
      <w:r>
        <w:t>.</w:t>
      </w:r>
      <w:r>
        <w:tab/>
        <w:t>Staff record</w:t>
      </w:r>
      <w:bookmarkEnd w:id="442"/>
      <w:bookmarkEnd w:id="443"/>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444" w:name="_Toc95120111"/>
      <w:bookmarkStart w:id="445" w:name="_Toc95119075"/>
      <w:r>
        <w:rPr>
          <w:rStyle w:val="CharSectno"/>
        </w:rPr>
        <w:t>146</w:t>
      </w:r>
      <w:r>
        <w:t>.</w:t>
      </w:r>
      <w:r>
        <w:tab/>
        <w:t>Nominated supervisor</w:t>
      </w:r>
      <w:bookmarkEnd w:id="444"/>
      <w:bookmarkEnd w:id="445"/>
      <w:r>
        <w:t xml:space="preserve"> </w:t>
      </w:r>
    </w:p>
    <w:p>
      <w:pPr>
        <w:pStyle w:val="Subsection"/>
        <w:spacing w:before="140"/>
      </w:pPr>
      <w:r>
        <w:tab/>
      </w:r>
      <w:r>
        <w:tab/>
        <w:t xml:space="preserve">The staff record must include the following information in relation to each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nominated supervisor is actively working towards that qualification as provided under regulation 10;</w:t>
      </w:r>
    </w:p>
    <w:p>
      <w:pPr>
        <w:pStyle w:val="Indenta"/>
      </w:pPr>
      <w:r>
        <w:tab/>
        <w:t>(c)</w:t>
      </w:r>
      <w:r>
        <w:tab/>
        <w:t>evidence of any approved training (including first aid training) completed by the nominated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146 amended: Gazette 13 Dec 2013 p.</w:t>
      </w:r>
      <w:r>
        <w:rPr>
          <w:sz w:val="19"/>
        </w:rPr>
        <w:t> </w:t>
      </w:r>
      <w:r>
        <w:t>6164; 28 Nov 2014 p. 4407; 26 Jun 2018 p. 2359; 28 Sep 2018 p. 3630</w:t>
      </w:r>
      <w:r>
        <w:noBreakHyphen/>
        <w:t>1.]</w:t>
      </w:r>
    </w:p>
    <w:p>
      <w:pPr>
        <w:pStyle w:val="Heading5"/>
      </w:pPr>
      <w:bookmarkStart w:id="446" w:name="_Toc95120112"/>
      <w:bookmarkStart w:id="447" w:name="_Toc95119076"/>
      <w:r>
        <w:rPr>
          <w:rStyle w:val="CharSectno"/>
        </w:rPr>
        <w:t>147</w:t>
      </w:r>
      <w:r>
        <w:t>.</w:t>
      </w:r>
      <w:r>
        <w:tab/>
        <w:t>Staff members</w:t>
      </w:r>
      <w:bookmarkEnd w:id="446"/>
      <w:bookmarkEnd w:id="447"/>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147 amended: Gazette 13 Dec 2013 p.</w:t>
      </w:r>
      <w:r>
        <w:rPr>
          <w:sz w:val="19"/>
        </w:rPr>
        <w:t> </w:t>
      </w:r>
      <w:r>
        <w:t>6164</w:t>
      </w:r>
      <w:r>
        <w:noBreakHyphen/>
        <w:t>5; 28 Nov 2014 p. 4407; 26 Jun 2018 p. 2359; 28 Sep 2018 p. 3631.]</w:t>
      </w:r>
    </w:p>
    <w:p>
      <w:pPr>
        <w:pStyle w:val="Heading5"/>
      </w:pPr>
      <w:bookmarkStart w:id="448" w:name="_Toc95120113"/>
      <w:bookmarkStart w:id="449" w:name="_Toc95119077"/>
      <w:r>
        <w:rPr>
          <w:rStyle w:val="CharSectno"/>
        </w:rPr>
        <w:t>148</w:t>
      </w:r>
      <w:r>
        <w:t>.</w:t>
      </w:r>
      <w:r>
        <w:tab/>
        <w:t>Educational leader</w:t>
      </w:r>
      <w:bookmarkEnd w:id="448"/>
      <w:bookmarkEnd w:id="449"/>
      <w:r>
        <w:t xml:space="preserve"> </w:t>
      </w:r>
    </w:p>
    <w:p>
      <w:pPr>
        <w:pStyle w:val="Subsection"/>
      </w:pPr>
      <w:r>
        <w:tab/>
      </w:r>
      <w:r>
        <w:tab/>
        <w:t>The staff record must include the name of the person designated as the educational leader in accordance with regulation 118.</w:t>
      </w:r>
    </w:p>
    <w:p>
      <w:pPr>
        <w:pStyle w:val="Heading5"/>
      </w:pPr>
      <w:bookmarkStart w:id="450" w:name="_Toc95120114"/>
      <w:bookmarkStart w:id="451" w:name="_Toc95119078"/>
      <w:r>
        <w:rPr>
          <w:rStyle w:val="CharSectno"/>
        </w:rPr>
        <w:t>149</w:t>
      </w:r>
      <w:r>
        <w:t>.</w:t>
      </w:r>
      <w:r>
        <w:tab/>
        <w:t>Volunteers and students</w:t>
      </w:r>
      <w:bookmarkEnd w:id="450"/>
      <w:bookmarkEnd w:id="451"/>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452" w:name="_Toc95120115"/>
      <w:bookmarkStart w:id="453" w:name="_Toc95119079"/>
      <w:r>
        <w:rPr>
          <w:rStyle w:val="CharSectno"/>
        </w:rPr>
        <w:t>150</w:t>
      </w:r>
      <w:r>
        <w:t>.</w:t>
      </w:r>
      <w:r>
        <w:tab/>
        <w:t>Responsible person</w:t>
      </w:r>
      <w:bookmarkEnd w:id="452"/>
      <w:bookmarkEnd w:id="453"/>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454" w:name="_Toc95120116"/>
      <w:bookmarkStart w:id="455" w:name="_Toc95119080"/>
      <w:r>
        <w:rPr>
          <w:rStyle w:val="CharSectno"/>
        </w:rPr>
        <w:t>151</w:t>
      </w:r>
      <w:r>
        <w:t>.</w:t>
      </w:r>
      <w:r>
        <w:tab/>
        <w:t>Record of educators working directly with children</w:t>
      </w:r>
      <w:bookmarkEnd w:id="454"/>
      <w:bookmarkEnd w:id="455"/>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456" w:name="_Toc95120117"/>
      <w:bookmarkStart w:id="457" w:name="_Toc95119081"/>
      <w:r>
        <w:rPr>
          <w:rStyle w:val="CharSectno"/>
        </w:rPr>
        <w:t>152</w:t>
      </w:r>
      <w:r>
        <w:t>.</w:t>
      </w:r>
      <w:r>
        <w:tab/>
        <w:t>Record of access to early childhood teachers</w:t>
      </w:r>
      <w:bookmarkEnd w:id="456"/>
      <w:bookmarkEnd w:id="457"/>
      <w:r>
        <w:t xml:space="preserve"> </w:t>
      </w:r>
    </w:p>
    <w:p>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but not more than 59 children preschool age or under must ensure that a record is kept of the period that an early childhood teacher is in attendance at the service.</w:t>
      </w:r>
    </w:p>
    <w:p>
      <w:pPr>
        <w:pStyle w:val="Subsection"/>
      </w:pPr>
      <w:r>
        <w:tab/>
        <w:t>(3)</w:t>
      </w:r>
      <w:r>
        <w:tab/>
        <w:t>The approved provider of a centre</w:t>
      </w:r>
      <w:r>
        <w:noBreakHyphen/>
        <w:t>based service that provides education and care to 60 or more children preschool age or under must ensure that a record is kept of the period that each early childhood teacher and each suitably qualified person is in attendance at the service.</w:t>
      </w:r>
    </w:p>
    <w:p>
      <w:pPr>
        <w:pStyle w:val="Footnotesection"/>
      </w:pPr>
      <w:r>
        <w:tab/>
        <w:t>[Regulation 152 amended: Gazette 24 Dec 2019 p. 4425</w:t>
      </w:r>
      <w:r>
        <w:noBreakHyphen/>
        <w:t>6.]</w:t>
      </w:r>
    </w:p>
    <w:p>
      <w:pPr>
        <w:pStyle w:val="Heading4"/>
      </w:pPr>
      <w:bookmarkStart w:id="458" w:name="_Toc95119723"/>
      <w:bookmarkStart w:id="459" w:name="_Toc95120118"/>
      <w:bookmarkStart w:id="460" w:name="_Toc95119082"/>
      <w:r>
        <w:t>Division 10 — Register of family day care educators, co</w:t>
      </w:r>
      <w:r>
        <w:noBreakHyphen/>
        <w:t>ordinators and assistants and records of family day care service</w:t>
      </w:r>
      <w:bookmarkEnd w:id="458"/>
      <w:bookmarkEnd w:id="459"/>
      <w:bookmarkEnd w:id="460"/>
    </w:p>
    <w:p>
      <w:pPr>
        <w:pStyle w:val="Footnoteheading"/>
      </w:pPr>
      <w:r>
        <w:tab/>
        <w:t>[Heading amended: Gazette 28 Sep 2018 p. 3632.]</w:t>
      </w:r>
    </w:p>
    <w:p>
      <w:pPr>
        <w:pStyle w:val="Heading5"/>
      </w:pPr>
      <w:bookmarkStart w:id="461" w:name="_Toc95120119"/>
      <w:bookmarkStart w:id="462" w:name="_Toc95119083"/>
      <w:r>
        <w:rPr>
          <w:rStyle w:val="CharSectno"/>
        </w:rPr>
        <w:t>153</w:t>
      </w:r>
      <w:r>
        <w:t>.</w:t>
      </w:r>
      <w:r>
        <w:tab/>
        <w:t>Register of family day care educators, co-ordinators and educator assistants</w:t>
      </w:r>
      <w:bookmarkEnd w:id="461"/>
      <w:bookmarkEnd w:id="462"/>
    </w:p>
    <w:p>
      <w:pPr>
        <w:pStyle w:val="Subsection"/>
      </w:pPr>
      <w:r>
        <w:tab/>
        <w:t>(1)</w:t>
      </w:r>
      <w:r>
        <w:tab/>
        <w:t xml:space="preserve">For the purposes of section 269(1)(a) of the Law, the register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the date that the educator ceased to be engaged by or registered with the service (if applicable);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Ednotepara"/>
      </w:pPr>
      <w:r>
        <w:tab/>
        <w:t>[(h)</w:t>
      </w:r>
      <w:r>
        <w:tab/>
        <w:t>deleted]</w:t>
      </w:r>
    </w:p>
    <w:p>
      <w:pPr>
        <w:pStyle w:val="Indenta"/>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keepNext/>
      </w:pPr>
      <w:r>
        <w:tab/>
        <w:t>(l)</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educator’s current working with vulnerable people registration and the expiry date of that registration (if applicable);</w:t>
      </w:r>
    </w:p>
    <w:p>
      <w:pPr>
        <w:pStyle w:val="Indenta"/>
      </w:pPr>
      <w:r>
        <w:tab/>
        <w:t>(la)</w:t>
      </w:r>
      <w:r>
        <w:tab/>
        <w:t>in relation to a check or registration referred to in paragraph (l), the date that the check or registration was sighted by the approved provider or a nominated supervisor of the service;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current working with children check, current working with children card, current working with vulnerable people check or criminal history record check or current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a nominated supervisor of the service;</w:t>
      </w:r>
    </w:p>
    <w:p>
      <w:pPr>
        <w:pStyle w:val="Indenta"/>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pPr>
        <w:pStyle w:val="Indenti"/>
      </w:pPr>
      <w:r>
        <w:tab/>
        <w:t>(i)</w:t>
      </w:r>
      <w:r>
        <w:tab/>
        <w:t>the dates and times of any visits by the co</w:t>
      </w:r>
      <w:r>
        <w:noBreakHyphen/>
        <w:t>ordinator to the family day care  residence or family day care venue for the purpose of monitoring or support;</w:t>
      </w:r>
    </w:p>
    <w:p>
      <w:pPr>
        <w:pStyle w:val="Indenti"/>
      </w:pPr>
      <w:r>
        <w:tab/>
        <w:t>(ii)</w:t>
      </w:r>
      <w:r>
        <w:tab/>
        <w:t>the dates and times of any telephone calls between the co</w:t>
      </w:r>
      <w:r>
        <w:noBreakHyphen/>
        <w:t>ordinator and the educator for the purpose of monitoring or support;</w:t>
      </w:r>
    </w:p>
    <w:p>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pPr>
        <w:pStyle w:val="Subsection"/>
        <w:keepNext/>
      </w:pPr>
      <w:r>
        <w:tab/>
        <w:t>(2)</w:t>
      </w:r>
      <w:r>
        <w:tab/>
        <w:t>For the purposes of section 269(1)(b) of the Law, the register must include the following information in relation to each family day care co</w:t>
      </w:r>
      <w:r>
        <w:noBreakHyphen/>
        <w:t xml:space="preserve">ordinator employed or engaged by the service — </w:t>
      </w:r>
    </w:p>
    <w:p>
      <w:pPr>
        <w:pStyle w:val="Indenta"/>
      </w:pPr>
      <w:r>
        <w:tab/>
        <w:t>(a)</w:t>
      </w:r>
      <w:r>
        <w:tab/>
        <w:t>the full name, address and date of birth of the co</w:t>
      </w:r>
      <w:r>
        <w:noBreakHyphen/>
        <w:t>ordinator;</w:t>
      </w:r>
    </w:p>
    <w:p>
      <w:pPr>
        <w:pStyle w:val="Indenta"/>
      </w:pPr>
      <w:r>
        <w:tab/>
        <w:t>(b)</w:t>
      </w:r>
      <w:r>
        <w:tab/>
        <w:t>the contact details of the co</w:t>
      </w:r>
      <w:r>
        <w:noBreakHyphen/>
        <w:t xml:space="preserve">ordinator; </w:t>
      </w:r>
    </w:p>
    <w:p>
      <w:pPr>
        <w:pStyle w:val="Indenta"/>
      </w:pPr>
      <w:r>
        <w:tab/>
        <w:t>(c)</w:t>
      </w:r>
      <w:r>
        <w:tab/>
        <w:t>the date that the co</w:t>
      </w:r>
      <w:r>
        <w:noBreakHyphen/>
        <w:t xml:space="preserve">ordinator was employed or engaged by the service; </w:t>
      </w:r>
    </w:p>
    <w:p>
      <w:pPr>
        <w:pStyle w:val="Indenta"/>
      </w:pPr>
      <w:r>
        <w:tab/>
        <w:t>(d)</w:t>
      </w:r>
      <w:r>
        <w:tab/>
        <w:t>the date that the co</w:t>
      </w:r>
      <w:r>
        <w:noBreakHyphen/>
        <w:t>ordinator ceased to be employed or engaged by the service (if applicable);</w:t>
      </w:r>
    </w:p>
    <w:p>
      <w:pPr>
        <w:pStyle w:val="Indenta"/>
      </w:pPr>
      <w:r>
        <w:tab/>
        <w:t>(e)</w:t>
      </w:r>
      <w:r>
        <w:tab/>
        <w:t>if the co</w:t>
      </w:r>
      <w:r>
        <w:noBreakHyphen/>
        <w:t xml:space="preserve">ordinator is an approved provider, the number of the provider approval and the date the approval was granted; </w:t>
      </w:r>
    </w:p>
    <w:p>
      <w:pPr>
        <w:pStyle w:val="Indenta"/>
      </w:pPr>
      <w:r>
        <w:tab/>
        <w:t>(f)</w:t>
      </w:r>
      <w:r>
        <w:tab/>
        <w:t>evidence of any relevant qualifications held by the co</w:t>
      </w:r>
      <w:r>
        <w:noBreakHyphen/>
        <w:t>ordinator;</w:t>
      </w:r>
    </w:p>
    <w:p>
      <w:pPr>
        <w:pStyle w:val="Indenta"/>
      </w:pPr>
      <w:r>
        <w:tab/>
        <w:t>(g)</w:t>
      </w:r>
      <w:r>
        <w:tab/>
        <w:t>if the co</w:t>
      </w:r>
      <w:r>
        <w:noBreakHyphen/>
        <w:t>ordinator will be providing education and care to children, evidence that the co</w:t>
      </w:r>
      <w:r>
        <w:noBreakHyphen/>
        <w:t xml:space="preserve">ordinator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(h)</w:t>
      </w:r>
      <w:r>
        <w:tab/>
        <w:t>evidence of any other training completed by the co</w:t>
      </w:r>
      <w:r>
        <w:noBreakHyphen/>
        <w:t>ordinator;</w:t>
      </w:r>
    </w:p>
    <w:p>
      <w:pPr>
        <w:pStyle w:val="Indenta"/>
      </w:pPr>
      <w:r>
        <w:tab/>
        <w:t>(i)</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co</w:t>
      </w:r>
      <w:r>
        <w:noBreakHyphen/>
        <w:t>ordinator’s current working with vulnerable people registration and the expiry date of that registration (if applicable);</w:t>
      </w:r>
    </w:p>
    <w:p>
      <w:pPr>
        <w:pStyle w:val="Indenta"/>
      </w:pPr>
      <w:r>
        <w:tab/>
        <w:t>(j)</w:t>
      </w:r>
      <w:r>
        <w:tab/>
        <w:t>in relation to a check or registration referred to in paragraph (i), the date that the check or registration was sighted by the approved provider or a nominated supervisor of the service.</w:t>
      </w:r>
    </w:p>
    <w:p>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pPr>
        <w:pStyle w:val="Indenta"/>
      </w:pPr>
      <w:r>
        <w:tab/>
        <w:t>(a)</w:t>
      </w:r>
      <w:r>
        <w:tab/>
        <w:t>the full name, address and date of birth of the educator assistant;</w:t>
      </w:r>
    </w:p>
    <w:p>
      <w:pPr>
        <w:pStyle w:val="Indenta"/>
      </w:pPr>
      <w:r>
        <w:tab/>
        <w:t>(b)</w:t>
      </w:r>
      <w:r>
        <w:tab/>
        <w:t>the contact details of the educator assistant;</w:t>
      </w:r>
    </w:p>
    <w:p>
      <w:pPr>
        <w:pStyle w:val="Indenta"/>
      </w:pPr>
      <w:r>
        <w:tab/>
        <w:t>(c)</w:t>
      </w:r>
      <w:r>
        <w:tab/>
        <w:t>the name of the family day care educator to be assisted by the educator assistant;</w:t>
      </w:r>
    </w:p>
    <w:p>
      <w:pPr>
        <w:pStyle w:val="Indenta"/>
      </w:pPr>
      <w:r>
        <w:tab/>
        <w:t>(d)</w:t>
      </w:r>
      <w:r>
        <w:tab/>
        <w:t>the address of the residence or approved family day care venue where the educator assistant will be providing education and care to children as part of the service, including a statement as to whether it is a residence or a venue;</w:t>
      </w:r>
    </w:p>
    <w:p>
      <w:pPr>
        <w:pStyle w:val="Indenta"/>
      </w:pPr>
      <w:r>
        <w:tab/>
        <w:t>(e)</w:t>
      </w:r>
      <w:r>
        <w:tab/>
        <w:t>the date that the educator assistant was engaged by or registered with the service;</w:t>
      </w:r>
    </w:p>
    <w:p>
      <w:pPr>
        <w:pStyle w:val="Indenta"/>
      </w:pPr>
      <w:r>
        <w:tab/>
        <w:t>(f)</w:t>
      </w:r>
      <w:r>
        <w:tab/>
        <w:t>the date that the educator assistant ceased to be engaged by or registered with the service (if applicable);</w:t>
      </w:r>
    </w:p>
    <w:p>
      <w:pPr>
        <w:pStyle w:val="Indenta"/>
      </w:pPr>
      <w:r>
        <w:tab/>
        <w:t>(g)</w:t>
      </w:r>
      <w:r>
        <w:tab/>
        <w:t>if the educator assistant is an approved provider, the number of the provider approval and the date the approval was granted;</w:t>
      </w:r>
    </w:p>
    <w:p>
      <w:pPr>
        <w:pStyle w:val="Indenta"/>
      </w:pPr>
      <w:r>
        <w:tab/>
        <w:t>(h)</w:t>
      </w:r>
      <w:r>
        <w:tab/>
        <w:t>evidence of any relevant qualifications held by the educator assistant;</w:t>
      </w:r>
    </w:p>
    <w:p>
      <w:pPr>
        <w:pStyle w:val="Indenta"/>
      </w:pPr>
      <w:r>
        <w:tab/>
        <w:t>(i)</w:t>
      </w:r>
      <w:r>
        <w:tab/>
        <w:t xml:space="preserve">evidence that the educator assistant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(j)</w:t>
      </w:r>
      <w:r>
        <w:tab/>
        <w:t>evidence of any other training completed by the educator assistant;</w:t>
      </w:r>
    </w:p>
    <w:p>
      <w:pPr>
        <w:pStyle w:val="Indenta"/>
      </w:pPr>
      <w:r>
        <w:tab/>
        <w:t>(k)</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assistant has provided proof of the educator assistant’s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 assistant’s current working with vulnerable people registration and the expiry date of that registration (if applicable);</w:t>
      </w:r>
    </w:p>
    <w:p>
      <w:pPr>
        <w:pStyle w:val="Indenta"/>
      </w:pPr>
      <w:r>
        <w:tab/>
        <w:t>(l)</w:t>
      </w:r>
      <w:r>
        <w:tab/>
        <w:t>in relation to a check or registration referred to in paragraph (k), the date that the check or registration was sighted by the approved provider or a nominated supervisor of the service.</w:t>
      </w:r>
    </w:p>
    <w:p>
      <w:pPr>
        <w:pStyle w:val="Subsection"/>
      </w:pPr>
      <w:r>
        <w:tab/>
        <w:t>(4)</w:t>
      </w:r>
      <w:r>
        <w:tab/>
        <w:t>Information held on the register in relation to a family day care educator, a family day care co</w:t>
      </w:r>
      <w:r>
        <w:noBreakHyphen/>
        <w:t>ordinator or a family day care educator assistant must be kept on the register until the end of 3 years after the date on which the family day care educator, the family day care co</w:t>
      </w:r>
      <w:r>
        <w:noBreakHyphen/>
        <w:t>ordinator or the family day care educator assistant ceased to be employed or engaged by or registered with the service.</w:t>
      </w:r>
    </w:p>
    <w:p>
      <w:pPr>
        <w:pStyle w:val="Footnotesection"/>
      </w:pPr>
      <w:r>
        <w:tab/>
        <w:t>[Regulation 153 amended: Gazette 28 Sep 2018 p. 3632</w:t>
      </w:r>
      <w:r>
        <w:noBreakHyphen/>
        <w:t>8.]</w:t>
      </w:r>
    </w:p>
    <w:p>
      <w:pPr>
        <w:pStyle w:val="Heading5"/>
      </w:pPr>
      <w:bookmarkStart w:id="463" w:name="_Toc95120120"/>
      <w:bookmarkStart w:id="464" w:name="_Toc95119084"/>
      <w:r>
        <w:rPr>
          <w:rStyle w:val="CharSectno"/>
        </w:rPr>
        <w:t>154</w:t>
      </w:r>
      <w:r>
        <w:t>.</w:t>
      </w:r>
      <w:r>
        <w:tab/>
        <w:t>Record of staff engaged or employed by family day care service</w:t>
      </w:r>
      <w:bookmarkEnd w:id="463"/>
      <w:bookmarkEnd w:id="464"/>
    </w:p>
    <w:p>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a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p>
    <w:p>
      <w:pPr>
        <w:pStyle w:val="Ednotepara"/>
      </w:pPr>
      <w:r>
        <w:tab/>
        <w:t>[(e)</w:t>
      </w:r>
      <w:r>
        <w:tab/>
        <w:t>deleted]</w:t>
      </w:r>
    </w:p>
    <w:p>
      <w:pPr>
        <w:pStyle w:val="Footnotesection"/>
      </w:pPr>
      <w:r>
        <w:tab/>
        <w:t>[Regulation 154 amended: Gazette 28 Sep 2018 p. 3638</w:t>
      </w:r>
      <w:r>
        <w:noBreakHyphen/>
        <w:t>9.]</w:t>
      </w:r>
    </w:p>
    <w:p>
      <w:pPr>
        <w:pStyle w:val="Heading3"/>
      </w:pPr>
      <w:bookmarkStart w:id="465" w:name="_Toc95119726"/>
      <w:bookmarkStart w:id="466" w:name="_Toc95120121"/>
      <w:bookmarkStart w:id="467" w:name="_Toc95119085"/>
      <w:r>
        <w:rPr>
          <w:rStyle w:val="CharDivNo"/>
        </w:rPr>
        <w:t>Part 4.5</w:t>
      </w:r>
      <w:r>
        <w:t> — </w:t>
      </w:r>
      <w:r>
        <w:rPr>
          <w:rStyle w:val="CharDivText"/>
        </w:rPr>
        <w:t>Relationships with children</w:t>
      </w:r>
      <w:bookmarkEnd w:id="465"/>
      <w:bookmarkEnd w:id="466"/>
      <w:bookmarkEnd w:id="467"/>
    </w:p>
    <w:p>
      <w:pPr>
        <w:pStyle w:val="Heading5"/>
      </w:pPr>
      <w:bookmarkStart w:id="468" w:name="_Toc95120122"/>
      <w:bookmarkStart w:id="469" w:name="_Toc95119086"/>
      <w:r>
        <w:rPr>
          <w:rStyle w:val="CharSectno"/>
        </w:rPr>
        <w:t>155</w:t>
      </w:r>
      <w:r>
        <w:t>.</w:t>
      </w:r>
      <w:r>
        <w:tab/>
        <w:t>Interactions with children</w:t>
      </w:r>
      <w:bookmarkEnd w:id="468"/>
      <w:bookmarkEnd w:id="469"/>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470" w:name="_Toc95120123"/>
      <w:bookmarkStart w:id="471" w:name="_Toc95119087"/>
      <w:r>
        <w:rPr>
          <w:rStyle w:val="CharSectno"/>
        </w:rPr>
        <w:t>156</w:t>
      </w:r>
      <w:r>
        <w:t>.</w:t>
      </w:r>
      <w:r>
        <w:tab/>
        <w:t>Relationships in groups</w:t>
      </w:r>
      <w:bookmarkEnd w:id="470"/>
      <w:bookmarkEnd w:id="471"/>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472" w:name="_Toc95119729"/>
      <w:bookmarkStart w:id="473" w:name="_Toc95120124"/>
      <w:bookmarkStart w:id="474" w:name="_Toc95119088"/>
      <w:r>
        <w:rPr>
          <w:rStyle w:val="CharDivNo"/>
        </w:rPr>
        <w:t>Part 4.6</w:t>
      </w:r>
      <w:r>
        <w:t> — </w:t>
      </w:r>
      <w:r>
        <w:rPr>
          <w:rStyle w:val="CharDivText"/>
        </w:rPr>
        <w:t>Collaborative partnerships with families and communities</w:t>
      </w:r>
      <w:bookmarkEnd w:id="472"/>
      <w:bookmarkEnd w:id="473"/>
      <w:bookmarkEnd w:id="474"/>
    </w:p>
    <w:p>
      <w:pPr>
        <w:pStyle w:val="Heading5"/>
      </w:pPr>
      <w:bookmarkStart w:id="475" w:name="_Toc95120125"/>
      <w:bookmarkStart w:id="476" w:name="_Toc95119089"/>
      <w:r>
        <w:rPr>
          <w:rStyle w:val="CharSectno"/>
        </w:rPr>
        <w:t>157</w:t>
      </w:r>
      <w:r>
        <w:t>.</w:t>
      </w:r>
      <w:r>
        <w:tab/>
        <w:t>Access for parents</w:t>
      </w:r>
      <w:bookmarkEnd w:id="475"/>
      <w:bookmarkEnd w:id="476"/>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A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Gazette 28 Nov 2014 p. 4407; 28 Sep 2018 p. 3639.]</w:t>
      </w:r>
    </w:p>
    <w:p>
      <w:pPr>
        <w:pStyle w:val="Heading3"/>
      </w:pPr>
      <w:bookmarkStart w:id="477" w:name="_Toc95119731"/>
      <w:bookmarkStart w:id="478" w:name="_Toc95120126"/>
      <w:bookmarkStart w:id="479" w:name="_Toc95119090"/>
      <w:r>
        <w:rPr>
          <w:rStyle w:val="CharDivNo"/>
        </w:rPr>
        <w:t>Part 4.7</w:t>
      </w:r>
      <w:r>
        <w:t> — </w:t>
      </w:r>
      <w:r>
        <w:rPr>
          <w:rStyle w:val="CharDivText"/>
        </w:rPr>
        <w:t>Governance and leadership</w:t>
      </w:r>
      <w:bookmarkEnd w:id="477"/>
      <w:bookmarkEnd w:id="478"/>
      <w:bookmarkEnd w:id="479"/>
    </w:p>
    <w:p>
      <w:pPr>
        <w:pStyle w:val="Footnoteheading"/>
      </w:pPr>
      <w:r>
        <w:tab/>
        <w:t>[Heading inserted: Gazette 26 Jun 2018 p. 2359.]</w:t>
      </w:r>
    </w:p>
    <w:p>
      <w:pPr>
        <w:pStyle w:val="Heading4"/>
        <w:spacing w:before="200"/>
      </w:pPr>
      <w:bookmarkStart w:id="480" w:name="_Toc95119732"/>
      <w:bookmarkStart w:id="481" w:name="_Toc95120127"/>
      <w:bookmarkStart w:id="482" w:name="_Toc95119091"/>
      <w:r>
        <w:t>Division 1 — Management of services</w:t>
      </w:r>
      <w:bookmarkEnd w:id="480"/>
      <w:bookmarkEnd w:id="481"/>
      <w:bookmarkEnd w:id="482"/>
    </w:p>
    <w:p>
      <w:pPr>
        <w:pStyle w:val="MiscellaneousHeading"/>
        <w:spacing w:before="200"/>
        <w:rPr>
          <w:b/>
        </w:rPr>
      </w:pPr>
      <w:r>
        <w:rPr>
          <w:b/>
        </w:rPr>
        <w:t>Subdivision 1 — Attendance and enrolment records</w:t>
      </w:r>
    </w:p>
    <w:p>
      <w:pPr>
        <w:pStyle w:val="Heading5"/>
        <w:spacing w:before="180"/>
      </w:pPr>
      <w:bookmarkStart w:id="483" w:name="_Toc95120128"/>
      <w:bookmarkStart w:id="484" w:name="_Toc95119092"/>
      <w:r>
        <w:rPr>
          <w:rStyle w:val="CharSectno"/>
        </w:rPr>
        <w:t>158</w:t>
      </w:r>
      <w:r>
        <w:t>.</w:t>
      </w:r>
      <w:r>
        <w:tab/>
        <w:t>Children’s attendance record to be kept by approved provider</w:t>
      </w:r>
      <w:bookmarkEnd w:id="483"/>
      <w:bookmarkEnd w:id="484"/>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a nominated supervisor or an educator.</w:t>
      </w:r>
    </w:p>
    <w:p>
      <w:pPr>
        <w:pStyle w:val="Subsection"/>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pPr>
      <w:r>
        <w:tab/>
        <w:t>[Regulation 158 amended: Gazette 28 Sep 2018 p. 3639.]</w:t>
      </w:r>
    </w:p>
    <w:p>
      <w:pPr>
        <w:pStyle w:val="Heading5"/>
        <w:spacing w:before="200"/>
      </w:pPr>
      <w:bookmarkStart w:id="485" w:name="_Toc95120129"/>
      <w:bookmarkStart w:id="486" w:name="_Toc95119093"/>
      <w:r>
        <w:rPr>
          <w:rStyle w:val="CharSectno"/>
        </w:rPr>
        <w:t>159</w:t>
      </w:r>
      <w:r>
        <w:t>.</w:t>
      </w:r>
      <w:r>
        <w:tab/>
        <w:t>Children’s attendance record to be kept by family day care educator</w:t>
      </w:r>
      <w:bookmarkEnd w:id="485"/>
      <w:bookmarkEnd w:id="486"/>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487" w:name="_Toc95120130"/>
      <w:bookmarkStart w:id="488" w:name="_Toc95119094"/>
      <w:r>
        <w:rPr>
          <w:rStyle w:val="CharSectno"/>
        </w:rPr>
        <w:t>160</w:t>
      </w:r>
      <w:r>
        <w:t>.</w:t>
      </w:r>
      <w:r>
        <w:tab/>
        <w:t>Child enrolment records to be kept by approved provider and family day care educator</w:t>
      </w:r>
      <w:bookmarkEnd w:id="487"/>
      <w:bookmarkEnd w:id="488"/>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Gazette 28 Nov 2014 p. 4408.]</w:t>
      </w:r>
    </w:p>
    <w:p>
      <w:pPr>
        <w:pStyle w:val="Heading5"/>
      </w:pPr>
      <w:bookmarkStart w:id="489" w:name="_Toc95120131"/>
      <w:bookmarkStart w:id="490" w:name="_Toc95119095"/>
      <w:r>
        <w:rPr>
          <w:rStyle w:val="CharSectno"/>
        </w:rPr>
        <w:t>161</w:t>
      </w:r>
      <w:r>
        <w:t>.</w:t>
      </w:r>
      <w:r>
        <w:tab/>
        <w:t>Authorisations to be kept in enrolment record</w:t>
      </w:r>
      <w:bookmarkEnd w:id="489"/>
      <w:bookmarkEnd w:id="490"/>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medical treatment of the child, for the approved provider, a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w:t>
      </w:r>
    </w:p>
    <w:p>
      <w:pPr>
        <w:pStyle w:val="Footnotesection"/>
      </w:pPr>
      <w:r>
        <w:tab/>
        <w:t>[Regulation 161 amended: Gazette 28 Sep 2018 p. 3639.]</w:t>
      </w:r>
    </w:p>
    <w:p>
      <w:pPr>
        <w:pStyle w:val="Heading5"/>
      </w:pPr>
      <w:bookmarkStart w:id="491" w:name="_Toc95120132"/>
      <w:bookmarkStart w:id="492" w:name="_Toc95119096"/>
      <w:r>
        <w:rPr>
          <w:rStyle w:val="CharSectno"/>
        </w:rPr>
        <w:t>162</w:t>
      </w:r>
      <w:r>
        <w:t>.</w:t>
      </w:r>
      <w:r>
        <w:tab/>
        <w:t>Health information to be kept in enrolment record</w:t>
      </w:r>
      <w:bookmarkEnd w:id="491"/>
      <w:bookmarkEnd w:id="492"/>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pPr>
        <w:pStyle w:val="Indenta"/>
      </w:pPr>
      <w:r>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pPr>
        <w:pStyle w:val="Indenti"/>
      </w:pPr>
      <w:r>
        <w:tab/>
        <w:t>(ii)</w:t>
      </w:r>
      <w:r>
        <w:tab/>
        <w:t xml:space="preserve">details of any exemption in relation to the child under section 143C of the </w:t>
      </w:r>
      <w:r>
        <w:rPr>
          <w:i/>
        </w:rPr>
        <w:t>Public Health and Wellbeing Act 2008</w:t>
      </w:r>
      <w:r>
        <w:t xml:space="preserve"> of Victoria.</w:t>
      </w:r>
    </w:p>
    <w:p>
      <w:pPr>
        <w:pStyle w:val="Footnotesection"/>
      </w:pPr>
      <w:r>
        <w:tab/>
        <w:t>[Regulation 162 amended: Gazette 28 Nov 2014 p. 4408; 28 Sep 2018 p. 3639</w:t>
      </w:r>
      <w:r>
        <w:noBreakHyphen/>
        <w:t>40.]</w:t>
      </w:r>
    </w:p>
    <w:p>
      <w:pPr>
        <w:pStyle w:val="MiscellaneousHeading"/>
        <w:spacing w:before="300"/>
        <w:rPr>
          <w:b/>
          <w:bCs/>
        </w:rPr>
      </w:pPr>
      <w:r>
        <w:rPr>
          <w:b/>
          <w:bCs/>
        </w:rPr>
        <w:t>Subdivision 2 — Residents at family day care residences and family day care educator assistants</w:t>
      </w:r>
    </w:p>
    <w:p>
      <w:pPr>
        <w:pStyle w:val="Heading5"/>
      </w:pPr>
      <w:bookmarkStart w:id="493" w:name="_Toc95120133"/>
      <w:bookmarkStart w:id="494" w:name="_Toc95119097"/>
      <w:r>
        <w:rPr>
          <w:rStyle w:val="CharSectno"/>
        </w:rPr>
        <w:t>163</w:t>
      </w:r>
      <w:r>
        <w:t>.</w:t>
      </w:r>
      <w:r>
        <w:tab/>
        <w:t>Residents at family day care residence and family day care educator assistants to be fit and proper persons</w:t>
      </w:r>
      <w:bookmarkEnd w:id="493"/>
      <w:bookmarkEnd w:id="494"/>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current working with vulnerable people registration.</w:t>
      </w:r>
    </w:p>
    <w:p>
      <w:pPr>
        <w:pStyle w:val="Subsection"/>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spacing w:before="60"/>
      </w:pPr>
      <w:r>
        <w:tab/>
        <w:t>(b)</w:t>
      </w:r>
      <w:r>
        <w:tab/>
        <w:t xml:space="preserve">has applied for a working with children check or working with children card — </w:t>
      </w:r>
    </w:p>
    <w:p>
      <w:pPr>
        <w:pStyle w:val="Subsection"/>
        <w:spacing w:before="120"/>
      </w:pPr>
      <w:r>
        <w:tab/>
      </w:r>
      <w:r>
        <w:tab/>
        <w:t>the person is taken to hold the check or card until the application is determined.</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163 amended: Gazette 13 Dec 2013 p.</w:t>
      </w:r>
      <w:r>
        <w:rPr>
          <w:sz w:val="19"/>
        </w:rPr>
        <w:t> </w:t>
      </w:r>
      <w:r>
        <w:t>6165; 28 Nov 2014 p. 4408; 28 Sep 2018 p. 3640.]</w:t>
      </w:r>
    </w:p>
    <w:p>
      <w:pPr>
        <w:pStyle w:val="Heading5"/>
      </w:pPr>
      <w:bookmarkStart w:id="495" w:name="_Toc95120134"/>
      <w:bookmarkStart w:id="496" w:name="_Toc95119098"/>
      <w:r>
        <w:rPr>
          <w:rStyle w:val="CharSectno"/>
        </w:rPr>
        <w:t>164</w:t>
      </w:r>
      <w:r>
        <w:t>.</w:t>
      </w:r>
      <w:r>
        <w:tab/>
        <w:t>Requirement for notice of new persons at residence</w:t>
      </w:r>
      <w:bookmarkEnd w:id="495"/>
      <w:bookmarkEnd w:id="496"/>
      <w:r>
        <w:t xml:space="preserve"> </w:t>
      </w:r>
    </w:p>
    <w:p>
      <w:pPr>
        <w:pStyle w:val="Subsection"/>
        <w:spacing w:before="150"/>
      </w:pPr>
      <w:r>
        <w:tab/>
        <w:t>(1)</w:t>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spacing w:before="60"/>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Subsection"/>
      </w:pPr>
      <w:r>
        <w:tab/>
        <w:t>(2)</w:t>
      </w:r>
      <w:r>
        <w:tab/>
        <w:t xml:space="preserve">The family day care educator must notify the approved provider of — </w:t>
      </w:r>
    </w:p>
    <w:p>
      <w:pPr>
        <w:pStyle w:val="Indenta"/>
      </w:pPr>
      <w:r>
        <w:tab/>
        <w:t>(a)</w:t>
      </w:r>
      <w:r>
        <w:tab/>
        <w:t>any new person aged 18 years or over who resides, or intends to reside, at the educator’s family day care residence; and</w:t>
      </w:r>
    </w:p>
    <w:p>
      <w:pPr>
        <w:pStyle w:val="Indenta"/>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$2 000.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164 amended: Gazette 28 Sep 2018 p. 3640</w:t>
      </w:r>
      <w:r>
        <w:noBreakHyphen/>
        <w:t>1.]</w:t>
      </w:r>
    </w:p>
    <w:p>
      <w:pPr>
        <w:pStyle w:val="Heading5"/>
      </w:pPr>
      <w:bookmarkStart w:id="497" w:name="_Toc95120135"/>
      <w:bookmarkStart w:id="498" w:name="_Toc95119099"/>
      <w:r>
        <w:rPr>
          <w:rStyle w:val="CharSectno"/>
        </w:rPr>
        <w:t>165</w:t>
      </w:r>
      <w:r>
        <w:t>.</w:t>
      </w:r>
      <w:r>
        <w:tab/>
        <w:t>Record of visitors</w:t>
      </w:r>
      <w:bookmarkEnd w:id="497"/>
      <w:bookmarkEnd w:id="498"/>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499" w:name="_Toc95120136"/>
      <w:bookmarkStart w:id="500" w:name="_Toc95119100"/>
      <w:r>
        <w:rPr>
          <w:rStyle w:val="CharSectno"/>
        </w:rPr>
        <w:t>166</w:t>
      </w:r>
      <w:r>
        <w:t>.</w:t>
      </w:r>
      <w:r>
        <w:tab/>
        <w:t>Children not to be alone with visitors</w:t>
      </w:r>
      <w:bookmarkEnd w:id="499"/>
      <w:bookmarkEnd w:id="500"/>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spacing w:before="240"/>
        <w:rPr>
          <w:b/>
          <w:bCs/>
        </w:rPr>
      </w:pPr>
      <w:r>
        <w:rPr>
          <w:b/>
          <w:bCs/>
        </w:rPr>
        <w:t>Subdivision 3 — Record of service’s compliance</w:t>
      </w:r>
    </w:p>
    <w:p>
      <w:pPr>
        <w:pStyle w:val="Heading5"/>
      </w:pPr>
      <w:bookmarkStart w:id="501" w:name="_Toc95120137"/>
      <w:bookmarkStart w:id="502" w:name="_Toc95119101"/>
      <w:r>
        <w:rPr>
          <w:rStyle w:val="CharSectno"/>
        </w:rPr>
        <w:t>167</w:t>
      </w:r>
      <w:r>
        <w:t>.</w:t>
      </w:r>
      <w:r>
        <w:tab/>
        <w:t>Record of service’s compliance</w:t>
      </w:r>
      <w:bookmarkEnd w:id="501"/>
      <w:bookmarkEnd w:id="502"/>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spacing w:before="280"/>
      </w:pPr>
      <w:bookmarkStart w:id="503" w:name="_Toc95119743"/>
      <w:bookmarkStart w:id="504" w:name="_Toc95120138"/>
      <w:bookmarkStart w:id="505" w:name="_Toc95119102"/>
      <w:r>
        <w:t>Division 2 — Policies and procedures</w:t>
      </w:r>
      <w:bookmarkEnd w:id="503"/>
      <w:bookmarkEnd w:id="504"/>
      <w:bookmarkEnd w:id="505"/>
    </w:p>
    <w:p>
      <w:pPr>
        <w:pStyle w:val="Heading5"/>
      </w:pPr>
      <w:bookmarkStart w:id="506" w:name="_Toc95120139"/>
      <w:bookmarkStart w:id="507" w:name="_Toc95119103"/>
      <w:r>
        <w:rPr>
          <w:rStyle w:val="CharSectno"/>
        </w:rPr>
        <w:t>168</w:t>
      </w:r>
      <w:r>
        <w:t>.</w:t>
      </w:r>
      <w:r>
        <w:tab/>
        <w:t>Education and care service must have policies and procedures</w:t>
      </w:r>
      <w:bookmarkEnd w:id="506"/>
      <w:bookmarkEnd w:id="507"/>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 and</w:t>
      </w:r>
    </w:p>
    <w:p>
      <w:pPr>
        <w:pStyle w:val="Indenti"/>
      </w:pPr>
      <w:r>
        <w:tab/>
        <w:t>(v)</w:t>
      </w:r>
      <w:r>
        <w:tab/>
        <w:t>sleep and rest for children;</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spacing w:before="100"/>
      </w:pPr>
      <w:r>
        <w:tab/>
        <w:t>(h)</w:t>
      </w:r>
      <w:r>
        <w:tab/>
        <w:t>providing a child safe environment;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Footnotesection"/>
        <w:spacing w:before="100"/>
      </w:pPr>
      <w:r>
        <w:tab/>
        <w:t>[Regulation 168 amended: Gazette 28 Sep 2018 p. 3641.]</w:t>
      </w:r>
    </w:p>
    <w:p>
      <w:pPr>
        <w:pStyle w:val="Heading5"/>
      </w:pPr>
      <w:bookmarkStart w:id="508" w:name="_Toc95120140"/>
      <w:bookmarkStart w:id="509" w:name="_Toc95119104"/>
      <w:r>
        <w:rPr>
          <w:rStyle w:val="CharSectno"/>
        </w:rPr>
        <w:t>169</w:t>
      </w:r>
      <w:r>
        <w:t>.</w:t>
      </w:r>
      <w:r>
        <w:tab/>
        <w:t>Additional policies and procedures — family day care service</w:t>
      </w:r>
      <w:bookmarkEnd w:id="508"/>
      <w:bookmarkEnd w:id="509"/>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$1000.</w:t>
      </w:r>
    </w:p>
    <w:p>
      <w:pPr>
        <w:pStyle w:val="Subsection"/>
      </w:pPr>
      <w:r>
        <w:tab/>
        <w:t>(2)</w:t>
      </w:r>
      <w:r>
        <w:tab/>
        <w:t xml:space="preserve">Policies and procedures are required in relation to the following — </w:t>
      </w:r>
    </w:p>
    <w:p>
      <w:pPr>
        <w:pStyle w:val="Indenta"/>
      </w:pPr>
      <w:r>
        <w:tab/>
        <w:t>(a)</w:t>
      </w:r>
      <w:r>
        <w:tab/>
        <w:t>assessment of proposed family day care venues and proposed family day care residences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family day care co-ordinators and family day care educator assistants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169 amended: Gazette 28 Sep 2018 p. 3642.]</w:t>
      </w:r>
    </w:p>
    <w:p>
      <w:pPr>
        <w:pStyle w:val="Heading5"/>
      </w:pPr>
      <w:bookmarkStart w:id="510" w:name="_Toc95120141"/>
      <w:bookmarkStart w:id="511" w:name="_Toc95119105"/>
      <w:r>
        <w:rPr>
          <w:rStyle w:val="CharSectno"/>
        </w:rPr>
        <w:t>170</w:t>
      </w:r>
      <w:r>
        <w:t>.</w:t>
      </w:r>
      <w:r>
        <w:tab/>
        <w:t>Policies and procedures to be followed</w:t>
      </w:r>
      <w:bookmarkEnd w:id="510"/>
      <w:bookmarkEnd w:id="511"/>
      <w:r>
        <w:t xml:space="preserve"> </w:t>
      </w:r>
    </w:p>
    <w:p>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170 amended: Gazette 28 Sep 2018 p. 3642.]</w:t>
      </w:r>
    </w:p>
    <w:p>
      <w:pPr>
        <w:pStyle w:val="Heading5"/>
      </w:pPr>
      <w:bookmarkStart w:id="512" w:name="_Toc95120142"/>
      <w:bookmarkStart w:id="513" w:name="_Toc95119106"/>
      <w:r>
        <w:rPr>
          <w:rStyle w:val="CharSectno"/>
        </w:rPr>
        <w:t>171</w:t>
      </w:r>
      <w:r>
        <w:t>.</w:t>
      </w:r>
      <w:r>
        <w:tab/>
        <w:t>Policies and procedures to be kept available</w:t>
      </w:r>
      <w:bookmarkEnd w:id="512"/>
      <w:bookmarkEnd w:id="513"/>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171 amended: Gazette 28 Sep 2018 p. 3642.]</w:t>
      </w:r>
    </w:p>
    <w:p>
      <w:pPr>
        <w:pStyle w:val="Heading5"/>
      </w:pPr>
      <w:bookmarkStart w:id="514" w:name="_Toc95120143"/>
      <w:bookmarkStart w:id="515" w:name="_Toc95119107"/>
      <w:r>
        <w:rPr>
          <w:rStyle w:val="CharSectno"/>
        </w:rPr>
        <w:t>172</w:t>
      </w:r>
      <w:r>
        <w:t>.</w:t>
      </w:r>
      <w:r>
        <w:tab/>
        <w:t>Notification of change to policies or procedures</w:t>
      </w:r>
      <w:bookmarkEnd w:id="514"/>
      <w:bookmarkEnd w:id="515"/>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516" w:name="_Toc95119749"/>
      <w:bookmarkStart w:id="517" w:name="_Toc95120144"/>
      <w:bookmarkStart w:id="518" w:name="_Toc95119108"/>
      <w:r>
        <w:t>Division 3 — Information and record</w:t>
      </w:r>
      <w:r>
        <w:noBreakHyphen/>
        <w:t>keeping requirements</w:t>
      </w:r>
      <w:bookmarkEnd w:id="516"/>
      <w:bookmarkEnd w:id="517"/>
      <w:bookmarkEnd w:id="518"/>
    </w:p>
    <w:p>
      <w:pPr>
        <w:pStyle w:val="MiscellaneousHeading"/>
        <w:spacing w:before="220"/>
        <w:rPr>
          <w:b/>
          <w:bCs/>
        </w:rPr>
      </w:pPr>
      <w:r>
        <w:rPr>
          <w:b/>
          <w:bCs/>
        </w:rPr>
        <w:t>Subdivision 1 — Display and reporting of prescribed information</w:t>
      </w:r>
    </w:p>
    <w:p>
      <w:pPr>
        <w:pStyle w:val="Heading5"/>
      </w:pPr>
      <w:bookmarkStart w:id="519" w:name="_Toc95120145"/>
      <w:bookmarkStart w:id="520" w:name="_Toc95119109"/>
      <w:r>
        <w:rPr>
          <w:rStyle w:val="CharSectno"/>
        </w:rPr>
        <w:t>173</w:t>
      </w:r>
      <w:r>
        <w:t>.</w:t>
      </w:r>
      <w:r>
        <w:tab/>
        <w:t>Prescribed information to be displayed</w:t>
      </w:r>
      <w:bookmarkEnd w:id="519"/>
      <w:bookmarkEnd w:id="520"/>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the name of each nominated supervisor;</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keepNext/>
      </w:pPr>
      <w:r>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Footnotesection"/>
      </w:pPr>
      <w:r>
        <w:tab/>
        <w:t>[Regulation 173 amended: Gazette 3 Nov 2017 p. 5483</w:t>
      </w:r>
      <w:r>
        <w:noBreakHyphen/>
        <w:t>4; 28 Sep 2018 p. 3642.]</w:t>
      </w:r>
    </w:p>
    <w:p>
      <w:pPr>
        <w:pStyle w:val="Heading5"/>
      </w:pPr>
      <w:bookmarkStart w:id="521" w:name="_Toc95120146"/>
      <w:bookmarkStart w:id="522" w:name="_Toc95119110"/>
      <w:r>
        <w:rPr>
          <w:rStyle w:val="CharSectno"/>
        </w:rPr>
        <w:t>174</w:t>
      </w:r>
      <w:r>
        <w:t>.</w:t>
      </w:r>
      <w:r>
        <w:tab/>
        <w:t>Time to notify certain circumstances to Regulatory Authority</w:t>
      </w:r>
      <w:bookmarkEnd w:id="521"/>
      <w:bookmarkEnd w:id="522"/>
      <w:r>
        <w:t xml:space="preserve"> </w:t>
      </w:r>
    </w:p>
    <w:p>
      <w:pPr>
        <w:pStyle w:val="Subsection"/>
      </w:pPr>
      <w:r>
        <w:tab/>
        <w:t>(1)</w:t>
      </w:r>
      <w:r>
        <w:tab/>
        <w:t>For the purposes of section 173(4) of the Law, a notice must be provided within 14 days of the relevant event or within 14 days of the approved provider becoming aware of the relevant event.</w:t>
      </w:r>
    </w:p>
    <w:p>
      <w:pPr>
        <w:pStyle w:val="Subsection"/>
      </w:pPr>
      <w:r>
        <w:tab/>
        <w:t>(2)</w:t>
      </w:r>
      <w:r>
        <w:tab/>
        <w:t xml:space="preserve">For the purposes of section 173(5) of the Law, a notice must be provided — </w:t>
      </w:r>
    </w:p>
    <w:p>
      <w:pPr>
        <w:pStyle w:val="Indenta"/>
      </w:pPr>
      <w:r>
        <w:tab/>
        <w:t>(aa)</w:t>
      </w:r>
      <w:r>
        <w:tab/>
        <w:t>in the case of a notice under section 173(2)(e), at least 14 days before the change in the location of the principal office takes place; or</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pPr>
      <w:r>
        <w:tab/>
        <w:t>[Regulation 174 amended: Gazette 28 Sep 2018 p. 3643.]</w:t>
      </w:r>
    </w:p>
    <w:p>
      <w:pPr>
        <w:pStyle w:val="Heading5"/>
      </w:pPr>
      <w:bookmarkStart w:id="523" w:name="_Toc95120147"/>
      <w:bookmarkStart w:id="524" w:name="_Toc95119111"/>
      <w:r>
        <w:rPr>
          <w:rStyle w:val="CharSectno"/>
        </w:rPr>
        <w:t>174A</w:t>
      </w:r>
      <w:r>
        <w:t>.</w:t>
      </w:r>
      <w:r>
        <w:tab/>
        <w:t>Prescribed information to accompany notice</w:t>
      </w:r>
      <w:bookmarkEnd w:id="523"/>
      <w:bookmarkEnd w:id="524"/>
    </w:p>
    <w:p>
      <w:pPr>
        <w:pStyle w:val="Subsection"/>
      </w:pPr>
      <w:r>
        <w:tab/>
      </w:r>
      <w:r>
        <w:tab/>
        <w:t>A notice under section 173(2)(e) of the Law must be accompanied by a statement that the applicant has the right to occupy and use the premises as a principal office and any document evidencing this.</w:t>
      </w:r>
    </w:p>
    <w:p>
      <w:pPr>
        <w:pStyle w:val="PermNoteHeading"/>
      </w:pPr>
      <w:r>
        <w:tab/>
        <w:t>Example for this regulation:</w:t>
      </w:r>
    </w:p>
    <w:p>
      <w:pPr>
        <w:pStyle w:val="PermNoteText"/>
      </w:pPr>
      <w:r>
        <w:tab/>
      </w:r>
      <w:r>
        <w:tab/>
        <w:t>A lease of the premises.</w:t>
      </w:r>
    </w:p>
    <w:p>
      <w:pPr>
        <w:pStyle w:val="Footnotesection"/>
        <w:spacing w:before="100"/>
      </w:pPr>
      <w:r>
        <w:tab/>
        <w:t>[Regulation 174A inserted: Gazette 28 Sep 2018 p. 3643.]</w:t>
      </w:r>
    </w:p>
    <w:p>
      <w:pPr>
        <w:pStyle w:val="Heading5"/>
      </w:pPr>
      <w:bookmarkStart w:id="525" w:name="_Toc95120148"/>
      <w:bookmarkStart w:id="526" w:name="_Toc95119112"/>
      <w:r>
        <w:rPr>
          <w:rStyle w:val="CharSectno"/>
        </w:rPr>
        <w:t>175</w:t>
      </w:r>
      <w:r>
        <w:t>.</w:t>
      </w:r>
      <w:r>
        <w:tab/>
        <w:t>Prescribed information to be notified to Regulatory Authority</w:t>
      </w:r>
      <w:bookmarkEnd w:id="525"/>
      <w:bookmarkEnd w:id="526"/>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pPr>
        <w:pStyle w:val="Indenta"/>
      </w:pPr>
      <w:r>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pPr>
        <w:pStyle w:val="Footnotesection"/>
      </w:pPr>
      <w:r>
        <w:tab/>
        <w:t>[Regulation 175 amended: Gazette 13 Dec 2013 p.</w:t>
      </w:r>
      <w:r>
        <w:rPr>
          <w:sz w:val="19"/>
        </w:rPr>
        <w:t> </w:t>
      </w:r>
      <w:r>
        <w:t>6166; 28 Sep 2018 p. 3644.]</w:t>
      </w:r>
    </w:p>
    <w:p>
      <w:pPr>
        <w:pStyle w:val="Heading5"/>
      </w:pPr>
      <w:bookmarkStart w:id="527" w:name="_Toc95120149"/>
      <w:bookmarkStart w:id="528" w:name="_Toc95119113"/>
      <w:r>
        <w:rPr>
          <w:rStyle w:val="CharSectno"/>
        </w:rPr>
        <w:t>176</w:t>
      </w:r>
      <w:r>
        <w:t>.</w:t>
      </w:r>
      <w:r>
        <w:tab/>
        <w:t>Time to notify certain information to Regulatory Authority</w:t>
      </w:r>
      <w:bookmarkEnd w:id="527"/>
      <w:bookmarkEnd w:id="528"/>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(c)</w:t>
      </w:r>
      <w:r>
        <w:tab/>
        <w:t>in any other case, within 7 days of the relevant event or within 7 days of the approved provider becoming aware of the relevant information.</w:t>
      </w:r>
    </w:p>
    <w:p>
      <w:pPr>
        <w:pStyle w:val="Footnotesection"/>
      </w:pPr>
      <w:r>
        <w:tab/>
        <w:t>[Regulation 176 amended: Gazette 13 Dec 2013 p.</w:t>
      </w:r>
      <w:r>
        <w:rPr>
          <w:sz w:val="19"/>
        </w:rPr>
        <w:t> </w:t>
      </w:r>
      <w:r>
        <w:t>6166.]</w:t>
      </w:r>
    </w:p>
    <w:p>
      <w:pPr>
        <w:pStyle w:val="MiscellaneousHeading"/>
        <w:rPr>
          <w:b/>
          <w:bCs/>
        </w:rPr>
      </w:pPr>
      <w:r>
        <w:rPr>
          <w:b/>
          <w:bCs/>
        </w:rPr>
        <w:t>Subdivision 2 — Prescribed records</w:t>
      </w:r>
    </w:p>
    <w:p>
      <w:pPr>
        <w:pStyle w:val="Heading5"/>
      </w:pPr>
      <w:bookmarkStart w:id="529" w:name="_Toc95120150"/>
      <w:bookmarkStart w:id="530" w:name="_Toc95119114"/>
      <w:r>
        <w:rPr>
          <w:rStyle w:val="CharSectno"/>
        </w:rPr>
        <w:t>176A</w:t>
      </w:r>
      <w:r>
        <w:t>.</w:t>
      </w:r>
      <w:r>
        <w:tab/>
        <w:t>Prescribed information to be notified to approved provider by family day care educator</w:t>
      </w:r>
      <w:bookmarkEnd w:id="529"/>
      <w:bookmarkEnd w:id="530"/>
    </w:p>
    <w:p>
      <w:pPr>
        <w:pStyle w:val="Subsection"/>
      </w:pPr>
      <w:r>
        <w:tab/>
      </w:r>
      <w:r>
        <w:tab/>
        <w:t xml:space="preserve">For the purposes of section 174A(c) of the Law, the following matters are prescribed — </w:t>
      </w:r>
    </w:p>
    <w:p>
      <w:pPr>
        <w:pStyle w:val="Indenta"/>
      </w:pPr>
      <w:r>
        <w:tab/>
        <w:t>(a)</w:t>
      </w:r>
      <w:r>
        <w:tab/>
        <w:t>any renovations or other changes to the family day care residence that create a serious risk to the health, safety and wellbeing of children attending or likely to attend the family day care residence;</w:t>
      </w:r>
    </w:p>
    <w:p>
      <w:pPr>
        <w:pStyle w:val="Indenta"/>
      </w:pPr>
      <w:r>
        <w:tab/>
        <w:t>(b)</w:t>
      </w:r>
      <w:r>
        <w:tab/>
        <w:t>any renovations or other changes to an approved family day care venue that create a serious risk to the health, safety and wellbeing of children attending or likely to attend the approved family day care venue.</w:t>
      </w:r>
    </w:p>
    <w:p>
      <w:pPr>
        <w:pStyle w:val="Footnotesection"/>
        <w:spacing w:before="100"/>
      </w:pPr>
      <w:r>
        <w:tab/>
        <w:t>[Regulation 176A inserted: Gazette 28 Sep 2018 p. 3644</w:t>
      </w:r>
      <w:r>
        <w:noBreakHyphen/>
        <w:t>5.]</w:t>
      </w:r>
    </w:p>
    <w:p>
      <w:pPr>
        <w:pStyle w:val="Heading5"/>
      </w:pPr>
      <w:bookmarkStart w:id="531" w:name="_Toc95120151"/>
      <w:bookmarkStart w:id="532" w:name="_Toc95119115"/>
      <w:r>
        <w:rPr>
          <w:rStyle w:val="CharSectno"/>
        </w:rPr>
        <w:t>177</w:t>
      </w:r>
      <w:r>
        <w:t>.</w:t>
      </w:r>
      <w:r>
        <w:tab/>
        <w:t>Prescribed enrolment and other documents to be kept by approved provider</w:t>
      </w:r>
      <w:bookmarkEnd w:id="531"/>
      <w:bookmarkEnd w:id="532"/>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engaged or employed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each nominated supervisor and any person in day</w:t>
      </w:r>
      <w:r>
        <w:noBreakHyphen/>
        <w:t>to</w:t>
      </w:r>
      <w:r>
        <w:noBreakHyphen/>
        <w:t>day charge of the education and care service under section 162 of the Law.</w:t>
      </w:r>
    </w:p>
    <w:p>
      <w:pPr>
        <w:pStyle w:val="Subsection"/>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pPr>
      <w:r>
        <w:tab/>
        <w:t>3.</w:t>
      </w:r>
      <w:r>
        <w:tab/>
        <w:t>See section 269(1) of the Law which requires the approved provider to keep a register of each family day care educator, each family day care co</w:t>
      </w:r>
      <w:r>
        <w:noBreakHyphen/>
        <w:t>ordinator and each family day care educator assistant engaged, employed or registered to provide education and care to a child.</w:t>
      </w:r>
    </w:p>
    <w:p>
      <w:pPr>
        <w:pStyle w:val="Footnotesection"/>
      </w:pPr>
      <w:r>
        <w:tab/>
        <w:t>[Regulation 177 amended: Gazette 5 Mar 2013 p. 1108; 13 Dec 2013 p.</w:t>
      </w:r>
      <w:r>
        <w:rPr>
          <w:sz w:val="19"/>
        </w:rPr>
        <w:t> </w:t>
      </w:r>
      <w:r>
        <w:t>6166</w:t>
      </w:r>
      <w:r>
        <w:noBreakHyphen/>
        <w:t>7; 28 Sep 2018 p. 3645.]</w:t>
      </w:r>
    </w:p>
    <w:p>
      <w:pPr>
        <w:pStyle w:val="Heading5"/>
      </w:pPr>
      <w:bookmarkStart w:id="533" w:name="_Toc95120152"/>
      <w:bookmarkStart w:id="534" w:name="_Toc95119116"/>
      <w:r>
        <w:rPr>
          <w:rStyle w:val="CharSectno"/>
        </w:rPr>
        <w:t>178</w:t>
      </w:r>
      <w:r>
        <w:t>.</w:t>
      </w:r>
      <w:r>
        <w:tab/>
        <w:t>Prescribed enrolment and other documents to be kept by family day care educator</w:t>
      </w:r>
      <w:bookmarkEnd w:id="533"/>
      <w:bookmarkEnd w:id="534"/>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535" w:name="_Toc95120153"/>
      <w:bookmarkStart w:id="536" w:name="_Toc95119117"/>
      <w:r>
        <w:rPr>
          <w:rStyle w:val="CharSectno"/>
        </w:rPr>
        <w:t>179</w:t>
      </w:r>
      <w:r>
        <w:t>.</w:t>
      </w:r>
      <w:r>
        <w:tab/>
        <w:t>Family day care educator to provide documents on leaving service</w:t>
      </w:r>
      <w:bookmarkEnd w:id="535"/>
      <w:bookmarkEnd w:id="536"/>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spacing w:before="240"/>
        <w:rPr>
          <w:b/>
          <w:bCs/>
        </w:rPr>
      </w:pPr>
      <w:r>
        <w:rPr>
          <w:b/>
          <w:bCs/>
        </w:rPr>
        <w:t>Subdivision 3 — Insurance information</w:t>
      </w:r>
    </w:p>
    <w:p>
      <w:pPr>
        <w:pStyle w:val="Heading5"/>
        <w:spacing w:before="200"/>
      </w:pPr>
      <w:bookmarkStart w:id="537" w:name="_Toc95120154"/>
      <w:bookmarkStart w:id="538" w:name="_Toc95119118"/>
      <w:r>
        <w:rPr>
          <w:rStyle w:val="CharSectno"/>
        </w:rPr>
        <w:t>180</w:t>
      </w:r>
      <w:r>
        <w:t>.</w:t>
      </w:r>
      <w:r>
        <w:tab/>
        <w:t>Evidence of prescribed insurance</w:t>
      </w:r>
      <w:bookmarkEnd w:id="537"/>
      <w:bookmarkEnd w:id="538"/>
      <w:r>
        <w:t xml:space="preserve"> </w:t>
      </w:r>
    </w:p>
    <w:p>
      <w:pPr>
        <w:pStyle w:val="Subsection"/>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spacing w:before="240"/>
        <w:rPr>
          <w:b/>
          <w:bCs/>
        </w:rPr>
      </w:pPr>
      <w:r>
        <w:rPr>
          <w:b/>
          <w:bCs/>
        </w:rPr>
        <w:t>Subdivision 4 — Confidentiality and storage of records</w:t>
      </w:r>
    </w:p>
    <w:p>
      <w:pPr>
        <w:pStyle w:val="Heading5"/>
        <w:spacing w:before="200"/>
      </w:pPr>
      <w:bookmarkStart w:id="539" w:name="_Toc95120155"/>
      <w:bookmarkStart w:id="540" w:name="_Toc95119119"/>
      <w:r>
        <w:rPr>
          <w:rStyle w:val="CharSectno"/>
        </w:rPr>
        <w:t>181</w:t>
      </w:r>
      <w:r>
        <w:t>.</w:t>
      </w:r>
      <w:r>
        <w:tab/>
        <w:t>Confidentiality of records kept by approved provider</w:t>
      </w:r>
      <w:bookmarkEnd w:id="539"/>
      <w:bookmarkEnd w:id="540"/>
      <w:r>
        <w:t xml:space="preserve"> </w:t>
      </w:r>
    </w:p>
    <w:p>
      <w:pPr>
        <w:pStyle w:val="Subsection"/>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541" w:name="_Toc95120156"/>
      <w:bookmarkStart w:id="542" w:name="_Toc95119120"/>
      <w:r>
        <w:rPr>
          <w:rStyle w:val="CharSectno"/>
        </w:rPr>
        <w:t>182</w:t>
      </w:r>
      <w:r>
        <w:t>.</w:t>
      </w:r>
      <w:r>
        <w:tab/>
        <w:t>Confidentiality of records kept by family day care educator</w:t>
      </w:r>
      <w:bookmarkEnd w:id="541"/>
      <w:bookmarkEnd w:id="542"/>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a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Footnotesection"/>
      </w:pPr>
      <w:r>
        <w:tab/>
        <w:t>[Regulation 182 amended: Gazette 28 Sep 2018 p. 3645.]</w:t>
      </w:r>
    </w:p>
    <w:p>
      <w:pPr>
        <w:pStyle w:val="Heading5"/>
      </w:pPr>
      <w:bookmarkStart w:id="543" w:name="_Toc95120157"/>
      <w:bookmarkStart w:id="544" w:name="_Toc95119121"/>
      <w:r>
        <w:rPr>
          <w:rStyle w:val="CharSectno"/>
        </w:rPr>
        <w:t>183</w:t>
      </w:r>
      <w:r>
        <w:t>.</w:t>
      </w:r>
      <w:r>
        <w:tab/>
        <w:t>Storage of records and other documents</w:t>
      </w:r>
      <w:bookmarkEnd w:id="543"/>
      <w:bookmarkEnd w:id="544"/>
      <w:r>
        <w:t xml:space="preserve"> </w:t>
      </w:r>
    </w:p>
    <w:p>
      <w:pPr>
        <w:pStyle w:val="Subsection"/>
        <w:keepNext/>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pPr>
        <w:pStyle w:val="Indenta"/>
      </w:pPr>
      <w:r>
        <w:tab/>
        <w:t>(g)</w:t>
      </w:r>
      <w:r>
        <w:tab/>
        <w:t>in case of any other record, until the end of 3 years after the date on which the record was made.</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183 amended: Gazette 28 Sep 2018 p. 3646.]</w:t>
      </w:r>
    </w:p>
    <w:p>
      <w:pPr>
        <w:pStyle w:val="Heading5"/>
      </w:pPr>
      <w:bookmarkStart w:id="545" w:name="_Toc95120158"/>
      <w:bookmarkStart w:id="546" w:name="_Toc95119122"/>
      <w:r>
        <w:rPr>
          <w:rStyle w:val="CharSectno"/>
        </w:rPr>
        <w:t>184</w:t>
      </w:r>
      <w:r>
        <w:t>.</w:t>
      </w:r>
      <w:r>
        <w:tab/>
        <w:t>Storage of records after service approval transferred</w:t>
      </w:r>
      <w:bookmarkEnd w:id="545"/>
      <w:bookmarkEnd w:id="546"/>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spacing w:before="240"/>
        <w:rPr>
          <w:b/>
          <w:bCs/>
        </w:rPr>
      </w:pPr>
      <w:r>
        <w:rPr>
          <w:b/>
          <w:bCs/>
        </w:rPr>
        <w:t>Subdivision 5 — Law and regulations to be available</w:t>
      </w:r>
    </w:p>
    <w:p>
      <w:pPr>
        <w:pStyle w:val="Heading5"/>
      </w:pPr>
      <w:bookmarkStart w:id="547" w:name="_Toc95120159"/>
      <w:bookmarkStart w:id="548" w:name="_Toc95119123"/>
      <w:r>
        <w:rPr>
          <w:rStyle w:val="CharSectno"/>
        </w:rPr>
        <w:t>185</w:t>
      </w:r>
      <w:r>
        <w:t>.</w:t>
      </w:r>
      <w:r>
        <w:tab/>
        <w:t>Law and regulations to be available</w:t>
      </w:r>
      <w:bookmarkEnd w:id="547"/>
      <w:bookmarkEnd w:id="548"/>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nominated supervisors,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185 of the national regulations made by the Ministerial Council.</w:t>
      </w:r>
    </w:p>
    <w:p>
      <w:pPr>
        <w:pStyle w:val="Footnotesection"/>
      </w:pPr>
      <w:r>
        <w:tab/>
        <w:t>[Regulation 185 amended: Gazette 28 Nov 2014 p. 4408; 28 Sep 2018 p. 3646.]</w:t>
      </w:r>
    </w:p>
    <w:p>
      <w:pPr>
        <w:pStyle w:val="Heading2"/>
      </w:pPr>
      <w:bookmarkStart w:id="549" w:name="_Toc95119765"/>
      <w:bookmarkStart w:id="550" w:name="_Toc95120160"/>
      <w:bookmarkStart w:id="551" w:name="_Toc95119124"/>
      <w:r>
        <w:rPr>
          <w:rStyle w:val="CharPartNo"/>
          <w:szCs w:val="34"/>
        </w:rPr>
        <w:t>Chapter 5</w:t>
      </w:r>
      <w:r>
        <w:t> — </w:t>
      </w:r>
      <w:r>
        <w:rPr>
          <w:rStyle w:val="CharPartText"/>
        </w:rPr>
        <w:t>Review, enforcement and compliance</w:t>
      </w:r>
      <w:bookmarkEnd w:id="549"/>
      <w:bookmarkEnd w:id="550"/>
      <w:bookmarkEnd w:id="551"/>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552" w:name="_Toc95119766"/>
      <w:bookmarkStart w:id="553" w:name="_Toc95120161"/>
      <w:bookmarkStart w:id="554" w:name="_Toc95119125"/>
      <w:r>
        <w:rPr>
          <w:rStyle w:val="CharDivNo"/>
        </w:rPr>
        <w:t>Part 5.1</w:t>
      </w:r>
      <w:r>
        <w:t> — </w:t>
      </w:r>
      <w:r>
        <w:rPr>
          <w:rStyle w:val="CharDivText"/>
        </w:rPr>
        <w:t>Internal review</w:t>
      </w:r>
      <w:bookmarkEnd w:id="552"/>
      <w:bookmarkEnd w:id="553"/>
      <w:bookmarkEnd w:id="554"/>
    </w:p>
    <w:p>
      <w:pPr>
        <w:pStyle w:val="Heading5"/>
      </w:pPr>
      <w:bookmarkStart w:id="555" w:name="_Toc95120162"/>
      <w:bookmarkStart w:id="556" w:name="_Toc95119126"/>
      <w:r>
        <w:rPr>
          <w:rStyle w:val="CharSectno"/>
        </w:rPr>
        <w:t>186</w:t>
      </w:r>
      <w:r>
        <w:t>.</w:t>
      </w:r>
      <w:r>
        <w:tab/>
        <w:t>Application for internal review of reviewable decision</w:t>
      </w:r>
      <w:bookmarkEnd w:id="555"/>
      <w:bookmarkEnd w:id="556"/>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or service approval number to which the reviewable decision relates;</w:t>
      </w:r>
    </w:p>
    <w:p>
      <w:pPr>
        <w:pStyle w:val="Indenta"/>
      </w:pPr>
      <w:r>
        <w:tab/>
        <w:t>(d)</w:t>
      </w:r>
      <w:r>
        <w:tab/>
        <w:t>the full name of the person to whom the provider approval or service approval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pPr>
      <w:r>
        <w:tab/>
        <w:t>[Regulation 186 amended: Gazette 28 Sep 2018 p. 3646.]</w:t>
      </w:r>
    </w:p>
    <w:p>
      <w:pPr>
        <w:pStyle w:val="Heading3"/>
      </w:pPr>
      <w:bookmarkStart w:id="557" w:name="_Toc95119768"/>
      <w:bookmarkStart w:id="558" w:name="_Toc95120163"/>
      <w:bookmarkStart w:id="559" w:name="_Toc95119127"/>
      <w:r>
        <w:rPr>
          <w:rStyle w:val="CharDivNo"/>
        </w:rPr>
        <w:t>Part 5.2</w:t>
      </w:r>
      <w:r>
        <w:t> — </w:t>
      </w:r>
      <w:r>
        <w:rPr>
          <w:rStyle w:val="CharDivText"/>
        </w:rPr>
        <w:t>Enforcement and compliance</w:t>
      </w:r>
      <w:bookmarkEnd w:id="557"/>
      <w:bookmarkEnd w:id="558"/>
      <w:bookmarkEnd w:id="559"/>
    </w:p>
    <w:p>
      <w:pPr>
        <w:pStyle w:val="Heading5"/>
      </w:pPr>
      <w:bookmarkStart w:id="560" w:name="_Toc95120164"/>
      <w:bookmarkStart w:id="561" w:name="_Toc95119128"/>
      <w:r>
        <w:rPr>
          <w:rStyle w:val="CharSectno"/>
        </w:rPr>
        <w:t>187</w:t>
      </w:r>
      <w:r>
        <w:t>.</w:t>
      </w:r>
      <w:r>
        <w:tab/>
        <w:t>Prescribed form of identity card</w:t>
      </w:r>
      <w:bookmarkEnd w:id="560"/>
      <w:bookmarkEnd w:id="561"/>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562" w:name="_Toc95120165"/>
      <w:bookmarkStart w:id="563" w:name="_Toc95119129"/>
      <w:r>
        <w:rPr>
          <w:rStyle w:val="CharSectno"/>
        </w:rPr>
        <w:t>188</w:t>
      </w:r>
      <w:r>
        <w:t>.</w:t>
      </w:r>
      <w:r>
        <w:tab/>
        <w:t>Compliance directions</w:t>
      </w:r>
      <w:bookmarkEnd w:id="562"/>
      <w:bookmarkEnd w:id="563"/>
      <w:r>
        <w:t xml:space="preserve"> </w:t>
      </w:r>
    </w:p>
    <w:p>
      <w:pPr>
        <w:pStyle w:val="Subsection"/>
      </w:pPr>
      <w:r>
        <w:tab/>
      </w:r>
      <w:r>
        <w:tab/>
        <w:t>The provisions of the regulations set out in Schedule 3 are prescribed for the purposes of section 176 of the Law.</w:t>
      </w:r>
    </w:p>
    <w:p>
      <w:pPr>
        <w:pStyle w:val="Heading5"/>
      </w:pPr>
      <w:bookmarkStart w:id="564" w:name="_Toc95120166"/>
      <w:bookmarkStart w:id="565" w:name="_Toc95119130"/>
      <w:r>
        <w:rPr>
          <w:rStyle w:val="CharSectno"/>
        </w:rPr>
        <w:t>189</w:t>
      </w:r>
      <w:r>
        <w:t>.</w:t>
      </w:r>
      <w:r>
        <w:tab/>
        <w:t>Application to cancel prohibition notice</w:t>
      </w:r>
      <w:bookmarkEnd w:id="564"/>
      <w:bookmarkEnd w:id="565"/>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566" w:name="_Toc95120167"/>
      <w:bookmarkStart w:id="567" w:name="_Toc95119131"/>
      <w:r>
        <w:rPr>
          <w:rStyle w:val="CharSectno"/>
        </w:rPr>
        <w:t>190</w:t>
      </w:r>
      <w:r>
        <w:t>.</w:t>
      </w:r>
      <w:r>
        <w:tab/>
        <w:t>Infringement offences</w:t>
      </w:r>
      <w:bookmarkEnd w:id="566"/>
      <w:bookmarkEnd w:id="567"/>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Western Australia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Heading5"/>
      </w:pPr>
      <w:bookmarkStart w:id="568" w:name="_Toc95120168"/>
      <w:bookmarkStart w:id="569" w:name="_Toc95119132"/>
      <w:r>
        <w:rPr>
          <w:rStyle w:val="CharSectno"/>
        </w:rPr>
        <w:t>191</w:t>
      </w:r>
      <w:r>
        <w:t>.</w:t>
      </w:r>
      <w:r>
        <w:tab/>
        <w:t>False or misleading information or documents</w:t>
      </w:r>
      <w:bookmarkEnd w:id="568"/>
      <w:bookmarkEnd w:id="569"/>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570" w:name="_Toc95119774"/>
      <w:bookmarkStart w:id="571" w:name="_Toc95120169"/>
      <w:bookmarkStart w:id="572" w:name="_Toc95119133"/>
      <w:r>
        <w:rPr>
          <w:rStyle w:val="CharPartNo"/>
        </w:rPr>
        <w:t>Chapter 6</w:t>
      </w:r>
      <w:r>
        <w:t> — </w:t>
      </w:r>
      <w:r>
        <w:rPr>
          <w:rStyle w:val="CharPartText"/>
        </w:rPr>
        <w:t>Administration</w:t>
      </w:r>
      <w:bookmarkEnd w:id="570"/>
      <w:bookmarkEnd w:id="571"/>
      <w:bookmarkEnd w:id="572"/>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New South Wales </w:t>
      </w:r>
      <w:r>
        <w:rPr>
          <w:i/>
        </w:rPr>
        <w:t>State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573" w:name="_Toc95119775"/>
      <w:bookmarkStart w:id="574" w:name="_Toc95120170"/>
      <w:bookmarkStart w:id="575" w:name="_Toc95119134"/>
      <w:r>
        <w:rPr>
          <w:rStyle w:val="CharDivNo"/>
        </w:rPr>
        <w:t>Part 6.1</w:t>
      </w:r>
      <w:r>
        <w:t> — </w:t>
      </w:r>
      <w:r>
        <w:rPr>
          <w:rStyle w:val="CharDivText"/>
        </w:rPr>
        <w:t>Australian Children’s Education and Care Quality Authority</w:t>
      </w:r>
      <w:bookmarkEnd w:id="573"/>
      <w:bookmarkEnd w:id="574"/>
      <w:bookmarkEnd w:id="575"/>
    </w:p>
    <w:p>
      <w:pPr>
        <w:pStyle w:val="Heading5"/>
      </w:pPr>
      <w:bookmarkStart w:id="576" w:name="_Toc95120171"/>
      <w:bookmarkStart w:id="577" w:name="_Toc95119135"/>
      <w:r>
        <w:rPr>
          <w:rStyle w:val="CharSectno"/>
        </w:rPr>
        <w:t>192</w:t>
      </w:r>
      <w:r>
        <w:t>.</w:t>
      </w:r>
      <w:r>
        <w:tab/>
        <w:t>Co</w:t>
      </w:r>
      <w:r>
        <w:noBreakHyphen/>
        <w:t>operation with prescribed classes of body</w:t>
      </w:r>
      <w:bookmarkEnd w:id="576"/>
      <w:bookmarkEnd w:id="577"/>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578" w:name="_Toc95120172"/>
      <w:bookmarkStart w:id="579" w:name="_Toc95119136"/>
      <w:r>
        <w:rPr>
          <w:rStyle w:val="CharSectno"/>
        </w:rPr>
        <w:t>193</w:t>
      </w:r>
      <w:r>
        <w:t>.</w:t>
      </w:r>
      <w:r>
        <w:tab/>
        <w:t>Allocating, transferring or reimbursing money to a participating jurisdiction</w:t>
      </w:r>
      <w:bookmarkEnd w:id="578"/>
      <w:bookmarkEnd w:id="579"/>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580" w:name="_Toc95120173"/>
      <w:bookmarkStart w:id="581" w:name="_Toc95119137"/>
      <w:r>
        <w:rPr>
          <w:rStyle w:val="CharSectno"/>
        </w:rPr>
        <w:t>194</w:t>
      </w:r>
      <w:r>
        <w:t>.</w:t>
      </w:r>
      <w:r>
        <w:tab/>
        <w:t>Investment of Authority Fund</w:t>
      </w:r>
      <w:bookmarkEnd w:id="580"/>
      <w:bookmarkEnd w:id="581"/>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582" w:name="_Toc95119779"/>
      <w:bookmarkStart w:id="583" w:name="_Toc95120174"/>
      <w:bookmarkStart w:id="584" w:name="_Toc95119138"/>
      <w:r>
        <w:rPr>
          <w:rStyle w:val="CharDivNo"/>
        </w:rPr>
        <w:t>Part 6.2</w:t>
      </w:r>
      <w:r>
        <w:t> — </w:t>
      </w:r>
      <w:r>
        <w:rPr>
          <w:rStyle w:val="CharDivText"/>
        </w:rPr>
        <w:t>Information, records and privacy — National Authority and Regulatory Authorities</w:t>
      </w:r>
      <w:bookmarkEnd w:id="582"/>
      <w:bookmarkEnd w:id="583"/>
      <w:bookmarkEnd w:id="584"/>
    </w:p>
    <w:p>
      <w:pPr>
        <w:pStyle w:val="Heading4"/>
      </w:pPr>
      <w:bookmarkStart w:id="585" w:name="_Toc95119780"/>
      <w:bookmarkStart w:id="586" w:name="_Toc95120175"/>
      <w:bookmarkStart w:id="587" w:name="_Toc95119139"/>
      <w:r>
        <w:t xml:space="preserve">Division 1 — Application of Commonwealth </w:t>
      </w:r>
      <w:r>
        <w:rPr>
          <w:i/>
        </w:rPr>
        <w:t>Privacy Act 1988</w:t>
      </w:r>
      <w:bookmarkEnd w:id="585"/>
      <w:bookmarkEnd w:id="586"/>
      <w:bookmarkEnd w:id="587"/>
    </w:p>
    <w:p>
      <w:pPr>
        <w:pStyle w:val="Heading5"/>
      </w:pPr>
      <w:bookmarkStart w:id="588" w:name="_Toc95120176"/>
      <w:bookmarkStart w:id="589" w:name="_Toc95119140"/>
      <w:r>
        <w:rPr>
          <w:rStyle w:val="CharSectno"/>
        </w:rPr>
        <w:t>195</w:t>
      </w:r>
      <w:r>
        <w:t>.</w:t>
      </w:r>
      <w:r>
        <w:tab/>
        <w:t xml:space="preserve">Application of Commonwealth </w:t>
      </w:r>
      <w:r>
        <w:rPr>
          <w:i/>
        </w:rPr>
        <w:t>Privacy Act 1988</w:t>
      </w:r>
      <w:bookmarkEnd w:id="588"/>
      <w:bookmarkEnd w:id="589"/>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590" w:name="_Toc95120177"/>
      <w:bookmarkStart w:id="591" w:name="_Toc95119141"/>
      <w:r>
        <w:rPr>
          <w:rStyle w:val="CharSectno"/>
        </w:rPr>
        <w:t>196</w:t>
      </w:r>
      <w:r>
        <w:t>.</w:t>
      </w:r>
      <w:r>
        <w:tab/>
        <w:t>Modifications relating to National Education and Care Services Privacy Commissioner and staff</w:t>
      </w:r>
      <w:bookmarkEnd w:id="590"/>
      <w:bookmarkEnd w:id="591"/>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592" w:name="_Toc95120178"/>
      <w:bookmarkStart w:id="593" w:name="_Toc95119142"/>
      <w:r>
        <w:rPr>
          <w:rStyle w:val="CharSectno"/>
        </w:rPr>
        <w:t>197</w:t>
      </w:r>
      <w:r>
        <w:t>.</w:t>
      </w:r>
      <w:r>
        <w:tab/>
        <w:t>Modifications about financial matters</w:t>
      </w:r>
      <w:bookmarkEnd w:id="592"/>
      <w:bookmarkEnd w:id="593"/>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594" w:name="_Toc95120179"/>
      <w:bookmarkStart w:id="595" w:name="_Toc95119143"/>
      <w:r>
        <w:rPr>
          <w:rStyle w:val="CharSectno"/>
        </w:rPr>
        <w:t>198</w:t>
      </w:r>
      <w:r>
        <w:t>.</w:t>
      </w:r>
      <w:r>
        <w:tab/>
        <w:t>Modifications about annual report</w:t>
      </w:r>
      <w:bookmarkEnd w:id="594"/>
      <w:bookmarkEnd w:id="595"/>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596" w:name="_Toc95120180"/>
      <w:bookmarkStart w:id="597" w:name="_Toc95119144"/>
      <w:r>
        <w:rPr>
          <w:rStyle w:val="CharSectno"/>
        </w:rPr>
        <w:t>199</w:t>
      </w:r>
      <w:r>
        <w:t>.</w:t>
      </w:r>
      <w:r>
        <w:tab/>
        <w:t>Modifications relating to National Authority and Regulatory Authorities</w:t>
      </w:r>
      <w:bookmarkEnd w:id="596"/>
      <w:bookmarkEnd w:id="597"/>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598" w:name="_Toc95120181"/>
      <w:bookmarkStart w:id="599" w:name="_Toc95119145"/>
      <w:r>
        <w:rPr>
          <w:rStyle w:val="CharSectno"/>
        </w:rPr>
        <w:t>200</w:t>
      </w:r>
      <w:r>
        <w:t>.</w:t>
      </w:r>
      <w:r>
        <w:tab/>
        <w:t>Modifications relating to determinations</w:t>
      </w:r>
      <w:bookmarkEnd w:id="598"/>
      <w:bookmarkEnd w:id="599"/>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600" w:name="_Toc95120182"/>
      <w:bookmarkStart w:id="601" w:name="_Toc95119146"/>
      <w:r>
        <w:rPr>
          <w:rStyle w:val="CharSectno"/>
        </w:rPr>
        <w:t>201</w:t>
      </w:r>
      <w:r>
        <w:t>.</w:t>
      </w:r>
      <w:r>
        <w:tab/>
        <w:t>Miscellaneous modifications</w:t>
      </w:r>
      <w:bookmarkEnd w:id="600"/>
      <w:bookmarkEnd w:id="601"/>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602" w:name="_Toc95120183"/>
      <w:bookmarkStart w:id="603" w:name="_Toc95119147"/>
      <w:r>
        <w:rPr>
          <w:rStyle w:val="CharSectno"/>
        </w:rPr>
        <w:t>202</w:t>
      </w:r>
      <w:r>
        <w:t>.</w:t>
      </w:r>
      <w:r>
        <w:tab/>
        <w:t>Relevant administrative tribunal</w:t>
      </w:r>
      <w:bookmarkEnd w:id="602"/>
      <w:bookmarkEnd w:id="603"/>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604" w:name="_Toc95120184"/>
      <w:bookmarkStart w:id="605" w:name="_Toc95119148"/>
      <w:r>
        <w:rPr>
          <w:rStyle w:val="CharSectno"/>
        </w:rPr>
        <w:t>203</w:t>
      </w:r>
      <w:r>
        <w:t>.</w:t>
      </w:r>
      <w:r>
        <w:tab/>
        <w:t>Regulations</w:t>
      </w:r>
      <w:bookmarkEnd w:id="604"/>
      <w:bookmarkEnd w:id="605"/>
      <w:r>
        <w:t xml:space="preserve"> </w:t>
      </w:r>
    </w:p>
    <w:p>
      <w:pPr>
        <w:pStyle w:val="Subsection"/>
      </w:pPr>
      <w:r>
        <w:tab/>
      </w:r>
      <w:r>
        <w:tab/>
        <w:t>The regulations made under the Privacy Act do not apply.</w:t>
      </w:r>
    </w:p>
    <w:p>
      <w:pPr>
        <w:pStyle w:val="Heading4"/>
      </w:pPr>
      <w:bookmarkStart w:id="606" w:name="_Toc95119790"/>
      <w:bookmarkStart w:id="607" w:name="_Toc95120185"/>
      <w:bookmarkStart w:id="608" w:name="_Toc95119149"/>
      <w:r>
        <w:t xml:space="preserve">Division 2 — Application of Commonwealth </w:t>
      </w:r>
      <w:r>
        <w:rPr>
          <w:i/>
        </w:rPr>
        <w:t>Freedom of Information Act 1982</w:t>
      </w:r>
      <w:bookmarkEnd w:id="606"/>
      <w:bookmarkEnd w:id="607"/>
      <w:bookmarkEnd w:id="608"/>
    </w:p>
    <w:p>
      <w:pPr>
        <w:pStyle w:val="Heading5"/>
      </w:pPr>
      <w:bookmarkStart w:id="609" w:name="_Toc95120186"/>
      <w:bookmarkStart w:id="610" w:name="_Toc95119150"/>
      <w:r>
        <w:rPr>
          <w:rStyle w:val="CharSectno"/>
        </w:rPr>
        <w:t>204</w:t>
      </w:r>
      <w:r>
        <w:t>.</w:t>
      </w:r>
      <w:r>
        <w:tab/>
        <w:t>Application of Commonwealth</w:t>
      </w:r>
      <w:r>
        <w:rPr>
          <w:i/>
        </w:rPr>
        <w:t xml:space="preserve"> Freedom of Information Act 1982</w:t>
      </w:r>
      <w:bookmarkEnd w:id="609"/>
      <w:bookmarkEnd w:id="610"/>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611" w:name="_Toc95120187"/>
      <w:bookmarkStart w:id="612" w:name="_Toc95119151"/>
      <w:r>
        <w:rPr>
          <w:rStyle w:val="CharSectno"/>
        </w:rPr>
        <w:t>205</w:t>
      </w:r>
      <w:r>
        <w:t>.</w:t>
      </w:r>
      <w:r>
        <w:tab/>
        <w:t>Modifications relating to National Education and Care Services Freedom of Information Commissioner and staff</w:t>
      </w:r>
      <w:bookmarkEnd w:id="611"/>
      <w:bookmarkEnd w:id="612"/>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613" w:name="_Toc95120188"/>
      <w:bookmarkStart w:id="614" w:name="_Toc95119152"/>
      <w:r>
        <w:rPr>
          <w:rStyle w:val="CharSectno"/>
        </w:rPr>
        <w:t>206</w:t>
      </w:r>
      <w:r>
        <w:t>.</w:t>
      </w:r>
      <w:r>
        <w:tab/>
        <w:t>Modifications about financial matters</w:t>
      </w:r>
      <w:bookmarkEnd w:id="613"/>
      <w:bookmarkEnd w:id="614"/>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615" w:name="_Toc95120189"/>
      <w:bookmarkStart w:id="616" w:name="_Toc95119153"/>
      <w:r>
        <w:rPr>
          <w:rStyle w:val="CharSectno"/>
        </w:rPr>
        <w:t>207</w:t>
      </w:r>
      <w:r>
        <w:t>.</w:t>
      </w:r>
      <w:r>
        <w:tab/>
        <w:t>Modifications about annual report</w:t>
      </w:r>
      <w:bookmarkEnd w:id="615"/>
      <w:bookmarkEnd w:id="616"/>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617" w:name="_Toc95120190"/>
      <w:bookmarkStart w:id="618" w:name="_Toc95119154"/>
      <w:r>
        <w:rPr>
          <w:rStyle w:val="CharSectno"/>
        </w:rPr>
        <w:t>208</w:t>
      </w:r>
      <w:r>
        <w:t>.</w:t>
      </w:r>
      <w:r>
        <w:tab/>
        <w:t>Modifications relating to National Authority and Regulatory Authorities</w:t>
      </w:r>
      <w:bookmarkEnd w:id="617"/>
      <w:bookmarkEnd w:id="618"/>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Gazette 13 Dec 2013 p.</w:t>
      </w:r>
      <w:r>
        <w:rPr>
          <w:sz w:val="19"/>
        </w:rPr>
        <w:t> </w:t>
      </w:r>
      <w:r>
        <w:t>6167; 3 Nov 2017 p. 5484.]</w:t>
      </w:r>
    </w:p>
    <w:p>
      <w:pPr>
        <w:pStyle w:val="Heading5"/>
      </w:pPr>
      <w:bookmarkStart w:id="619" w:name="_Toc95120191"/>
      <w:bookmarkStart w:id="620" w:name="_Toc95119155"/>
      <w:r>
        <w:rPr>
          <w:rStyle w:val="CharSectno"/>
        </w:rPr>
        <w:t>209</w:t>
      </w:r>
      <w:r>
        <w:t>.</w:t>
      </w:r>
      <w:r>
        <w:tab/>
        <w:t>Miscellaneous modifications</w:t>
      </w:r>
      <w:bookmarkEnd w:id="619"/>
      <w:bookmarkEnd w:id="620"/>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(k)</w:t>
      </w:r>
      <w:r>
        <w:tab/>
        <w:t>with any other modifications that are necessary for the effective administration of the FOI Act for the purposes of the National Quality Framework.</w:t>
      </w:r>
    </w:p>
    <w:p>
      <w:pPr>
        <w:pStyle w:val="Heading5"/>
      </w:pPr>
      <w:bookmarkStart w:id="621" w:name="_Toc95120192"/>
      <w:bookmarkStart w:id="622" w:name="_Toc95119156"/>
      <w:r>
        <w:rPr>
          <w:rStyle w:val="CharSectno"/>
        </w:rPr>
        <w:t>210</w:t>
      </w:r>
      <w:r>
        <w:t>.</w:t>
      </w:r>
      <w:r>
        <w:tab/>
        <w:t>Relevant administrative tribunal</w:t>
      </w:r>
      <w:bookmarkEnd w:id="621"/>
      <w:bookmarkEnd w:id="622"/>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623" w:name="_Toc95120193"/>
      <w:bookmarkStart w:id="624" w:name="_Toc95119157"/>
      <w:r>
        <w:rPr>
          <w:rStyle w:val="CharSectno"/>
        </w:rPr>
        <w:t>211</w:t>
      </w:r>
      <w:r>
        <w:t>.</w:t>
      </w:r>
      <w:r>
        <w:tab/>
        <w:t>Regulations</w:t>
      </w:r>
      <w:bookmarkEnd w:id="623"/>
      <w:bookmarkEnd w:id="624"/>
      <w:r>
        <w:t xml:space="preserve"> </w:t>
      </w:r>
    </w:p>
    <w:p>
      <w:pPr>
        <w:pStyle w:val="Subsection"/>
      </w:pPr>
      <w:r>
        <w:tab/>
      </w:r>
      <w:r>
        <w:tab/>
        <w:t>The regulations made under the FOI Act, other than the provisions providing for fees and charges, do not apply.</w:t>
      </w:r>
    </w:p>
    <w:p>
      <w:pPr>
        <w:pStyle w:val="Heading4"/>
        <w:rPr>
          <w:i/>
        </w:rPr>
      </w:pPr>
      <w:bookmarkStart w:id="625" w:name="_Toc95119799"/>
      <w:bookmarkStart w:id="626" w:name="_Toc95120194"/>
      <w:bookmarkStart w:id="627" w:name="_Toc95119158"/>
      <w:r>
        <w:t xml:space="preserve">Division 3 — Application of New South Wales </w:t>
      </w:r>
      <w:r>
        <w:rPr>
          <w:i/>
        </w:rPr>
        <w:t>State Records Act 1998</w:t>
      </w:r>
      <w:bookmarkEnd w:id="625"/>
      <w:bookmarkEnd w:id="626"/>
      <w:bookmarkEnd w:id="627"/>
    </w:p>
    <w:p>
      <w:pPr>
        <w:pStyle w:val="Heading5"/>
      </w:pPr>
      <w:bookmarkStart w:id="628" w:name="_Toc95120195"/>
      <w:bookmarkStart w:id="629" w:name="_Toc95119159"/>
      <w:r>
        <w:rPr>
          <w:rStyle w:val="CharSectno"/>
        </w:rPr>
        <w:t>212</w:t>
      </w:r>
      <w:r>
        <w:t>.</w:t>
      </w:r>
      <w:r>
        <w:tab/>
        <w:t>Application of State Records Act</w:t>
      </w:r>
      <w:bookmarkEnd w:id="628"/>
      <w:bookmarkEnd w:id="629"/>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630" w:name="_Toc95120196"/>
      <w:bookmarkStart w:id="631" w:name="_Toc95119160"/>
      <w:r>
        <w:rPr>
          <w:rStyle w:val="CharSectno"/>
        </w:rPr>
        <w:t>213</w:t>
      </w:r>
      <w:r>
        <w:t>.</w:t>
      </w:r>
      <w:r>
        <w:tab/>
        <w:t>Modifications relating to State Records Authority and its Board and Director</w:t>
      </w:r>
      <w:bookmarkEnd w:id="630"/>
      <w:bookmarkEnd w:id="631"/>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632" w:name="_Toc95120197"/>
      <w:bookmarkStart w:id="633" w:name="_Toc95119161"/>
      <w:r>
        <w:rPr>
          <w:rStyle w:val="CharSectno"/>
        </w:rPr>
        <w:t>214</w:t>
      </w:r>
      <w:r>
        <w:t>.</w:t>
      </w:r>
      <w:r>
        <w:tab/>
        <w:t>Modifications relating to National Authority</w:t>
      </w:r>
      <w:bookmarkEnd w:id="632"/>
      <w:bookmarkEnd w:id="633"/>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634" w:name="_Toc95120198"/>
      <w:bookmarkStart w:id="635" w:name="_Toc95119162"/>
      <w:r>
        <w:rPr>
          <w:rStyle w:val="CharSectno"/>
        </w:rPr>
        <w:t>215</w:t>
      </w:r>
      <w:r>
        <w:t>.</w:t>
      </w:r>
      <w:r>
        <w:tab/>
        <w:t>Modifications relating to Ministerial Council</w:t>
      </w:r>
      <w:bookmarkEnd w:id="634"/>
      <w:bookmarkEnd w:id="635"/>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636" w:name="_Toc95120199"/>
      <w:bookmarkStart w:id="637" w:name="_Toc95119163"/>
      <w:r>
        <w:rPr>
          <w:rStyle w:val="CharSectno"/>
        </w:rPr>
        <w:t>216</w:t>
      </w:r>
      <w:r>
        <w:t>.</w:t>
      </w:r>
      <w:r>
        <w:tab/>
        <w:t>Miscellaneous modifications</w:t>
      </w:r>
      <w:bookmarkEnd w:id="636"/>
      <w:bookmarkEnd w:id="637"/>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Gazette 26 Jun 2015 p. 2272; 28 Sep 2018 p. 3646</w:t>
      </w:r>
      <w:r>
        <w:noBreakHyphen/>
        <w:t>7.]</w:t>
      </w:r>
    </w:p>
    <w:p>
      <w:pPr>
        <w:pStyle w:val="Heading5"/>
      </w:pPr>
      <w:bookmarkStart w:id="638" w:name="_Toc95120200"/>
      <w:bookmarkStart w:id="639" w:name="_Toc95119164"/>
      <w:r>
        <w:rPr>
          <w:rStyle w:val="CharSectno"/>
        </w:rPr>
        <w:t>217</w:t>
      </w:r>
      <w:r>
        <w:t>.</w:t>
      </w:r>
      <w:r>
        <w:tab/>
        <w:t>Regulations</w:t>
      </w:r>
      <w:bookmarkEnd w:id="638"/>
      <w:bookmarkEnd w:id="639"/>
      <w:r>
        <w:t xml:space="preserve"> </w:t>
      </w:r>
    </w:p>
    <w:p>
      <w:pPr>
        <w:pStyle w:val="Subsection"/>
      </w:pPr>
      <w:r>
        <w:tab/>
      </w:r>
      <w:r>
        <w:tab/>
        <w:t>The regulations made under the State Records Act do not apply.</w:t>
      </w:r>
    </w:p>
    <w:p>
      <w:pPr>
        <w:pStyle w:val="Heading4"/>
      </w:pPr>
      <w:bookmarkStart w:id="640" w:name="_Toc95119806"/>
      <w:bookmarkStart w:id="641" w:name="_Toc95120201"/>
      <w:bookmarkStart w:id="642" w:name="_Toc95119165"/>
      <w:r>
        <w:t xml:space="preserve">Division 4 — Application of Commonwealth </w:t>
      </w:r>
      <w:r>
        <w:rPr>
          <w:i/>
        </w:rPr>
        <w:t>Ombudsman Act 1976</w:t>
      </w:r>
      <w:bookmarkEnd w:id="640"/>
      <w:bookmarkEnd w:id="641"/>
      <w:bookmarkEnd w:id="642"/>
    </w:p>
    <w:p>
      <w:pPr>
        <w:pStyle w:val="Heading5"/>
      </w:pPr>
      <w:bookmarkStart w:id="643" w:name="_Toc95120202"/>
      <w:bookmarkStart w:id="644" w:name="_Toc95119166"/>
      <w:r>
        <w:rPr>
          <w:rStyle w:val="CharSectno"/>
        </w:rPr>
        <w:t>218</w:t>
      </w:r>
      <w:r>
        <w:t>.</w:t>
      </w:r>
      <w:r>
        <w:tab/>
        <w:t>Application of Commonwealth Ombudsman Act</w:t>
      </w:r>
      <w:bookmarkEnd w:id="643"/>
      <w:bookmarkEnd w:id="644"/>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645" w:name="_Toc95120203"/>
      <w:bookmarkStart w:id="646" w:name="_Toc95119167"/>
      <w:r>
        <w:rPr>
          <w:rStyle w:val="CharSectno"/>
        </w:rPr>
        <w:t>219</w:t>
      </w:r>
      <w:r>
        <w:t>.</w:t>
      </w:r>
      <w:r>
        <w:tab/>
        <w:t>Modifications relating to Education and Care Services Ombudsman and staff</w:t>
      </w:r>
      <w:bookmarkEnd w:id="645"/>
      <w:bookmarkEnd w:id="646"/>
      <w:r>
        <w:t xml:space="preserve"> </w:t>
      </w:r>
    </w:p>
    <w:p>
      <w:pPr>
        <w:pStyle w:val="Subsection"/>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pPr>
      <w:r>
        <w:tab/>
        <w:t>[Regulation 219 amended: Gazette 3 Nov 2017 p. 5484.]</w:t>
      </w:r>
    </w:p>
    <w:p>
      <w:pPr>
        <w:pStyle w:val="Heading5"/>
      </w:pPr>
      <w:bookmarkStart w:id="647" w:name="_Toc95120204"/>
      <w:bookmarkStart w:id="648" w:name="_Toc95119168"/>
      <w:r>
        <w:rPr>
          <w:rStyle w:val="CharSectno"/>
        </w:rPr>
        <w:t>220</w:t>
      </w:r>
      <w:r>
        <w:t>.</w:t>
      </w:r>
      <w:r>
        <w:tab/>
        <w:t>Modifications about financial matters</w:t>
      </w:r>
      <w:bookmarkEnd w:id="647"/>
      <w:bookmarkEnd w:id="648"/>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649" w:name="_Toc95120205"/>
      <w:bookmarkStart w:id="650" w:name="_Toc95119169"/>
      <w:r>
        <w:rPr>
          <w:rStyle w:val="CharSectno"/>
        </w:rPr>
        <w:t>221</w:t>
      </w:r>
      <w:r>
        <w:t>.</w:t>
      </w:r>
      <w:r>
        <w:tab/>
        <w:t>Modifications about annual report</w:t>
      </w:r>
      <w:bookmarkEnd w:id="649"/>
      <w:bookmarkEnd w:id="650"/>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651" w:name="_Toc95120206"/>
      <w:bookmarkStart w:id="652" w:name="_Toc95119170"/>
      <w:r>
        <w:rPr>
          <w:rStyle w:val="CharSectno"/>
        </w:rPr>
        <w:t>222</w:t>
      </w:r>
      <w:r>
        <w:t>.</w:t>
      </w:r>
      <w:r>
        <w:tab/>
        <w:t>Modifications relating to National Authority and Regulatory Authorities</w:t>
      </w:r>
      <w:bookmarkEnd w:id="651"/>
      <w:bookmarkEnd w:id="652"/>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653" w:name="_Toc95120207"/>
      <w:bookmarkStart w:id="654" w:name="_Toc95119171"/>
      <w:r>
        <w:rPr>
          <w:rStyle w:val="CharSectno"/>
        </w:rPr>
        <w:t>223</w:t>
      </w:r>
      <w:r>
        <w:t>.</w:t>
      </w:r>
      <w:r>
        <w:tab/>
        <w:t>Miscellaneous modifications</w:t>
      </w:r>
      <w:bookmarkEnd w:id="653"/>
      <w:bookmarkEnd w:id="654"/>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655" w:name="_Toc95120208"/>
      <w:bookmarkStart w:id="656" w:name="_Toc95119172"/>
      <w:r>
        <w:rPr>
          <w:rStyle w:val="CharSectno"/>
        </w:rPr>
        <w:t>224</w:t>
      </w:r>
      <w:r>
        <w:t>.</w:t>
      </w:r>
      <w:r>
        <w:tab/>
        <w:t>Relevant administrative tribunal</w:t>
      </w:r>
      <w:bookmarkEnd w:id="655"/>
      <w:bookmarkEnd w:id="656"/>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657" w:name="_Toc95120209"/>
      <w:bookmarkStart w:id="658" w:name="_Toc95119173"/>
      <w:r>
        <w:rPr>
          <w:rStyle w:val="CharSectno"/>
        </w:rPr>
        <w:t>225</w:t>
      </w:r>
      <w:r>
        <w:t>.</w:t>
      </w:r>
      <w:r>
        <w:tab/>
        <w:t>Regulations</w:t>
      </w:r>
      <w:bookmarkEnd w:id="657"/>
      <w:bookmarkEnd w:id="658"/>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659" w:name="_Toc95119815"/>
      <w:bookmarkStart w:id="660" w:name="_Toc95120210"/>
      <w:bookmarkStart w:id="661" w:name="_Toc95119174"/>
      <w:r>
        <w:t>Division 5 — Publication of information</w:t>
      </w:r>
      <w:bookmarkEnd w:id="659"/>
      <w:bookmarkEnd w:id="660"/>
      <w:bookmarkEnd w:id="661"/>
    </w:p>
    <w:p>
      <w:pPr>
        <w:pStyle w:val="Heading5"/>
      </w:pPr>
      <w:bookmarkStart w:id="662" w:name="_Toc95120211"/>
      <w:bookmarkStart w:id="663" w:name="_Toc95119175"/>
      <w:r>
        <w:rPr>
          <w:rStyle w:val="CharSectno"/>
        </w:rPr>
        <w:t>226</w:t>
      </w:r>
      <w:r>
        <w:t>.</w:t>
      </w:r>
      <w:r>
        <w:tab/>
        <w:t>Publication of information</w:t>
      </w:r>
      <w:bookmarkEnd w:id="662"/>
      <w:bookmarkEnd w:id="663"/>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664" w:name="_Toc95120212"/>
      <w:bookmarkStart w:id="665" w:name="_Toc95119176"/>
      <w:r>
        <w:rPr>
          <w:rStyle w:val="CharSectno"/>
        </w:rPr>
        <w:t>227</w:t>
      </w:r>
      <w:r>
        <w:t>.</w:t>
      </w:r>
      <w:r>
        <w:tab/>
        <w:t>Compliance and enforcement information</w:t>
      </w:r>
      <w:bookmarkEnd w:id="664"/>
      <w:bookmarkEnd w:id="665"/>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or service approval;</w:t>
      </w:r>
    </w:p>
    <w:p>
      <w:pPr>
        <w:pStyle w:val="Indenta"/>
      </w:pPr>
      <w:r>
        <w:tab/>
        <w:t>(e)</w:t>
      </w:r>
      <w:r>
        <w:tab/>
        <w:t>an amendment made to a provider approval or service approval for purposes of enforcement;</w:t>
      </w:r>
    </w:p>
    <w:p>
      <w:pPr>
        <w:pStyle w:val="Indenta"/>
      </w:pPr>
      <w:r>
        <w:tab/>
        <w:t>(f)</w:t>
      </w:r>
      <w:r>
        <w:tab/>
        <w:t>the giving of an emergency action notice under section 179 of the Law.</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pPr>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pPr>
      <w:r>
        <w:tab/>
        <w:t>(AB)</w:t>
      </w:r>
      <w:r>
        <w:tab/>
        <w:t>the service approval number;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tab/>
        <w:t>(iv)</w:t>
      </w:r>
      <w:r>
        <w:tab/>
        <w:t>for an individual, the name of the individual;</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for the amendment of a provider approval or service approval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for a suspension of a provider approval or service approval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or service approval,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keepNext/>
      </w:pPr>
      <w:r>
        <w:tab/>
        <w:t>2.</w:t>
      </w:r>
      <w:r>
        <w:tab/>
        <w:t>Section 270(6) of the Law further restricts the publication of identifying information.</w:t>
      </w:r>
    </w:p>
    <w:p>
      <w:pPr>
        <w:pStyle w:val="Footnotesection"/>
      </w:pPr>
      <w:r>
        <w:tab/>
        <w:t>[Regulation 227 amended: Gazette 5 Mar 2013 p. 1108</w:t>
      </w:r>
      <w:r>
        <w:noBreakHyphen/>
        <w:t>9; 13 Dec 2013 p.</w:t>
      </w:r>
      <w:r>
        <w:rPr>
          <w:sz w:val="19"/>
        </w:rPr>
        <w:t> </w:t>
      </w:r>
      <w:r>
        <w:t>6167</w:t>
      </w:r>
      <w:r>
        <w:noBreakHyphen/>
        <w:t>8; 28 Sep 2018 p. 3647</w:t>
      </w:r>
      <w:r>
        <w:noBreakHyphen/>
        <w:t>8.]</w:t>
      </w:r>
    </w:p>
    <w:p>
      <w:pPr>
        <w:pStyle w:val="Heading5"/>
      </w:pPr>
      <w:bookmarkStart w:id="666" w:name="_Toc95120213"/>
      <w:bookmarkStart w:id="667" w:name="_Toc95119177"/>
      <w:r>
        <w:rPr>
          <w:rStyle w:val="CharSectno"/>
        </w:rPr>
        <w:t>228</w:t>
      </w:r>
      <w:r>
        <w:t>.</w:t>
      </w:r>
      <w:r>
        <w:tab/>
        <w:t>Timing of publication where internal or external review of enforcement action is available</w:t>
      </w:r>
      <w:bookmarkEnd w:id="666"/>
      <w:bookmarkEnd w:id="667"/>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668" w:name="_Toc95119819"/>
      <w:bookmarkStart w:id="669" w:name="_Toc95120214"/>
      <w:bookmarkStart w:id="670" w:name="_Toc95119178"/>
      <w:r>
        <w:t>Division 6 — Registers</w:t>
      </w:r>
      <w:bookmarkEnd w:id="668"/>
      <w:bookmarkEnd w:id="669"/>
      <w:bookmarkEnd w:id="670"/>
    </w:p>
    <w:p>
      <w:pPr>
        <w:pStyle w:val="Heading5"/>
      </w:pPr>
      <w:bookmarkStart w:id="671" w:name="_Toc95120215"/>
      <w:bookmarkStart w:id="672" w:name="_Toc95119179"/>
      <w:r>
        <w:rPr>
          <w:rStyle w:val="CharSectno"/>
        </w:rPr>
        <w:t>229</w:t>
      </w:r>
      <w:r>
        <w:t>.</w:t>
      </w:r>
      <w:r>
        <w:tab/>
        <w:t>Register of approved providers</w:t>
      </w:r>
      <w:bookmarkEnd w:id="671"/>
      <w:bookmarkEnd w:id="672"/>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673" w:name="_Toc95120216"/>
      <w:bookmarkStart w:id="674" w:name="_Toc95119180"/>
      <w:r>
        <w:rPr>
          <w:rStyle w:val="CharSectno"/>
        </w:rPr>
        <w:t>230</w:t>
      </w:r>
      <w:r>
        <w:t>.</w:t>
      </w:r>
      <w:r>
        <w:tab/>
        <w:t>Register of approved education and care services</w:t>
      </w:r>
      <w:bookmarkEnd w:id="673"/>
      <w:bookmarkEnd w:id="674"/>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Ednotesection"/>
        <w:rPr>
          <w:rStyle w:val="CharSectno"/>
        </w:rPr>
      </w:pPr>
      <w:r>
        <w:rPr>
          <w:rStyle w:val="CharSectno"/>
        </w:rPr>
        <w:t>[</w:t>
      </w:r>
      <w:r>
        <w:rPr>
          <w:rStyle w:val="CharSectno"/>
          <w:b/>
        </w:rPr>
        <w:t>231.</w:t>
      </w:r>
      <w:r>
        <w:rPr>
          <w:rStyle w:val="CharSectno"/>
        </w:rPr>
        <w:tab/>
        <w:t>Deleted: Gazette</w:t>
      </w:r>
      <w:r>
        <w:t xml:space="preserve"> 28 Sep 2018 p. 3648.]</w:t>
      </w:r>
    </w:p>
    <w:p>
      <w:pPr>
        <w:pStyle w:val="Heading3"/>
      </w:pPr>
      <w:bookmarkStart w:id="675" w:name="_Toc95119822"/>
      <w:bookmarkStart w:id="676" w:name="_Toc95120217"/>
      <w:bookmarkStart w:id="677" w:name="_Toc95119181"/>
      <w:r>
        <w:rPr>
          <w:rStyle w:val="CharDivNo"/>
        </w:rPr>
        <w:t>Part 6.3</w:t>
      </w:r>
      <w:r>
        <w:t> — </w:t>
      </w:r>
      <w:r>
        <w:rPr>
          <w:rStyle w:val="CharDivText"/>
        </w:rPr>
        <w:t>Fees</w:t>
      </w:r>
      <w:bookmarkEnd w:id="675"/>
      <w:bookmarkEnd w:id="676"/>
      <w:bookmarkEnd w:id="677"/>
    </w:p>
    <w:p>
      <w:pPr>
        <w:pStyle w:val="Heading5"/>
      </w:pPr>
      <w:bookmarkStart w:id="678" w:name="_Toc95120218"/>
      <w:bookmarkStart w:id="679" w:name="_Toc95119182"/>
      <w:r>
        <w:rPr>
          <w:rStyle w:val="CharSectno"/>
        </w:rPr>
        <w:t>232</w:t>
      </w:r>
      <w:r>
        <w:t>.</w:t>
      </w:r>
      <w:r>
        <w:tab/>
        <w:t>Prescribed fees</w:t>
      </w:r>
      <w:bookmarkEnd w:id="678"/>
      <w:bookmarkEnd w:id="679"/>
      <w:r>
        <w:t xml:space="preserve"> </w:t>
      </w:r>
    </w:p>
    <w:p>
      <w:pPr>
        <w:pStyle w:val="Subsection"/>
      </w:pPr>
      <w:r>
        <w:tab/>
      </w:r>
      <w:r>
        <w:tab/>
        <w:t>The prescribed fee payable under a provision of the Law is the relevant fee in Schedule 2 in relation to that provision of the Law.</w:t>
      </w:r>
    </w:p>
    <w:p>
      <w:pPr>
        <w:pStyle w:val="PermNoteHeading"/>
      </w:pPr>
      <w:r>
        <w:tab/>
        <w:t>Note for this regulation:</w:t>
      </w:r>
    </w:p>
    <w:p>
      <w:pPr>
        <w:pStyle w:val="PermNoteText"/>
      </w:pPr>
      <w:r>
        <w:tab/>
      </w:r>
      <w:r>
        <w:tab/>
        <w:t>See also regulations 138 and 139, which also provide for the payment of fees.</w:t>
      </w:r>
    </w:p>
    <w:p>
      <w:pPr>
        <w:pStyle w:val="Heading5"/>
      </w:pPr>
      <w:bookmarkStart w:id="680" w:name="_Toc95120219"/>
      <w:bookmarkStart w:id="681" w:name="_Toc95119183"/>
      <w:r>
        <w:rPr>
          <w:rStyle w:val="CharSectno"/>
        </w:rPr>
        <w:t>233</w:t>
      </w:r>
      <w:r>
        <w:t>.</w:t>
      </w:r>
      <w:r>
        <w:tab/>
        <w:t>Late payment fees (annual fees)</w:t>
      </w:r>
      <w:bookmarkEnd w:id="680"/>
      <w:bookmarkEnd w:id="681"/>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of the relevant annual fee prescribed for the purposes of regulation 33.</w:t>
      </w:r>
    </w:p>
    <w:p>
      <w:pPr>
        <w:pStyle w:val="Heading5"/>
      </w:pPr>
      <w:bookmarkStart w:id="682" w:name="_Toc95120220"/>
      <w:bookmarkStart w:id="683" w:name="_Toc95119184"/>
      <w:r>
        <w:rPr>
          <w:rStyle w:val="CharSectno"/>
        </w:rPr>
        <w:t>234</w:t>
      </w:r>
      <w:r>
        <w:t>.</w:t>
      </w:r>
      <w:r>
        <w:tab/>
        <w:t>Waiver, reduction, deferral and refund of fees</w:t>
      </w:r>
      <w:bookmarkEnd w:id="682"/>
      <w:bookmarkEnd w:id="683"/>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684" w:name="_Toc95120221"/>
      <w:bookmarkStart w:id="685" w:name="_Toc95119185"/>
      <w:r>
        <w:rPr>
          <w:rStyle w:val="CharSectno"/>
        </w:rPr>
        <w:t>235</w:t>
      </w:r>
      <w:r>
        <w:t>.</w:t>
      </w:r>
      <w:r>
        <w:tab/>
        <w:t>Indexation of fees</w:t>
      </w:r>
      <w:bookmarkEnd w:id="684"/>
      <w:bookmarkEnd w:id="685"/>
      <w:r>
        <w:t xml:space="preserve"> </w:t>
      </w:r>
    </w:p>
    <w:p>
      <w:pPr>
        <w:pStyle w:val="Ednotesubsection"/>
      </w:pPr>
      <w:r>
        <w:tab/>
        <w:t>[(1)</w:t>
      </w:r>
      <w:r>
        <w:tab/>
        <w:t>deleted]</w:t>
      </w:r>
    </w:p>
    <w:p>
      <w:pPr>
        <w:pStyle w:val="Subsection"/>
      </w:pPr>
      <w:r>
        <w:tab/>
        <w:t>(2)</w:t>
      </w:r>
      <w:r>
        <w:tab/>
        <w:t xml:space="preserve">If a fee is required to be paid under the Law or these regulations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tab/>
        <w:t>(c)</w:t>
      </w:r>
      <w:r>
        <w:tab/>
        <w:t>round the result down to the nearest whole dollar.</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An indexed fee for an application for a provider approval for the year starting 1 July 2013 would be worked out by multiplying $200 (the fee payable in the previous year) by the indexation factor for 2013</w:t>
      </w:r>
      <w:r>
        <w:rPr>
          <w:rFonts w:ascii="Arial" w:hAnsi="Arial" w:cs="Arial"/>
          <w:sz w:val="18"/>
          <w:szCs w:val="18"/>
        </w:rPr>
        <w:noBreakHyphen/>
        <w:t>2014 worked out under subregulation (3), and then rounding the result down.</w:t>
      </w:r>
    </w:p>
    <w:p>
      <w:pPr>
        <w:pStyle w:val="Subsection"/>
      </w:pPr>
      <w:r>
        <w:tab/>
        <w:t>(3)</w:t>
      </w:r>
      <w:r>
        <w:tab/>
        <w:t xml:space="preserve">The indexation factor is worked out using the following formula — </w:t>
      </w:r>
    </w:p>
    <w:p>
      <w:pPr>
        <w:pStyle w:val="Equation"/>
        <w:spacing w:before="160"/>
        <w:jc w:val="cente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27pt">
            <v:imagedata r:id="rId15" o:title=""/>
          </v:shape>
        </w:pict>
      </w:r>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keepNext/>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keepNext/>
      </w:pPr>
      <w:r>
        <w:tab/>
        <w:t>(b)</w:t>
      </w:r>
      <w:r>
        <w:tab/>
        <w:t>disregarding index numbers that are published in substitution for previously published index numbers (unless the substituted numbers are published to take account of changes in the reference base).</w:t>
      </w:r>
    </w:p>
    <w:p>
      <w:pPr>
        <w:pStyle w:val="Footnotesection"/>
      </w:pPr>
      <w:r>
        <w:tab/>
        <w:t>[Regulation 235 amended: Gazette 24 Dec 2019 p. 4426.]</w:t>
      </w:r>
    </w:p>
    <w:p>
      <w:pPr>
        <w:pStyle w:val="Heading5"/>
      </w:pPr>
      <w:bookmarkStart w:id="686" w:name="_Toc95120222"/>
      <w:bookmarkStart w:id="687" w:name="_Toc95119186"/>
      <w:r>
        <w:rPr>
          <w:rStyle w:val="CharSectno"/>
        </w:rPr>
        <w:t>236</w:t>
      </w:r>
      <w:r>
        <w:t>.</w:t>
      </w:r>
      <w:r>
        <w:tab/>
        <w:t>Publication of indexed fees</w:t>
      </w:r>
      <w:bookmarkEnd w:id="686"/>
      <w:bookmarkEnd w:id="687"/>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688" w:name="_Toc95119828"/>
      <w:bookmarkStart w:id="689" w:name="_Toc95120223"/>
      <w:bookmarkStart w:id="690" w:name="_Toc95119187"/>
      <w:r>
        <w:rPr>
          <w:rStyle w:val="CharDivNo"/>
        </w:rPr>
        <w:t>Part 6.4</w:t>
      </w:r>
      <w:r>
        <w:t> — </w:t>
      </w:r>
      <w:r>
        <w:rPr>
          <w:rStyle w:val="CharDivText"/>
        </w:rPr>
        <w:t>Delegations</w:t>
      </w:r>
      <w:bookmarkEnd w:id="688"/>
      <w:bookmarkEnd w:id="689"/>
      <w:bookmarkEnd w:id="690"/>
    </w:p>
    <w:p>
      <w:pPr>
        <w:pStyle w:val="Heading5"/>
      </w:pPr>
      <w:bookmarkStart w:id="691" w:name="_Toc95120224"/>
      <w:bookmarkStart w:id="692" w:name="_Toc95119188"/>
      <w:r>
        <w:rPr>
          <w:rStyle w:val="CharSectno"/>
        </w:rPr>
        <w:t>237</w:t>
      </w:r>
      <w:r>
        <w:t>.</w:t>
      </w:r>
      <w:r>
        <w:tab/>
        <w:t>Delegation</w:t>
      </w:r>
      <w:bookmarkEnd w:id="691"/>
      <w:bookmarkEnd w:id="692"/>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693" w:name="_Toc95119830"/>
      <w:bookmarkStart w:id="694" w:name="_Toc95120225"/>
      <w:bookmarkStart w:id="695" w:name="_Toc95119189"/>
      <w:r>
        <w:rPr>
          <w:rStyle w:val="CharPartNo"/>
        </w:rPr>
        <w:t>Chapter 7</w:t>
      </w:r>
      <w:r>
        <w:t> — </w:t>
      </w:r>
      <w:r>
        <w:rPr>
          <w:rStyle w:val="CharPartText"/>
        </w:rPr>
        <w:t>Jurisdiction</w:t>
      </w:r>
      <w:r>
        <w:rPr>
          <w:rStyle w:val="CharPartText"/>
        </w:rPr>
        <w:noBreakHyphen/>
        <w:t>specific and transitional and saving provisions</w:t>
      </w:r>
      <w:bookmarkEnd w:id="693"/>
      <w:bookmarkEnd w:id="694"/>
      <w:bookmarkEnd w:id="695"/>
    </w:p>
    <w:p>
      <w:pPr>
        <w:pStyle w:val="MiscellaneousBody"/>
        <w:rPr>
          <w:rFonts w:ascii="Arial" w:hAnsi="Arial" w:cs="Arial"/>
          <w:sz w:val="18"/>
          <w:szCs w:val="18"/>
        </w:rPr>
      </w:pPr>
      <w:r>
        <w:rPr>
          <w:rFonts w:ascii="Arial" w:hAnsi="Arial" w:cs="Arial"/>
          <w:sz w:val="18"/>
          <w:szCs w:val="18"/>
        </w:rPr>
        <w:t>This Chapter contains transitional and saving provisions.</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pPr>
        <w:pStyle w:val="Heading3"/>
      </w:pPr>
      <w:bookmarkStart w:id="696" w:name="_Toc95119831"/>
      <w:bookmarkStart w:id="697" w:name="_Toc95120226"/>
      <w:bookmarkStart w:id="698" w:name="_Toc95119190"/>
      <w:r>
        <w:rPr>
          <w:rStyle w:val="CharDivNo"/>
        </w:rPr>
        <w:t>Part 7.1</w:t>
      </w:r>
      <w:r>
        <w:t> — </w:t>
      </w:r>
      <w:r>
        <w:rPr>
          <w:rStyle w:val="CharDivText"/>
        </w:rPr>
        <w:t>General transitional and saving provisions</w:t>
      </w:r>
      <w:bookmarkEnd w:id="696"/>
      <w:bookmarkEnd w:id="697"/>
      <w:bookmarkEnd w:id="698"/>
    </w:p>
    <w:p>
      <w:pPr>
        <w:pStyle w:val="Ednotedivision"/>
      </w:pPr>
      <w:r>
        <w:t>[Divisions 1 and 1A deleted: Gazette 28 Sep 2018 p. 3648.]</w:t>
      </w:r>
    </w:p>
    <w:p>
      <w:pPr>
        <w:pStyle w:val="Heading4"/>
      </w:pPr>
      <w:bookmarkStart w:id="699" w:name="_Toc95119832"/>
      <w:bookmarkStart w:id="700" w:name="_Toc95120227"/>
      <w:bookmarkStart w:id="701" w:name="_Toc95119191"/>
      <w:r>
        <w:t>Division 2 — Staffing arrangements</w:t>
      </w:r>
      <w:bookmarkEnd w:id="699"/>
      <w:bookmarkEnd w:id="700"/>
      <w:bookmarkEnd w:id="701"/>
    </w:p>
    <w:p>
      <w:pPr>
        <w:pStyle w:val="Heading5"/>
      </w:pPr>
      <w:bookmarkStart w:id="702" w:name="_Toc95120228"/>
      <w:bookmarkStart w:id="703" w:name="_Toc95119192"/>
      <w:r>
        <w:rPr>
          <w:rStyle w:val="CharSectno"/>
        </w:rPr>
        <w:t>239</w:t>
      </w:r>
      <w:r>
        <w:t>.</w:t>
      </w:r>
      <w:r>
        <w:tab/>
        <w:t>Centre</w:t>
      </w:r>
      <w:r>
        <w:noBreakHyphen/>
        <w:t>based service offering a preschool program in a composite class in a school</w:t>
      </w:r>
      <w:bookmarkEnd w:id="702"/>
      <w:bookmarkEnd w:id="703"/>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704" w:name="_Toc95120229"/>
      <w:bookmarkStart w:id="705" w:name="_Toc95119193"/>
      <w:r>
        <w:rPr>
          <w:rStyle w:val="CharSectno"/>
        </w:rPr>
        <w:t>239A</w:t>
      </w:r>
      <w:r>
        <w:t>.</w:t>
      </w:r>
      <w:r>
        <w:tab/>
        <w:t>Centre</w:t>
      </w:r>
      <w:r>
        <w:noBreakHyphen/>
        <w:t>based services in remote and very remote areas — attendance of early childhood teachers</w:t>
      </w:r>
      <w:bookmarkEnd w:id="704"/>
      <w:bookmarkEnd w:id="705"/>
    </w:p>
    <w:p>
      <w:pPr>
        <w:pStyle w:val="Subsection"/>
      </w:pPr>
      <w:r>
        <w:tab/>
        <w:t>(1)</w:t>
      </w:r>
      <w:r>
        <w:tab/>
        <w:t>This regulation applies until 31 December 2023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132(1) for attendance of an early childhood teacher if the service has access to an early childhood teacher working with the service at least 20% of the time that the service provides education and care.</w:t>
      </w:r>
    </w:p>
    <w:p>
      <w:pPr>
        <w:pStyle w:val="PermNoteHeading"/>
      </w:pPr>
      <w:r>
        <w:tab/>
        <w:t>Note for this subregulation:</w:t>
      </w:r>
    </w:p>
    <w:p>
      <w:pPr>
        <w:pStyle w:val="PermNoteText"/>
      </w:pPr>
      <w:r>
        <w:tab/>
      </w:r>
      <w:r>
        <w:tab/>
        <w:t>This subregulation differs from regulation 239A(2) of the national regulations made by the Ministerial Council.</w:t>
      </w:r>
    </w:p>
    <w:p>
      <w:pPr>
        <w:pStyle w:val="Subsection"/>
      </w:pPr>
      <w:r>
        <w:tab/>
        <w:t>(2A)</w:t>
      </w:r>
      <w:r>
        <w:tab/>
        <w:t>The centre</w:t>
      </w:r>
      <w:r>
        <w:noBreakHyphen/>
        <w:t xml:space="preserve">based service may meet the requirements of regulation 133(1) or 134(1) for attendance of an early childhood teacher if — </w:t>
      </w:r>
    </w:p>
    <w:p>
      <w:pPr>
        <w:pStyle w:val="Indenta"/>
      </w:pPr>
      <w:r>
        <w:tab/>
        <w:t>(a)</w:t>
      </w:r>
      <w:r>
        <w:tab/>
        <w:t>the service has access to an early childhood teacher working with the service at least 40% of the time that the service provides education and care; or</w:t>
      </w:r>
    </w:p>
    <w:p>
      <w:pPr>
        <w:pStyle w:val="Indenta"/>
      </w:pPr>
      <w:r>
        <w:tab/>
        <w:t>(b)</w:t>
      </w:r>
      <w:r>
        <w:tab/>
        <w:t xml:space="preserve">the service has access to — </w:t>
      </w:r>
    </w:p>
    <w:p>
      <w:pPr>
        <w:pStyle w:val="Indenti"/>
      </w:pPr>
      <w:r>
        <w:tab/>
        <w:t>(i)</w:t>
      </w:r>
      <w:r>
        <w:tab/>
        <w:t>an early childhood teacher working with the service at least 20% of the time that the service provides education and care; and</w:t>
      </w:r>
    </w:p>
    <w:p>
      <w:pPr>
        <w:pStyle w:val="Indenti"/>
      </w:pPr>
      <w:r>
        <w:tab/>
        <w:t>(ii)</w:t>
      </w:r>
      <w:r>
        <w:tab/>
        <w:t>a second early childhood teacher or a suitably qualified person working with the service at least 20% of the time that the service provides education and care.</w:t>
      </w:r>
    </w:p>
    <w:p>
      <w:pPr>
        <w:pStyle w:val="Subsection"/>
      </w:pPr>
      <w:r>
        <w:tab/>
        <w:t>(3)</w:t>
      </w:r>
      <w:r>
        <w:tab/>
        <w:t>To comply with subregulation (2) or (2A), the early childhood teacher or suitably qualified person may be working with the service by means of information communication technology.</w:t>
      </w:r>
    </w:p>
    <w:p>
      <w:pPr>
        <w:pStyle w:val="Subsection"/>
      </w:pPr>
      <w:r>
        <w:tab/>
        <w:t>(4)</w:t>
      </w:r>
      <w:r>
        <w:tab/>
        <w:t>For the purposes of this regulation, the period that an early childhood teacher or suitably qualified person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Gazette 28 Nov 2014 p. 4409</w:t>
      </w:r>
      <w:r>
        <w:noBreakHyphen/>
        <w:t>10; amended: Gazette 3 Nov 2017 p. 5484; 24 Dec 2019 p. 4426-7.]</w:t>
      </w:r>
    </w:p>
    <w:p>
      <w:pPr>
        <w:pStyle w:val="Heading5"/>
      </w:pPr>
      <w:bookmarkStart w:id="706" w:name="_Toc95120230"/>
      <w:bookmarkStart w:id="707" w:name="_Toc95119194"/>
      <w:r>
        <w:rPr>
          <w:rStyle w:val="CharSectno"/>
        </w:rPr>
        <w:t>240</w:t>
      </w:r>
      <w:r>
        <w:t>.</w:t>
      </w:r>
      <w:r>
        <w:tab/>
        <w:t>Qualifications for educators — centre</w:t>
      </w:r>
      <w:r>
        <w:noBreakHyphen/>
        <w:t>based service</w:t>
      </w:r>
      <w:bookmarkEnd w:id="706"/>
      <w:bookmarkEnd w:id="707"/>
      <w:r>
        <w:t xml:space="preserve"> </w:t>
      </w:r>
    </w:p>
    <w:p>
      <w:pPr>
        <w:pStyle w:val="Subsection"/>
      </w:pPr>
      <w:r>
        <w:tab/>
        <w:t>(1)</w:t>
      </w:r>
      <w:r>
        <w:tab/>
        <w:t>This regulation applies until 31 December 2023 to a centre</w:t>
      </w:r>
      <w:r>
        <w:noBreakHyphen/>
        <w:t>based service located in a remote area or a very remote area.</w:t>
      </w:r>
    </w:p>
    <w:p>
      <w:pPr>
        <w:pStyle w:val="PermNoteHeading"/>
      </w:pPr>
      <w:r>
        <w:tab/>
        <w:t>Note for this subregulation:</w:t>
      </w:r>
    </w:p>
    <w:p>
      <w:pPr>
        <w:pStyle w:val="PermNoteText"/>
      </w:pPr>
      <w:r>
        <w:tab/>
      </w:r>
      <w:r>
        <w:tab/>
        <w:t>This subregulation differs from regulation 240(1) of the national regulations made by the Ministerial Council.</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Gazette 28 Nov 2014 p. 4410; 3 Nov 2017 p. 5485; 26 Jun 2018 p. 2359; 24 Dec 2019 p. 4427.]</w:t>
      </w:r>
    </w:p>
    <w:p>
      <w:pPr>
        <w:pStyle w:val="Heading5"/>
      </w:pPr>
      <w:bookmarkStart w:id="708" w:name="_Toc95120231"/>
      <w:bookmarkStart w:id="709" w:name="_Toc95119195"/>
      <w:r>
        <w:rPr>
          <w:rStyle w:val="CharSectno"/>
        </w:rPr>
        <w:t>241</w:t>
      </w:r>
      <w:r>
        <w:t>.</w:t>
      </w:r>
      <w:r>
        <w:tab/>
        <w:t>Persons taken to hold an approved early childhood teaching qualification</w:t>
      </w:r>
      <w:bookmarkEnd w:id="708"/>
      <w:bookmarkEnd w:id="709"/>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Gazette 13 Dec 2013 p.</w:t>
      </w:r>
      <w:r>
        <w:rPr>
          <w:sz w:val="19"/>
        </w:rPr>
        <w:t> </w:t>
      </w:r>
      <w:r>
        <w:t>6169; 28 Nov 2014 p. 4410.]</w:t>
      </w:r>
    </w:p>
    <w:p>
      <w:pPr>
        <w:pStyle w:val="Heading5"/>
        <w:spacing w:before="260"/>
      </w:pPr>
      <w:bookmarkStart w:id="710" w:name="_Toc95120232"/>
      <w:bookmarkStart w:id="711" w:name="_Toc95119196"/>
      <w:r>
        <w:rPr>
          <w:rStyle w:val="CharSectno"/>
        </w:rPr>
        <w:t>242</w:t>
      </w:r>
      <w:r>
        <w:t>.</w:t>
      </w:r>
      <w:r>
        <w:tab/>
        <w:t>Persons taken to be early childhood teachers</w:t>
      </w:r>
      <w:bookmarkEnd w:id="710"/>
      <w:bookmarkEnd w:id="711"/>
      <w:r>
        <w:t xml:space="preserve"> </w:t>
      </w:r>
    </w:p>
    <w:p>
      <w:pPr>
        <w:pStyle w:val="Subsection"/>
        <w:spacing w:before="180"/>
      </w:pPr>
      <w:r>
        <w:tab/>
        <w:t>(1)</w:t>
      </w:r>
      <w:r>
        <w:tab/>
        <w:t>This regulation applies on and after 1 January 2014 and before 31 December 2023.</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Gazette 13 Dec 2013 p.</w:t>
      </w:r>
      <w:r>
        <w:rPr>
          <w:sz w:val="19"/>
        </w:rPr>
        <w:t> </w:t>
      </w:r>
      <w:r>
        <w:t>6169; 28 Nov 2014 p. 4410; 3 Nov 2017 p. 5485; 24 Dec 2019 p. 4427.]</w:t>
      </w:r>
    </w:p>
    <w:p>
      <w:pPr>
        <w:pStyle w:val="Heading5"/>
      </w:pPr>
      <w:bookmarkStart w:id="712" w:name="_Toc95120233"/>
      <w:bookmarkStart w:id="713" w:name="_Toc95119197"/>
      <w:r>
        <w:rPr>
          <w:rStyle w:val="CharSectno"/>
        </w:rPr>
        <w:t>243</w:t>
      </w:r>
      <w:r>
        <w:t>.</w:t>
      </w:r>
      <w:r>
        <w:tab/>
        <w:t>Persons taken to hold an approved diploma level education and care qualification</w:t>
      </w:r>
      <w:bookmarkEnd w:id="712"/>
      <w:bookmarkEnd w:id="713"/>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in Queensland, held a qualification that is published under regulation 137(2)(b) in the list of former qualifications approved as diploma level education and care qualifications.</w:t>
      </w:r>
    </w:p>
    <w:p>
      <w:pPr>
        <w:pStyle w:val="Footnotesection"/>
      </w:pPr>
      <w:r>
        <w:tab/>
        <w:t>[Regulation 243 amended: Gazette 28 Nov 2014 p. 4410</w:t>
      </w:r>
      <w:r>
        <w:noBreakHyphen/>
        <w:t>11.]</w:t>
      </w:r>
    </w:p>
    <w:p>
      <w:pPr>
        <w:pStyle w:val="Heading5"/>
      </w:pPr>
      <w:bookmarkStart w:id="714" w:name="_Toc95120234"/>
      <w:bookmarkStart w:id="715" w:name="_Toc95119198"/>
      <w:r>
        <w:rPr>
          <w:rStyle w:val="CharSectno"/>
        </w:rPr>
        <w:t>243A</w:t>
      </w:r>
      <w:r>
        <w:t>.</w:t>
      </w:r>
      <w:r>
        <w:tab/>
        <w:t>Persons taken to hold an approved diploma level education and care qualification for regulation 128 in Queensland</w:t>
      </w:r>
      <w:bookmarkEnd w:id="714"/>
      <w:bookmarkEnd w:id="715"/>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Gazette 13 Dec 2013 p.</w:t>
      </w:r>
      <w:r>
        <w:rPr>
          <w:sz w:val="19"/>
        </w:rPr>
        <w:t> </w:t>
      </w:r>
      <w:r>
        <w:t>6169.]</w:t>
      </w:r>
    </w:p>
    <w:p>
      <w:pPr>
        <w:pStyle w:val="Heading5"/>
      </w:pPr>
      <w:bookmarkStart w:id="716" w:name="_Toc95120235"/>
      <w:bookmarkStart w:id="717" w:name="_Toc95119199"/>
      <w:r>
        <w:rPr>
          <w:rStyle w:val="CharSectno"/>
        </w:rPr>
        <w:t>244</w:t>
      </w:r>
      <w:r>
        <w:t>.</w:t>
      </w:r>
      <w:r>
        <w:tab/>
        <w:t>Persons taken to hold an approved certificate III level education and care qualification</w:t>
      </w:r>
      <w:bookmarkEnd w:id="716"/>
      <w:bookmarkEnd w:id="717"/>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in Queensland, held a qualification that is published under regulation 137(2)(b) in the list of former qualifications approved as certificate III level education and care qualifications.</w:t>
      </w:r>
    </w:p>
    <w:p>
      <w:pPr>
        <w:pStyle w:val="Footnotesection"/>
      </w:pPr>
      <w:r>
        <w:tab/>
        <w:t>[Regulation 244 amended: Gazette 28 Nov 2014 p. 4411.]</w:t>
      </w:r>
    </w:p>
    <w:p>
      <w:pPr>
        <w:pStyle w:val="Ednotesection"/>
      </w:pPr>
      <w:r>
        <w:t>[</w:t>
      </w:r>
      <w:r>
        <w:rPr>
          <w:b/>
        </w:rPr>
        <w:t>245-247.</w:t>
      </w:r>
      <w:r>
        <w:tab/>
        <w:t>Deleted: Gazette 28 Sep 2018 p. 3648.]</w:t>
      </w:r>
    </w:p>
    <w:p>
      <w:pPr>
        <w:pStyle w:val="Heading4"/>
      </w:pPr>
      <w:bookmarkStart w:id="718" w:name="_Toc95119841"/>
      <w:bookmarkStart w:id="719" w:name="_Toc95120236"/>
      <w:bookmarkStart w:id="720" w:name="_Toc95119200"/>
      <w:r>
        <w:t>Division 3 — Physical environment</w:t>
      </w:r>
      <w:bookmarkEnd w:id="718"/>
      <w:bookmarkEnd w:id="719"/>
      <w:bookmarkEnd w:id="720"/>
    </w:p>
    <w:p>
      <w:pPr>
        <w:pStyle w:val="Heading5"/>
      </w:pPr>
      <w:bookmarkStart w:id="721" w:name="_Toc95120237"/>
      <w:bookmarkStart w:id="722" w:name="_Toc95119201"/>
      <w:r>
        <w:rPr>
          <w:rStyle w:val="CharSectno"/>
        </w:rPr>
        <w:t>248</w:t>
      </w:r>
      <w:r>
        <w:t>.</w:t>
      </w:r>
      <w:r>
        <w:tab/>
        <w:t>Centre</w:t>
      </w:r>
      <w:r>
        <w:noBreakHyphen/>
        <w:t>based service offering a preschool program in a composite class in a school</w:t>
      </w:r>
      <w:bookmarkEnd w:id="721"/>
      <w:bookmarkEnd w:id="722"/>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723" w:name="_Toc95120238"/>
      <w:bookmarkStart w:id="724" w:name="_Toc95119202"/>
      <w:r>
        <w:rPr>
          <w:rStyle w:val="CharSectno"/>
        </w:rPr>
        <w:t>249</w:t>
      </w:r>
      <w:r>
        <w:t>.</w:t>
      </w:r>
      <w:r>
        <w:tab/>
        <w:t>Declared approved services (other than declared approved family day care services)</w:t>
      </w:r>
      <w:bookmarkEnd w:id="723"/>
      <w:bookmarkEnd w:id="724"/>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that regulation does not apply to the declared approved service until —</w:t>
      </w:r>
    </w:p>
    <w:p>
      <w:pPr>
        <w:pStyle w:val="Indenta"/>
      </w:pPr>
      <w:r>
        <w:tab/>
        <w:t>(a)</w:t>
      </w:r>
      <w:r>
        <w:tab/>
        <w:t>the premises of the declared approved service are renovated; or</w:t>
      </w:r>
    </w:p>
    <w:p>
      <w:pPr>
        <w:pStyle w:val="Indenta"/>
      </w:pPr>
      <w:r>
        <w:tab/>
        <w:t>(b)</w:t>
      </w:r>
      <w:r>
        <w:tab/>
        <w:t>the service approval for the declared approved service is transferred under section 58 of the Law.</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Notes for this regulation:</w:t>
      </w:r>
    </w:p>
    <w:p>
      <w:pPr>
        <w:pStyle w:val="PermNoteText"/>
      </w:pPr>
      <w:r>
        <w:tab/>
        <w:t>1.</w:t>
      </w:r>
      <w:r>
        <w:tab/>
        <w:t>See also Division 7.</w:t>
      </w:r>
    </w:p>
    <w:p>
      <w:pPr>
        <w:pStyle w:val="PermNoteText"/>
      </w:pPr>
      <w:r>
        <w:tab/>
        <w:t>2.</w:t>
      </w:r>
      <w:r>
        <w:tab/>
        <w:t>This regulation differs from regulation 249 of the national regulations made by the Ministerial Council.</w:t>
      </w:r>
    </w:p>
    <w:p>
      <w:pPr>
        <w:pStyle w:val="Footnotesection"/>
      </w:pPr>
      <w:r>
        <w:tab/>
        <w:t>[Regulation 249 amended: Gazette 28 Sep 2018 p. 3649.]</w:t>
      </w:r>
    </w:p>
    <w:p>
      <w:pPr>
        <w:pStyle w:val="Heading5"/>
      </w:pPr>
      <w:bookmarkStart w:id="725" w:name="_Toc95120239"/>
      <w:bookmarkStart w:id="726" w:name="_Toc95119203"/>
      <w:r>
        <w:rPr>
          <w:rStyle w:val="CharSectno"/>
        </w:rPr>
        <w:t>250</w:t>
      </w:r>
      <w:r>
        <w:t>.</w:t>
      </w:r>
      <w:r>
        <w:tab/>
        <w:t>Declared approved family day care services</w:t>
      </w:r>
      <w:bookmarkEnd w:id="725"/>
      <w:bookmarkEnd w:id="726"/>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727" w:name="_Toc95120240"/>
      <w:bookmarkStart w:id="728" w:name="_Toc95119204"/>
      <w:r>
        <w:rPr>
          <w:rStyle w:val="CharSectno"/>
        </w:rPr>
        <w:t>251</w:t>
      </w:r>
      <w:r>
        <w:t>.</w:t>
      </w:r>
      <w:r>
        <w:tab/>
        <w:t>Declared out of scope services</w:t>
      </w:r>
      <w:bookmarkEnd w:id="727"/>
      <w:bookmarkEnd w:id="728"/>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keepNext/>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729" w:name="_Toc95119846"/>
      <w:bookmarkStart w:id="730" w:name="_Toc95120241"/>
      <w:bookmarkStart w:id="731" w:name="_Toc95119205"/>
      <w:r>
        <w:t>Division 4 — Information retention and sharing</w:t>
      </w:r>
      <w:bookmarkEnd w:id="729"/>
      <w:bookmarkEnd w:id="730"/>
      <w:bookmarkEnd w:id="731"/>
    </w:p>
    <w:p>
      <w:pPr>
        <w:pStyle w:val="Heading5"/>
      </w:pPr>
      <w:bookmarkStart w:id="732" w:name="_Toc95120242"/>
      <w:bookmarkStart w:id="733" w:name="_Toc95119206"/>
      <w:r>
        <w:rPr>
          <w:rStyle w:val="CharSectno"/>
        </w:rPr>
        <w:t>252</w:t>
      </w:r>
      <w:r>
        <w:t>.</w:t>
      </w:r>
      <w:r>
        <w:tab/>
        <w:t>Information held by Regulatory Authority or regulatory body</w:t>
      </w:r>
      <w:bookmarkEnd w:id="732"/>
      <w:bookmarkEnd w:id="733"/>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734" w:name="_Toc95120243"/>
      <w:bookmarkStart w:id="735" w:name="_Toc95119207"/>
      <w:r>
        <w:rPr>
          <w:rStyle w:val="CharSectno"/>
        </w:rPr>
        <w:t>253</w:t>
      </w:r>
      <w:r>
        <w:t>.</w:t>
      </w:r>
      <w:r>
        <w:tab/>
        <w:t>Information kept by approved provider</w:t>
      </w:r>
      <w:bookmarkEnd w:id="734"/>
      <w:bookmarkEnd w:id="735"/>
    </w:p>
    <w:p>
      <w:pPr>
        <w:pStyle w:val="Subsection"/>
      </w:pPr>
      <w:r>
        <w:tab/>
      </w:r>
      <w:r>
        <w:tab/>
        <w:t>For the purposes of section 322(3) of the Law, the documents must be kept in accordance with regulation 183.</w:t>
      </w:r>
    </w:p>
    <w:p>
      <w:pPr>
        <w:pStyle w:val="Heading4"/>
      </w:pPr>
      <w:bookmarkStart w:id="736" w:name="_Toc95119849"/>
      <w:bookmarkStart w:id="737" w:name="_Toc95120244"/>
      <w:bookmarkStart w:id="738" w:name="_Toc95119208"/>
      <w:r>
        <w:t>Division 5 — Declared approved learning frameworks</w:t>
      </w:r>
      <w:bookmarkEnd w:id="736"/>
      <w:bookmarkEnd w:id="737"/>
      <w:bookmarkEnd w:id="738"/>
    </w:p>
    <w:p>
      <w:pPr>
        <w:pStyle w:val="Heading5"/>
      </w:pPr>
      <w:bookmarkStart w:id="739" w:name="_Toc95120245"/>
      <w:bookmarkStart w:id="740" w:name="_Toc95119209"/>
      <w:r>
        <w:rPr>
          <w:rStyle w:val="CharSectno"/>
        </w:rPr>
        <w:t>254</w:t>
      </w:r>
      <w:r>
        <w:t>.</w:t>
      </w:r>
      <w:r>
        <w:tab/>
        <w:t>Declared approved learning frameworks</w:t>
      </w:r>
      <w:bookmarkEnd w:id="739"/>
      <w:bookmarkEnd w:id="740"/>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Belonging, Being and Becoming: The Early Years Learning Framework for Australia, produced by the Department of Education, Employment and Workplace Relations of the Commonwealth for the Council of Australian Governments, 2009;</w:t>
      </w:r>
    </w:p>
    <w:p>
      <w:pPr>
        <w:pStyle w:val="Indenta"/>
      </w:pPr>
      <w:r>
        <w:tab/>
        <w:t>(b)</w:t>
      </w:r>
      <w:r>
        <w:tab/>
        <w:t>My Time, Our Place: Framework for School Age Care in Australia produced by the Commonwealth Government Department of Education, Employment and Workplace Relations for the Council of Australian Governments, 2011.</w:t>
      </w:r>
    </w:p>
    <w:p>
      <w:pPr>
        <w:pStyle w:val="Subsection"/>
      </w:pPr>
      <w:r>
        <w:tab/>
        <w:t>(2)</w:t>
      </w:r>
      <w:r>
        <w:tab/>
        <w:t>For the purpose of section 323 of the Law, the Curriculum Framework for Kindergarten to Year 12 Education in Western Australia, as in force on the scheme commencement day, is a declared approved learning framework for the purpose of the Law as it applies in that jurisdiction.</w:t>
      </w:r>
    </w:p>
    <w:p>
      <w:pPr>
        <w:pStyle w:val="Ednotesubsection"/>
      </w:pPr>
      <w:r>
        <w:tab/>
        <w:t>[(3)</w:t>
      </w:r>
      <w:r>
        <w:tab/>
        <w:t>deleted]</w:t>
      </w:r>
    </w:p>
    <w:p>
      <w:pPr>
        <w:pStyle w:val="Footnotesection"/>
      </w:pPr>
      <w:r>
        <w:tab/>
        <w:t>[Regulation 254 amended: Gazette 3 Nov 2017 p. 5485.]</w:t>
      </w:r>
    </w:p>
    <w:p>
      <w:pPr>
        <w:pStyle w:val="Heading4"/>
        <w:keepNext w:val="0"/>
      </w:pPr>
      <w:bookmarkStart w:id="741" w:name="_Toc95119851"/>
      <w:bookmarkStart w:id="742" w:name="_Toc95120246"/>
      <w:bookmarkStart w:id="743" w:name="_Toc95119210"/>
      <w:r>
        <w:t>Division 6 — Fees</w:t>
      </w:r>
      <w:bookmarkEnd w:id="741"/>
      <w:bookmarkEnd w:id="742"/>
      <w:bookmarkEnd w:id="743"/>
    </w:p>
    <w:p>
      <w:pPr>
        <w:pStyle w:val="Heading5"/>
        <w:keepNext w:val="0"/>
      </w:pPr>
      <w:bookmarkStart w:id="744" w:name="_Toc95120247"/>
      <w:bookmarkStart w:id="745" w:name="_Toc95119211"/>
      <w:r>
        <w:rPr>
          <w:rStyle w:val="CharSectno"/>
        </w:rPr>
        <w:t>255</w:t>
      </w:r>
      <w:r>
        <w:t>.</w:t>
      </w:r>
      <w:r>
        <w:tab/>
        <w:t>Fees for application for provider approval for declared out of scope service</w:t>
      </w:r>
      <w:bookmarkEnd w:id="744"/>
      <w:bookmarkEnd w:id="745"/>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746" w:name="_Toc95119853"/>
      <w:bookmarkStart w:id="747" w:name="_Toc95120248"/>
      <w:bookmarkStart w:id="748" w:name="_Toc95119212"/>
      <w:r>
        <w:t>Division 7 — General provisions relating to exemptions</w:t>
      </w:r>
      <w:bookmarkEnd w:id="746"/>
      <w:bookmarkEnd w:id="747"/>
      <w:bookmarkEnd w:id="748"/>
    </w:p>
    <w:p>
      <w:pPr>
        <w:pStyle w:val="Heading5"/>
      </w:pPr>
      <w:bookmarkStart w:id="749" w:name="_Toc95120249"/>
      <w:bookmarkStart w:id="750" w:name="_Toc95119213"/>
      <w:r>
        <w:rPr>
          <w:rStyle w:val="CharSectno"/>
        </w:rPr>
        <w:t>256</w:t>
      </w:r>
      <w:r>
        <w:t>.</w:t>
      </w:r>
      <w:r>
        <w:tab/>
        <w:t>Publication where service taken to comply with regulations</w:t>
      </w:r>
      <w:bookmarkEnd w:id="749"/>
      <w:bookmarkEnd w:id="750"/>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751" w:name="_Toc95120250"/>
      <w:bookmarkStart w:id="752" w:name="_Toc95119214"/>
      <w:r>
        <w:rPr>
          <w:rStyle w:val="CharSectno"/>
        </w:rPr>
        <w:t>257</w:t>
      </w:r>
      <w:r>
        <w:t>.</w:t>
      </w:r>
      <w:r>
        <w:tab/>
        <w:t>Application for removal of exemption</w:t>
      </w:r>
      <w:bookmarkEnd w:id="751"/>
      <w:bookmarkEnd w:id="752"/>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pPr>
      <w:bookmarkStart w:id="753" w:name="_Toc95119856"/>
      <w:bookmarkStart w:id="754" w:name="_Toc95120251"/>
      <w:bookmarkStart w:id="755" w:name="_Toc95119215"/>
      <w:r>
        <w:rPr>
          <w:rStyle w:val="CharDivNo"/>
        </w:rPr>
        <w:t>Part 7.2</w:t>
      </w:r>
      <w:r>
        <w:t> — </w:t>
      </w:r>
      <w:r>
        <w:rPr>
          <w:rStyle w:val="CharDivText"/>
        </w:rPr>
        <w:t>Australian Capital Territory — specific provisions</w:t>
      </w:r>
      <w:bookmarkEnd w:id="753"/>
      <w:bookmarkEnd w:id="754"/>
      <w:bookmarkEnd w:id="755"/>
    </w:p>
    <w:p>
      <w:pPr>
        <w:pStyle w:val="PermNoteHeading"/>
      </w:pPr>
      <w:r>
        <w:tab/>
        <w:t>Note for this Part:</w:t>
      </w:r>
    </w:p>
    <w:p>
      <w:pPr>
        <w:pStyle w:val="PermNoteText"/>
      </w:pPr>
      <w:r>
        <w:tab/>
      </w:r>
      <w:r>
        <w:tab/>
        <w:t>The national regulations made by the Ministerial Council include provisions as Part 7.2.</w:t>
      </w:r>
    </w:p>
    <w:p>
      <w:pPr>
        <w:pStyle w:val="Heading3"/>
        <w:rPr>
          <w:rStyle w:val="CharDivText"/>
        </w:rPr>
      </w:pPr>
      <w:bookmarkStart w:id="756" w:name="_Toc95119857"/>
      <w:bookmarkStart w:id="757" w:name="_Toc95120252"/>
      <w:bookmarkStart w:id="758" w:name="_Toc95119216"/>
      <w:r>
        <w:rPr>
          <w:rStyle w:val="CharDivNo"/>
        </w:rPr>
        <w:t>Part 7.3</w:t>
      </w:r>
      <w:r>
        <w:t> — </w:t>
      </w:r>
      <w:r>
        <w:rPr>
          <w:rStyle w:val="CharDivText"/>
        </w:rPr>
        <w:t>New South Wales — specific provisions</w:t>
      </w:r>
      <w:bookmarkEnd w:id="756"/>
      <w:bookmarkEnd w:id="757"/>
      <w:bookmarkEnd w:id="758"/>
    </w:p>
    <w:p>
      <w:pPr>
        <w:pStyle w:val="PermNoteHeading"/>
      </w:pPr>
      <w:r>
        <w:tab/>
        <w:t>Note for this Part:</w:t>
      </w:r>
    </w:p>
    <w:p>
      <w:pPr>
        <w:pStyle w:val="PermNoteText"/>
      </w:pPr>
      <w:r>
        <w:tab/>
      </w:r>
      <w:r>
        <w:tab/>
        <w:t>The national regulations made by the Ministerial Council include provisions as Part 7.3.</w:t>
      </w:r>
    </w:p>
    <w:p>
      <w:pPr>
        <w:pStyle w:val="Heading3"/>
        <w:rPr>
          <w:rStyle w:val="CharDivText"/>
        </w:rPr>
      </w:pPr>
      <w:bookmarkStart w:id="759" w:name="_Toc95119858"/>
      <w:bookmarkStart w:id="760" w:name="_Toc95120253"/>
      <w:bookmarkStart w:id="761" w:name="_Toc95119217"/>
      <w:r>
        <w:rPr>
          <w:rStyle w:val="CharDivNo"/>
        </w:rPr>
        <w:t>Part 7.4</w:t>
      </w:r>
      <w:r>
        <w:t> — </w:t>
      </w:r>
      <w:r>
        <w:rPr>
          <w:rStyle w:val="CharDivText"/>
        </w:rPr>
        <w:t>Northern Territory — specific provisions</w:t>
      </w:r>
      <w:bookmarkEnd w:id="759"/>
      <w:bookmarkEnd w:id="760"/>
      <w:bookmarkEnd w:id="761"/>
    </w:p>
    <w:p>
      <w:pPr>
        <w:pStyle w:val="PermNoteHeading"/>
      </w:pPr>
      <w:r>
        <w:tab/>
        <w:t>Note for this Part:</w:t>
      </w:r>
    </w:p>
    <w:p>
      <w:pPr>
        <w:pStyle w:val="PermNoteText"/>
      </w:pPr>
      <w:r>
        <w:tab/>
      </w:r>
      <w:r>
        <w:tab/>
        <w:t>The national regulations made by the Ministerial Council include provisions as Part 7.4.</w:t>
      </w:r>
    </w:p>
    <w:p>
      <w:pPr>
        <w:pStyle w:val="Heading3"/>
        <w:rPr>
          <w:rStyle w:val="CharDivText"/>
        </w:rPr>
      </w:pPr>
      <w:bookmarkStart w:id="762" w:name="_Toc95119859"/>
      <w:bookmarkStart w:id="763" w:name="_Toc95120254"/>
      <w:bookmarkStart w:id="764" w:name="_Toc95119218"/>
      <w:r>
        <w:rPr>
          <w:rStyle w:val="CharDivNo"/>
        </w:rPr>
        <w:t>Part 7.5</w:t>
      </w:r>
      <w:r>
        <w:t> — </w:t>
      </w:r>
      <w:r>
        <w:rPr>
          <w:rStyle w:val="CharDivText"/>
        </w:rPr>
        <w:t>Queensland — specific provisions</w:t>
      </w:r>
      <w:bookmarkEnd w:id="762"/>
      <w:bookmarkEnd w:id="763"/>
      <w:bookmarkEnd w:id="764"/>
    </w:p>
    <w:p>
      <w:pPr>
        <w:pStyle w:val="PermNoteHeading"/>
      </w:pPr>
      <w:r>
        <w:tab/>
        <w:t>Note for this Part:</w:t>
      </w:r>
    </w:p>
    <w:p>
      <w:pPr>
        <w:pStyle w:val="PermNoteText"/>
      </w:pPr>
      <w:r>
        <w:tab/>
      </w:r>
      <w:r>
        <w:tab/>
        <w:t>The national regulations made by the Ministerial Council include provisions as Part 7.5.</w:t>
      </w:r>
    </w:p>
    <w:p>
      <w:pPr>
        <w:pStyle w:val="Heading3"/>
        <w:rPr>
          <w:rStyle w:val="CharDivText"/>
        </w:rPr>
      </w:pPr>
      <w:bookmarkStart w:id="765" w:name="_Toc95119860"/>
      <w:bookmarkStart w:id="766" w:name="_Toc95120255"/>
      <w:bookmarkStart w:id="767" w:name="_Toc95119219"/>
      <w:r>
        <w:rPr>
          <w:rStyle w:val="CharDivNo"/>
        </w:rPr>
        <w:t>Part 7.6</w:t>
      </w:r>
      <w:r>
        <w:t> — </w:t>
      </w:r>
      <w:r>
        <w:rPr>
          <w:rStyle w:val="CharDivText"/>
        </w:rPr>
        <w:t>South Australia — specific provisions</w:t>
      </w:r>
      <w:bookmarkEnd w:id="765"/>
      <w:bookmarkEnd w:id="766"/>
      <w:bookmarkEnd w:id="767"/>
    </w:p>
    <w:p>
      <w:pPr>
        <w:pStyle w:val="PermNoteHeading"/>
      </w:pPr>
      <w:r>
        <w:tab/>
        <w:t>Note for this Part:</w:t>
      </w:r>
    </w:p>
    <w:p>
      <w:pPr>
        <w:pStyle w:val="PermNoteText"/>
      </w:pPr>
      <w:r>
        <w:tab/>
      </w:r>
      <w:r>
        <w:tab/>
        <w:t>The national regulations made by the Ministerial Council include provisions as Part 7.6.</w:t>
      </w:r>
    </w:p>
    <w:p>
      <w:pPr>
        <w:pStyle w:val="Heading3"/>
        <w:rPr>
          <w:rStyle w:val="CharDivText"/>
        </w:rPr>
      </w:pPr>
      <w:bookmarkStart w:id="768" w:name="_Toc95119861"/>
      <w:bookmarkStart w:id="769" w:name="_Toc95120256"/>
      <w:bookmarkStart w:id="770" w:name="_Toc95119220"/>
      <w:r>
        <w:rPr>
          <w:rStyle w:val="CharDivNo"/>
        </w:rPr>
        <w:t>Part 7.7</w:t>
      </w:r>
      <w:r>
        <w:t> — </w:t>
      </w:r>
      <w:r>
        <w:rPr>
          <w:rStyle w:val="CharDivText"/>
        </w:rPr>
        <w:t>Tasmania — specific provisions</w:t>
      </w:r>
      <w:bookmarkEnd w:id="768"/>
      <w:bookmarkEnd w:id="769"/>
      <w:bookmarkEnd w:id="770"/>
    </w:p>
    <w:p>
      <w:pPr>
        <w:pStyle w:val="PermNoteHeading"/>
      </w:pPr>
      <w:r>
        <w:tab/>
        <w:t>Note for this Part:</w:t>
      </w:r>
    </w:p>
    <w:p>
      <w:pPr>
        <w:pStyle w:val="PermNoteText"/>
      </w:pPr>
      <w:r>
        <w:tab/>
      </w:r>
      <w:r>
        <w:tab/>
        <w:t>The national regulations made by the Ministerial Council include provisions as Part 7.7.</w:t>
      </w:r>
    </w:p>
    <w:p>
      <w:pPr>
        <w:pStyle w:val="Heading3"/>
        <w:rPr>
          <w:rStyle w:val="CharDivText"/>
        </w:rPr>
      </w:pPr>
      <w:bookmarkStart w:id="771" w:name="_Toc95119862"/>
      <w:bookmarkStart w:id="772" w:name="_Toc95120257"/>
      <w:bookmarkStart w:id="773" w:name="_Toc95119221"/>
      <w:r>
        <w:rPr>
          <w:rStyle w:val="CharDivNo"/>
        </w:rPr>
        <w:t>Part 7.8</w:t>
      </w:r>
      <w:r>
        <w:t> — </w:t>
      </w:r>
      <w:r>
        <w:rPr>
          <w:rStyle w:val="CharDivText"/>
        </w:rPr>
        <w:t>Victoria — specific provisions</w:t>
      </w:r>
      <w:bookmarkEnd w:id="771"/>
      <w:bookmarkEnd w:id="772"/>
      <w:bookmarkEnd w:id="773"/>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774" w:name="_Toc95119863"/>
      <w:bookmarkStart w:id="775" w:name="_Toc95120258"/>
      <w:bookmarkStart w:id="776" w:name="_Toc95119222"/>
      <w:r>
        <w:rPr>
          <w:rStyle w:val="CharDivNo"/>
        </w:rPr>
        <w:t>Part 7.9</w:t>
      </w:r>
      <w:r>
        <w:t> — </w:t>
      </w:r>
      <w:r>
        <w:rPr>
          <w:rStyle w:val="CharDivText"/>
        </w:rPr>
        <w:t>Western Australia — specific provisions</w:t>
      </w:r>
      <w:bookmarkEnd w:id="774"/>
      <w:bookmarkEnd w:id="775"/>
      <w:bookmarkEnd w:id="776"/>
    </w:p>
    <w:p>
      <w:pPr>
        <w:pStyle w:val="Heading4"/>
        <w:spacing w:before="220"/>
      </w:pPr>
      <w:bookmarkStart w:id="777" w:name="_Toc95119864"/>
      <w:bookmarkStart w:id="778" w:name="_Toc95120259"/>
      <w:bookmarkStart w:id="779" w:name="_Toc95119223"/>
      <w:r>
        <w:t>Division 1 — Application of Part 7.9</w:t>
      </w:r>
      <w:bookmarkEnd w:id="777"/>
      <w:bookmarkEnd w:id="778"/>
      <w:bookmarkEnd w:id="779"/>
    </w:p>
    <w:p>
      <w:pPr>
        <w:pStyle w:val="Heading5"/>
        <w:spacing w:before="210"/>
      </w:pPr>
      <w:bookmarkStart w:id="780" w:name="_Toc95120260"/>
      <w:bookmarkStart w:id="781" w:name="_Toc95119224"/>
      <w:r>
        <w:rPr>
          <w:rStyle w:val="CharSectno"/>
        </w:rPr>
        <w:t>367</w:t>
      </w:r>
      <w:r>
        <w:t>.</w:t>
      </w:r>
      <w:r>
        <w:tab/>
        <w:t>Application of Part 7.9</w:t>
      </w:r>
      <w:bookmarkEnd w:id="780"/>
      <w:bookmarkEnd w:id="781"/>
      <w:r>
        <w:t xml:space="preserve"> </w:t>
      </w:r>
    </w:p>
    <w:p>
      <w:pPr>
        <w:pStyle w:val="Subsection"/>
        <w:spacing w:before="140"/>
      </w:pPr>
      <w:r>
        <w:tab/>
      </w:r>
      <w:r>
        <w:tab/>
        <w:t>This Part applies to Western Australia.</w:t>
      </w:r>
    </w:p>
    <w:p>
      <w:pPr>
        <w:pStyle w:val="Heading5"/>
      </w:pPr>
      <w:bookmarkStart w:id="782" w:name="_Toc95120261"/>
      <w:bookmarkStart w:id="783" w:name="_Toc95119225"/>
      <w:r>
        <w:rPr>
          <w:rStyle w:val="CharSectno"/>
        </w:rPr>
        <w:t>368</w:t>
      </w:r>
      <w:r>
        <w:t>.</w:t>
      </w:r>
      <w:r>
        <w:tab/>
        <w:t>Definitions</w:t>
      </w:r>
      <w:bookmarkEnd w:id="782"/>
      <w:bookmarkEnd w:id="783"/>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784" w:name="_Toc95119867"/>
      <w:bookmarkStart w:id="785" w:name="_Toc95120262"/>
      <w:bookmarkStart w:id="786" w:name="_Toc95119226"/>
      <w:r>
        <w:t>Division 1A — Exceeding National Quality Standard</w:t>
      </w:r>
      <w:bookmarkEnd w:id="784"/>
      <w:bookmarkEnd w:id="785"/>
      <w:bookmarkEnd w:id="786"/>
    </w:p>
    <w:p>
      <w:pPr>
        <w:pStyle w:val="Footnoteheading"/>
      </w:pPr>
      <w:r>
        <w:tab/>
        <w:t>[Heading inserted: Gazette 28 Nov 2014 p. 4411.]</w:t>
      </w:r>
    </w:p>
    <w:p>
      <w:pPr>
        <w:pStyle w:val="Heading5"/>
      </w:pPr>
      <w:bookmarkStart w:id="787" w:name="_Toc95120263"/>
      <w:bookmarkStart w:id="788" w:name="_Toc95119227"/>
      <w:r>
        <w:rPr>
          <w:rStyle w:val="CharSectno"/>
        </w:rPr>
        <w:t>368A</w:t>
      </w:r>
      <w:r>
        <w:t>.</w:t>
      </w:r>
      <w:r>
        <w:tab/>
        <w:t>Exceeding National Quality Standard: educational program and practice quality area</w:t>
      </w:r>
      <w:bookmarkEnd w:id="787"/>
      <w:bookmarkEnd w:id="788"/>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Gazette 6 Jun 2014 p. 1788; amended: Gazette 28 Nov 2014 p. 4411.]</w:t>
      </w:r>
    </w:p>
    <w:p>
      <w:pPr>
        <w:pStyle w:val="Heading4"/>
      </w:pPr>
      <w:bookmarkStart w:id="789" w:name="_Toc95119869"/>
      <w:bookmarkStart w:id="790" w:name="_Toc95120264"/>
      <w:bookmarkStart w:id="791" w:name="_Toc95119228"/>
      <w:r>
        <w:t>Division 2 — Minimum number of educators and qualifications required — children over preschool age</w:t>
      </w:r>
      <w:bookmarkEnd w:id="789"/>
      <w:bookmarkEnd w:id="790"/>
      <w:bookmarkEnd w:id="791"/>
    </w:p>
    <w:p>
      <w:pPr>
        <w:pStyle w:val="Heading5"/>
      </w:pPr>
      <w:bookmarkStart w:id="792" w:name="_Toc95120265"/>
      <w:bookmarkStart w:id="793" w:name="_Toc95119229"/>
      <w:r>
        <w:rPr>
          <w:rStyle w:val="CharSectno"/>
        </w:rPr>
        <w:t>369</w:t>
      </w:r>
      <w:r>
        <w:t>.</w:t>
      </w:r>
      <w:r>
        <w:tab/>
        <w:t>Educator to child ratios — children over preschool age</w:t>
      </w:r>
      <w:bookmarkEnd w:id="792"/>
      <w:bookmarkEnd w:id="793"/>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PermNoteHeading"/>
      </w:pPr>
      <w:r>
        <w:tab/>
        <w:t>Note for this regulation:</w:t>
      </w:r>
    </w:p>
    <w:p>
      <w:pPr>
        <w:pStyle w:val="PermNoteText"/>
      </w:pPr>
      <w:r>
        <w:tab/>
      </w:r>
      <w:r>
        <w:tab/>
        <w:t>This regulation differs from regulation 369 of the national regulations made by the Ministerial Council.</w:t>
      </w:r>
    </w:p>
    <w:p>
      <w:pPr>
        <w:pStyle w:val="Heading5"/>
      </w:pPr>
      <w:bookmarkStart w:id="794" w:name="_Toc95120266"/>
      <w:bookmarkStart w:id="795" w:name="_Toc95119230"/>
      <w:r>
        <w:rPr>
          <w:rStyle w:val="CharSectno"/>
        </w:rPr>
        <w:t>370</w:t>
      </w:r>
      <w:r>
        <w:t>.</w:t>
      </w:r>
      <w:r>
        <w:tab/>
        <w:t>General qualification requirements for educators — children over preschool age</w:t>
      </w:r>
      <w:bookmarkEnd w:id="794"/>
      <w:bookmarkEnd w:id="795"/>
      <w:r>
        <w:t xml:space="preserve"> </w:t>
      </w:r>
    </w:p>
    <w:p>
      <w:pPr>
        <w:pStyle w:val="Subsection"/>
        <w:spacing w:before="150"/>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spacing w:before="150"/>
      </w:pPr>
      <w:r>
        <w:tab/>
        <w:t>(2)</w:t>
      </w:r>
      <w:r>
        <w:tab/>
        <w:t>The number of educators at the service who are required to be qualified educators is the relevant number set out in column 4 of the Table to regulation 369 in relation to the service.</w:t>
      </w:r>
    </w:p>
    <w:p>
      <w:pPr>
        <w:pStyle w:val="Subsection"/>
        <w:spacing w:before="150"/>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Western Australia.</w:t>
      </w:r>
    </w:p>
    <w:p>
      <w:pPr>
        <w:pStyle w:val="Heading4"/>
      </w:pPr>
      <w:bookmarkStart w:id="796" w:name="_Toc95119872"/>
      <w:bookmarkStart w:id="797" w:name="_Toc95120267"/>
      <w:bookmarkStart w:id="798" w:name="_Toc95119231"/>
      <w:r>
        <w:t>Division 3 — Minimum number of educators and qualifications required — centre</w:t>
      </w:r>
      <w:r>
        <w:noBreakHyphen/>
        <w:t>based services — children preschool age or under</w:t>
      </w:r>
      <w:bookmarkEnd w:id="796"/>
      <w:bookmarkEnd w:id="797"/>
      <w:bookmarkEnd w:id="798"/>
    </w:p>
    <w:p>
      <w:pPr>
        <w:pStyle w:val="Ednotesection"/>
      </w:pPr>
      <w:r>
        <w:t>[</w:t>
      </w:r>
      <w:r>
        <w:rPr>
          <w:b/>
        </w:rPr>
        <w:t>371.</w:t>
      </w:r>
      <w:r>
        <w:tab/>
        <w:t>Deleted: Gazette 28 Sep 2018 p. 3649.]</w:t>
      </w:r>
    </w:p>
    <w:p>
      <w:pPr>
        <w:pStyle w:val="Heading5"/>
      </w:pPr>
      <w:bookmarkStart w:id="799" w:name="_Toc95120268"/>
      <w:bookmarkStart w:id="800" w:name="_Toc95119232"/>
      <w:r>
        <w:rPr>
          <w:rStyle w:val="CharSectno"/>
        </w:rPr>
        <w:t>372</w:t>
      </w:r>
      <w:r>
        <w:t>.</w:t>
      </w:r>
      <w:r>
        <w:tab/>
        <w:t>Educator to child ratio — pre</w:t>
      </w:r>
      <w:r>
        <w:noBreakHyphen/>
        <w:t>kindergarten programme or kindergarten programme provided by a school</w:t>
      </w:r>
      <w:bookmarkEnd w:id="799"/>
      <w:bookmarkEnd w:id="800"/>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801" w:name="_Toc95120269"/>
      <w:bookmarkStart w:id="802" w:name="_Toc95119233"/>
      <w:r>
        <w:rPr>
          <w:rStyle w:val="CharSectno"/>
        </w:rPr>
        <w:t>373</w:t>
      </w:r>
      <w:r>
        <w:t>.</w:t>
      </w:r>
      <w:r>
        <w:tab/>
        <w:t>Early childhood teachers — pre</w:t>
      </w:r>
      <w:r>
        <w:noBreakHyphen/>
        <w:t>kindergarten programme or kindergarten programme provided by a school</w:t>
      </w:r>
      <w:bookmarkEnd w:id="801"/>
      <w:bookmarkEnd w:id="802"/>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or a suitably qualified person if regulation 133 or 134 would otherwise apply, must be in attendance at all times that children are being educated and cared for by the programme.</w:t>
      </w:r>
    </w:p>
    <w:p>
      <w:pPr>
        <w:pStyle w:val="Footnotesection"/>
      </w:pPr>
      <w:r>
        <w:tab/>
        <w:t>[Regulation 373 amended: Gazette 24 Dec 2019 p. 4427.]</w:t>
      </w:r>
    </w:p>
    <w:p>
      <w:pPr>
        <w:pStyle w:val="Heading4"/>
      </w:pPr>
      <w:bookmarkStart w:id="803" w:name="_Toc95119875"/>
      <w:bookmarkStart w:id="804" w:name="_Toc95120270"/>
      <w:bookmarkStart w:id="805" w:name="_Toc95119234"/>
      <w:r>
        <w:t>Division 4 — Transitional provisions — staffing arrangements</w:t>
      </w:r>
      <w:bookmarkEnd w:id="803"/>
      <w:bookmarkEnd w:id="804"/>
      <w:bookmarkEnd w:id="805"/>
    </w:p>
    <w:p>
      <w:pPr>
        <w:pStyle w:val="MiscellaneousHeading"/>
        <w:rPr>
          <w:b/>
          <w:bCs/>
        </w:rPr>
      </w:pPr>
      <w:r>
        <w:rPr>
          <w:b/>
          <w:bCs/>
        </w:rPr>
        <w:t>Subdivision 1 — Centre</w:t>
      </w:r>
      <w:r>
        <w:rPr>
          <w:b/>
          <w:bCs/>
        </w:rPr>
        <w:noBreakHyphen/>
        <w:t>based services</w:t>
      </w:r>
    </w:p>
    <w:p>
      <w:pPr>
        <w:pStyle w:val="Ednotesection"/>
      </w:pPr>
      <w:r>
        <w:t>[</w:t>
      </w:r>
      <w:r>
        <w:rPr>
          <w:b/>
        </w:rPr>
        <w:t>374.</w:t>
      </w:r>
      <w:r>
        <w:tab/>
        <w:t>Deleted: Gazette 28 Sep 2018 p. 3649.]</w:t>
      </w:r>
    </w:p>
    <w:p>
      <w:pPr>
        <w:pStyle w:val="Ednotesection"/>
      </w:pPr>
      <w:r>
        <w:t>[</w:t>
      </w:r>
      <w:r>
        <w:rPr>
          <w:b/>
        </w:rPr>
        <w:t>374A.</w:t>
      </w:r>
      <w:r>
        <w:tab/>
        <w:t>Deleted: Gazette 3 Jul 2015 p. 2668.]</w:t>
      </w:r>
    </w:p>
    <w:p>
      <w:pPr>
        <w:pStyle w:val="Ednotesection"/>
      </w:pPr>
      <w:r>
        <w:t>[</w:t>
      </w:r>
      <w:r>
        <w:rPr>
          <w:b/>
        </w:rPr>
        <w:t>375-378.</w:t>
      </w:r>
      <w:r>
        <w:tab/>
        <w:t>Deleted: Gazette 28 Sep 2018 p. 3649.]</w:t>
      </w:r>
    </w:p>
    <w:p>
      <w:pPr>
        <w:pStyle w:val="Heading5"/>
      </w:pPr>
      <w:bookmarkStart w:id="806" w:name="_Toc95120271"/>
      <w:bookmarkStart w:id="807" w:name="_Toc95119235"/>
      <w:r>
        <w:rPr>
          <w:rStyle w:val="CharSectno"/>
        </w:rPr>
        <w:t>379</w:t>
      </w:r>
      <w:r>
        <w:t>.</w:t>
      </w:r>
      <w:r>
        <w:tab/>
        <w:t>Educators required to be early childhood teachers</w:t>
      </w:r>
      <w:bookmarkEnd w:id="806"/>
      <w:bookmarkEnd w:id="807"/>
      <w:r>
        <w:t xml:space="preserve"> </w:t>
      </w:r>
    </w:p>
    <w:p>
      <w:pPr>
        <w:pStyle w:val="Ednotesubsection"/>
      </w:pPr>
      <w:r>
        <w:tab/>
        <w:t>[(1)</w:t>
      </w:r>
      <w:r>
        <w:tab/>
        <w:t>deleted]</w:t>
      </w:r>
    </w:p>
    <w:p>
      <w:pPr>
        <w:pStyle w:val="Subsection"/>
      </w:pPr>
      <w:r>
        <w:tab/>
        <w:t>(2)</w:t>
      </w:r>
      <w:r>
        <w:tab/>
        <w:t>Regulations 133(1)(b)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pPr>
      <w:r>
        <w:tab/>
      </w:r>
      <w:r>
        <w:tab/>
        <w:t>This regulation differs from regulation 379 of the national regulations made by the Ministerial Council.</w:t>
      </w:r>
    </w:p>
    <w:p>
      <w:pPr>
        <w:pStyle w:val="Footnotesection"/>
      </w:pPr>
      <w:r>
        <w:tab/>
        <w:t>[Regulation 379 amended: Gazette 13 Dec 2013 p.</w:t>
      </w:r>
      <w:r>
        <w:rPr>
          <w:sz w:val="19"/>
        </w:rPr>
        <w:t> </w:t>
      </w:r>
      <w:r>
        <w:t>6170; 28 Sep 2018 p. 3649.]</w:t>
      </w:r>
    </w:p>
    <w:p>
      <w:pPr>
        <w:pStyle w:val="Ednotesubdivision"/>
      </w:pPr>
      <w:r>
        <w:t>[Subdivision 2 deleted: Gazette 28 Sep 2018 p. 3649.]</w:t>
      </w:r>
    </w:p>
    <w:p>
      <w:pPr>
        <w:pStyle w:val="Heading4"/>
      </w:pPr>
      <w:bookmarkStart w:id="808" w:name="_Toc95119877"/>
      <w:bookmarkStart w:id="809" w:name="_Toc95120272"/>
      <w:bookmarkStart w:id="810" w:name="_Toc95119236"/>
      <w:r>
        <w:t>Division 5 — Saving provision — physical environment</w:t>
      </w:r>
      <w:bookmarkEnd w:id="808"/>
      <w:bookmarkEnd w:id="809"/>
      <w:bookmarkEnd w:id="810"/>
    </w:p>
    <w:p>
      <w:pPr>
        <w:pStyle w:val="Heading5"/>
      </w:pPr>
      <w:bookmarkStart w:id="811" w:name="_Toc95120273"/>
      <w:bookmarkStart w:id="812" w:name="_Toc95119237"/>
      <w:r>
        <w:rPr>
          <w:rStyle w:val="CharSectno"/>
        </w:rPr>
        <w:t>383</w:t>
      </w:r>
      <w:r>
        <w:t>.</w:t>
      </w:r>
      <w:r>
        <w:tab/>
        <w:t>Saving provision — education and care services provided by a school</w:t>
      </w:r>
      <w:bookmarkEnd w:id="811"/>
      <w:bookmarkEnd w:id="812"/>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813" w:name="_Toc95119879"/>
      <w:bookmarkStart w:id="814" w:name="_Toc95120274"/>
      <w:bookmarkStart w:id="815" w:name="_Toc95119238"/>
      <w:r>
        <w:t>Division 6 — Other transitional matters</w:t>
      </w:r>
      <w:bookmarkEnd w:id="813"/>
      <w:bookmarkEnd w:id="814"/>
      <w:bookmarkEnd w:id="815"/>
    </w:p>
    <w:p>
      <w:pPr>
        <w:pStyle w:val="Heading5"/>
      </w:pPr>
      <w:bookmarkStart w:id="816" w:name="_Toc95120275"/>
      <w:bookmarkStart w:id="817" w:name="_Toc95119239"/>
      <w:r>
        <w:rPr>
          <w:rStyle w:val="CharSectno"/>
        </w:rPr>
        <w:t>384</w:t>
      </w:r>
      <w:r>
        <w:t>.</w:t>
      </w:r>
      <w:r>
        <w:tab/>
        <w:t>Monetary orders under former education and care services law</w:t>
      </w:r>
      <w:bookmarkEnd w:id="816"/>
      <w:bookmarkEnd w:id="817"/>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818" w:name="_Toc95120276"/>
      <w:bookmarkStart w:id="819" w:name="_Toc95119240"/>
      <w:r>
        <w:rPr>
          <w:rStyle w:val="CharSectno"/>
        </w:rPr>
        <w:t>385</w:t>
      </w:r>
      <w:r>
        <w:t>.</w:t>
      </w:r>
      <w:r>
        <w:tab/>
        <w:t>Proceedings under former education and care services law</w:t>
      </w:r>
      <w:bookmarkEnd w:id="818"/>
      <w:bookmarkEnd w:id="819"/>
      <w:r>
        <w:t xml:space="preserve"> </w:t>
      </w:r>
    </w:p>
    <w:p>
      <w:pPr>
        <w:pStyle w:val="Subsection"/>
      </w:pPr>
      <w:r>
        <w:tab/>
      </w:r>
      <w:r>
        <w:tab/>
        <w:t xml:space="preserve">The Regulatory Authority may commence or continue proceedings under section 29 of the </w:t>
      </w:r>
      <w:r>
        <w:rPr>
          <w:i/>
        </w:rPr>
        <w:t>Child Care Services Act 2007</w:t>
      </w:r>
      <w:r>
        <w:t xml:space="preserve"> of Western Australia in relation to a person who held a licence under that Act in relation to a service that is taken to be an education and care service.</w:t>
      </w:r>
    </w:p>
    <w:p>
      <w:pPr>
        <w:pStyle w:val="PermNoteHeading"/>
      </w:pPr>
      <w:r>
        <w:tab/>
        <w:t>Note for this regulation:</w:t>
      </w:r>
    </w:p>
    <w:p>
      <w:pPr>
        <w:pStyle w:val="PermNoteText"/>
      </w:pPr>
      <w:r>
        <w:tab/>
      </w:r>
      <w:r>
        <w:tab/>
        <w:t>Regulation 385 does not form part of the national regulations made by the Ministerial Council.</w:t>
      </w:r>
    </w:p>
    <w:p>
      <w:pPr>
        <w:pStyle w:val="Footnotesection"/>
      </w:pPr>
      <w:r>
        <w:tab/>
        <w:t>[Regulation 385 amended: Gazette 5 Mar 2013 p. 1109.]</w:t>
      </w:r>
    </w:p>
    <w:p>
      <w:pPr>
        <w:pStyle w:val="Heading3"/>
      </w:pPr>
      <w:bookmarkStart w:id="820" w:name="_Toc95119882"/>
      <w:bookmarkStart w:id="821" w:name="_Toc95120277"/>
      <w:bookmarkStart w:id="822" w:name="_Toc95119241"/>
      <w:r>
        <w:rPr>
          <w:rStyle w:val="CharDivNo"/>
        </w:rPr>
        <w:t>Part 7.10</w:t>
      </w:r>
      <w:r>
        <w:t> — </w:t>
      </w:r>
      <w:r>
        <w:rPr>
          <w:rStyle w:val="CharDivText"/>
        </w:rPr>
        <w:t>Transitional and savings provisions — </w:t>
      </w:r>
      <w:r>
        <w:rPr>
          <w:rStyle w:val="CharDivText"/>
          <w:i/>
        </w:rPr>
        <w:t>Education and Care Services National Amendment Regulations (No. 3) 2018</w:t>
      </w:r>
      <w:bookmarkEnd w:id="820"/>
      <w:bookmarkEnd w:id="821"/>
      <w:bookmarkEnd w:id="822"/>
    </w:p>
    <w:p>
      <w:pPr>
        <w:pStyle w:val="Footnoteheading"/>
      </w:pPr>
      <w:r>
        <w:tab/>
        <w:t>[Heading inserted: Gazette 28 Sep 2018 p. 3650.]</w:t>
      </w:r>
    </w:p>
    <w:p>
      <w:pPr>
        <w:pStyle w:val="Ednotedivision"/>
      </w:pPr>
      <w:r>
        <w:t>[Division 1 deleted: Gazette 24 Dec 2019 p. 4427.]</w:t>
      </w:r>
    </w:p>
    <w:p>
      <w:pPr>
        <w:pStyle w:val="Heading4"/>
      </w:pPr>
      <w:bookmarkStart w:id="823" w:name="_Toc95119883"/>
      <w:bookmarkStart w:id="824" w:name="_Toc95120278"/>
      <w:bookmarkStart w:id="825" w:name="_Toc95119242"/>
      <w:r>
        <w:t>Division 2 — Australian Capital Territory</w:t>
      </w:r>
      <w:bookmarkEnd w:id="823"/>
      <w:bookmarkEnd w:id="824"/>
      <w:bookmarkEnd w:id="825"/>
    </w:p>
    <w:p>
      <w:pPr>
        <w:pStyle w:val="Footnoteheading"/>
      </w:pPr>
      <w:r>
        <w:tab/>
        <w:t>[Heading inserted: Gazette 28 Sep 2018 p. 3650.]</w:t>
      </w:r>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Heading4"/>
      </w:pPr>
      <w:bookmarkStart w:id="826" w:name="_Toc95119884"/>
      <w:bookmarkStart w:id="827" w:name="_Toc95120279"/>
      <w:bookmarkStart w:id="828" w:name="_Toc95119243"/>
      <w:r>
        <w:t>Division 3 — New South Wales</w:t>
      </w:r>
      <w:bookmarkEnd w:id="826"/>
      <w:bookmarkEnd w:id="827"/>
      <w:bookmarkEnd w:id="828"/>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Heading4"/>
      </w:pPr>
      <w:bookmarkStart w:id="829" w:name="_Toc95119885"/>
      <w:bookmarkStart w:id="830" w:name="_Toc95120280"/>
      <w:bookmarkStart w:id="831" w:name="_Toc95119244"/>
      <w:r>
        <w:t>Division 4 — Queensland</w:t>
      </w:r>
      <w:bookmarkEnd w:id="829"/>
      <w:bookmarkEnd w:id="830"/>
      <w:bookmarkEnd w:id="831"/>
    </w:p>
    <w:p>
      <w:pPr>
        <w:pStyle w:val="Footnoteheading"/>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4 which are not relevant to Western Australia.</w:t>
      </w:r>
    </w:p>
    <w:p>
      <w:pPr>
        <w:pStyle w:val="Heading4"/>
      </w:pPr>
      <w:bookmarkStart w:id="832" w:name="_Toc95119886"/>
      <w:bookmarkStart w:id="833" w:name="_Toc95120281"/>
      <w:bookmarkStart w:id="834" w:name="_Toc95119245"/>
      <w:r>
        <w:t>Division 5 — Tasmania</w:t>
      </w:r>
      <w:bookmarkEnd w:id="832"/>
      <w:bookmarkEnd w:id="833"/>
      <w:bookmarkEnd w:id="834"/>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5 which are not relevant to Western Australia.</w:t>
      </w:r>
    </w:p>
    <w:p>
      <w:pPr>
        <w:pStyle w:val="Heading4"/>
      </w:pPr>
      <w:bookmarkStart w:id="835" w:name="_Toc95119887"/>
      <w:bookmarkStart w:id="836" w:name="_Toc95120282"/>
      <w:bookmarkStart w:id="837" w:name="_Toc95119246"/>
      <w:r>
        <w:t>Division 6 — Western Australia</w:t>
      </w:r>
      <w:bookmarkEnd w:id="835"/>
      <w:bookmarkEnd w:id="836"/>
      <w:bookmarkEnd w:id="837"/>
    </w:p>
    <w:p>
      <w:pPr>
        <w:pStyle w:val="Footnoteheading"/>
      </w:pPr>
      <w:r>
        <w:tab/>
        <w:t>[Heading inserted: Gazette 28 Sep 2018 p. 3651.]</w:t>
      </w:r>
    </w:p>
    <w:p>
      <w:pPr>
        <w:pStyle w:val="Heading5"/>
      </w:pPr>
      <w:bookmarkStart w:id="838" w:name="_Toc95120283"/>
      <w:bookmarkStart w:id="839" w:name="_Toc95119247"/>
      <w:r>
        <w:rPr>
          <w:rStyle w:val="CharSectno"/>
        </w:rPr>
        <w:t>393</w:t>
      </w:r>
      <w:r>
        <w:t>.</w:t>
      </w:r>
      <w:r>
        <w:tab/>
        <w:t>Application of Division</w:t>
      </w:r>
      <w:bookmarkEnd w:id="838"/>
      <w:bookmarkEnd w:id="839"/>
    </w:p>
    <w:p>
      <w:pPr>
        <w:pStyle w:val="Subsection"/>
      </w:pPr>
      <w:r>
        <w:tab/>
      </w:r>
      <w:r>
        <w:tab/>
        <w:t>This Division applies to Western Australia.</w:t>
      </w:r>
    </w:p>
    <w:p>
      <w:pPr>
        <w:pStyle w:val="Footnotesection"/>
      </w:pPr>
      <w:r>
        <w:tab/>
        <w:t>[Regulation 393 inserted: Gazette 28 Sep 2018 p. 3651.]</w:t>
      </w:r>
    </w:p>
    <w:p>
      <w:pPr>
        <w:pStyle w:val="Heading5"/>
      </w:pPr>
      <w:bookmarkStart w:id="840" w:name="_Toc95120284"/>
      <w:bookmarkStart w:id="841" w:name="_Toc95119248"/>
      <w:r>
        <w:rPr>
          <w:rStyle w:val="CharSectno"/>
        </w:rPr>
        <w:t>394</w:t>
      </w:r>
      <w:r>
        <w:t>.</w:t>
      </w:r>
      <w:r>
        <w:tab/>
        <w:t>Resignation of early childhood teacher</w:t>
      </w:r>
      <w:bookmarkEnd w:id="840"/>
      <w:bookmarkEnd w:id="841"/>
    </w:p>
    <w:p>
      <w:pPr>
        <w:pStyle w:val="Subsection"/>
      </w:pPr>
      <w:r>
        <w:tab/>
        <w:t>(1)</w:t>
      </w:r>
      <w:r>
        <w:tab/>
        <w:t>Regulation 135 applies as if the reasons for the early childhood teacher to be absent included resignation.</w:t>
      </w:r>
    </w:p>
    <w:p>
      <w:pPr>
        <w:pStyle w:val="Subsection"/>
      </w:pPr>
      <w:r>
        <w:tab/>
        <w:t>(2)</w:t>
      </w:r>
      <w:r>
        <w:tab/>
        <w:t>This regulation ceases to have effect on 31 December 2021.</w:t>
      </w:r>
    </w:p>
    <w:p>
      <w:pPr>
        <w:pStyle w:val="Footnotesection"/>
      </w:pPr>
      <w:r>
        <w:tab/>
        <w:t>[Regulation 394 inserted as regulation 393: Gazette 28 Sep 2018 p. 3651; renumbered as regulation 394: Gazette 24 Dec 2019 p. 4427.]</w:t>
      </w:r>
    </w:p>
    <w:p>
      <w:pPr>
        <w:pStyle w:val="Heading2"/>
      </w:pPr>
      <w:bookmarkStart w:id="842" w:name="_Toc95119890"/>
      <w:bookmarkStart w:id="843" w:name="_Toc95120285"/>
      <w:bookmarkStart w:id="844" w:name="_Toc95119249"/>
      <w:r>
        <w:rPr>
          <w:rStyle w:val="CharDivNo"/>
        </w:rPr>
        <w:t>Part 7.11</w:t>
      </w:r>
      <w:r>
        <w:t xml:space="preserve"> — </w:t>
      </w:r>
      <w:r>
        <w:rPr>
          <w:rStyle w:val="CharDivText"/>
        </w:rPr>
        <w:t xml:space="preserve">Transitional and savings provisions for </w:t>
      </w:r>
      <w:r>
        <w:rPr>
          <w:rStyle w:val="CharDivText"/>
          <w:i/>
        </w:rPr>
        <w:t>Education and Care Services National Amendment Regulations 2018</w:t>
      </w:r>
      <w:bookmarkEnd w:id="842"/>
      <w:bookmarkEnd w:id="843"/>
      <w:bookmarkEnd w:id="844"/>
    </w:p>
    <w:p>
      <w:pPr>
        <w:pStyle w:val="Footnoteheading"/>
      </w:pPr>
      <w:r>
        <w:tab/>
        <w:t>[Heading inserted: Gazette 23 Jan 2018 p. 248.]</w:t>
      </w:r>
    </w:p>
    <w:p>
      <w:pPr>
        <w:pStyle w:val="Heading5"/>
      </w:pPr>
      <w:bookmarkStart w:id="845" w:name="_Toc95120286"/>
      <w:bookmarkStart w:id="846" w:name="_Toc95119250"/>
      <w:r>
        <w:rPr>
          <w:rStyle w:val="CharSectno"/>
        </w:rPr>
        <w:t>395</w:t>
      </w:r>
      <w:r>
        <w:t>.</w:t>
      </w:r>
      <w:r>
        <w:tab/>
        <w:t>Definition</w:t>
      </w:r>
      <w:bookmarkEnd w:id="845"/>
      <w:bookmarkEnd w:id="846"/>
    </w:p>
    <w:p>
      <w:pPr>
        <w:pStyle w:val="Subsection"/>
      </w:pPr>
      <w:r>
        <w:tab/>
        <w:t>(1)</w:t>
      </w:r>
      <w:r>
        <w:tab/>
        <w:t xml:space="preserve">In this Part — </w:t>
      </w:r>
    </w:p>
    <w:p>
      <w:pPr>
        <w:pStyle w:val="Defstart"/>
      </w:pPr>
      <w:r>
        <w:tab/>
      </w:r>
      <w:r>
        <w:rPr>
          <w:rStyle w:val="CharDefText"/>
        </w:rPr>
        <w:t>commencement day</w:t>
      </w:r>
      <w:r>
        <w:t xml:space="preserve"> means 1 February 2018.</w:t>
      </w:r>
    </w:p>
    <w:p>
      <w:pPr>
        <w:pStyle w:val="Subsection"/>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Gazette 23 Jan 2018 p. 248.]</w:t>
      </w:r>
    </w:p>
    <w:p>
      <w:pPr>
        <w:pStyle w:val="Heading5"/>
      </w:pPr>
      <w:bookmarkStart w:id="847" w:name="_Toc95120287"/>
      <w:bookmarkStart w:id="848" w:name="_Toc95119251"/>
      <w:r>
        <w:rPr>
          <w:rStyle w:val="CharSectno"/>
        </w:rPr>
        <w:t>396</w:t>
      </w:r>
      <w:r>
        <w:t>.</w:t>
      </w:r>
      <w:r>
        <w:tab/>
        <w:t>Quality improvement plan held prior to commencement day</w:t>
      </w:r>
      <w:bookmarkEnd w:id="847"/>
      <w:bookmarkEnd w:id="848"/>
    </w:p>
    <w:p>
      <w:pPr>
        <w:pStyle w:val="Subsection"/>
      </w:pPr>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pPr>
      <w:r>
        <w:tab/>
        <w:t>(b)</w:t>
      </w:r>
      <w:r>
        <w:tab/>
        <w:t>the approved provider for the service reviews and revises the plan at the direction of the Regulatory Authority under regulation 56(1)(b).</w:t>
      </w:r>
    </w:p>
    <w:p>
      <w:pPr>
        <w:pStyle w:val="Footnotesection"/>
      </w:pPr>
      <w:r>
        <w:tab/>
        <w:t>[Regulation 396 inserted: Gazette 23 Jan 2018 p. 248.]</w:t>
      </w:r>
    </w:p>
    <w:p>
      <w:pPr>
        <w:pStyle w:val="Heading5"/>
      </w:pPr>
      <w:bookmarkStart w:id="849" w:name="_Toc95120288"/>
      <w:bookmarkStart w:id="850" w:name="_Toc95119252"/>
      <w:r>
        <w:rPr>
          <w:rStyle w:val="CharSectno"/>
        </w:rPr>
        <w:t>397</w:t>
      </w:r>
      <w:r>
        <w:t>.</w:t>
      </w:r>
      <w:r>
        <w:tab/>
        <w:t>Assessments commenced prior to commencement day</w:t>
      </w:r>
      <w:bookmarkEnd w:id="849"/>
      <w:bookmarkEnd w:id="850"/>
    </w:p>
    <w:p>
      <w:pPr>
        <w:pStyle w:val="Subsection"/>
      </w:pPr>
      <w:r>
        <w:tab/>
      </w:r>
      <w:r>
        <w:tab/>
        <w:t>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Quality Standard as in force immediately before the commencement day.</w:t>
      </w:r>
    </w:p>
    <w:p>
      <w:pPr>
        <w:pStyle w:val="Footnotesection"/>
      </w:pPr>
      <w:r>
        <w:tab/>
        <w:t>[Regulation 397 inserted: Gazette 23 Jan 2018 p. 248.]</w:t>
      </w:r>
    </w:p>
    <w:p>
      <w:pPr>
        <w:pStyle w:val="Heading5"/>
      </w:pPr>
      <w:bookmarkStart w:id="851" w:name="_Toc95120289"/>
      <w:bookmarkStart w:id="852" w:name="_Toc95119253"/>
      <w:r>
        <w:rPr>
          <w:rStyle w:val="CharSectno"/>
        </w:rPr>
        <w:t>398</w:t>
      </w:r>
      <w:r>
        <w:t>.</w:t>
      </w:r>
      <w:r>
        <w:tab/>
        <w:t>Reassessment or partial reassessment commenced prior to commencement day</w:t>
      </w:r>
      <w:bookmarkEnd w:id="851"/>
      <w:bookmarkEnd w:id="852"/>
    </w:p>
    <w:p>
      <w:pPr>
        <w:pStyle w:val="Subsection"/>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pPr>
      <w:r>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Gazette 23 Jan 2018 p. 249.]</w:t>
      </w:r>
    </w:p>
    <w:p>
      <w:pPr>
        <w:pStyle w:val="Heading5"/>
      </w:pPr>
      <w:bookmarkStart w:id="853" w:name="_Toc95120290"/>
      <w:bookmarkStart w:id="854" w:name="_Toc95119254"/>
      <w:r>
        <w:rPr>
          <w:rStyle w:val="CharSectno"/>
        </w:rPr>
        <w:t>399</w:t>
      </w:r>
      <w:r>
        <w:t>.</w:t>
      </w:r>
      <w:r>
        <w:tab/>
        <w:t>Partial reassessment between the commencement day and the relevant day</w:t>
      </w:r>
      <w:bookmarkEnd w:id="853"/>
      <w:bookmarkEnd w:id="854"/>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rating of an aspect or element of the education and care service conducted by the Regulatory Authority under section 138 of the Law or on an application 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pPr>
      <w:r>
        <w:tab/>
        <w:t>(3)</w:t>
      </w:r>
      <w:r>
        <w:tab/>
        <w:t xml:space="preserve">In this regulation — </w:t>
      </w:r>
    </w:p>
    <w:p>
      <w:pPr>
        <w:pStyle w:val="Defstar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Gazette 23 Jan 2018 p. 249</w:t>
      </w:r>
      <w:r>
        <w:noBreakHyphen/>
        <w:t>50.]</w:t>
      </w:r>
    </w:p>
    <w:p>
      <w:pPr>
        <w:pStyle w:val="Heading5"/>
      </w:pPr>
      <w:bookmarkStart w:id="855" w:name="_Toc95120291"/>
      <w:bookmarkStart w:id="856" w:name="_Toc95119255"/>
      <w:r>
        <w:rPr>
          <w:rStyle w:val="CharSectno"/>
        </w:rPr>
        <w:t>400</w:t>
      </w:r>
      <w:r>
        <w:t>.</w:t>
      </w:r>
      <w:r>
        <w:tab/>
        <w:t>Suspension of initial assessment or reassessment commenced prior to commencement day</w:t>
      </w:r>
      <w:bookmarkEnd w:id="855"/>
      <w:bookmarkEnd w:id="856"/>
    </w:p>
    <w:p>
      <w:pPr>
        <w:pStyle w:val="Subsection"/>
      </w:pPr>
      <w:r>
        <w:tab/>
        <w:t>(1)</w:t>
      </w:r>
      <w:r>
        <w:tab/>
        <w:t xml:space="preserve">This regulation applies to an approved education and care service if — </w:t>
      </w:r>
    </w:p>
    <w:p>
      <w:pPr>
        <w:pStyle w:val="Indenta"/>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Gazette 23 Jan 2018 p. 250.]</w:t>
      </w:r>
    </w:p>
    <w:p>
      <w:pPr>
        <w:pStyle w:val="Heading5"/>
      </w:pPr>
      <w:bookmarkStart w:id="857" w:name="_Toc95120292"/>
      <w:bookmarkStart w:id="858" w:name="_Toc95119256"/>
      <w:r>
        <w:rPr>
          <w:rStyle w:val="CharSectno"/>
        </w:rPr>
        <w:t>401</w:t>
      </w:r>
      <w:r>
        <w:t>.</w:t>
      </w:r>
      <w:r>
        <w:tab/>
        <w:t>Suspension of partial reassessment commenced prior to commencement day</w:t>
      </w:r>
      <w:bookmarkEnd w:id="857"/>
      <w:bookmarkEnd w:id="858"/>
    </w:p>
    <w:p>
      <w:pPr>
        <w:pStyle w:val="Subsection"/>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Gazette 23 Jan 2018 p. 250.]</w:t>
      </w:r>
    </w:p>
    <w:p>
      <w:pPr>
        <w:pStyle w:val="Heading5"/>
      </w:pPr>
      <w:bookmarkStart w:id="859" w:name="_Toc95120293"/>
      <w:bookmarkStart w:id="860" w:name="_Toc95119257"/>
      <w:r>
        <w:rPr>
          <w:rStyle w:val="CharSectno"/>
        </w:rPr>
        <w:t>402</w:t>
      </w:r>
      <w:r>
        <w:t>.</w:t>
      </w:r>
      <w:r>
        <w:tab/>
        <w:t>Prescribed provisional rating level held prior to commencement day</w:t>
      </w:r>
      <w:bookmarkEnd w:id="859"/>
      <w:bookmarkEnd w:id="860"/>
    </w:p>
    <w:p>
      <w:pPr>
        <w:pStyle w:val="Subsection"/>
      </w:pPr>
      <w:r>
        <w:tab/>
      </w:r>
      <w:r>
        <w:tab/>
        <w:t>If, immediately before the commencement day, an approved education and care service held a prescribed provisional rating level, the service continues, on and after the commencement day, to hold that rating level for the purposes of the Law unless or until the service is assessed under section 133(1) of the Law and rated under section 135 of the Law.</w:t>
      </w:r>
    </w:p>
    <w:p>
      <w:pPr>
        <w:pStyle w:val="Footnotesection"/>
      </w:pPr>
      <w:r>
        <w:tab/>
        <w:t>[Regulation 402 inserted: Gazette 23 Jan 2018 p. 251.]</w:t>
      </w:r>
    </w:p>
    <w:p>
      <w:pPr>
        <w:pStyle w:val="Heading5"/>
      </w:pPr>
      <w:bookmarkStart w:id="861" w:name="_Toc95120294"/>
      <w:bookmarkStart w:id="862" w:name="_Toc95119258"/>
      <w:r>
        <w:rPr>
          <w:rStyle w:val="CharSectno"/>
        </w:rPr>
        <w:t>403</w:t>
      </w:r>
      <w:r>
        <w:t>.</w:t>
      </w:r>
      <w:r>
        <w:tab/>
        <w:t>Prescribed rating level held prior to commencement day</w:t>
      </w:r>
      <w:bookmarkEnd w:id="861"/>
      <w:bookmarkEnd w:id="862"/>
    </w:p>
    <w:p>
      <w:pPr>
        <w:pStyle w:val="Subsection"/>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pPr>
      <w:r>
        <w:tab/>
        <w:t>(c)</w:t>
      </w:r>
      <w:r>
        <w:tab/>
        <w:t>is awarded the highest rating level under section 155 of the Law.</w:t>
      </w:r>
    </w:p>
    <w:p>
      <w:pPr>
        <w:pStyle w:val="Footnotesection"/>
      </w:pPr>
      <w:r>
        <w:tab/>
        <w:t>[Regulation 403 inserted: Gazette 23 Jan 2018 p. 251.]</w:t>
      </w:r>
    </w:p>
    <w:p>
      <w:pPr>
        <w:pStyle w:val="Heading2"/>
      </w:pPr>
      <w:bookmarkStart w:id="863" w:name="_Toc95119900"/>
      <w:bookmarkStart w:id="864" w:name="_Toc95120295"/>
      <w:bookmarkStart w:id="865" w:name="_Toc95119259"/>
      <w:r>
        <w:rPr>
          <w:rStyle w:val="CharDivNo"/>
        </w:rPr>
        <w:t>Part 7.12</w:t>
      </w:r>
      <w:r>
        <w:t> — </w:t>
      </w:r>
      <w:r>
        <w:rPr>
          <w:rStyle w:val="CharDivText"/>
        </w:rPr>
        <w:t xml:space="preserve">Transitional and saving provisions for </w:t>
      </w:r>
      <w:r>
        <w:rPr>
          <w:rStyle w:val="CharDivText"/>
          <w:i/>
        </w:rPr>
        <w:t>Education and Care Services National Amendment Regulations 2019</w:t>
      </w:r>
      <w:bookmarkEnd w:id="863"/>
      <w:bookmarkEnd w:id="864"/>
      <w:bookmarkEnd w:id="865"/>
    </w:p>
    <w:p>
      <w:pPr>
        <w:pStyle w:val="Footnoteheading"/>
      </w:pPr>
      <w:r>
        <w:tab/>
        <w:t>[Heading inserted: Gazette 24 Dec 2019 p. 4428.]</w:t>
      </w:r>
    </w:p>
    <w:p>
      <w:pPr>
        <w:pStyle w:val="Heading4"/>
      </w:pPr>
      <w:bookmarkStart w:id="866" w:name="_Toc95119901"/>
      <w:bookmarkStart w:id="867" w:name="_Toc95120296"/>
      <w:bookmarkStart w:id="868" w:name="_Toc95119260"/>
      <w:r>
        <w:t>Division 1 — Australian Capital Territory</w:t>
      </w:r>
      <w:bookmarkEnd w:id="866"/>
      <w:bookmarkEnd w:id="867"/>
      <w:bookmarkEnd w:id="868"/>
    </w:p>
    <w:p>
      <w:pPr>
        <w:pStyle w:val="PermNoteHeading"/>
      </w:pPr>
      <w:r>
        <w:tab/>
        <w:t>Note for this Division:</w:t>
      </w:r>
    </w:p>
    <w:p>
      <w:pPr>
        <w:pStyle w:val="PermNoteText"/>
      </w:pPr>
      <w:r>
        <w:tab/>
      </w:r>
      <w:r>
        <w:tab/>
        <w:t>The national regulations made by the Ministerial Council include provisions as Division 1 which are not relevant to Western Australia.</w:t>
      </w:r>
    </w:p>
    <w:p>
      <w:pPr>
        <w:pStyle w:val="Heading4"/>
      </w:pPr>
      <w:bookmarkStart w:id="869" w:name="_Toc95119902"/>
      <w:bookmarkStart w:id="870" w:name="_Toc95120297"/>
      <w:bookmarkStart w:id="871" w:name="_Toc95119261"/>
      <w:r>
        <w:t>Division 2 — Queensland</w:t>
      </w:r>
      <w:bookmarkEnd w:id="869"/>
      <w:bookmarkEnd w:id="870"/>
      <w:bookmarkEnd w:id="871"/>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Heading4"/>
      </w:pPr>
      <w:bookmarkStart w:id="872" w:name="_Toc95119903"/>
      <w:bookmarkStart w:id="873" w:name="_Toc95120298"/>
      <w:bookmarkStart w:id="874" w:name="_Toc95119262"/>
      <w:r>
        <w:t>Division 3 — Tasmania</w:t>
      </w:r>
      <w:bookmarkEnd w:id="872"/>
      <w:bookmarkEnd w:id="873"/>
      <w:bookmarkEnd w:id="874"/>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Heading4"/>
      </w:pPr>
      <w:bookmarkStart w:id="875" w:name="_Toc95119904"/>
      <w:bookmarkStart w:id="876" w:name="_Toc95120299"/>
      <w:bookmarkStart w:id="877" w:name="_Toc95119263"/>
      <w:r>
        <w:t>Division 4 — Western Australia</w:t>
      </w:r>
      <w:bookmarkEnd w:id="875"/>
      <w:bookmarkEnd w:id="876"/>
      <w:bookmarkEnd w:id="877"/>
    </w:p>
    <w:p>
      <w:pPr>
        <w:pStyle w:val="Heading5"/>
      </w:pPr>
      <w:bookmarkStart w:id="878" w:name="_Toc95120300"/>
      <w:bookmarkStart w:id="879" w:name="_Toc95119264"/>
      <w:r>
        <w:rPr>
          <w:rStyle w:val="CharSectno"/>
        </w:rPr>
        <w:t>410</w:t>
      </w:r>
      <w:r>
        <w:t>.</w:t>
      </w:r>
      <w:r>
        <w:tab/>
        <w:t>Application of Division</w:t>
      </w:r>
      <w:bookmarkEnd w:id="878"/>
      <w:bookmarkEnd w:id="879"/>
    </w:p>
    <w:p>
      <w:pPr>
        <w:pStyle w:val="Subsection"/>
      </w:pPr>
      <w:r>
        <w:tab/>
      </w:r>
      <w:r>
        <w:tab/>
        <w:t>This Division applies to Western Australia.</w:t>
      </w:r>
    </w:p>
    <w:p>
      <w:pPr>
        <w:pStyle w:val="Footnotesection"/>
      </w:pPr>
      <w:r>
        <w:tab/>
        <w:t>[Regulation 410 inserted: Gazette 24 Dec 2019 p. 4428.]</w:t>
      </w:r>
    </w:p>
    <w:p>
      <w:pPr>
        <w:pStyle w:val="Heading5"/>
      </w:pPr>
      <w:bookmarkStart w:id="880" w:name="_Toc95120301"/>
      <w:bookmarkStart w:id="881" w:name="_Toc95119265"/>
      <w:r>
        <w:rPr>
          <w:rStyle w:val="CharSectno"/>
        </w:rPr>
        <w:t>411</w:t>
      </w:r>
      <w:r>
        <w:t>.</w:t>
      </w:r>
      <w:r>
        <w:tab/>
        <w:t>Resignation of suitably qualified person</w:t>
      </w:r>
      <w:bookmarkEnd w:id="880"/>
      <w:bookmarkEnd w:id="881"/>
    </w:p>
    <w:p>
      <w:pPr>
        <w:pStyle w:val="Subsection"/>
      </w:pPr>
      <w:r>
        <w:tab/>
        <w:t>(1)</w:t>
      </w:r>
      <w:r>
        <w:tab/>
        <w:t>Regulation 135 applies as if the reasons for the suitably qualified person to be absent included resignation.</w:t>
      </w:r>
    </w:p>
    <w:p>
      <w:pPr>
        <w:pStyle w:val="Subsection"/>
      </w:pPr>
      <w:r>
        <w:tab/>
        <w:t>(2)</w:t>
      </w:r>
      <w:r>
        <w:tab/>
        <w:t>This regulation ceases to have effect on 31 December 2021.</w:t>
      </w:r>
    </w:p>
    <w:p>
      <w:pPr>
        <w:pStyle w:val="Footnotesection"/>
      </w:pPr>
      <w:r>
        <w:tab/>
        <w:t>[Regulation 411 inserted: Gazette 24 Dec 2019 p. 4428.]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4" w:bottom="3544" w:left="2404" w:header="709" w:footer="3379" w:gutter="0"/>
          <w:pgNumType w:start="1"/>
          <w:cols w:space="720"/>
          <w:noEndnote/>
          <w:titlePg/>
          <w:docGrid w:linePitch="326"/>
        </w:sectPr>
      </w:pPr>
    </w:p>
    <w:p>
      <w:pPr>
        <w:pStyle w:val="yScheduleHeading"/>
      </w:pPr>
      <w:bookmarkStart w:id="882" w:name="_Toc95119907"/>
      <w:bookmarkStart w:id="883" w:name="_Toc95120302"/>
      <w:bookmarkStart w:id="884" w:name="_Toc95119266"/>
      <w:r>
        <w:rPr>
          <w:rStyle w:val="CharSchNo"/>
        </w:rPr>
        <w:t>Schedule 1</w:t>
      </w:r>
      <w:r>
        <w:t> — </w:t>
      </w:r>
      <w:r>
        <w:rPr>
          <w:rStyle w:val="CharSchText"/>
        </w:rPr>
        <w:t>National Quality Standard</w:t>
      </w:r>
      <w:bookmarkEnd w:id="882"/>
      <w:bookmarkEnd w:id="883"/>
      <w:bookmarkEnd w:id="884"/>
    </w:p>
    <w:p>
      <w:pPr>
        <w:pStyle w:val="yFootnoteheading"/>
      </w:pPr>
      <w:r>
        <w:tab/>
        <w:t>[Heading inserted: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r>
        <w:rPr>
          <w:b/>
          <w:sz w:val="24"/>
          <w:szCs w:val="24"/>
        </w:rPr>
        <w:tab/>
        <w:t>Quality area</w:t>
      </w:r>
      <w:r>
        <w:rPr>
          <w:szCs w:val="24"/>
        </w:rPr>
        <w:t> </w:t>
      </w:r>
      <w:r>
        <w:rPr>
          <w:b/>
          <w:sz w:val="24"/>
          <w:szCs w:val="24"/>
        </w:rPr>
        <w:t>1 — Educational program and practice</w:t>
      </w:r>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tab/>
        <w:t>Element 1.3.3 — Information for families</w:t>
      </w:r>
    </w:p>
    <w:p>
      <w:pPr>
        <w:pStyle w:val="yMiscellaneousBody"/>
        <w:ind w:left="1140" w:hanging="1140"/>
      </w:pPr>
      <w:r>
        <w:tab/>
        <w:t>Families are informed about the program and their child’s progress.</w:t>
      </w:r>
    </w:p>
    <w:p>
      <w:pPr>
        <w:pStyle w:val="yMiscellaneousHeading"/>
        <w:jc w:val="left"/>
        <w:rPr>
          <w:b/>
          <w:sz w:val="24"/>
          <w:szCs w:val="24"/>
        </w:rPr>
      </w:pPr>
      <w:r>
        <w:rPr>
          <w:b/>
          <w:sz w:val="24"/>
          <w:szCs w:val="24"/>
        </w:rPr>
        <w:tab/>
        <w:t>Quality area 2 — Children’s health and safety</w:t>
      </w:r>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Heading"/>
        <w:jc w:val="left"/>
        <w:rPr>
          <w:b/>
        </w:rPr>
      </w:pPr>
      <w:r>
        <w:rPr>
          <w:b/>
        </w:rPr>
        <w:tab/>
        <w:t>Element 2.2.3 — Child protection</w:t>
      </w:r>
    </w:p>
    <w:p>
      <w:pPr>
        <w:pStyle w:val="yMiscellaneousBody"/>
        <w:ind w:left="1140" w:hanging="1140"/>
      </w:pPr>
      <w:r>
        <w:tab/>
        <w:t>Management, educators and staff are aware of their roles and responsibilities to identify and respond to every child at risk of abuse or neglect.</w:t>
      </w:r>
    </w:p>
    <w:p>
      <w:pPr>
        <w:pStyle w:val="yMiscellaneousHeading"/>
        <w:jc w:val="left"/>
        <w:rPr>
          <w:szCs w:val="24"/>
        </w:rPr>
      </w:pPr>
      <w:r>
        <w:rPr>
          <w:b/>
          <w:sz w:val="24"/>
          <w:szCs w:val="24"/>
        </w:rPr>
        <w:tab/>
        <w:t>Quality area 3 — Physical environment</w:t>
      </w:r>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r>
        <w:rPr>
          <w:b/>
          <w:sz w:val="24"/>
          <w:szCs w:val="24"/>
        </w:rPr>
        <w:tab/>
        <w:t>Quality area 4 — Staffing arrangements</w:t>
      </w:r>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sz w:val="24"/>
          <w:szCs w:val="24"/>
        </w:rPr>
      </w:pPr>
      <w:r>
        <w:rPr>
          <w:b/>
          <w:sz w:val="24"/>
          <w:szCs w:val="24"/>
        </w:rPr>
        <w:tab/>
        <w:t>Quality area 5 — Relationships with children</w:t>
      </w:r>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r>
        <w:rPr>
          <w:b/>
          <w:sz w:val="24"/>
          <w:szCs w:val="24"/>
        </w:rPr>
        <w:tab/>
        <w:t>Quality area 6 — Collaborative partnerships with families and communities</w:t>
      </w:r>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sz w:val="24"/>
          <w:szCs w:val="24"/>
        </w:rPr>
      </w:pPr>
      <w:r>
        <w:rPr>
          <w:sz w:val="24"/>
          <w:szCs w:val="24"/>
        </w:rPr>
        <w:tab/>
      </w:r>
      <w:r>
        <w:rPr>
          <w:b/>
          <w:sz w:val="24"/>
          <w:szCs w:val="24"/>
        </w:rPr>
        <w:t>Quality area 7 — Governance and leadership</w:t>
      </w:r>
    </w:p>
    <w:p>
      <w:pPr>
        <w:pStyle w:val="yMiscellaneousBody"/>
        <w:keepNext/>
        <w:keepLines/>
        <w:ind w:left="1140" w:hanging="1140"/>
      </w:pPr>
      <w:r>
        <w:tab/>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Heading"/>
        <w:jc w:val="left"/>
        <w:rPr>
          <w:b/>
        </w:rPr>
      </w:pPr>
      <w:r>
        <w:rPr>
          <w:b/>
        </w:rPr>
        <w:tab/>
        <w:t>Standard 7.1 — Governance</w:t>
      </w:r>
    </w:p>
    <w:p>
      <w:pPr>
        <w:pStyle w:val="yMiscellaneousBody"/>
      </w:pPr>
      <w:r>
        <w:tab/>
        <w:t>Governance supports the operation of a quality service.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tab/>
        <w:t>Element 7.2.3 — Development of professionals</w:t>
      </w:r>
    </w:p>
    <w:p>
      <w:pPr>
        <w:pStyle w:val="yMiscellaneousBody"/>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Gazette 23 Jan 2018 p. 251</w:t>
      </w:r>
      <w:r>
        <w:noBreakHyphen/>
        <w:t>7.]</w:t>
      </w:r>
    </w:p>
    <w:p>
      <w:pPr>
        <w:pStyle w:val="yScheduleHeading"/>
      </w:pPr>
      <w:bookmarkStart w:id="885" w:name="_Toc95119908"/>
      <w:bookmarkStart w:id="886" w:name="_Toc95120303"/>
      <w:bookmarkStart w:id="887" w:name="_Toc95119267"/>
      <w:r>
        <w:rPr>
          <w:rStyle w:val="CharSchNo"/>
        </w:rPr>
        <w:t>Schedule 2</w:t>
      </w:r>
      <w:r>
        <w:t> — </w:t>
      </w:r>
      <w:r>
        <w:rPr>
          <w:rStyle w:val="CharSchText"/>
        </w:rPr>
        <w:t>Prescribed fees</w:t>
      </w:r>
      <w:bookmarkEnd w:id="885"/>
      <w:bookmarkEnd w:id="886"/>
      <w:bookmarkEnd w:id="887"/>
    </w:p>
    <w:p>
      <w:pPr>
        <w:pStyle w:val="yFootnoteheading"/>
      </w:pPr>
      <w:r>
        <w:tab/>
        <w:t>[Heading inserted: Gazette 28 Sep 2018 p. 3652.]</w:t>
      </w:r>
    </w:p>
    <w:p>
      <w:pPr>
        <w:pStyle w:val="yHeading3"/>
        <w:rPr>
          <w:rStyle w:val="CharSDivText"/>
        </w:rPr>
      </w:pPr>
      <w:bookmarkStart w:id="888" w:name="_Toc95119909"/>
      <w:bookmarkStart w:id="889" w:name="_Toc95120304"/>
      <w:bookmarkStart w:id="890" w:name="_Toc95119268"/>
      <w:r>
        <w:rPr>
          <w:rStyle w:val="CharSDivNo"/>
        </w:rPr>
        <w:t>Part 1</w:t>
      </w:r>
      <w:r>
        <w:t> — </w:t>
      </w:r>
      <w:r>
        <w:rPr>
          <w:rStyle w:val="CharSDivText"/>
        </w:rPr>
        <w:t>Fees relating to provider approvals, service approvals and ratings</w:t>
      </w:r>
      <w:bookmarkEnd w:id="888"/>
      <w:bookmarkEnd w:id="889"/>
      <w:bookmarkEnd w:id="890"/>
    </w:p>
    <w:p>
      <w:pPr>
        <w:pStyle w:val="yFootnoteheading"/>
      </w:pPr>
      <w:r>
        <w:tab/>
        <w:t>[Heading inserted: Gazette 28 Sep 2018 p. 3652.]</w:t>
      </w:r>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58"/>
              <w:rPr>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44"/>
              <w:rPr>
                <w:sz w:val="20"/>
              </w:rPr>
            </w:pPr>
          </w:p>
        </w:tc>
        <w:tc>
          <w:tcPr>
            <w:tcW w:w="3684" w:type="dxa"/>
            <w:gridSpan w:val="2"/>
            <w:tcBorders>
              <w:top w:val="single" w:sz="4" w:space="0" w:color="auto"/>
              <w:left w:val="single" w:sz="2" w:space="0" w:color="auto"/>
              <w:bottom w:val="single" w:sz="4" w:space="0" w:color="auto"/>
              <w:right w:val="single" w:sz="4" w:space="0" w:color="auto"/>
            </w:tcBorders>
          </w:tcPr>
          <w:p>
            <w:pPr>
              <w:pStyle w:val="yTableNAm"/>
              <w:jc w:val="center"/>
              <w:rPr>
                <w:sz w:val="20"/>
              </w:rPr>
            </w:pPr>
            <w:r>
              <w:rPr>
                <w:i/>
                <w:sz w:val="20"/>
              </w:rPr>
              <w:t>Fee</w:t>
            </w: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58"/>
              <w:rPr>
                <w:i/>
                <w:sz w:val="20"/>
              </w:rPr>
            </w:pPr>
            <w:r>
              <w:rPr>
                <w:i/>
                <w:sz w:val="20"/>
              </w:rPr>
              <w:t>Section of the</w:t>
            </w:r>
            <w:r>
              <w:rPr>
                <w:i/>
                <w:sz w:val="20"/>
              </w:rPr>
              <w:br/>
              <w:t>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44"/>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Centre</w:t>
            </w:r>
            <w:r>
              <w:rPr>
                <w:i/>
                <w:sz w:val="20"/>
              </w:rPr>
              <w:noBreakHyphen/>
              <w:t>based</w:t>
            </w:r>
            <w:r>
              <w:rPr>
                <w:i/>
                <w:sz w:val="20"/>
              </w:rPr>
              <w:br/>
              <w:t>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Family day care service (No. of family day care educators engaged by or registered</w:t>
            </w:r>
            <w:r>
              <w:rPr>
                <w:i/>
                <w:sz w:val="20"/>
              </w:rPr>
              <w:br/>
              <w:t xml:space="preserve">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7"/>
              <w:rPr>
                <w:sz w:val="20"/>
              </w:rPr>
            </w:pPr>
            <w:r>
              <w:rPr>
                <w:sz w:val="20"/>
              </w:rPr>
              <w:t>Section 44(1)(e)</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places or fewer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$658</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rPr>
          <w:cantSplit/>
        </w:trPr>
        <w:tc>
          <w:tcPr>
            <w:tcW w:w="1562" w:type="dxa"/>
            <w:tcBorders>
              <w:top w:val="single" w:sz="2" w:space="0" w:color="auto"/>
              <w:left w:val="single" w:sz="2" w:space="0" w:color="auto"/>
              <w:right w:val="single" w:sz="2" w:space="0" w:color="auto"/>
            </w:tcBorders>
          </w:tcPr>
          <w:p>
            <w:pPr>
              <w:pStyle w:val="yTableNAm"/>
              <w:keepNext/>
              <w:keepLines/>
              <w:ind w:left="58"/>
              <w:rPr>
                <w:sz w:val="20"/>
              </w:rPr>
            </w:pPr>
            <w:r>
              <w:rPr>
                <w:sz w:val="20"/>
              </w:rPr>
              <w:t>Section 53</w:t>
            </w:r>
          </w:p>
        </w:tc>
        <w:tc>
          <w:tcPr>
            <w:tcW w:w="1842" w:type="dxa"/>
            <w:tcBorders>
              <w:top w:val="single" w:sz="2" w:space="0" w:color="auto"/>
              <w:left w:val="single" w:sz="2" w:space="0" w:color="auto"/>
              <w:right w:val="single" w:sz="2" w:space="0" w:color="auto"/>
            </w:tcBorders>
          </w:tcPr>
          <w:p>
            <w:pPr>
              <w:pStyle w:val="yTableNAm"/>
              <w:keepNext/>
              <w:keepLines/>
              <w:ind w:left="144"/>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5 or fewer family day care educators $200 </w:t>
            </w:r>
          </w:p>
        </w:tc>
      </w:tr>
      <w:tr>
        <w:trPr>
          <w:cantSplit/>
        </w:trPr>
        <w:tc>
          <w:tcPr>
            <w:tcW w:w="1562" w:type="dxa"/>
            <w:tcBorders>
              <w:left w:val="single" w:sz="2" w:space="0" w:color="auto"/>
              <w:right w:val="single" w:sz="2" w:space="0" w:color="auto"/>
            </w:tcBorders>
          </w:tcPr>
          <w:p>
            <w:pPr>
              <w:pStyle w:val="yTableNAm"/>
              <w:keepNext/>
              <w:keepLines/>
              <w:ind w:left="58"/>
              <w:rPr>
                <w:sz w:val="20"/>
              </w:rPr>
            </w:pPr>
          </w:p>
        </w:tc>
        <w:tc>
          <w:tcPr>
            <w:tcW w:w="1842" w:type="dxa"/>
            <w:tcBorders>
              <w:left w:val="single" w:sz="2" w:space="0" w:color="auto"/>
              <w:right w:val="single" w:sz="2" w:space="0" w:color="auto"/>
            </w:tcBorders>
          </w:tcPr>
          <w:p>
            <w:pPr>
              <w:pStyle w:val="yTableNAm"/>
              <w:keepNext/>
              <w:keepLines/>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25 to 80 approved places $301</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6 to 20 family day care educators $301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$399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$399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98(4)</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extend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right w:val="single" w:sz="2" w:space="0" w:color="auto"/>
            </w:tcBorders>
          </w:tcPr>
          <w:p>
            <w:pPr>
              <w:pStyle w:val="yTableNAm"/>
              <w:keepNext/>
              <w:ind w:left="58"/>
              <w:rPr>
                <w:sz w:val="20"/>
              </w:rPr>
            </w:pPr>
            <w:r>
              <w:rPr>
                <w:sz w:val="20"/>
              </w:rPr>
              <w:t>Section 139(2)(c)</w:t>
            </w:r>
          </w:p>
        </w:tc>
        <w:tc>
          <w:tcPr>
            <w:tcW w:w="1842" w:type="dxa"/>
            <w:tcBorders>
              <w:top w:val="single" w:sz="2" w:space="0" w:color="auto"/>
              <w:left w:val="single" w:sz="2" w:space="0" w:color="auto"/>
              <w:right w:val="single" w:sz="2" w:space="0" w:color="auto"/>
            </w:tcBorders>
          </w:tcPr>
          <w:p>
            <w:pPr>
              <w:pStyle w:val="yTableNAm"/>
              <w:keepNext/>
              <w:ind w:left="144"/>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5 or fewer family day care educators $438</w:t>
            </w:r>
          </w:p>
        </w:tc>
      </w:tr>
      <w:tr>
        <w:tc>
          <w:tcPr>
            <w:tcW w:w="1562" w:type="dxa"/>
            <w:tcBorders>
              <w:left w:val="single" w:sz="2" w:space="0" w:color="auto"/>
              <w:right w:val="single" w:sz="2" w:space="0" w:color="auto"/>
            </w:tcBorders>
          </w:tcPr>
          <w:p>
            <w:pPr>
              <w:pStyle w:val="yTableNAm"/>
              <w:keepNext/>
              <w:ind w:left="58"/>
              <w:rPr>
                <w:sz w:val="20"/>
              </w:rPr>
            </w:pPr>
          </w:p>
        </w:tc>
        <w:tc>
          <w:tcPr>
            <w:tcW w:w="1842" w:type="dxa"/>
            <w:tcBorders>
              <w:left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keepNext/>
              <w:ind w:left="58"/>
              <w:rPr>
                <w:sz w:val="20"/>
              </w:rPr>
            </w:pPr>
          </w:p>
        </w:tc>
        <w:tc>
          <w:tcPr>
            <w:tcW w:w="1842" w:type="dxa"/>
            <w:tcBorders>
              <w:left w:val="single" w:sz="2" w:space="0" w:color="auto"/>
              <w:bottom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21 or more family day care educators $878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Request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145(2)(c)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or fewer family day care educators $438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$878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152(3)(c)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r>
        <w:tc>
          <w:tcPr>
            <w:tcW w:w="1562" w:type="dxa"/>
            <w:tcBorders>
              <w:top w:val="single" w:sz="2" w:space="0" w:color="auto"/>
              <w:left w:val="single" w:sz="2" w:space="0" w:color="auto"/>
              <w:right w:val="single" w:sz="2" w:space="0" w:color="auto"/>
            </w:tcBorders>
          </w:tcPr>
          <w:p>
            <w:pPr>
              <w:pStyle w:val="yTableNAm"/>
              <w:pageBreakBefore/>
              <w:ind w:left="57"/>
              <w:rPr>
                <w:sz w:val="20"/>
              </w:rPr>
            </w:pPr>
            <w:r>
              <w:rPr>
                <w:sz w:val="20"/>
              </w:rPr>
              <w:t>Section 159(3)(c)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bl>
    <w:p>
      <w:pPr>
        <w:pStyle w:val="yHeading3"/>
      </w:pPr>
      <w:bookmarkStart w:id="891" w:name="_Toc95119910"/>
      <w:bookmarkStart w:id="892" w:name="_Toc95120305"/>
      <w:bookmarkStart w:id="893" w:name="_Toc95119269"/>
      <w:r>
        <w:rPr>
          <w:rStyle w:val="CharSDivNo"/>
        </w:rPr>
        <w:t>Part 2</w:t>
      </w:r>
      <w:r>
        <w:t> — </w:t>
      </w:r>
      <w:r>
        <w:rPr>
          <w:rStyle w:val="CharSDivText"/>
        </w:rPr>
        <w:t>Other fees</w:t>
      </w:r>
      <w:bookmarkEnd w:id="891"/>
      <w:bookmarkEnd w:id="892"/>
      <w:bookmarkEnd w:id="893"/>
    </w:p>
    <w:p>
      <w:pPr>
        <w:pStyle w:val="yFootnoteheading"/>
      </w:pPr>
      <w:r>
        <w:tab/>
        <w:t>[Heading inserted: Gazette 28 Sep 2018 p. 3655.]</w:t>
      </w:r>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$2 200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bl>
    <w:p>
      <w:pPr>
        <w:pStyle w:val="yFootnotesection"/>
      </w:pPr>
      <w:r>
        <w:tab/>
        <w:t>[Schedule 2 inserted: Gazette 28 Sep 2018 p. 3652</w:t>
      </w:r>
      <w:r>
        <w:noBreakHyphen/>
        <w:t>5.]</w:t>
      </w:r>
    </w:p>
    <w:p>
      <w:pPr>
        <w:pStyle w:val="yScheduleHeading"/>
      </w:pPr>
      <w:bookmarkStart w:id="894" w:name="_Toc95119911"/>
      <w:bookmarkStart w:id="895" w:name="_Toc95120306"/>
      <w:bookmarkStart w:id="896" w:name="_Toc95119270"/>
      <w:r>
        <w:rPr>
          <w:rStyle w:val="CharSchNo"/>
        </w:rPr>
        <w:t>Schedule 3</w:t>
      </w:r>
      <w:r>
        <w:rPr>
          <w:rStyle w:val="CharSDivNo"/>
        </w:rPr>
        <w:t> </w:t>
      </w:r>
      <w:r>
        <w:t>—</w:t>
      </w:r>
      <w:r>
        <w:rPr>
          <w:rStyle w:val="CharSDivText"/>
        </w:rPr>
        <w:t> </w:t>
      </w:r>
      <w:r>
        <w:rPr>
          <w:rStyle w:val="CharSchText"/>
        </w:rPr>
        <w:t>Compliance directions — prescribed provisions</w:t>
      </w:r>
      <w:bookmarkEnd w:id="894"/>
      <w:bookmarkEnd w:id="895"/>
      <w:bookmarkEnd w:id="896"/>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sectPr>
          <w:headerReference w:type="even" r:id="rId22"/>
          <w:headerReference w:type="default" r:id="rId23"/>
          <w:pgSz w:w="11907" w:h="16840" w:code="9"/>
          <w:pgMar w:top="2381" w:right="2410" w:bottom="3544" w:left="2410" w:header="720" w:footer="3380" w:gutter="0"/>
          <w:cols w:space="720"/>
          <w:docGrid w:linePitch="326"/>
        </w:sectPr>
      </w:pPr>
    </w:p>
    <w:p>
      <w:pPr>
        <w:pStyle w:val="yScheduleHeading"/>
      </w:pPr>
      <w:bookmarkStart w:id="898" w:name="_Toc95119912"/>
      <w:bookmarkStart w:id="899" w:name="_Toc95120307"/>
      <w:bookmarkStart w:id="900" w:name="_Toc95119271"/>
      <w:r>
        <w:rPr>
          <w:rStyle w:val="CharSchNo"/>
        </w:rPr>
        <w:t>Schedule 4</w:t>
      </w:r>
      <w:r>
        <w:t> — </w:t>
      </w:r>
      <w:r>
        <w:rPr>
          <w:rStyle w:val="CharSchText"/>
        </w:rPr>
        <w:t>Prescribed forms</w:t>
      </w:r>
      <w:bookmarkEnd w:id="898"/>
      <w:bookmarkEnd w:id="899"/>
      <w:bookmarkEnd w:id="900"/>
    </w:p>
    <w:p>
      <w:pPr>
        <w:pStyle w:val="yShoulderClause"/>
      </w:pPr>
      <w:r>
        <w:t>Regulation 190(2)(d)</w:t>
      </w:r>
    </w:p>
    <w:p>
      <w:pPr>
        <w:pStyle w:val="yFootnoteheading"/>
      </w:pPr>
      <w:r>
        <w:tab/>
        <w:t>[Heading amended: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nHeading2"/>
      </w:pPr>
      <w:bookmarkStart w:id="901" w:name="_Toc95119913"/>
      <w:bookmarkStart w:id="902" w:name="_Toc95120308"/>
      <w:bookmarkStart w:id="903" w:name="_Toc95119272"/>
      <w:r>
        <w:t>Notes</w:t>
      </w:r>
      <w:bookmarkEnd w:id="901"/>
      <w:bookmarkEnd w:id="902"/>
      <w:bookmarkEnd w:id="903"/>
    </w:p>
    <w:p>
      <w:pPr>
        <w:pStyle w:val="nStatement"/>
      </w:pPr>
      <w:r>
        <w:t xml:space="preserve">This is a compilation of the </w:t>
      </w:r>
      <w:r>
        <w:rPr>
          <w:i/>
          <w:noProof/>
        </w:rPr>
        <w:t>Education and Care Services National Regulations</w:t>
      </w:r>
      <w:del w:id="904" w:author="Master Repository Process" w:date="2022-02-07T09:53:00Z">
        <w:r>
          <w:rPr>
            <w:i/>
            <w:noProof/>
          </w:rPr>
          <w:delText> </w:delText>
        </w:r>
      </w:del>
      <w:ins w:id="905" w:author="Master Repository Process" w:date="2022-02-07T09:53:00Z">
        <w:r>
          <w:rPr>
            <w:i/>
            <w:noProof/>
          </w:rPr>
          <w:t xml:space="preserve"> </w:t>
        </w:r>
      </w:ins>
      <w:r>
        <w:rPr>
          <w:i/>
          <w:noProof/>
        </w:rPr>
        <w:t>2012</w:t>
      </w:r>
      <w:r>
        <w:t xml:space="preserve"> and includes amendments made by other written laws. For provisions that have come into operation, and for information about any reprints, see the compilation table. </w:t>
      </w:r>
      <w:ins w:id="906" w:author="Master Repository Process" w:date="2022-02-07T09:53:00Z">
        <w:r>
          <w:t>For provisions that have not yet come into operation see the uncommenced provisions table.</w:t>
        </w:r>
      </w:ins>
    </w:p>
    <w:p>
      <w:pPr>
        <w:pStyle w:val="nHeading3"/>
      </w:pPr>
      <w:bookmarkStart w:id="907" w:name="_Toc95120309"/>
      <w:bookmarkStart w:id="908" w:name="_Toc95119273"/>
      <w:r>
        <w:t>Compilation table</w:t>
      </w:r>
      <w:bookmarkEnd w:id="907"/>
      <w:bookmarkEnd w:id="908"/>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3"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9"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3"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3"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3"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3" w:type="dxa"/>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rPr>
          <w:cantSplit/>
        </w:trPr>
        <w:tc>
          <w:tcPr>
            <w:tcW w:w="3119" w:type="dxa"/>
            <w:tcBorders>
              <w:top w:val="nil"/>
              <w:bottom w:val="nil"/>
            </w:tcBorders>
            <w:shd w:val="clear" w:color="auto" w:fill="auto"/>
          </w:tcPr>
          <w:p>
            <w:pPr>
              <w:pStyle w:val="nTable"/>
              <w:spacing w:after="40"/>
              <w:rPr>
                <w:i/>
              </w:rPr>
            </w:pPr>
            <w:r>
              <w:rPr>
                <w:i/>
              </w:rPr>
              <w:t>Education and Care Services National Amendment Regulations 2017</w:t>
            </w:r>
          </w:p>
        </w:tc>
        <w:tc>
          <w:tcPr>
            <w:tcW w:w="1276" w:type="dxa"/>
            <w:tcBorders>
              <w:top w:val="nil"/>
              <w:bottom w:val="nil"/>
            </w:tcBorders>
            <w:shd w:val="clear" w:color="auto" w:fill="auto"/>
          </w:tcPr>
          <w:p>
            <w:pPr>
              <w:pStyle w:val="nTable"/>
              <w:spacing w:after="40"/>
            </w:pPr>
            <w:r>
              <w:t>3 Nov 2017 p. 5481</w:t>
            </w:r>
            <w:r>
              <w:noBreakHyphen/>
              <w:t>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pPr>
              <w:pStyle w:val="nTable"/>
              <w:spacing w:after="40"/>
            </w:pPr>
            <w:r>
              <w:t>23 Jan 2018 p. 247</w:t>
            </w:r>
            <w:r>
              <w:noBreakHyphen/>
              <w:t>58</w:t>
            </w:r>
          </w:p>
        </w:tc>
        <w:tc>
          <w:tcPr>
            <w:tcW w:w="2693" w:type="dxa"/>
            <w:tcBorders>
              <w:top w:val="nil"/>
              <w:bottom w:val="nil"/>
            </w:tcBorders>
            <w:shd w:val="clear" w:color="auto" w:fill="auto"/>
          </w:tcPr>
          <w:p>
            <w:pPr>
              <w:pStyle w:val="nTable"/>
              <w:spacing w:after="40"/>
              <w:rPr>
                <w:bCs/>
                <w:snapToGrid w:val="0"/>
                <w:spacing w:val="-2"/>
              </w:rPr>
            </w:pPr>
            <w:r>
              <w:t>1 Feb 2018 (see r. 2(b)(i))</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2018</w:t>
            </w:r>
          </w:p>
        </w:tc>
        <w:tc>
          <w:tcPr>
            <w:tcW w:w="1276" w:type="dxa"/>
            <w:tcBorders>
              <w:top w:val="nil"/>
              <w:bottom w:val="nil"/>
            </w:tcBorders>
            <w:shd w:val="clear" w:color="auto" w:fill="auto"/>
          </w:tcPr>
          <w:p>
            <w:pPr>
              <w:pStyle w:val="nTable"/>
              <w:spacing w:after="40"/>
            </w:pPr>
            <w:r>
              <w:t>26 Jun 2018 p. 2358</w:t>
            </w:r>
            <w:r>
              <w:noBreakHyphen/>
              <w:t>9</w:t>
            </w:r>
          </w:p>
        </w:tc>
        <w:tc>
          <w:tcPr>
            <w:tcW w:w="2693" w:type="dxa"/>
            <w:tcBorders>
              <w:top w:val="nil"/>
              <w:bottom w:val="nil"/>
            </w:tcBorders>
            <w:shd w:val="clear" w:color="auto" w:fill="auto"/>
          </w:tcPr>
          <w:p>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2018</w:t>
            </w:r>
            <w:r>
              <w:t xml:space="preserve"> </w:t>
            </w:r>
          </w:p>
        </w:tc>
        <w:tc>
          <w:tcPr>
            <w:tcW w:w="1276" w:type="dxa"/>
            <w:tcBorders>
              <w:top w:val="nil"/>
              <w:bottom w:val="nil"/>
            </w:tcBorders>
            <w:shd w:val="clear" w:color="auto" w:fill="auto"/>
          </w:tcPr>
          <w:p>
            <w:pPr>
              <w:pStyle w:val="nTable"/>
              <w:spacing w:after="40"/>
            </w:pPr>
            <w:r>
              <w:t>28 Sep 2018 p. 3601</w:t>
            </w:r>
            <w:r>
              <w:noBreakHyphen/>
              <w:t>58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2019</w:t>
            </w:r>
          </w:p>
        </w:tc>
        <w:tc>
          <w:tcPr>
            <w:tcW w:w="1276" w:type="dxa"/>
            <w:tcBorders>
              <w:top w:val="nil"/>
              <w:bottom w:val="nil"/>
            </w:tcBorders>
            <w:shd w:val="clear" w:color="auto" w:fill="auto"/>
          </w:tcPr>
          <w:p>
            <w:pPr>
              <w:pStyle w:val="nTable"/>
              <w:spacing w:after="40"/>
            </w:pPr>
            <w:r>
              <w:t>24 Dec 2019 p. 4422</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24 Dec 2019 (see r. 2(a)); </w:t>
            </w:r>
            <w:r>
              <w:rPr>
                <w:bCs/>
                <w:snapToGrid w:val="0"/>
                <w:spacing w:val="-2"/>
              </w:rPr>
              <w:br/>
              <w:t>Regulations other than r. 1 and 2 and 16(2), (3) and (4): 31 Dec 2019 (see r. 2(c));</w:t>
            </w:r>
            <w:r>
              <w:rPr>
                <w:bCs/>
                <w:snapToGrid w:val="0"/>
                <w:spacing w:val="-2"/>
              </w:rPr>
              <w:br/>
              <w:t>r. 16(2), (3) and (4): 1 Jul 2020 (see r. 2(b))</w:t>
            </w:r>
          </w:p>
        </w:tc>
      </w:tr>
      <w:tr>
        <w:trPr>
          <w:ins w:id="909" w:author="Master Repository Process" w:date="2022-02-07T09:53:00Z"/>
        </w:trPr>
        <w:tc>
          <w:tcPr>
            <w:tcW w:w="3119" w:type="dxa"/>
            <w:tcBorders>
              <w:top w:val="nil"/>
              <w:bottom w:val="single" w:sz="4" w:space="0" w:color="auto"/>
            </w:tcBorders>
            <w:shd w:val="clear" w:color="auto" w:fill="auto"/>
          </w:tcPr>
          <w:p>
            <w:pPr>
              <w:pStyle w:val="nTable"/>
              <w:spacing w:after="40"/>
              <w:rPr>
                <w:ins w:id="910" w:author="Master Repository Process" w:date="2022-02-07T09:53:00Z"/>
                <w:i/>
              </w:rPr>
            </w:pPr>
            <w:ins w:id="911" w:author="Master Repository Process" w:date="2022-02-07T09:53:00Z">
              <w:r>
                <w:rPr>
                  <w:i/>
                </w:rPr>
                <w:t xml:space="preserve">Education and Care Services National Amendment Regulations 2020 </w:t>
              </w:r>
              <w:r>
                <w:t>(other than r. 4, 6-9 and 11)</w:t>
              </w:r>
            </w:ins>
          </w:p>
        </w:tc>
        <w:tc>
          <w:tcPr>
            <w:tcW w:w="1276" w:type="dxa"/>
            <w:tcBorders>
              <w:top w:val="nil"/>
              <w:bottom w:val="single" w:sz="4" w:space="0" w:color="auto"/>
            </w:tcBorders>
            <w:shd w:val="clear" w:color="auto" w:fill="auto"/>
          </w:tcPr>
          <w:p>
            <w:pPr>
              <w:pStyle w:val="nTable"/>
              <w:spacing w:after="40"/>
              <w:rPr>
                <w:ins w:id="912" w:author="Master Repository Process" w:date="2022-02-07T09:53:00Z"/>
              </w:rPr>
            </w:pPr>
            <w:ins w:id="913" w:author="Master Repository Process" w:date="2022-02-07T09:53:00Z">
              <w:r>
                <w:t>SL 2020/143 28 Aug 2020</w:t>
              </w:r>
            </w:ins>
          </w:p>
        </w:tc>
        <w:tc>
          <w:tcPr>
            <w:tcW w:w="2693" w:type="dxa"/>
            <w:tcBorders>
              <w:top w:val="nil"/>
              <w:bottom w:val="single" w:sz="4" w:space="0" w:color="auto"/>
            </w:tcBorders>
            <w:shd w:val="clear" w:color="auto" w:fill="auto"/>
          </w:tcPr>
          <w:p>
            <w:pPr>
              <w:pStyle w:val="nTable"/>
              <w:spacing w:after="40"/>
              <w:rPr>
                <w:ins w:id="914" w:author="Master Repository Process" w:date="2022-02-07T09:53:00Z"/>
                <w:bCs/>
                <w:snapToGrid w:val="0"/>
                <w:spacing w:val="-2"/>
              </w:rPr>
            </w:pPr>
            <w:ins w:id="915" w:author="Master Repository Process" w:date="2022-02-07T09:53:00Z">
              <w:r>
                <w:rPr>
                  <w:bCs/>
                  <w:snapToGrid w:val="0"/>
                  <w:spacing w:val="-2"/>
                </w:rPr>
                <w:t>r. 1 and 2: 28 Aug 2020 (see r. 2(a));</w:t>
              </w:r>
              <w:r>
                <w:rPr>
                  <w:bCs/>
                  <w:snapToGrid w:val="0"/>
                  <w:spacing w:val="-2"/>
                </w:rPr>
                <w:br/>
                <w:t>r. 3, 5 and 10: 1 Sep 2020 (see r. 2(b))</w:t>
              </w:r>
            </w:ins>
          </w:p>
        </w:tc>
      </w:tr>
    </w:tbl>
    <w:p>
      <w:pPr>
        <w:pStyle w:val="nHeading3"/>
        <w:rPr>
          <w:ins w:id="916" w:author="Master Repository Process" w:date="2022-02-07T09:53:00Z"/>
        </w:rPr>
      </w:pPr>
      <w:bookmarkStart w:id="917" w:name="_Toc95120310"/>
      <w:ins w:id="918" w:author="Master Repository Process" w:date="2022-02-07T09:53:00Z">
        <w:r>
          <w:t>Uncommenced provisions table</w:t>
        </w:r>
        <w:bookmarkEnd w:id="917"/>
      </w:ins>
    </w:p>
    <w:p>
      <w:pPr>
        <w:pStyle w:val="nStatement"/>
        <w:keepNext/>
        <w:spacing w:after="240"/>
        <w:rPr>
          <w:ins w:id="919" w:author="Master Repository Process" w:date="2022-02-07T09:53:00Z"/>
        </w:rPr>
      </w:pPr>
      <w:ins w:id="920" w:author="Master Repository Process" w:date="2022-02-07T09:53: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921" w:author="Master Repository Process" w:date="2022-02-07T09:53:00Z"/>
        </w:trPr>
        <w:tc>
          <w:tcPr>
            <w:tcW w:w="3118" w:type="dxa"/>
          </w:tcPr>
          <w:p>
            <w:pPr>
              <w:pStyle w:val="nTable"/>
              <w:spacing w:after="40"/>
              <w:rPr>
                <w:ins w:id="922" w:author="Master Repository Process" w:date="2022-02-07T09:53:00Z"/>
                <w:b/>
              </w:rPr>
            </w:pPr>
            <w:ins w:id="923" w:author="Master Repository Process" w:date="2022-02-07T09:53:00Z">
              <w:r>
                <w:rPr>
                  <w:b/>
                </w:rPr>
                <w:t>Citation</w:t>
              </w:r>
            </w:ins>
          </w:p>
        </w:tc>
        <w:tc>
          <w:tcPr>
            <w:tcW w:w="1276" w:type="dxa"/>
          </w:tcPr>
          <w:p>
            <w:pPr>
              <w:pStyle w:val="nTable"/>
              <w:spacing w:after="40"/>
              <w:rPr>
                <w:ins w:id="924" w:author="Master Repository Process" w:date="2022-02-07T09:53:00Z"/>
                <w:b/>
              </w:rPr>
            </w:pPr>
            <w:ins w:id="925" w:author="Master Repository Process" w:date="2022-02-07T09:53:00Z">
              <w:r>
                <w:rPr>
                  <w:b/>
                </w:rPr>
                <w:t>Published</w:t>
              </w:r>
            </w:ins>
          </w:p>
        </w:tc>
        <w:tc>
          <w:tcPr>
            <w:tcW w:w="2693" w:type="dxa"/>
          </w:tcPr>
          <w:p>
            <w:pPr>
              <w:pStyle w:val="nTable"/>
              <w:spacing w:after="40"/>
              <w:rPr>
                <w:ins w:id="926" w:author="Master Repository Process" w:date="2022-02-07T09:53:00Z"/>
                <w:b/>
              </w:rPr>
            </w:pPr>
            <w:ins w:id="927" w:author="Master Repository Process" w:date="2022-02-07T09:53:00Z">
              <w:r>
                <w:rPr>
                  <w:b/>
                </w:rPr>
                <w:t>Commencement</w:t>
              </w:r>
            </w:ins>
          </w:p>
        </w:tc>
      </w:tr>
      <w:tr>
        <w:trPr>
          <w:ins w:id="928" w:author="Master Repository Process" w:date="2022-02-07T09:53:00Z"/>
        </w:trPr>
        <w:tc>
          <w:tcPr>
            <w:tcW w:w="3118" w:type="dxa"/>
          </w:tcPr>
          <w:p>
            <w:pPr>
              <w:pStyle w:val="nTable"/>
              <w:spacing w:after="40"/>
              <w:rPr>
                <w:ins w:id="929" w:author="Master Repository Process" w:date="2022-02-07T09:53:00Z"/>
              </w:rPr>
            </w:pPr>
            <w:ins w:id="930" w:author="Master Repository Process" w:date="2022-02-07T09:53:00Z">
              <w:r>
                <w:rPr>
                  <w:i/>
                </w:rPr>
                <w:t>Education and Care Services National Amendment Regulations 2020</w:t>
              </w:r>
              <w:r>
                <w:rPr>
                  <w:i/>
                </w:rPr>
                <w:br/>
              </w:r>
              <w:r>
                <w:t>r. 4, 6-9 and 11</w:t>
              </w:r>
            </w:ins>
          </w:p>
        </w:tc>
        <w:tc>
          <w:tcPr>
            <w:tcW w:w="1276" w:type="dxa"/>
          </w:tcPr>
          <w:p>
            <w:pPr>
              <w:pStyle w:val="nTable"/>
              <w:spacing w:after="40"/>
              <w:rPr>
                <w:ins w:id="931" w:author="Master Repository Process" w:date="2022-02-07T09:53:00Z"/>
              </w:rPr>
            </w:pPr>
            <w:ins w:id="932" w:author="Master Repository Process" w:date="2022-02-07T09:53:00Z">
              <w:r>
                <w:t>SL 2020/143 28 Aug 2020</w:t>
              </w:r>
            </w:ins>
          </w:p>
        </w:tc>
        <w:tc>
          <w:tcPr>
            <w:tcW w:w="2693" w:type="dxa"/>
          </w:tcPr>
          <w:p>
            <w:pPr>
              <w:pStyle w:val="nTable"/>
              <w:spacing w:after="40"/>
              <w:rPr>
                <w:ins w:id="933" w:author="Master Repository Process" w:date="2022-02-07T09:53:00Z"/>
              </w:rPr>
            </w:pPr>
            <w:ins w:id="934" w:author="Master Repository Process" w:date="2022-02-07T09:53:00Z">
              <w:r>
                <w:t>1 Oct 2020 (see r. 2(c))</w:t>
              </w:r>
            </w:ins>
          </w:p>
        </w:tc>
      </w:tr>
    </w:tbl>
    <w:p>
      <w:pPr>
        <w:pStyle w:val="nHeading3"/>
      </w:pPr>
      <w:bookmarkStart w:id="935" w:name="_Toc95120311"/>
      <w:bookmarkStart w:id="936" w:name="_Toc95119274"/>
      <w:r>
        <w:t>Other notes</w:t>
      </w:r>
      <w:bookmarkEnd w:id="935"/>
      <w:bookmarkEnd w:id="936"/>
    </w:p>
    <w:p>
      <w:pPr>
        <w:pStyle w:val="nNote"/>
      </w:pPr>
      <w:r>
        <w:rPr>
          <w:vertAlign w:val="superscript"/>
        </w:rPr>
        <w:t>1</w:t>
      </w:r>
      <w:r>
        <w:tab/>
        <w:t xml:space="preserve">The short title of this Act was changed to the </w:t>
      </w:r>
      <w:r>
        <w:rPr>
          <w:i/>
        </w:rPr>
        <w:t xml:space="preserve">Administrative Decisions Review Act 1997 </w:t>
      </w:r>
      <w:r>
        <w:t xml:space="preserve">by the </w:t>
      </w:r>
      <w:r>
        <w:rPr>
          <w:i/>
          <w:iCs/>
        </w:rPr>
        <w:t>Civil and Administrative Tribunal Amendment Act 2013</w:t>
      </w:r>
      <w:r>
        <w:t xml:space="preserve"> (NSW) Sch. 2.</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897" w:name="Schedule"/>
    <w:bookmarkEnd w:id="8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37" w:name="Compilation"/>
    <w:bookmarkEnd w:id="93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38" w:name="Coversheet"/>
    <w:bookmarkEnd w:id="9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207094348"/>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00617103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03650_GUID" w:val="958ba41f-9d93-45c3-a96a-4f5dc8b021c1"/>
    <w:docVar w:name="WAFER_202202070943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7094348_GUID" w:val="e12fca64-0559-4de9-a854-30de1d36c2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8311DB3-D561-4539-BEBA-346F2C50B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BE1E0F-94A3-4C43-87CF-AF95839C8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57923</Words>
  <Characters>298885</Characters>
  <Application>Microsoft Office Word</Application>
  <DocSecurity>0</DocSecurity>
  <Lines>8302</Lines>
  <Paragraphs>4633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01-l0-01 - 01-m0-01</dc:title>
  <dc:subject/>
  <dc:creator/>
  <cp:keywords/>
  <dc:description/>
  <cp:lastModifiedBy>Master Repository Process</cp:lastModifiedBy>
  <cp:revision>2</cp:revision>
  <cp:lastPrinted>2018-09-28T07:16:00Z</cp:lastPrinted>
  <dcterms:created xsi:type="dcterms:W3CDTF">2022-02-07T01:53:00Z</dcterms:created>
  <dcterms:modified xsi:type="dcterms:W3CDTF">2022-02-07T01:53:00Z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CommencementDate">
    <vt:lpwstr>20200901</vt:lpwstr>
  </property>
  <property fmtid="{D5CDD505-2E9C-101B-9397-08002B2CF9AE}" pid="7" name="FromSuffix">
    <vt:lpwstr>01-l0-01</vt:lpwstr>
  </property>
  <property fmtid="{D5CDD505-2E9C-101B-9397-08002B2CF9AE}" pid="8" name="FromAsAtDate">
    <vt:lpwstr>01 Jul 2020</vt:lpwstr>
  </property>
  <property fmtid="{D5CDD505-2E9C-101B-9397-08002B2CF9AE}" pid="9" name="ToSuffix">
    <vt:lpwstr>01-m0-01</vt:lpwstr>
  </property>
  <property fmtid="{D5CDD505-2E9C-101B-9397-08002B2CF9AE}" pid="10" name="ToAsAtDate">
    <vt:lpwstr>01 Sep 2020</vt:lpwstr>
  </property>
</Properties>
</file>