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2020</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480"/>
      </w:pPr>
      <w:r>
        <w:lastRenderedPageBreak/>
        <w:t>Petroleum Products Pricing Act 1983</w:t>
      </w:r>
    </w:p>
    <w:p>
      <w:pPr>
        <w:pStyle w:val="NameofActReg"/>
        <w:spacing w:before="600" w:after="360"/>
      </w:pPr>
      <w:r>
        <w:t>Petroleum Products Pricing Regulations 2000</w:t>
      </w:r>
    </w:p>
    <w:p>
      <w:pPr>
        <w:pStyle w:val="Heading2"/>
        <w:pageBreakBefore w:val="0"/>
        <w:spacing w:before="480"/>
      </w:pPr>
      <w:bookmarkStart w:id="1" w:name="_Toc51677529"/>
      <w:bookmarkStart w:id="2" w:name="_Toc51677783"/>
      <w:bookmarkStart w:id="3" w:name="_Toc51841644"/>
      <w:bookmarkStart w:id="4" w:name="_Toc37240541"/>
      <w:bookmarkStart w:id="5" w:name="_Toc37241409"/>
      <w:bookmarkStart w:id="6" w:name="_Toc37241944"/>
      <w:bookmarkStart w:id="7" w:name="_Toc37254850"/>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Footnoteheading"/>
      </w:pPr>
      <w:r>
        <w:tab/>
        <w:t>[Heading inserted: Gazette 11 Jul 2001 p. 3459.]</w:t>
      </w:r>
    </w:p>
    <w:p>
      <w:pPr>
        <w:pStyle w:val="Heading5"/>
      </w:pPr>
      <w:bookmarkStart w:id="9" w:name="_Toc51841645"/>
      <w:bookmarkStart w:id="10" w:name="_Toc37254851"/>
      <w:r>
        <w:rPr>
          <w:rStyle w:val="CharSectno"/>
        </w:rPr>
        <w:t>1</w:t>
      </w:r>
      <w:r>
        <w:t>.</w:t>
      </w:r>
      <w:r>
        <w:tab/>
        <w:t>Citation</w:t>
      </w:r>
      <w:bookmarkEnd w:id="9"/>
      <w:bookmarkEnd w:id="10"/>
    </w:p>
    <w:p>
      <w:pPr>
        <w:pStyle w:val="Subsection"/>
        <w:rPr>
          <w:i/>
        </w:rPr>
      </w:pPr>
      <w:r>
        <w:tab/>
      </w:r>
      <w:r>
        <w:tab/>
      </w:r>
      <w:r>
        <w:rPr>
          <w:spacing w:val="-2"/>
        </w:rPr>
        <w:t>These regulations</w:t>
      </w:r>
      <w:r>
        <w:t xml:space="preserve"> may be cited as the </w:t>
      </w:r>
      <w:r>
        <w:rPr>
          <w:i/>
        </w:rPr>
        <w:t>Petroleum Products Pricing Regulations 2000</w:t>
      </w:r>
      <w:r>
        <w:t>.</w:t>
      </w:r>
    </w:p>
    <w:p>
      <w:pPr>
        <w:pStyle w:val="Heading5"/>
        <w:rPr>
          <w:spacing w:val="-2"/>
        </w:rPr>
      </w:pPr>
      <w:bookmarkStart w:id="11" w:name="_Toc51841646"/>
      <w:bookmarkStart w:id="12" w:name="_Toc3725485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pPr>
        <w:pStyle w:val="Heading5"/>
      </w:pPr>
      <w:bookmarkStart w:id="13" w:name="_Toc51841647"/>
      <w:bookmarkStart w:id="14" w:name="_Toc37254853"/>
      <w:r>
        <w:rPr>
          <w:rStyle w:val="CharSectno"/>
        </w:rPr>
        <w:t>2AA</w:t>
      </w:r>
      <w:r>
        <w:t>.</w:t>
      </w:r>
      <w:r>
        <w:tab/>
        <w:t>Terms used</w:t>
      </w:r>
      <w:bookmarkEnd w:id="13"/>
      <w:bookmarkEnd w:id="14"/>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15" w:name="_Toc51677533"/>
      <w:bookmarkStart w:id="16" w:name="_Toc51677787"/>
      <w:bookmarkStart w:id="17" w:name="_Toc51841648"/>
      <w:bookmarkStart w:id="18" w:name="_Toc37240545"/>
      <w:bookmarkStart w:id="19" w:name="_Toc37241413"/>
      <w:bookmarkStart w:id="20" w:name="_Toc37241948"/>
      <w:bookmarkStart w:id="21" w:name="_Toc37254854"/>
      <w:r>
        <w:rPr>
          <w:rStyle w:val="CharPartNo"/>
        </w:rPr>
        <w:t>Part 2</w:t>
      </w:r>
      <w:r>
        <w:t> — </w:t>
      </w:r>
      <w:r>
        <w:rPr>
          <w:rStyle w:val="CharPartText"/>
        </w:rPr>
        <w:t>Special provisions about motor fuel</w:t>
      </w:r>
      <w:bookmarkEnd w:id="15"/>
      <w:bookmarkEnd w:id="16"/>
      <w:bookmarkEnd w:id="17"/>
      <w:bookmarkEnd w:id="18"/>
      <w:bookmarkEnd w:id="19"/>
      <w:bookmarkEnd w:id="20"/>
      <w:bookmarkEnd w:id="21"/>
    </w:p>
    <w:p>
      <w:pPr>
        <w:pStyle w:val="Footnoteheading"/>
      </w:pPr>
      <w:r>
        <w:tab/>
        <w:t>[Heading inserted: Gazette 11 Jul 2001 p. 3459.]</w:t>
      </w:r>
    </w:p>
    <w:p>
      <w:pPr>
        <w:pStyle w:val="Heading3"/>
      </w:pPr>
      <w:bookmarkStart w:id="22" w:name="_Toc51677534"/>
      <w:bookmarkStart w:id="23" w:name="_Toc51677788"/>
      <w:bookmarkStart w:id="24" w:name="_Toc51841649"/>
      <w:bookmarkStart w:id="25" w:name="_Toc37240546"/>
      <w:bookmarkStart w:id="26" w:name="_Toc37241414"/>
      <w:bookmarkStart w:id="27" w:name="_Toc37241949"/>
      <w:bookmarkStart w:id="28" w:name="_Toc37254855"/>
      <w:r>
        <w:rPr>
          <w:rStyle w:val="CharDivNo"/>
        </w:rPr>
        <w:t>Division 1</w:t>
      </w:r>
      <w:r>
        <w:t> — </w:t>
      </w:r>
      <w:r>
        <w:rPr>
          <w:rStyle w:val="CharDivText"/>
        </w:rPr>
        <w:t>Retail sale</w:t>
      </w:r>
      <w:bookmarkEnd w:id="22"/>
      <w:bookmarkEnd w:id="23"/>
      <w:bookmarkEnd w:id="24"/>
      <w:bookmarkEnd w:id="25"/>
      <w:bookmarkEnd w:id="26"/>
      <w:bookmarkEnd w:id="27"/>
      <w:bookmarkEnd w:id="28"/>
    </w:p>
    <w:p>
      <w:pPr>
        <w:pStyle w:val="Footnoteheading"/>
      </w:pPr>
      <w:r>
        <w:tab/>
        <w:t>[Heading inserted: Gazette 11 Jul 2001 p. 3459.]</w:t>
      </w:r>
    </w:p>
    <w:p>
      <w:pPr>
        <w:pStyle w:val="Heading5"/>
      </w:pPr>
      <w:bookmarkStart w:id="29" w:name="_Toc51841650"/>
      <w:bookmarkStart w:id="30" w:name="_Toc37254856"/>
      <w:r>
        <w:rPr>
          <w:rStyle w:val="CharSectno"/>
        </w:rPr>
        <w:t>2A</w:t>
      </w:r>
      <w:r>
        <w:t>.</w:t>
      </w:r>
      <w:r>
        <w:tab/>
        <w:t>Terms used</w:t>
      </w:r>
      <w:bookmarkEnd w:id="29"/>
      <w:bookmarkEnd w:id="30"/>
    </w:p>
    <w:p>
      <w:pPr>
        <w:pStyle w:val="Subsection"/>
      </w:pPr>
      <w:r>
        <w:tab/>
      </w:r>
      <w:r>
        <w:tab/>
        <w:t xml:space="preserve">In this Division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an exempt sale.</w:t>
      </w:r>
    </w:p>
    <w:p>
      <w:pPr>
        <w:pStyle w:val="Footnotesection"/>
      </w:pPr>
      <w:r>
        <w:tab/>
        <w:t>[Regulation 2A inserted: Gazette 23 Aug 2001 p. 4379; amended: SL 2020/34 r. 4.]</w:t>
      </w:r>
    </w:p>
    <w:p>
      <w:pPr>
        <w:pStyle w:val="Heading5"/>
      </w:pPr>
      <w:bookmarkStart w:id="31" w:name="_Toc51841651"/>
      <w:bookmarkStart w:id="32" w:name="_Toc37254857"/>
      <w:r>
        <w:rPr>
          <w:rStyle w:val="CharSectno"/>
        </w:rPr>
        <w:t>3</w:t>
      </w:r>
      <w:r>
        <w:t>.</w:t>
      </w:r>
      <w:r>
        <w:tab/>
        <w:t>Standard retail price to be as notified</w:t>
      </w:r>
      <w:bookmarkEnd w:id="31"/>
      <w:bookmarkEnd w:id="32"/>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33" w:name="_Toc51841652"/>
      <w:bookmarkStart w:id="34" w:name="_Toc37254858"/>
      <w:r>
        <w:rPr>
          <w:rStyle w:val="CharSectno"/>
        </w:rPr>
        <w:t>3A</w:t>
      </w:r>
      <w:r>
        <w:t>.</w:t>
      </w:r>
      <w:r>
        <w:tab/>
        <w:t>Requirements for giving notification</w:t>
      </w:r>
      <w:bookmarkEnd w:id="33"/>
      <w:bookmarkEnd w:id="34"/>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using the FuelWatch website at &lt;www.fuelwatch.wa.gov.au&gt;.</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 SL 2020/34 r. 5.]</w:t>
      </w:r>
    </w:p>
    <w:p>
      <w:pPr>
        <w:pStyle w:val="Heading5"/>
      </w:pPr>
      <w:bookmarkStart w:id="35" w:name="_Toc51841653"/>
      <w:bookmarkStart w:id="36" w:name="_Toc37254859"/>
      <w:r>
        <w:rPr>
          <w:rStyle w:val="CharSectno"/>
        </w:rPr>
        <w:t>4</w:t>
      </w:r>
      <w:r>
        <w:t>.</w:t>
      </w:r>
      <w:r>
        <w:tab/>
        <w:t>Price changes in certain places need not be notified</w:t>
      </w:r>
      <w:bookmarkEnd w:id="35"/>
      <w:bookmarkEnd w:id="36"/>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37" w:name="_Toc51841654"/>
      <w:bookmarkStart w:id="38" w:name="_Toc37254860"/>
      <w:r>
        <w:rPr>
          <w:rStyle w:val="CharSectno"/>
        </w:rPr>
        <w:t>5</w:t>
      </w:r>
      <w:r>
        <w:t>.</w:t>
      </w:r>
      <w:r>
        <w:tab/>
        <w:t>Places where regulation 6 applies</w:t>
      </w:r>
      <w:bookmarkEnd w:id="37"/>
      <w:bookmarkEnd w:id="38"/>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39" w:name="_Toc51841655"/>
      <w:bookmarkStart w:id="40" w:name="_Toc37254861"/>
      <w:r>
        <w:rPr>
          <w:rStyle w:val="CharSectno"/>
        </w:rPr>
        <w:t>6</w:t>
      </w:r>
      <w:r>
        <w:t>.</w:t>
      </w:r>
      <w:r>
        <w:tab/>
        <w:t>Retailer to display retail prices</w:t>
      </w:r>
      <w:bookmarkEnd w:id="39"/>
      <w:bookmarkEnd w:id="40"/>
    </w:p>
    <w:p>
      <w:pPr>
        <w:pStyle w:val="Subsection"/>
        <w:spacing w:before="120"/>
      </w:pPr>
      <w:r>
        <w:tab/>
        <w:t>(1)</w:t>
      </w:r>
      <w:r>
        <w:tab/>
        <w:t>A person who offers motor fuel for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pPr>
        <w:pStyle w:val="Heading3"/>
      </w:pPr>
      <w:bookmarkStart w:id="41" w:name="_Toc51677541"/>
      <w:bookmarkStart w:id="42" w:name="_Toc51677795"/>
      <w:bookmarkStart w:id="43" w:name="_Toc51841656"/>
      <w:bookmarkStart w:id="44" w:name="_Toc37240553"/>
      <w:bookmarkStart w:id="45" w:name="_Toc37241421"/>
      <w:bookmarkStart w:id="46" w:name="_Toc37241956"/>
      <w:bookmarkStart w:id="47" w:name="_Toc37254862"/>
      <w:r>
        <w:rPr>
          <w:rStyle w:val="CharDivNo"/>
        </w:rPr>
        <w:t>Division 2</w:t>
      </w:r>
      <w:r>
        <w:t> — </w:t>
      </w:r>
      <w:r>
        <w:rPr>
          <w:rStyle w:val="CharDivText"/>
        </w:rPr>
        <w:t>Before retail sale</w:t>
      </w:r>
      <w:bookmarkEnd w:id="41"/>
      <w:bookmarkEnd w:id="42"/>
      <w:bookmarkEnd w:id="43"/>
      <w:bookmarkEnd w:id="44"/>
      <w:bookmarkEnd w:id="45"/>
      <w:bookmarkEnd w:id="46"/>
      <w:bookmarkEnd w:id="47"/>
    </w:p>
    <w:p>
      <w:pPr>
        <w:pStyle w:val="Footnoteheading"/>
        <w:keepNext/>
      </w:pPr>
      <w:r>
        <w:tab/>
        <w:t>[Heading inserted: Gazette 11 Jul 2001 p. 3461.]</w:t>
      </w:r>
    </w:p>
    <w:p>
      <w:pPr>
        <w:pStyle w:val="Heading5"/>
      </w:pPr>
      <w:bookmarkStart w:id="48" w:name="_Toc51841657"/>
      <w:bookmarkStart w:id="49" w:name="_Toc37254863"/>
      <w:r>
        <w:rPr>
          <w:rStyle w:val="CharSectno"/>
        </w:rPr>
        <w:t>7</w:t>
      </w:r>
      <w:r>
        <w:t>.</w:t>
      </w:r>
      <w:r>
        <w:tab/>
        <w:t>How to notify Commissioner of price changes</w:t>
      </w:r>
      <w:bookmarkEnd w:id="48"/>
      <w:bookmarkEnd w:id="49"/>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50" w:name="_Toc51841658"/>
      <w:bookmarkStart w:id="51" w:name="_Toc37254864"/>
      <w:r>
        <w:rPr>
          <w:rStyle w:val="CharSectno"/>
        </w:rPr>
        <w:t>9</w:t>
      </w:r>
      <w:r>
        <w:t>.</w:t>
      </w:r>
      <w:r>
        <w:tab/>
        <w:t>Details of price differences</w:t>
      </w:r>
      <w:bookmarkEnd w:id="50"/>
      <w:bookmarkEnd w:id="51"/>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52" w:name="_Toc51841659"/>
      <w:bookmarkStart w:id="53" w:name="_Toc37254865"/>
      <w:r>
        <w:rPr>
          <w:rStyle w:val="CharSectno"/>
        </w:rPr>
        <w:t>10</w:t>
      </w:r>
      <w:r>
        <w:t>.</w:t>
      </w:r>
      <w:r>
        <w:tab/>
        <w:t>Notifying Commissioner of price differences</w:t>
      </w:r>
      <w:bookmarkEnd w:id="52"/>
      <w:bookmarkEnd w:id="53"/>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54" w:name="_Toc51677545"/>
      <w:bookmarkStart w:id="55" w:name="_Toc51677799"/>
      <w:bookmarkStart w:id="56" w:name="_Toc51841660"/>
      <w:bookmarkStart w:id="57" w:name="_Toc37240557"/>
      <w:bookmarkStart w:id="58" w:name="_Toc37241425"/>
      <w:bookmarkStart w:id="59" w:name="_Toc37241960"/>
      <w:bookmarkStart w:id="60" w:name="_Toc37254866"/>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54"/>
      <w:bookmarkEnd w:id="55"/>
      <w:bookmarkEnd w:id="56"/>
      <w:bookmarkEnd w:id="57"/>
      <w:bookmarkEnd w:id="58"/>
      <w:bookmarkEnd w:id="59"/>
      <w:bookmarkEnd w:id="60"/>
    </w:p>
    <w:p>
      <w:pPr>
        <w:pStyle w:val="Footnoteheading"/>
      </w:pPr>
      <w:r>
        <w:tab/>
        <w:t>[Heading inserted: Gazette 9 Nov 2001 p. 5925.]</w:t>
      </w:r>
    </w:p>
    <w:p>
      <w:pPr>
        <w:pStyle w:val="Heading5"/>
      </w:pPr>
      <w:bookmarkStart w:id="61" w:name="_Toc51841661"/>
      <w:bookmarkStart w:id="62" w:name="_Toc37254867"/>
      <w:r>
        <w:rPr>
          <w:rStyle w:val="CharSectno"/>
        </w:rPr>
        <w:t>11</w:t>
      </w:r>
      <w:r>
        <w:t>.</w:t>
      </w:r>
      <w:r>
        <w:tab/>
        <w:t>Prescribed offences (s. 31B)</w:t>
      </w:r>
      <w:bookmarkEnd w:id="61"/>
      <w:bookmarkEnd w:id="62"/>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63" w:name="_Toc51841662"/>
      <w:bookmarkStart w:id="64" w:name="_Toc37254868"/>
      <w:r>
        <w:rPr>
          <w:rStyle w:val="CharSectno"/>
        </w:rPr>
        <w:t>12</w:t>
      </w:r>
      <w:r>
        <w:t>.</w:t>
      </w:r>
      <w:r>
        <w:tab/>
        <w:t>Prescribed modified penalties (s. 31C)</w:t>
      </w:r>
      <w:bookmarkEnd w:id="63"/>
      <w:bookmarkEnd w:id="64"/>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65" w:name="_Toc51841663"/>
      <w:bookmarkStart w:id="66" w:name="_Toc37254869"/>
      <w:r>
        <w:rPr>
          <w:rStyle w:val="CharSectno"/>
        </w:rPr>
        <w:t>13</w:t>
      </w:r>
      <w:r>
        <w:t>.</w:t>
      </w:r>
      <w:r>
        <w:tab/>
        <w:t>Prescribed form of infringement notice (s. 31C)</w:t>
      </w:r>
      <w:bookmarkEnd w:id="65"/>
      <w:bookmarkEnd w:id="66"/>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67" w:name="_Toc51841664"/>
      <w:bookmarkStart w:id="68" w:name="_Toc37254870"/>
      <w:r>
        <w:rPr>
          <w:rStyle w:val="CharSectno"/>
        </w:rPr>
        <w:t>14</w:t>
      </w:r>
      <w:r>
        <w:t>.</w:t>
      </w:r>
      <w:r>
        <w:tab/>
        <w:t>Prescribed form of withdrawal of notice (s. 31E)</w:t>
      </w:r>
      <w:bookmarkEnd w:id="67"/>
      <w:bookmarkEnd w:id="68"/>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9" w:name="_Toc51677550"/>
      <w:bookmarkStart w:id="70" w:name="_Toc51677804"/>
      <w:bookmarkStart w:id="71" w:name="_Toc51841665"/>
      <w:bookmarkStart w:id="72" w:name="_Toc37240562"/>
      <w:bookmarkStart w:id="73" w:name="_Toc37241430"/>
      <w:bookmarkStart w:id="74" w:name="_Toc37241965"/>
      <w:bookmarkStart w:id="75" w:name="_Toc37254871"/>
      <w:r>
        <w:rPr>
          <w:rStyle w:val="CharSchNo"/>
        </w:rPr>
        <w:t>Schedule 1</w:t>
      </w:r>
      <w:r>
        <w:t> — </w:t>
      </w:r>
      <w:r>
        <w:rPr>
          <w:rStyle w:val="CharSchText"/>
        </w:rPr>
        <w:t>Places where regulations 3(1) and 6 apply</w:t>
      </w:r>
      <w:bookmarkEnd w:id="69"/>
      <w:bookmarkEnd w:id="70"/>
      <w:bookmarkEnd w:id="71"/>
      <w:bookmarkEnd w:id="72"/>
      <w:bookmarkEnd w:id="73"/>
      <w:bookmarkEnd w:id="74"/>
      <w:bookmarkEnd w:id="75"/>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Greater Geraldton</w:t>
            </w:r>
          </w:p>
        </w:tc>
      </w:tr>
      <w:tr>
        <w:trPr>
          <w:cantSplit/>
          <w:trHeight w:val="276"/>
        </w:trPr>
        <w:tc>
          <w:tcPr>
            <w:tcW w:w="2552" w:type="dxa"/>
          </w:tcPr>
          <w:p>
            <w:pPr>
              <w:pStyle w:val="yTableNAm"/>
            </w:pPr>
            <w:r>
              <w:t>Augusta</w:t>
            </w:r>
            <w:r>
              <w:noBreakHyphen/>
              <w:t>Margaret River</w:t>
            </w:r>
          </w:p>
        </w:tc>
        <w:tc>
          <w:tcPr>
            <w:tcW w:w="2410" w:type="dxa"/>
          </w:tcPr>
          <w:p>
            <w:pPr>
              <w:pStyle w:val="yTableNAm"/>
            </w:pPr>
            <w:r>
              <w:t>Harvey</w:t>
            </w:r>
          </w:p>
        </w:tc>
      </w:tr>
      <w:tr>
        <w:trPr>
          <w:cantSplit/>
          <w:trHeight w:val="276"/>
        </w:trPr>
        <w:tc>
          <w:tcPr>
            <w:tcW w:w="2552" w:type="dxa"/>
          </w:tcPr>
          <w:p>
            <w:pPr>
              <w:pStyle w:val="yTableNAm"/>
            </w:pPr>
            <w:r>
              <w:t>Bridgetown</w:t>
            </w:r>
            <w:r>
              <w:noBreakHyphen/>
              <w:t>Greenbushes</w:t>
            </w:r>
          </w:p>
        </w:tc>
        <w:tc>
          <w:tcPr>
            <w:tcW w:w="2410" w:type="dxa"/>
          </w:tcPr>
          <w:p>
            <w:pPr>
              <w:pStyle w:val="yTableNAm"/>
            </w:pPr>
            <w:r>
              <w:t>Mandurah</w:t>
            </w:r>
          </w:p>
        </w:tc>
      </w:tr>
      <w:tr>
        <w:trPr>
          <w:cantSplit/>
          <w:trHeight w:val="276"/>
        </w:trPr>
        <w:tc>
          <w:tcPr>
            <w:tcW w:w="2552" w:type="dxa"/>
          </w:tcPr>
          <w:p>
            <w:pPr>
              <w:pStyle w:val="yTableNAm"/>
            </w:pPr>
            <w:r>
              <w:t>Bunbury</w:t>
            </w:r>
          </w:p>
        </w:tc>
        <w:tc>
          <w:tcPr>
            <w:tcW w:w="2410" w:type="dxa"/>
          </w:tcPr>
          <w:p>
            <w:pPr>
              <w:pStyle w:val="yTableNAm"/>
            </w:pPr>
            <w:r>
              <w:t>Manjimup</w:t>
            </w:r>
          </w:p>
        </w:tc>
      </w:tr>
      <w:tr>
        <w:trPr>
          <w:cantSplit/>
          <w:trHeight w:val="276"/>
        </w:trPr>
        <w:tc>
          <w:tcPr>
            <w:tcW w:w="2552" w:type="dxa"/>
          </w:tcPr>
          <w:p>
            <w:pPr>
              <w:pStyle w:val="yTableNAm"/>
            </w:pPr>
            <w:r>
              <w:t>Busselton</w:t>
            </w:r>
          </w:p>
        </w:tc>
        <w:tc>
          <w:tcPr>
            <w:tcW w:w="2410" w:type="dxa"/>
          </w:tcPr>
          <w:p>
            <w:pPr>
              <w:pStyle w:val="yTableNAm"/>
            </w:pPr>
            <w:r>
              <w:t>Murray</w:t>
            </w:r>
          </w:p>
        </w:tc>
      </w:tr>
      <w:tr>
        <w:trPr>
          <w:cantSplit/>
          <w:trHeight w:val="276"/>
        </w:trPr>
        <w:tc>
          <w:tcPr>
            <w:tcW w:w="2552" w:type="dxa"/>
          </w:tcPr>
          <w:p>
            <w:pPr>
              <w:pStyle w:val="yTableNAm"/>
            </w:pPr>
            <w:r>
              <w:t>Capel</w:t>
            </w:r>
          </w:p>
        </w:tc>
        <w:tc>
          <w:tcPr>
            <w:tcW w:w="2410" w:type="dxa"/>
          </w:tcPr>
          <w:p>
            <w:pPr>
              <w:pStyle w:val="yTableNAm"/>
            </w:pPr>
            <w:r>
              <w:rPr>
                <w:szCs w:val="22"/>
              </w:rPr>
              <w:t>Northam</w:t>
            </w:r>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trPr>
        <w:tc>
          <w:tcPr>
            <w:tcW w:w="2552" w:type="dxa"/>
          </w:tcPr>
          <w:p>
            <w:pPr>
              <w:pStyle w:val="yTableNAm"/>
            </w:pPr>
            <w:r>
              <w:t>Donnybrook</w:t>
            </w:r>
            <w:r>
              <w:noBreakHyphen/>
              <w:t>Balingup</w:t>
            </w:r>
          </w:p>
        </w:tc>
        <w:tc>
          <w:tcPr>
            <w:tcW w:w="2410" w:type="dxa"/>
          </w:tcPr>
          <w:p>
            <w:pPr>
              <w:pStyle w:val="yTableNAm"/>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Munglinup</w:t>
            </w:r>
          </w:p>
        </w:tc>
      </w:tr>
      <w:tr>
        <w:trPr>
          <w:cantSplit/>
          <w:trHeight w:val="276"/>
        </w:trPr>
        <w:tc>
          <w:tcPr>
            <w:tcW w:w="2552" w:type="dxa"/>
          </w:tcPr>
          <w:p>
            <w:pPr>
              <w:pStyle w:val="yTableNAm"/>
            </w:pPr>
            <w:r>
              <w:t>Fitzroy Crossing</w:t>
            </w:r>
          </w:p>
        </w:tc>
        <w:tc>
          <w:tcPr>
            <w:tcW w:w="2410" w:type="dxa"/>
          </w:tcPr>
          <w:p>
            <w:pPr>
              <w:pStyle w:val="yTableNAm"/>
              <w:rPr>
                <w:b/>
              </w:rPr>
            </w:pPr>
            <w:r>
              <w:rPr>
                <w:szCs w:val="22"/>
              </w:rPr>
              <w:t>North Bannister</w:t>
            </w:r>
          </w:p>
        </w:tc>
      </w:tr>
      <w:tr>
        <w:trPr>
          <w:cantSplit/>
          <w:trHeight w:val="276"/>
        </w:trPr>
        <w:tc>
          <w:tcPr>
            <w:tcW w:w="2552" w:type="dxa"/>
          </w:tcPr>
          <w:p>
            <w:pPr>
              <w:pStyle w:val="yTableNAm"/>
            </w:pPr>
            <w:r>
              <w:t>Gap Ridge</w:t>
            </w:r>
          </w:p>
        </w:tc>
        <w:tc>
          <w:tcPr>
            <w:tcW w:w="2410" w:type="dxa"/>
          </w:tcPr>
          <w:p>
            <w:pPr>
              <w:pStyle w:val="yTableNAm"/>
            </w:pPr>
            <w:r>
              <w:t xml:space="preserve">Port Denison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Kellerberrin</w:t>
            </w:r>
          </w:p>
        </w:tc>
      </w:tr>
      <w:tr>
        <w:trPr>
          <w:cantSplit/>
          <w:trHeight w:val="276"/>
        </w:trPr>
        <w:tc>
          <w:tcPr>
            <w:tcW w:w="2552" w:type="dxa"/>
          </w:tcPr>
          <w:p>
            <w:pPr>
              <w:pStyle w:val="yTableNAm"/>
            </w:pPr>
            <w:r>
              <w:t>Broome</w:t>
            </w:r>
          </w:p>
        </w:tc>
        <w:tc>
          <w:tcPr>
            <w:tcW w:w="2410" w:type="dxa"/>
          </w:tcPr>
          <w:p>
            <w:pPr>
              <w:pStyle w:val="yTableNAm"/>
            </w:pPr>
            <w:r>
              <w:t>Kojonup</w:t>
            </w:r>
          </w:p>
        </w:tc>
      </w:tr>
      <w:tr>
        <w:trPr>
          <w:cantSplit/>
          <w:trHeight w:val="276"/>
        </w:trPr>
        <w:tc>
          <w:tcPr>
            <w:tcW w:w="2552" w:type="dxa"/>
          </w:tcPr>
          <w:p>
            <w:pPr>
              <w:pStyle w:val="yTableNAm"/>
            </w:pPr>
            <w:r>
              <w:t>Carnarvon</w:t>
            </w:r>
          </w:p>
        </w:tc>
        <w:tc>
          <w:tcPr>
            <w:tcW w:w="2410" w:type="dxa"/>
          </w:tcPr>
          <w:p>
            <w:pPr>
              <w:pStyle w:val="yTableNAm"/>
            </w:pPr>
            <w:r>
              <w:t>Kununurra</w:t>
            </w:r>
          </w:p>
        </w:tc>
      </w:tr>
      <w:tr>
        <w:trPr>
          <w:cantSplit/>
          <w:trHeight w:val="276"/>
        </w:trPr>
        <w:tc>
          <w:tcPr>
            <w:tcW w:w="2552" w:type="dxa"/>
          </w:tcPr>
          <w:p>
            <w:pPr>
              <w:pStyle w:val="yTableNAm"/>
            </w:pPr>
            <w:r>
              <w:t>Collie</w:t>
            </w:r>
          </w:p>
        </w:tc>
        <w:tc>
          <w:tcPr>
            <w:tcW w:w="2410" w:type="dxa"/>
          </w:tcPr>
          <w:p>
            <w:pPr>
              <w:pStyle w:val="yTableNAm"/>
            </w:pPr>
            <w:r>
              <w:t>Meckering</w:t>
            </w:r>
          </w:p>
        </w:tc>
      </w:tr>
      <w:tr>
        <w:trPr>
          <w:cantSplit/>
          <w:trHeight w:val="276"/>
        </w:trPr>
        <w:tc>
          <w:tcPr>
            <w:tcW w:w="2552" w:type="dxa"/>
          </w:tcPr>
          <w:p>
            <w:pPr>
              <w:pStyle w:val="yTableNAm"/>
            </w:pPr>
            <w:r>
              <w:t>Coolgardie</w:t>
            </w:r>
          </w:p>
        </w:tc>
        <w:tc>
          <w:tcPr>
            <w:tcW w:w="2410" w:type="dxa"/>
          </w:tcPr>
          <w:p>
            <w:pPr>
              <w:pStyle w:val="yTableNAm"/>
            </w:pPr>
            <w:r>
              <w:t>Meekatharra</w:t>
            </w:r>
          </w:p>
        </w:tc>
      </w:tr>
      <w:tr>
        <w:trPr>
          <w:cantSplit/>
          <w:trHeight w:val="276"/>
        </w:trPr>
        <w:tc>
          <w:tcPr>
            <w:tcW w:w="2552" w:type="dxa"/>
          </w:tcPr>
          <w:p>
            <w:pPr>
              <w:pStyle w:val="yTableNAm"/>
            </w:pPr>
            <w:r>
              <w:t>Cunderdin</w:t>
            </w:r>
          </w:p>
        </w:tc>
        <w:tc>
          <w:tcPr>
            <w:tcW w:w="2410" w:type="dxa"/>
          </w:tcPr>
          <w:p>
            <w:pPr>
              <w:pStyle w:val="yTableNAm"/>
            </w:pPr>
            <w:r>
              <w:t>Moora</w:t>
            </w:r>
          </w:p>
        </w:tc>
      </w:tr>
      <w:tr>
        <w:trPr>
          <w:cantSplit/>
          <w:trHeight w:val="276"/>
        </w:trPr>
        <w:tc>
          <w:tcPr>
            <w:tcW w:w="2552" w:type="dxa"/>
          </w:tcPr>
          <w:p>
            <w:pPr>
              <w:pStyle w:val="yTableNAm"/>
            </w:pPr>
            <w:r>
              <w:t>Dalwallinu</w:t>
            </w:r>
          </w:p>
        </w:tc>
        <w:tc>
          <w:tcPr>
            <w:tcW w:w="2410" w:type="dxa"/>
          </w:tcPr>
          <w:p>
            <w:pPr>
              <w:pStyle w:val="yTableNAm"/>
            </w:pPr>
            <w:r>
              <w:t>Mt Barker</w:t>
            </w:r>
          </w:p>
        </w:tc>
      </w:tr>
      <w:tr>
        <w:trPr>
          <w:cantSplit/>
          <w:trHeight w:val="276"/>
        </w:trPr>
        <w:tc>
          <w:tcPr>
            <w:tcW w:w="2552" w:type="dxa"/>
          </w:tcPr>
          <w:p>
            <w:pPr>
              <w:pStyle w:val="yTableNAm"/>
            </w:pPr>
            <w:r>
              <w:t>Dampier</w:t>
            </w:r>
          </w:p>
        </w:tc>
        <w:tc>
          <w:tcPr>
            <w:tcW w:w="2410" w:type="dxa"/>
          </w:tcPr>
          <w:p>
            <w:pPr>
              <w:pStyle w:val="yTableNAm"/>
            </w:pPr>
            <w:r>
              <w:t>Narrogin</w:t>
            </w:r>
          </w:p>
        </w:tc>
      </w:tr>
      <w:tr>
        <w:trPr>
          <w:cantSplit/>
          <w:trHeight w:val="276"/>
        </w:trPr>
        <w:tc>
          <w:tcPr>
            <w:tcW w:w="2552" w:type="dxa"/>
          </w:tcPr>
          <w:p>
            <w:pPr>
              <w:pStyle w:val="yTableNAm"/>
            </w:pPr>
            <w:r>
              <w:t>Denmark</w:t>
            </w:r>
          </w:p>
        </w:tc>
        <w:tc>
          <w:tcPr>
            <w:tcW w:w="2410" w:type="dxa"/>
          </w:tcPr>
          <w:p>
            <w:pPr>
              <w:pStyle w:val="yTableNAm"/>
            </w:pPr>
            <w:r>
              <w:t>Newman</w:t>
            </w:r>
          </w:p>
        </w:tc>
      </w:tr>
      <w:tr>
        <w:trPr>
          <w:cantSplit/>
          <w:trHeight w:val="276"/>
        </w:trPr>
        <w:tc>
          <w:tcPr>
            <w:tcW w:w="2552" w:type="dxa"/>
          </w:tcPr>
          <w:p>
            <w:pPr>
              <w:pStyle w:val="yTableNAm"/>
            </w:pPr>
            <w:r>
              <w:t>Derby</w:t>
            </w:r>
          </w:p>
        </w:tc>
        <w:tc>
          <w:tcPr>
            <w:tcW w:w="2410" w:type="dxa"/>
          </w:tcPr>
          <w:p>
            <w:pPr>
              <w:pStyle w:val="yTableNAm"/>
            </w:pPr>
            <w:r>
              <w:t xml:space="preserve">Norseman </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w:t>
      </w:r>
    </w:p>
    <w:p>
      <w:pPr>
        <w:pStyle w:val="yScheduleHeading"/>
      </w:pPr>
      <w:bookmarkStart w:id="76" w:name="_Toc51677551"/>
      <w:bookmarkStart w:id="77" w:name="_Toc51677805"/>
      <w:bookmarkStart w:id="78" w:name="_Toc51841666"/>
      <w:bookmarkStart w:id="79" w:name="_Toc37240563"/>
      <w:bookmarkStart w:id="80" w:name="_Toc37241431"/>
      <w:bookmarkStart w:id="81" w:name="_Toc37241966"/>
      <w:bookmarkStart w:id="82" w:name="_Toc37254872"/>
      <w:r>
        <w:rPr>
          <w:rStyle w:val="CharSchNo"/>
        </w:rPr>
        <w:t>Schedule 2</w:t>
      </w:r>
      <w:r>
        <w:t> — </w:t>
      </w:r>
      <w:r>
        <w:rPr>
          <w:rStyle w:val="CharSchText"/>
        </w:rPr>
        <w:t>Prescribed offences and modified penalties</w:t>
      </w:r>
      <w:bookmarkEnd w:id="76"/>
      <w:bookmarkEnd w:id="77"/>
      <w:bookmarkEnd w:id="78"/>
      <w:bookmarkEnd w:id="79"/>
      <w:bookmarkEnd w:id="80"/>
      <w:bookmarkEnd w:id="81"/>
      <w:bookmarkEnd w:id="82"/>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Gazette 22 Sep 2006 p. 4125</w:t>
      </w:r>
      <w:r>
        <w:noBreakHyphen/>
        <w:t>6; amended: Gazette 18 Nov 2014 p. 4323.]</w:t>
      </w:r>
    </w:p>
    <w:p>
      <w:pPr>
        <w:pStyle w:val="yScheduleHeading"/>
      </w:pPr>
      <w:bookmarkStart w:id="83" w:name="_Toc51677552"/>
      <w:bookmarkStart w:id="84" w:name="_Toc51677806"/>
      <w:bookmarkStart w:id="85" w:name="_Toc51841667"/>
      <w:bookmarkStart w:id="86" w:name="_Toc37240564"/>
      <w:bookmarkStart w:id="87" w:name="_Toc37241432"/>
      <w:bookmarkStart w:id="88" w:name="_Toc37241967"/>
      <w:bookmarkStart w:id="89" w:name="_Toc37254873"/>
      <w:r>
        <w:rPr>
          <w:rStyle w:val="CharSchNo"/>
        </w:rPr>
        <w:t>Schedule 3</w:t>
      </w:r>
      <w:r>
        <w:t> — </w:t>
      </w:r>
      <w:r>
        <w:rPr>
          <w:rStyle w:val="CharSchText"/>
        </w:rPr>
        <w:t>Forms</w:t>
      </w:r>
      <w:bookmarkEnd w:id="83"/>
      <w:bookmarkEnd w:id="84"/>
      <w:bookmarkEnd w:id="85"/>
      <w:bookmarkEnd w:id="86"/>
      <w:bookmarkEnd w:id="87"/>
      <w:bookmarkEnd w:id="88"/>
      <w:bookmarkEnd w:id="89"/>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w:t>
            </w:r>
            <w:del w:id="90" w:author="Master Repository Process" w:date="2021-09-11T18:23:00Z">
              <w:r>
                <w:rPr>
                  <w:szCs w:val="22"/>
                </w:rPr>
                <w:delText>;</w:delText>
              </w:r>
            </w:del>
            <w:ins w:id="91" w:author="Master Repository Process" w:date="2021-09-11T18:23:00Z">
              <w:r>
                <w:rPr>
                  <w:szCs w:val="22"/>
                </w:rPr>
                <w:t>,</w:t>
              </w:r>
            </w:ins>
            <w:r>
              <w:rPr>
                <w:szCs w:val="22"/>
              </w:rPr>
              <w:t xml:space="preserve"> your vehicle licence may be suspended or cancelled</w:t>
            </w:r>
            <w:del w:id="92" w:author="Master Repository Process" w:date="2021-09-11T18:23:00Z">
              <w:r>
                <w:rPr>
                  <w:szCs w:val="22"/>
                </w:rPr>
                <w:delText>; your details may be published on a website;</w:delText>
              </w:r>
            </w:del>
            <w:ins w:id="93" w:author="Master Repository Process" w:date="2021-09-11T18:23:00Z">
              <w:r>
                <w:rPr>
                  <w:szCs w:val="22"/>
                </w:rPr>
                <w:t>, you may be disqualified from holding or obtaining a driver’s licence or vehicle licence,</w:t>
              </w:r>
            </w:ins>
            <w:r>
              <w:rPr>
                <w:szCs w:val="22"/>
              </w:rPr>
              <w:t xml:space="preserve"> your vehicle may be immobilised or have its number plates removed</w:t>
            </w:r>
            <w:del w:id="94" w:author="Master Repository Process" w:date="2021-09-11T18:23:00Z">
              <w:r>
                <w:rPr>
                  <w:szCs w:val="22"/>
                </w:rPr>
                <w:delText>;</w:delText>
              </w:r>
            </w:del>
            <w:ins w:id="95" w:author="Master Repository Process" w:date="2021-09-11T18:23:00Z">
              <w:r>
                <w:rPr>
                  <w:szCs w:val="22"/>
                </w:rPr>
                <w:t>, your details may be published on a website, your earnings or bank accounts may be garnished,</w:t>
              </w:r>
            </w:ins>
            <w:r>
              <w:rPr>
                <w:szCs w:val="22"/>
              </w:rPr>
              <w:t xml:space="preserve">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w:t>
      </w:r>
      <w:ins w:id="96" w:author="Master Repository Process" w:date="2021-09-11T18:23:00Z">
        <w:r>
          <w:t>; SL 2020/163 r. 44</w:t>
        </w:r>
      </w:ins>
      <w:r>
        <w:t>.]</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98" w:name="_Toc51677553"/>
      <w:bookmarkStart w:id="99" w:name="_Toc51677807"/>
      <w:bookmarkStart w:id="100" w:name="_Toc51841668"/>
      <w:bookmarkStart w:id="101" w:name="_Toc37240565"/>
      <w:bookmarkStart w:id="102" w:name="_Toc37241433"/>
      <w:bookmarkStart w:id="103" w:name="_Toc37241968"/>
      <w:bookmarkStart w:id="104" w:name="_Toc37254874"/>
      <w:r>
        <w:t>Notes</w:t>
      </w:r>
      <w:bookmarkEnd w:id="98"/>
      <w:bookmarkEnd w:id="99"/>
      <w:bookmarkEnd w:id="100"/>
      <w:bookmarkEnd w:id="101"/>
      <w:bookmarkEnd w:id="102"/>
      <w:bookmarkEnd w:id="103"/>
      <w:bookmarkEnd w:id="104"/>
    </w:p>
    <w:p>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p>
    <w:p>
      <w:pPr>
        <w:pStyle w:val="nHeading3"/>
      </w:pPr>
      <w:bookmarkStart w:id="105" w:name="_Toc51841669"/>
      <w:bookmarkStart w:id="106" w:name="_Toc37254875"/>
      <w:r>
        <w:t>Compilation table</w:t>
      </w:r>
      <w:bookmarkEnd w:id="105"/>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1</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2</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3</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2020</w:t>
            </w:r>
          </w:p>
        </w:tc>
        <w:tc>
          <w:tcPr>
            <w:tcW w:w="1276" w:type="dxa"/>
            <w:tcBorders>
              <w:top w:val="nil"/>
              <w:bottom w:val="nil"/>
            </w:tcBorders>
          </w:tcPr>
          <w:p>
            <w:pPr>
              <w:pStyle w:val="nTable"/>
              <w:spacing w:after="40"/>
            </w:pPr>
            <w:r>
              <w:t>SL 2020/33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2020</w:t>
            </w:r>
          </w:p>
        </w:tc>
        <w:tc>
          <w:tcPr>
            <w:tcW w:w="1276" w:type="dxa"/>
            <w:tcBorders>
              <w:top w:val="nil"/>
              <w:bottom w:val="nil"/>
            </w:tcBorders>
          </w:tcPr>
          <w:p>
            <w:pPr>
              <w:pStyle w:val="nTable"/>
              <w:spacing w:after="40"/>
            </w:pPr>
            <w:r>
              <w:t>SL 2020/34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blPrEx>
          <w:tblBorders>
            <w:top w:val="none" w:sz="0" w:space="0" w:color="auto"/>
            <w:bottom w:val="none" w:sz="0" w:space="0" w:color="auto"/>
            <w:insideH w:val="none" w:sz="0" w:space="0" w:color="auto"/>
          </w:tblBorders>
        </w:tblPrEx>
        <w:trPr>
          <w:cantSplit/>
          <w:ins w:id="107" w:author="Master Repository Process" w:date="2021-09-11T18:23:00Z"/>
        </w:trPr>
        <w:tc>
          <w:tcPr>
            <w:tcW w:w="3119" w:type="dxa"/>
            <w:tcBorders>
              <w:bottom w:val="single" w:sz="4" w:space="0" w:color="auto"/>
            </w:tcBorders>
          </w:tcPr>
          <w:p>
            <w:pPr>
              <w:pStyle w:val="nTable"/>
              <w:spacing w:after="40"/>
              <w:ind w:right="113"/>
              <w:rPr>
                <w:ins w:id="108" w:author="Master Repository Process" w:date="2021-09-11T18:23:00Z"/>
                <w:i/>
              </w:rPr>
            </w:pPr>
            <w:ins w:id="109" w:author="Master Repository Process" w:date="2021-09-11T18:23:00Z">
              <w:r>
                <w:rPr>
                  <w:i/>
                </w:rPr>
                <w:t>Commerce Regulations Amendment (Infringement Notices) Regulations 2020</w:t>
              </w:r>
              <w:r>
                <w:t xml:space="preserve"> Pt. 22</w:t>
              </w:r>
            </w:ins>
          </w:p>
        </w:tc>
        <w:tc>
          <w:tcPr>
            <w:tcW w:w="1276" w:type="dxa"/>
            <w:tcBorders>
              <w:bottom w:val="single" w:sz="4" w:space="0" w:color="auto"/>
            </w:tcBorders>
          </w:tcPr>
          <w:p>
            <w:pPr>
              <w:pStyle w:val="nTable"/>
              <w:spacing w:after="40"/>
              <w:rPr>
                <w:ins w:id="110" w:author="Master Repository Process" w:date="2021-09-11T18:23:00Z"/>
              </w:rPr>
            </w:pPr>
            <w:ins w:id="111" w:author="Master Repository Process" w:date="2021-09-11T18:23:00Z">
              <w:r>
                <w:t>SL 2020/163 25 Sep 2020</w:t>
              </w:r>
            </w:ins>
          </w:p>
        </w:tc>
        <w:tc>
          <w:tcPr>
            <w:tcW w:w="2693" w:type="dxa"/>
            <w:tcBorders>
              <w:bottom w:val="single" w:sz="4" w:space="0" w:color="auto"/>
            </w:tcBorders>
          </w:tcPr>
          <w:p>
            <w:pPr>
              <w:pStyle w:val="nTable"/>
              <w:spacing w:after="40"/>
              <w:rPr>
                <w:ins w:id="112" w:author="Master Repository Process" w:date="2021-09-11T18:23:00Z"/>
              </w:rPr>
            </w:pPr>
            <w:ins w:id="113" w:author="Master Repository Process" w:date="2021-09-11T18:23:00Z">
              <w:r>
                <w:t>29 Sep 2020 (see r. 2(b) and SL 2020/159 cl. 2(a))</w:t>
              </w:r>
            </w:ins>
          </w:p>
        </w:tc>
      </w:tr>
    </w:tbl>
    <w:p>
      <w:pPr>
        <w:pStyle w:val="nHeading3"/>
      </w:pPr>
      <w:bookmarkStart w:id="114" w:name="_Toc51841670"/>
      <w:bookmarkStart w:id="115" w:name="_Toc37254876"/>
      <w:r>
        <w:t>Other notes</w:t>
      </w:r>
      <w:bookmarkEnd w:id="114"/>
      <w:bookmarkEnd w:id="115"/>
    </w:p>
    <w:p>
      <w:pPr>
        <w:pStyle w:val="nNote"/>
      </w:pPr>
      <w:r>
        <w:rPr>
          <w:vertAlign w:val="superscript"/>
        </w:rPr>
        <w:t>1</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r>
        <w:rPr>
          <w:vertAlign w:val="superscript"/>
        </w:rPr>
        <w:t>2</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keepNext/>
        <w:keepLines/>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r>
        <w:rPr>
          <w:vertAlign w:val="superscript"/>
        </w:rPr>
        <w:t>3</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43109"/>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E1B20F-46D6-411E-8AF0-FE536A11C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4078</Words>
  <Characters>20353</Characters>
  <Application>Microsoft Office Word</Application>
  <DocSecurity>0</DocSecurity>
  <Lines>848</Lines>
  <Paragraphs>488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23943</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02-j0-00 - 02-k0-00</dc:title>
  <dc:subject/>
  <dc:creator/>
  <cp:keywords/>
  <dc:description/>
  <cp:lastModifiedBy>Master Repository Process</cp:lastModifiedBy>
  <cp:revision>2</cp:revision>
  <cp:lastPrinted>2009-08-27T00:49:00Z</cp:lastPrinted>
  <dcterms:created xsi:type="dcterms:W3CDTF">2021-09-11T10:23:00Z</dcterms:created>
  <dcterms:modified xsi:type="dcterms:W3CDTF">2021-09-11T10:23:00Z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20200929</vt:lpwstr>
  </property>
  <property fmtid="{D5CDD505-2E9C-101B-9397-08002B2CF9AE}" pid="7" name="FromSuffix">
    <vt:lpwstr>02-j0-00</vt:lpwstr>
  </property>
  <property fmtid="{D5CDD505-2E9C-101B-9397-08002B2CF9AE}" pid="8" name="FromAsAtDate">
    <vt:lpwstr>10 Apr 2020</vt:lpwstr>
  </property>
  <property fmtid="{D5CDD505-2E9C-101B-9397-08002B2CF9AE}" pid="9" name="ToSuffix">
    <vt:lpwstr>02-k0-00</vt:lpwstr>
  </property>
  <property fmtid="{D5CDD505-2E9C-101B-9397-08002B2CF9AE}" pid="10" name="ToAsAtDate">
    <vt:lpwstr>29 Sep 2020</vt:lpwstr>
  </property>
</Properties>
</file>