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National Gas Access (WA) Act 2009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06 Apr 2019</w:t>
      </w:r>
      <w:r>
        <w:fldChar w:fldCharType="end"/>
      </w:r>
      <w:r>
        <w:t xml:space="preserve">, </w:t>
      </w:r>
      <w:r>
        <w:fldChar w:fldCharType="begin"/>
      </w:r>
      <w:r>
        <w:instrText xml:space="preserve"> DocProperty FromSuffix </w:instrText>
      </w:r>
      <w:r>
        <w:fldChar w:fldCharType="separate"/>
      </w:r>
      <w:r>
        <w:t>00-g0-03</w:t>
      </w:r>
      <w:r>
        <w:fldChar w:fldCharType="end"/>
      </w:r>
      <w:r>
        <w:t>] and [</w:t>
      </w:r>
      <w:r>
        <w:fldChar w:fldCharType="begin"/>
      </w:r>
      <w:r>
        <w:instrText xml:space="preserve"> DocProperty ToAsAtDate</w:instrText>
      </w:r>
      <w:r>
        <w:fldChar w:fldCharType="separate"/>
      </w:r>
      <w:r>
        <w:t>10 Oct 2020</w:t>
      </w:r>
      <w:r>
        <w:fldChar w:fldCharType="end"/>
      </w:r>
      <w:r>
        <w:t xml:space="preserve">, </w:t>
      </w:r>
      <w:r>
        <w:fldChar w:fldCharType="begin"/>
      </w:r>
      <w:r>
        <w:instrText xml:space="preserve"> DocProperty ToSuffix</w:instrText>
      </w:r>
      <w:r>
        <w:fldChar w:fldCharType="separate"/>
      </w:r>
      <w:r>
        <w:t>00-h0-00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uppressLineNumbers/>
      </w:pPr>
      <w:r>
        <w:t>National Gas Access (WA) Act 2009</w:t>
      </w:r>
    </w:p>
    <w:p>
      <w:pPr>
        <w:pStyle w:val="LongTitle"/>
        <w:suppressLineNumbers/>
        <w:rPr>
          <w:rFonts w:ascii="Times" w:hAnsi="Times"/>
        </w:rPr>
      </w:pPr>
      <w:bookmarkStart w:id="1" w:name="BillCited"/>
      <w:bookmarkEnd w:id="1"/>
      <w:r>
        <w:rPr>
          <w:snapToGrid w:val="0"/>
        </w:rPr>
        <w:t>A</w:t>
      </w:r>
      <w:bookmarkStart w:id="2" w:name="_GoBack"/>
      <w:bookmarkEnd w:id="2"/>
      <w:r>
        <w:rPr>
          <w:snapToGrid w:val="0"/>
        </w:rPr>
        <w:t xml:space="preserve">n Act to establish a framework to enable third parties to gain access to certain gas pipeline services, to amend the </w:t>
      </w:r>
      <w:r>
        <w:rPr>
          <w:i/>
          <w:iCs/>
          <w:snapToGrid w:val="0"/>
        </w:rPr>
        <w:t>Gas Pipelines Access (Western Australia) Act 1998</w:t>
      </w:r>
      <w:r>
        <w:rPr>
          <w:snapToGrid w:val="0"/>
        </w:rPr>
        <w:t xml:space="preserve"> and various other Acts, and for other purposes</w:t>
      </w:r>
      <w:r>
        <w:rPr>
          <w:rFonts w:ascii="Times" w:hAnsi="Times"/>
        </w:rPr>
        <w:t>.</w:t>
      </w:r>
    </w:p>
    <w:p>
      <w:pPr>
        <w:pStyle w:val="Enactment"/>
      </w:pPr>
      <w:r>
        <w:rPr>
          <w:snapToGrid w:val="0"/>
        </w:rPr>
        <w:t>The Parliament of Western Australia enacts as follows:</w:t>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type w:val="oddPage"/>
          <w:pgSz w:w="11907" w:h="16840" w:code="9"/>
          <w:pgMar w:top="2381" w:right="2410" w:bottom="3544" w:left="2410" w:header="720" w:footer="3380" w:gutter="0"/>
          <w:pgNumType w:start="1"/>
          <w:cols w:space="720"/>
          <w:noEndnote/>
          <w:titlePg/>
          <w:docGrid w:linePitch="326"/>
        </w:sectPr>
      </w:pPr>
    </w:p>
    <w:p>
      <w:pPr>
        <w:pStyle w:val="Heading2"/>
      </w:pPr>
      <w:bookmarkStart w:id="3" w:name="_Toc52954063"/>
      <w:bookmarkStart w:id="4" w:name="_Toc52955359"/>
      <w:bookmarkStart w:id="5" w:name="_Toc52956858"/>
      <w:bookmarkStart w:id="6" w:name="_Toc52957641"/>
      <w:bookmarkStart w:id="7" w:name="_Toc53044974"/>
      <w:bookmarkStart w:id="8" w:name="_Toc53045757"/>
      <w:bookmarkStart w:id="9" w:name="_Toc501633702"/>
      <w:bookmarkStart w:id="10" w:name="_Toc501712598"/>
      <w:bookmarkStart w:id="11" w:name="_Toc536781792"/>
      <w:bookmarkStart w:id="12" w:name="_Toc5346823"/>
      <w:bookmarkStart w:id="13" w:name="_Toc5363376"/>
      <w:bookmarkStart w:id="14" w:name="_Toc5364597"/>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p>
    <w:p>
      <w:pPr>
        <w:pStyle w:val="Heading5"/>
      </w:pPr>
      <w:bookmarkStart w:id="15" w:name="_Toc53045758"/>
      <w:bookmarkStart w:id="16" w:name="_Toc5364598"/>
      <w:r>
        <w:rPr>
          <w:rStyle w:val="CharSectno"/>
        </w:rPr>
        <w:t>1</w:t>
      </w:r>
      <w:r>
        <w:t>.</w:t>
      </w:r>
      <w:r>
        <w:tab/>
      </w:r>
      <w:r>
        <w:rPr>
          <w:snapToGrid w:val="0"/>
        </w:rPr>
        <w:t>Short title</w:t>
      </w:r>
      <w:bookmarkEnd w:id="15"/>
      <w:bookmarkEnd w:id="16"/>
    </w:p>
    <w:p>
      <w:pPr>
        <w:pStyle w:val="Subsection"/>
      </w:pPr>
      <w:r>
        <w:tab/>
      </w:r>
      <w:r>
        <w:tab/>
        <w:t>This</w:t>
      </w:r>
      <w:r>
        <w:rPr>
          <w:snapToGrid w:val="0"/>
        </w:rPr>
        <w:t xml:space="preserve"> is the</w:t>
      </w:r>
      <w:r>
        <w:rPr>
          <w:i/>
          <w:snapToGrid w:val="0"/>
        </w:rPr>
        <w:t xml:space="preserve"> National Gas Access (WA) Act</w:t>
      </w:r>
      <w:del w:id="17" w:author="svcMRProcess" w:date="2020-10-08T16:23:00Z">
        <w:r>
          <w:rPr>
            <w:i/>
            <w:snapToGrid w:val="0"/>
          </w:rPr>
          <w:delText xml:space="preserve"> </w:delText>
        </w:r>
      </w:del>
      <w:ins w:id="18" w:author="svcMRProcess" w:date="2020-10-08T16:23:00Z">
        <w:r>
          <w:rPr>
            <w:i/>
            <w:snapToGrid w:val="0"/>
          </w:rPr>
          <w:t> </w:t>
        </w:r>
      </w:ins>
      <w:r>
        <w:rPr>
          <w:i/>
          <w:snapToGrid w:val="0"/>
        </w:rPr>
        <w:t>2009</w:t>
      </w:r>
      <w:r>
        <w:rPr>
          <w:snapToGrid w:val="0"/>
        </w:rPr>
        <w:t>.</w:t>
      </w:r>
    </w:p>
    <w:p>
      <w:pPr>
        <w:pStyle w:val="Heading5"/>
        <w:rPr>
          <w:snapToGrid w:val="0"/>
        </w:rPr>
      </w:pPr>
      <w:bookmarkStart w:id="19" w:name="_Toc53045759"/>
      <w:bookmarkStart w:id="20" w:name="_Toc5364599"/>
      <w:r>
        <w:rPr>
          <w:rStyle w:val="CharSectno"/>
        </w:rPr>
        <w:t>2</w:t>
      </w:r>
      <w:r>
        <w:rPr>
          <w:snapToGrid w:val="0"/>
        </w:rPr>
        <w:t>.</w:t>
      </w:r>
      <w:r>
        <w:rPr>
          <w:snapToGrid w:val="0"/>
        </w:rPr>
        <w:tab/>
      </w:r>
      <w:r>
        <w:t>Commencement</w:t>
      </w:r>
      <w:bookmarkEnd w:id="19"/>
      <w:bookmarkEnd w:id="20"/>
    </w:p>
    <w:p>
      <w:pPr>
        <w:pStyle w:val="Subsection"/>
        <w:rPr>
          <w:spacing w:val="-2"/>
        </w:rPr>
      </w:pPr>
      <w:r>
        <w:tab/>
      </w:r>
      <w:r>
        <w:tab/>
        <w:t xml:space="preserve">This Act </w:t>
      </w:r>
      <w:r>
        <w:rPr>
          <w:spacing w:val="-2"/>
        </w:rPr>
        <w:t>comes into operation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Heading5"/>
        <w:spacing w:before="120"/>
        <w:ind w:left="958" w:hanging="958"/>
      </w:pPr>
      <w:bookmarkStart w:id="21" w:name="_Toc53045760"/>
      <w:bookmarkStart w:id="22" w:name="_Toc5364600"/>
      <w:r>
        <w:rPr>
          <w:rStyle w:val="CharSectno"/>
        </w:rPr>
        <w:t>3</w:t>
      </w:r>
      <w:r>
        <w:t>.</w:t>
      </w:r>
      <w:r>
        <w:tab/>
        <w:t>Terms used in this Act</w:t>
      </w:r>
      <w:bookmarkEnd w:id="21"/>
      <w:bookmarkEnd w:id="22"/>
    </w:p>
    <w:p>
      <w:pPr>
        <w:pStyle w:val="Subsection"/>
      </w:pPr>
      <w:r>
        <w:tab/>
        <w:t>(1)</w:t>
      </w:r>
      <w:r>
        <w:tab/>
        <w:t xml:space="preserve">In this Act — </w:t>
      </w:r>
    </w:p>
    <w:p>
      <w:pPr>
        <w:pStyle w:val="Defstart"/>
        <w:tabs>
          <w:tab w:val="left" w:pos="960"/>
        </w:tabs>
      </w:pPr>
      <w:r>
        <w:rPr>
          <w:b/>
        </w:rPr>
        <w:tab/>
      </w:r>
      <w:r>
        <w:rPr>
          <w:rStyle w:val="CharDefText"/>
        </w:rPr>
        <w:t>National Gas Access (Western Australia) Law</w:t>
      </w:r>
      <w:r>
        <w:t xml:space="preserve"> means the provisions applying because of section 7;</w:t>
      </w:r>
    </w:p>
    <w:p>
      <w:pPr>
        <w:pStyle w:val="Defstart"/>
        <w:tabs>
          <w:tab w:val="left" w:pos="960"/>
        </w:tabs>
        <w:rPr>
          <w:rFonts w:eastAsia="Arial Unicode MS"/>
        </w:rPr>
      </w:pPr>
      <w:r>
        <w:rPr>
          <w:rFonts w:eastAsia="Arial Unicode MS"/>
        </w:rPr>
        <w:tab/>
      </w:r>
      <w:r>
        <w:rPr>
          <w:rStyle w:val="CharDefText"/>
          <w:rFonts w:eastAsia="Arial Unicode MS"/>
        </w:rPr>
        <w:t>National Gas Access (Western Australia) Regulations</w:t>
      </w:r>
      <w:r>
        <w:rPr>
          <w:rFonts w:eastAsia="Arial Unicode MS"/>
        </w:rPr>
        <w:t xml:space="preserve"> means the provisions applying because of section 8;</w:t>
      </w:r>
    </w:p>
    <w:p>
      <w:pPr>
        <w:pStyle w:val="Defstart"/>
        <w:tabs>
          <w:tab w:val="left" w:pos="960"/>
        </w:tabs>
      </w:pPr>
      <w:r>
        <w:rPr>
          <w:b/>
        </w:rPr>
        <w:tab/>
      </w:r>
      <w:r>
        <w:rPr>
          <w:rStyle w:val="CharDefText"/>
        </w:rPr>
        <w:t>South Australian Act</w:t>
      </w:r>
      <w:r>
        <w:t xml:space="preserve"> means the </w:t>
      </w:r>
      <w:r>
        <w:rPr>
          <w:i/>
          <w:iCs/>
        </w:rPr>
        <w:t>National Gas (South Australia) Act 2008</w:t>
      </w:r>
      <w:r>
        <w:t xml:space="preserve"> of South Australia as amended from time to time.</w:t>
      </w:r>
    </w:p>
    <w:p>
      <w:pPr>
        <w:pStyle w:val="Subsection"/>
      </w:pPr>
      <w:r>
        <w:tab/>
        <w:t>(2)</w:t>
      </w:r>
      <w:r>
        <w:tab/>
        <w:t>Words and expressions used in the National Gas Access (Western Australia) Law (whether or not defined in section 9(1)) and in this Act have the same respective meanings in this Act as they have in that Law.</w:t>
      </w:r>
    </w:p>
    <w:p>
      <w:pPr>
        <w:pStyle w:val="Subsection"/>
      </w:pPr>
      <w:r>
        <w:tab/>
        <w:t>(3)</w:t>
      </w:r>
      <w:r>
        <w:tab/>
        <w:t>This section does not apply to the extent that the context or subject matter otherwise indicates or requires.</w:t>
      </w:r>
    </w:p>
    <w:p>
      <w:pPr>
        <w:pStyle w:val="Heading5"/>
        <w:ind w:left="960" w:hanging="960"/>
      </w:pPr>
      <w:bookmarkStart w:id="23" w:name="_Toc53045761"/>
      <w:bookmarkStart w:id="24" w:name="_Toc5364601"/>
      <w:r>
        <w:rPr>
          <w:rStyle w:val="CharSectno"/>
        </w:rPr>
        <w:t>4</w:t>
      </w:r>
      <w:r>
        <w:t>.</w:t>
      </w:r>
      <w:r>
        <w:tab/>
        <w:t>Crown bound</w:t>
      </w:r>
      <w:bookmarkEnd w:id="23"/>
      <w:bookmarkEnd w:id="24"/>
    </w:p>
    <w:p>
      <w:pPr>
        <w:pStyle w:val="Subsection"/>
      </w:pPr>
      <w:r>
        <w:tab/>
      </w:r>
      <w:r>
        <w:tab/>
        <w:t>This Act, the National Gas Access (Western Australia) Law and the National Gas Access (Western Australia) Regulations bind the Crown in right of the State and, so far as the legislative power of the Parliament permits, the Crown in all its other capacities.</w:t>
      </w:r>
    </w:p>
    <w:p>
      <w:pPr>
        <w:pStyle w:val="Heading5"/>
      </w:pPr>
      <w:bookmarkStart w:id="25" w:name="_Toc53045762"/>
      <w:bookmarkStart w:id="26" w:name="_Toc5364602"/>
      <w:r>
        <w:rPr>
          <w:rStyle w:val="CharSectno"/>
        </w:rPr>
        <w:lastRenderedPageBreak/>
        <w:t>5</w:t>
      </w:r>
      <w:r>
        <w:t>.</w:t>
      </w:r>
      <w:r>
        <w:tab/>
        <w:t>Application to coastal waters</w:t>
      </w:r>
      <w:bookmarkEnd w:id="25"/>
      <w:bookmarkEnd w:id="26"/>
    </w:p>
    <w:p>
      <w:pPr>
        <w:pStyle w:val="Subsection"/>
      </w:pPr>
      <w:r>
        <w:tab/>
        <w:t>(1)</w:t>
      </w:r>
      <w:r>
        <w:tab/>
        <w:t>This Act, the National Gas Access (Western Australia) Law and the National Gas Access (Western Australia) Regulations apply in the coastal waters of this State as if the coastal waters were within the limits of the State.</w:t>
      </w:r>
    </w:p>
    <w:p>
      <w:pPr>
        <w:pStyle w:val="Subsection"/>
      </w:pPr>
      <w:r>
        <w:tab/>
        <w:t>(2)</w:t>
      </w:r>
      <w:r>
        <w:tab/>
        <w:t xml:space="preserve">In this section — </w:t>
      </w:r>
    </w:p>
    <w:p>
      <w:pPr>
        <w:pStyle w:val="Defstart"/>
      </w:pPr>
      <w:r>
        <w:tab/>
      </w:r>
      <w:r>
        <w:rPr>
          <w:rStyle w:val="CharDefText"/>
        </w:rPr>
        <w:t>adjacent area in respect of the State</w:t>
      </w:r>
      <w:r>
        <w:t xml:space="preserve"> means the adjacent area of this jurisdiction under the National Gas Access (Western Australia) Law (as defined in section 9(1) of this Act);</w:t>
      </w:r>
    </w:p>
    <w:p>
      <w:pPr>
        <w:pStyle w:val="Defstart"/>
      </w:pPr>
      <w:r>
        <w:rPr>
          <w:b/>
        </w:rPr>
        <w:tab/>
      </w:r>
      <w:r>
        <w:rPr>
          <w:rStyle w:val="CharDefText"/>
        </w:rPr>
        <w:t>coastal waters</w:t>
      </w:r>
      <w:r>
        <w:t>, in relation to this State, means any sea that is on the landward side of the adjacent area in respect of the State but is not within the limits of the State.</w:t>
      </w:r>
    </w:p>
    <w:p>
      <w:pPr>
        <w:pStyle w:val="Heading5"/>
      </w:pPr>
      <w:bookmarkStart w:id="27" w:name="_Toc53045763"/>
      <w:bookmarkStart w:id="28" w:name="_Toc5364603"/>
      <w:r>
        <w:rPr>
          <w:rStyle w:val="CharSectno"/>
        </w:rPr>
        <w:t>6</w:t>
      </w:r>
      <w:r>
        <w:t>.</w:t>
      </w:r>
      <w:r>
        <w:tab/>
        <w:t>Extra</w:t>
      </w:r>
      <w:r>
        <w:noBreakHyphen/>
        <w:t>territorial operation</w:t>
      </w:r>
      <w:bookmarkEnd w:id="27"/>
      <w:bookmarkEnd w:id="28"/>
    </w:p>
    <w:p>
      <w:pPr>
        <w:pStyle w:val="Subsection"/>
      </w:pPr>
      <w:r>
        <w:tab/>
      </w:r>
      <w:r>
        <w:tab/>
        <w:t>It is the intention of the Parliament that this Act, the National Gas Access (Western Australia) Law and the National Gas Access (Western Australia) Regulations should, so far as possible, operate to the full extent of the extra</w:t>
      </w:r>
      <w:r>
        <w:noBreakHyphen/>
        <w:t>territorial legislative power of the State.</w:t>
      </w:r>
    </w:p>
    <w:p>
      <w:pPr>
        <w:pStyle w:val="Heading5"/>
      </w:pPr>
      <w:bookmarkStart w:id="29" w:name="_Toc53045764"/>
      <w:bookmarkStart w:id="30" w:name="_Toc5364604"/>
      <w:r>
        <w:rPr>
          <w:bCs/>
        </w:rPr>
        <w:t>6A</w:t>
      </w:r>
      <w:r>
        <w:t>.</w:t>
      </w:r>
      <w:r>
        <w:tab/>
        <w:t>Extension to certain pipelines for hauling gas other than natural gas</w:t>
      </w:r>
      <w:bookmarkEnd w:id="29"/>
      <w:bookmarkEnd w:id="30"/>
    </w:p>
    <w:p>
      <w:pPr>
        <w:pStyle w:val="Subsection"/>
      </w:pPr>
      <w:r>
        <w:tab/>
        <w:t>(1)</w:t>
      </w:r>
      <w:r>
        <w:tab/>
        <w:t xml:space="preserve">The National Gas Access (Western Australia) Law and the National Gas Access (Western Australia) Regulations apply to a pipeline for hauling gas other than natural gas if the pipeline constitutes or is part of a system for which a licence is in force under Part 2A of the </w:t>
      </w:r>
      <w:r>
        <w:rPr>
          <w:i/>
          <w:iCs/>
        </w:rPr>
        <w:t>Energy Coordination Act 1994</w:t>
      </w:r>
      <w:r>
        <w:t>.</w:t>
      </w:r>
    </w:p>
    <w:p>
      <w:pPr>
        <w:pStyle w:val="Subsection"/>
      </w:pPr>
      <w:r>
        <w:tab/>
        <w:t>(2)</w:t>
      </w:r>
      <w:r>
        <w:tab/>
        <w:t xml:space="preserve">Subsection (1) has effect — </w:t>
      </w:r>
    </w:p>
    <w:p>
      <w:pPr>
        <w:pStyle w:val="Indenta"/>
      </w:pPr>
      <w:r>
        <w:tab/>
        <w:t>(a)</w:t>
      </w:r>
      <w:r>
        <w:tab/>
        <w:t>despite the provisions of the National Gas Access (Western Australia) Law and the National Gas Access (Western Australia) Regulations; and</w:t>
      </w:r>
    </w:p>
    <w:p>
      <w:pPr>
        <w:pStyle w:val="Indenta"/>
      </w:pPr>
      <w:r>
        <w:tab/>
        <w:t>(b)</w:t>
      </w:r>
      <w:r>
        <w:tab/>
        <w:t xml:space="preserve">as if, for the purposes of that subsection, a reference in that Law and those Regulations to natural gas were </w:t>
      </w:r>
      <w:r>
        <w:lastRenderedPageBreak/>
        <w:t>amended to include a reference to gas other than natural gas.</w:t>
      </w:r>
    </w:p>
    <w:p>
      <w:pPr>
        <w:pStyle w:val="Subsection"/>
      </w:pPr>
      <w:r>
        <w:tab/>
        <w:t>(3)</w:t>
      </w:r>
      <w:r>
        <w:tab/>
        <w:t xml:space="preserve">In this section — </w:t>
      </w:r>
    </w:p>
    <w:p>
      <w:pPr>
        <w:pStyle w:val="Defstart"/>
      </w:pPr>
      <w:r>
        <w:rPr>
          <w:b/>
        </w:rPr>
        <w:tab/>
      </w:r>
      <w:r>
        <w:rPr>
          <w:rStyle w:val="CharDefText"/>
        </w:rPr>
        <w:t>gas other than natural gas</w:t>
      </w:r>
      <w:r>
        <w:t xml:space="preserve"> means substances which — </w:t>
      </w:r>
    </w:p>
    <w:p>
      <w:pPr>
        <w:pStyle w:val="Defpara"/>
      </w:pPr>
      <w:r>
        <w:tab/>
        <w:t>(a)</w:t>
      </w:r>
      <w:r>
        <w:tab/>
        <w:t>are in a gaseous state at standard temperature and pressure; and</w:t>
      </w:r>
    </w:p>
    <w:p>
      <w:pPr>
        <w:pStyle w:val="Defpara"/>
      </w:pPr>
      <w:r>
        <w:tab/>
        <w:t>(b)</w:t>
      </w:r>
      <w:r>
        <w:tab/>
        <w:t xml:space="preserve">consist of — </w:t>
      </w:r>
    </w:p>
    <w:p>
      <w:pPr>
        <w:pStyle w:val="Defsubpara"/>
      </w:pPr>
      <w:r>
        <w:tab/>
        <w:t>(i)</w:t>
      </w:r>
      <w:r>
        <w:tab/>
        <w:t>naturally occurring hydrocarbons; or</w:t>
      </w:r>
    </w:p>
    <w:p>
      <w:pPr>
        <w:pStyle w:val="Defsubpara"/>
      </w:pPr>
      <w:r>
        <w:tab/>
        <w:t>(ii)</w:t>
      </w:r>
      <w:r>
        <w:tab/>
        <w:t>a naturally occurring or manufactured mixture of hydrocarbons and non</w:t>
      </w:r>
      <w:r>
        <w:noBreakHyphen/>
        <w:t>hydrocarbons, the principal constituent of which is propane, propene, butanes, butenes or a mixture of all or any of those substances or kinds of substances.</w:t>
      </w:r>
    </w:p>
    <w:p>
      <w:pPr>
        <w:pStyle w:val="Heading5"/>
      </w:pPr>
      <w:bookmarkStart w:id="31" w:name="_Toc53045765"/>
      <w:bookmarkStart w:id="32" w:name="_Toc5364605"/>
      <w:r>
        <w:rPr>
          <w:rStyle w:val="CharSectno"/>
        </w:rPr>
        <w:t>6B</w:t>
      </w:r>
      <w:r>
        <w:t>.</w:t>
      </w:r>
      <w:r>
        <w:tab/>
      </w:r>
      <w:r>
        <w:rPr>
          <w:i/>
          <w:iCs/>
        </w:rPr>
        <w:t>Interpretation Act 1984</w:t>
      </w:r>
      <w:r>
        <w:t xml:space="preserve"> does not apply</w:t>
      </w:r>
      <w:bookmarkEnd w:id="31"/>
      <w:bookmarkEnd w:id="32"/>
    </w:p>
    <w:p>
      <w:pPr>
        <w:pStyle w:val="Subsection"/>
      </w:pPr>
      <w:r>
        <w:tab/>
        <w:t>(1)</w:t>
      </w:r>
      <w:r>
        <w:tab/>
        <w:t xml:space="preserve">The </w:t>
      </w:r>
      <w:r>
        <w:rPr>
          <w:i/>
          <w:iCs/>
        </w:rPr>
        <w:t>Interpretation Act 1984</w:t>
      </w:r>
      <w:r>
        <w:t xml:space="preserve"> does not apply to the National Gas Access (Western Australia) Law, to regulations under Part 3, or to Rules under the National Gas Access (Western Australia) Law.</w:t>
      </w:r>
    </w:p>
    <w:p>
      <w:pPr>
        <w:pStyle w:val="Subsection"/>
      </w:pPr>
      <w:r>
        <w:tab/>
        <w:t>(2)</w:t>
      </w:r>
      <w:r>
        <w:tab/>
        <w:t xml:space="preserve">Despite subsection (1), section 25 of the </w:t>
      </w:r>
      <w:r>
        <w:rPr>
          <w:i/>
          <w:iCs/>
        </w:rPr>
        <w:t>Interpretation Act 1984</w:t>
      </w:r>
      <w:r>
        <w:t xml:space="preserve"> applies to the making of regulations under Part 3.</w:t>
      </w:r>
    </w:p>
    <w:p>
      <w:pPr>
        <w:pStyle w:val="Heading2"/>
      </w:pPr>
      <w:bookmarkStart w:id="33" w:name="_Toc52954072"/>
      <w:bookmarkStart w:id="34" w:name="_Toc52955368"/>
      <w:bookmarkStart w:id="35" w:name="_Toc52956867"/>
      <w:bookmarkStart w:id="36" w:name="_Toc52957650"/>
      <w:bookmarkStart w:id="37" w:name="_Toc53044983"/>
      <w:bookmarkStart w:id="38" w:name="_Toc53045766"/>
      <w:bookmarkStart w:id="39" w:name="_Toc501633711"/>
      <w:bookmarkStart w:id="40" w:name="_Toc501712607"/>
      <w:bookmarkStart w:id="41" w:name="_Toc536781801"/>
      <w:bookmarkStart w:id="42" w:name="_Toc5346832"/>
      <w:bookmarkStart w:id="43" w:name="_Toc5363385"/>
      <w:bookmarkStart w:id="44" w:name="_Toc5364606"/>
      <w:r>
        <w:rPr>
          <w:rStyle w:val="CharPartNo"/>
        </w:rPr>
        <w:t>Part 2</w:t>
      </w:r>
      <w:r>
        <w:rPr>
          <w:rStyle w:val="CharDivNo"/>
        </w:rPr>
        <w:t> </w:t>
      </w:r>
      <w:r>
        <w:t>—</w:t>
      </w:r>
      <w:r>
        <w:rPr>
          <w:rStyle w:val="CharDivText"/>
        </w:rPr>
        <w:t> </w:t>
      </w:r>
      <w:r>
        <w:rPr>
          <w:rStyle w:val="CharPartText"/>
        </w:rPr>
        <w:t>National Gas Access (Western Australia) Law and its regulations</w:t>
      </w:r>
      <w:bookmarkEnd w:id="33"/>
      <w:bookmarkEnd w:id="34"/>
      <w:bookmarkEnd w:id="35"/>
      <w:bookmarkEnd w:id="36"/>
      <w:bookmarkEnd w:id="37"/>
      <w:bookmarkEnd w:id="38"/>
      <w:bookmarkEnd w:id="39"/>
      <w:bookmarkEnd w:id="40"/>
      <w:bookmarkEnd w:id="41"/>
      <w:bookmarkEnd w:id="42"/>
      <w:bookmarkEnd w:id="43"/>
      <w:bookmarkEnd w:id="44"/>
    </w:p>
    <w:p>
      <w:pPr>
        <w:pStyle w:val="Heading5"/>
      </w:pPr>
      <w:bookmarkStart w:id="45" w:name="_Toc53045767"/>
      <w:bookmarkStart w:id="46" w:name="_Toc5364607"/>
      <w:r>
        <w:rPr>
          <w:rStyle w:val="CharSectno"/>
        </w:rPr>
        <w:t>7</w:t>
      </w:r>
      <w:r>
        <w:t>.</w:t>
      </w:r>
      <w:r>
        <w:tab/>
        <w:t>National Gas Access (Western Australia) Law</w:t>
      </w:r>
      <w:bookmarkEnd w:id="45"/>
      <w:bookmarkEnd w:id="46"/>
    </w:p>
    <w:p>
      <w:pPr>
        <w:pStyle w:val="Subsection"/>
      </w:pPr>
      <w:r>
        <w:tab/>
        <w:t>(1)</w:t>
      </w:r>
      <w:r>
        <w:tab/>
        <w:t xml:space="preserve">The Western Australian National Gas Access Law text — </w:t>
      </w:r>
    </w:p>
    <w:p>
      <w:pPr>
        <w:pStyle w:val="Indenta"/>
      </w:pPr>
      <w:r>
        <w:tab/>
        <w:t>(a)</w:t>
      </w:r>
      <w:r>
        <w:tab/>
        <w:t>applies as a law of Western Australia; and</w:t>
      </w:r>
    </w:p>
    <w:p>
      <w:pPr>
        <w:pStyle w:val="Indenta"/>
      </w:pPr>
      <w:r>
        <w:tab/>
        <w:t>(b)</w:t>
      </w:r>
      <w:r>
        <w:tab/>
        <w:t>as so applying may be referred to as the National Gas Access (Western Australia) Law.</w:t>
      </w:r>
    </w:p>
    <w:p>
      <w:pPr>
        <w:pStyle w:val="Subsection"/>
      </w:pPr>
      <w:r>
        <w:tab/>
        <w:t>(2)</w:t>
      </w:r>
      <w:r>
        <w:tab/>
        <w:t xml:space="preserve">In subsection (1) — </w:t>
      </w:r>
    </w:p>
    <w:p>
      <w:pPr>
        <w:pStyle w:val="Defstart"/>
      </w:pPr>
      <w:r>
        <w:tab/>
      </w:r>
      <w:r>
        <w:rPr>
          <w:rStyle w:val="CharDefText"/>
        </w:rPr>
        <w:t>Western Australian National Gas Access Law text</w:t>
      </w:r>
      <w:r>
        <w:t xml:space="preserve"> means the text that results from modifying the National Gas Law, as set out in the South Australian Act Schedule for the time being in force, to give effect to section 7A(3) and (4) and Schedule 1.</w:t>
      </w:r>
    </w:p>
    <w:p>
      <w:pPr>
        <w:pStyle w:val="Heading5"/>
      </w:pPr>
      <w:bookmarkStart w:id="47" w:name="_Toc53045768"/>
      <w:bookmarkStart w:id="48" w:name="_Toc5364608"/>
      <w:r>
        <w:rPr>
          <w:rStyle w:val="CharSectno"/>
        </w:rPr>
        <w:t>7A</w:t>
      </w:r>
      <w:r>
        <w:t>.</w:t>
      </w:r>
      <w:r>
        <w:tab/>
        <w:t>Amendments to Schedule to South Australian Act</w:t>
      </w:r>
      <w:bookmarkEnd w:id="47"/>
      <w:bookmarkEnd w:id="48"/>
    </w:p>
    <w:p>
      <w:pPr>
        <w:pStyle w:val="Subsection"/>
      </w:pPr>
      <w:r>
        <w:tab/>
        <w:t>(1)</w:t>
      </w:r>
      <w:r>
        <w:tab/>
        <w:t>This section applies if, after the day on which the South Australian Act receives the Royal Assent,</w:t>
      </w:r>
      <w:r>
        <w:rPr>
          <w:b/>
          <w:i/>
        </w:rPr>
        <w:t xml:space="preserve"> </w:t>
      </w:r>
      <w:r>
        <w:t xml:space="preserve">the Parliament of South Australia enacts a provision to make an amendment to the Schedule to the South Australian Act as in force from time to time (an </w:t>
      </w:r>
      <w:r>
        <w:rPr>
          <w:rStyle w:val="CharDefText"/>
        </w:rPr>
        <w:t>SA Schedule amendment</w:t>
      </w:r>
      <w:r>
        <w:t>).</w:t>
      </w:r>
    </w:p>
    <w:p>
      <w:pPr>
        <w:pStyle w:val="Subsection"/>
      </w:pPr>
      <w:r>
        <w:tab/>
        <w:t>(2)</w:t>
      </w:r>
      <w:r>
        <w:tab/>
        <w:t>The Minister may by order declare that an SA Schedule amendment is relevant to the Western Australian National Gas Access Law text.</w:t>
      </w:r>
    </w:p>
    <w:p>
      <w:pPr>
        <w:pStyle w:val="Subsection"/>
      </w:pPr>
      <w:r>
        <w:tab/>
        <w:t>(3)</w:t>
      </w:r>
      <w:r>
        <w:tab/>
        <w:t>If the Minister has not declared that an SA Schedule amendment is relevant, the Western Australian National Gas Access Law text remains as if the amendment had not been made.</w:t>
      </w:r>
    </w:p>
    <w:p>
      <w:pPr>
        <w:pStyle w:val="Subsection"/>
      </w:pPr>
      <w:r>
        <w:tab/>
        <w:t>(4)</w:t>
      </w:r>
      <w:r>
        <w:tab/>
        <w:t>If the Minister has declared that an SA Schedule amendment is relevant, the Western Australian National Gas Access Law text remains, until the beginning of the day fixed by subsection (5), as if the amendment had not been made.</w:t>
      </w:r>
    </w:p>
    <w:p>
      <w:pPr>
        <w:pStyle w:val="Subsection"/>
      </w:pPr>
      <w:r>
        <w:tab/>
        <w:t>(5)</w:t>
      </w:r>
      <w:r>
        <w:tab/>
        <w:t xml:space="preserve">The day fixed is the day on which the order is published in the </w:t>
      </w:r>
      <w:r>
        <w:rPr>
          <w:i/>
          <w:iCs/>
        </w:rPr>
        <w:t>Government Gazette</w:t>
      </w:r>
      <w:r>
        <w:t xml:space="preserve"> unless a later day is specified in the order, in which case it is the day specified.</w:t>
      </w:r>
    </w:p>
    <w:p>
      <w:pPr>
        <w:pStyle w:val="Subsection"/>
      </w:pPr>
      <w:r>
        <w:tab/>
        <w:t>(6)</w:t>
      </w:r>
      <w:r>
        <w:tab/>
        <w:t>Subsection (4) does not give an SA Schedule amendment any earlier effect in this State than it has in South Australia.</w:t>
      </w:r>
    </w:p>
    <w:p>
      <w:pPr>
        <w:pStyle w:val="Heading5"/>
      </w:pPr>
      <w:bookmarkStart w:id="49" w:name="_Toc53045769"/>
      <w:bookmarkStart w:id="50" w:name="_Toc5364609"/>
      <w:r>
        <w:rPr>
          <w:rStyle w:val="CharSectno"/>
        </w:rPr>
        <w:t>7B</w:t>
      </w:r>
      <w:r>
        <w:t>.</w:t>
      </w:r>
      <w:r>
        <w:tab/>
        <w:t>Regulations amending Schedule 1 consequentially</w:t>
      </w:r>
      <w:bookmarkEnd w:id="49"/>
      <w:bookmarkEnd w:id="50"/>
    </w:p>
    <w:p>
      <w:pPr>
        <w:pStyle w:val="Subsection"/>
      </w:pPr>
      <w:r>
        <w:tab/>
      </w:r>
      <w:r>
        <w:tab/>
        <w:t xml:space="preserve">The Governor may make regulations under this section amending Schedule 1 as is necessary or expedient to deal with consequences of — </w:t>
      </w:r>
    </w:p>
    <w:p>
      <w:pPr>
        <w:pStyle w:val="Indenta"/>
      </w:pPr>
      <w:r>
        <w:tab/>
        <w:t>(a)</w:t>
      </w:r>
      <w:r>
        <w:tab/>
        <w:t>an SA Schedule amendment; or</w:t>
      </w:r>
    </w:p>
    <w:p>
      <w:pPr>
        <w:pStyle w:val="Indenta"/>
      </w:pPr>
      <w:r>
        <w:tab/>
        <w:t>(b)</w:t>
      </w:r>
      <w:r>
        <w:tab/>
        <w:t>giving effect to section 7A(3) or (4).</w:t>
      </w:r>
    </w:p>
    <w:p>
      <w:pPr>
        <w:pStyle w:val="Heading5"/>
      </w:pPr>
      <w:bookmarkStart w:id="51" w:name="_Toc53045770"/>
      <w:bookmarkStart w:id="52" w:name="_Toc5364610"/>
      <w:r>
        <w:rPr>
          <w:bCs/>
        </w:rPr>
        <w:t>8</w:t>
      </w:r>
      <w:r>
        <w:t>.</w:t>
      </w:r>
      <w:r>
        <w:tab/>
        <w:t>National Gas Access (Western Australia) Regulations</w:t>
      </w:r>
      <w:bookmarkEnd w:id="51"/>
      <w:bookmarkEnd w:id="52"/>
    </w:p>
    <w:p>
      <w:pPr>
        <w:pStyle w:val="Subsection"/>
      </w:pPr>
      <w:r>
        <w:tab/>
      </w:r>
      <w:r>
        <w:tab/>
        <w:t xml:space="preserve">The regulations in force for the time being under Part 3 — </w:t>
      </w:r>
    </w:p>
    <w:p>
      <w:pPr>
        <w:pStyle w:val="Indenta"/>
      </w:pPr>
      <w:r>
        <w:tab/>
        <w:t>(a)</w:t>
      </w:r>
      <w:r>
        <w:tab/>
        <w:t>apply as regulations in force for the purposes of the National Gas Access (Western Australia) Law; and</w:t>
      </w:r>
    </w:p>
    <w:p>
      <w:pPr>
        <w:pStyle w:val="Indenta"/>
      </w:pPr>
      <w:r>
        <w:tab/>
        <w:t>(b)</w:t>
      </w:r>
      <w:r>
        <w:tab/>
        <w:t>as so applying may be referred to as the National Gas Access (Western Australia) Regulations.</w:t>
      </w:r>
    </w:p>
    <w:p>
      <w:pPr>
        <w:pStyle w:val="Heading5"/>
      </w:pPr>
      <w:bookmarkStart w:id="53" w:name="_Toc53045771"/>
      <w:bookmarkStart w:id="54" w:name="_Toc5364611"/>
      <w:r>
        <w:rPr>
          <w:rStyle w:val="CharSectno"/>
        </w:rPr>
        <w:t>9</w:t>
      </w:r>
      <w:r>
        <w:t>.</w:t>
      </w:r>
      <w:r>
        <w:tab/>
        <w:t>Terms used in National Gas Access (Western Australia) Law and its regulations</w:t>
      </w:r>
      <w:bookmarkEnd w:id="53"/>
      <w:bookmarkEnd w:id="54"/>
    </w:p>
    <w:p>
      <w:pPr>
        <w:pStyle w:val="Subsection"/>
      </w:pPr>
      <w:r>
        <w:tab/>
        <w:t>(1)</w:t>
      </w:r>
      <w:r>
        <w:tab/>
        <w:t xml:space="preserve">In the National Gas Access (Western Australia) Law and the National Gas Access (Western Australia) Regulations — </w:t>
      </w:r>
    </w:p>
    <w:p>
      <w:pPr>
        <w:pStyle w:val="Defstart"/>
      </w:pPr>
      <w:r>
        <w:tab/>
      </w:r>
      <w:r>
        <w:rPr>
          <w:rStyle w:val="CharDefText"/>
        </w:rPr>
        <w:t>adjacent area of another participating jurisdiction</w:t>
      </w:r>
      <w:r>
        <w:t xml:space="preserve"> means the offshore area of a State other than this State or of the Northern Territory within the meaning given in section 7 of the </w:t>
      </w:r>
      <w:r>
        <w:rPr>
          <w:i/>
          <w:iCs/>
        </w:rPr>
        <w:t>Offshore Petroleum and Greenhouse Gas Storage Act 2006</w:t>
      </w:r>
      <w:r>
        <w:t xml:space="preserve"> of the Commonwealth;</w:t>
      </w:r>
    </w:p>
    <w:p>
      <w:pPr>
        <w:pStyle w:val="Defstart"/>
      </w:pPr>
      <w:r>
        <w:tab/>
      </w:r>
      <w:r>
        <w:rPr>
          <w:rStyle w:val="CharDefText"/>
        </w:rPr>
        <w:t>adjacent area of this jurisdiction</w:t>
      </w:r>
      <w:r>
        <w:t xml:space="preserve"> means the offshore area of the State within the meaning given in section 7 of the </w:t>
      </w:r>
      <w:r>
        <w:rPr>
          <w:i/>
          <w:iCs/>
        </w:rPr>
        <w:t>Offshore Petroleum and Greenhouse Gas Storage Act 2006</w:t>
      </w:r>
      <w:r>
        <w:t xml:space="preserve"> of the Commonwealth;</w:t>
      </w:r>
    </w:p>
    <w:p>
      <w:pPr>
        <w:pStyle w:val="Defstart"/>
      </w:pPr>
      <w:r>
        <w:rPr>
          <w:b/>
        </w:rPr>
        <w:tab/>
      </w:r>
      <w:r>
        <w:rPr>
          <w:rStyle w:val="CharDefText"/>
        </w:rPr>
        <w:t>Court</w:t>
      </w:r>
      <w:r>
        <w:t xml:space="preserve"> means the Supreme Court of Western Australia;</w:t>
      </w:r>
    </w:p>
    <w:p>
      <w:pPr>
        <w:pStyle w:val="Defstart"/>
      </w:pPr>
      <w:r>
        <w:rPr>
          <w:b/>
        </w:rPr>
        <w:tab/>
      </w:r>
      <w:r>
        <w:rPr>
          <w:rStyle w:val="CharDefText"/>
        </w:rPr>
        <w:t>designated Minister</w:t>
      </w:r>
      <w:r>
        <w:t xml:space="preserve"> means the Minister to whom the administration of this Act has been committed;</w:t>
      </w:r>
    </w:p>
    <w:p>
      <w:pPr>
        <w:pStyle w:val="Defstart"/>
      </w:pPr>
      <w:r>
        <w:rPr>
          <w:b/>
        </w:rPr>
        <w:tab/>
      </w:r>
      <w:r>
        <w:rPr>
          <w:rStyle w:val="CharDefText"/>
        </w:rPr>
        <w:t>dispute resolution body</w:t>
      </w:r>
      <w:r>
        <w:t xml:space="preserve"> means — </w:t>
      </w:r>
    </w:p>
    <w:p>
      <w:pPr>
        <w:pStyle w:val="Defpara"/>
      </w:pPr>
      <w:r>
        <w:tab/>
        <w:t>(a)</w:t>
      </w:r>
      <w:r>
        <w:tab/>
        <w:t>in relation to an ERA pipeline, the WA arbitrator;</w:t>
      </w:r>
    </w:p>
    <w:p>
      <w:pPr>
        <w:pStyle w:val="Defpara"/>
      </w:pPr>
      <w:r>
        <w:tab/>
        <w:t>(b)</w:t>
      </w:r>
      <w:r>
        <w:tab/>
        <w:t xml:space="preserve">in relation to any other pipeline, the Australian Energy Regulator established by section 44AE of the </w:t>
      </w:r>
      <w:r>
        <w:rPr>
          <w:i/>
          <w:iCs/>
        </w:rPr>
        <w:t>Trade Practices Act 1974</w:t>
      </w:r>
      <w:r>
        <w:t xml:space="preserve"> of the Commonwealth;</w:t>
      </w:r>
    </w:p>
    <w:p>
      <w:pPr>
        <w:pStyle w:val="Defstart"/>
      </w:pPr>
      <w:r>
        <w:rPr>
          <w:b/>
        </w:rPr>
        <w:tab/>
      </w:r>
      <w:r>
        <w:rPr>
          <w:rStyle w:val="CharDefText"/>
        </w:rPr>
        <w:t>ERA pipeline</w:t>
      </w:r>
      <w:r>
        <w:t xml:space="preserve"> means a pipeline other than — </w:t>
      </w:r>
    </w:p>
    <w:p>
      <w:pPr>
        <w:pStyle w:val="Defpara"/>
      </w:pPr>
      <w:r>
        <w:tab/>
        <w:t>(a)</w:t>
      </w:r>
      <w:r>
        <w:tab/>
        <w:t>an international pipeline; or</w:t>
      </w:r>
    </w:p>
    <w:p>
      <w:pPr>
        <w:pStyle w:val="Defpara"/>
      </w:pPr>
      <w:r>
        <w:tab/>
        <w:t>(b)</w:t>
      </w:r>
      <w:r>
        <w:tab/>
        <w:t>any other pipeline for which section 2 of the National Gas Access (Western Australia) Law defines the “relevant Minister” to mean a person other than the Minister responsible for the administration of this Act;</w:t>
      </w:r>
    </w:p>
    <w:p>
      <w:pPr>
        <w:pStyle w:val="Defstart"/>
      </w:pPr>
      <w:r>
        <w:rPr>
          <w:b/>
        </w:rPr>
        <w:tab/>
      </w:r>
      <w:r>
        <w:rPr>
          <w:rStyle w:val="CharDefText"/>
        </w:rPr>
        <w:t>Legislature of this jurisdiction</w:t>
      </w:r>
      <w:r>
        <w:t xml:space="preserve"> means the Parliament of Western Australia;</w:t>
      </w:r>
    </w:p>
    <w:p>
      <w:pPr>
        <w:pStyle w:val="Defstart"/>
      </w:pPr>
      <w:r>
        <w:rPr>
          <w:b/>
        </w:rPr>
        <w:tab/>
      </w:r>
      <w:r>
        <w:rPr>
          <w:rStyle w:val="CharDefText"/>
        </w:rPr>
        <w:t>National Gas Law</w:t>
      </w:r>
      <w:r>
        <w:t xml:space="preserve"> or </w:t>
      </w:r>
      <w:r>
        <w:rPr>
          <w:rStyle w:val="CharDefText"/>
        </w:rPr>
        <w:t>this Law</w:t>
      </w:r>
      <w:r>
        <w:t xml:space="preserve"> means the National Gas Access (Western Australia) Law;</w:t>
      </w:r>
    </w:p>
    <w:p>
      <w:pPr>
        <w:pStyle w:val="Defstart"/>
      </w:pPr>
      <w:r>
        <w:rPr>
          <w:b/>
        </w:rPr>
        <w:tab/>
      </w:r>
      <w:r>
        <w:rPr>
          <w:rStyle w:val="CharDefText"/>
        </w:rPr>
        <w:t>regulator</w:t>
      </w:r>
      <w:r>
        <w:t xml:space="preserve"> means — </w:t>
      </w:r>
    </w:p>
    <w:p>
      <w:pPr>
        <w:pStyle w:val="Defpara"/>
      </w:pPr>
      <w:r>
        <w:tab/>
        <w:t>(a)</w:t>
      </w:r>
      <w:r>
        <w:tab/>
        <w:t>in relation to an ERA pipeline, the ERA;</w:t>
      </w:r>
    </w:p>
    <w:p>
      <w:pPr>
        <w:pStyle w:val="Defpara"/>
      </w:pPr>
      <w:r>
        <w:tab/>
        <w:t>(b)</w:t>
      </w:r>
      <w:r>
        <w:tab/>
        <w:t xml:space="preserve">in relation to any other pipeline, the Australian Energy Regulator established by section 44AE of the </w:t>
      </w:r>
      <w:r>
        <w:rPr>
          <w:i/>
          <w:iCs/>
        </w:rPr>
        <w:t>Trade Practices Act 1974</w:t>
      </w:r>
      <w:r>
        <w:t xml:space="preserve"> of the Commonwealth;</w:t>
      </w:r>
    </w:p>
    <w:p>
      <w:pPr>
        <w:pStyle w:val="Defstart"/>
      </w:pPr>
      <w:r>
        <w:rPr>
          <w:b/>
        </w:rPr>
        <w:tab/>
      </w:r>
      <w:r>
        <w:rPr>
          <w:rStyle w:val="CharDefText"/>
        </w:rPr>
        <w:t>this jurisdiction</w:t>
      </w:r>
      <w:r>
        <w:t xml:space="preserve"> means the State of Western Australia;</w:t>
      </w:r>
    </w:p>
    <w:p>
      <w:pPr>
        <w:pStyle w:val="Defstart"/>
      </w:pPr>
      <w:r>
        <w:rPr>
          <w:b/>
        </w:rPr>
        <w:tab/>
      </w:r>
      <w:r>
        <w:rPr>
          <w:rStyle w:val="CharDefText"/>
        </w:rPr>
        <w:t>WA arbitrator</w:t>
      </w:r>
      <w:r>
        <w:t xml:space="preserve"> means the Western Australian Energy Disputes Arbitrator under Part 6 Division 3 of the </w:t>
      </w:r>
      <w:r>
        <w:rPr>
          <w:i/>
          <w:iCs/>
        </w:rPr>
        <w:t>Energy Arbitration and Review Act 1998</w:t>
      </w:r>
      <w:r>
        <w:t>.</w:t>
      </w:r>
    </w:p>
    <w:p>
      <w:pPr>
        <w:pStyle w:val="Subsection"/>
      </w:pPr>
      <w:r>
        <w:tab/>
        <w:t>(2)</w:t>
      </w:r>
      <w:r>
        <w:tab/>
        <w:t xml:space="preserve">A pipeline that is an offshore Western Australian pipeline as defined in section 3(1) of the </w:t>
      </w:r>
      <w:r>
        <w:rPr>
          <w:i/>
          <w:iCs/>
        </w:rPr>
        <w:t>Australian Energy Market Act 2004</w:t>
      </w:r>
      <w:r>
        <w:t xml:space="preserve"> of the Commonwealth is to be regarded as being situated wholly within Western Australia for the purpose of determining who is the relevant Minister under the National Gas Access (Western Australia) Law.</w:t>
      </w:r>
    </w:p>
    <w:p>
      <w:pPr>
        <w:pStyle w:val="Subsection"/>
      </w:pPr>
      <w:r>
        <w:tab/>
        <w:t>(3)</w:t>
      </w:r>
      <w:r>
        <w:tab/>
        <w:t xml:space="preserve">The </w:t>
      </w:r>
      <w:r>
        <w:rPr>
          <w:i/>
          <w:iCs/>
        </w:rPr>
        <w:t>Acts Interpretation Act 1915</w:t>
      </w:r>
      <w:r>
        <w:t>, and other Acts, of South Australia do not apply to the National Gas Law as set out in the Schedule to the South Australian Act in its application, with modifications, as a law of Western Australia.</w:t>
      </w:r>
    </w:p>
    <w:p>
      <w:pPr>
        <w:pStyle w:val="Footnotesection"/>
      </w:pPr>
      <w:r>
        <w:tab/>
        <w:t>[Section 9 amended: No. 42 of 2010 s. 184.]</w:t>
      </w:r>
    </w:p>
    <w:p>
      <w:pPr>
        <w:pStyle w:val="Heading2"/>
      </w:pPr>
      <w:bookmarkStart w:id="55" w:name="_Toc52954078"/>
      <w:bookmarkStart w:id="56" w:name="_Toc52955374"/>
      <w:bookmarkStart w:id="57" w:name="_Toc52956873"/>
      <w:bookmarkStart w:id="58" w:name="_Toc52957656"/>
      <w:bookmarkStart w:id="59" w:name="_Toc53044989"/>
      <w:bookmarkStart w:id="60" w:name="_Toc53045772"/>
      <w:bookmarkStart w:id="61" w:name="_Toc501633717"/>
      <w:bookmarkStart w:id="62" w:name="_Toc501712613"/>
      <w:bookmarkStart w:id="63" w:name="_Toc536781807"/>
      <w:bookmarkStart w:id="64" w:name="_Toc5346838"/>
      <w:bookmarkStart w:id="65" w:name="_Toc5363391"/>
      <w:bookmarkStart w:id="66" w:name="_Toc5364612"/>
      <w:r>
        <w:rPr>
          <w:rStyle w:val="CharPartNo"/>
        </w:rPr>
        <w:t>Part 3</w:t>
      </w:r>
      <w:r>
        <w:rPr>
          <w:rStyle w:val="CharDivNo"/>
        </w:rPr>
        <w:t> </w:t>
      </w:r>
      <w:r>
        <w:t>—</w:t>
      </w:r>
      <w:r>
        <w:rPr>
          <w:rStyle w:val="CharDivText"/>
        </w:rPr>
        <w:t> </w:t>
      </w:r>
      <w:r>
        <w:rPr>
          <w:rStyle w:val="CharPartText"/>
        </w:rPr>
        <w:t>Regulations for the National Gas Access (Western Australia) Law</w:t>
      </w:r>
      <w:bookmarkEnd w:id="55"/>
      <w:bookmarkEnd w:id="56"/>
      <w:bookmarkEnd w:id="57"/>
      <w:bookmarkEnd w:id="58"/>
      <w:bookmarkEnd w:id="59"/>
      <w:bookmarkEnd w:id="60"/>
      <w:bookmarkEnd w:id="61"/>
      <w:bookmarkEnd w:id="62"/>
      <w:bookmarkEnd w:id="63"/>
      <w:bookmarkEnd w:id="64"/>
      <w:bookmarkEnd w:id="65"/>
      <w:bookmarkEnd w:id="66"/>
    </w:p>
    <w:p>
      <w:pPr>
        <w:pStyle w:val="Heading5"/>
      </w:pPr>
      <w:bookmarkStart w:id="67" w:name="_Toc53045773"/>
      <w:bookmarkStart w:id="68" w:name="_Toc5364613"/>
      <w:r>
        <w:rPr>
          <w:rStyle w:val="CharSectno"/>
        </w:rPr>
        <w:t>10</w:t>
      </w:r>
      <w:r>
        <w:t>.</w:t>
      </w:r>
      <w:r>
        <w:tab/>
        <w:t>Making regulations</w:t>
      </w:r>
      <w:bookmarkEnd w:id="67"/>
      <w:bookmarkEnd w:id="68"/>
    </w:p>
    <w:p>
      <w:pPr>
        <w:pStyle w:val="Subsection"/>
      </w:pPr>
      <w:r>
        <w:tab/>
        <w:t>(1)</w:t>
      </w:r>
      <w:r>
        <w:tab/>
        <w:t>The Governor, acting with the advice and consent of the Executive Council, may make regulations contemplated by, or necessary or expedient for giving effect to, the National Gas Access (Western Australia) Law.</w:t>
      </w:r>
    </w:p>
    <w:p>
      <w:pPr>
        <w:pStyle w:val="Subsection"/>
      </w:pPr>
      <w:r>
        <w:tab/>
        <w:t>(2)</w:t>
      </w:r>
      <w:r>
        <w:tab/>
        <w:t>Without limiting subsection (1), the regulations may prescribe fees in respect of any matter under the National Gas Access (Western Australia) Law, and provide for the waiver or refund of such fees.</w:t>
      </w:r>
    </w:p>
    <w:p>
      <w:pPr>
        <w:pStyle w:val="Subsection"/>
      </w:pPr>
      <w:r>
        <w:tab/>
        <w:t>(3)</w:t>
      </w:r>
      <w:r>
        <w:tab/>
        <w:t xml:space="preserve">Regulations under this Part may — </w:t>
      </w:r>
    </w:p>
    <w:p>
      <w:pPr>
        <w:pStyle w:val="Indenta"/>
      </w:pPr>
      <w:r>
        <w:tab/>
        <w:t>(a)</w:t>
      </w:r>
      <w:r>
        <w:tab/>
        <w:t>be of general or limited application;</w:t>
      </w:r>
    </w:p>
    <w:p>
      <w:pPr>
        <w:pStyle w:val="Indenta"/>
      </w:pPr>
      <w:r>
        <w:tab/>
        <w:t>(b)</w:t>
      </w:r>
      <w:r>
        <w:tab/>
        <w:t>vary according to the persons, times, places or circumstances to which they are expressed to apply;</w:t>
      </w:r>
    </w:p>
    <w:p>
      <w:pPr>
        <w:pStyle w:val="Indenta"/>
      </w:pPr>
      <w:r>
        <w:tab/>
        <w:t>(c)</w:t>
      </w:r>
      <w:r>
        <w:tab/>
        <w:t>in relation to fees, prescribe differential fees or provide for fees to be determined according to prescribed factors.</w:t>
      </w:r>
    </w:p>
    <w:p>
      <w:pPr>
        <w:pStyle w:val="Subsection"/>
      </w:pPr>
      <w:r>
        <w:tab/>
        <w:t>(4)</w:t>
      </w:r>
      <w:r>
        <w:tab/>
        <w:t xml:space="preserve">Once the Governor has made a regulation prescribing 1 or more pipelines to be designated pipelines for the purposes of the definition of </w:t>
      </w:r>
      <w:r>
        <w:rPr>
          <w:b/>
          <w:bCs/>
          <w:i/>
          <w:iCs/>
        </w:rPr>
        <w:t>designated pipeline</w:t>
      </w:r>
      <w:r>
        <w:t xml:space="preserve"> in section 2 of the National Gas Access (Western Australia) Law, the Governor cannot make another regulation that prescribes any other pipeline to be a designated pipeline.</w:t>
      </w:r>
    </w:p>
    <w:p>
      <w:pPr>
        <w:pStyle w:val="Subsection"/>
      </w:pPr>
      <w:r>
        <w:tab/>
        <w:t>(5)</w:t>
      </w:r>
      <w:r>
        <w:tab/>
        <w:t>Regulations under this Part may be made only on the unanimous recommendation of the Ministers of the participating jurisdictions.</w:t>
      </w:r>
    </w:p>
    <w:p>
      <w:pPr>
        <w:pStyle w:val="Subsection"/>
      </w:pPr>
      <w:r>
        <w:tab/>
        <w:t>(6)</w:t>
      </w:r>
      <w:r>
        <w:tab/>
        <w:t xml:space="preserve">Regulations under this Part have to be published in the </w:t>
      </w:r>
      <w:r>
        <w:rPr>
          <w:i/>
          <w:iCs/>
        </w:rPr>
        <w:t>Government Gazette</w:t>
      </w:r>
      <w:r>
        <w:t>.</w:t>
      </w:r>
    </w:p>
    <w:p>
      <w:pPr>
        <w:pStyle w:val="Heading5"/>
      </w:pPr>
      <w:bookmarkStart w:id="69" w:name="_Toc53045774"/>
      <w:bookmarkStart w:id="70" w:name="_Toc5364614"/>
      <w:r>
        <w:rPr>
          <w:rStyle w:val="CharSectno"/>
        </w:rPr>
        <w:t>11</w:t>
      </w:r>
      <w:r>
        <w:t>.</w:t>
      </w:r>
      <w:r>
        <w:tab/>
        <w:t>Regulations may deal with transitional matters</w:t>
      </w:r>
      <w:bookmarkEnd w:id="69"/>
      <w:bookmarkEnd w:id="70"/>
    </w:p>
    <w:p>
      <w:pPr>
        <w:pStyle w:val="Subsection"/>
      </w:pPr>
      <w:r>
        <w:tab/>
        <w:t>(1)</w:t>
      </w:r>
      <w:r>
        <w:tab/>
        <w:t>Without limiting the generality of section 10, the regulations may deal with matters of a transitional nature relating to the transition from the application of provisions of the Gas Pipelines Access Law to the application of provisions of the National Gas Access (Western Australia) Law.</w:t>
      </w:r>
    </w:p>
    <w:p>
      <w:pPr>
        <w:pStyle w:val="Subsection"/>
      </w:pPr>
      <w:r>
        <w:tab/>
        <w:t>(2)</w:t>
      </w:r>
      <w:r>
        <w:tab/>
        <w:t>Any provision of the regulations that deals with a matter of a transitional nature under subsection (1) may be expressed to take effect from a time that is earlier than the beginning of the day on which the regulations containing the provision are made, not being a time earlier than the commencement of this section.</w:t>
      </w:r>
    </w:p>
    <w:p>
      <w:pPr>
        <w:pStyle w:val="Subsection"/>
      </w:pPr>
      <w:r>
        <w:tab/>
        <w:t>(3)</w:t>
      </w:r>
      <w:r>
        <w:tab/>
        <w:t xml:space="preserve">If a provision of the regulations is expressed to take effect from a time that is earlier than the beginning of the day on which the regulations containing the provision are published in the </w:t>
      </w:r>
      <w:r>
        <w:rPr>
          <w:i/>
          <w:iCs/>
        </w:rPr>
        <w:t>Government Gazette</w:t>
      </w:r>
      <w:r>
        <w:t xml:space="preserve">, the provision must also provide that the provision does not operate so as — </w:t>
      </w:r>
    </w:p>
    <w:p>
      <w:pPr>
        <w:pStyle w:val="Indenta"/>
      </w:pPr>
      <w:r>
        <w:tab/>
        <w:t>(a)</w:t>
      </w:r>
      <w:r>
        <w:tab/>
        <w:t>to prejudicially affect the rights of a person (other than the rights of a Minister of a participating jurisdiction or an entity involved in the administration of the Gas Pipelines Access Law or the National Gas Access (Western Australia) Law) existing before the day of publication of those regulations; or</w:t>
      </w:r>
    </w:p>
    <w:p>
      <w:pPr>
        <w:pStyle w:val="Indenta"/>
      </w:pPr>
      <w:r>
        <w:tab/>
        <w:t>(b)</w:t>
      </w:r>
      <w:r>
        <w:tab/>
        <w:t>to impose liabilities on any person (other than liabilities imposed on a Minister of a participating jurisdiction or an entity involved in the administration of the Gas Pipelines Access Law or the National Gas Access (Western Australia) Law) in respect of anything done or omitted to be done before the day of publication of those regulations.</w:t>
      </w:r>
    </w:p>
    <w:p>
      <w:pPr>
        <w:pStyle w:val="Subsection"/>
      </w:pPr>
      <w:r>
        <w:tab/>
        <w:t>(4)</w:t>
      </w:r>
      <w:r>
        <w:tab/>
        <w:t xml:space="preserve">In this section — </w:t>
      </w:r>
    </w:p>
    <w:p>
      <w:pPr>
        <w:pStyle w:val="Defstart"/>
      </w:pPr>
      <w:r>
        <w:rPr>
          <w:b/>
        </w:rPr>
        <w:tab/>
      </w:r>
      <w:r>
        <w:rPr>
          <w:rStyle w:val="CharDefText"/>
        </w:rPr>
        <w:t>Gas Pipelines Access Law</w:t>
      </w:r>
      <w:r>
        <w:t xml:space="preserve"> has the meaning that the term had under section 3(1) of the </w:t>
      </w:r>
      <w:r>
        <w:rPr>
          <w:i/>
        </w:rPr>
        <w:t>Gas Pipelines Access (Western Australia) Act 1998</w:t>
      </w:r>
      <w:r>
        <w:t xml:space="preserve"> before the commencement of this section;</w:t>
      </w:r>
    </w:p>
    <w:p>
      <w:pPr>
        <w:pStyle w:val="Defstart"/>
      </w:pPr>
      <w:r>
        <w:rPr>
          <w:b/>
        </w:rPr>
        <w:tab/>
      </w:r>
      <w:r>
        <w:rPr>
          <w:rStyle w:val="CharDefText"/>
        </w:rPr>
        <w:t>matters of a transitional nature</w:t>
      </w:r>
      <w:r>
        <w:t xml:space="preserve"> includes matters of an application or savings nature;</w:t>
      </w:r>
    </w:p>
    <w:p>
      <w:pPr>
        <w:pStyle w:val="Defstart"/>
      </w:pPr>
      <w:r>
        <w:rPr>
          <w:b/>
        </w:rPr>
        <w:tab/>
      </w:r>
      <w:r>
        <w:rPr>
          <w:rStyle w:val="CharDefText"/>
        </w:rPr>
        <w:t>National Gas Access (Western Australia) Law</w:t>
      </w:r>
      <w:r>
        <w:t xml:space="preserve"> means the provisions applying from time to time because of section 7, and it includes Rules made and in force under those provisions from time to time.</w:t>
      </w:r>
    </w:p>
    <w:p>
      <w:pPr>
        <w:pStyle w:val="Heading2"/>
      </w:pPr>
      <w:bookmarkStart w:id="71" w:name="_Toc52954081"/>
      <w:bookmarkStart w:id="72" w:name="_Toc52955377"/>
      <w:bookmarkStart w:id="73" w:name="_Toc52956876"/>
      <w:bookmarkStart w:id="74" w:name="_Toc52957659"/>
      <w:bookmarkStart w:id="75" w:name="_Toc53044992"/>
      <w:bookmarkStart w:id="76" w:name="_Toc53045775"/>
      <w:bookmarkStart w:id="77" w:name="_Toc501633720"/>
      <w:bookmarkStart w:id="78" w:name="_Toc501712616"/>
      <w:bookmarkStart w:id="79" w:name="_Toc536781810"/>
      <w:bookmarkStart w:id="80" w:name="_Toc5346841"/>
      <w:bookmarkStart w:id="81" w:name="_Toc5363394"/>
      <w:bookmarkStart w:id="82" w:name="_Toc5364615"/>
      <w:r>
        <w:rPr>
          <w:rStyle w:val="CharPartNo"/>
        </w:rPr>
        <w:t>Part 4</w:t>
      </w:r>
      <w:r>
        <w:t> — </w:t>
      </w:r>
      <w:r>
        <w:rPr>
          <w:rStyle w:val="CharPartText"/>
        </w:rPr>
        <w:t>Cross vesting of functions and powers</w:t>
      </w:r>
      <w:bookmarkEnd w:id="71"/>
      <w:bookmarkEnd w:id="72"/>
      <w:bookmarkEnd w:id="73"/>
      <w:bookmarkEnd w:id="74"/>
      <w:bookmarkEnd w:id="75"/>
      <w:bookmarkEnd w:id="76"/>
      <w:bookmarkEnd w:id="77"/>
      <w:bookmarkEnd w:id="78"/>
      <w:bookmarkEnd w:id="79"/>
      <w:bookmarkEnd w:id="80"/>
      <w:bookmarkEnd w:id="81"/>
      <w:bookmarkEnd w:id="82"/>
    </w:p>
    <w:p>
      <w:pPr>
        <w:pStyle w:val="Heading5"/>
      </w:pPr>
      <w:bookmarkStart w:id="83" w:name="_Toc53045776"/>
      <w:bookmarkStart w:id="84" w:name="_Toc5364616"/>
      <w:r>
        <w:rPr>
          <w:rStyle w:val="CharSectno"/>
        </w:rPr>
        <w:t>12</w:t>
      </w:r>
      <w:r>
        <w:t>.</w:t>
      </w:r>
      <w:r>
        <w:tab/>
        <w:t>Conferral of powers on Commonwealth Minister and Commonwealth bodies to act in this State</w:t>
      </w:r>
      <w:bookmarkEnd w:id="83"/>
      <w:bookmarkEnd w:id="84"/>
    </w:p>
    <w:p>
      <w:pPr>
        <w:pStyle w:val="Subsection"/>
      </w:pPr>
      <w:r>
        <w:tab/>
        <w:t>(1)</w:t>
      </w:r>
      <w:r>
        <w:tab/>
        <w:t>The Commonwealth Minister and the Commonwealth bodies have power to do acts in or in relation to this State in the performance or exercise of a function or power expressed to be conferred on them respectively by the national gas legislation of another participating jurisdiction.</w:t>
      </w:r>
    </w:p>
    <w:p>
      <w:pPr>
        <w:pStyle w:val="Subsection"/>
      </w:pPr>
      <w:r>
        <w:tab/>
        <w:t>(2)</w:t>
      </w:r>
      <w:r>
        <w:tab/>
        <w:t xml:space="preserve">In subsection (1) — </w:t>
      </w:r>
    </w:p>
    <w:p>
      <w:pPr>
        <w:pStyle w:val="Defstart"/>
      </w:pPr>
      <w:r>
        <w:rPr>
          <w:b/>
        </w:rPr>
        <w:tab/>
      </w:r>
      <w:r>
        <w:rPr>
          <w:rStyle w:val="CharDefText"/>
        </w:rPr>
        <w:t>Commonwealth bodies</w:t>
      </w:r>
      <w:r>
        <w:t xml:space="preserve"> means any of the following:</w:t>
      </w:r>
    </w:p>
    <w:p>
      <w:pPr>
        <w:pStyle w:val="Defpara"/>
      </w:pPr>
      <w:r>
        <w:tab/>
        <w:t>(a)</w:t>
      </w:r>
      <w:r>
        <w:tab/>
        <w:t>the AER;</w:t>
      </w:r>
    </w:p>
    <w:p>
      <w:pPr>
        <w:pStyle w:val="Defpara"/>
      </w:pPr>
      <w:r>
        <w:tab/>
        <w:t>(b)</w:t>
      </w:r>
      <w:r>
        <w:tab/>
        <w:t>the NCC;</w:t>
      </w:r>
    </w:p>
    <w:p>
      <w:pPr>
        <w:pStyle w:val="Defpara"/>
      </w:pPr>
      <w:r>
        <w:tab/>
        <w:t>(c)</w:t>
      </w:r>
      <w:r>
        <w:tab/>
        <w:t>the Tribunal.</w:t>
      </w:r>
    </w:p>
    <w:p>
      <w:pPr>
        <w:pStyle w:val="Heading5"/>
      </w:pPr>
      <w:bookmarkStart w:id="85" w:name="_Toc53045777"/>
      <w:bookmarkStart w:id="86" w:name="_Toc5364617"/>
      <w:r>
        <w:rPr>
          <w:rStyle w:val="CharSectno"/>
        </w:rPr>
        <w:t>13</w:t>
      </w:r>
      <w:r>
        <w:t>.</w:t>
      </w:r>
      <w:r>
        <w:tab/>
        <w:t>Conferral of powers on Ministers of other</w:t>
      </w:r>
      <w:r>
        <w:rPr>
          <w:b w:val="0"/>
          <w:bCs/>
        </w:rPr>
        <w:t xml:space="preserve"> </w:t>
      </w:r>
      <w:r>
        <w:t>participating States and Territories to act in this State</w:t>
      </w:r>
      <w:bookmarkEnd w:id="85"/>
      <w:bookmarkEnd w:id="86"/>
    </w:p>
    <w:p>
      <w:pPr>
        <w:pStyle w:val="Subsection"/>
      </w:pPr>
      <w:r>
        <w:tab/>
      </w:r>
      <w:r>
        <w:tab/>
        <w:t>The Minister of another participating jurisdiction has power to do acts in or in relation to this State in the performance or exercise of a function or power expressed to be conferred on the Minister by the national gas legislation of another participating jurisdiction.</w:t>
      </w:r>
    </w:p>
    <w:p>
      <w:pPr>
        <w:pStyle w:val="Heading5"/>
      </w:pPr>
      <w:bookmarkStart w:id="87" w:name="_Toc53045778"/>
      <w:bookmarkStart w:id="88" w:name="_Toc5364618"/>
      <w:r>
        <w:rPr>
          <w:rStyle w:val="CharSectno"/>
        </w:rPr>
        <w:t>14</w:t>
      </w:r>
      <w:r>
        <w:t>.</w:t>
      </w:r>
      <w:r>
        <w:tab/>
        <w:t>Conferral of functions or powers on State bodies</w:t>
      </w:r>
      <w:bookmarkEnd w:id="87"/>
      <w:bookmarkEnd w:id="88"/>
    </w:p>
    <w:p>
      <w:pPr>
        <w:pStyle w:val="Subsection"/>
      </w:pPr>
      <w:r>
        <w:tab/>
      </w:r>
      <w:r>
        <w:tab/>
        <w:t xml:space="preserve">If the national gas legislation of another participating jurisdiction confers a function or power on the Minister or another agency or instrumentality of this State constituted by a law of this State, the Minister or the other agency or instrumentality — </w:t>
      </w:r>
    </w:p>
    <w:p>
      <w:pPr>
        <w:pStyle w:val="Indenta"/>
      </w:pPr>
      <w:r>
        <w:tab/>
        <w:t>(a)</w:t>
      </w:r>
      <w:r>
        <w:tab/>
        <w:t>may perform that function or exercise that power; and</w:t>
      </w:r>
    </w:p>
    <w:p>
      <w:pPr>
        <w:pStyle w:val="Indenta"/>
      </w:pPr>
      <w:r>
        <w:tab/>
        <w:t>(b)</w:t>
      </w:r>
      <w:r>
        <w:tab/>
        <w:t>may do all things necessary or expedient to be done in connection with the performance or exercise of that function or power.</w:t>
      </w:r>
    </w:p>
    <w:p>
      <w:pPr>
        <w:pStyle w:val="Heading2"/>
      </w:pPr>
      <w:bookmarkStart w:id="89" w:name="_Toc52954085"/>
      <w:bookmarkStart w:id="90" w:name="_Toc52955381"/>
      <w:bookmarkStart w:id="91" w:name="_Toc52956880"/>
      <w:bookmarkStart w:id="92" w:name="_Toc52957663"/>
      <w:bookmarkStart w:id="93" w:name="_Toc53044996"/>
      <w:bookmarkStart w:id="94" w:name="_Toc53045779"/>
      <w:bookmarkStart w:id="95" w:name="_Toc501633724"/>
      <w:bookmarkStart w:id="96" w:name="_Toc501712620"/>
      <w:bookmarkStart w:id="97" w:name="_Toc536781814"/>
      <w:bookmarkStart w:id="98" w:name="_Toc5346845"/>
      <w:bookmarkStart w:id="99" w:name="_Toc5363398"/>
      <w:bookmarkStart w:id="100" w:name="_Toc5364619"/>
      <w:r>
        <w:rPr>
          <w:rStyle w:val="CharPartNo"/>
        </w:rPr>
        <w:t>Part 5</w:t>
      </w:r>
      <w:r>
        <w:t> — </w:t>
      </w:r>
      <w:r>
        <w:rPr>
          <w:rStyle w:val="CharPartText"/>
        </w:rPr>
        <w:t>General</w:t>
      </w:r>
      <w:bookmarkEnd w:id="89"/>
      <w:bookmarkEnd w:id="90"/>
      <w:bookmarkEnd w:id="91"/>
      <w:bookmarkEnd w:id="92"/>
      <w:bookmarkEnd w:id="93"/>
      <w:bookmarkEnd w:id="94"/>
      <w:bookmarkEnd w:id="95"/>
      <w:bookmarkEnd w:id="96"/>
      <w:bookmarkEnd w:id="97"/>
      <w:bookmarkEnd w:id="98"/>
      <w:bookmarkEnd w:id="99"/>
      <w:bookmarkEnd w:id="100"/>
    </w:p>
    <w:p>
      <w:pPr>
        <w:pStyle w:val="Heading5"/>
      </w:pPr>
      <w:bookmarkStart w:id="101" w:name="_Toc53045780"/>
      <w:bookmarkStart w:id="102" w:name="_Toc5364620"/>
      <w:r>
        <w:rPr>
          <w:rStyle w:val="CharSectno"/>
        </w:rPr>
        <w:t>15</w:t>
      </w:r>
      <w:r>
        <w:t>.</w:t>
      </w:r>
      <w:r>
        <w:tab/>
        <w:t>Exemption from taxes</w:t>
      </w:r>
      <w:bookmarkEnd w:id="101"/>
      <w:bookmarkEnd w:id="102"/>
    </w:p>
    <w:p>
      <w:pPr>
        <w:pStyle w:val="Subsection"/>
        <w:spacing w:before="200"/>
      </w:pPr>
      <w:r>
        <w:tab/>
        <w:t>(1)</w:t>
      </w:r>
      <w:r>
        <w:tab/>
        <w:t xml:space="preserve">Any duty or other tax imposed by or under a law of this State is not payable in relation to — </w:t>
      </w:r>
    </w:p>
    <w:p>
      <w:pPr>
        <w:pStyle w:val="Indenta"/>
      </w:pPr>
      <w:r>
        <w:tab/>
        <w:t>(a)</w:t>
      </w:r>
      <w:r>
        <w:tab/>
        <w:t>an exempt matter; or</w:t>
      </w:r>
    </w:p>
    <w:p>
      <w:pPr>
        <w:pStyle w:val="Indenta"/>
      </w:pPr>
      <w:r>
        <w:tab/>
        <w:t>(b)</w:t>
      </w:r>
      <w:r>
        <w:tab/>
        <w:t>anything done (including, for example, a transaction entered into or an instrument or document made, executed, lodged or given) because of, or arising out of, an exempt matter.</w:t>
      </w:r>
    </w:p>
    <w:p>
      <w:pPr>
        <w:pStyle w:val="Subsection"/>
        <w:spacing w:before="200"/>
      </w:pPr>
      <w:r>
        <w:tab/>
        <w:t>(2)</w:t>
      </w:r>
      <w:r>
        <w:tab/>
        <w:t xml:space="preserve">In this section — </w:t>
      </w:r>
    </w:p>
    <w:p>
      <w:pPr>
        <w:pStyle w:val="Defstart"/>
      </w:pPr>
      <w:r>
        <w:rPr>
          <w:b/>
        </w:rPr>
        <w:tab/>
      </w:r>
      <w:r>
        <w:rPr>
          <w:rStyle w:val="CharDefText"/>
        </w:rPr>
        <w:t>exempt matter</w:t>
      </w:r>
      <w:r>
        <w:t xml:space="preserve"> means a transfer of assets or liabilities — </w:t>
      </w:r>
    </w:p>
    <w:p>
      <w:pPr>
        <w:pStyle w:val="Defpara"/>
      </w:pPr>
      <w:r>
        <w:tab/>
        <w:t>(a)</w:t>
      </w:r>
      <w:r>
        <w:tab/>
        <w:t>that is made for the purpose of ensuring that a person does not carry on a business of producing, purchasing or selling natural gas or processable gas in breach of any ring fencing requirements of any national gas legislation or for the purpose of the separation of certain businesses or business activities from other businesses or business activities of a person as required by an AER ring fencing determination; and</w:t>
      </w:r>
    </w:p>
    <w:p>
      <w:pPr>
        <w:pStyle w:val="Defpara"/>
      </w:pPr>
      <w:r>
        <w:tab/>
        <w:t>(b)</w:t>
      </w:r>
      <w:r>
        <w:tab/>
        <w:t xml:space="preserve">that the Minister and the Treasurer declare from time to time, by order notice of which is published in the </w:t>
      </w:r>
      <w:r>
        <w:rPr>
          <w:i/>
          <w:iCs/>
        </w:rPr>
        <w:t>Government Gazette</w:t>
      </w:r>
      <w:r>
        <w:t>, to be an exempt matter for the purposes of this section.</w:t>
      </w:r>
    </w:p>
    <w:p>
      <w:pPr>
        <w:pStyle w:val="Heading5"/>
      </w:pPr>
      <w:bookmarkStart w:id="103" w:name="_Toc53045781"/>
      <w:bookmarkStart w:id="104" w:name="_Toc5364621"/>
      <w:r>
        <w:rPr>
          <w:rStyle w:val="CharSectno"/>
        </w:rPr>
        <w:t>16</w:t>
      </w:r>
      <w:r>
        <w:t>.</w:t>
      </w:r>
      <w:r>
        <w:tab/>
        <w:t>Actions in relation to cross boundary pipelines</w:t>
      </w:r>
      <w:bookmarkEnd w:id="103"/>
      <w:bookmarkEnd w:id="104"/>
    </w:p>
    <w:p>
      <w:pPr>
        <w:pStyle w:val="Subsection"/>
        <w:spacing w:before="200"/>
      </w:pPr>
      <w:r>
        <w:tab/>
        <w:t>(1)</w:t>
      </w:r>
      <w:r>
        <w:tab/>
        <w:t xml:space="preserve">If a pipeline is a cross boundary pipeline, any action taken under the national gas legislation of a participating jurisdiction in whose jurisdictional area a part of the pipeline is situated — </w:t>
      </w:r>
    </w:p>
    <w:p>
      <w:pPr>
        <w:pStyle w:val="Indenta"/>
      </w:pPr>
      <w:r>
        <w:tab/>
        <w:t>(a)</w:t>
      </w:r>
      <w:r>
        <w:tab/>
        <w:t>by, or in relation to, a relevant Minister; or</w:t>
      </w:r>
    </w:p>
    <w:p>
      <w:pPr>
        <w:pStyle w:val="Indenta"/>
        <w:keepNext/>
      </w:pPr>
      <w:r>
        <w:tab/>
        <w:t>(b)</w:t>
      </w:r>
      <w:r>
        <w:tab/>
        <w:t>by the Court within the meaning that term has in that legislation in relation to action taken by, or in relation to, a relevant Minister,</w:t>
      </w:r>
    </w:p>
    <w:p>
      <w:pPr>
        <w:pStyle w:val="Subsection"/>
      </w:pPr>
      <w:r>
        <w:tab/>
      </w:r>
      <w:r>
        <w:tab/>
        <w:t>is taken also to be taken under the national gas legislation of each participating jurisdiction in whose jurisdictional area a part of the pipeline is situated (</w:t>
      </w:r>
      <w:r>
        <w:rPr>
          <w:rStyle w:val="CharDefText"/>
          <w:bCs/>
        </w:rPr>
        <w:t>that other legislation</w:t>
      </w:r>
      <w:r>
        <w:t xml:space="preserve">) — </w:t>
      </w:r>
    </w:p>
    <w:p>
      <w:pPr>
        <w:pStyle w:val="Indenta"/>
      </w:pPr>
      <w:r>
        <w:tab/>
        <w:t>(c)</w:t>
      </w:r>
      <w:r>
        <w:tab/>
        <w:t>by, or in relation to, a relevant Minister within the meaning that term has in that other legislation; or</w:t>
      </w:r>
    </w:p>
    <w:p>
      <w:pPr>
        <w:pStyle w:val="Indenta"/>
      </w:pPr>
      <w:r>
        <w:tab/>
        <w:t>(d)</w:t>
      </w:r>
      <w:r>
        <w:tab/>
        <w:t>by the Court within the meaning that term has in that other legislation,</w:t>
      </w:r>
    </w:p>
    <w:p>
      <w:pPr>
        <w:pStyle w:val="Subsection"/>
      </w:pPr>
      <w:r>
        <w:tab/>
      </w:r>
      <w:r>
        <w:tab/>
        <w:t>as the case requires.</w:t>
      </w:r>
    </w:p>
    <w:p>
      <w:pPr>
        <w:pStyle w:val="Subsection"/>
      </w:pPr>
      <w:r>
        <w:tab/>
        <w:t>(2)</w:t>
      </w:r>
      <w:r>
        <w:tab/>
        <w:t>Despite subsection (1), no proceeding for judicial review or for a declaration, injunction, writ, order or remedy may be brought before the Court to challenge or question any action, or purported action, of a relevant Minister taken, or purportedly taken, in relation to a cross boundary distribution pipeline unless this jurisdiction has been determined to be the participating jurisdiction with which the cross boundary distribution pipeline is most closely connected.</w:t>
      </w:r>
    </w:p>
    <w:p>
      <w:pPr>
        <w:pStyle w:val="Subsection"/>
      </w:pPr>
      <w:r>
        <w:tab/>
        <w:t>(3)</w:t>
      </w:r>
      <w:r>
        <w:tab/>
        <w:t xml:space="preserve">A reference in this section — </w:t>
      </w:r>
    </w:p>
    <w:p>
      <w:pPr>
        <w:pStyle w:val="Indenta"/>
      </w:pPr>
      <w:r>
        <w:tab/>
        <w:t>(a)</w:t>
      </w:r>
      <w:r>
        <w:tab/>
        <w:t xml:space="preserve">to an action that is taken includes a reference to — </w:t>
      </w:r>
    </w:p>
    <w:p>
      <w:pPr>
        <w:pStyle w:val="Indenti"/>
      </w:pPr>
      <w:r>
        <w:tab/>
        <w:t>(i)</w:t>
      </w:r>
      <w:r>
        <w:tab/>
        <w:t>a decision or determination that is made; or</w:t>
      </w:r>
    </w:p>
    <w:p>
      <w:pPr>
        <w:pStyle w:val="Indenti"/>
      </w:pPr>
      <w:r>
        <w:tab/>
        <w:t>(ii)</w:t>
      </w:r>
      <w:r>
        <w:tab/>
        <w:t>an omission that is made;</w:t>
      </w:r>
    </w:p>
    <w:p>
      <w:pPr>
        <w:pStyle w:val="Indenta"/>
      </w:pPr>
      <w:r>
        <w:tab/>
        <w:t>(b)</w:t>
      </w:r>
      <w:r>
        <w:tab/>
        <w:t>to a purported action that is purportedly taken includes a reference to a purported decision or determination that is purportedly made.</w:t>
      </w:r>
    </w:p>
    <w:p>
      <w:pPr>
        <w:pStyle w:val="Subsection"/>
      </w:pPr>
      <w:r>
        <w:tab/>
        <w:t>(4)</w:t>
      </w:r>
      <w:r>
        <w:tab/>
        <w:t xml:space="preserve">In this section — </w:t>
      </w:r>
    </w:p>
    <w:p>
      <w:pPr>
        <w:pStyle w:val="Defstart"/>
      </w:pPr>
      <w:r>
        <w:rPr>
          <w:b/>
        </w:rPr>
        <w:tab/>
      </w:r>
      <w:r>
        <w:rPr>
          <w:rStyle w:val="CharDefText"/>
        </w:rPr>
        <w:t>cross boundary pipeline</w:t>
      </w:r>
      <w:r>
        <w:t xml:space="preserve"> means — </w:t>
      </w:r>
    </w:p>
    <w:p>
      <w:pPr>
        <w:pStyle w:val="Defpara"/>
      </w:pPr>
      <w:r>
        <w:tab/>
        <w:t>(a)</w:t>
      </w:r>
      <w:r>
        <w:tab/>
        <w:t>a cross boundary transmission pipeline; or</w:t>
      </w:r>
    </w:p>
    <w:p>
      <w:pPr>
        <w:pStyle w:val="Defpara"/>
      </w:pPr>
      <w:r>
        <w:tab/>
        <w:t>(b)</w:t>
      </w:r>
      <w:r>
        <w:tab/>
        <w:t>a cross boundary distribution pipeline.</w:t>
      </w:r>
    </w:p>
    <w:p>
      <w:pPr>
        <w:pStyle w:val="Heading5"/>
      </w:pPr>
      <w:bookmarkStart w:id="105" w:name="_Toc53045782"/>
      <w:bookmarkStart w:id="106" w:name="_Toc5364622"/>
      <w:r>
        <w:rPr>
          <w:rStyle w:val="CharSectno"/>
        </w:rPr>
        <w:t>17</w:t>
      </w:r>
      <w:r>
        <w:t>.</w:t>
      </w:r>
      <w:r>
        <w:tab/>
        <w:t>Conferral of functions and powers on Commonwealth bodies</w:t>
      </w:r>
      <w:bookmarkEnd w:id="105"/>
      <w:bookmarkEnd w:id="106"/>
    </w:p>
    <w:p>
      <w:pPr>
        <w:pStyle w:val="Subsection"/>
      </w:pPr>
      <w:r>
        <w:tab/>
        <w:t>(1)</w:t>
      </w:r>
      <w:r>
        <w:tab/>
        <w:t>Clause 2 of Schedule 2 to the National Gas Access (Western Australia) Law has effect in relation to the operation of any provision of this Act, or any regulation forming part of the National Gas Access (Western Australia) Regulations, as if the provision or regulation formed part of the National Gas Access (Western Australia) Law.</w:t>
      </w:r>
    </w:p>
    <w:p>
      <w:pPr>
        <w:pStyle w:val="Subsection"/>
      </w:pPr>
      <w:r>
        <w:tab/>
        <w:t>(2)</w:t>
      </w:r>
      <w:r>
        <w:tab/>
        <w:t>Subsection (1) does not limit the effect that a provision or regulation would validly have apart from the subsection.</w:t>
      </w:r>
    </w:p>
    <w:p>
      <w:pPr>
        <w:pStyle w:val="Heading2"/>
      </w:pPr>
      <w:bookmarkStart w:id="107" w:name="_Toc52954089"/>
      <w:bookmarkStart w:id="108" w:name="_Toc52955385"/>
      <w:bookmarkStart w:id="109" w:name="_Toc52956884"/>
      <w:bookmarkStart w:id="110" w:name="_Toc52957667"/>
      <w:bookmarkStart w:id="111" w:name="_Toc53045000"/>
      <w:bookmarkStart w:id="112" w:name="_Toc53045783"/>
      <w:bookmarkStart w:id="113" w:name="_Toc501633728"/>
      <w:bookmarkStart w:id="114" w:name="_Toc501712624"/>
      <w:bookmarkStart w:id="115" w:name="_Toc536781818"/>
      <w:bookmarkStart w:id="116" w:name="_Toc5346849"/>
      <w:bookmarkStart w:id="117" w:name="_Toc5363402"/>
      <w:bookmarkStart w:id="118" w:name="_Toc5364623"/>
      <w:r>
        <w:rPr>
          <w:rStyle w:val="CharPartNo"/>
        </w:rPr>
        <w:t>Part 6</w:t>
      </w:r>
      <w:r>
        <w:t> — </w:t>
      </w:r>
      <w:r>
        <w:rPr>
          <w:rStyle w:val="CharPartText"/>
        </w:rPr>
        <w:t>Other local provisions</w:t>
      </w:r>
      <w:bookmarkEnd w:id="107"/>
      <w:bookmarkEnd w:id="108"/>
      <w:bookmarkEnd w:id="109"/>
      <w:bookmarkEnd w:id="110"/>
      <w:bookmarkEnd w:id="111"/>
      <w:bookmarkEnd w:id="112"/>
      <w:bookmarkEnd w:id="113"/>
      <w:bookmarkEnd w:id="114"/>
      <w:bookmarkEnd w:id="115"/>
      <w:bookmarkEnd w:id="116"/>
      <w:bookmarkEnd w:id="117"/>
      <w:bookmarkEnd w:id="118"/>
    </w:p>
    <w:p>
      <w:pPr>
        <w:pStyle w:val="Heading3"/>
      </w:pPr>
      <w:bookmarkStart w:id="119" w:name="_Toc52954090"/>
      <w:bookmarkStart w:id="120" w:name="_Toc52955386"/>
      <w:bookmarkStart w:id="121" w:name="_Toc52956885"/>
      <w:bookmarkStart w:id="122" w:name="_Toc52957668"/>
      <w:bookmarkStart w:id="123" w:name="_Toc53045001"/>
      <w:bookmarkStart w:id="124" w:name="_Toc53045784"/>
      <w:bookmarkStart w:id="125" w:name="_Toc501633729"/>
      <w:bookmarkStart w:id="126" w:name="_Toc501712625"/>
      <w:bookmarkStart w:id="127" w:name="_Toc536781819"/>
      <w:bookmarkStart w:id="128" w:name="_Toc5346850"/>
      <w:bookmarkStart w:id="129" w:name="_Toc5363403"/>
      <w:bookmarkStart w:id="130" w:name="_Toc5364624"/>
      <w:r>
        <w:rPr>
          <w:rStyle w:val="CharDivNo"/>
        </w:rPr>
        <w:t>Division 1</w:t>
      </w:r>
      <w:r>
        <w:t> — </w:t>
      </w:r>
      <w:r>
        <w:rPr>
          <w:rStyle w:val="CharDivText"/>
        </w:rPr>
        <w:t>Economic Regulation Authority</w:t>
      </w:r>
      <w:bookmarkEnd w:id="119"/>
      <w:bookmarkEnd w:id="120"/>
      <w:bookmarkEnd w:id="121"/>
      <w:bookmarkEnd w:id="122"/>
      <w:bookmarkEnd w:id="123"/>
      <w:bookmarkEnd w:id="124"/>
      <w:bookmarkEnd w:id="125"/>
      <w:bookmarkEnd w:id="126"/>
      <w:bookmarkEnd w:id="127"/>
      <w:bookmarkEnd w:id="128"/>
      <w:bookmarkEnd w:id="129"/>
      <w:bookmarkEnd w:id="130"/>
    </w:p>
    <w:p>
      <w:pPr>
        <w:pStyle w:val="Heading5"/>
      </w:pPr>
      <w:bookmarkStart w:id="131" w:name="_Toc53045785"/>
      <w:bookmarkStart w:id="132" w:name="_Toc5364625"/>
      <w:r>
        <w:rPr>
          <w:rStyle w:val="CharSectno"/>
        </w:rPr>
        <w:t>18</w:t>
      </w:r>
      <w:r>
        <w:t>.</w:t>
      </w:r>
      <w:r>
        <w:tab/>
        <w:t>Expertise of Director of Energy Safety to be used</w:t>
      </w:r>
      <w:bookmarkEnd w:id="131"/>
      <w:bookmarkEnd w:id="132"/>
    </w:p>
    <w:p>
      <w:pPr>
        <w:pStyle w:val="Subsection"/>
      </w:pPr>
      <w:r>
        <w:tab/>
      </w:r>
      <w:r>
        <w:tab/>
        <w:t xml:space="preserve">In performing its functions under this Act the ERA is to make appropriate use of the expertise of the Director of Energy Safety under the </w:t>
      </w:r>
      <w:r>
        <w:rPr>
          <w:i/>
          <w:iCs/>
        </w:rPr>
        <w:t>Energy Coordination Act 1994</w:t>
      </w:r>
      <w:r>
        <w:t xml:space="preserve"> in relation to safety or technical standards in the gas supply industry.</w:t>
      </w:r>
    </w:p>
    <w:p>
      <w:pPr>
        <w:pStyle w:val="Heading3"/>
      </w:pPr>
      <w:bookmarkStart w:id="133" w:name="_Toc52954092"/>
      <w:bookmarkStart w:id="134" w:name="_Toc52955388"/>
      <w:bookmarkStart w:id="135" w:name="_Toc52956887"/>
      <w:bookmarkStart w:id="136" w:name="_Toc52957670"/>
      <w:bookmarkStart w:id="137" w:name="_Toc53045003"/>
      <w:bookmarkStart w:id="138" w:name="_Toc53045786"/>
      <w:bookmarkStart w:id="139" w:name="_Toc501633731"/>
      <w:bookmarkStart w:id="140" w:name="_Toc501712627"/>
      <w:bookmarkStart w:id="141" w:name="_Toc536781821"/>
      <w:bookmarkStart w:id="142" w:name="_Toc5346852"/>
      <w:bookmarkStart w:id="143" w:name="_Toc5363405"/>
      <w:bookmarkStart w:id="144" w:name="_Toc5364626"/>
      <w:r>
        <w:rPr>
          <w:rStyle w:val="CharDivNo"/>
        </w:rPr>
        <w:t>Division 2</w:t>
      </w:r>
      <w:r>
        <w:t> — </w:t>
      </w:r>
      <w:r>
        <w:rPr>
          <w:rStyle w:val="CharDivText"/>
        </w:rPr>
        <w:t>Miscellaneous</w:t>
      </w:r>
      <w:bookmarkEnd w:id="133"/>
      <w:bookmarkEnd w:id="134"/>
      <w:bookmarkEnd w:id="135"/>
      <w:bookmarkEnd w:id="136"/>
      <w:bookmarkEnd w:id="137"/>
      <w:bookmarkEnd w:id="138"/>
      <w:bookmarkEnd w:id="139"/>
      <w:bookmarkEnd w:id="140"/>
      <w:bookmarkEnd w:id="141"/>
      <w:bookmarkEnd w:id="142"/>
      <w:bookmarkEnd w:id="143"/>
      <w:bookmarkEnd w:id="144"/>
    </w:p>
    <w:p>
      <w:pPr>
        <w:pStyle w:val="Heading5"/>
        <w:ind w:left="720"/>
        <w:rPr>
          <w:rFonts w:eastAsia="Arial Unicode MS"/>
          <w:snapToGrid w:val="0"/>
          <w:szCs w:val="22"/>
        </w:rPr>
      </w:pPr>
      <w:bookmarkStart w:id="145" w:name="_Toc53045787"/>
      <w:bookmarkStart w:id="146" w:name="_Toc5364627"/>
      <w:r>
        <w:rPr>
          <w:rStyle w:val="CharSectno"/>
        </w:rPr>
        <w:t>19</w:t>
      </w:r>
      <w:r>
        <w:rPr>
          <w:snapToGrid w:val="0"/>
          <w:szCs w:val="22"/>
        </w:rPr>
        <w:t>.</w:t>
      </w:r>
      <w:r>
        <w:rPr>
          <w:snapToGrid w:val="0"/>
          <w:szCs w:val="22"/>
        </w:rPr>
        <w:tab/>
        <w:t>Preservation of certain contracts relating to privatised DBNGP system</w:t>
      </w:r>
      <w:bookmarkEnd w:id="145"/>
      <w:bookmarkEnd w:id="146"/>
    </w:p>
    <w:p>
      <w:pPr>
        <w:pStyle w:val="Subsection"/>
      </w:pPr>
      <w:r>
        <w:rPr>
          <w:sz w:val="22"/>
          <w:szCs w:val="22"/>
        </w:rPr>
        <w:tab/>
      </w:r>
      <w:r>
        <w:t>(1)</w:t>
      </w:r>
      <w:r>
        <w:rPr>
          <w:sz w:val="22"/>
          <w:szCs w:val="22"/>
        </w:rPr>
        <w:tab/>
      </w:r>
      <w:r>
        <w:rPr>
          <w:szCs w:val="22"/>
        </w:rPr>
        <w:t>The national provisions do not affect the continuance or operation of an exempt contract.</w:t>
      </w:r>
    </w:p>
    <w:p>
      <w:pPr>
        <w:pStyle w:val="Subsection"/>
        <w:rPr>
          <w:snapToGrid w:val="0"/>
          <w:szCs w:val="22"/>
        </w:rPr>
      </w:pPr>
      <w:r>
        <w:tab/>
        <w:t>(2)</w:t>
      </w:r>
      <w:r>
        <w:tab/>
      </w:r>
      <w:r>
        <w:rPr>
          <w:snapToGrid w:val="0"/>
          <w:szCs w:val="22"/>
        </w:rPr>
        <w:t xml:space="preserve">Despite the repeal of the </w:t>
      </w:r>
      <w:r>
        <w:rPr>
          <w:i/>
          <w:iCs/>
          <w:snapToGrid w:val="0"/>
          <w:szCs w:val="22"/>
        </w:rPr>
        <w:t>Gas Pipelines Access (Western Australia) Act 1998</w:t>
      </w:r>
      <w:r>
        <w:rPr>
          <w:snapToGrid w:val="0"/>
          <w:szCs w:val="22"/>
        </w:rPr>
        <w:t xml:space="preserve"> section 96, that section continues to apply </w:t>
      </w:r>
      <w:r>
        <w:rPr>
          <w:noProof/>
        </w:rPr>
        <w:t>to a contract other than an exempt contract</w:t>
      </w:r>
      <w:r>
        <w:rPr>
          <w:snapToGrid w:val="0"/>
          <w:szCs w:val="22"/>
        </w:rPr>
        <w:t xml:space="preserve"> as if the references in section 96(1) and (2)(b) to “the Code” were references to the relevant national provisions.</w:t>
      </w:r>
    </w:p>
    <w:p>
      <w:pPr>
        <w:pStyle w:val="Subsection"/>
        <w:rPr>
          <w:snapToGrid w:val="0"/>
          <w:szCs w:val="22"/>
        </w:rPr>
      </w:pPr>
      <w:r>
        <w:tab/>
        <w:t>(3)</w:t>
      </w:r>
      <w:r>
        <w:tab/>
      </w:r>
      <w:r>
        <w:rPr>
          <w:snapToGrid w:val="0"/>
          <w:szCs w:val="22"/>
        </w:rPr>
        <w:t>In this section — </w:t>
      </w:r>
    </w:p>
    <w:p>
      <w:pPr>
        <w:pStyle w:val="Defstart"/>
        <w:rPr>
          <w:sz w:val="22"/>
          <w:szCs w:val="22"/>
        </w:rPr>
      </w:pPr>
      <w:r>
        <w:tab/>
      </w:r>
      <w:r>
        <w:rPr>
          <w:rStyle w:val="CharDefText"/>
        </w:rPr>
        <w:t>exempt contract</w:t>
      </w:r>
      <w:r>
        <w:rPr>
          <w:sz w:val="22"/>
          <w:szCs w:val="22"/>
        </w:rPr>
        <w:t xml:space="preserve"> — </w:t>
      </w:r>
    </w:p>
    <w:p>
      <w:pPr>
        <w:pStyle w:val="Defpara"/>
        <w:rPr>
          <w:szCs w:val="22"/>
        </w:rPr>
      </w:pPr>
      <w:r>
        <w:rPr>
          <w:szCs w:val="22"/>
        </w:rPr>
        <w:tab/>
        <w:t>(a)</w:t>
      </w:r>
      <w:r>
        <w:rPr>
          <w:szCs w:val="22"/>
        </w:rPr>
        <w:tab/>
        <w:t xml:space="preserve">means a contract in respect of which a declaration under the </w:t>
      </w:r>
      <w:r>
        <w:rPr>
          <w:i/>
          <w:iCs/>
          <w:szCs w:val="22"/>
        </w:rPr>
        <w:t>Gas Corporation Act 1994</w:t>
      </w:r>
      <w:r>
        <w:rPr>
          <w:szCs w:val="22"/>
        </w:rPr>
        <w:t xml:space="preserve"> Schedule 5 clause 6 was in force immediately before the coming into operation of the </w:t>
      </w:r>
      <w:r>
        <w:rPr>
          <w:i/>
          <w:iCs/>
          <w:szCs w:val="22"/>
        </w:rPr>
        <w:t>Dampier to Bunbury Pipeline Act 1997</w:t>
      </w:r>
      <w:r>
        <w:rPr>
          <w:szCs w:val="22"/>
        </w:rPr>
        <w:t xml:space="preserve"> Schedule 4 clause 17(4); and</w:t>
      </w:r>
    </w:p>
    <w:p>
      <w:pPr>
        <w:pStyle w:val="Defpara"/>
        <w:rPr>
          <w:szCs w:val="22"/>
        </w:rPr>
      </w:pPr>
      <w:r>
        <w:rPr>
          <w:szCs w:val="22"/>
        </w:rPr>
        <w:tab/>
        <w:t>(b)</w:t>
      </w:r>
      <w:r>
        <w:rPr>
          <w:szCs w:val="22"/>
        </w:rPr>
        <w:tab/>
        <w:t xml:space="preserve">includes a contract entered into — </w:t>
      </w:r>
    </w:p>
    <w:p>
      <w:pPr>
        <w:pStyle w:val="Defsubpara"/>
        <w:rPr>
          <w:szCs w:val="22"/>
        </w:rPr>
      </w:pPr>
      <w:r>
        <w:rPr>
          <w:szCs w:val="22"/>
        </w:rPr>
        <w:tab/>
        <w:t>(i)</w:t>
      </w:r>
      <w:r>
        <w:rPr>
          <w:szCs w:val="22"/>
        </w:rPr>
        <w:tab/>
        <w:t>in substitution for a contract referred to in paragraph (a) or any provision of such a contract; or</w:t>
      </w:r>
    </w:p>
    <w:p>
      <w:pPr>
        <w:pStyle w:val="Defsubpara"/>
        <w:rPr>
          <w:szCs w:val="22"/>
        </w:rPr>
      </w:pPr>
      <w:r>
        <w:rPr>
          <w:szCs w:val="22"/>
        </w:rPr>
        <w:tab/>
        <w:t>(ii)</w:t>
      </w:r>
      <w:r>
        <w:rPr>
          <w:szCs w:val="22"/>
        </w:rPr>
        <w:tab/>
        <w:t>by way of amendment of a contract referred to in paragraph (a) or subparagraph (i);</w:t>
      </w:r>
    </w:p>
    <w:p>
      <w:pPr>
        <w:pStyle w:val="Defstart"/>
        <w:rPr>
          <w:szCs w:val="22"/>
        </w:rPr>
      </w:pPr>
      <w:r>
        <w:rPr>
          <w:szCs w:val="22"/>
        </w:rPr>
        <w:tab/>
      </w:r>
      <w:r>
        <w:rPr>
          <w:rStyle w:val="CharDefText"/>
        </w:rPr>
        <w:t>national provisions</w:t>
      </w:r>
      <w:r>
        <w:rPr>
          <w:szCs w:val="22"/>
        </w:rPr>
        <w:t xml:space="preserve"> means the National Gas Access (Western Australia) Law, the Rules made under that Law, and the National Gas Access (Western Australia) Regulations;</w:t>
      </w:r>
    </w:p>
    <w:p>
      <w:pPr>
        <w:pStyle w:val="Defstart"/>
        <w:keepNext/>
        <w:keepLines/>
        <w:rPr>
          <w:szCs w:val="22"/>
        </w:rPr>
      </w:pPr>
      <w:r>
        <w:rPr>
          <w:szCs w:val="22"/>
        </w:rPr>
        <w:tab/>
      </w:r>
      <w:r>
        <w:rPr>
          <w:rStyle w:val="CharDefText"/>
        </w:rPr>
        <w:t>relevant national provisions</w:t>
      </w:r>
      <w:r>
        <w:rPr>
          <w:szCs w:val="22"/>
        </w:rPr>
        <w:t xml:space="preserve"> means any of the national provisions having the same purpose as a provision of the Gas Code, as defined in the National Gas Access (Western Australia) Law section 2.</w:t>
      </w:r>
    </w:p>
    <w:p>
      <w:pPr>
        <w:pStyle w:val="Heading5"/>
      </w:pPr>
      <w:bookmarkStart w:id="147" w:name="_Toc53045788"/>
      <w:bookmarkStart w:id="148" w:name="_Toc5364628"/>
      <w:r>
        <w:rPr>
          <w:rStyle w:val="CharSectno"/>
        </w:rPr>
        <w:t>20</w:t>
      </w:r>
      <w:r>
        <w:t>.</w:t>
      </w:r>
      <w:r>
        <w:tab/>
        <w:t>Transitional provisions for Kalgoorlie to Kambalda pipeline</w:t>
      </w:r>
      <w:bookmarkEnd w:id="147"/>
      <w:bookmarkEnd w:id="148"/>
    </w:p>
    <w:p>
      <w:pPr>
        <w:pStyle w:val="Subsection"/>
      </w:pPr>
      <w:r>
        <w:tab/>
        <w:t>(1)</w:t>
      </w:r>
      <w:r>
        <w:tab/>
        <w:t xml:space="preserve">This section applies to the pipeline to which licence PL27, granted under the </w:t>
      </w:r>
      <w:r>
        <w:rPr>
          <w:i/>
          <w:iCs/>
        </w:rPr>
        <w:t>Petroleum Pipelines Act 1969</w:t>
      </w:r>
      <w:r>
        <w:t>, applies.</w:t>
      </w:r>
    </w:p>
    <w:p>
      <w:pPr>
        <w:pStyle w:val="Subsection"/>
      </w:pPr>
      <w:r>
        <w:tab/>
        <w:t>(2)</w:t>
      </w:r>
      <w:r>
        <w:tab/>
        <w:t xml:space="preserve">A service provider has a period of 6 months after the day on which section 30 comes into operation (the </w:t>
      </w:r>
      <w:r>
        <w:rPr>
          <w:rStyle w:val="CharDefText"/>
        </w:rPr>
        <w:t>transitional period</w:t>
      </w:r>
      <w:r>
        <w:t xml:space="preserve">) within which to — </w:t>
      </w:r>
    </w:p>
    <w:p>
      <w:pPr>
        <w:pStyle w:val="Indenta"/>
      </w:pPr>
      <w:r>
        <w:tab/>
        <w:t>(a)</w:t>
      </w:r>
      <w:r>
        <w:tab/>
        <w:t>submit to the ERA an access arrangement; or</w:t>
      </w:r>
    </w:p>
    <w:p>
      <w:pPr>
        <w:pStyle w:val="Indenta"/>
      </w:pPr>
      <w:r>
        <w:tab/>
        <w:t>(b)</w:t>
      </w:r>
      <w:r>
        <w:tab/>
        <w:t xml:space="preserve">apply for a determination that the pipeline be no longer a covered pipeline; or </w:t>
      </w:r>
    </w:p>
    <w:p>
      <w:pPr>
        <w:pStyle w:val="Indenta"/>
      </w:pPr>
      <w:r>
        <w:tab/>
        <w:t>(c)</w:t>
      </w:r>
      <w:r>
        <w:tab/>
        <w:t>apply under section 112 of the National Gas Access (Western Australia) Law for a light regulation determination.</w:t>
      </w:r>
    </w:p>
    <w:p>
      <w:pPr>
        <w:pStyle w:val="Subsection"/>
      </w:pPr>
      <w:r>
        <w:tab/>
        <w:t>(3)</w:t>
      </w:r>
      <w:r>
        <w:tab/>
        <w:t>Despite section 111(b) of the National Gas Access (Western Australia) Law, an application may be made in accordance with subsection (2)(c), even though there is no applicable access arrangement for the pipeline, and Chapter 3 Part 2 Division 1 Subdivision 1 of that Law applies to the application.</w:t>
      </w:r>
    </w:p>
    <w:p>
      <w:pPr>
        <w:pStyle w:val="Heading5"/>
      </w:pPr>
      <w:bookmarkStart w:id="149" w:name="_Toc53045789"/>
      <w:bookmarkStart w:id="150" w:name="_Toc5364629"/>
      <w:r>
        <w:rPr>
          <w:rStyle w:val="CharSectno"/>
        </w:rPr>
        <w:t>21</w:t>
      </w:r>
      <w:r>
        <w:t>.</w:t>
      </w:r>
      <w:r>
        <w:tab/>
        <w:t>Regulations</w:t>
      </w:r>
      <w:bookmarkEnd w:id="149"/>
      <w:bookmarkEnd w:id="150"/>
    </w:p>
    <w:p>
      <w:pPr>
        <w:pStyle w:val="Subsection"/>
      </w:pPr>
      <w:r>
        <w:tab/>
        <w:t>(1)</w:t>
      </w:r>
      <w:r>
        <w:tab/>
        <w:t>Without limiting the power to make regulations under Part 3, the Governor acting with the advice and consent of the Executive Council may make other regulations contemplated by, or necessary or expedient for giving effect to, this Act.</w:t>
      </w:r>
    </w:p>
    <w:p>
      <w:pPr>
        <w:pStyle w:val="Subsection"/>
      </w:pPr>
      <w:r>
        <w:tab/>
        <w:t>(2)</w:t>
      </w:r>
      <w:r>
        <w:tab/>
        <w:t>Regulations under subsection (1) may make provision for and in relation to the imposition and payment of fees and charges in connection with the performance of functions the arbitrator has under this Act, to the extent that the costs connected with performing those functions are not covered by fees under the National Gas Access (Western Australia) Regulations.</w:t>
      </w:r>
    </w:p>
    <w:p>
      <w:pPr>
        <w:pStyle w:val="Subsection"/>
      </w:pPr>
      <w:r>
        <w:tab/>
        <w:t>(3)</w:t>
      </w:r>
      <w: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(4)</w:t>
      </w:r>
      <w:r>
        <w:tab/>
        <w:t>Despite the National Gas Access (Western Australia) Law or Rules made under that Law, regulations under subsection (1) may make provision for further matters to affect the setting of a reference tariff for a reference service provided by means of a distribution pipeline to the extent that the service is used for the supply of natural gas to an end user prescribed by the regulations to be a small use customer for the purposes of this subsection.</w:t>
      </w:r>
    </w:p>
    <w:p>
      <w:pPr>
        <w:pStyle w:val="Subsection"/>
      </w:pPr>
      <w:r>
        <w:tab/>
        <w:t>(5)</w:t>
      </w:r>
      <w:r>
        <w:tab/>
        <w:t>Regulations under subsection (1) may prescribe a period ending not later than 31 December 2031 as a period during which the fixed principle referred to in clause 7.13(a)(ii) of the Revised Access Arrangement for the Dampier to Bunbury Natural Gas Pipeline dated 21 November 2006 applies despite anything in the National Gas Access (Western Australia) Law or Rules made under that Law, and during a period prescribed the fixed principle applies accordingly.</w:t>
      </w:r>
    </w:p>
    <w:p>
      <w:pPr>
        <w:pStyle w:val="Heading5"/>
      </w:pPr>
      <w:bookmarkStart w:id="151" w:name="_Toc53045790"/>
      <w:bookmarkStart w:id="152" w:name="_Toc5364630"/>
      <w:r>
        <w:rPr>
          <w:rStyle w:val="CharSectno"/>
        </w:rPr>
        <w:t>22</w:t>
      </w:r>
      <w:r>
        <w:t>.</w:t>
      </w:r>
      <w:r>
        <w:tab/>
        <w:t>Review of Act</w:t>
      </w:r>
      <w:bookmarkEnd w:id="151"/>
      <w:bookmarkEnd w:id="152"/>
    </w:p>
    <w:p>
      <w:pPr>
        <w:pStyle w:val="Subsection"/>
      </w:pPr>
      <w:r>
        <w:tab/>
        <w:t>(1)</w:t>
      </w:r>
      <w:r>
        <w:tab/>
        <w:t xml:space="preserve">The Minister is to cause </w:t>
      </w:r>
      <w:r>
        <w:rPr>
          <w:szCs w:val="22"/>
        </w:rPr>
        <w:t>a person, other than an officer of a department or body for which the Minister is responsible, to carry out a review</w:t>
      </w:r>
      <w:r>
        <w:t xml:space="preserve"> of the operation and effectiveness of this Act as soon as is practicable after the review day described in subsection (2) and, in the course of that review, consideration is to be given, and regard is to be had, to — </w:t>
      </w:r>
    </w:p>
    <w:p>
      <w:pPr>
        <w:pStyle w:val="Indenta"/>
      </w:pPr>
      <w:r>
        <w:tab/>
        <w:t>(a)</w:t>
      </w:r>
      <w:r>
        <w:tab/>
        <w:t>the effectiveness of the operations of the ERA and the WA arbitrator; and</w:t>
      </w:r>
    </w:p>
    <w:p>
      <w:pPr>
        <w:pStyle w:val="Indenta"/>
      </w:pPr>
      <w:r>
        <w:tab/>
        <w:t>(b)</w:t>
      </w:r>
      <w:r>
        <w:tab/>
        <w:t>the need for the continuation of section 21(4) and (5); and</w:t>
      </w:r>
    </w:p>
    <w:p>
      <w:pPr>
        <w:pStyle w:val="Indenta"/>
      </w:pPr>
      <w:r>
        <w:tab/>
        <w:t>(c)</w:t>
      </w:r>
      <w:r>
        <w:tab/>
        <w:t>any other matters that appear to the Minister to be relevant to the operation and effectiveness of this Act.</w:t>
      </w:r>
    </w:p>
    <w:p>
      <w:pPr>
        <w:pStyle w:val="Subsection"/>
      </w:pPr>
      <w:r>
        <w:tab/>
        <w:t>(2)</w:t>
      </w:r>
      <w:r>
        <w:tab/>
        <w:t xml:space="preserve">The review day is 1 July 2013 unless, before that day a licence is granted under the </w:t>
      </w:r>
      <w:r>
        <w:rPr>
          <w:i/>
          <w:iCs/>
        </w:rPr>
        <w:t>Petroleum Pipelines Act 1969</w:t>
      </w:r>
      <w:r>
        <w:t xml:space="preserve"> for a pipeline that is to be partly in the jurisdictional area of this State and partly in the jurisdictional area of the Northern Territory or South Australia, in which case the review day is the day on which the licence is granted.</w:t>
      </w:r>
    </w:p>
    <w:p>
      <w:pPr>
        <w:pStyle w:val="Subsection"/>
        <w:rPr>
          <w:szCs w:val="22"/>
        </w:rPr>
      </w:pPr>
      <w:r>
        <w:rPr>
          <w:sz w:val="22"/>
          <w:szCs w:val="22"/>
        </w:rPr>
        <w:tab/>
      </w:r>
      <w:r>
        <w:t>(3)</w:t>
      </w:r>
      <w:r>
        <w:rPr>
          <w:sz w:val="22"/>
          <w:szCs w:val="22"/>
        </w:rPr>
        <w:tab/>
      </w:r>
      <w:r>
        <w:rPr>
          <w:szCs w:val="22"/>
        </w:rPr>
        <w:t>The person carrying out the review is to prepare and give to the Minister a report based on the review within sufficient time to enable the Minister to comply with subsection (4).</w:t>
      </w:r>
    </w:p>
    <w:p>
      <w:pPr>
        <w:pStyle w:val="Subsection"/>
        <w:rPr>
          <w:sz w:val="22"/>
          <w:szCs w:val="22"/>
        </w:rPr>
      </w:pPr>
      <w:r>
        <w:tab/>
        <w:t>(4)</w:t>
      </w:r>
      <w:r>
        <w:tab/>
        <w:t>The Minister is to prepare a response to the report and, as soon as is practicable after the response is prepared, and in any event not more than 12 months after the review day described in subsection (2), cause the report and the response to be laid before each House of Parliament.</w:t>
      </w:r>
    </w:p>
    <w:p>
      <w:pPr>
        <w:pStyle w:val="Heading2"/>
      </w:pPr>
      <w:bookmarkStart w:id="153" w:name="_Toc52954097"/>
      <w:bookmarkStart w:id="154" w:name="_Toc52955393"/>
      <w:bookmarkStart w:id="155" w:name="_Toc52956892"/>
      <w:bookmarkStart w:id="156" w:name="_Toc52957675"/>
      <w:bookmarkStart w:id="157" w:name="_Toc53045008"/>
      <w:bookmarkStart w:id="158" w:name="_Toc53045791"/>
      <w:bookmarkStart w:id="159" w:name="_Toc501633736"/>
      <w:bookmarkStart w:id="160" w:name="_Toc501712632"/>
      <w:bookmarkStart w:id="161" w:name="_Toc536781826"/>
      <w:bookmarkStart w:id="162" w:name="_Toc5346857"/>
      <w:bookmarkStart w:id="163" w:name="_Toc5363410"/>
      <w:bookmarkStart w:id="164" w:name="_Toc5364631"/>
      <w:r>
        <w:rPr>
          <w:rStyle w:val="CharPartNo"/>
        </w:rPr>
        <w:t>Part 7</w:t>
      </w:r>
      <w:r>
        <w:t> — </w:t>
      </w:r>
      <w:r>
        <w:rPr>
          <w:rStyle w:val="CharPartText"/>
        </w:rPr>
        <w:t>Various Acts amended</w:t>
      </w:r>
      <w:bookmarkEnd w:id="153"/>
      <w:bookmarkEnd w:id="154"/>
      <w:bookmarkEnd w:id="155"/>
      <w:bookmarkEnd w:id="156"/>
      <w:bookmarkEnd w:id="157"/>
      <w:bookmarkEnd w:id="158"/>
      <w:bookmarkEnd w:id="159"/>
      <w:bookmarkEnd w:id="160"/>
      <w:bookmarkEnd w:id="161"/>
      <w:bookmarkEnd w:id="162"/>
      <w:bookmarkEnd w:id="163"/>
      <w:bookmarkEnd w:id="164"/>
    </w:p>
    <w:p>
      <w:pPr>
        <w:pStyle w:val="Heading3"/>
        <w:spacing w:before="120"/>
      </w:pPr>
      <w:bookmarkStart w:id="165" w:name="_Toc52954098"/>
      <w:bookmarkStart w:id="166" w:name="_Toc52955394"/>
      <w:bookmarkStart w:id="167" w:name="_Toc52956893"/>
      <w:bookmarkStart w:id="168" w:name="_Toc52957676"/>
      <w:bookmarkStart w:id="169" w:name="_Toc53045009"/>
      <w:bookmarkStart w:id="170" w:name="_Toc53045792"/>
      <w:bookmarkStart w:id="171" w:name="_Toc501633737"/>
      <w:bookmarkStart w:id="172" w:name="_Toc501712633"/>
      <w:bookmarkStart w:id="173" w:name="_Toc536781827"/>
      <w:bookmarkStart w:id="174" w:name="_Toc5346858"/>
      <w:bookmarkStart w:id="175" w:name="_Toc5363411"/>
      <w:bookmarkStart w:id="176" w:name="_Toc5364632"/>
      <w:r>
        <w:rPr>
          <w:rStyle w:val="CharDivNo"/>
        </w:rPr>
        <w:t>Division 1</w:t>
      </w:r>
      <w:r>
        <w:t> — </w:t>
      </w:r>
      <w:r>
        <w:rPr>
          <w:rStyle w:val="CharDivText"/>
          <w:i/>
        </w:rPr>
        <w:t>Gas Pipelines Access (Western Australia) Act 1998</w:t>
      </w:r>
      <w:bookmarkEnd w:id="165"/>
      <w:bookmarkEnd w:id="166"/>
      <w:bookmarkEnd w:id="167"/>
      <w:bookmarkEnd w:id="168"/>
      <w:bookmarkEnd w:id="169"/>
      <w:bookmarkEnd w:id="170"/>
      <w:bookmarkEnd w:id="171"/>
      <w:bookmarkEnd w:id="172"/>
      <w:bookmarkEnd w:id="173"/>
      <w:bookmarkEnd w:id="174"/>
      <w:bookmarkEnd w:id="175"/>
      <w:bookmarkEnd w:id="176"/>
    </w:p>
    <w:p>
      <w:pPr>
        <w:pStyle w:val="Heading5"/>
        <w:spacing w:before="120"/>
      </w:pPr>
      <w:bookmarkStart w:id="177" w:name="_Toc53045793"/>
      <w:bookmarkStart w:id="178" w:name="_Toc5364633"/>
      <w:r>
        <w:rPr>
          <w:rStyle w:val="CharSectno"/>
        </w:rPr>
        <w:t>23</w:t>
      </w:r>
      <w:r>
        <w:t>.</w:t>
      </w:r>
      <w:r>
        <w:tab/>
        <w:t>Act amended</w:t>
      </w:r>
      <w:bookmarkEnd w:id="177"/>
      <w:bookmarkEnd w:id="178"/>
    </w:p>
    <w:p>
      <w:pPr>
        <w:pStyle w:val="Subsection"/>
      </w:pPr>
      <w:r>
        <w:tab/>
      </w:r>
      <w:r>
        <w:tab/>
        <w:t xml:space="preserve">This Division amends the </w:t>
      </w:r>
      <w:r>
        <w:rPr>
          <w:i/>
          <w:iCs/>
        </w:rPr>
        <w:t>Gas Pipelines Access (Western Australia) Act 1998</w:t>
      </w:r>
      <w:r>
        <w:t>.</w:t>
      </w:r>
    </w:p>
    <w:p>
      <w:pPr>
        <w:pStyle w:val="Heading5"/>
        <w:spacing w:before="120"/>
      </w:pPr>
      <w:bookmarkStart w:id="179" w:name="_Toc53045794"/>
      <w:bookmarkStart w:id="180" w:name="_Toc5364634"/>
      <w:r>
        <w:rPr>
          <w:rStyle w:val="CharSectno"/>
        </w:rPr>
        <w:t>24</w:t>
      </w:r>
      <w:r>
        <w:t>.</w:t>
      </w:r>
      <w:r>
        <w:tab/>
        <w:t>Long title replaced</w:t>
      </w:r>
      <w:bookmarkEnd w:id="179"/>
      <w:bookmarkEnd w:id="180"/>
    </w:p>
    <w:p>
      <w:pPr>
        <w:pStyle w:val="Subsection"/>
      </w:pPr>
      <w:r>
        <w:tab/>
      </w:r>
      <w:r>
        <w:tab/>
        <w:t>Delete the long title and insert:</w:t>
      </w:r>
    </w:p>
    <w:p>
      <w:pPr>
        <w:pStyle w:val="BlankOpen"/>
      </w:pPr>
    </w:p>
    <w:p>
      <w:pPr>
        <w:pStyle w:val="zLongTitle"/>
      </w:pPr>
      <w:r>
        <w:t>An Act to provide for a review board and for an official who may arbitrate certain disputes, and for related purposes.</w:t>
      </w:r>
    </w:p>
    <w:p>
      <w:pPr>
        <w:pStyle w:val="BlankClose"/>
      </w:pPr>
    </w:p>
    <w:p>
      <w:pPr>
        <w:pStyle w:val="Heading5"/>
      </w:pPr>
      <w:bookmarkStart w:id="181" w:name="_Toc53045795"/>
      <w:bookmarkStart w:id="182" w:name="_Toc5364635"/>
      <w:r>
        <w:rPr>
          <w:rStyle w:val="CharSectno"/>
        </w:rPr>
        <w:t>25</w:t>
      </w:r>
      <w:r>
        <w:t>.</w:t>
      </w:r>
      <w:r>
        <w:tab/>
        <w:t>Preamble deleted</w:t>
      </w:r>
      <w:bookmarkEnd w:id="181"/>
      <w:bookmarkEnd w:id="182"/>
    </w:p>
    <w:p>
      <w:pPr>
        <w:pStyle w:val="Subsection"/>
      </w:pPr>
      <w:r>
        <w:tab/>
      </w:r>
      <w:r>
        <w:tab/>
        <w:t>Delete the preamble.</w:t>
      </w:r>
    </w:p>
    <w:p>
      <w:pPr>
        <w:pStyle w:val="Heading5"/>
      </w:pPr>
      <w:bookmarkStart w:id="183" w:name="_Toc53045796"/>
      <w:bookmarkStart w:id="184" w:name="_Toc5364636"/>
      <w:r>
        <w:rPr>
          <w:rStyle w:val="CharSectno"/>
        </w:rPr>
        <w:t>26</w:t>
      </w:r>
      <w:r>
        <w:t>.</w:t>
      </w:r>
      <w:r>
        <w:tab/>
        <w:t>Section 1 amended</w:t>
      </w:r>
      <w:bookmarkEnd w:id="183"/>
      <w:bookmarkEnd w:id="184"/>
    </w:p>
    <w:p>
      <w:pPr>
        <w:pStyle w:val="Subsection"/>
      </w:pPr>
      <w:r>
        <w:tab/>
      </w:r>
      <w:r>
        <w:tab/>
        <w:t>In section 1 delete “</w:t>
      </w:r>
      <w:r>
        <w:rPr>
          <w:i/>
          <w:iCs/>
        </w:rPr>
        <w:t>Gas Pipelines Access (Western Australia) Act 1998.</w:t>
      </w:r>
      <w:r>
        <w:t>” and insert:</w:t>
      </w:r>
    </w:p>
    <w:p>
      <w:pPr>
        <w:pStyle w:val="BlankOpen"/>
      </w:pPr>
    </w:p>
    <w:p>
      <w:pPr>
        <w:pStyle w:val="Subsection"/>
        <w:rPr>
          <w:i/>
          <w:iCs/>
        </w:rPr>
      </w:pPr>
      <w:r>
        <w:tab/>
      </w:r>
      <w:r>
        <w:tab/>
      </w:r>
      <w:r>
        <w:rPr>
          <w:i/>
          <w:iCs/>
        </w:rPr>
        <w:t>Energy Arbitration and Review Act 1998.</w:t>
      </w:r>
    </w:p>
    <w:p>
      <w:pPr>
        <w:pStyle w:val="BlankClose"/>
      </w:pPr>
    </w:p>
    <w:p>
      <w:pPr>
        <w:pStyle w:val="Heading5"/>
      </w:pPr>
      <w:bookmarkStart w:id="185" w:name="_Toc53045797"/>
      <w:bookmarkStart w:id="186" w:name="_Toc5364637"/>
      <w:r>
        <w:rPr>
          <w:rStyle w:val="CharSectno"/>
        </w:rPr>
        <w:t>27</w:t>
      </w:r>
      <w:r>
        <w:t>.</w:t>
      </w:r>
      <w:r>
        <w:tab/>
        <w:t>Sections 2 to 4 deleted</w:t>
      </w:r>
      <w:bookmarkEnd w:id="185"/>
      <w:bookmarkEnd w:id="186"/>
    </w:p>
    <w:p>
      <w:pPr>
        <w:pStyle w:val="Subsection"/>
      </w:pPr>
      <w:r>
        <w:tab/>
      </w:r>
      <w:r>
        <w:tab/>
        <w:t>Delete sections 2 to 4.</w:t>
      </w:r>
    </w:p>
    <w:p>
      <w:pPr>
        <w:pStyle w:val="Heading5"/>
      </w:pPr>
      <w:bookmarkStart w:id="187" w:name="_Toc53045798"/>
      <w:bookmarkStart w:id="188" w:name="_Toc5364638"/>
      <w:r>
        <w:rPr>
          <w:rStyle w:val="CharSectno"/>
        </w:rPr>
        <w:t>28</w:t>
      </w:r>
      <w:r>
        <w:t>.</w:t>
      </w:r>
      <w:r>
        <w:tab/>
        <w:t>Section 5 amended</w:t>
      </w:r>
      <w:bookmarkEnd w:id="187"/>
      <w:bookmarkEnd w:id="188"/>
    </w:p>
    <w:p>
      <w:pPr>
        <w:pStyle w:val="Subsection"/>
      </w:pPr>
      <w:r>
        <w:tab/>
      </w:r>
      <w:r>
        <w:tab/>
        <w:t>In section 5 delete “bind” and all of the section before it and insert:</w:t>
      </w:r>
    </w:p>
    <w:p>
      <w:pPr>
        <w:pStyle w:val="BlankOpen"/>
      </w:pPr>
    </w:p>
    <w:p>
      <w:pPr>
        <w:pStyle w:val="Subsection"/>
      </w:pPr>
      <w:r>
        <w:tab/>
      </w:r>
      <w:r>
        <w:tab/>
        <w:t>This Act binds</w:t>
      </w:r>
    </w:p>
    <w:p>
      <w:pPr>
        <w:pStyle w:val="BlankClose"/>
      </w:pPr>
    </w:p>
    <w:p>
      <w:pPr>
        <w:pStyle w:val="Heading5"/>
      </w:pPr>
      <w:bookmarkStart w:id="189" w:name="_Toc53045799"/>
      <w:bookmarkStart w:id="190" w:name="_Toc5364639"/>
      <w:r>
        <w:rPr>
          <w:rStyle w:val="CharSectno"/>
        </w:rPr>
        <w:t>29</w:t>
      </w:r>
      <w:r>
        <w:t>.</w:t>
      </w:r>
      <w:r>
        <w:tab/>
        <w:t>Sections 6 to 8 deleted</w:t>
      </w:r>
      <w:bookmarkEnd w:id="189"/>
      <w:bookmarkEnd w:id="190"/>
    </w:p>
    <w:p>
      <w:pPr>
        <w:pStyle w:val="Subsection"/>
        <w:spacing w:before="120"/>
      </w:pPr>
      <w:r>
        <w:tab/>
      </w:r>
      <w:r>
        <w:tab/>
        <w:t>Delete sections 6 to 8.</w:t>
      </w:r>
    </w:p>
    <w:p>
      <w:pPr>
        <w:pStyle w:val="Heading5"/>
      </w:pPr>
      <w:bookmarkStart w:id="191" w:name="_Toc53045800"/>
      <w:bookmarkStart w:id="192" w:name="_Toc5364640"/>
      <w:r>
        <w:rPr>
          <w:rStyle w:val="CharSectno"/>
        </w:rPr>
        <w:t>30</w:t>
      </w:r>
      <w:r>
        <w:t>.</w:t>
      </w:r>
      <w:r>
        <w:tab/>
        <w:t>Parts 2 to 5 deleted</w:t>
      </w:r>
      <w:bookmarkEnd w:id="191"/>
      <w:bookmarkEnd w:id="192"/>
    </w:p>
    <w:p>
      <w:pPr>
        <w:pStyle w:val="Subsection"/>
        <w:spacing w:before="120"/>
      </w:pPr>
      <w:r>
        <w:tab/>
      </w:r>
      <w:r>
        <w:tab/>
        <w:t>Delete Parts 2 to 5.</w:t>
      </w:r>
    </w:p>
    <w:p>
      <w:pPr>
        <w:pStyle w:val="Heading5"/>
      </w:pPr>
      <w:bookmarkStart w:id="193" w:name="_Toc53045801"/>
      <w:bookmarkStart w:id="194" w:name="_Toc5364641"/>
      <w:r>
        <w:rPr>
          <w:rStyle w:val="CharSectno"/>
        </w:rPr>
        <w:t>31</w:t>
      </w:r>
      <w:r>
        <w:t>.</w:t>
      </w:r>
      <w:r>
        <w:tab/>
        <w:t>Part 6 heading replaced</w:t>
      </w:r>
      <w:bookmarkEnd w:id="193"/>
      <w:bookmarkEnd w:id="194"/>
    </w:p>
    <w:p>
      <w:pPr>
        <w:pStyle w:val="Subsection"/>
        <w:spacing w:before="120"/>
      </w:pPr>
      <w:r>
        <w:tab/>
      </w:r>
      <w:r>
        <w:tab/>
        <w:t>Delete the heading to Part 6 and insert:</w:t>
      </w:r>
    </w:p>
    <w:p>
      <w:pPr>
        <w:pStyle w:val="BlankOpen"/>
      </w:pPr>
    </w:p>
    <w:p>
      <w:pPr>
        <w:pStyle w:val="zHeading2"/>
        <w:spacing w:before="0"/>
      </w:pPr>
      <w:bookmarkStart w:id="195" w:name="_Toc52954108"/>
      <w:bookmarkStart w:id="196" w:name="_Toc52955404"/>
      <w:bookmarkStart w:id="197" w:name="_Toc52956903"/>
      <w:bookmarkStart w:id="198" w:name="_Toc52957686"/>
      <w:bookmarkStart w:id="199" w:name="_Toc53045019"/>
      <w:bookmarkStart w:id="200" w:name="_Toc53045802"/>
      <w:bookmarkStart w:id="201" w:name="_Toc501633747"/>
      <w:bookmarkStart w:id="202" w:name="_Toc501712643"/>
      <w:bookmarkStart w:id="203" w:name="_Toc536781837"/>
      <w:bookmarkStart w:id="204" w:name="_Toc5346868"/>
      <w:bookmarkStart w:id="205" w:name="_Toc5363421"/>
      <w:bookmarkStart w:id="206" w:name="_Toc5364642"/>
      <w:r>
        <w:t>Part 6</w:t>
      </w:r>
      <w:r>
        <w:rPr>
          <w:b w:val="0"/>
        </w:rPr>
        <w:t> </w:t>
      </w:r>
      <w:r>
        <w:t>—</w:t>
      </w:r>
      <w:r>
        <w:rPr>
          <w:b w:val="0"/>
        </w:rPr>
        <w:t> </w:t>
      </w:r>
      <w:r>
        <w:t>Review board and arbitrator</w:t>
      </w:r>
      <w:bookmarkEnd w:id="195"/>
      <w:bookmarkEnd w:id="196"/>
      <w:bookmarkEnd w:id="197"/>
      <w:bookmarkEnd w:id="198"/>
      <w:bookmarkEnd w:id="199"/>
      <w:bookmarkEnd w:id="200"/>
      <w:bookmarkEnd w:id="201"/>
      <w:bookmarkEnd w:id="202"/>
      <w:bookmarkEnd w:id="203"/>
      <w:bookmarkEnd w:id="204"/>
      <w:bookmarkEnd w:id="205"/>
      <w:bookmarkEnd w:id="206"/>
    </w:p>
    <w:p>
      <w:pPr>
        <w:pStyle w:val="BlankClose"/>
      </w:pPr>
    </w:p>
    <w:p>
      <w:pPr>
        <w:pStyle w:val="Heading5"/>
        <w:spacing w:before="180"/>
      </w:pPr>
      <w:bookmarkStart w:id="207" w:name="_Toc53045803"/>
      <w:bookmarkStart w:id="208" w:name="_Toc5364643"/>
      <w:r>
        <w:rPr>
          <w:rStyle w:val="CharSectno"/>
        </w:rPr>
        <w:t>32</w:t>
      </w:r>
      <w:r>
        <w:t>.</w:t>
      </w:r>
      <w:r>
        <w:tab/>
        <w:t>Part 6 Division 1 deleted</w:t>
      </w:r>
      <w:bookmarkEnd w:id="207"/>
      <w:bookmarkEnd w:id="208"/>
    </w:p>
    <w:p>
      <w:pPr>
        <w:pStyle w:val="Subsection"/>
        <w:spacing w:before="120"/>
      </w:pPr>
      <w:r>
        <w:tab/>
      </w:r>
      <w:r>
        <w:tab/>
        <w:t>Delete Part 6 Division 1.</w:t>
      </w:r>
    </w:p>
    <w:p>
      <w:pPr>
        <w:pStyle w:val="Heading5"/>
        <w:spacing w:before="180"/>
      </w:pPr>
      <w:bookmarkStart w:id="209" w:name="_Toc53045804"/>
      <w:bookmarkStart w:id="210" w:name="_Toc5364644"/>
      <w:r>
        <w:rPr>
          <w:rStyle w:val="CharSectno"/>
        </w:rPr>
        <w:t>33</w:t>
      </w:r>
      <w:r>
        <w:t>.</w:t>
      </w:r>
      <w:r>
        <w:tab/>
        <w:t>Part 6 Division 2 heading replaced</w:t>
      </w:r>
      <w:bookmarkEnd w:id="209"/>
      <w:bookmarkEnd w:id="210"/>
    </w:p>
    <w:p>
      <w:pPr>
        <w:pStyle w:val="Subsection"/>
        <w:spacing w:before="120"/>
      </w:pPr>
      <w:r>
        <w:tab/>
      </w:r>
      <w:r>
        <w:tab/>
        <w:t>Delete the heading to Part 6 Division 2 and insert:</w:t>
      </w:r>
    </w:p>
    <w:p>
      <w:pPr>
        <w:pStyle w:val="BlankOpen"/>
      </w:pPr>
    </w:p>
    <w:p>
      <w:pPr>
        <w:pStyle w:val="zHeading3"/>
        <w:spacing w:before="0"/>
      </w:pPr>
      <w:bookmarkStart w:id="211" w:name="_Toc52954111"/>
      <w:bookmarkStart w:id="212" w:name="_Toc52955407"/>
      <w:bookmarkStart w:id="213" w:name="_Toc52956906"/>
      <w:bookmarkStart w:id="214" w:name="_Toc52957689"/>
      <w:bookmarkStart w:id="215" w:name="_Toc53045022"/>
      <w:bookmarkStart w:id="216" w:name="_Toc53045805"/>
      <w:bookmarkStart w:id="217" w:name="_Toc501633750"/>
      <w:bookmarkStart w:id="218" w:name="_Toc501712646"/>
      <w:bookmarkStart w:id="219" w:name="_Toc536781840"/>
      <w:bookmarkStart w:id="220" w:name="_Toc5346871"/>
      <w:bookmarkStart w:id="221" w:name="_Toc5363424"/>
      <w:bookmarkStart w:id="222" w:name="_Toc5364645"/>
      <w:r>
        <w:t>Division 2 — Review board</w:t>
      </w:r>
      <w:bookmarkEnd w:id="211"/>
      <w:bookmarkEnd w:id="212"/>
      <w:bookmarkEnd w:id="213"/>
      <w:bookmarkEnd w:id="214"/>
      <w:bookmarkEnd w:id="215"/>
      <w:bookmarkEnd w:id="216"/>
      <w:bookmarkEnd w:id="217"/>
      <w:bookmarkEnd w:id="218"/>
      <w:bookmarkEnd w:id="219"/>
      <w:bookmarkEnd w:id="220"/>
      <w:bookmarkEnd w:id="221"/>
      <w:bookmarkEnd w:id="222"/>
    </w:p>
    <w:p>
      <w:pPr>
        <w:pStyle w:val="BlankClose"/>
      </w:pPr>
    </w:p>
    <w:p>
      <w:pPr>
        <w:pStyle w:val="Heading5"/>
        <w:spacing w:before="180"/>
      </w:pPr>
      <w:bookmarkStart w:id="223" w:name="_Toc53045806"/>
      <w:bookmarkStart w:id="224" w:name="_Toc5364646"/>
      <w:r>
        <w:rPr>
          <w:rStyle w:val="CharSectno"/>
        </w:rPr>
        <w:t>34</w:t>
      </w:r>
      <w:r>
        <w:t>.</w:t>
      </w:r>
      <w:r>
        <w:tab/>
        <w:t>Section 49 amended</w:t>
      </w:r>
      <w:bookmarkEnd w:id="223"/>
      <w:bookmarkEnd w:id="224"/>
    </w:p>
    <w:p>
      <w:pPr>
        <w:pStyle w:val="Subsection"/>
        <w:spacing w:before="120"/>
      </w:pPr>
      <w:r>
        <w:tab/>
      </w:r>
      <w:r>
        <w:tab/>
        <w:t xml:space="preserve">In section 49 in the definition of </w:t>
      </w:r>
      <w:r>
        <w:rPr>
          <w:b/>
          <w:bCs/>
          <w:i/>
          <w:iCs/>
        </w:rPr>
        <w:t>Board</w:t>
      </w:r>
      <w:r>
        <w:t xml:space="preserve"> delete “Western Australian Gas Review Board” and insert:</w:t>
      </w:r>
    </w:p>
    <w:p>
      <w:pPr>
        <w:pStyle w:val="BlankOpen"/>
      </w:pPr>
    </w:p>
    <w:p>
      <w:pPr>
        <w:pStyle w:val="Subsection"/>
      </w:pPr>
      <w:r>
        <w:tab/>
      </w:r>
      <w:r>
        <w:tab/>
        <w:t>Western Australian Electricity Review Board</w:t>
      </w:r>
    </w:p>
    <w:p>
      <w:pPr>
        <w:pStyle w:val="BlankClose"/>
      </w:pPr>
    </w:p>
    <w:p>
      <w:pPr>
        <w:pStyle w:val="Heading5"/>
        <w:spacing w:before="180"/>
      </w:pPr>
      <w:bookmarkStart w:id="225" w:name="_Toc53045807"/>
      <w:bookmarkStart w:id="226" w:name="_Toc5364647"/>
      <w:r>
        <w:rPr>
          <w:rStyle w:val="CharSectno"/>
        </w:rPr>
        <w:t>35</w:t>
      </w:r>
      <w:r>
        <w:t>.</w:t>
      </w:r>
      <w:r>
        <w:tab/>
        <w:t>Part 6 Division 2 Subdivision 2 heading replaced</w:t>
      </w:r>
      <w:bookmarkEnd w:id="225"/>
      <w:bookmarkEnd w:id="226"/>
    </w:p>
    <w:p>
      <w:pPr>
        <w:pStyle w:val="Subsection"/>
        <w:spacing w:before="120"/>
      </w:pPr>
      <w:r>
        <w:tab/>
      </w:r>
      <w:r>
        <w:tab/>
        <w:t>Delete the heading to Part 6 Division 2 Subdivision 2 and insert:</w:t>
      </w:r>
    </w:p>
    <w:p>
      <w:pPr>
        <w:pStyle w:val="BlankOpen"/>
      </w:pPr>
    </w:p>
    <w:p>
      <w:pPr>
        <w:pStyle w:val="zHeading4"/>
        <w:spacing w:before="0"/>
      </w:pPr>
      <w:bookmarkStart w:id="227" w:name="_Toc52954114"/>
      <w:bookmarkStart w:id="228" w:name="_Toc52955410"/>
      <w:bookmarkStart w:id="229" w:name="_Toc52956909"/>
      <w:bookmarkStart w:id="230" w:name="_Toc52957692"/>
      <w:bookmarkStart w:id="231" w:name="_Toc53045025"/>
      <w:bookmarkStart w:id="232" w:name="_Toc53045808"/>
      <w:bookmarkStart w:id="233" w:name="_Toc501633753"/>
      <w:bookmarkStart w:id="234" w:name="_Toc501712649"/>
      <w:bookmarkStart w:id="235" w:name="_Toc536781843"/>
      <w:bookmarkStart w:id="236" w:name="_Toc5346874"/>
      <w:bookmarkStart w:id="237" w:name="_Toc5363427"/>
      <w:bookmarkStart w:id="238" w:name="_Toc5364648"/>
      <w:r>
        <w:t>Subdivision 2 — Western Australian Electricity Review Board established</w:t>
      </w:r>
      <w:bookmarkEnd w:id="227"/>
      <w:bookmarkEnd w:id="228"/>
      <w:bookmarkEnd w:id="229"/>
      <w:bookmarkEnd w:id="230"/>
      <w:bookmarkEnd w:id="231"/>
      <w:bookmarkEnd w:id="232"/>
      <w:bookmarkEnd w:id="233"/>
      <w:bookmarkEnd w:id="234"/>
      <w:bookmarkEnd w:id="235"/>
      <w:bookmarkEnd w:id="236"/>
      <w:bookmarkEnd w:id="237"/>
      <w:bookmarkEnd w:id="238"/>
    </w:p>
    <w:p>
      <w:pPr>
        <w:pStyle w:val="BlankClose"/>
      </w:pPr>
    </w:p>
    <w:p>
      <w:pPr>
        <w:pStyle w:val="Heading5"/>
      </w:pPr>
      <w:bookmarkStart w:id="239" w:name="_Toc53045809"/>
      <w:bookmarkStart w:id="240" w:name="_Toc5364649"/>
      <w:r>
        <w:rPr>
          <w:rStyle w:val="CharSectno"/>
        </w:rPr>
        <w:t>36</w:t>
      </w:r>
      <w:r>
        <w:t>.</w:t>
      </w:r>
      <w:r>
        <w:tab/>
        <w:t>Section 50 amended</w:t>
      </w:r>
      <w:bookmarkEnd w:id="239"/>
      <w:bookmarkEnd w:id="240"/>
    </w:p>
    <w:p>
      <w:pPr>
        <w:pStyle w:val="Subsection"/>
      </w:pPr>
      <w:r>
        <w:tab/>
        <w:t>(1)</w:t>
      </w:r>
      <w:r>
        <w:tab/>
        <w:t>In section 50(1) delete “Western Australian Gas Review Board” and insert:</w:t>
      </w:r>
    </w:p>
    <w:p>
      <w:pPr>
        <w:pStyle w:val="BlankOpen"/>
      </w:pPr>
    </w:p>
    <w:p>
      <w:pPr>
        <w:pStyle w:val="Subsection"/>
      </w:pPr>
      <w:r>
        <w:tab/>
      </w:r>
      <w:r>
        <w:tab/>
        <w:t>Western Australian Electricity Review Board</w:t>
      </w:r>
    </w:p>
    <w:p>
      <w:pPr>
        <w:pStyle w:val="BlankClose"/>
      </w:pPr>
    </w:p>
    <w:p>
      <w:pPr>
        <w:pStyle w:val="Subsection"/>
      </w:pPr>
      <w:r>
        <w:tab/>
        <w:t>(2)</w:t>
      </w:r>
      <w:r>
        <w:tab/>
        <w:t>After section 50(1) insert:</w:t>
      </w:r>
    </w:p>
    <w:p>
      <w:pPr>
        <w:pStyle w:val="BlankOpen"/>
      </w:pPr>
    </w:p>
    <w:p>
      <w:pPr>
        <w:pStyle w:val="zSubsection"/>
        <w:spacing w:before="0"/>
      </w:pPr>
      <w:r>
        <w:tab/>
        <w:t>(2A)</w:t>
      </w:r>
      <w:r>
        <w:tab/>
        <w:t xml:space="preserve">The Board has functions under the </w:t>
      </w:r>
      <w:r>
        <w:rPr>
          <w:i/>
          <w:iCs/>
        </w:rPr>
        <w:t>Electricity Industry Act 2004</w:t>
      </w:r>
      <w:r>
        <w:t>.</w:t>
      </w:r>
    </w:p>
    <w:p>
      <w:pPr>
        <w:pStyle w:val="BlankClose"/>
      </w:pPr>
    </w:p>
    <w:p>
      <w:pPr>
        <w:pStyle w:val="Heading5"/>
      </w:pPr>
      <w:bookmarkStart w:id="241" w:name="_Toc53045810"/>
      <w:bookmarkStart w:id="242" w:name="_Toc5364650"/>
      <w:r>
        <w:rPr>
          <w:rStyle w:val="CharSectno"/>
        </w:rPr>
        <w:t>37</w:t>
      </w:r>
      <w:r>
        <w:t>.</w:t>
      </w:r>
      <w:r>
        <w:tab/>
        <w:t>Section 57 amended</w:t>
      </w:r>
      <w:bookmarkEnd w:id="241"/>
      <w:bookmarkEnd w:id="242"/>
    </w:p>
    <w:p>
      <w:pPr>
        <w:pStyle w:val="Subsection"/>
      </w:pPr>
      <w:r>
        <w:tab/>
      </w:r>
      <w:r>
        <w:tab/>
        <w:t>In section 57(1) delete “the Gas Pipelines Access (Western Australia) Law and”.</w:t>
      </w:r>
    </w:p>
    <w:p>
      <w:pPr>
        <w:pStyle w:val="Heading5"/>
      </w:pPr>
      <w:bookmarkStart w:id="243" w:name="_Toc53045811"/>
      <w:bookmarkStart w:id="244" w:name="_Toc5364651"/>
      <w:r>
        <w:rPr>
          <w:rStyle w:val="CharSectno"/>
        </w:rPr>
        <w:t>38</w:t>
      </w:r>
      <w:r>
        <w:t>.</w:t>
      </w:r>
      <w:r>
        <w:tab/>
        <w:t>Section 59 amended</w:t>
      </w:r>
      <w:bookmarkEnd w:id="243"/>
      <w:bookmarkEnd w:id="244"/>
    </w:p>
    <w:p>
      <w:pPr>
        <w:pStyle w:val="Subsection"/>
      </w:pPr>
      <w:r>
        <w:tab/>
      </w:r>
      <w:r>
        <w:tab/>
        <w:t>In section 59(4) delete “Subject to the Gas Pipelines Access (Western Australia) Law, a party” and insert:</w:t>
      </w:r>
    </w:p>
    <w:p>
      <w:pPr>
        <w:pStyle w:val="BlankOpen"/>
      </w:pPr>
    </w:p>
    <w:p>
      <w:pPr>
        <w:pStyle w:val="Subsection"/>
      </w:pPr>
      <w:r>
        <w:tab/>
      </w:r>
      <w:r>
        <w:tab/>
        <w:t>A party</w:t>
      </w:r>
    </w:p>
    <w:p>
      <w:pPr>
        <w:pStyle w:val="BlankClose"/>
      </w:pPr>
    </w:p>
    <w:p>
      <w:pPr>
        <w:pStyle w:val="Heading5"/>
      </w:pPr>
      <w:bookmarkStart w:id="245" w:name="_Toc53045812"/>
      <w:bookmarkStart w:id="246" w:name="_Toc5364652"/>
      <w:r>
        <w:rPr>
          <w:rStyle w:val="CharSectno"/>
        </w:rPr>
        <w:t>39</w:t>
      </w:r>
      <w:r>
        <w:t>.</w:t>
      </w:r>
      <w:r>
        <w:tab/>
        <w:t>Section 61 amended</w:t>
      </w:r>
      <w:bookmarkEnd w:id="245"/>
      <w:bookmarkEnd w:id="246"/>
    </w:p>
    <w:p>
      <w:pPr>
        <w:pStyle w:val="Subsection"/>
      </w:pPr>
      <w:r>
        <w:tab/>
      </w:r>
      <w:r>
        <w:tab/>
        <w:t xml:space="preserve">In section 61 in the definition of </w:t>
      </w:r>
      <w:r>
        <w:rPr>
          <w:b/>
          <w:bCs/>
          <w:i/>
          <w:iCs/>
        </w:rPr>
        <w:t>arbitrator</w:t>
      </w:r>
      <w:r>
        <w:t xml:space="preserve"> delete “Gas” and insert:</w:t>
      </w:r>
    </w:p>
    <w:p>
      <w:pPr>
        <w:pStyle w:val="BlankOpen"/>
        <w:keepNext w:val="0"/>
        <w:keepLines w:val="0"/>
      </w:pPr>
    </w:p>
    <w:p>
      <w:pPr>
        <w:pStyle w:val="Subsection"/>
      </w:pPr>
      <w:r>
        <w:tab/>
      </w:r>
      <w:r>
        <w:tab/>
        <w:t>Energy</w:t>
      </w:r>
    </w:p>
    <w:p>
      <w:pPr>
        <w:pStyle w:val="BlankClose"/>
        <w:keepLines w:val="0"/>
      </w:pPr>
    </w:p>
    <w:p>
      <w:pPr>
        <w:pStyle w:val="Heading5"/>
      </w:pPr>
      <w:bookmarkStart w:id="247" w:name="_Toc53045813"/>
      <w:bookmarkStart w:id="248" w:name="_Toc5364653"/>
      <w:r>
        <w:rPr>
          <w:rStyle w:val="CharSectno"/>
        </w:rPr>
        <w:t>40</w:t>
      </w:r>
      <w:r>
        <w:t>.</w:t>
      </w:r>
      <w:r>
        <w:tab/>
        <w:t>Part 6 Division 3 Subdivision 2 heading amended</w:t>
      </w:r>
      <w:bookmarkEnd w:id="247"/>
      <w:bookmarkEnd w:id="248"/>
    </w:p>
    <w:p>
      <w:pPr>
        <w:pStyle w:val="Subsection"/>
        <w:keepNext/>
      </w:pPr>
      <w:r>
        <w:tab/>
      </w:r>
      <w:r>
        <w:tab/>
        <w:t>In the heading to Part 6 Division 3 Subdivision 2 delete “</w:t>
      </w:r>
      <w:r>
        <w:rPr>
          <w:b/>
        </w:rPr>
        <w:t>Gas</w:t>
      </w:r>
      <w:r>
        <w:t>” and insert:</w:t>
      </w:r>
    </w:p>
    <w:p>
      <w:pPr>
        <w:pStyle w:val="BlankOpen"/>
      </w:pPr>
    </w:p>
    <w:p>
      <w:pPr>
        <w:pStyle w:val="Subsection"/>
      </w:pPr>
      <w:r>
        <w:tab/>
      </w:r>
      <w:r>
        <w:tab/>
      </w:r>
      <w:r>
        <w:rPr>
          <w:b/>
        </w:rPr>
        <w:t>Energy</w:t>
      </w:r>
    </w:p>
    <w:p>
      <w:pPr>
        <w:pStyle w:val="BlankClose"/>
      </w:pPr>
    </w:p>
    <w:p>
      <w:pPr>
        <w:pStyle w:val="Heading5"/>
      </w:pPr>
      <w:bookmarkStart w:id="249" w:name="_Toc53045814"/>
      <w:bookmarkStart w:id="250" w:name="_Toc5364654"/>
      <w:r>
        <w:rPr>
          <w:rStyle w:val="CharSectno"/>
        </w:rPr>
        <w:t>41</w:t>
      </w:r>
      <w:r>
        <w:t>.</w:t>
      </w:r>
      <w:r>
        <w:tab/>
        <w:t>Section 62 amended</w:t>
      </w:r>
      <w:bookmarkEnd w:id="249"/>
      <w:bookmarkEnd w:id="250"/>
    </w:p>
    <w:p>
      <w:pPr>
        <w:pStyle w:val="Subsection"/>
      </w:pPr>
      <w:r>
        <w:tab/>
      </w:r>
      <w:r>
        <w:tab/>
        <w:t>In section 62(1) delete “Gas” and insert:</w:t>
      </w:r>
    </w:p>
    <w:p>
      <w:pPr>
        <w:pStyle w:val="BlankOpen"/>
      </w:pPr>
    </w:p>
    <w:p>
      <w:pPr>
        <w:pStyle w:val="Subsection"/>
      </w:pPr>
      <w:r>
        <w:tab/>
      </w:r>
      <w:r>
        <w:tab/>
        <w:t>Energy</w:t>
      </w:r>
    </w:p>
    <w:p>
      <w:pPr>
        <w:pStyle w:val="BlankClose"/>
      </w:pPr>
    </w:p>
    <w:p>
      <w:pPr>
        <w:pStyle w:val="Heading5"/>
      </w:pPr>
      <w:bookmarkStart w:id="251" w:name="_Toc53045815"/>
      <w:bookmarkStart w:id="252" w:name="_Toc5364655"/>
      <w:r>
        <w:rPr>
          <w:rStyle w:val="CharSectno"/>
        </w:rPr>
        <w:t>42</w:t>
      </w:r>
      <w:r>
        <w:t>.</w:t>
      </w:r>
      <w:r>
        <w:tab/>
        <w:t>Section 73 amended</w:t>
      </w:r>
      <w:bookmarkEnd w:id="251"/>
      <w:bookmarkEnd w:id="252"/>
    </w:p>
    <w:p>
      <w:pPr>
        <w:pStyle w:val="Subsection"/>
      </w:pPr>
      <w:r>
        <w:tab/>
      </w:r>
      <w:r>
        <w:tab/>
        <w:t>In section 73(1):</w:t>
      </w:r>
    </w:p>
    <w:p>
      <w:pPr>
        <w:pStyle w:val="Indenta"/>
      </w:pPr>
      <w:r>
        <w:tab/>
        <w:t>(a)</w:t>
      </w:r>
      <w:r>
        <w:tab/>
        <w:t>delete paragraphs (a) and (c) and insert:</w:t>
      </w:r>
    </w:p>
    <w:p>
      <w:pPr>
        <w:pStyle w:val="BlankOpen"/>
      </w:pPr>
    </w:p>
    <w:p>
      <w:pPr>
        <w:pStyle w:val="zIndenta"/>
        <w:spacing w:before="0"/>
        <w:ind w:right="565"/>
      </w:pPr>
      <w:r>
        <w:tab/>
        <w:t>(a)</w:t>
      </w:r>
      <w:r>
        <w:tab/>
        <w:t xml:space="preserve">by or under the </w:t>
      </w:r>
      <w:r>
        <w:rPr>
          <w:i/>
          <w:iCs/>
        </w:rPr>
        <w:t>National Gas Access (WA) Act 2009</w:t>
      </w:r>
      <w:r>
        <w:t>; or</w:t>
      </w:r>
    </w:p>
    <w:p>
      <w:pPr>
        <w:pStyle w:val="zIndenta"/>
      </w:pPr>
      <w:r>
        <w:tab/>
        <w:t>(b)</w:t>
      </w:r>
      <w:r>
        <w:tab/>
        <w:t xml:space="preserve">by or under the </w:t>
      </w:r>
      <w:r>
        <w:rPr>
          <w:i/>
          <w:iCs/>
        </w:rPr>
        <w:t>Electricity Industry Act 2004</w:t>
      </w:r>
      <w:r>
        <w:t>; or</w:t>
      </w:r>
    </w:p>
    <w:p>
      <w:pPr>
        <w:pStyle w:val="BlankClose"/>
      </w:pPr>
    </w:p>
    <w:p>
      <w:pPr>
        <w:pStyle w:val="Indenta"/>
      </w:pPr>
      <w:r>
        <w:tab/>
        <w:t>(b)</w:t>
      </w:r>
      <w:r>
        <w:tab/>
        <w:t>after paragraph (d) delete “and” and insert:</w:t>
      </w:r>
    </w:p>
    <w:p>
      <w:pPr>
        <w:pStyle w:val="BlankOpen"/>
      </w:pPr>
    </w:p>
    <w:p>
      <w:pPr>
        <w:pStyle w:val="Indenta"/>
      </w:pPr>
      <w:r>
        <w:tab/>
      </w:r>
      <w:r>
        <w:tab/>
        <w:t>or</w:t>
      </w:r>
    </w:p>
    <w:p>
      <w:pPr>
        <w:pStyle w:val="BlankClose"/>
      </w:pPr>
    </w:p>
    <w:p>
      <w:pPr>
        <w:pStyle w:val="Heading5"/>
      </w:pPr>
      <w:bookmarkStart w:id="253" w:name="_Toc53045816"/>
      <w:bookmarkStart w:id="254" w:name="_Toc5364656"/>
      <w:r>
        <w:rPr>
          <w:rStyle w:val="CharSectno"/>
        </w:rPr>
        <w:t>43</w:t>
      </w:r>
      <w:r>
        <w:t>.</w:t>
      </w:r>
      <w:r>
        <w:tab/>
        <w:t>Section 74 amended</w:t>
      </w:r>
      <w:bookmarkEnd w:id="253"/>
      <w:bookmarkEnd w:id="254"/>
    </w:p>
    <w:p>
      <w:pPr>
        <w:pStyle w:val="Subsection"/>
      </w:pPr>
      <w:r>
        <w:tab/>
      </w:r>
      <w:r>
        <w:tab/>
        <w:t>After section 74(2) insert:</w:t>
      </w:r>
    </w:p>
    <w:p>
      <w:pPr>
        <w:pStyle w:val="BlankOpen"/>
      </w:pPr>
    </w:p>
    <w:p>
      <w:pPr>
        <w:pStyle w:val="zSubsection"/>
        <w:spacing w:before="0"/>
      </w:pPr>
      <w:r>
        <w:tab/>
        <w:t>(3)</w:t>
      </w:r>
      <w:r>
        <w:tab/>
        <w:t>Regulations referred to in subsection (1) may make provision for and in relation to the imposition and payment of fees and charges in connection with the performance of functions the arbitrator has under those regulations.</w:t>
      </w:r>
    </w:p>
    <w:p>
      <w:pPr>
        <w:pStyle w:val="zSubsection"/>
      </w:pPr>
      <w:r>
        <w:tab/>
        <w:t>(4)</w:t>
      </w:r>
      <w: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BlankClose"/>
      </w:pPr>
    </w:p>
    <w:p>
      <w:pPr>
        <w:pStyle w:val="Heading5"/>
      </w:pPr>
      <w:bookmarkStart w:id="255" w:name="_Toc53045817"/>
      <w:bookmarkStart w:id="256" w:name="_Toc5364657"/>
      <w:r>
        <w:rPr>
          <w:rStyle w:val="CharSectno"/>
        </w:rPr>
        <w:t>44</w:t>
      </w:r>
      <w:r>
        <w:t>.</w:t>
      </w:r>
      <w:r>
        <w:tab/>
        <w:t>Section 76 amended</w:t>
      </w:r>
      <w:bookmarkEnd w:id="255"/>
      <w:bookmarkEnd w:id="256"/>
    </w:p>
    <w:p>
      <w:pPr>
        <w:pStyle w:val="Subsection"/>
      </w:pPr>
      <w:r>
        <w:tab/>
      </w:r>
      <w:r>
        <w:tab/>
        <w:t>In section 76:</w:t>
      </w:r>
    </w:p>
    <w:p>
      <w:pPr>
        <w:pStyle w:val="Indenta"/>
      </w:pPr>
      <w:r>
        <w:tab/>
        <w:t>(a)</w:t>
      </w:r>
      <w:r>
        <w:tab/>
        <w:t>delete “under the Code” and insert:</w:t>
      </w:r>
    </w:p>
    <w:p>
      <w:pPr>
        <w:pStyle w:val="BlankOpen"/>
      </w:pPr>
    </w:p>
    <w:p>
      <w:pPr>
        <w:pStyle w:val="Indenta"/>
      </w:pPr>
      <w:r>
        <w:tab/>
      </w:r>
      <w:r>
        <w:tab/>
        <w:t>in performing functions referred to in section 73(1)</w:t>
      </w:r>
    </w:p>
    <w:p>
      <w:pPr>
        <w:pStyle w:val="BlankClose"/>
      </w:pPr>
    </w:p>
    <w:p>
      <w:pPr>
        <w:pStyle w:val="Indenta"/>
      </w:pPr>
      <w:r>
        <w:tab/>
        <w:t>(b)</w:t>
      </w:r>
      <w:r>
        <w:tab/>
        <w:t>delete “local Regulator as defined in section 11.” and insert:</w:t>
      </w:r>
    </w:p>
    <w:p>
      <w:pPr>
        <w:pStyle w:val="BlankOpen"/>
      </w:pPr>
    </w:p>
    <w:p>
      <w:pPr>
        <w:pStyle w:val="zSubsection"/>
        <w:spacing w:before="0"/>
      </w:pPr>
      <w:r>
        <w:tab/>
      </w:r>
      <w:r>
        <w:tab/>
        <w:t xml:space="preserve">Economic Regulation Authority established by the </w:t>
      </w:r>
      <w:r>
        <w:rPr>
          <w:i/>
          <w:iCs/>
        </w:rPr>
        <w:t>Economic Regulation Authority Act 2003</w:t>
      </w:r>
      <w:r>
        <w:t>.</w:t>
      </w:r>
    </w:p>
    <w:p>
      <w:pPr>
        <w:pStyle w:val="BlankClose"/>
      </w:pPr>
    </w:p>
    <w:p>
      <w:pPr>
        <w:pStyle w:val="Heading5"/>
      </w:pPr>
      <w:bookmarkStart w:id="257" w:name="_Toc53045818"/>
      <w:bookmarkStart w:id="258" w:name="_Toc5364658"/>
      <w:r>
        <w:rPr>
          <w:rStyle w:val="CharSectno"/>
        </w:rPr>
        <w:t>45</w:t>
      </w:r>
      <w:r>
        <w:t>.</w:t>
      </w:r>
      <w:r>
        <w:tab/>
        <w:t>Section 77 amended</w:t>
      </w:r>
      <w:bookmarkEnd w:id="257"/>
      <w:bookmarkEnd w:id="258"/>
    </w:p>
    <w:p>
      <w:pPr>
        <w:pStyle w:val="Subsection"/>
      </w:pPr>
      <w:r>
        <w:tab/>
      </w:r>
      <w:r>
        <w:tab/>
        <w:t>In section 77 delete “provided for by the Gas Pipelines Access (Western Australia) Law and the regulations” and insert:</w:t>
      </w:r>
    </w:p>
    <w:p>
      <w:pPr>
        <w:pStyle w:val="BlankOpen"/>
      </w:pPr>
    </w:p>
    <w:p>
      <w:pPr>
        <w:pStyle w:val="Subsection"/>
        <w:keepNext/>
        <w:keepLines/>
      </w:pPr>
      <w:r>
        <w:tab/>
      </w:r>
      <w:r>
        <w:tab/>
        <w:t>involved in performing the arbitrator’s functions</w:t>
      </w:r>
    </w:p>
    <w:p>
      <w:pPr>
        <w:pStyle w:val="BlankClose"/>
        <w:keepNext/>
      </w:pPr>
    </w:p>
    <w:p>
      <w:pPr>
        <w:pStyle w:val="Heading5"/>
      </w:pPr>
      <w:bookmarkStart w:id="259" w:name="_Toc53045819"/>
      <w:bookmarkStart w:id="260" w:name="_Toc5364659"/>
      <w:r>
        <w:rPr>
          <w:rStyle w:val="CharSectno"/>
        </w:rPr>
        <w:t>46</w:t>
      </w:r>
      <w:r>
        <w:t>.</w:t>
      </w:r>
      <w:r>
        <w:tab/>
        <w:t>Section 81 amended</w:t>
      </w:r>
      <w:bookmarkEnd w:id="259"/>
      <w:bookmarkEnd w:id="260"/>
    </w:p>
    <w:p>
      <w:pPr>
        <w:pStyle w:val="Subsection"/>
        <w:rPr>
          <w:b/>
          <w:i/>
        </w:rPr>
      </w:pPr>
      <w:r>
        <w:tab/>
      </w:r>
      <w:r>
        <w:tab/>
        <w:t>In section 81 delete “under this Act”.</w:t>
      </w:r>
    </w:p>
    <w:p>
      <w:pPr>
        <w:pStyle w:val="Heading5"/>
      </w:pPr>
      <w:bookmarkStart w:id="261" w:name="_Toc53045820"/>
      <w:bookmarkStart w:id="262" w:name="_Toc5364660"/>
      <w:r>
        <w:rPr>
          <w:rStyle w:val="CharSectno"/>
        </w:rPr>
        <w:t>47</w:t>
      </w:r>
      <w:r>
        <w:t>.</w:t>
      </w:r>
      <w:r>
        <w:tab/>
        <w:t>Section 82 amended</w:t>
      </w:r>
      <w:bookmarkEnd w:id="261"/>
      <w:bookmarkEnd w:id="262"/>
    </w:p>
    <w:p>
      <w:pPr>
        <w:pStyle w:val="Subsection"/>
        <w:keepNext/>
      </w:pPr>
      <w:r>
        <w:tab/>
        <w:t>(1)</w:t>
      </w:r>
      <w:r>
        <w:tab/>
        <w:t>In section 82(2) after “called” insert:</w:t>
      </w:r>
    </w:p>
    <w:p>
      <w:pPr>
        <w:pStyle w:val="BlankOpen"/>
      </w:pPr>
    </w:p>
    <w:p>
      <w:pPr>
        <w:pStyle w:val="zSubsection"/>
        <w:spacing w:before="0"/>
      </w:pPr>
      <w:r>
        <w:tab/>
      </w:r>
      <w:r>
        <w:tab/>
        <w:t>the “Western Australian Energy Disputes Arbitrator Account”, and it is to be a continuation of the account formerly called</w:t>
      </w:r>
    </w:p>
    <w:p>
      <w:pPr>
        <w:pStyle w:val="BlankClose"/>
      </w:pPr>
    </w:p>
    <w:p>
      <w:pPr>
        <w:pStyle w:val="Subsection"/>
      </w:pPr>
      <w:r>
        <w:tab/>
        <w:t>(2)</w:t>
      </w:r>
      <w:r>
        <w:tab/>
        <w:t>Delete section 82(3)(a)(ii) and insert:</w:t>
      </w:r>
    </w:p>
    <w:p>
      <w:pPr>
        <w:pStyle w:val="BlankOpen"/>
      </w:pPr>
    </w:p>
    <w:p>
      <w:pPr>
        <w:pStyle w:val="zIndenti"/>
        <w:spacing w:before="0"/>
      </w:pPr>
      <w:r>
        <w:tab/>
        <w:t>(ii)</w:t>
      </w:r>
      <w:r>
        <w:tab/>
        <w:t>fees and charges payable to the arbitrator or the Board in connection with the performance of the functions of the arbitrator or the Board;</w:t>
      </w:r>
    </w:p>
    <w:p>
      <w:pPr>
        <w:pStyle w:val="BlankClose"/>
      </w:pPr>
    </w:p>
    <w:p>
      <w:pPr>
        <w:pStyle w:val="Heading5"/>
      </w:pPr>
      <w:bookmarkStart w:id="263" w:name="_Toc53045821"/>
      <w:bookmarkStart w:id="264" w:name="_Toc5364661"/>
      <w:r>
        <w:rPr>
          <w:rStyle w:val="CharSectno"/>
        </w:rPr>
        <w:t>48</w:t>
      </w:r>
      <w:r>
        <w:t>.</w:t>
      </w:r>
      <w:r>
        <w:tab/>
        <w:t>Section 87 deleted</w:t>
      </w:r>
      <w:bookmarkEnd w:id="263"/>
      <w:bookmarkEnd w:id="264"/>
    </w:p>
    <w:p>
      <w:pPr>
        <w:pStyle w:val="Subsection"/>
      </w:pPr>
      <w:r>
        <w:tab/>
      </w:r>
      <w:r>
        <w:tab/>
        <w:t>Delete section 87.</w:t>
      </w:r>
    </w:p>
    <w:p>
      <w:pPr>
        <w:pStyle w:val="Heading5"/>
      </w:pPr>
      <w:bookmarkStart w:id="265" w:name="_Toc53045822"/>
      <w:bookmarkStart w:id="266" w:name="_Toc5364662"/>
      <w:r>
        <w:rPr>
          <w:rStyle w:val="CharSectno"/>
        </w:rPr>
        <w:t>49</w:t>
      </w:r>
      <w:r>
        <w:t>.</w:t>
      </w:r>
      <w:r>
        <w:tab/>
        <w:t>Section 88 deleted</w:t>
      </w:r>
      <w:bookmarkEnd w:id="265"/>
      <w:bookmarkEnd w:id="266"/>
    </w:p>
    <w:p>
      <w:pPr>
        <w:pStyle w:val="Subsection"/>
      </w:pPr>
      <w:r>
        <w:tab/>
      </w:r>
      <w:r>
        <w:tab/>
        <w:t>Delete section 88.</w:t>
      </w:r>
    </w:p>
    <w:p>
      <w:pPr>
        <w:pStyle w:val="Heading5"/>
      </w:pPr>
      <w:bookmarkStart w:id="267" w:name="_Toc53045823"/>
      <w:bookmarkStart w:id="268" w:name="_Toc5364663"/>
      <w:r>
        <w:rPr>
          <w:rStyle w:val="CharSectno"/>
        </w:rPr>
        <w:t>50</w:t>
      </w:r>
      <w:r>
        <w:t>.</w:t>
      </w:r>
      <w:r>
        <w:tab/>
        <w:t>Parts 7 and 8 deleted</w:t>
      </w:r>
      <w:bookmarkEnd w:id="267"/>
      <w:bookmarkEnd w:id="268"/>
    </w:p>
    <w:p>
      <w:pPr>
        <w:pStyle w:val="Subsection"/>
      </w:pPr>
      <w:r>
        <w:tab/>
      </w:r>
      <w:r>
        <w:tab/>
        <w:t>Delete Parts 7 and 8.</w:t>
      </w:r>
    </w:p>
    <w:p>
      <w:pPr>
        <w:pStyle w:val="Heading5"/>
      </w:pPr>
      <w:bookmarkStart w:id="269" w:name="_Toc53045824"/>
      <w:bookmarkStart w:id="270" w:name="_Toc5364664"/>
      <w:r>
        <w:rPr>
          <w:rStyle w:val="CharSectno"/>
        </w:rPr>
        <w:t>51</w:t>
      </w:r>
      <w:r>
        <w:t>.</w:t>
      </w:r>
      <w:r>
        <w:tab/>
        <w:t>Schedules deleted</w:t>
      </w:r>
      <w:bookmarkEnd w:id="269"/>
      <w:bookmarkEnd w:id="270"/>
    </w:p>
    <w:p>
      <w:pPr>
        <w:pStyle w:val="Subsection"/>
      </w:pPr>
      <w:r>
        <w:tab/>
      </w:r>
      <w:r>
        <w:tab/>
        <w:t>Delete Schedule 1 and its Appendix and Schedules 2 and 3.</w:t>
      </w:r>
    </w:p>
    <w:p>
      <w:pPr>
        <w:pStyle w:val="Heading3"/>
      </w:pPr>
      <w:bookmarkStart w:id="271" w:name="_Toc52954131"/>
      <w:bookmarkStart w:id="272" w:name="_Toc52955427"/>
      <w:bookmarkStart w:id="273" w:name="_Toc52956926"/>
      <w:bookmarkStart w:id="274" w:name="_Toc52957709"/>
      <w:bookmarkStart w:id="275" w:name="_Toc53045042"/>
      <w:bookmarkStart w:id="276" w:name="_Toc53045825"/>
      <w:bookmarkStart w:id="277" w:name="_Toc501633770"/>
      <w:bookmarkStart w:id="278" w:name="_Toc501712666"/>
      <w:bookmarkStart w:id="279" w:name="_Toc536781860"/>
      <w:bookmarkStart w:id="280" w:name="_Toc5346891"/>
      <w:bookmarkStart w:id="281" w:name="_Toc5363444"/>
      <w:bookmarkStart w:id="282" w:name="_Toc5364665"/>
      <w:r>
        <w:rPr>
          <w:rStyle w:val="CharDivNo"/>
        </w:rPr>
        <w:t>Division 2</w:t>
      </w:r>
      <w:r>
        <w:t> — </w:t>
      </w:r>
      <w:r>
        <w:rPr>
          <w:rStyle w:val="CharDivText"/>
          <w:i/>
          <w:iCs/>
        </w:rPr>
        <w:t>Economic Regulation Authority Act 2003</w:t>
      </w:r>
      <w:bookmarkEnd w:id="271"/>
      <w:bookmarkEnd w:id="272"/>
      <w:bookmarkEnd w:id="273"/>
      <w:bookmarkEnd w:id="274"/>
      <w:bookmarkEnd w:id="275"/>
      <w:bookmarkEnd w:id="276"/>
      <w:bookmarkEnd w:id="277"/>
      <w:bookmarkEnd w:id="278"/>
      <w:bookmarkEnd w:id="279"/>
      <w:bookmarkEnd w:id="280"/>
      <w:bookmarkEnd w:id="281"/>
      <w:bookmarkEnd w:id="282"/>
    </w:p>
    <w:p>
      <w:pPr>
        <w:pStyle w:val="Heading5"/>
      </w:pPr>
      <w:bookmarkStart w:id="283" w:name="_Toc53045826"/>
      <w:bookmarkStart w:id="284" w:name="_Toc5364666"/>
      <w:r>
        <w:rPr>
          <w:rStyle w:val="CharSectno"/>
        </w:rPr>
        <w:t>52</w:t>
      </w:r>
      <w:r>
        <w:t>.</w:t>
      </w:r>
      <w:r>
        <w:tab/>
        <w:t>Act amended</w:t>
      </w:r>
      <w:bookmarkEnd w:id="283"/>
      <w:bookmarkEnd w:id="284"/>
    </w:p>
    <w:p>
      <w:pPr>
        <w:pStyle w:val="Subsection"/>
      </w:pPr>
      <w:r>
        <w:tab/>
      </w:r>
      <w:r>
        <w:tab/>
        <w:t xml:space="preserve">This Division amends the </w:t>
      </w:r>
      <w:r>
        <w:rPr>
          <w:i/>
          <w:iCs/>
        </w:rPr>
        <w:t>Economic Regulation Authority Act 2003</w:t>
      </w:r>
      <w:r>
        <w:t>.</w:t>
      </w:r>
    </w:p>
    <w:p>
      <w:pPr>
        <w:pStyle w:val="Heading5"/>
      </w:pPr>
      <w:bookmarkStart w:id="285" w:name="_Toc53045827"/>
      <w:bookmarkStart w:id="286" w:name="_Toc5364667"/>
      <w:r>
        <w:rPr>
          <w:rStyle w:val="CharSectno"/>
        </w:rPr>
        <w:t>53</w:t>
      </w:r>
      <w:r>
        <w:t>.</w:t>
      </w:r>
      <w:r>
        <w:tab/>
        <w:t>Section 25 amended</w:t>
      </w:r>
      <w:bookmarkEnd w:id="285"/>
      <w:bookmarkEnd w:id="286"/>
    </w:p>
    <w:p>
      <w:pPr>
        <w:pStyle w:val="Subsection"/>
      </w:pPr>
      <w:r>
        <w:tab/>
      </w:r>
      <w:r>
        <w:tab/>
        <w:t>In section 25:</w:t>
      </w:r>
    </w:p>
    <w:p>
      <w:pPr>
        <w:pStyle w:val="Indenta"/>
      </w:pPr>
      <w:r>
        <w:tab/>
        <w:t>(a)</w:t>
      </w:r>
      <w:r>
        <w:tab/>
        <w:t>delete paragraph (c) and insert:</w:t>
      </w:r>
    </w:p>
    <w:p>
      <w:pPr>
        <w:pStyle w:val="BlankOpen"/>
      </w:pPr>
    </w:p>
    <w:p>
      <w:pPr>
        <w:pStyle w:val="zIndenta"/>
        <w:spacing w:before="0"/>
        <w:rPr>
          <w:iCs/>
        </w:rPr>
      </w:pPr>
      <w:r>
        <w:tab/>
        <w:t>(c)</w:t>
      </w:r>
      <w:r>
        <w:tab/>
        <w:t xml:space="preserve">the functions it is given by or under the </w:t>
      </w:r>
      <w:r>
        <w:rPr>
          <w:i/>
          <w:iCs/>
          <w:snapToGrid w:val="0"/>
        </w:rPr>
        <w:t>National Gas Access (WA) Act 2009</w:t>
      </w:r>
      <w:r>
        <w:rPr>
          <w:iCs/>
          <w:snapToGrid w:val="0"/>
        </w:rPr>
        <w:t>; and</w:t>
      </w:r>
    </w:p>
    <w:p>
      <w:pPr>
        <w:pStyle w:val="BlankClose"/>
      </w:pPr>
    </w:p>
    <w:p>
      <w:pPr>
        <w:pStyle w:val="Indenta"/>
      </w:pPr>
      <w:r>
        <w:tab/>
        <w:t>(b)</w:t>
      </w:r>
      <w:r>
        <w:tab/>
        <w:t>after each of paragraphs (a), (b) and (d) insert:</w:t>
      </w:r>
    </w:p>
    <w:p>
      <w:pPr>
        <w:pStyle w:val="BlankOpen"/>
      </w:pPr>
    </w:p>
    <w:p>
      <w:pPr>
        <w:pStyle w:val="Indenta"/>
      </w:pPr>
      <w:r>
        <w:tab/>
      </w:r>
      <w:r>
        <w:tab/>
        <w:t>and</w:t>
      </w:r>
    </w:p>
    <w:p>
      <w:pPr>
        <w:pStyle w:val="BlankClose"/>
      </w:pPr>
    </w:p>
    <w:p>
      <w:pPr>
        <w:pStyle w:val="Heading5"/>
      </w:pPr>
      <w:bookmarkStart w:id="287" w:name="_Toc53045828"/>
      <w:bookmarkStart w:id="288" w:name="_Toc5364668"/>
      <w:r>
        <w:rPr>
          <w:rStyle w:val="CharSectno"/>
        </w:rPr>
        <w:t>54</w:t>
      </w:r>
      <w:r>
        <w:t>.</w:t>
      </w:r>
      <w:r>
        <w:tab/>
        <w:t>Section 28 amended</w:t>
      </w:r>
      <w:bookmarkEnd w:id="287"/>
      <w:bookmarkEnd w:id="288"/>
    </w:p>
    <w:p>
      <w:pPr>
        <w:pStyle w:val="Subsection"/>
        <w:keepNext/>
      </w:pPr>
      <w:r>
        <w:tab/>
        <w:t>(1)</w:t>
      </w:r>
      <w:r>
        <w:tab/>
        <w:t xml:space="preserve">In section 28(3)(b) delete “referred to in section 36(1) of the </w:t>
      </w:r>
      <w:r>
        <w:rPr>
          <w:i/>
          <w:iCs/>
        </w:rPr>
        <w:t>Gas Pipelines Access (Western Australia) Act 1998</w:t>
      </w:r>
      <w:r>
        <w:t xml:space="preserve"> or” and insert:</w:t>
      </w:r>
    </w:p>
    <w:p>
      <w:pPr>
        <w:pStyle w:val="BlankOpen"/>
      </w:pPr>
    </w:p>
    <w:p>
      <w:pPr>
        <w:pStyle w:val="zIndenta"/>
        <w:spacing w:before="0"/>
      </w:pPr>
      <w:r>
        <w:tab/>
      </w:r>
      <w:r>
        <w:tab/>
        <w:t xml:space="preserve">given by or under the </w:t>
      </w:r>
      <w:r>
        <w:rPr>
          <w:i/>
          <w:iCs/>
          <w:snapToGrid w:val="0"/>
        </w:rPr>
        <w:t>National Gas Access (WA) Act 2009</w:t>
      </w:r>
      <w:r>
        <w:t xml:space="preserve"> or referred to in</w:t>
      </w:r>
    </w:p>
    <w:p>
      <w:pPr>
        <w:pStyle w:val="BlankClose"/>
      </w:pPr>
    </w:p>
    <w:p>
      <w:pPr>
        <w:pStyle w:val="Subsection"/>
      </w:pPr>
      <w:r>
        <w:tab/>
        <w:t>(2)</w:t>
      </w:r>
      <w:r>
        <w:tab/>
        <w:t>In section 28(5)(b) delete “</w:t>
      </w:r>
      <w:r>
        <w:rPr>
          <w:i/>
          <w:iCs/>
        </w:rPr>
        <w:t>Gas Pipelines Access (Western Australia) Act 1998</w:t>
      </w:r>
      <w:r>
        <w:t>, must send a copy of the direction to the Code Registrar within the meaning of that Act.” and insert:</w:t>
      </w:r>
    </w:p>
    <w:p>
      <w:pPr>
        <w:pStyle w:val="BlankOpen"/>
      </w:pPr>
    </w:p>
    <w:p>
      <w:pPr>
        <w:pStyle w:val="zIndenta"/>
        <w:spacing w:before="0"/>
      </w:pPr>
      <w:r>
        <w:tab/>
      </w:r>
      <w:r>
        <w:tab/>
      </w:r>
      <w:r>
        <w:rPr>
          <w:i/>
          <w:iCs/>
          <w:snapToGrid w:val="0"/>
        </w:rPr>
        <w:t>National Gas Access (WA) Act 2009</w:t>
      </w:r>
      <w:r>
        <w:t xml:space="preserve">, must send a copy of the direction to the Australian Energy Market Commission established by section 5 of the </w:t>
      </w:r>
      <w:r>
        <w:rPr>
          <w:i/>
          <w:iCs/>
        </w:rPr>
        <w:t xml:space="preserve">Australian Energy Market Commission Establishment Act 2004 </w:t>
      </w:r>
      <w:r>
        <w:t>of South Australia.</w:t>
      </w:r>
    </w:p>
    <w:p>
      <w:pPr>
        <w:pStyle w:val="BlankClose"/>
      </w:pPr>
    </w:p>
    <w:p>
      <w:pPr>
        <w:pStyle w:val="Heading5"/>
      </w:pPr>
      <w:bookmarkStart w:id="289" w:name="_Toc53045829"/>
      <w:bookmarkStart w:id="290" w:name="_Toc5364669"/>
      <w:r>
        <w:rPr>
          <w:rStyle w:val="CharSectno"/>
        </w:rPr>
        <w:t>55</w:t>
      </w:r>
      <w:r>
        <w:t>.</w:t>
      </w:r>
      <w:r>
        <w:tab/>
        <w:t>Section 32 amended</w:t>
      </w:r>
      <w:bookmarkEnd w:id="289"/>
      <w:bookmarkEnd w:id="290"/>
    </w:p>
    <w:p>
      <w:pPr>
        <w:pStyle w:val="Subsection"/>
        <w:keepNext/>
        <w:spacing w:before="120"/>
      </w:pPr>
      <w:r>
        <w:tab/>
      </w:r>
      <w:r>
        <w:tab/>
        <w:t>In section 32(1) delete “Gas Pipelines Access (Western Australia) Law” and insert:</w:t>
      </w:r>
    </w:p>
    <w:p>
      <w:pPr>
        <w:pStyle w:val="BlankOpen"/>
      </w:pPr>
    </w:p>
    <w:p>
      <w:pPr>
        <w:pStyle w:val="Subsection"/>
      </w:pPr>
      <w:r>
        <w:tab/>
      </w:r>
      <w:r>
        <w:tab/>
        <w:t>National Gas Access (Western Australia) Law</w:t>
      </w:r>
    </w:p>
    <w:p>
      <w:pPr>
        <w:pStyle w:val="BlankClose"/>
      </w:pPr>
    </w:p>
    <w:p>
      <w:pPr>
        <w:pStyle w:val="Heading3"/>
      </w:pPr>
      <w:bookmarkStart w:id="291" w:name="_Toc52954136"/>
      <w:bookmarkStart w:id="292" w:name="_Toc52955432"/>
      <w:bookmarkStart w:id="293" w:name="_Toc52956931"/>
      <w:bookmarkStart w:id="294" w:name="_Toc52957714"/>
      <w:bookmarkStart w:id="295" w:name="_Toc53045047"/>
      <w:bookmarkStart w:id="296" w:name="_Toc53045830"/>
      <w:bookmarkStart w:id="297" w:name="_Toc501633775"/>
      <w:bookmarkStart w:id="298" w:name="_Toc501712671"/>
      <w:bookmarkStart w:id="299" w:name="_Toc536781865"/>
      <w:bookmarkStart w:id="300" w:name="_Toc5346896"/>
      <w:bookmarkStart w:id="301" w:name="_Toc5363449"/>
      <w:bookmarkStart w:id="302" w:name="_Toc5364670"/>
      <w:r>
        <w:rPr>
          <w:rStyle w:val="CharDivNo"/>
        </w:rPr>
        <w:t>Division 3</w:t>
      </w:r>
      <w:r>
        <w:t> — </w:t>
      </w:r>
      <w:r>
        <w:rPr>
          <w:rStyle w:val="CharDivText"/>
          <w:i/>
          <w:iCs/>
        </w:rPr>
        <w:t>Electricity Industry Act 2004</w:t>
      </w:r>
      <w:bookmarkEnd w:id="291"/>
      <w:bookmarkEnd w:id="292"/>
      <w:bookmarkEnd w:id="293"/>
      <w:bookmarkEnd w:id="294"/>
      <w:bookmarkEnd w:id="295"/>
      <w:bookmarkEnd w:id="296"/>
      <w:bookmarkEnd w:id="297"/>
      <w:bookmarkEnd w:id="298"/>
      <w:bookmarkEnd w:id="299"/>
      <w:bookmarkEnd w:id="300"/>
      <w:bookmarkEnd w:id="301"/>
      <w:bookmarkEnd w:id="302"/>
    </w:p>
    <w:p>
      <w:pPr>
        <w:pStyle w:val="Heading5"/>
      </w:pPr>
      <w:bookmarkStart w:id="303" w:name="_Toc53045831"/>
      <w:bookmarkStart w:id="304" w:name="_Toc5364671"/>
      <w:r>
        <w:rPr>
          <w:rStyle w:val="CharSectno"/>
        </w:rPr>
        <w:t>56</w:t>
      </w:r>
      <w:r>
        <w:t>.</w:t>
      </w:r>
      <w:r>
        <w:tab/>
        <w:t>Act amended</w:t>
      </w:r>
      <w:bookmarkEnd w:id="303"/>
      <w:bookmarkEnd w:id="304"/>
    </w:p>
    <w:p>
      <w:pPr>
        <w:pStyle w:val="Subsection"/>
        <w:spacing w:before="120"/>
      </w:pPr>
      <w:r>
        <w:tab/>
      </w:r>
      <w:r>
        <w:tab/>
        <w:t xml:space="preserve">This Division amends the </w:t>
      </w:r>
      <w:r>
        <w:rPr>
          <w:i/>
          <w:iCs/>
        </w:rPr>
        <w:t>Electricity Industry Act 2004</w:t>
      </w:r>
      <w:r>
        <w:t>.</w:t>
      </w:r>
    </w:p>
    <w:p>
      <w:pPr>
        <w:pStyle w:val="Heading5"/>
      </w:pPr>
      <w:bookmarkStart w:id="305" w:name="_Toc53045832"/>
      <w:bookmarkStart w:id="306" w:name="_Toc5364672"/>
      <w:r>
        <w:rPr>
          <w:rStyle w:val="CharSectno"/>
        </w:rPr>
        <w:t>57</w:t>
      </w:r>
      <w:r>
        <w:t>.</w:t>
      </w:r>
      <w:r>
        <w:tab/>
        <w:t>Section 3 amended</w:t>
      </w:r>
      <w:bookmarkEnd w:id="305"/>
      <w:bookmarkEnd w:id="306"/>
    </w:p>
    <w:p>
      <w:pPr>
        <w:pStyle w:val="Subsection"/>
        <w:spacing w:before="120"/>
      </w:pPr>
      <w:r>
        <w:tab/>
      </w:r>
      <w:r>
        <w:tab/>
        <w:t>In section 3:</w:t>
      </w:r>
    </w:p>
    <w:p>
      <w:pPr>
        <w:pStyle w:val="Indenta"/>
      </w:pPr>
      <w:r>
        <w:tab/>
        <w:t>(a)</w:t>
      </w:r>
      <w:r>
        <w:tab/>
        <w:t xml:space="preserve">in the definition of </w:t>
      </w:r>
      <w:r>
        <w:rPr>
          <w:b/>
          <w:bCs/>
          <w:i/>
          <w:iCs/>
        </w:rPr>
        <w:t>arbitrator</w:t>
      </w:r>
      <w:r>
        <w:t xml:space="preserve"> delete “</w:t>
      </w:r>
      <w:r>
        <w:rPr>
          <w:i/>
          <w:iCs/>
        </w:rPr>
        <w:t>Gas Pipelines Access (Western Australia) Act 1998</w:t>
      </w:r>
      <w:r>
        <w:t>” and insert:</w:t>
      </w:r>
    </w:p>
    <w:p>
      <w:pPr>
        <w:pStyle w:val="BlankOpen"/>
      </w:pPr>
    </w:p>
    <w:p>
      <w:pPr>
        <w:pStyle w:val="Indenta"/>
        <w:rPr>
          <w:i/>
          <w:iCs/>
        </w:rPr>
      </w:pPr>
      <w:r>
        <w:tab/>
      </w:r>
      <w:r>
        <w:tab/>
      </w:r>
      <w:r>
        <w:rPr>
          <w:i/>
          <w:iCs/>
        </w:rPr>
        <w:t>Energy Arbitration and Review Act 1998</w:t>
      </w:r>
    </w:p>
    <w:p>
      <w:pPr>
        <w:pStyle w:val="BlankClose"/>
      </w:pPr>
    </w:p>
    <w:p>
      <w:pPr>
        <w:pStyle w:val="Indenta"/>
      </w:pPr>
      <w:r>
        <w:tab/>
        <w:t>(b)</w:t>
      </w:r>
      <w:r>
        <w:tab/>
        <w:t xml:space="preserve">in the definition of </w:t>
      </w:r>
      <w:r>
        <w:rPr>
          <w:b/>
          <w:bCs/>
          <w:i/>
          <w:iCs/>
        </w:rPr>
        <w:t>Board</w:t>
      </w:r>
      <w:r>
        <w:t xml:space="preserve"> delete “</w:t>
      </w:r>
      <w:r>
        <w:rPr>
          <w:i/>
          <w:iCs/>
        </w:rPr>
        <w:t>Gas Pipelines Access (Western Australia) Act 1998</w:t>
      </w:r>
      <w:r>
        <w:t>” and insert:</w:t>
      </w:r>
    </w:p>
    <w:p>
      <w:pPr>
        <w:pStyle w:val="BlankOpen"/>
      </w:pPr>
    </w:p>
    <w:p>
      <w:pPr>
        <w:pStyle w:val="Indenta"/>
        <w:rPr>
          <w:i/>
          <w:iCs/>
        </w:rPr>
      </w:pPr>
      <w:r>
        <w:tab/>
      </w:r>
      <w:r>
        <w:tab/>
      </w:r>
      <w:r>
        <w:rPr>
          <w:i/>
          <w:iCs/>
        </w:rPr>
        <w:t>Energy Arbitration and Review Act 1998</w:t>
      </w:r>
    </w:p>
    <w:p>
      <w:pPr>
        <w:pStyle w:val="BlankClose"/>
      </w:pPr>
    </w:p>
    <w:p>
      <w:pPr>
        <w:pStyle w:val="Heading5"/>
      </w:pPr>
      <w:bookmarkStart w:id="307" w:name="_Toc53045833"/>
      <w:bookmarkStart w:id="308" w:name="_Toc5364673"/>
      <w:r>
        <w:rPr>
          <w:rStyle w:val="CharSectno"/>
        </w:rPr>
        <w:t>58</w:t>
      </w:r>
      <w:r>
        <w:t>.</w:t>
      </w:r>
      <w:r>
        <w:tab/>
        <w:t>Section 113 deleted</w:t>
      </w:r>
      <w:bookmarkEnd w:id="307"/>
      <w:bookmarkEnd w:id="308"/>
    </w:p>
    <w:p>
      <w:pPr>
        <w:pStyle w:val="Subsection"/>
        <w:spacing w:before="120"/>
      </w:pPr>
      <w:r>
        <w:tab/>
      </w:r>
      <w:r>
        <w:tab/>
        <w:t>Delete section 113.</w:t>
      </w:r>
    </w:p>
    <w:p>
      <w:pPr>
        <w:pStyle w:val="Heading5"/>
      </w:pPr>
      <w:bookmarkStart w:id="309" w:name="_Toc53045834"/>
      <w:bookmarkStart w:id="310" w:name="_Toc5364674"/>
      <w:r>
        <w:rPr>
          <w:rStyle w:val="CharSectno"/>
        </w:rPr>
        <w:t>59</w:t>
      </w:r>
      <w:r>
        <w:t>.</w:t>
      </w:r>
      <w:r>
        <w:tab/>
        <w:t>Section 125 amended</w:t>
      </w:r>
      <w:bookmarkEnd w:id="309"/>
      <w:bookmarkEnd w:id="310"/>
    </w:p>
    <w:p>
      <w:pPr>
        <w:pStyle w:val="Subsection"/>
        <w:spacing w:before="120"/>
      </w:pPr>
      <w:r>
        <w:tab/>
        <w:t>(1)</w:t>
      </w:r>
      <w:r>
        <w:tab/>
        <w:t>Delete section 125(2)(b) and insert:</w:t>
      </w:r>
    </w:p>
    <w:p>
      <w:pPr>
        <w:pStyle w:val="BlankOpen"/>
      </w:pPr>
    </w:p>
    <w:p>
      <w:pPr>
        <w:pStyle w:val="zIndenta"/>
        <w:spacing w:before="0"/>
      </w:pPr>
      <w:r>
        <w:tab/>
        <w:t>(b)</w:t>
      </w:r>
      <w:r>
        <w:tab/>
        <w:t>make other provisions that it is necessary or convenient to make,</w:t>
      </w:r>
    </w:p>
    <w:p>
      <w:pPr>
        <w:pStyle w:val="BlankClose"/>
      </w:pPr>
    </w:p>
    <w:p>
      <w:pPr>
        <w:pStyle w:val="Subsection"/>
      </w:pPr>
      <w:r>
        <w:tab/>
        <w:t>(2)</w:t>
      </w:r>
      <w:r>
        <w:tab/>
        <w:t>After section 125(2) insert:</w:t>
      </w:r>
    </w:p>
    <w:p>
      <w:pPr>
        <w:pStyle w:val="BlankOpen"/>
      </w:pPr>
    </w:p>
    <w:p>
      <w:pPr>
        <w:pStyle w:val="zSubsection"/>
        <w:spacing w:before="0"/>
      </w:pPr>
      <w:r>
        <w:tab/>
        <w:t>(3A)</w:t>
      </w:r>
      <w:r>
        <w:tab/>
        <w:t xml:space="preserve">Regulations that, immediately before the day on which the </w:t>
      </w:r>
      <w:r>
        <w:rPr>
          <w:i/>
          <w:iCs/>
        </w:rPr>
        <w:t>National Gas Access (WA) Act 2009</w:t>
      </w:r>
      <w:r>
        <w:t xml:space="preserve"> section 59(1) comes into operation, apply provisions of the </w:t>
      </w:r>
      <w:r>
        <w:rPr>
          <w:i/>
          <w:iCs/>
        </w:rPr>
        <w:t>Gas Pipelines Access (Western Australia) Act 1998</w:t>
      </w:r>
      <w:r>
        <w:t xml:space="preserve"> continue to have the effect they had immediately before that day until the contrary intention appears from a regulation made after that day.</w:t>
      </w:r>
    </w:p>
    <w:p>
      <w:pPr>
        <w:pStyle w:val="BlankClose"/>
      </w:pPr>
    </w:p>
    <w:p>
      <w:pPr>
        <w:pStyle w:val="Heading5"/>
      </w:pPr>
      <w:bookmarkStart w:id="311" w:name="_Toc53045835"/>
      <w:bookmarkStart w:id="312" w:name="_Toc5364675"/>
      <w:r>
        <w:rPr>
          <w:rStyle w:val="CharSectno"/>
        </w:rPr>
        <w:t>60</w:t>
      </w:r>
      <w:r>
        <w:t>.</w:t>
      </w:r>
      <w:r>
        <w:tab/>
        <w:t>Section 130 amended</w:t>
      </w:r>
      <w:bookmarkEnd w:id="311"/>
      <w:bookmarkEnd w:id="312"/>
    </w:p>
    <w:p>
      <w:pPr>
        <w:pStyle w:val="Subsection"/>
      </w:pPr>
      <w:r>
        <w:tab/>
        <w:t>(1)</w:t>
      </w:r>
      <w:r>
        <w:tab/>
        <w:t xml:space="preserve">In section 130(1) in the definition of </w:t>
      </w:r>
      <w:r>
        <w:rPr>
          <w:b/>
          <w:bCs/>
          <w:i/>
          <w:iCs/>
        </w:rPr>
        <w:t>gas pipelines access provisions</w:t>
      </w:r>
      <w:r>
        <w:t xml:space="preserve"> delete “Schedule 1.” and insert:</w:t>
      </w:r>
    </w:p>
    <w:p>
      <w:pPr>
        <w:pStyle w:val="BlankOpen"/>
      </w:pPr>
    </w:p>
    <w:p>
      <w:pPr>
        <w:pStyle w:val="zDefstart"/>
        <w:spacing w:before="0"/>
        <w:ind w:right="486"/>
      </w:pPr>
      <w:r>
        <w:tab/>
        <w:t xml:space="preserve">Schedule 1 as in force immediately before the day on which the </w:t>
      </w:r>
      <w:r>
        <w:rPr>
          <w:i/>
          <w:iCs/>
        </w:rPr>
        <w:t>National Gas Access (WA) Act 2009</w:t>
      </w:r>
      <w:r>
        <w:t xml:space="preserve"> section 51 deleted it.</w:t>
      </w:r>
    </w:p>
    <w:p>
      <w:pPr>
        <w:pStyle w:val="BlankClose"/>
      </w:pPr>
    </w:p>
    <w:p>
      <w:pPr>
        <w:pStyle w:val="Subsection"/>
      </w:pPr>
      <w:r>
        <w:tab/>
        <w:t>(2)</w:t>
      </w:r>
      <w:r>
        <w:tab/>
        <w:t>In section 130(8) delete “</w:t>
      </w:r>
      <w:r>
        <w:rPr>
          <w:i/>
          <w:iCs/>
        </w:rPr>
        <w:t>Gas Pipelines Access (Western Australia)</w:t>
      </w:r>
      <w:r>
        <w:t>” and insert:</w:t>
      </w:r>
    </w:p>
    <w:p>
      <w:pPr>
        <w:pStyle w:val="BlankOpen"/>
      </w:pPr>
    </w:p>
    <w:p>
      <w:pPr>
        <w:pStyle w:val="Subsection"/>
        <w:rPr>
          <w:i/>
          <w:iCs/>
        </w:rPr>
      </w:pPr>
      <w:r>
        <w:tab/>
      </w:r>
      <w:r>
        <w:tab/>
      </w:r>
      <w:r>
        <w:rPr>
          <w:i/>
          <w:iCs/>
        </w:rPr>
        <w:t>Energy Arbitration and Review</w:t>
      </w:r>
    </w:p>
    <w:p>
      <w:pPr>
        <w:pStyle w:val="BlankClose"/>
      </w:pPr>
    </w:p>
    <w:p>
      <w:pPr>
        <w:pStyle w:val="Subsection"/>
      </w:pPr>
      <w:r>
        <w:tab/>
        <w:t>(3)</w:t>
      </w:r>
      <w:r>
        <w:tab/>
        <w:t>Delete section 130(9) and insert:</w:t>
      </w:r>
    </w:p>
    <w:p>
      <w:pPr>
        <w:pStyle w:val="BlankOpen"/>
      </w:pPr>
    </w:p>
    <w:p>
      <w:pPr>
        <w:pStyle w:val="zSubsection"/>
        <w:spacing w:before="0"/>
      </w:pPr>
      <w:r>
        <w:tab/>
        <w:t>(9)</w:t>
      </w:r>
      <w:r>
        <w:tab/>
        <w:t>For proceedings to which subsection (8) extends the provisions described in that subsection, sections 57(1) and 59(4) of those provisions apply only to the extent that it is consistent with the Code for them to apply.</w:t>
      </w:r>
    </w:p>
    <w:p>
      <w:pPr>
        <w:pStyle w:val="BlankClose"/>
      </w:pPr>
    </w:p>
    <w:p>
      <w:pPr>
        <w:pStyle w:val="Heading5"/>
      </w:pPr>
      <w:bookmarkStart w:id="313" w:name="_Toc53045836"/>
      <w:bookmarkStart w:id="314" w:name="_Toc5364676"/>
      <w:r>
        <w:rPr>
          <w:rStyle w:val="CharSectno"/>
        </w:rPr>
        <w:t>61</w:t>
      </w:r>
      <w:r>
        <w:t>.</w:t>
      </w:r>
      <w:r>
        <w:tab/>
        <w:t>Section 133 amended</w:t>
      </w:r>
      <w:bookmarkEnd w:id="313"/>
      <w:bookmarkEnd w:id="314"/>
    </w:p>
    <w:p>
      <w:pPr>
        <w:pStyle w:val="Subsection"/>
        <w:keepNext/>
      </w:pPr>
      <w:r>
        <w:tab/>
      </w:r>
      <w:r>
        <w:tab/>
        <w:t>In section 133(1) before “in connection with” insert:</w:t>
      </w:r>
    </w:p>
    <w:p>
      <w:pPr>
        <w:pStyle w:val="BlankOpen"/>
      </w:pPr>
    </w:p>
    <w:p>
      <w:pPr>
        <w:pStyle w:val="zSubsection"/>
        <w:spacing w:before="0"/>
      </w:pPr>
      <w:r>
        <w:tab/>
      </w:r>
      <w:r>
        <w:tab/>
        <w:t>in relation to the imposition and payment of fees and charges in connection with any matter under this Act, including</w:t>
      </w:r>
    </w:p>
    <w:p>
      <w:pPr>
        <w:pStyle w:val="BlankClose"/>
      </w:pPr>
    </w:p>
    <w:p>
      <w:pPr>
        <w:pStyle w:val="Heading3"/>
      </w:pPr>
      <w:bookmarkStart w:id="315" w:name="_Toc52954143"/>
      <w:bookmarkStart w:id="316" w:name="_Toc52955439"/>
      <w:bookmarkStart w:id="317" w:name="_Toc52956938"/>
      <w:bookmarkStart w:id="318" w:name="_Toc52957721"/>
      <w:bookmarkStart w:id="319" w:name="_Toc53045054"/>
      <w:bookmarkStart w:id="320" w:name="_Toc53045837"/>
      <w:bookmarkStart w:id="321" w:name="_Toc501633782"/>
      <w:bookmarkStart w:id="322" w:name="_Toc501712678"/>
      <w:bookmarkStart w:id="323" w:name="_Toc536781872"/>
      <w:bookmarkStart w:id="324" w:name="_Toc5346903"/>
      <w:bookmarkStart w:id="325" w:name="_Toc5363456"/>
      <w:bookmarkStart w:id="326" w:name="_Toc5364677"/>
      <w:r>
        <w:rPr>
          <w:rStyle w:val="CharDivNo"/>
        </w:rPr>
        <w:t>Division 4</w:t>
      </w:r>
      <w:r>
        <w:t> — </w:t>
      </w:r>
      <w:r>
        <w:rPr>
          <w:rStyle w:val="CharDivText"/>
          <w:i/>
          <w:iCs/>
        </w:rPr>
        <w:t>Energy Coordination Act 1994</w:t>
      </w:r>
      <w:bookmarkEnd w:id="315"/>
      <w:bookmarkEnd w:id="316"/>
      <w:bookmarkEnd w:id="317"/>
      <w:bookmarkEnd w:id="318"/>
      <w:bookmarkEnd w:id="319"/>
      <w:bookmarkEnd w:id="320"/>
      <w:bookmarkEnd w:id="321"/>
      <w:bookmarkEnd w:id="322"/>
      <w:bookmarkEnd w:id="323"/>
      <w:bookmarkEnd w:id="324"/>
      <w:bookmarkEnd w:id="325"/>
      <w:bookmarkEnd w:id="326"/>
    </w:p>
    <w:p>
      <w:pPr>
        <w:pStyle w:val="Heading5"/>
      </w:pPr>
      <w:bookmarkStart w:id="327" w:name="_Toc53045838"/>
      <w:bookmarkStart w:id="328" w:name="_Toc5364678"/>
      <w:r>
        <w:rPr>
          <w:rStyle w:val="CharSectno"/>
        </w:rPr>
        <w:t>62</w:t>
      </w:r>
      <w:r>
        <w:t>.</w:t>
      </w:r>
      <w:r>
        <w:tab/>
        <w:t>Act amended</w:t>
      </w:r>
      <w:bookmarkEnd w:id="327"/>
      <w:bookmarkEnd w:id="328"/>
    </w:p>
    <w:p>
      <w:pPr>
        <w:pStyle w:val="Subsection"/>
      </w:pPr>
      <w:r>
        <w:tab/>
      </w:r>
      <w:r>
        <w:tab/>
        <w:t xml:space="preserve">This Division amends the </w:t>
      </w:r>
      <w:r>
        <w:rPr>
          <w:i/>
          <w:iCs/>
        </w:rPr>
        <w:t>Energy Coordination Act 1994</w:t>
      </w:r>
      <w:r>
        <w:t>.</w:t>
      </w:r>
    </w:p>
    <w:p>
      <w:pPr>
        <w:pStyle w:val="Heading5"/>
        <w:spacing w:before="120"/>
      </w:pPr>
      <w:bookmarkStart w:id="329" w:name="_Toc53045839"/>
      <w:bookmarkStart w:id="330" w:name="_Toc5364679"/>
      <w:r>
        <w:rPr>
          <w:rStyle w:val="CharSectno"/>
        </w:rPr>
        <w:t>63</w:t>
      </w:r>
      <w:r>
        <w:t>.</w:t>
      </w:r>
      <w:r>
        <w:tab/>
        <w:t>Section 11J deleted</w:t>
      </w:r>
      <w:bookmarkEnd w:id="329"/>
      <w:bookmarkEnd w:id="330"/>
    </w:p>
    <w:p>
      <w:pPr>
        <w:pStyle w:val="Subsection"/>
        <w:spacing w:before="100"/>
      </w:pPr>
      <w:r>
        <w:tab/>
      </w:r>
      <w:r>
        <w:tab/>
        <w:t>Delete section 11J.</w:t>
      </w:r>
    </w:p>
    <w:p>
      <w:pPr>
        <w:pStyle w:val="Heading5"/>
      </w:pPr>
      <w:bookmarkStart w:id="331" w:name="_Toc53045840"/>
      <w:bookmarkStart w:id="332" w:name="_Toc5364680"/>
      <w:r>
        <w:rPr>
          <w:rStyle w:val="CharSectno"/>
        </w:rPr>
        <w:t>64</w:t>
      </w:r>
      <w:r>
        <w:t>.</w:t>
      </w:r>
      <w:r>
        <w:tab/>
        <w:t>Section 11M amended</w:t>
      </w:r>
      <w:bookmarkEnd w:id="331"/>
      <w:bookmarkEnd w:id="332"/>
    </w:p>
    <w:p>
      <w:pPr>
        <w:pStyle w:val="Subsection"/>
        <w:spacing w:before="100"/>
      </w:pPr>
      <w:r>
        <w:tab/>
      </w:r>
      <w:r>
        <w:tab/>
        <w:t>In section 11M(5) delete paragraph (a) and “or” after it and insert:</w:t>
      </w:r>
    </w:p>
    <w:p>
      <w:pPr>
        <w:pStyle w:val="BlankOpen"/>
      </w:pPr>
    </w:p>
    <w:p>
      <w:pPr>
        <w:pStyle w:val="zIndenta"/>
        <w:spacing w:before="0"/>
      </w:pPr>
      <w:r>
        <w:tab/>
        <w:t>(a)</w:t>
      </w:r>
      <w:r>
        <w:tab/>
        <w:t>the National Gas Access (Western Australia) Law; or</w:t>
      </w:r>
    </w:p>
    <w:p>
      <w:pPr>
        <w:pStyle w:val="BlankClose"/>
      </w:pPr>
    </w:p>
    <w:p>
      <w:pPr>
        <w:pStyle w:val="Heading5"/>
      </w:pPr>
      <w:bookmarkStart w:id="333" w:name="_Toc53045841"/>
      <w:bookmarkStart w:id="334" w:name="_Toc5364681"/>
      <w:r>
        <w:rPr>
          <w:rStyle w:val="CharSectno"/>
        </w:rPr>
        <w:t>65</w:t>
      </w:r>
      <w:r>
        <w:t>.</w:t>
      </w:r>
      <w:r>
        <w:tab/>
        <w:t>Section 11V amended</w:t>
      </w:r>
      <w:bookmarkEnd w:id="333"/>
      <w:bookmarkEnd w:id="334"/>
    </w:p>
    <w:p>
      <w:pPr>
        <w:pStyle w:val="Subsection"/>
        <w:spacing w:before="100"/>
      </w:pPr>
      <w:r>
        <w:tab/>
      </w:r>
      <w:r>
        <w:tab/>
        <w:t>Delete section 11V(2) and insert:</w:t>
      </w:r>
    </w:p>
    <w:p>
      <w:pPr>
        <w:pStyle w:val="BlankOpen"/>
      </w:pPr>
    </w:p>
    <w:p>
      <w:pPr>
        <w:pStyle w:val="zSubsection"/>
        <w:spacing w:before="0"/>
      </w:pPr>
      <w:r>
        <w:tab/>
        <w:t>(2)</w:t>
      </w:r>
      <w:r>
        <w:tab/>
        <w:t>A licence does not have effect to the extent that it would be inconsistent with the National Gas Access (Western Australia) Law.</w:t>
      </w:r>
    </w:p>
    <w:p>
      <w:pPr>
        <w:pStyle w:val="BlankClose"/>
      </w:pPr>
    </w:p>
    <w:p>
      <w:pPr>
        <w:pStyle w:val="Heading5"/>
      </w:pPr>
      <w:bookmarkStart w:id="335" w:name="_Toc53045842"/>
      <w:bookmarkStart w:id="336" w:name="_Toc5364682"/>
      <w:r>
        <w:rPr>
          <w:rStyle w:val="CharSectno"/>
        </w:rPr>
        <w:t>66</w:t>
      </w:r>
      <w:r>
        <w:t>.</w:t>
      </w:r>
      <w:r>
        <w:tab/>
        <w:t>Section 11ZAC amended</w:t>
      </w:r>
      <w:bookmarkEnd w:id="335"/>
      <w:bookmarkEnd w:id="336"/>
    </w:p>
    <w:p>
      <w:pPr>
        <w:pStyle w:val="Subsection"/>
        <w:keepNext/>
        <w:spacing w:before="100"/>
      </w:pPr>
      <w:r>
        <w:tab/>
      </w:r>
      <w:r>
        <w:tab/>
        <w:t>Delete section 11ZAC(4)(b) and insert:</w:t>
      </w:r>
    </w:p>
    <w:p>
      <w:pPr>
        <w:pStyle w:val="BlankOpen"/>
      </w:pPr>
    </w:p>
    <w:p>
      <w:pPr>
        <w:pStyle w:val="zIndenta"/>
        <w:spacing w:before="0"/>
      </w:pPr>
      <w:r>
        <w:tab/>
        <w:t>(b)</w:t>
      </w:r>
      <w:r>
        <w:tab/>
        <w:t>an access arrangement under the National Gas Access (Western Australia) Law.</w:t>
      </w:r>
    </w:p>
    <w:p>
      <w:pPr>
        <w:pStyle w:val="BlankClose"/>
      </w:pPr>
    </w:p>
    <w:p>
      <w:pPr>
        <w:pStyle w:val="Heading5"/>
      </w:pPr>
      <w:bookmarkStart w:id="337" w:name="_Toc53045843"/>
      <w:bookmarkStart w:id="338" w:name="_Toc5364683"/>
      <w:r>
        <w:rPr>
          <w:rStyle w:val="CharSectno"/>
        </w:rPr>
        <w:t>67</w:t>
      </w:r>
      <w:r>
        <w:t>.</w:t>
      </w:r>
      <w:r>
        <w:tab/>
        <w:t>Schedule 1A amended</w:t>
      </w:r>
      <w:bookmarkEnd w:id="337"/>
      <w:bookmarkEnd w:id="338"/>
    </w:p>
    <w:p>
      <w:pPr>
        <w:pStyle w:val="Subsection"/>
      </w:pPr>
      <w:r>
        <w:tab/>
      </w:r>
      <w:r>
        <w:tab/>
        <w:t>In Schedule 1A in paragraph (a) delete “</w:t>
      </w:r>
      <w:r>
        <w:rPr>
          <w:sz w:val="22"/>
        </w:rPr>
        <w:t>Gas Pipelines Access (Western Australia) Law;</w:t>
      </w:r>
      <w:r>
        <w:t>” and insert:</w:t>
      </w:r>
    </w:p>
    <w:p>
      <w:pPr>
        <w:pStyle w:val="BlankOpen"/>
      </w:pPr>
    </w:p>
    <w:p>
      <w:pPr>
        <w:pStyle w:val="Subsection"/>
        <w:rPr>
          <w:sz w:val="22"/>
        </w:rPr>
      </w:pPr>
      <w:r>
        <w:tab/>
      </w:r>
      <w:r>
        <w:tab/>
      </w:r>
      <w:r>
        <w:rPr>
          <w:sz w:val="22"/>
        </w:rPr>
        <w:t>National Gas Access (Western Australia) Law;</w:t>
      </w:r>
    </w:p>
    <w:p>
      <w:pPr>
        <w:pStyle w:val="BlankClose"/>
      </w:pPr>
    </w:p>
    <w:p>
      <w:pPr>
        <w:pStyle w:val="Heading3"/>
      </w:pPr>
      <w:bookmarkStart w:id="339" w:name="_Toc52954150"/>
      <w:bookmarkStart w:id="340" w:name="_Toc52955446"/>
      <w:bookmarkStart w:id="341" w:name="_Toc52956945"/>
      <w:bookmarkStart w:id="342" w:name="_Toc52957728"/>
      <w:bookmarkStart w:id="343" w:name="_Toc53045061"/>
      <w:bookmarkStart w:id="344" w:name="_Toc53045844"/>
      <w:bookmarkStart w:id="345" w:name="_Toc501633789"/>
      <w:bookmarkStart w:id="346" w:name="_Toc501712685"/>
      <w:bookmarkStart w:id="347" w:name="_Toc536781879"/>
      <w:bookmarkStart w:id="348" w:name="_Toc5346910"/>
      <w:bookmarkStart w:id="349" w:name="_Toc5363463"/>
      <w:bookmarkStart w:id="350" w:name="_Toc5364684"/>
      <w:r>
        <w:rPr>
          <w:rStyle w:val="CharDivNo"/>
        </w:rPr>
        <w:t>Division 5</w:t>
      </w:r>
      <w:r>
        <w:t> — </w:t>
      </w:r>
      <w:r>
        <w:rPr>
          <w:rStyle w:val="CharDivText"/>
          <w:iCs/>
        </w:rPr>
        <w:t>Other Acts amended</w:t>
      </w:r>
      <w:bookmarkEnd w:id="339"/>
      <w:bookmarkEnd w:id="340"/>
      <w:bookmarkEnd w:id="341"/>
      <w:bookmarkEnd w:id="342"/>
      <w:bookmarkEnd w:id="343"/>
      <w:bookmarkEnd w:id="344"/>
      <w:bookmarkEnd w:id="345"/>
      <w:bookmarkEnd w:id="346"/>
      <w:bookmarkEnd w:id="347"/>
      <w:bookmarkEnd w:id="348"/>
      <w:bookmarkEnd w:id="349"/>
      <w:bookmarkEnd w:id="350"/>
    </w:p>
    <w:p>
      <w:pPr>
        <w:pStyle w:val="Heading5"/>
      </w:pPr>
      <w:bookmarkStart w:id="351" w:name="_Toc53045845"/>
      <w:bookmarkStart w:id="352" w:name="_Toc5364685"/>
      <w:r>
        <w:rPr>
          <w:rStyle w:val="CharSectno"/>
        </w:rPr>
        <w:t>68</w:t>
      </w:r>
      <w:r>
        <w:t>.</w:t>
      </w:r>
      <w:r>
        <w:tab/>
      </w:r>
      <w:r>
        <w:rPr>
          <w:i/>
          <w:iCs/>
        </w:rPr>
        <w:t>Constitution Acts Amendment Act 1899 amended</w:t>
      </w:r>
      <w:bookmarkEnd w:id="351"/>
      <w:bookmarkEnd w:id="352"/>
    </w:p>
    <w:p>
      <w:pPr>
        <w:pStyle w:val="Subsection"/>
      </w:pPr>
      <w:r>
        <w:tab/>
        <w:t>(1)</w:t>
      </w:r>
      <w:r>
        <w:tab/>
        <w:t xml:space="preserve">This section amends the </w:t>
      </w:r>
      <w:r>
        <w:rPr>
          <w:i/>
          <w:iCs/>
        </w:rPr>
        <w:t>Constitution Acts Amendment Act 1899</w:t>
      </w:r>
      <w:r>
        <w:t>.</w:t>
      </w:r>
    </w:p>
    <w:p>
      <w:pPr>
        <w:pStyle w:val="Subsection"/>
      </w:pPr>
      <w:r>
        <w:tab/>
        <w:t>(2)</w:t>
      </w:r>
      <w:r>
        <w:tab/>
        <w:t>In Schedule V Part 1 Division 1 in the item for the Western Australian Gas Disputes Arbitrator:</w:t>
      </w:r>
    </w:p>
    <w:p>
      <w:pPr>
        <w:pStyle w:val="Indenta"/>
      </w:pPr>
      <w:r>
        <w:tab/>
        <w:t>(a)</w:t>
      </w:r>
      <w:r>
        <w:tab/>
        <w:t>delete “</w:t>
      </w:r>
      <w:r>
        <w:rPr>
          <w:sz w:val="22"/>
        </w:rPr>
        <w:t>Gas Disputes</w:t>
      </w:r>
      <w:r>
        <w:t>” and insert:</w:t>
      </w:r>
    </w:p>
    <w:p>
      <w:pPr>
        <w:pStyle w:val="BlankOpen"/>
      </w:pPr>
    </w:p>
    <w:p>
      <w:pPr>
        <w:pStyle w:val="Indenta"/>
        <w:rPr>
          <w:sz w:val="22"/>
        </w:rPr>
      </w:pPr>
      <w:r>
        <w:tab/>
      </w:r>
      <w:r>
        <w:tab/>
      </w:r>
      <w:r>
        <w:rPr>
          <w:sz w:val="22"/>
        </w:rPr>
        <w:t>Energy Disputes</w:t>
      </w:r>
    </w:p>
    <w:p>
      <w:pPr>
        <w:pStyle w:val="BlankClose"/>
      </w:pPr>
    </w:p>
    <w:p>
      <w:pPr>
        <w:pStyle w:val="Indenta"/>
      </w:pPr>
      <w:r>
        <w:tab/>
        <w:t>(b)</w:t>
      </w:r>
      <w:r>
        <w:tab/>
        <w:t>delete “</w:t>
      </w:r>
      <w:r>
        <w:rPr>
          <w:i/>
          <w:iCs/>
          <w:sz w:val="22"/>
        </w:rPr>
        <w:t>Gas Pipelines Access (Western Australia)</w:t>
      </w:r>
      <w:r>
        <w:t>” and insert:</w:t>
      </w:r>
    </w:p>
    <w:p>
      <w:pPr>
        <w:pStyle w:val="BlankOpen"/>
      </w:pPr>
    </w:p>
    <w:p>
      <w:pPr>
        <w:pStyle w:val="Indenta"/>
        <w:rPr>
          <w:i/>
          <w:iCs/>
          <w:sz w:val="22"/>
        </w:rPr>
      </w:pPr>
      <w:r>
        <w:tab/>
      </w:r>
      <w:r>
        <w:tab/>
      </w:r>
      <w:r>
        <w:rPr>
          <w:i/>
          <w:iCs/>
          <w:sz w:val="22"/>
        </w:rPr>
        <w:t>Energy Arbitration and Review</w:t>
      </w:r>
    </w:p>
    <w:p>
      <w:pPr>
        <w:pStyle w:val="BlankClose"/>
      </w:pPr>
    </w:p>
    <w:p>
      <w:pPr>
        <w:pStyle w:val="Heading5"/>
      </w:pPr>
      <w:bookmarkStart w:id="353" w:name="_Toc53045846"/>
      <w:bookmarkStart w:id="354" w:name="_Toc5364686"/>
      <w:r>
        <w:rPr>
          <w:rStyle w:val="CharSectno"/>
        </w:rPr>
        <w:t>69</w:t>
      </w:r>
      <w:r>
        <w:t>.</w:t>
      </w:r>
      <w:r>
        <w:tab/>
      </w:r>
      <w:r>
        <w:rPr>
          <w:i/>
          <w:iCs/>
        </w:rPr>
        <w:t>Financial Management Act 2006 amended</w:t>
      </w:r>
      <w:bookmarkEnd w:id="353"/>
      <w:bookmarkEnd w:id="354"/>
    </w:p>
    <w:p>
      <w:pPr>
        <w:pStyle w:val="Subsection"/>
      </w:pPr>
      <w:r>
        <w:tab/>
        <w:t>(1)</w:t>
      </w:r>
      <w:r>
        <w:tab/>
        <w:t xml:space="preserve">This section amends the </w:t>
      </w:r>
      <w:r>
        <w:rPr>
          <w:i/>
          <w:iCs/>
        </w:rPr>
        <w:t>Financial Management Act 2006</w:t>
      </w:r>
      <w:r>
        <w:t>.</w:t>
      </w:r>
    </w:p>
    <w:p>
      <w:pPr>
        <w:pStyle w:val="Subsection"/>
      </w:pPr>
      <w:r>
        <w:tab/>
        <w:t>(2)</w:t>
      </w:r>
      <w:r>
        <w:tab/>
        <w:t>In Schedule 1 in the item “Western Australian Gas Disputes Arbitrator” delete “</w:t>
      </w:r>
      <w:r>
        <w:rPr>
          <w:sz w:val="22"/>
        </w:rPr>
        <w:t>Gas</w:t>
      </w:r>
      <w:r>
        <w:t>” and insert:</w:t>
      </w:r>
    </w:p>
    <w:p>
      <w:pPr>
        <w:pStyle w:val="BlankOpen"/>
      </w:pPr>
    </w:p>
    <w:p>
      <w:pPr>
        <w:pStyle w:val="Subsection"/>
        <w:rPr>
          <w:sz w:val="22"/>
        </w:rPr>
      </w:pPr>
      <w:r>
        <w:tab/>
      </w:r>
      <w:r>
        <w:tab/>
      </w:r>
      <w:r>
        <w:rPr>
          <w:sz w:val="22"/>
        </w:rPr>
        <w:t>Energy</w:t>
      </w:r>
    </w:p>
    <w:p>
      <w:pPr>
        <w:pStyle w:val="BlankClose"/>
      </w:pPr>
    </w:p>
    <w:p>
      <w:pPr>
        <w:pStyle w:val="Heading5"/>
      </w:pPr>
      <w:bookmarkStart w:id="355" w:name="_Toc53045847"/>
      <w:bookmarkStart w:id="356" w:name="_Toc5364687"/>
      <w:r>
        <w:rPr>
          <w:rStyle w:val="CharSectno"/>
        </w:rPr>
        <w:t>70</w:t>
      </w:r>
      <w:r>
        <w:t>.</w:t>
      </w:r>
      <w:r>
        <w:tab/>
      </w:r>
      <w:r>
        <w:rPr>
          <w:i/>
          <w:iCs/>
        </w:rPr>
        <w:t>Freedom of Information Act 1992 amended</w:t>
      </w:r>
      <w:bookmarkEnd w:id="355"/>
      <w:bookmarkEnd w:id="356"/>
    </w:p>
    <w:p>
      <w:pPr>
        <w:pStyle w:val="Subsection"/>
      </w:pPr>
      <w:r>
        <w:tab/>
        <w:t>(1)</w:t>
      </w:r>
      <w:r>
        <w:tab/>
        <w:t xml:space="preserve">This section amends the </w:t>
      </w:r>
      <w:r>
        <w:rPr>
          <w:i/>
          <w:iCs/>
        </w:rPr>
        <w:t>Freedom of Information Act 1992</w:t>
      </w:r>
      <w:r>
        <w:t>.</w:t>
      </w:r>
    </w:p>
    <w:p>
      <w:pPr>
        <w:pStyle w:val="Subsection"/>
      </w:pPr>
      <w:r>
        <w:tab/>
        <w:t>(2)</w:t>
      </w:r>
      <w:r>
        <w:tab/>
        <w:t>Delete the Glossary clause 7A(1) and insert:</w:t>
      </w:r>
    </w:p>
    <w:p>
      <w:pPr>
        <w:pStyle w:val="BlankOpen"/>
      </w:pPr>
    </w:p>
    <w:p>
      <w:pPr>
        <w:pStyle w:val="zySubsection"/>
        <w:spacing w:before="0"/>
      </w:pPr>
      <w:r>
        <w:tab/>
        <w:t>(1)</w:t>
      </w:r>
      <w:r>
        <w:tab/>
        <w:t xml:space="preserve">In this clause — </w:t>
      </w:r>
    </w:p>
    <w:p>
      <w:pPr>
        <w:pStyle w:val="zyDefstart"/>
        <w:ind w:right="606"/>
      </w:pPr>
      <w:r>
        <w:tab/>
      </w:r>
      <w:r>
        <w:rPr>
          <w:rStyle w:val="CharDefText"/>
        </w:rPr>
        <w:t>access regulation functions</w:t>
      </w:r>
      <w:r>
        <w:t xml:space="preserve"> means the functions given by or under the </w:t>
      </w:r>
      <w:r>
        <w:rPr>
          <w:i/>
          <w:iCs/>
        </w:rPr>
        <w:t>National Gas Access (WA) Act 2009</w:t>
      </w:r>
      <w:r>
        <w:t>;</w:t>
      </w:r>
    </w:p>
    <w:p>
      <w:pPr>
        <w:pStyle w:val="zyDefstart"/>
      </w:pPr>
      <w:r>
        <w:tab/>
      </w:r>
      <w:r>
        <w:rPr>
          <w:rStyle w:val="CharDefText"/>
        </w:rPr>
        <w:t>arbitrator</w:t>
      </w:r>
      <w:r>
        <w:t xml:space="preserve"> has the meaning given in section 61 of the </w:t>
      </w:r>
      <w:r>
        <w:rPr>
          <w:i/>
        </w:rPr>
        <w:t>Energy Arbitration and Review Act 1998</w:t>
      </w:r>
      <w:r>
        <w:t>;</w:t>
      </w:r>
    </w:p>
    <w:p>
      <w:pPr>
        <w:pStyle w:val="zyDefstart"/>
      </w:pPr>
      <w:r>
        <w:tab/>
      </w:r>
      <w:r>
        <w:rPr>
          <w:rStyle w:val="CharDefText"/>
        </w:rPr>
        <w:t>Authority</w:t>
      </w:r>
      <w:r>
        <w:t xml:space="preserve"> means the Economic Regulation Authority established by the </w:t>
      </w:r>
      <w:r>
        <w:rPr>
          <w:i/>
          <w:iCs/>
        </w:rPr>
        <w:t>Economic Regulation Authority Act 2003</w:t>
      </w:r>
      <w:r>
        <w:t>;</w:t>
      </w:r>
    </w:p>
    <w:p>
      <w:pPr>
        <w:pStyle w:val="zyDefstart"/>
      </w:pPr>
      <w:r>
        <w:tab/>
      </w:r>
      <w:r>
        <w:rPr>
          <w:rStyle w:val="CharDefText"/>
        </w:rPr>
        <w:t>Board</w:t>
      </w:r>
      <w:r>
        <w:t xml:space="preserve"> has the meaning given in section 49 of the </w:t>
      </w:r>
      <w:r>
        <w:rPr>
          <w:i/>
          <w:iCs/>
        </w:rPr>
        <w:t>Energy Arbitration and Review Act 1998</w:t>
      </w:r>
      <w:r>
        <w:t>.</w:t>
      </w:r>
    </w:p>
    <w:p>
      <w:pPr>
        <w:pStyle w:val="BlankClose"/>
      </w:pPr>
    </w:p>
    <w:p>
      <w:pPr>
        <w:pStyle w:val="Heading5"/>
      </w:pPr>
      <w:bookmarkStart w:id="357" w:name="_Toc53045848"/>
      <w:bookmarkStart w:id="358" w:name="_Toc5364688"/>
      <w:r>
        <w:rPr>
          <w:rStyle w:val="CharSectno"/>
        </w:rPr>
        <w:t>71</w:t>
      </w:r>
      <w:r>
        <w:t>.</w:t>
      </w:r>
      <w:r>
        <w:tab/>
      </w:r>
      <w:r>
        <w:rPr>
          <w:i/>
        </w:rPr>
        <w:t>Parliamentary Commissioner Act 1971</w:t>
      </w:r>
      <w:r>
        <w:rPr>
          <w:i/>
          <w:iCs/>
        </w:rPr>
        <w:t xml:space="preserve"> amended</w:t>
      </w:r>
      <w:bookmarkEnd w:id="357"/>
      <w:bookmarkEnd w:id="358"/>
    </w:p>
    <w:p>
      <w:pPr>
        <w:pStyle w:val="Subsection"/>
      </w:pPr>
      <w:r>
        <w:tab/>
        <w:t>(1)</w:t>
      </w:r>
      <w:r>
        <w:tab/>
        <w:t xml:space="preserve">This section amends the </w:t>
      </w:r>
      <w:r>
        <w:rPr>
          <w:i/>
          <w:iCs/>
        </w:rPr>
        <w:t>Parliamentary Commissioner Act 1971</w:t>
      </w:r>
      <w:r>
        <w:t>.</w:t>
      </w:r>
    </w:p>
    <w:p>
      <w:pPr>
        <w:pStyle w:val="Subsection"/>
      </w:pPr>
      <w:r>
        <w:tab/>
        <w:t>(2)</w:t>
      </w:r>
      <w:r>
        <w:tab/>
        <w:t>In Schedule 1 in the item for the Economic Regulation Authority delete “</w:t>
      </w:r>
      <w:r>
        <w:rPr>
          <w:sz w:val="22"/>
        </w:rPr>
        <w:t xml:space="preserve">referred to in section 36(1) of the </w:t>
      </w:r>
      <w:r>
        <w:rPr>
          <w:i/>
          <w:iCs/>
          <w:sz w:val="22"/>
        </w:rPr>
        <w:t>Gas Pipelines Access (Western Australia) Act 1998</w:t>
      </w:r>
      <w:r>
        <w:rPr>
          <w:sz w:val="22"/>
        </w:rPr>
        <w:t xml:space="preserve"> and</w:t>
      </w:r>
      <w:r>
        <w:t>” and insert:</w:t>
      </w:r>
    </w:p>
    <w:p>
      <w:pPr>
        <w:pStyle w:val="BlankOpen"/>
      </w:pPr>
    </w:p>
    <w:p>
      <w:pPr>
        <w:pStyle w:val="zyIndenta"/>
        <w:spacing w:before="0"/>
      </w:pPr>
      <w:r>
        <w:tab/>
      </w:r>
      <w:r>
        <w:tab/>
        <w:t xml:space="preserve">given by or under the </w:t>
      </w:r>
      <w:r>
        <w:rPr>
          <w:i/>
          <w:iCs/>
          <w:snapToGrid w:val="0"/>
        </w:rPr>
        <w:t>National Gas Access (WA) Act 2009</w:t>
      </w:r>
      <w:r>
        <w:t xml:space="preserve"> or referred to in</w:t>
      </w:r>
    </w:p>
    <w:p>
      <w:pPr>
        <w:pStyle w:val="BlankClose"/>
      </w:pPr>
    </w:p>
    <w:p>
      <w:pPr>
        <w:pStyle w:val="Heading5"/>
      </w:pPr>
      <w:bookmarkStart w:id="359" w:name="_Toc53045849"/>
      <w:bookmarkStart w:id="360" w:name="_Toc5364689"/>
      <w:r>
        <w:rPr>
          <w:rStyle w:val="CharSectno"/>
        </w:rPr>
        <w:t>72</w:t>
      </w:r>
      <w:r>
        <w:t>.</w:t>
      </w:r>
      <w:r>
        <w:tab/>
      </w:r>
      <w:r>
        <w:rPr>
          <w:i/>
          <w:iCs/>
        </w:rPr>
        <w:t>Petroleum Pipelines Act 1969 amended</w:t>
      </w:r>
      <w:bookmarkEnd w:id="359"/>
      <w:bookmarkEnd w:id="360"/>
    </w:p>
    <w:p>
      <w:pPr>
        <w:pStyle w:val="Subsection"/>
      </w:pPr>
      <w:r>
        <w:tab/>
        <w:t>(1)</w:t>
      </w:r>
      <w:r>
        <w:tab/>
        <w:t xml:space="preserve">This section amends the </w:t>
      </w:r>
      <w:r>
        <w:rPr>
          <w:i/>
          <w:iCs/>
        </w:rPr>
        <w:t>Petroleum Pipelines Act 1969</w:t>
      </w:r>
      <w:r>
        <w:t>.</w:t>
      </w:r>
    </w:p>
    <w:p>
      <w:pPr>
        <w:pStyle w:val="Subsection"/>
      </w:pPr>
      <w:r>
        <w:tab/>
        <w:t>(2)</w:t>
      </w:r>
      <w:r>
        <w:tab/>
        <w:t>Delete section 5A.</w:t>
      </w:r>
    </w:p>
    <w:p>
      <w:pPr>
        <w:sectPr>
          <w:headerReference w:type="even" r:id="rId22"/>
          <w:headerReference w:type="default" r:id="rId23"/>
          <w:headerReference w:type="first" r:id="rId24"/>
          <w:endnotePr>
            <w:numFmt w:val="decimal"/>
          </w:endnotePr>
          <w:pgSz w:w="11907" w:h="16840" w:code="9"/>
          <w:pgMar w:top="2381" w:right="2410" w:bottom="3544" w:left="2410" w:header="720" w:footer="3380" w:gutter="0"/>
          <w:cols w:space="720"/>
          <w:noEndnote/>
          <w:docGrid w:linePitch="326"/>
        </w:sectPr>
      </w:pPr>
    </w:p>
    <w:p>
      <w:pPr>
        <w:pStyle w:val="yScheduleHeading"/>
      </w:pPr>
      <w:bookmarkStart w:id="361" w:name="_Toc52954156"/>
      <w:bookmarkStart w:id="362" w:name="_Toc52955452"/>
      <w:bookmarkStart w:id="363" w:name="_Toc52956951"/>
      <w:bookmarkStart w:id="364" w:name="_Toc52957734"/>
      <w:bookmarkStart w:id="365" w:name="_Toc53045067"/>
      <w:bookmarkStart w:id="366" w:name="_Toc53045850"/>
      <w:bookmarkStart w:id="367" w:name="_Toc501633795"/>
      <w:bookmarkStart w:id="368" w:name="_Toc501712691"/>
      <w:bookmarkStart w:id="369" w:name="_Toc536781885"/>
      <w:bookmarkStart w:id="370" w:name="_Toc5346916"/>
      <w:bookmarkStart w:id="371" w:name="_Toc5363469"/>
      <w:bookmarkStart w:id="372" w:name="_Toc5364690"/>
      <w:r>
        <w:rPr>
          <w:rStyle w:val="CharSchNo"/>
        </w:rPr>
        <w:t>Schedule 1</w:t>
      </w:r>
      <w:r>
        <w:rPr>
          <w:rStyle w:val="CharSDivNo"/>
        </w:rPr>
        <w:t> </w:t>
      </w:r>
      <w:r>
        <w:t>— </w:t>
      </w:r>
      <w:r>
        <w:rPr>
          <w:rStyle w:val="CharSchText"/>
        </w:rPr>
        <w:t>Some modifications to National Gas Law as in Schedule to South Australian Act</w:t>
      </w:r>
      <w:bookmarkEnd w:id="361"/>
      <w:bookmarkEnd w:id="362"/>
      <w:bookmarkEnd w:id="363"/>
      <w:bookmarkEnd w:id="364"/>
      <w:bookmarkEnd w:id="365"/>
      <w:bookmarkEnd w:id="366"/>
      <w:bookmarkEnd w:id="367"/>
      <w:bookmarkEnd w:id="368"/>
      <w:bookmarkEnd w:id="369"/>
      <w:bookmarkEnd w:id="370"/>
      <w:bookmarkEnd w:id="371"/>
      <w:bookmarkEnd w:id="372"/>
    </w:p>
    <w:p>
      <w:pPr>
        <w:pStyle w:val="yShoulderClause"/>
      </w:pPr>
      <w:r>
        <w:t>[s. 7(2)]</w:t>
      </w:r>
    </w:p>
    <w:p>
      <w:pPr>
        <w:pStyle w:val="yHeading5"/>
      </w:pPr>
      <w:bookmarkStart w:id="373" w:name="_Toc53045851"/>
      <w:bookmarkStart w:id="374" w:name="_Toc5364691"/>
      <w:r>
        <w:rPr>
          <w:rStyle w:val="CharSClsNo"/>
        </w:rPr>
        <w:t>1</w:t>
      </w:r>
      <w:r>
        <w:t>.</w:t>
      </w:r>
      <w:r>
        <w:tab/>
        <w:t>Purpose of this Schedule</w:t>
      </w:r>
      <w:bookmarkEnd w:id="373"/>
      <w:bookmarkEnd w:id="374"/>
    </w:p>
    <w:p>
      <w:pPr>
        <w:pStyle w:val="ySubsection"/>
        <w:spacing w:before="180"/>
      </w:pPr>
      <w:r>
        <w:tab/>
        <w:t>(1)</w:t>
      </w:r>
      <w:r>
        <w:tab/>
        <w:t>This Schedule makes the modifications to the underlying National Gas Law that, together with modifications giving effect to section 7A(3) and (4), result in the text that section 7(1) applies as the National Gas Access (Western Australia) Law.</w:t>
      </w:r>
    </w:p>
    <w:p>
      <w:pPr>
        <w:pStyle w:val="ySubsection"/>
      </w:pPr>
      <w:r>
        <w:tab/>
        <w:t>(2)</w:t>
      </w:r>
      <w:r>
        <w:tab/>
        <w:t xml:space="preserve">In subclause (1) — </w:t>
      </w:r>
    </w:p>
    <w:p>
      <w:pPr>
        <w:pStyle w:val="yDefstart"/>
      </w:pPr>
      <w:r>
        <w:tab/>
      </w:r>
      <w:r>
        <w:rPr>
          <w:rStyle w:val="CharDefText"/>
        </w:rPr>
        <w:t>underlying National Gas Law</w:t>
      </w:r>
      <w:r>
        <w:t xml:space="preserve"> means the National Gas Law, as set out in the South Australian Act Schedule for the time being in force.</w:t>
      </w:r>
    </w:p>
    <w:p>
      <w:pPr>
        <w:pStyle w:val="yHeading5"/>
      </w:pPr>
      <w:bookmarkStart w:id="375" w:name="_Toc53045852"/>
      <w:bookmarkStart w:id="376" w:name="_Toc5364692"/>
      <w:r>
        <w:rPr>
          <w:rStyle w:val="CharSClsNo"/>
        </w:rPr>
        <w:t>2</w:t>
      </w:r>
      <w:r>
        <w:t>.</w:t>
      </w:r>
      <w:r>
        <w:tab/>
        <w:t>Section 1 modified</w:t>
      </w:r>
      <w:bookmarkEnd w:id="375"/>
      <w:bookmarkEnd w:id="376"/>
    </w:p>
    <w:p>
      <w:pPr>
        <w:pStyle w:val="ySubsection"/>
        <w:spacing w:before="180"/>
      </w:pPr>
      <w:r>
        <w:tab/>
      </w:r>
      <w:r>
        <w:tab/>
        <w:t>In section 1 after “National Gas” insert —</w:t>
      </w:r>
    </w:p>
    <w:p>
      <w:pPr>
        <w:pStyle w:val="BlankOpen"/>
      </w:pPr>
    </w:p>
    <w:p>
      <w:pPr>
        <w:pStyle w:val="ySubsection"/>
        <w:rPr>
          <w:sz w:val="23"/>
        </w:rPr>
      </w:pPr>
      <w:r>
        <w:tab/>
      </w:r>
      <w:r>
        <w:tab/>
      </w:r>
      <w:r>
        <w:rPr>
          <w:sz w:val="23"/>
        </w:rPr>
        <w:t>Access</w:t>
      </w:r>
    </w:p>
    <w:p>
      <w:pPr>
        <w:pStyle w:val="BlankClose"/>
      </w:pPr>
    </w:p>
    <w:p>
      <w:pPr>
        <w:pStyle w:val="yHeading5"/>
      </w:pPr>
      <w:bookmarkStart w:id="377" w:name="_Toc53045853"/>
      <w:bookmarkStart w:id="378" w:name="_Toc5364693"/>
      <w:r>
        <w:rPr>
          <w:rStyle w:val="CharSClsNo"/>
        </w:rPr>
        <w:t>3</w:t>
      </w:r>
      <w:r>
        <w:t>.</w:t>
      </w:r>
      <w:r>
        <w:tab/>
        <w:t>Section 2 modified</w:t>
      </w:r>
      <w:bookmarkEnd w:id="377"/>
      <w:bookmarkEnd w:id="378"/>
    </w:p>
    <w:p>
      <w:pPr>
        <w:pStyle w:val="ySubsection"/>
      </w:pPr>
      <w:r>
        <w:tab/>
        <w:t>(1)</w:t>
      </w:r>
      <w:r>
        <w:tab/>
        <w:t xml:space="preserve">In section 2 delete the definitions of </w:t>
      </w:r>
      <w:r>
        <w:rPr>
          <w:b/>
          <w:bCs/>
          <w:i/>
          <w:iCs/>
        </w:rPr>
        <w:t>dispute resolution body</w:t>
      </w:r>
      <w:r>
        <w:t xml:space="preserve">, </w:t>
      </w:r>
      <w:r>
        <w:rPr>
          <w:rStyle w:val="CharDefText"/>
        </w:rPr>
        <w:t>initial National Gas Rules</w:t>
      </w:r>
      <w:r>
        <w:t xml:space="preserve">, </w:t>
      </w:r>
      <w:r>
        <w:rPr>
          <w:b/>
          <w:bCs/>
          <w:i/>
          <w:iCs/>
        </w:rPr>
        <w:t>old access law</w:t>
      </w:r>
      <w:r>
        <w:t xml:space="preserve"> and </w:t>
      </w:r>
      <w:r>
        <w:rPr>
          <w:b/>
          <w:bCs/>
          <w:i/>
          <w:iCs/>
        </w:rPr>
        <w:t>Regulations</w:t>
      </w:r>
      <w:r>
        <w:t>.</w:t>
      </w:r>
    </w:p>
    <w:p>
      <w:pPr>
        <w:pStyle w:val="ySubsection"/>
        <w:keepNext/>
      </w:pPr>
      <w:r>
        <w:tab/>
        <w:t>(2)</w:t>
      </w:r>
      <w:r>
        <w:tab/>
        <w:t>In section 2 insert in alphabetical order:</w:t>
      </w:r>
    </w:p>
    <w:p>
      <w:pPr>
        <w:pStyle w:val="BlankOpen"/>
      </w:pPr>
    </w:p>
    <w:p>
      <w:pPr>
        <w:pStyle w:val="zDefstart"/>
        <w:spacing w:before="0"/>
        <w:ind w:right="566"/>
        <w:rPr>
          <w:sz w:val="23"/>
        </w:rPr>
      </w:pPr>
      <w:r>
        <w:rPr>
          <w:sz w:val="23"/>
        </w:rPr>
        <w:tab/>
      </w:r>
      <w:r>
        <w:rPr>
          <w:rStyle w:val="CharDefText"/>
          <w:sz w:val="23"/>
        </w:rPr>
        <w:t>dispute resolution body</w:t>
      </w:r>
      <w:r>
        <w:rPr>
          <w:sz w:val="23"/>
        </w:rPr>
        <w:t xml:space="preserve"> 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zDefstart"/>
        <w:ind w:right="567"/>
      </w:pPr>
      <w:r>
        <w:rPr>
          <w:sz w:val="23"/>
        </w:rPr>
        <w:tab/>
      </w:r>
      <w:r>
        <w:rPr>
          <w:rStyle w:val="CharDefText"/>
          <w:sz w:val="23"/>
        </w:rPr>
        <w:t>initial National Gas Rules</w:t>
      </w:r>
      <w:r>
        <w:rPr>
          <w:sz w:val="23"/>
        </w:rPr>
        <w:t xml:space="preserve"> means — </w:t>
      </w:r>
    </w:p>
    <w:p>
      <w:pPr>
        <w:pStyle w:val="zDefpara"/>
        <w:rPr>
          <w:sz w:val="23"/>
          <w:szCs w:val="23"/>
        </w:rPr>
      </w:pPr>
      <w:r>
        <w:rPr>
          <w:sz w:val="23"/>
          <w:szCs w:val="23"/>
        </w:rPr>
        <w:tab/>
        <w:t>(a)</w:t>
      </w:r>
      <w:r>
        <w:rPr>
          <w:sz w:val="23"/>
          <w:szCs w:val="23"/>
        </w:rPr>
        <w:tab/>
        <w:t xml:space="preserve">the National Gas Rules that, when the </w:t>
      </w:r>
      <w:r>
        <w:rPr>
          <w:i/>
          <w:sz w:val="23"/>
          <w:szCs w:val="23"/>
        </w:rPr>
        <w:t>National Gas Access (WA) Act 2009</w:t>
      </w:r>
      <w:r>
        <w:rPr>
          <w:sz w:val="23"/>
          <w:szCs w:val="23"/>
        </w:rPr>
        <w:t xml:space="preserve"> section 30 came into operation, applied under section 294; and</w:t>
      </w:r>
    </w:p>
    <w:p>
      <w:pPr>
        <w:pStyle w:val="zDefpara"/>
        <w:rPr>
          <w:sz w:val="23"/>
          <w:szCs w:val="23"/>
        </w:rPr>
      </w:pPr>
      <w:r>
        <w:rPr>
          <w:sz w:val="23"/>
          <w:szCs w:val="23"/>
        </w:rPr>
        <w:tab/>
        <w:t>(b)</w:t>
      </w:r>
      <w:r>
        <w:rPr>
          <w:sz w:val="23"/>
          <w:szCs w:val="23"/>
        </w:rPr>
        <w:tab/>
        <w:t xml:space="preserve">the </w:t>
      </w:r>
      <w:bookmarkStart w:id="379" w:name="RuleErr_5"/>
      <w:r>
        <w:rPr>
          <w:i/>
          <w:sz w:val="23"/>
          <w:szCs w:val="23"/>
        </w:rPr>
        <w:t>National Gas Access (Pipelines-Arbitration Amendment) Rules 2017</w:t>
      </w:r>
      <w:bookmarkEnd w:id="379"/>
      <w:r>
        <w:rPr>
          <w:sz w:val="23"/>
          <w:szCs w:val="23"/>
        </w:rPr>
        <w:t xml:space="preserve"> made by the Minister for Mineral Resources and Energy of South Australia under the National Gas (South Australia) Law section 294F (notice of which was published in the </w:t>
      </w:r>
      <w:r>
        <w:rPr>
          <w:i/>
          <w:sz w:val="23"/>
          <w:szCs w:val="23"/>
        </w:rPr>
        <w:t>Government Gazette</w:t>
      </w:r>
      <w:r>
        <w:rPr>
          <w:sz w:val="23"/>
          <w:szCs w:val="23"/>
        </w:rPr>
        <w:t xml:space="preserve"> of South Australia on 1 August 2017 at p. 2994); and</w:t>
      </w:r>
    </w:p>
    <w:p>
      <w:pPr>
        <w:pStyle w:val="zDefpara"/>
      </w:pPr>
      <w:r>
        <w:rPr>
          <w:sz w:val="23"/>
          <w:szCs w:val="23"/>
        </w:rPr>
        <w:tab/>
        <w:t>(c)</w:t>
      </w:r>
      <w:r>
        <w:rPr>
          <w:sz w:val="23"/>
          <w:szCs w:val="23"/>
        </w:rPr>
        <w:tab/>
        <w:t xml:space="preserve">the </w:t>
      </w:r>
      <w:r>
        <w:rPr>
          <w:i/>
          <w:sz w:val="23"/>
          <w:szCs w:val="23"/>
        </w:rPr>
        <w:t>National Gas (Binding Rate of Return Instrument) Amendment Rule 2019</w:t>
      </w:r>
      <w:r>
        <w:rPr>
          <w:sz w:val="23"/>
          <w:szCs w:val="23"/>
        </w:rPr>
        <w:t xml:space="preserve"> made by the Minister for Energy and Mining of South Australia under the National Gas (South Australia) Law section 294CA (notice of which was published in the </w:t>
      </w:r>
      <w:r>
        <w:rPr>
          <w:i/>
          <w:sz w:val="23"/>
          <w:szCs w:val="23"/>
        </w:rPr>
        <w:t>Government Gazette</w:t>
      </w:r>
      <w:r>
        <w:rPr>
          <w:sz w:val="23"/>
          <w:szCs w:val="23"/>
        </w:rPr>
        <w:t xml:space="preserve"> of South Australia on 7 February 2019 at p. 404);</w:t>
      </w:r>
    </w:p>
    <w:p>
      <w:pPr>
        <w:pStyle w:val="zDefstart"/>
        <w:rPr>
          <w:sz w:val="23"/>
        </w:rPr>
      </w:pPr>
      <w:r>
        <w:rPr>
          <w:sz w:val="23"/>
        </w:rPr>
        <w:tab/>
      </w:r>
      <w:r>
        <w:rPr>
          <w:rStyle w:val="CharDefText"/>
          <w:sz w:val="23"/>
        </w:rPr>
        <w:t>old access law</w:t>
      </w:r>
      <w:r>
        <w:rPr>
          <w:sz w:val="23"/>
        </w:rPr>
        <w:t xml:space="preserve"> means Schedule 1 to the </w:t>
      </w:r>
      <w:r>
        <w:rPr>
          <w:i/>
          <w:iCs/>
          <w:sz w:val="23"/>
        </w:rPr>
        <w:t>Gas Pipelines Access (Western Australia) Act 1998</w:t>
      </w:r>
      <w:r>
        <w:rPr>
          <w:sz w:val="23"/>
        </w:rPr>
        <w:t xml:space="preserve"> as in force from time to time before the commencement of section 30 of the </w:t>
      </w:r>
      <w:r>
        <w:rPr>
          <w:i/>
          <w:iCs/>
          <w:sz w:val="23"/>
        </w:rPr>
        <w:t>National Gas Access (WA) Act 2009</w:t>
      </w:r>
      <w:r>
        <w:rPr>
          <w:sz w:val="23"/>
        </w:rPr>
        <w:t>;</w:t>
      </w:r>
    </w:p>
    <w:p>
      <w:pPr>
        <w:pStyle w:val="zDefstart"/>
        <w:rPr>
          <w:sz w:val="23"/>
        </w:rPr>
      </w:pPr>
      <w:r>
        <w:rPr>
          <w:sz w:val="23"/>
        </w:rPr>
        <w:tab/>
      </w:r>
      <w:r>
        <w:rPr>
          <w:rStyle w:val="CharDefText"/>
          <w:sz w:val="23"/>
        </w:rPr>
        <w:t>Regulations</w:t>
      </w:r>
      <w:r>
        <w:rPr>
          <w:sz w:val="23"/>
        </w:rPr>
        <w:t xml:space="preserve"> means the regulations made under Part 3 of the </w:t>
      </w:r>
      <w:r>
        <w:rPr>
          <w:i/>
          <w:sz w:val="23"/>
        </w:rPr>
        <w:t>National Gas Access (WA) Act 2009</w:t>
      </w:r>
      <w:r>
        <w:rPr>
          <w:sz w:val="23"/>
        </w:rPr>
        <w:t xml:space="preserve"> that apply as a law of this jurisdiction;</w:t>
      </w:r>
    </w:p>
    <w:p>
      <w:pPr>
        <w:pStyle w:val="zDefstart"/>
        <w:rPr>
          <w:iCs/>
          <w:sz w:val="23"/>
        </w:rPr>
      </w:pPr>
      <w:r>
        <w:rPr>
          <w:sz w:val="23"/>
        </w:rPr>
        <w:tab/>
      </w:r>
      <w:r>
        <w:rPr>
          <w:rStyle w:val="CharDefText"/>
          <w:sz w:val="23"/>
        </w:rPr>
        <w:t>regulator</w:t>
      </w:r>
      <w:r>
        <w:rPr>
          <w:sz w:val="23"/>
        </w:rPr>
        <w:t xml:space="preserve"> has the meaning given to that term in </w:t>
      </w:r>
      <w:r>
        <w:rPr>
          <w:iCs/>
          <w:sz w:val="23"/>
        </w:rPr>
        <w:t xml:space="preserve">section 9(1) of </w:t>
      </w:r>
      <w:r>
        <w:rPr>
          <w:sz w:val="23"/>
        </w:rPr>
        <w:t xml:space="preserve">the </w:t>
      </w:r>
      <w:r>
        <w:rPr>
          <w:i/>
          <w:sz w:val="23"/>
        </w:rPr>
        <w:t>National Gas Access (WA) Act 2009</w:t>
      </w:r>
      <w:r>
        <w:rPr>
          <w:sz w:val="23"/>
        </w:rPr>
        <w:t>;</w:t>
      </w:r>
    </w:p>
    <w:p>
      <w:pPr>
        <w:pStyle w:val="zDefstart"/>
      </w:pPr>
      <w:r>
        <w:rPr>
          <w:sz w:val="23"/>
        </w:rPr>
        <w:tab/>
      </w:r>
      <w:r>
        <w:rPr>
          <w:rStyle w:val="CharDefText"/>
          <w:sz w:val="23"/>
        </w:rPr>
        <w:t>WA arbitrator</w:t>
      </w:r>
      <w:r>
        <w:rPr>
          <w:sz w:val="23"/>
        </w:rPr>
        <w:t xml:space="preserve"> 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BlankClose"/>
      </w:pPr>
    </w:p>
    <w:p>
      <w:pPr>
        <w:pStyle w:val="ySubsection"/>
      </w:pPr>
      <w:r>
        <w:tab/>
        <w:t>(3)</w:t>
      </w:r>
      <w:r>
        <w:tab/>
        <w:t xml:space="preserve">In section 2 in the definition of </w:t>
      </w:r>
      <w:r>
        <w:rPr>
          <w:b/>
          <w:bCs/>
          <w:i/>
          <w:iCs/>
        </w:rPr>
        <w:t>AER</w:t>
      </w:r>
      <w:r>
        <w:t xml:space="preserve"> after “Commonwealth” insert:</w:t>
      </w:r>
    </w:p>
    <w:p>
      <w:pPr>
        <w:pStyle w:val="BlankOpen"/>
      </w:pPr>
    </w:p>
    <w:p>
      <w:pPr>
        <w:pStyle w:val="zDefstart"/>
        <w:spacing w:before="0"/>
        <w:rPr>
          <w:sz w:val="23"/>
        </w:rPr>
      </w:pPr>
      <w:r>
        <w:rPr>
          <w:sz w:val="23"/>
        </w:rPr>
        <w:tab/>
        <w:t>except if section 2A requires the term to be given a different meaning</w:t>
      </w:r>
    </w:p>
    <w:p>
      <w:pPr>
        <w:pStyle w:val="BlankClose"/>
      </w:pPr>
    </w:p>
    <w:p>
      <w:pPr>
        <w:pStyle w:val="ySubsection"/>
      </w:pPr>
      <w:r>
        <w:tab/>
        <w:t>(4)</w:t>
      </w:r>
      <w:r>
        <w:tab/>
        <w:t xml:space="preserve">In section 2 in the definition of </w:t>
      </w:r>
      <w:r>
        <w:rPr>
          <w:b/>
          <w:bCs/>
          <w:i/>
          <w:iCs/>
        </w:rPr>
        <w:t>Gas Code</w:t>
      </w:r>
      <w:r>
        <w:t xml:space="preserve"> delete “</w:t>
      </w:r>
      <w:r>
        <w:rPr>
          <w:sz w:val="23"/>
        </w:rPr>
        <w:t xml:space="preserve">in force from time to time before the commencement of section 20 of the </w:t>
      </w:r>
      <w:r>
        <w:rPr>
          <w:i/>
          <w:iCs/>
          <w:sz w:val="23"/>
        </w:rPr>
        <w:t>National Gas (South Australia) Act 2008</w:t>
      </w:r>
      <w:r>
        <w:rPr>
          <w:sz w:val="23"/>
        </w:rPr>
        <w:t xml:space="preserve"> of South Australia;</w:t>
      </w:r>
      <w:r>
        <w:t>” and insert:</w:t>
      </w:r>
    </w:p>
    <w:p>
      <w:pPr>
        <w:pStyle w:val="BlankOpen"/>
      </w:pPr>
    </w:p>
    <w:p>
      <w:pPr>
        <w:pStyle w:val="zDefstart"/>
        <w:spacing w:before="0"/>
        <w:rPr>
          <w:sz w:val="23"/>
        </w:rPr>
      </w:pPr>
      <w:r>
        <w:tab/>
      </w:r>
      <w:r>
        <w:rPr>
          <w:sz w:val="23"/>
        </w:rPr>
        <w:t xml:space="preserve">amended and applying from time to time before the commencement of section 30 of the </w:t>
      </w:r>
      <w:r>
        <w:rPr>
          <w:i/>
          <w:iCs/>
          <w:sz w:val="23"/>
        </w:rPr>
        <w:t>National Gas Access (WA) Act 2009</w:t>
      </w:r>
      <w:r>
        <w:rPr>
          <w:sz w:val="23"/>
        </w:rPr>
        <w:t xml:space="preserve"> as a law of Western Australia;</w:t>
      </w:r>
    </w:p>
    <w:p>
      <w:pPr>
        <w:pStyle w:val="BlankClose"/>
      </w:pPr>
    </w:p>
    <w:p>
      <w:pPr>
        <w:pStyle w:val="yEdnotesubsection"/>
      </w:pPr>
      <w:r>
        <w:tab/>
        <w:t>[(5)</w:t>
      </w:r>
      <w:r>
        <w:tab/>
        <w:t>deleted]</w:t>
      </w:r>
    </w:p>
    <w:p>
      <w:pPr>
        <w:pStyle w:val="yFootnotesection"/>
        <w:rPr>
          <w:sz w:val="23"/>
        </w:rPr>
      </w:pPr>
      <w:r>
        <w:tab/>
        <w:t>[Clause 3 amended: Gazette 22 Dec 2017 p. 5985; 5 Apr 2019 p. 1009.]</w:t>
      </w:r>
    </w:p>
    <w:p>
      <w:pPr>
        <w:pStyle w:val="yHeading5"/>
      </w:pPr>
      <w:bookmarkStart w:id="380" w:name="_Toc53045854"/>
      <w:bookmarkStart w:id="381" w:name="_Toc5364694"/>
      <w:r>
        <w:rPr>
          <w:rStyle w:val="CharSClsNo"/>
        </w:rPr>
        <w:t>4</w:t>
      </w:r>
      <w:r>
        <w:t>.</w:t>
      </w:r>
      <w:r>
        <w:tab/>
        <w:t>Sections 2A and 2B inserted</w:t>
      </w:r>
      <w:bookmarkEnd w:id="380"/>
      <w:bookmarkEnd w:id="381"/>
    </w:p>
    <w:p>
      <w:pPr>
        <w:pStyle w:val="ySubsection"/>
      </w:pPr>
      <w:r>
        <w:tab/>
      </w:r>
      <w:r>
        <w:tab/>
        <w:t>After section 2 insert:</w:t>
      </w:r>
    </w:p>
    <w:p>
      <w:pPr>
        <w:pStyle w:val="BlankOpen"/>
      </w:pPr>
    </w:p>
    <w:p>
      <w:pPr>
        <w:pStyle w:val="zHeading5"/>
        <w:spacing w:before="0"/>
      </w:pPr>
      <w:bookmarkStart w:id="382" w:name="_Toc53045855"/>
      <w:bookmarkStart w:id="383" w:name="_Toc5364695"/>
      <w:r>
        <w:t>2A.</w:t>
      </w:r>
      <w:r>
        <w:rPr>
          <w:b w:val="0"/>
        </w:rPr>
        <w:tab/>
      </w:r>
      <w:r>
        <w:t>Meaning of AER modified</w:t>
      </w:r>
      <w:bookmarkEnd w:id="382"/>
      <w:bookmarkEnd w:id="383"/>
    </w:p>
    <w:p>
      <w:pPr>
        <w:pStyle w:val="zSubsection"/>
        <w:rPr>
          <w:sz w:val="23"/>
        </w:rPr>
      </w:pPr>
      <w:r>
        <w:rPr>
          <w:sz w:val="23"/>
        </w:rPr>
        <w:tab/>
        <w:t>(1)</w:t>
      </w:r>
      <w:r>
        <w:rPr>
          <w:sz w:val="23"/>
        </w:rPr>
        <w:tab/>
        <w:t xml:space="preserve">In this Law, other than in the definition of </w:t>
      </w:r>
      <w:r>
        <w:rPr>
          <w:b/>
          <w:bCs/>
          <w:i/>
          <w:iCs/>
          <w:sz w:val="23"/>
        </w:rPr>
        <w:t>AER</w:t>
      </w:r>
      <w:r>
        <w:rPr>
          <w:sz w:val="23"/>
        </w:rPr>
        <w:t xml:space="preserve"> in section 2, a reference to the AER is to be read as a reference to the regulator (whether the ERA or the AER) except to the extent that subsection (2) gives a different meaning.</w:t>
      </w:r>
    </w:p>
    <w:p>
      <w:pPr>
        <w:pStyle w:val="zSubsection"/>
        <w:rPr>
          <w:sz w:val="23"/>
        </w:rPr>
      </w:pPr>
      <w:r>
        <w:rPr>
          <w:sz w:val="23"/>
        </w:rPr>
        <w:tab/>
        <w:t>(2)</w:t>
      </w:r>
      <w:r>
        <w:rPr>
          <w:sz w:val="23"/>
        </w:rPr>
        <w:tab/>
        <w:t xml:space="preserve">To the extent to which a reference to the AER is capable of being read as a reference to the Australian Energy Regulator established by section 44AE of the </w:t>
      </w:r>
      <w:r>
        <w:rPr>
          <w:i/>
          <w:iCs/>
          <w:sz w:val="23"/>
        </w:rPr>
        <w:t>Trade Practices Act 1974</w:t>
      </w:r>
      <w:r>
        <w:rPr>
          <w:sz w:val="23"/>
        </w:rPr>
        <w:t xml:space="preserve"> of the Commonwealth acting as the disputes resolution body, the term is to be read as having or including that meaning.</w:t>
      </w:r>
    </w:p>
    <w:p>
      <w:pPr>
        <w:pStyle w:val="zHeading5"/>
      </w:pPr>
      <w:bookmarkStart w:id="384" w:name="_Toc53045856"/>
      <w:bookmarkStart w:id="385" w:name="_Toc5364696"/>
      <w:r>
        <w:t>2B.</w:t>
      </w:r>
      <w:r>
        <w:rPr>
          <w:b w:val="0"/>
        </w:rPr>
        <w:tab/>
      </w:r>
      <w:r>
        <w:t>References to WA application Act</w:t>
      </w:r>
      <w:bookmarkEnd w:id="384"/>
      <w:bookmarkEnd w:id="385"/>
    </w:p>
    <w:p>
      <w:pPr>
        <w:pStyle w:val="zSubsection"/>
        <w:rPr>
          <w:sz w:val="23"/>
        </w:rPr>
      </w:pPr>
      <w:r>
        <w:rPr>
          <w:sz w:val="23"/>
        </w:rPr>
        <w:tab/>
      </w:r>
      <w:r>
        <w:rPr>
          <w:sz w:val="23"/>
        </w:rPr>
        <w:tab/>
        <w:t xml:space="preserve">In this Law, a reference to </w:t>
      </w:r>
      <w:r>
        <w:rPr>
          <w:color w:val="000000"/>
          <w:sz w:val="23"/>
          <w:szCs w:val="23"/>
        </w:rPr>
        <w:t xml:space="preserve">the </w:t>
      </w:r>
      <w:r>
        <w:rPr>
          <w:i/>
          <w:iCs/>
          <w:color w:val="000000"/>
          <w:sz w:val="23"/>
          <w:szCs w:val="23"/>
        </w:rPr>
        <w:t>National Gas Access (Western Australia) Act 2008</w:t>
      </w:r>
      <w:r>
        <w:rPr>
          <w:sz w:val="23"/>
        </w:rPr>
        <w:t xml:space="preserve">, if any, is to be read as a reference to </w:t>
      </w:r>
      <w:r>
        <w:rPr>
          <w:snapToGrid w:val="0"/>
          <w:sz w:val="22"/>
        </w:rPr>
        <w:t>the</w:t>
      </w:r>
      <w:r>
        <w:rPr>
          <w:i/>
          <w:snapToGrid w:val="0"/>
          <w:sz w:val="22"/>
        </w:rPr>
        <w:t xml:space="preserve"> National Gas Access (WA) Act 2009</w:t>
      </w:r>
      <w:r>
        <w:rPr>
          <w:sz w:val="23"/>
        </w:rPr>
        <w:t>.</w:t>
      </w:r>
    </w:p>
    <w:p>
      <w:pPr>
        <w:pStyle w:val="BlankClose"/>
      </w:pPr>
    </w:p>
    <w:p>
      <w:pPr>
        <w:pStyle w:val="yHeading5"/>
      </w:pPr>
      <w:bookmarkStart w:id="386" w:name="_Toc53045857"/>
      <w:bookmarkStart w:id="387" w:name="_Toc5364697"/>
      <w:r>
        <w:rPr>
          <w:rStyle w:val="CharSClsNo"/>
        </w:rPr>
        <w:t>5</w:t>
      </w:r>
      <w:r>
        <w:t>.</w:t>
      </w:r>
      <w:r>
        <w:tab/>
        <w:t>Chapter 1 Part 1A inserted</w:t>
      </w:r>
      <w:bookmarkEnd w:id="386"/>
      <w:bookmarkEnd w:id="387"/>
    </w:p>
    <w:p>
      <w:pPr>
        <w:pStyle w:val="ySubsection"/>
        <w:keepNext/>
      </w:pPr>
      <w:r>
        <w:tab/>
      </w:r>
      <w:r>
        <w:tab/>
        <w:t>After Chapter 1 Part 1 insert:</w:t>
      </w:r>
    </w:p>
    <w:p>
      <w:pPr>
        <w:pStyle w:val="BlankOpen"/>
      </w:pPr>
    </w:p>
    <w:p>
      <w:pPr>
        <w:pStyle w:val="zHeading3"/>
        <w:spacing w:before="0"/>
      </w:pPr>
      <w:bookmarkStart w:id="388" w:name="_Toc52954164"/>
      <w:bookmarkStart w:id="389" w:name="_Toc52955460"/>
      <w:bookmarkStart w:id="390" w:name="_Toc52956959"/>
      <w:bookmarkStart w:id="391" w:name="_Toc52957742"/>
      <w:bookmarkStart w:id="392" w:name="_Toc53045075"/>
      <w:bookmarkStart w:id="393" w:name="_Toc53045858"/>
      <w:bookmarkStart w:id="394" w:name="_Toc501633803"/>
      <w:bookmarkStart w:id="395" w:name="_Toc501712699"/>
      <w:bookmarkStart w:id="396" w:name="_Toc536781893"/>
      <w:bookmarkStart w:id="397" w:name="_Toc5346924"/>
      <w:bookmarkStart w:id="398" w:name="_Toc5363477"/>
      <w:bookmarkStart w:id="399" w:name="_Toc5364698"/>
      <w:r>
        <w:t>Part 1A</w:t>
      </w:r>
      <w:r>
        <w:rPr>
          <w:b w:val="0"/>
        </w:rPr>
        <w:t> — </w:t>
      </w:r>
      <w:r>
        <w:t>Postponement of Natural Gas Services Bulletin Board provisions</w:t>
      </w:r>
      <w:bookmarkEnd w:id="388"/>
      <w:bookmarkEnd w:id="389"/>
      <w:bookmarkEnd w:id="390"/>
      <w:bookmarkEnd w:id="391"/>
      <w:bookmarkEnd w:id="392"/>
      <w:bookmarkEnd w:id="393"/>
      <w:bookmarkEnd w:id="394"/>
      <w:bookmarkEnd w:id="395"/>
      <w:bookmarkEnd w:id="396"/>
      <w:bookmarkEnd w:id="397"/>
      <w:bookmarkEnd w:id="398"/>
      <w:bookmarkEnd w:id="399"/>
    </w:p>
    <w:p>
      <w:pPr>
        <w:pStyle w:val="zHeading5"/>
      </w:pPr>
      <w:bookmarkStart w:id="400" w:name="_Toc53045859"/>
      <w:bookmarkStart w:id="401" w:name="_Toc5364699"/>
      <w:r>
        <w:t>20A.</w:t>
      </w:r>
      <w:r>
        <w:rPr>
          <w:b w:val="0"/>
        </w:rPr>
        <w:tab/>
      </w:r>
      <w:r>
        <w:t>Minister may fix day on which provisions apply</w:t>
      </w:r>
      <w:bookmarkEnd w:id="400"/>
      <w:bookmarkEnd w:id="401"/>
    </w:p>
    <w:p>
      <w:pPr>
        <w:pStyle w:val="zSubsection"/>
        <w:rPr>
          <w:sz w:val="23"/>
        </w:rPr>
      </w:pPr>
      <w:r>
        <w:rPr>
          <w:sz w:val="23"/>
        </w:rPr>
        <w:tab/>
      </w:r>
      <w:r>
        <w:rPr>
          <w:sz w:val="23"/>
        </w:rPr>
        <w:tab/>
        <w:t xml:space="preserve">To the extent that a provision of this Law relates to the Natural Gas Services Bulletin Board, the provision does not apply before a day is fixed by the Minister, by an order notice of which is published in the </w:t>
      </w:r>
      <w:r>
        <w:rPr>
          <w:i/>
          <w:sz w:val="23"/>
        </w:rPr>
        <w:t>Government Gazette</w:t>
      </w:r>
      <w:r>
        <w:rPr>
          <w:sz w:val="23"/>
        </w:rPr>
        <w:t>, as the day on and after which provisions of this Law relating to the Natural Gas Services Bulletin Board apply.</w:t>
      </w:r>
    </w:p>
    <w:p>
      <w:pPr>
        <w:pStyle w:val="BlankClose"/>
      </w:pPr>
    </w:p>
    <w:p>
      <w:pPr>
        <w:pStyle w:val="yHeading5"/>
        <w:spacing w:before="120"/>
      </w:pPr>
      <w:bookmarkStart w:id="402" w:name="_Toc53045860"/>
      <w:bookmarkStart w:id="403" w:name="_Toc5364700"/>
      <w:r>
        <w:rPr>
          <w:rStyle w:val="CharSClsNo"/>
        </w:rPr>
        <w:t>6</w:t>
      </w:r>
      <w:r>
        <w:t>.</w:t>
      </w:r>
      <w:r>
        <w:tab/>
        <w:t>Section 29 modified</w:t>
      </w:r>
      <w:bookmarkEnd w:id="402"/>
      <w:bookmarkEnd w:id="403"/>
    </w:p>
    <w:p>
      <w:pPr>
        <w:pStyle w:val="ySubsection"/>
      </w:pPr>
      <w:r>
        <w:tab/>
      </w:r>
      <w:r>
        <w:tab/>
        <w:t>In section 29 after “Commonwealth” insert:</w:t>
      </w:r>
    </w:p>
    <w:p>
      <w:pPr>
        <w:pStyle w:val="BlankOpen"/>
      </w:pPr>
    </w:p>
    <w:p>
      <w:pPr>
        <w:pStyle w:val="zSubsection"/>
        <w:spacing w:before="0"/>
      </w:pPr>
      <w:r>
        <w:tab/>
      </w:r>
      <w:r>
        <w:tab/>
      </w:r>
      <w:r>
        <w:rPr>
          <w:sz w:val="23"/>
        </w:rPr>
        <w:t xml:space="preserve">or by the ERA under section 29 of the </w:t>
      </w:r>
      <w:r>
        <w:rPr>
          <w:i/>
          <w:iCs/>
          <w:sz w:val="23"/>
        </w:rPr>
        <w:t>Economic Regulation Authority Act 2003</w:t>
      </w:r>
    </w:p>
    <w:p>
      <w:pPr>
        <w:pStyle w:val="BlankClose"/>
      </w:pPr>
    </w:p>
    <w:p>
      <w:pPr>
        <w:pStyle w:val="yHeading5"/>
        <w:spacing w:before="120"/>
      </w:pPr>
      <w:bookmarkStart w:id="404" w:name="_Toc53045861"/>
      <w:bookmarkStart w:id="405" w:name="_Toc5364701"/>
      <w:r>
        <w:rPr>
          <w:rStyle w:val="CharSClsNo"/>
        </w:rPr>
        <w:t>7</w:t>
      </w:r>
      <w:r>
        <w:t>.</w:t>
      </w:r>
      <w:r>
        <w:tab/>
        <w:t>Section 30 modified</w:t>
      </w:r>
      <w:bookmarkEnd w:id="404"/>
      <w:bookmarkEnd w:id="405"/>
    </w:p>
    <w:p>
      <w:pPr>
        <w:pStyle w:val="ySubsection"/>
        <w:keepNext/>
      </w:pPr>
      <w:r>
        <w:tab/>
        <w:t>(1)</w:t>
      </w:r>
      <w:r>
        <w:tab/>
        <w:t>In section 30 delete “</w:t>
      </w:r>
      <w:r>
        <w:rPr>
          <w:sz w:val="23"/>
        </w:rPr>
        <w:t>Section 44AAF</w:t>
      </w:r>
      <w:r>
        <w:t>” and insert:</w:t>
      </w:r>
    </w:p>
    <w:p>
      <w:pPr>
        <w:pStyle w:val="BlankOpen"/>
      </w:pPr>
    </w:p>
    <w:p>
      <w:pPr>
        <w:pStyle w:val="zSubsection"/>
        <w:spacing w:before="0"/>
        <w:rPr>
          <w:sz w:val="23"/>
        </w:rPr>
      </w:pPr>
      <w:r>
        <w:rPr>
          <w:sz w:val="23"/>
        </w:rPr>
        <w:tab/>
        <w:t>(1)</w:t>
      </w:r>
      <w:r>
        <w:rPr>
          <w:sz w:val="23"/>
        </w:rPr>
        <w:tab/>
        <w:t>Section 44AAF</w:t>
      </w:r>
    </w:p>
    <w:p>
      <w:pPr>
        <w:pStyle w:val="BlankClose"/>
      </w:pPr>
    </w:p>
    <w:p>
      <w:pPr>
        <w:pStyle w:val="ySubsection"/>
      </w:pPr>
      <w:r>
        <w:tab/>
        <w:t>(2)</w:t>
      </w:r>
      <w:r>
        <w:tab/>
        <w:t>At the end of section 30 insert:</w:t>
      </w:r>
    </w:p>
    <w:p>
      <w:pPr>
        <w:pStyle w:val="BlankOpen"/>
      </w:pPr>
    </w:p>
    <w:p>
      <w:pPr>
        <w:pStyle w:val="zSubsection"/>
        <w:spacing w:before="0"/>
        <w:rPr>
          <w:sz w:val="23"/>
        </w:rPr>
      </w:pPr>
      <w:r>
        <w:rPr>
          <w:sz w:val="23"/>
        </w:rPr>
        <w:tab/>
        <w:t>(2)</w:t>
      </w:r>
      <w:r>
        <w:rPr>
          <w:sz w:val="23"/>
        </w:rPr>
        <w:tab/>
        <w:t>Without limiting section 2A, that section also applies to section 44AAF as adopted by subsection (1) and, when the adopted section is read as if a reference in it to the AER were a reference to the ERA, it is further modified as follows:</w:t>
      </w:r>
    </w:p>
    <w:p>
      <w:pPr>
        <w:pStyle w:val="zIndenta"/>
        <w:rPr>
          <w:sz w:val="23"/>
        </w:rPr>
      </w:pPr>
      <w:r>
        <w:rPr>
          <w:sz w:val="23"/>
        </w:rPr>
        <w:tab/>
        <w:t>(a)</w:t>
      </w:r>
      <w:r>
        <w:rPr>
          <w:sz w:val="23"/>
        </w:rPr>
        <w:tab/>
        <w:t>delete subsection (3)(c) of the adopted section and insert:</w:t>
      </w:r>
    </w:p>
    <w:p>
      <w:pPr>
        <w:pStyle w:val="BlankOpen"/>
      </w:pPr>
    </w:p>
    <w:p>
      <w:pPr>
        <w:pStyle w:val="zIndenta"/>
        <w:rPr>
          <w:sz w:val="23"/>
        </w:rPr>
      </w:pPr>
      <w:r>
        <w:rPr>
          <w:sz w:val="23"/>
        </w:rPr>
        <w:tab/>
        <w:t>(c)</w:t>
      </w:r>
      <w:r>
        <w:rPr>
          <w:sz w:val="23"/>
        </w:rPr>
        <w:tab/>
        <w:t xml:space="preserve">the Australian Energy Regulator established by section 44AE of the </w:t>
      </w:r>
      <w:r>
        <w:rPr>
          <w:i/>
          <w:iCs/>
          <w:sz w:val="23"/>
        </w:rPr>
        <w:t>Trade Practices Act 1974</w:t>
      </w:r>
      <w:r>
        <w:rPr>
          <w:sz w:val="23"/>
        </w:rPr>
        <w:t xml:space="preserve"> of the Commonwealth;</w:t>
      </w:r>
    </w:p>
    <w:p>
      <w:pPr>
        <w:pStyle w:val="BlankClose"/>
      </w:pPr>
    </w:p>
    <w:p>
      <w:pPr>
        <w:pStyle w:val="zIndenta"/>
        <w:rPr>
          <w:sz w:val="23"/>
        </w:rPr>
      </w:pPr>
      <w:r>
        <w:rPr>
          <w:sz w:val="23"/>
        </w:rPr>
        <w:tab/>
        <w:t>(b)</w:t>
      </w:r>
      <w:r>
        <w:rPr>
          <w:sz w:val="23"/>
        </w:rPr>
        <w:tab/>
        <w:t>delete subsection (6)(a)(i) of the adopted section and insert:</w:t>
      </w:r>
    </w:p>
    <w:p>
      <w:pPr>
        <w:pStyle w:val="BlankOpen"/>
      </w:pPr>
    </w:p>
    <w:p>
      <w:pPr>
        <w:pStyle w:val="zIndenti"/>
        <w:spacing w:before="0"/>
        <w:rPr>
          <w:sz w:val="23"/>
        </w:rPr>
      </w:pPr>
      <w:r>
        <w:rPr>
          <w:sz w:val="23"/>
        </w:rPr>
        <w:tab/>
        <w:t>(i)</w:t>
      </w:r>
      <w:r>
        <w:rPr>
          <w:sz w:val="23"/>
        </w:rPr>
        <w:tab/>
        <w:t>an ERA member, a person assisting the ERA in the performance of its functions or a delegate of the ERA;</w:t>
      </w:r>
    </w:p>
    <w:p>
      <w:pPr>
        <w:pStyle w:val="BlankClose"/>
      </w:pPr>
    </w:p>
    <w:p>
      <w:pPr>
        <w:pStyle w:val="yHeading5"/>
      </w:pPr>
      <w:bookmarkStart w:id="406" w:name="_Toc53045862"/>
      <w:bookmarkStart w:id="407" w:name="_Toc3550697"/>
      <w:bookmarkStart w:id="408" w:name="_Toc3551037"/>
      <w:bookmarkStart w:id="409" w:name="_Toc5364702"/>
      <w:r>
        <w:rPr>
          <w:rStyle w:val="CharSClsNo"/>
        </w:rPr>
        <w:t>7A</w:t>
      </w:r>
      <w:r>
        <w:t>.</w:t>
      </w:r>
      <w:r>
        <w:tab/>
        <w:t>Section 30R deleted</w:t>
      </w:r>
      <w:bookmarkEnd w:id="406"/>
      <w:bookmarkEnd w:id="407"/>
      <w:bookmarkEnd w:id="408"/>
      <w:bookmarkEnd w:id="409"/>
    </w:p>
    <w:p>
      <w:pPr>
        <w:pStyle w:val="ySubsection"/>
      </w:pPr>
      <w:r>
        <w:tab/>
      </w:r>
      <w:r>
        <w:tab/>
        <w:t>Delete section 30R.</w:t>
      </w:r>
    </w:p>
    <w:p>
      <w:pPr>
        <w:pStyle w:val="yFootnotesection"/>
        <w:rPr>
          <w:sz w:val="23"/>
        </w:rPr>
      </w:pPr>
      <w:r>
        <w:tab/>
        <w:t>[Clause 7A inserted: Gazette 5 Apr 2019 p. 1010.]</w:t>
      </w:r>
    </w:p>
    <w:p>
      <w:pPr>
        <w:pStyle w:val="yHeading5"/>
        <w:spacing w:before="120"/>
      </w:pPr>
      <w:bookmarkStart w:id="410" w:name="_Toc53045863"/>
      <w:bookmarkStart w:id="411" w:name="_Toc5364703"/>
      <w:r>
        <w:rPr>
          <w:rStyle w:val="CharSClsNo"/>
        </w:rPr>
        <w:t>8</w:t>
      </w:r>
      <w:r>
        <w:t>.</w:t>
      </w:r>
      <w:r>
        <w:tab/>
        <w:t>Chapter 2 Part 1A inserted</w:t>
      </w:r>
      <w:bookmarkEnd w:id="410"/>
      <w:bookmarkEnd w:id="411"/>
    </w:p>
    <w:p>
      <w:pPr>
        <w:pStyle w:val="ySubsection"/>
      </w:pPr>
      <w:r>
        <w:tab/>
      </w:r>
      <w:r>
        <w:tab/>
        <w:t>After Chapter 2 Part 1 insert:</w:t>
      </w:r>
    </w:p>
    <w:p>
      <w:pPr>
        <w:pStyle w:val="BlankOpen"/>
      </w:pPr>
    </w:p>
    <w:p>
      <w:pPr>
        <w:pStyle w:val="zHeading3"/>
        <w:spacing w:before="0"/>
      </w:pPr>
      <w:bookmarkStart w:id="412" w:name="_Toc52954170"/>
      <w:bookmarkStart w:id="413" w:name="_Toc52955466"/>
      <w:bookmarkStart w:id="414" w:name="_Toc52956965"/>
      <w:bookmarkStart w:id="415" w:name="_Toc52957748"/>
      <w:bookmarkStart w:id="416" w:name="_Toc53045081"/>
      <w:bookmarkStart w:id="417" w:name="_Toc53045864"/>
      <w:bookmarkStart w:id="418" w:name="_Toc501633808"/>
      <w:bookmarkStart w:id="419" w:name="_Toc501712704"/>
      <w:bookmarkStart w:id="420" w:name="_Toc536781898"/>
      <w:bookmarkStart w:id="421" w:name="_Toc5346930"/>
      <w:bookmarkStart w:id="422" w:name="_Toc5363483"/>
      <w:bookmarkStart w:id="423" w:name="_Toc5364704"/>
      <w:r>
        <w:t>Part 1A</w:t>
      </w:r>
      <w:r>
        <w:rPr>
          <w:b w:val="0"/>
        </w:rPr>
        <w:t> — </w:t>
      </w:r>
      <w:r>
        <w:t>Functions and powers of WA arbitrator</w:t>
      </w:r>
      <w:bookmarkEnd w:id="412"/>
      <w:bookmarkEnd w:id="413"/>
      <w:bookmarkEnd w:id="414"/>
      <w:bookmarkEnd w:id="415"/>
      <w:bookmarkEnd w:id="416"/>
      <w:bookmarkEnd w:id="417"/>
      <w:bookmarkEnd w:id="418"/>
      <w:bookmarkEnd w:id="419"/>
      <w:bookmarkEnd w:id="420"/>
      <w:bookmarkEnd w:id="421"/>
      <w:bookmarkEnd w:id="422"/>
      <w:bookmarkEnd w:id="423"/>
    </w:p>
    <w:p>
      <w:pPr>
        <w:pStyle w:val="zHeading5"/>
      </w:pPr>
      <w:bookmarkStart w:id="424" w:name="_Toc53045865"/>
      <w:bookmarkStart w:id="425" w:name="_Toc5364705"/>
      <w:r>
        <w:t>68A.</w:t>
      </w:r>
      <w:r>
        <w:rPr>
          <w:b w:val="0"/>
        </w:rPr>
        <w:tab/>
      </w:r>
      <w:r>
        <w:t>Manner in which WA arbitrator must perform or exercise certain functions or powers</w:t>
      </w:r>
      <w:bookmarkEnd w:id="424"/>
      <w:bookmarkEnd w:id="425"/>
    </w:p>
    <w:p>
      <w:pPr>
        <w:pStyle w:val="zSubsection"/>
        <w:rPr>
          <w:sz w:val="23"/>
        </w:rPr>
      </w:pPr>
      <w:r>
        <w:rPr>
          <w:sz w:val="23"/>
        </w:rPr>
        <w:tab/>
        <w:t>(1)</w:t>
      </w:r>
      <w:r>
        <w:rPr>
          <w:sz w:val="23"/>
        </w:rPr>
        <w:tab/>
        <w:t>The WA arbitrator must, in performing or exercising a function or power that relates to an access determination, perform or exercise that function or power in a manner that will or is likely to contribute to the achievement of the national gas objective.</w:t>
      </w:r>
    </w:p>
    <w:p>
      <w:pPr>
        <w:pStyle w:val="zSubsection"/>
        <w:rPr>
          <w:sz w:val="23"/>
        </w:rPr>
      </w:pPr>
      <w:r>
        <w:rPr>
          <w:sz w:val="23"/>
        </w:rPr>
        <w:tab/>
        <w:t>(2)</w:t>
      </w:r>
      <w:r>
        <w:rPr>
          <w:sz w:val="23"/>
        </w:rPr>
        <w:tab/>
        <w:t xml:space="preserve">In addition, the WA arbitrator — </w:t>
      </w:r>
    </w:p>
    <w:p>
      <w:pPr>
        <w:pStyle w:val="zIndenta"/>
        <w:rPr>
          <w:sz w:val="23"/>
        </w:rPr>
      </w:pPr>
      <w:r>
        <w:rPr>
          <w:sz w:val="23"/>
        </w:rPr>
        <w:tab/>
        <w:t>(a)</w:t>
      </w:r>
      <w:r>
        <w:rPr>
          <w:sz w:val="23"/>
        </w:rPr>
        <w:tab/>
        <w:t>must take into account the revenue and pricing principles when making an access determination relating to a rate or charge for a pipeline service; and</w:t>
      </w:r>
    </w:p>
    <w:p>
      <w:pPr>
        <w:pStyle w:val="zIndenta"/>
        <w:rPr>
          <w:sz w:val="23"/>
        </w:rPr>
      </w:pPr>
      <w:r>
        <w:rPr>
          <w:sz w:val="23"/>
        </w:rPr>
        <w:tab/>
        <w:t>(b)</w:t>
      </w:r>
      <w:r>
        <w:rPr>
          <w:sz w:val="23"/>
        </w:rPr>
        <w:tab/>
        <w:t>may take into account the revenue and pricing principles when performing or exercising any other function or power that relates to an access determination, if the WA arbitrator considers it appropriate to do so.</w:t>
      </w:r>
    </w:p>
    <w:p>
      <w:pPr>
        <w:pStyle w:val="zSubsection"/>
      </w:pPr>
      <w:r>
        <w:rPr>
          <w:sz w:val="23"/>
        </w:rPr>
        <w:tab/>
        <w:t>(3)</w:t>
      </w:r>
      <w:r>
        <w:rPr>
          <w:sz w:val="23"/>
        </w:rPr>
        <w:tab/>
        <w:t>For the purposes of subsection (2)(a), a reference to a reference service in the revenue and pricing principles must be read as a reference to a pipeline service.</w:t>
      </w:r>
    </w:p>
    <w:p>
      <w:pPr>
        <w:pStyle w:val="BlankClose"/>
      </w:pPr>
    </w:p>
    <w:p>
      <w:pPr>
        <w:pStyle w:val="yHeading5"/>
        <w:spacing w:before="120"/>
      </w:pPr>
      <w:bookmarkStart w:id="426" w:name="_Toc53045866"/>
      <w:bookmarkStart w:id="427" w:name="_Toc5364706"/>
      <w:r>
        <w:rPr>
          <w:rStyle w:val="CharSClsNo"/>
        </w:rPr>
        <w:t>9</w:t>
      </w:r>
      <w:r>
        <w:t>.</w:t>
      </w:r>
      <w:r>
        <w:tab/>
        <w:t>Section 181A inserted</w:t>
      </w:r>
      <w:bookmarkEnd w:id="426"/>
      <w:bookmarkEnd w:id="427"/>
    </w:p>
    <w:p>
      <w:pPr>
        <w:pStyle w:val="ySubsection"/>
      </w:pPr>
      <w:r>
        <w:tab/>
      </w:r>
      <w:r>
        <w:tab/>
        <w:t>After section 181 insert:</w:t>
      </w:r>
    </w:p>
    <w:p>
      <w:pPr>
        <w:pStyle w:val="BlankOpen"/>
      </w:pPr>
    </w:p>
    <w:p>
      <w:pPr>
        <w:pStyle w:val="zHeading5"/>
        <w:spacing w:before="0"/>
      </w:pPr>
      <w:bookmarkStart w:id="428" w:name="_Toc53045867"/>
      <w:bookmarkStart w:id="429" w:name="_Toc5364707"/>
      <w:r>
        <w:t>181A.</w:t>
      </w:r>
      <w:r>
        <w:rPr>
          <w:b w:val="0"/>
        </w:rPr>
        <w:tab/>
      </w:r>
      <w:r>
        <w:t>Providing information for certain disputes</w:t>
      </w:r>
      <w:bookmarkEnd w:id="428"/>
      <w:bookmarkEnd w:id="429"/>
    </w:p>
    <w:p>
      <w:pPr>
        <w:pStyle w:val="zSubsection"/>
        <w:rPr>
          <w:sz w:val="23"/>
        </w:rPr>
      </w:pPr>
      <w:r>
        <w:rPr>
          <w:sz w:val="23"/>
        </w:rPr>
        <w:tab/>
        <w:t>(1)</w:t>
      </w:r>
      <w:r>
        <w:rPr>
          <w:sz w:val="23"/>
        </w:rPr>
        <w:tab/>
        <w:t xml:space="preserve">If the dispute resolution body for a dispute notified under section 181(1) is the WA arbitrator — </w:t>
      </w:r>
    </w:p>
    <w:p>
      <w:pPr>
        <w:pStyle w:val="zIndenta"/>
        <w:rPr>
          <w:sz w:val="23"/>
        </w:rPr>
      </w:pPr>
      <w:r>
        <w:rPr>
          <w:sz w:val="23"/>
        </w:rPr>
        <w:tab/>
        <w:t>(a)</w:t>
      </w:r>
      <w:r>
        <w:rPr>
          <w:sz w:val="23"/>
        </w:rPr>
        <w:tab/>
        <w:t>the WA arbitrator is to inform the ERA that notification of the dispute has been received; and</w:t>
      </w:r>
    </w:p>
    <w:p>
      <w:pPr>
        <w:pStyle w:val="zIndenta"/>
        <w:rPr>
          <w:sz w:val="23"/>
        </w:rPr>
      </w:pPr>
      <w:r>
        <w:rPr>
          <w:sz w:val="23"/>
        </w:rPr>
        <w:tab/>
        <w:t>(b)</w:t>
      </w:r>
      <w:r>
        <w:rPr>
          <w:sz w:val="23"/>
        </w:rPr>
        <w:tab/>
        <w:t>the WA arbitrator may request the ERA to give the WA arbitrator any information in the ERA’s possession that is relevant to the dispute.</w:t>
      </w:r>
    </w:p>
    <w:p>
      <w:pPr>
        <w:pStyle w:val="zSubsection"/>
        <w:rPr>
          <w:sz w:val="23"/>
        </w:rPr>
      </w:pPr>
      <w:r>
        <w:rPr>
          <w:sz w:val="23"/>
        </w:rPr>
        <w:tab/>
        <w:t>(2)</w:t>
      </w:r>
      <w:r>
        <w:rPr>
          <w:sz w:val="23"/>
        </w:rPr>
        <w:tab/>
        <w:t>The ERA is to give the WA arbitrator the information requested, whether or not it is confidential and whether or not it came into the ERA’s possession for the purposes of resolving the dispute.</w:t>
      </w:r>
    </w:p>
    <w:p>
      <w:pPr>
        <w:pStyle w:val="zSubsection"/>
      </w:pPr>
      <w:r>
        <w:rPr>
          <w:sz w:val="23"/>
        </w:rPr>
        <w:tab/>
        <w:t>(3)</w:t>
      </w:r>
      <w:r>
        <w:rPr>
          <w:sz w:val="23"/>
        </w:rPr>
        <w:tab/>
        <w:t>If the ERA gives the WA arbitrator information that is confidential, the ERA is to identify the nature and extent of the confidentiality and the WA arbitrator is to treat the information accordingly.</w:t>
      </w:r>
    </w:p>
    <w:p>
      <w:pPr>
        <w:pStyle w:val="BlankClose"/>
      </w:pPr>
    </w:p>
    <w:p>
      <w:pPr>
        <w:pStyle w:val="yHeading5"/>
      </w:pPr>
      <w:bookmarkStart w:id="430" w:name="_Toc53045868"/>
      <w:bookmarkStart w:id="431" w:name="_Toc5364708"/>
      <w:r>
        <w:rPr>
          <w:rStyle w:val="CharSClsNo"/>
        </w:rPr>
        <w:t>10</w:t>
      </w:r>
      <w:r>
        <w:t>.</w:t>
      </w:r>
      <w:r>
        <w:tab/>
        <w:t>Section 231 modified</w:t>
      </w:r>
      <w:bookmarkEnd w:id="430"/>
      <w:bookmarkEnd w:id="431"/>
    </w:p>
    <w:p>
      <w:pPr>
        <w:pStyle w:val="ySubsection"/>
        <w:spacing w:before="100"/>
      </w:pPr>
      <w:r>
        <w:tab/>
        <w:t>(1)</w:t>
      </w:r>
      <w:r>
        <w:tab/>
        <w:t>After section 231(1) insert:</w:t>
      </w:r>
    </w:p>
    <w:p>
      <w:pPr>
        <w:pStyle w:val="BlankOpen"/>
      </w:pPr>
    </w:p>
    <w:p>
      <w:pPr>
        <w:pStyle w:val="zSubsection"/>
        <w:spacing w:before="0"/>
        <w:rPr>
          <w:sz w:val="23"/>
        </w:rPr>
      </w:pPr>
      <w:r>
        <w:rPr>
          <w:sz w:val="23"/>
        </w:rPr>
        <w:tab/>
        <w:t>(1A)</w:t>
      </w:r>
      <w:r>
        <w:rPr>
          <w:sz w:val="23"/>
        </w:rPr>
        <w:tab/>
        <w:t>When subsection (1) is read as if a reference in it to the AER were a reference to the ERA, the subsection is to be read as if “on behalf of the Commonwealth” had been deleted.</w:t>
      </w:r>
    </w:p>
    <w:p>
      <w:pPr>
        <w:pStyle w:val="BlankClose"/>
      </w:pPr>
    </w:p>
    <w:p>
      <w:pPr>
        <w:pStyle w:val="ySubsection"/>
      </w:pPr>
      <w:r>
        <w:tab/>
        <w:t>(2)</w:t>
      </w:r>
      <w:r>
        <w:tab/>
        <w:t>After section 231(3) insert:</w:t>
      </w:r>
    </w:p>
    <w:p>
      <w:pPr>
        <w:pStyle w:val="BlankOpen"/>
      </w:pPr>
    </w:p>
    <w:p>
      <w:pPr>
        <w:pStyle w:val="zSubsection"/>
        <w:spacing w:before="0"/>
        <w:rPr>
          <w:sz w:val="23"/>
        </w:rPr>
      </w:pPr>
      <w:r>
        <w:rPr>
          <w:sz w:val="23"/>
        </w:rPr>
        <w:tab/>
        <w:t>(3A)</w:t>
      </w:r>
      <w:r>
        <w:rPr>
          <w:sz w:val="23"/>
        </w:rPr>
        <w:tab/>
        <w:t>When subsection (3) is read as if a reference in it to the AER were a reference to the ERA, the subsection is to be read as if “on behalf of the Commonwealth” had been deleted.</w:t>
      </w:r>
    </w:p>
    <w:p>
      <w:pPr>
        <w:pStyle w:val="BlankClose"/>
      </w:pPr>
    </w:p>
    <w:p>
      <w:pPr>
        <w:pStyle w:val="yHeading5"/>
        <w:spacing w:before="120"/>
      </w:pPr>
      <w:bookmarkStart w:id="432" w:name="_Toc53045869"/>
      <w:bookmarkStart w:id="433" w:name="_Toc5364709"/>
      <w:r>
        <w:rPr>
          <w:rStyle w:val="CharSClsNo"/>
        </w:rPr>
        <w:t>11</w:t>
      </w:r>
      <w:r>
        <w:t>.</w:t>
      </w:r>
      <w:r>
        <w:tab/>
        <w:t>Section 240 modified</w:t>
      </w:r>
      <w:bookmarkEnd w:id="432"/>
      <w:bookmarkEnd w:id="433"/>
    </w:p>
    <w:p>
      <w:pPr>
        <w:pStyle w:val="ySubsection"/>
      </w:pPr>
      <w:r>
        <w:tab/>
      </w:r>
      <w:r>
        <w:tab/>
        <w:t>In section 240 delete “</w:t>
      </w:r>
      <w:r>
        <w:rPr>
          <w:sz w:val="23"/>
        </w:rPr>
        <w:t>Commonwealth.</w:t>
      </w:r>
      <w:r>
        <w:t>” and insert:</w:t>
      </w:r>
    </w:p>
    <w:p>
      <w:pPr>
        <w:pStyle w:val="BlankOpen"/>
      </w:pPr>
    </w:p>
    <w:p>
      <w:pPr>
        <w:pStyle w:val="zSubsection"/>
        <w:spacing w:before="0"/>
        <w:rPr>
          <w:sz w:val="23"/>
        </w:rPr>
      </w:pPr>
      <w:r>
        <w:rPr>
          <w:sz w:val="23"/>
        </w:rPr>
        <w:tab/>
      </w:r>
      <w:r>
        <w:rPr>
          <w:sz w:val="23"/>
        </w:rPr>
        <w:tab/>
        <w:t>State of Western Australia except if the order is made on an application by the AER on behalf of the Commonwealth, in which case it is payable to the Commonwealth.</w:t>
      </w:r>
    </w:p>
    <w:p>
      <w:pPr>
        <w:pStyle w:val="BlankClose"/>
      </w:pPr>
    </w:p>
    <w:p>
      <w:pPr>
        <w:pStyle w:val="yHeading5"/>
        <w:spacing w:before="120"/>
      </w:pPr>
      <w:bookmarkStart w:id="434" w:name="_Toc53045870"/>
      <w:bookmarkStart w:id="435" w:name="_Toc5364710"/>
      <w:r>
        <w:rPr>
          <w:rStyle w:val="CharSClsNo"/>
        </w:rPr>
        <w:t>12</w:t>
      </w:r>
      <w:r>
        <w:t>.</w:t>
      </w:r>
      <w:r>
        <w:tab/>
        <w:t>Section 290 modified</w:t>
      </w:r>
      <w:bookmarkEnd w:id="434"/>
      <w:bookmarkEnd w:id="435"/>
    </w:p>
    <w:p>
      <w:pPr>
        <w:pStyle w:val="ySubsection"/>
      </w:pPr>
      <w:r>
        <w:tab/>
      </w:r>
      <w:r>
        <w:tab/>
        <w:t xml:space="preserve">In section 290 in the definition of </w:t>
      </w:r>
      <w:r>
        <w:rPr>
          <w:b/>
          <w:bCs/>
          <w:i/>
          <w:iCs/>
        </w:rPr>
        <w:t>publish</w:t>
      </w:r>
      <w:r>
        <w:t xml:space="preserve"> paragraph (a) delete “section </w:t>
      </w:r>
      <w:r>
        <w:rPr>
          <w:sz w:val="23"/>
        </w:rPr>
        <w:t>294 or 315</w:t>
      </w:r>
      <w:r>
        <w:t>” and insert:</w:t>
      </w:r>
    </w:p>
    <w:p>
      <w:pPr>
        <w:pStyle w:val="BlankOpen"/>
      </w:pPr>
    </w:p>
    <w:p>
      <w:pPr>
        <w:pStyle w:val="ySubsection"/>
        <w:rPr>
          <w:sz w:val="23"/>
        </w:rPr>
      </w:pPr>
      <w:r>
        <w:tab/>
      </w:r>
      <w:r>
        <w:tab/>
      </w:r>
      <w:r>
        <w:rPr>
          <w:sz w:val="23"/>
        </w:rPr>
        <w:t>section 315</w:t>
      </w:r>
    </w:p>
    <w:p>
      <w:pPr>
        <w:pStyle w:val="BlankClose"/>
      </w:pPr>
    </w:p>
    <w:p>
      <w:pPr>
        <w:pStyle w:val="yHeading5"/>
      </w:pPr>
      <w:bookmarkStart w:id="436" w:name="_Toc53045871"/>
      <w:bookmarkStart w:id="437" w:name="_Toc5364711"/>
      <w:r>
        <w:rPr>
          <w:rStyle w:val="CharSClsNo"/>
        </w:rPr>
        <w:t>13</w:t>
      </w:r>
      <w:r>
        <w:t>.</w:t>
      </w:r>
      <w:r>
        <w:tab/>
        <w:t>Section 294 replaced</w:t>
      </w:r>
      <w:bookmarkEnd w:id="436"/>
      <w:bookmarkEnd w:id="437"/>
    </w:p>
    <w:p>
      <w:pPr>
        <w:pStyle w:val="ySubsection"/>
      </w:pPr>
      <w:r>
        <w:tab/>
      </w:r>
      <w:r>
        <w:tab/>
        <w:t>Delete section 294 and insert:</w:t>
      </w:r>
    </w:p>
    <w:p>
      <w:pPr>
        <w:pStyle w:val="BlankOpen"/>
      </w:pPr>
    </w:p>
    <w:p>
      <w:pPr>
        <w:pStyle w:val="zHeading5"/>
        <w:spacing w:before="0"/>
      </w:pPr>
      <w:bookmarkStart w:id="438" w:name="_Toc53045872"/>
      <w:bookmarkStart w:id="439" w:name="_Toc5364712"/>
      <w:r>
        <w:rPr>
          <w:rStyle w:val="CharSectno"/>
        </w:rPr>
        <w:t>294</w:t>
      </w:r>
      <w:r>
        <w:t>.</w:t>
      </w:r>
      <w:r>
        <w:tab/>
        <w:t>Initial National Gas Rules for WA</w:t>
      </w:r>
      <w:bookmarkEnd w:id="438"/>
      <w:bookmarkEnd w:id="439"/>
    </w:p>
    <w:p>
      <w:pPr>
        <w:pStyle w:val="zSubsection"/>
        <w:rPr>
          <w:color w:val="000000"/>
          <w:sz w:val="23"/>
          <w:szCs w:val="23"/>
        </w:rPr>
      </w:pPr>
      <w:r>
        <w:rPr>
          <w:color w:val="000000"/>
          <w:sz w:val="23"/>
          <w:szCs w:val="23"/>
        </w:rPr>
        <w:tab/>
        <w:t>(1)</w:t>
      </w:r>
      <w:r>
        <w:rPr>
          <w:color w:val="000000"/>
          <w:sz w:val="23"/>
          <w:szCs w:val="23"/>
        </w:rPr>
        <w:tab/>
        <w:t xml:space="preserve">The National Gas Rules that apply upon </w:t>
      </w:r>
      <w:r>
        <w:rPr>
          <w:sz w:val="23"/>
        </w:rPr>
        <w:t xml:space="preserve">section 30 of the </w:t>
      </w:r>
      <w:r>
        <w:rPr>
          <w:i/>
          <w:iCs/>
          <w:sz w:val="23"/>
        </w:rPr>
        <w:t>National Gas Access (WA) Act 2009</w:t>
      </w:r>
      <w:r>
        <w:rPr>
          <w:sz w:val="23"/>
        </w:rPr>
        <w:t xml:space="preserve"> coming into operation are as set out in the document called the </w:t>
      </w:r>
      <w:r>
        <w:rPr>
          <w:i/>
          <w:iCs/>
          <w:sz w:val="23"/>
        </w:rPr>
        <w:t>National Gas Rules 2008</w:t>
      </w:r>
      <w:r>
        <w:rPr>
          <w:sz w:val="23"/>
        </w:rPr>
        <w:t xml:space="preserve">, signed on 1 July 2008 by the </w:t>
      </w:r>
      <w:r>
        <w:rPr>
          <w:color w:val="000000"/>
          <w:sz w:val="23"/>
          <w:szCs w:val="23"/>
        </w:rPr>
        <w:t>Minister for Energy of South Australia, as affected, if applicable, by any amendments made by the AEMC under national gas legislation before the coming into operation of that section.</w:t>
      </w:r>
    </w:p>
    <w:p>
      <w:pPr>
        <w:pStyle w:val="zSubsection"/>
        <w:rPr>
          <w:color w:val="000000"/>
          <w:sz w:val="23"/>
          <w:szCs w:val="23"/>
        </w:rPr>
      </w:pPr>
      <w:r>
        <w:rPr>
          <w:color w:val="000000"/>
          <w:sz w:val="23"/>
          <w:szCs w:val="23"/>
        </w:rPr>
        <w:tab/>
        <w:t>(2)</w:t>
      </w:r>
      <w:r>
        <w:rPr>
          <w:color w:val="000000"/>
          <w:sz w:val="23"/>
          <w:szCs w:val="23"/>
        </w:rPr>
        <w:tab/>
        <w:t xml:space="preserve">Subsection (1) does not prevent the AEMC from making Rules under this Chapter that amend or revoke the </w:t>
      </w:r>
      <w:r>
        <w:rPr>
          <w:sz w:val="23"/>
        </w:rPr>
        <w:t>rules referred to in it.</w:t>
      </w:r>
    </w:p>
    <w:p>
      <w:pPr>
        <w:pStyle w:val="yFootnotesection"/>
        <w:rPr>
          <w:color w:val="000000"/>
          <w:sz w:val="23"/>
          <w:szCs w:val="23"/>
        </w:rPr>
      </w:pPr>
      <w:r>
        <w:tab/>
        <w:t>[Clause 13 amended: Gazette 22 Dec 2017 p. 5986.]</w:t>
      </w:r>
    </w:p>
    <w:p>
      <w:pPr>
        <w:pStyle w:val="yHeading5"/>
        <w:spacing w:before="120"/>
      </w:pPr>
      <w:bookmarkStart w:id="440" w:name="_Toc53045873"/>
      <w:bookmarkStart w:id="441" w:name="_Toc5364713"/>
      <w:r>
        <w:rPr>
          <w:rStyle w:val="CharSClsNo"/>
        </w:rPr>
        <w:t>14</w:t>
      </w:r>
      <w:r>
        <w:t>.</w:t>
      </w:r>
      <w:r>
        <w:tab/>
        <w:t>Schedule 1 modified</w:t>
      </w:r>
      <w:bookmarkEnd w:id="440"/>
      <w:bookmarkEnd w:id="441"/>
    </w:p>
    <w:p>
      <w:pPr>
        <w:pStyle w:val="ySubsection"/>
      </w:pPr>
      <w:r>
        <w:tab/>
      </w:r>
      <w:r>
        <w:tab/>
        <w:t>In Schedule 1 item 82 delete “</w:t>
      </w:r>
      <w:r>
        <w:rPr>
          <w:sz w:val="20"/>
        </w:rPr>
        <w:t xml:space="preserve">section 20 of the </w:t>
      </w:r>
      <w:r>
        <w:rPr>
          <w:i/>
          <w:iCs/>
          <w:sz w:val="20"/>
        </w:rPr>
        <w:t>National Gas (South Australia) Act 2008</w:t>
      </w:r>
      <w:r>
        <w:rPr>
          <w:sz w:val="20"/>
        </w:rPr>
        <w:t xml:space="preserve"> of South Australia.</w:t>
      </w:r>
      <w:r>
        <w:t>” and insert:</w:t>
      </w:r>
    </w:p>
    <w:p>
      <w:pPr>
        <w:pStyle w:val="BlankOpen"/>
      </w:pPr>
    </w:p>
    <w:p>
      <w:pPr>
        <w:pStyle w:val="zySubsection"/>
        <w:spacing w:before="0"/>
        <w:rPr>
          <w:sz w:val="20"/>
        </w:rPr>
      </w:pPr>
      <w:r>
        <w:tab/>
      </w:r>
      <w:r>
        <w:tab/>
      </w:r>
      <w:r>
        <w:rPr>
          <w:sz w:val="20"/>
        </w:rPr>
        <w:t xml:space="preserve">section 30 of the </w:t>
      </w:r>
      <w:r>
        <w:rPr>
          <w:i/>
          <w:iCs/>
          <w:sz w:val="20"/>
        </w:rPr>
        <w:t>National Gas Access (WA) Act 2009</w:t>
      </w:r>
      <w:r>
        <w:rPr>
          <w:sz w:val="20"/>
        </w:rPr>
        <w:t xml:space="preserve"> of Western Australia.</w:t>
      </w:r>
    </w:p>
    <w:p>
      <w:pPr>
        <w:pStyle w:val="BlankClose"/>
      </w:pPr>
    </w:p>
    <w:p>
      <w:pPr>
        <w:pStyle w:val="yHeading5"/>
      </w:pPr>
      <w:bookmarkStart w:id="442" w:name="_Toc53045874"/>
      <w:bookmarkStart w:id="443" w:name="_Toc5364714"/>
      <w:r>
        <w:rPr>
          <w:rStyle w:val="CharSClsNo"/>
        </w:rPr>
        <w:t>15</w:t>
      </w:r>
      <w:r>
        <w:t>.</w:t>
      </w:r>
      <w:r>
        <w:tab/>
        <w:t>Schedule 2 clause 27A inserted</w:t>
      </w:r>
      <w:bookmarkEnd w:id="442"/>
      <w:bookmarkEnd w:id="443"/>
    </w:p>
    <w:p>
      <w:pPr>
        <w:pStyle w:val="ySubsection"/>
      </w:pPr>
      <w:r>
        <w:tab/>
      </w:r>
      <w:r>
        <w:tab/>
        <w:t>After Schedule 2 clause 27 insert:</w:t>
      </w:r>
    </w:p>
    <w:p>
      <w:pPr>
        <w:pStyle w:val="BlankOpen"/>
      </w:pPr>
    </w:p>
    <w:p>
      <w:pPr>
        <w:pStyle w:val="zyHeading5"/>
        <w:spacing w:before="0"/>
      </w:pPr>
      <w:bookmarkStart w:id="444" w:name="_Toc53045875"/>
      <w:bookmarkStart w:id="445" w:name="_Toc5364715"/>
      <w:r>
        <w:t>27A.</w:t>
      </w:r>
      <w:r>
        <w:rPr>
          <w:b w:val="0"/>
        </w:rPr>
        <w:tab/>
      </w:r>
      <w:r>
        <w:t>WA modifications of clause 27</w:t>
      </w:r>
      <w:bookmarkEnd w:id="444"/>
      <w:bookmarkEnd w:id="445"/>
    </w:p>
    <w:p>
      <w:pPr>
        <w:pStyle w:val="zySubsection"/>
        <w:rPr>
          <w:sz w:val="23"/>
        </w:rPr>
      </w:pPr>
      <w:r>
        <w:rPr>
          <w:sz w:val="23"/>
        </w:rPr>
        <w:tab/>
      </w:r>
      <w:r>
        <w:rPr>
          <w:sz w:val="23"/>
        </w:rPr>
        <w:tab/>
        <w:t xml:space="preserve">Clause 27 applies to a conferral of power by this Law to the extent that the power derives from an amendment to the </w:t>
      </w:r>
      <w:r>
        <w:rPr>
          <w:color w:val="000000"/>
          <w:sz w:val="23"/>
          <w:szCs w:val="23"/>
        </w:rPr>
        <w:t xml:space="preserve">Schedule to the </w:t>
      </w:r>
      <w:r>
        <w:rPr>
          <w:i/>
          <w:iCs/>
          <w:color w:val="000000"/>
          <w:sz w:val="23"/>
          <w:szCs w:val="23"/>
        </w:rPr>
        <w:t>National Gas (South Australia) Act 2008</w:t>
      </w:r>
      <w:r>
        <w:rPr>
          <w:color w:val="000000"/>
          <w:sz w:val="23"/>
          <w:szCs w:val="23"/>
        </w:rPr>
        <w:t xml:space="preserve"> of South Australia</w:t>
      </w:r>
      <w:r>
        <w:rPr>
          <w:sz w:val="23"/>
        </w:rPr>
        <w:t xml:space="preserve"> — </w:t>
      </w:r>
    </w:p>
    <w:p>
      <w:pPr>
        <w:pStyle w:val="zyIndenta"/>
        <w:ind w:right="424"/>
        <w:rPr>
          <w:sz w:val="23"/>
        </w:rPr>
      </w:pPr>
      <w:r>
        <w:rPr>
          <w:sz w:val="23"/>
        </w:rPr>
        <w:tab/>
        <w:t>(a)</w:t>
      </w:r>
      <w:r>
        <w:rPr>
          <w:sz w:val="23"/>
        </w:rPr>
        <w:tab/>
        <w:t xml:space="preserve">as if references in clause 27(2), (5) and (6) to the commencement of the empowering provision referred to the time when the Western Australian National Gas Access Law text, as defined in section 7(2) of the </w:t>
      </w:r>
      <w:r>
        <w:rPr>
          <w:i/>
          <w:iCs/>
          <w:sz w:val="23"/>
        </w:rPr>
        <w:t>National Gas Access (WA) Act 2009</w:t>
      </w:r>
      <w:r>
        <w:rPr>
          <w:sz w:val="23"/>
        </w:rPr>
        <w:t>, is affected by the amendment; and</w:t>
      </w:r>
    </w:p>
    <w:p>
      <w:pPr>
        <w:pStyle w:val="zyIndenta"/>
        <w:rPr>
          <w:sz w:val="23"/>
        </w:rPr>
      </w:pPr>
      <w:r>
        <w:rPr>
          <w:sz w:val="23"/>
        </w:rPr>
        <w:tab/>
        <w:t>(b)</w:t>
      </w:r>
      <w:r>
        <w:rPr>
          <w:sz w:val="23"/>
        </w:rPr>
        <w:tab/>
        <w:t>as if the reference in clause 27(3) to additional power that would be conferred had an Act of South Australia commenced referred to additional power that would be conferred had the Western Australian National Gas Access Law text been already affected by the amendment; and</w:t>
      </w:r>
    </w:p>
    <w:p>
      <w:pPr>
        <w:pStyle w:val="zyIndenta"/>
      </w:pPr>
      <w:r>
        <w:rPr>
          <w:sz w:val="23"/>
        </w:rPr>
        <w:tab/>
        <w:t>(c)</w:t>
      </w:r>
      <w:r>
        <w:rPr>
          <w:sz w:val="23"/>
        </w:rPr>
        <w:tab/>
        <w:t>as if clause 27(7) had been omitted.</w:t>
      </w:r>
    </w:p>
    <w:p>
      <w:pPr>
        <w:pStyle w:val="BlankClose"/>
      </w:pPr>
    </w:p>
    <w:p>
      <w:pPr>
        <w:pStyle w:val="yHeading5"/>
      </w:pPr>
      <w:bookmarkStart w:id="446" w:name="_Toc53045876"/>
      <w:bookmarkStart w:id="447" w:name="_Toc5364716"/>
      <w:r>
        <w:rPr>
          <w:rStyle w:val="CharSClsNo"/>
        </w:rPr>
        <w:t>16</w:t>
      </w:r>
      <w:r>
        <w:t>.</w:t>
      </w:r>
      <w:r>
        <w:tab/>
        <w:t>Schedule 2 clause 34 modified</w:t>
      </w:r>
      <w:bookmarkEnd w:id="446"/>
      <w:bookmarkEnd w:id="447"/>
    </w:p>
    <w:p>
      <w:pPr>
        <w:pStyle w:val="ySubsection"/>
      </w:pPr>
      <w:r>
        <w:tab/>
        <w:t>(1)</w:t>
      </w:r>
      <w:r>
        <w:tab/>
        <w:t>In Schedule 2 clause 34 delete “</w:t>
      </w:r>
      <w:r>
        <w:rPr>
          <w:sz w:val="23"/>
        </w:rPr>
        <w:t>In any proceedings</w:t>
      </w:r>
      <w:r>
        <w:t>” and insert:</w:t>
      </w:r>
    </w:p>
    <w:p>
      <w:pPr>
        <w:pStyle w:val="BlankOpen"/>
      </w:pPr>
    </w:p>
    <w:p>
      <w:pPr>
        <w:pStyle w:val="zySubsection"/>
        <w:spacing w:before="0"/>
        <w:rPr>
          <w:sz w:val="23"/>
        </w:rPr>
      </w:pPr>
      <w:r>
        <w:rPr>
          <w:sz w:val="23"/>
        </w:rPr>
        <w:tab/>
        <w:t>(1)</w:t>
      </w:r>
      <w:r>
        <w:rPr>
          <w:sz w:val="23"/>
        </w:rPr>
        <w:tab/>
        <w:t>In any proceedings</w:t>
      </w:r>
    </w:p>
    <w:p>
      <w:pPr>
        <w:pStyle w:val="BlankClose"/>
      </w:pPr>
    </w:p>
    <w:p>
      <w:pPr>
        <w:pStyle w:val="ySubsection"/>
      </w:pPr>
      <w:r>
        <w:tab/>
        <w:t>(2)</w:t>
      </w:r>
      <w:r>
        <w:tab/>
        <w:t>At the end of Schedule 2 clause 34 insert:</w:t>
      </w:r>
    </w:p>
    <w:p>
      <w:pPr>
        <w:pStyle w:val="BlankOpen"/>
      </w:pPr>
    </w:p>
    <w:p>
      <w:pPr>
        <w:pStyle w:val="zySubsection"/>
        <w:spacing w:before="0"/>
        <w:rPr>
          <w:sz w:val="23"/>
        </w:rPr>
      </w:pPr>
      <w:r>
        <w:rPr>
          <w:sz w:val="23"/>
        </w:rPr>
        <w:tab/>
        <w:t>(2)</w:t>
      </w:r>
      <w:r>
        <w:rPr>
          <w:sz w:val="23"/>
        </w:rPr>
        <w:tab/>
        <w:t xml:space="preserve">When subclause (1) is read as if a reference in it to the AER were a reference to the ERA, the subclause is to be read as if “an AER member, or an SES employee or acting SES employee assisting the AER as mentioned in section 44AAC of the </w:t>
      </w:r>
      <w:r>
        <w:rPr>
          <w:i/>
          <w:iCs/>
          <w:sz w:val="23"/>
        </w:rPr>
        <w:t>Trade Practices Act 1974</w:t>
      </w:r>
      <w:r>
        <w:rPr>
          <w:sz w:val="23"/>
        </w:rPr>
        <w:t xml:space="preserve"> of the Commonwealth” had been deleted and the following had been inserted instead:</w:t>
      </w:r>
    </w:p>
    <w:p>
      <w:pPr>
        <w:pStyle w:val="BlankOpen"/>
      </w:pPr>
    </w:p>
    <w:p>
      <w:pPr>
        <w:pStyle w:val="zySubsection"/>
        <w:spacing w:before="0"/>
        <w:rPr>
          <w:sz w:val="23"/>
        </w:rPr>
      </w:pPr>
      <w:r>
        <w:tab/>
      </w:r>
      <w:r>
        <w:tab/>
      </w:r>
      <w:r>
        <w:rPr>
          <w:sz w:val="23"/>
        </w:rPr>
        <w:t>a member of the ERA</w:t>
      </w:r>
    </w:p>
    <w:p>
      <w:pPr>
        <w:pStyle w:val="BlankClose"/>
      </w:pPr>
    </w:p>
    <w:p>
      <w:pPr>
        <w:pStyle w:val="yHeading5"/>
      </w:pPr>
      <w:bookmarkStart w:id="448" w:name="_Toc53045877"/>
      <w:bookmarkStart w:id="449" w:name="_Toc5364717"/>
      <w:r>
        <w:rPr>
          <w:rStyle w:val="CharSClsNo"/>
        </w:rPr>
        <w:t>17</w:t>
      </w:r>
      <w:r>
        <w:t>.</w:t>
      </w:r>
      <w:r>
        <w:tab/>
        <w:t>Schedule 2 clause 50 replaced</w:t>
      </w:r>
      <w:bookmarkEnd w:id="448"/>
      <w:bookmarkEnd w:id="449"/>
    </w:p>
    <w:p>
      <w:pPr>
        <w:pStyle w:val="ySubsection"/>
        <w:keepNext/>
      </w:pPr>
      <w:r>
        <w:tab/>
      </w:r>
      <w:r>
        <w:tab/>
        <w:t>Delete Schedule 2 clause 50 and insert:</w:t>
      </w:r>
    </w:p>
    <w:p>
      <w:pPr>
        <w:pStyle w:val="BlankOpen"/>
      </w:pPr>
    </w:p>
    <w:p>
      <w:pPr>
        <w:pStyle w:val="zyHeading5"/>
        <w:spacing w:before="0"/>
      </w:pPr>
      <w:bookmarkStart w:id="450" w:name="_Toc53045878"/>
      <w:bookmarkStart w:id="451" w:name="_Toc5364718"/>
      <w:r>
        <w:t>50.</w:t>
      </w:r>
      <w:r>
        <w:rPr>
          <w:b w:val="0"/>
        </w:rPr>
        <w:tab/>
      </w:r>
      <w:r>
        <w:t>Attempts and incitement</w:t>
      </w:r>
      <w:bookmarkEnd w:id="450"/>
      <w:bookmarkEnd w:id="451"/>
    </w:p>
    <w:p>
      <w:pPr>
        <w:pStyle w:val="zySubsection"/>
        <w:rPr>
          <w:sz w:val="23"/>
        </w:rPr>
      </w:pPr>
      <w:r>
        <w:rPr>
          <w:sz w:val="23"/>
        </w:rPr>
        <w:tab/>
      </w:r>
      <w:r>
        <w:rPr>
          <w:sz w:val="23"/>
        </w:rPr>
        <w:tab/>
        <w:t xml:space="preserve">Section 555A(1) and (2) of </w:t>
      </w:r>
      <w:r>
        <w:rPr>
          <w:i/>
          <w:iCs/>
          <w:sz w:val="23"/>
        </w:rPr>
        <w:t>The Criminal Code</w:t>
      </w:r>
      <w:r>
        <w:rPr>
          <w:sz w:val="23"/>
        </w:rPr>
        <w:t xml:space="preserve"> apply in relation to a simple offence under this Law as if it were a simple offence under </w:t>
      </w:r>
      <w:r>
        <w:rPr>
          <w:i/>
          <w:iCs/>
          <w:sz w:val="23"/>
        </w:rPr>
        <w:t>The Criminal Code</w:t>
      </w:r>
      <w:r>
        <w:rPr>
          <w:sz w:val="23"/>
        </w:rPr>
        <w:t>.</w:t>
      </w:r>
    </w:p>
    <w:p>
      <w:pPr>
        <w:pStyle w:val="BlankClose"/>
      </w:pPr>
    </w:p>
    <w:p>
      <w:pPr>
        <w:pStyle w:val="yHeading5"/>
      </w:pPr>
      <w:bookmarkStart w:id="452" w:name="_Toc53045879"/>
      <w:bookmarkStart w:id="453" w:name="_Toc182332"/>
      <w:bookmarkStart w:id="454" w:name="_Toc5364719"/>
      <w:r>
        <w:rPr>
          <w:rStyle w:val="CharSClsNo"/>
        </w:rPr>
        <w:t>17A</w:t>
      </w:r>
      <w:r>
        <w:t>.</w:t>
      </w:r>
      <w:r>
        <w:tab/>
        <w:t>Schedule 2 clause 51 modified</w:t>
      </w:r>
      <w:bookmarkEnd w:id="452"/>
      <w:bookmarkEnd w:id="453"/>
      <w:bookmarkEnd w:id="454"/>
    </w:p>
    <w:p>
      <w:pPr>
        <w:pStyle w:val="ySubsection"/>
      </w:pPr>
      <w:r>
        <w:tab/>
      </w:r>
      <w:r>
        <w:tab/>
        <w:t xml:space="preserve">In Schedule 2 clause 51(3) delete the definition of </w:t>
      </w:r>
      <w:r>
        <w:rPr>
          <w:b/>
          <w:i/>
        </w:rPr>
        <w:t>statutory instrument</w:t>
      </w:r>
      <w:r>
        <w:t xml:space="preserve"> and insert:</w:t>
      </w:r>
    </w:p>
    <w:p>
      <w:pPr>
        <w:pStyle w:val="BlankOpen"/>
      </w:pPr>
    </w:p>
    <w:p>
      <w:pPr>
        <w:pStyle w:val="yDefstart"/>
      </w:pPr>
      <w:r>
        <w:tab/>
      </w:r>
      <w:r>
        <w:rPr>
          <w:rStyle w:val="CharDefText"/>
        </w:rPr>
        <w:t>statutory instrument</w:t>
      </w:r>
      <w:r>
        <w:t xml:space="preserve"> includes the Regulations, the rate of return instrument or the Rules.</w:t>
      </w:r>
    </w:p>
    <w:p>
      <w:pPr>
        <w:pStyle w:val="BlankClose"/>
      </w:pPr>
    </w:p>
    <w:p>
      <w:pPr>
        <w:pStyle w:val="yFootnotesection"/>
        <w:rPr>
          <w:sz w:val="23"/>
        </w:rPr>
      </w:pPr>
      <w:r>
        <w:tab/>
        <w:t>[Clause 17A inserted: Gazette 5 Apr 2019 p. 1010.]</w:t>
      </w:r>
    </w:p>
    <w:p>
      <w:pPr>
        <w:pStyle w:val="yHeading5"/>
        <w:spacing w:before="180"/>
      </w:pPr>
      <w:bookmarkStart w:id="455" w:name="_Toc53045880"/>
      <w:bookmarkStart w:id="456" w:name="_Toc5364720"/>
      <w:r>
        <w:rPr>
          <w:rStyle w:val="CharSClsNo"/>
        </w:rPr>
        <w:t>18</w:t>
      </w:r>
      <w:r>
        <w:t>.</w:t>
      </w:r>
      <w:r>
        <w:tab/>
        <w:t>Schedule 3 modified</w:t>
      </w:r>
      <w:bookmarkEnd w:id="455"/>
      <w:bookmarkEnd w:id="456"/>
    </w:p>
    <w:p>
      <w:pPr>
        <w:pStyle w:val="ySubsection"/>
        <w:spacing w:before="120"/>
      </w:pPr>
      <w:r>
        <w:tab/>
        <w:t>(1)</w:t>
      </w:r>
      <w:r>
        <w:tab/>
        <w:t xml:space="preserve">In Schedule 3 clause 1 in the definition of </w:t>
      </w:r>
      <w:r>
        <w:rPr>
          <w:b/>
          <w:bCs/>
          <w:i/>
          <w:iCs/>
        </w:rPr>
        <w:t>commencement day</w:t>
      </w:r>
      <w:r>
        <w:t xml:space="preserve"> delete “</w:t>
      </w:r>
      <w:r>
        <w:rPr>
          <w:sz w:val="23"/>
        </w:rPr>
        <w:t>section 20 of the new application Act</w:t>
      </w:r>
      <w:r>
        <w:t>” and insert:</w:t>
      </w:r>
    </w:p>
    <w:p>
      <w:pPr>
        <w:pStyle w:val="BlankOpen"/>
      </w:pPr>
    </w:p>
    <w:p>
      <w:pPr>
        <w:pStyle w:val="zySubsection"/>
        <w:spacing w:before="0"/>
        <w:rPr>
          <w:sz w:val="23"/>
        </w:rPr>
      </w:pPr>
      <w:r>
        <w:tab/>
      </w:r>
      <w:r>
        <w:tab/>
      </w:r>
      <w:r>
        <w:rPr>
          <w:sz w:val="23"/>
        </w:rPr>
        <w:t xml:space="preserve">section 30 of the </w:t>
      </w:r>
      <w:r>
        <w:rPr>
          <w:i/>
          <w:iCs/>
          <w:sz w:val="23"/>
        </w:rPr>
        <w:t>National Gas Access (WA) Act 2009</w:t>
      </w:r>
    </w:p>
    <w:p>
      <w:pPr>
        <w:pStyle w:val="BlankClose"/>
      </w:pPr>
    </w:p>
    <w:p>
      <w:pPr>
        <w:pStyle w:val="ySubsection"/>
        <w:keepNext/>
      </w:pPr>
      <w:r>
        <w:tab/>
        <w:t>(2)</w:t>
      </w:r>
      <w:r>
        <w:tab/>
        <w:t>In Schedule 3 clause 45(3)(b) delete “</w:t>
      </w:r>
      <w:r>
        <w:rPr>
          <w:i/>
          <w:iCs/>
          <w:sz w:val="23"/>
        </w:rPr>
        <w:t>Gas Pipelines Access (South Australia) Regulations 1999</w:t>
      </w:r>
      <w:r>
        <w:rPr>
          <w:sz w:val="23"/>
        </w:rPr>
        <w:t xml:space="preserve"> were not revoked</w:t>
      </w:r>
      <w:r>
        <w:rPr>
          <w:i/>
          <w:iCs/>
          <w:sz w:val="23"/>
        </w:rPr>
        <w:t>.</w:t>
      </w:r>
      <w:r>
        <w:t>” and insert:</w:t>
      </w:r>
    </w:p>
    <w:p>
      <w:pPr>
        <w:pStyle w:val="BlankOpen"/>
      </w:pPr>
    </w:p>
    <w:p>
      <w:pPr>
        <w:pStyle w:val="zyIndenta"/>
        <w:spacing w:before="0"/>
        <w:rPr>
          <w:sz w:val="23"/>
        </w:rPr>
      </w:pPr>
      <w:r>
        <w:tab/>
      </w:r>
      <w:r>
        <w:tab/>
      </w:r>
      <w:r>
        <w:rPr>
          <w:i/>
          <w:iCs/>
          <w:sz w:val="23"/>
        </w:rPr>
        <w:t>Gas Pipelines Access (Western Australia) Regulations 2000</w:t>
      </w:r>
      <w:r>
        <w:rPr>
          <w:sz w:val="23"/>
        </w:rPr>
        <w:t xml:space="preserve"> were not repealed.</w:t>
      </w:r>
    </w:p>
    <w:p>
      <w:pPr>
        <w:pStyle w:val="ySubsection"/>
        <w:rPr>
          <w:ins w:id="457" w:author="svcMRProcess" w:date="2020-10-08T16:23:00Z"/>
        </w:rPr>
      </w:pPr>
      <w:ins w:id="458" w:author="svcMRProcess" w:date="2020-10-08T16:23:00Z">
        <w:r>
          <w:tab/>
          <w:t>(2A)</w:t>
        </w:r>
        <w:r>
          <w:tab/>
          <w:t>In Schedule 3 clause 90:</w:t>
        </w:r>
      </w:ins>
    </w:p>
    <w:p>
      <w:pPr>
        <w:pStyle w:val="yIndenta"/>
        <w:rPr>
          <w:ins w:id="459" w:author="svcMRProcess" w:date="2020-10-08T16:23:00Z"/>
        </w:rPr>
      </w:pPr>
      <w:ins w:id="460" w:author="svcMRProcess" w:date="2020-10-08T16:23:00Z">
        <w:r>
          <w:tab/>
          <w:t>(a)</w:t>
        </w:r>
        <w:r>
          <w:tab/>
          <w:t xml:space="preserve">delete “section 26 of the </w:t>
        </w:r>
        <w:r>
          <w:rPr>
            <w:i/>
          </w:rPr>
          <w:t>Statutes Amendment (National Energy Laws) (Rules) Act 2018</w:t>
        </w:r>
        <w:r>
          <w:t>” and insert:</w:t>
        </w:r>
      </w:ins>
    </w:p>
    <w:p>
      <w:pPr>
        <w:pStyle w:val="BlankOpen"/>
        <w:rPr>
          <w:ins w:id="461" w:author="svcMRProcess" w:date="2020-10-08T16:23:00Z"/>
        </w:rPr>
      </w:pPr>
    </w:p>
    <w:p>
      <w:pPr>
        <w:pStyle w:val="yIndenta"/>
        <w:rPr>
          <w:ins w:id="462" w:author="svcMRProcess" w:date="2020-10-08T16:23:00Z"/>
        </w:rPr>
      </w:pPr>
      <w:ins w:id="463" w:author="svcMRProcess" w:date="2020-10-08T16:23:00Z">
        <w:r>
          <w:tab/>
        </w:r>
        <w:r>
          <w:tab/>
          <w:t xml:space="preserve">virtue of the </w:t>
        </w:r>
        <w:r>
          <w:rPr>
            <w:i/>
          </w:rPr>
          <w:t>National Gas Access (WA) Adoption of Amendments Order 2020</w:t>
        </w:r>
        <w:r>
          <w:t xml:space="preserve"> clause 3 (the </w:t>
        </w:r>
        <w:r>
          <w:rPr>
            <w:rStyle w:val="CharDefText"/>
          </w:rPr>
          <w:t>adopting clause</w:t>
        </w:r>
        <w:r>
          <w:t>)</w:t>
        </w:r>
      </w:ins>
    </w:p>
    <w:p>
      <w:pPr>
        <w:pStyle w:val="BlankClose"/>
        <w:rPr>
          <w:ins w:id="464" w:author="svcMRProcess" w:date="2020-10-08T16:23:00Z"/>
        </w:rPr>
      </w:pPr>
    </w:p>
    <w:p>
      <w:pPr>
        <w:pStyle w:val="yIndenta"/>
        <w:rPr>
          <w:ins w:id="465" w:author="svcMRProcess" w:date="2020-10-08T16:23:00Z"/>
        </w:rPr>
      </w:pPr>
      <w:ins w:id="466" w:author="svcMRProcess" w:date="2020-10-08T16:23:00Z">
        <w:r>
          <w:tab/>
          <w:t>(b)</w:t>
        </w:r>
        <w:r>
          <w:tab/>
          <w:t>in paragraph (a) delete “commencement of this clause; or” and insert:</w:t>
        </w:r>
      </w:ins>
    </w:p>
    <w:p>
      <w:pPr>
        <w:pStyle w:val="BlankOpen"/>
        <w:rPr>
          <w:ins w:id="467" w:author="svcMRProcess" w:date="2020-10-08T16:23:00Z"/>
        </w:rPr>
      </w:pPr>
    </w:p>
    <w:p>
      <w:pPr>
        <w:pStyle w:val="yIndenta"/>
        <w:rPr>
          <w:ins w:id="468" w:author="svcMRProcess" w:date="2020-10-08T16:23:00Z"/>
        </w:rPr>
      </w:pPr>
      <w:ins w:id="469" w:author="svcMRProcess" w:date="2020-10-08T16:23:00Z">
        <w:r>
          <w:tab/>
        </w:r>
        <w:r>
          <w:tab/>
          <w:t>coming into operation of the adopting clause; or</w:t>
        </w:r>
      </w:ins>
    </w:p>
    <w:p>
      <w:pPr>
        <w:pStyle w:val="BlankClose"/>
        <w:rPr>
          <w:ins w:id="470" w:author="svcMRProcess" w:date="2020-10-08T16:23:00Z"/>
        </w:rPr>
      </w:pPr>
    </w:p>
    <w:p>
      <w:pPr>
        <w:pStyle w:val="yIndenta"/>
        <w:rPr>
          <w:ins w:id="471" w:author="svcMRProcess" w:date="2020-10-08T16:23:00Z"/>
        </w:rPr>
      </w:pPr>
      <w:ins w:id="472" w:author="svcMRProcess" w:date="2020-10-08T16:23:00Z">
        <w:r>
          <w:tab/>
          <w:t>(c)</w:t>
        </w:r>
        <w:r>
          <w:tab/>
          <w:t>in paragraph (b) delete “commencement of this clause,” and insert:</w:t>
        </w:r>
      </w:ins>
    </w:p>
    <w:p>
      <w:pPr>
        <w:pStyle w:val="BlankOpen"/>
        <w:rPr>
          <w:ins w:id="473" w:author="svcMRProcess" w:date="2020-10-08T16:23:00Z"/>
        </w:rPr>
      </w:pPr>
    </w:p>
    <w:p>
      <w:pPr>
        <w:pStyle w:val="yIndenta"/>
        <w:rPr>
          <w:ins w:id="474" w:author="svcMRProcess" w:date="2020-10-08T16:23:00Z"/>
        </w:rPr>
      </w:pPr>
      <w:ins w:id="475" w:author="svcMRProcess" w:date="2020-10-08T16:23:00Z">
        <w:r>
          <w:tab/>
        </w:r>
        <w:r>
          <w:tab/>
          <w:t>coming into operation of the adopting clause,</w:t>
        </w:r>
      </w:ins>
    </w:p>
    <w:p>
      <w:pPr>
        <w:pStyle w:val="BlankClose"/>
        <w:rPr>
          <w:ins w:id="476" w:author="svcMRProcess" w:date="2020-10-08T16:23:00Z"/>
        </w:rPr>
      </w:pPr>
    </w:p>
    <w:p>
      <w:pPr>
        <w:pStyle w:val="ySubsection"/>
      </w:pPr>
      <w:r>
        <w:tab/>
        <w:t>(3)</w:t>
      </w:r>
      <w:r>
        <w:tab/>
        <w:t>In Schedule 3 clause 95 insert in alphabetical order:</w:t>
      </w:r>
    </w:p>
    <w:p>
      <w:pPr>
        <w:pStyle w:val="BlankOpen"/>
      </w:pPr>
    </w:p>
    <w:p>
      <w:pPr>
        <w:pStyle w:val="zyDefstart"/>
        <w:rPr>
          <w:sz w:val="23"/>
          <w:szCs w:val="23"/>
        </w:rPr>
      </w:pPr>
      <w:r>
        <w:rPr>
          <w:sz w:val="23"/>
          <w:szCs w:val="23"/>
        </w:rPr>
        <w:tab/>
      </w:r>
      <w:r>
        <w:rPr>
          <w:rStyle w:val="CharDefText"/>
          <w:sz w:val="23"/>
          <w:szCs w:val="23"/>
        </w:rPr>
        <w:t>commencement</w:t>
      </w:r>
      <w:r>
        <w:rPr>
          <w:sz w:val="23"/>
          <w:szCs w:val="23"/>
        </w:rPr>
        <w:t xml:space="preserve"> means the coming into operation of the National Gas Access (WA) Adoption of Amendments Order 2019 clause 3;</w:t>
      </w:r>
    </w:p>
    <w:p>
      <w:pPr>
        <w:pStyle w:val="BlankClose"/>
      </w:pPr>
    </w:p>
    <w:p>
      <w:pPr>
        <w:pStyle w:val="ySubsection"/>
        <w:keepNext/>
      </w:pPr>
      <w:r>
        <w:tab/>
        <w:t>(4)</w:t>
      </w:r>
      <w:r>
        <w:tab/>
        <w:t>In Schedule 3 clause 96(1)(a) delete “</w:t>
      </w:r>
      <w:r>
        <w:rPr>
          <w:sz w:val="23"/>
          <w:szCs w:val="23"/>
        </w:rPr>
        <w:t>commencement of this clause;</w:t>
      </w:r>
      <w:r>
        <w:t>” and insert:</w:t>
      </w:r>
    </w:p>
    <w:p>
      <w:pPr>
        <w:pStyle w:val="BlankOpen"/>
      </w:pPr>
    </w:p>
    <w:p>
      <w:pPr>
        <w:pStyle w:val="ySubsection"/>
        <w:rPr>
          <w:sz w:val="23"/>
          <w:szCs w:val="23"/>
        </w:rPr>
      </w:pPr>
      <w:r>
        <w:rPr>
          <w:sz w:val="23"/>
          <w:szCs w:val="23"/>
        </w:rPr>
        <w:tab/>
      </w:r>
      <w:r>
        <w:rPr>
          <w:sz w:val="23"/>
          <w:szCs w:val="23"/>
        </w:rPr>
        <w:tab/>
        <w:t>commencement;</w:t>
      </w:r>
    </w:p>
    <w:p>
      <w:pPr>
        <w:pStyle w:val="BlankClose"/>
      </w:pPr>
    </w:p>
    <w:p>
      <w:pPr>
        <w:pStyle w:val="ySubsection"/>
      </w:pPr>
      <w:r>
        <w:tab/>
        <w:t>(5)</w:t>
      </w:r>
      <w:r>
        <w:tab/>
        <w:t>In Schedule 3 clause 97(1) delete “</w:t>
      </w:r>
      <w:r>
        <w:rPr>
          <w:sz w:val="23"/>
          <w:szCs w:val="23"/>
        </w:rPr>
        <w:t>commencement of this clause—</w:t>
      </w:r>
      <w:r>
        <w:t>” and insert:</w:t>
      </w:r>
    </w:p>
    <w:p>
      <w:pPr>
        <w:pStyle w:val="BlankOpen"/>
      </w:pPr>
    </w:p>
    <w:p>
      <w:pPr>
        <w:pStyle w:val="ySubsection"/>
        <w:rPr>
          <w:sz w:val="23"/>
          <w:szCs w:val="23"/>
        </w:rPr>
      </w:pPr>
      <w:r>
        <w:rPr>
          <w:sz w:val="23"/>
          <w:szCs w:val="23"/>
        </w:rPr>
        <w:tab/>
      </w:r>
      <w:r>
        <w:rPr>
          <w:sz w:val="23"/>
          <w:szCs w:val="23"/>
        </w:rPr>
        <w:tab/>
        <w:t xml:space="preserve">commencement— </w:t>
      </w:r>
    </w:p>
    <w:p>
      <w:pPr>
        <w:pStyle w:val="BlankClose"/>
      </w:pPr>
    </w:p>
    <w:p>
      <w:pPr>
        <w:pStyle w:val="ySubsection"/>
      </w:pPr>
      <w:r>
        <w:tab/>
        <w:t>(6)</w:t>
      </w:r>
      <w:r>
        <w:tab/>
        <w:t xml:space="preserve">In Schedule 3 clause 98(3) delete the definitions of </w:t>
      </w:r>
      <w:r>
        <w:rPr>
          <w:b/>
          <w:i/>
        </w:rPr>
        <w:t>amended Law</w:t>
      </w:r>
      <w:r>
        <w:t xml:space="preserve"> and </w:t>
      </w:r>
      <w:r>
        <w:rPr>
          <w:b/>
          <w:i/>
        </w:rPr>
        <w:t>commencement</w:t>
      </w:r>
      <w:r>
        <w:t xml:space="preserve"> and insert:</w:t>
      </w:r>
    </w:p>
    <w:p>
      <w:pPr>
        <w:pStyle w:val="BlankOpen"/>
      </w:pPr>
    </w:p>
    <w:p>
      <w:pPr>
        <w:pStyle w:val="zyDefstart"/>
        <w:rPr>
          <w:sz w:val="23"/>
          <w:szCs w:val="23"/>
        </w:rPr>
      </w:pPr>
      <w:r>
        <w:rPr>
          <w:sz w:val="23"/>
          <w:szCs w:val="23"/>
        </w:rPr>
        <w:tab/>
      </w:r>
      <w:r>
        <w:rPr>
          <w:rStyle w:val="CharDefText"/>
          <w:sz w:val="23"/>
          <w:szCs w:val="23"/>
        </w:rPr>
        <w:t>amended Law</w:t>
      </w:r>
      <w:r>
        <w:rPr>
          <w:sz w:val="23"/>
          <w:szCs w:val="23"/>
        </w:rPr>
        <w:t xml:space="preserve"> means this Law as amended and modified by virtue of the </w:t>
      </w:r>
      <w:r>
        <w:rPr>
          <w:i/>
          <w:sz w:val="23"/>
          <w:szCs w:val="23"/>
        </w:rPr>
        <w:t>National Gas Access (WA) Adoption of Amendments Order 2019</w:t>
      </w:r>
      <w:r>
        <w:rPr>
          <w:sz w:val="23"/>
          <w:szCs w:val="23"/>
        </w:rPr>
        <w:t xml:space="preserve"> and the </w:t>
      </w:r>
      <w:r>
        <w:rPr>
          <w:i/>
          <w:sz w:val="23"/>
          <w:szCs w:val="23"/>
        </w:rPr>
        <w:t>National Gas Access (WA) (Act Amendment) Regulations 2019</w:t>
      </w:r>
      <w:r>
        <w:rPr>
          <w:sz w:val="23"/>
          <w:szCs w:val="23"/>
        </w:rPr>
        <w:t>.</w:t>
      </w:r>
    </w:p>
    <w:p>
      <w:pPr>
        <w:pStyle w:val="yFootnotesection"/>
      </w:pPr>
      <w:r>
        <w:tab/>
        <w:t>[Clause 18 amended: Gazette 5 Apr 2019 p. 1010</w:t>
      </w:r>
      <w:ins w:id="477" w:author="svcMRProcess" w:date="2020-10-08T16:23:00Z">
        <w:r>
          <w:t>; SL 2020/194 r. 4</w:t>
        </w:r>
      </w:ins>
      <w:r>
        <w:t>.]</w:t>
      </w:r>
    </w:p>
    <w:p>
      <w:pPr>
        <w:pStyle w:val="yFootnotesection"/>
        <w:jc w:val="center"/>
        <w:rPr>
          <w:ins w:id="478" w:author="svcMRProcess" w:date="2020-10-08T16:23:00Z"/>
          <w:sz w:val="23"/>
        </w:rPr>
      </w:pPr>
      <w:ins w:id="479" w:author="svcMRProcess" w:date="2020-10-08T16:23:00Z">
        <w:r>
          <w:rPr>
            <w:noProof/>
          </w:rPr>
          <w:drawing>
            <wp:inline distT="0" distB="0" distL="0" distR="0">
              <wp:extent cx="922671" cy="171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pPr>
        <w:sectPr>
          <w:headerReference w:type="even" r:id="rId26"/>
          <w:headerReference w:type="default" r:id="rId27"/>
          <w:endnotePr>
            <w:numFmt w:val="decimal"/>
          </w:endnotePr>
          <w:pgSz w:w="11907" w:h="16840" w:code="9"/>
          <w:pgMar w:top="2381" w:right="2410" w:bottom="3544" w:left="2410" w:header="720" w:footer="3380" w:gutter="0"/>
          <w:cols w:space="720"/>
          <w:docGrid w:linePitch="326"/>
        </w:sectPr>
      </w:pPr>
    </w:p>
    <w:p>
      <w:pPr>
        <w:pStyle w:val="nHeading2"/>
      </w:pPr>
      <w:bookmarkStart w:id="481" w:name="_Toc52954187"/>
      <w:bookmarkStart w:id="482" w:name="_Toc52955483"/>
      <w:bookmarkStart w:id="483" w:name="_Toc52956982"/>
      <w:bookmarkStart w:id="484" w:name="_Toc52957765"/>
      <w:bookmarkStart w:id="485" w:name="_Toc53045098"/>
      <w:bookmarkStart w:id="486" w:name="_Toc53045881"/>
      <w:bookmarkStart w:id="487" w:name="_Toc501633824"/>
      <w:bookmarkStart w:id="488" w:name="_Toc501712720"/>
      <w:bookmarkStart w:id="489" w:name="_Toc536781914"/>
      <w:bookmarkStart w:id="490" w:name="_Toc5346947"/>
      <w:bookmarkStart w:id="491" w:name="_Toc5363500"/>
      <w:bookmarkStart w:id="492" w:name="_Toc5364721"/>
      <w:r>
        <w:t xml:space="preserve">Notes about </w:t>
      </w:r>
      <w:r>
        <w:rPr>
          <w:i/>
          <w:iCs/>
        </w:rPr>
        <w:t>National Gas Access (WA) Act 2009</w:t>
      </w:r>
      <w:bookmarkEnd w:id="481"/>
      <w:bookmarkEnd w:id="482"/>
      <w:bookmarkEnd w:id="483"/>
      <w:bookmarkEnd w:id="484"/>
      <w:bookmarkEnd w:id="485"/>
      <w:bookmarkEnd w:id="486"/>
      <w:bookmarkEnd w:id="487"/>
      <w:bookmarkEnd w:id="488"/>
      <w:bookmarkEnd w:id="489"/>
      <w:bookmarkEnd w:id="490"/>
      <w:bookmarkEnd w:id="491"/>
      <w:bookmarkEnd w:id="492"/>
    </w:p>
    <w:p>
      <w:pPr>
        <w:pStyle w:val="nStatement"/>
      </w:pPr>
      <w:del w:id="493" w:author="svcMRProcess" w:date="2020-10-08T16:23:00Z">
        <w:r>
          <w:rPr>
            <w:snapToGrid w:val="0"/>
            <w:vertAlign w:val="superscript"/>
          </w:rPr>
          <w:delText>1</w:delText>
        </w:r>
        <w:r>
          <w:rPr>
            <w:snapToGrid w:val="0"/>
          </w:rPr>
          <w:tab/>
        </w:r>
      </w:del>
      <w:r>
        <w:t xml:space="preserve">This is a compilation of the </w:t>
      </w:r>
      <w:r>
        <w:rPr>
          <w:i/>
          <w:snapToGrid w:val="0"/>
        </w:rPr>
        <w:t>National Gas Access (WA) Act</w:t>
      </w:r>
      <w:del w:id="494" w:author="svcMRProcess" w:date="2020-10-08T16:23:00Z">
        <w:r>
          <w:rPr>
            <w:i/>
            <w:snapToGrid w:val="0"/>
          </w:rPr>
          <w:delText xml:space="preserve"> </w:delText>
        </w:r>
      </w:del>
      <w:ins w:id="495" w:author="svcMRProcess" w:date="2020-10-08T16:23:00Z">
        <w:r>
          <w:rPr>
            <w:i/>
            <w:snapToGrid w:val="0"/>
          </w:rPr>
          <w:t> </w:t>
        </w:r>
      </w:ins>
      <w:r>
        <w:rPr>
          <w:i/>
          <w:snapToGrid w:val="0"/>
        </w:rPr>
        <w:t>2009</w:t>
      </w:r>
      <w:r>
        <w:t xml:space="preserve"> and includes </w:t>
      </w:r>
      <w:del w:id="496" w:author="svcMRProcess" w:date="2020-10-08T16:23:00Z">
        <w:r>
          <w:rPr>
            <w:iCs/>
            <w:snapToGrid w:val="0"/>
          </w:rPr>
          <w:delText xml:space="preserve">the </w:delText>
        </w:r>
      </w:del>
      <w:r>
        <w:t xml:space="preserve">amendments made by </w:t>
      </w:r>
      <w:del w:id="497" w:author="svcMRProcess" w:date="2020-10-08T16:23:00Z">
        <w:r>
          <w:rPr>
            <w:iCs/>
            <w:snapToGrid w:val="0"/>
          </w:rPr>
          <w:delText xml:space="preserve">the </w:delText>
        </w:r>
      </w:del>
      <w:r>
        <w:t>other written laws</w:t>
      </w:r>
      <w:del w:id="498" w:author="svcMRProcess" w:date="2020-10-08T16:23:00Z">
        <w:r>
          <w:rPr>
            <w:iCs/>
            <w:snapToGrid w:val="0"/>
          </w:rPr>
          <w:delText xml:space="preserve"> referred to in the following</w:delText>
        </w:r>
      </w:del>
      <w:ins w:id="499" w:author="svcMRProcess" w:date="2020-10-08T16:23:00Z">
        <w:r>
          <w:t>. For provisions that have come into operation see the compilation</w:t>
        </w:r>
      </w:ins>
      <w:r>
        <w:t xml:space="preserve"> table.</w:t>
      </w:r>
    </w:p>
    <w:p>
      <w:pPr>
        <w:pStyle w:val="nHeading3"/>
        <w:rPr>
          <w:snapToGrid w:val="0"/>
        </w:rPr>
      </w:pPr>
      <w:bookmarkStart w:id="500" w:name="_Toc53045882"/>
      <w:bookmarkStart w:id="501" w:name="_Toc5364722"/>
      <w:r>
        <w:rPr>
          <w:snapToGrid w:val="0"/>
        </w:rPr>
        <w:t>Compilation table</w:t>
      </w:r>
      <w:bookmarkEnd w:id="500"/>
      <w:bookmarkEnd w:id="501"/>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021"/>
        <w:gridCol w:w="1134"/>
        <w:gridCol w:w="2665"/>
      </w:tblGrid>
      <w:tr>
        <w:trPr>
          <w:tblHeader/>
        </w:trPr>
        <w:tc>
          <w:tcPr>
            <w:tcW w:w="2268" w:type="dxa"/>
          </w:tcPr>
          <w:p>
            <w:pPr>
              <w:pStyle w:val="nTable"/>
              <w:spacing w:after="40"/>
              <w:rPr>
                <w:b/>
              </w:rPr>
            </w:pPr>
            <w:r>
              <w:rPr>
                <w:b/>
              </w:rPr>
              <w:t>Short title</w:t>
            </w:r>
          </w:p>
        </w:tc>
        <w:tc>
          <w:tcPr>
            <w:tcW w:w="1021"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665" w:type="dxa"/>
          </w:tcPr>
          <w:p>
            <w:pPr>
              <w:pStyle w:val="nTable"/>
              <w:spacing w:after="40"/>
              <w:rPr>
                <w:b/>
              </w:rPr>
            </w:pPr>
            <w:r>
              <w:rPr>
                <w:b/>
              </w:rPr>
              <w:t>Commencement</w:t>
            </w:r>
          </w:p>
        </w:tc>
      </w:tr>
      <w:tr>
        <w:tc>
          <w:tcPr>
            <w:tcW w:w="2268" w:type="dxa"/>
            <w:tcBorders>
              <w:bottom w:val="nil"/>
            </w:tcBorders>
          </w:tcPr>
          <w:p>
            <w:pPr>
              <w:pStyle w:val="nTable"/>
              <w:spacing w:after="40"/>
              <w:rPr>
                <w:rFonts w:ascii="Times New Roman" w:hAnsi="Times New Roman"/>
              </w:rPr>
            </w:pPr>
            <w:r>
              <w:rPr>
                <w:rFonts w:ascii="Times New Roman" w:hAnsi="Times New Roman"/>
                <w:i/>
              </w:rPr>
              <w:t>National Gas Access (WA) Act 2009</w:t>
            </w:r>
          </w:p>
        </w:tc>
        <w:tc>
          <w:tcPr>
            <w:tcW w:w="1021" w:type="dxa"/>
            <w:tcBorders>
              <w:bottom w:val="nil"/>
            </w:tcBorders>
          </w:tcPr>
          <w:p>
            <w:pPr>
              <w:pStyle w:val="nTable"/>
              <w:spacing w:after="40"/>
              <w:rPr>
                <w:rFonts w:ascii="Times New Roman" w:hAnsi="Times New Roman"/>
              </w:rPr>
            </w:pPr>
            <w:r>
              <w:rPr>
                <w:rFonts w:ascii="Times New Roman" w:hAnsi="Times New Roman"/>
              </w:rPr>
              <w:t>16 of 2009</w:t>
            </w:r>
          </w:p>
        </w:tc>
        <w:tc>
          <w:tcPr>
            <w:tcW w:w="1134" w:type="dxa"/>
            <w:tcBorders>
              <w:bottom w:val="nil"/>
            </w:tcBorders>
          </w:tcPr>
          <w:p>
            <w:pPr>
              <w:pStyle w:val="nTable"/>
              <w:spacing w:after="40"/>
              <w:rPr>
                <w:rFonts w:ascii="Times New Roman" w:hAnsi="Times New Roman"/>
              </w:rPr>
            </w:pPr>
            <w:r>
              <w:rPr>
                <w:rFonts w:ascii="Times New Roman" w:hAnsi="Times New Roman"/>
              </w:rPr>
              <w:t>1 Sep 2009</w:t>
            </w:r>
          </w:p>
        </w:tc>
        <w:tc>
          <w:tcPr>
            <w:tcW w:w="2665" w:type="dxa"/>
            <w:tcBorders>
              <w:bottom w:val="nil"/>
            </w:tcBorders>
          </w:tcPr>
          <w:p>
            <w:pPr>
              <w:pStyle w:val="nTable"/>
              <w:spacing w:after="40"/>
              <w:rPr>
                <w:rFonts w:ascii="Times New Roman" w:hAnsi="Times New Roman"/>
              </w:rPr>
            </w:pPr>
            <w:r>
              <w:rPr>
                <w:rFonts w:ascii="Times New Roman" w:hAnsi="Times New Roman"/>
              </w:rPr>
              <w:t>s. 1 and 2: 1 Sep 2009 (see s. 2(a));</w:t>
            </w:r>
            <w:r>
              <w:rPr>
                <w:rFonts w:ascii="Times New Roman" w:hAnsi="Times New Roman"/>
              </w:rPr>
              <w:br/>
              <w:t xml:space="preserve">Act other than s. 1 and 2: 1 Jan 2010 (see s. 2(b) and </w:t>
            </w:r>
            <w:r>
              <w:rPr>
                <w:rFonts w:ascii="Times New Roman" w:hAnsi="Times New Roman"/>
                <w:i/>
                <w:iCs/>
              </w:rPr>
              <w:t>Gazette</w:t>
            </w:r>
            <w:r>
              <w:rPr>
                <w:rFonts w:ascii="Times New Roman" w:hAnsi="Times New Roman"/>
              </w:rPr>
              <w:t xml:space="preserve"> 31 Dec 2009 p. 5327)</w:t>
            </w:r>
          </w:p>
        </w:tc>
      </w:tr>
      <w:tr>
        <w:tc>
          <w:tcPr>
            <w:tcW w:w="2268" w:type="dxa"/>
            <w:tcBorders>
              <w:top w:val="nil"/>
              <w:bottom w:val="nil"/>
            </w:tcBorders>
          </w:tcPr>
          <w:p>
            <w:pPr>
              <w:pStyle w:val="nTable"/>
              <w:spacing w:after="40"/>
              <w:rPr>
                <w:rFonts w:ascii="Times New Roman" w:hAnsi="Times New Roman"/>
              </w:rPr>
            </w:pPr>
            <w:r>
              <w:rPr>
                <w:rFonts w:ascii="Times New Roman" w:hAnsi="Times New Roman"/>
                <w:i/>
                <w:snapToGrid w:val="0"/>
              </w:rPr>
              <w:t>Petroleum and Energy Legislation Amendment Act 2010</w:t>
            </w:r>
            <w:r>
              <w:rPr>
                <w:rFonts w:ascii="Times New Roman" w:hAnsi="Times New Roman"/>
                <w:iCs/>
                <w:snapToGrid w:val="0"/>
              </w:rPr>
              <w:t xml:space="preserve"> s. 184</w:t>
            </w:r>
          </w:p>
        </w:tc>
        <w:tc>
          <w:tcPr>
            <w:tcW w:w="1021" w:type="dxa"/>
            <w:tcBorders>
              <w:top w:val="nil"/>
              <w:bottom w:val="nil"/>
            </w:tcBorders>
          </w:tcPr>
          <w:p>
            <w:pPr>
              <w:pStyle w:val="nTable"/>
              <w:spacing w:after="40"/>
              <w:rPr>
                <w:rFonts w:ascii="Times New Roman" w:hAnsi="Times New Roman"/>
              </w:rPr>
            </w:pPr>
            <w:r>
              <w:rPr>
                <w:rFonts w:ascii="Times New Roman" w:hAnsi="Times New Roman"/>
              </w:rPr>
              <w:t>42 of 2010</w:t>
            </w:r>
          </w:p>
        </w:tc>
        <w:tc>
          <w:tcPr>
            <w:tcW w:w="1134" w:type="dxa"/>
            <w:tcBorders>
              <w:top w:val="nil"/>
              <w:bottom w:val="nil"/>
            </w:tcBorders>
          </w:tcPr>
          <w:p>
            <w:pPr>
              <w:pStyle w:val="nTable"/>
              <w:spacing w:after="40"/>
              <w:rPr>
                <w:rFonts w:ascii="Times New Roman" w:hAnsi="Times New Roman"/>
              </w:rPr>
            </w:pPr>
            <w:r>
              <w:rPr>
                <w:rFonts w:ascii="Times New Roman" w:hAnsi="Times New Roman"/>
              </w:rPr>
              <w:t>28 Oct 2010</w:t>
            </w:r>
          </w:p>
        </w:tc>
        <w:tc>
          <w:tcPr>
            <w:tcW w:w="2665" w:type="dxa"/>
            <w:tcBorders>
              <w:top w:val="nil"/>
              <w:bottom w:val="nil"/>
            </w:tcBorders>
          </w:tcPr>
          <w:p>
            <w:pPr>
              <w:pStyle w:val="nTable"/>
              <w:spacing w:after="40"/>
              <w:rPr>
                <w:rFonts w:ascii="Times New Roman" w:hAnsi="Times New Roman"/>
              </w:rPr>
            </w:pPr>
            <w:r>
              <w:rPr>
                <w:rFonts w:ascii="Times New Roman" w:hAnsi="Times New Roman"/>
              </w:rPr>
              <w:t xml:space="preserve">25 May 2011 (see s. 2(b) </w:t>
            </w:r>
            <w:r>
              <w:rPr>
                <w:rFonts w:ascii="Times New Roman" w:hAnsi="Times New Roman"/>
                <w:i/>
              </w:rPr>
              <w:t>Gazette</w:t>
            </w:r>
            <w:r>
              <w:rPr>
                <w:rFonts w:ascii="Times New Roman" w:hAnsi="Times New Roman"/>
              </w:rPr>
              <w:t xml:space="preserve"> 24 May 2011 p. 1892)</w:t>
            </w:r>
          </w:p>
        </w:tc>
      </w:tr>
      <w:tr>
        <w:tc>
          <w:tcPr>
            <w:tcW w:w="4423" w:type="dxa"/>
            <w:gridSpan w:val="3"/>
            <w:tcBorders>
              <w:top w:val="nil"/>
              <w:bottom w:val="nil"/>
            </w:tcBorders>
          </w:tcPr>
          <w:p>
            <w:pPr>
              <w:pStyle w:val="nTable"/>
              <w:spacing w:after="40"/>
              <w:rPr>
                <w:rFonts w:ascii="Times New Roman" w:hAnsi="Times New Roman"/>
              </w:rPr>
            </w:pPr>
            <w:r>
              <w:rPr>
                <w:rFonts w:ascii="Times New Roman" w:hAnsi="Times New Roman"/>
                <w:i/>
                <w:snapToGrid w:val="0"/>
              </w:rPr>
              <w:t>National Gas Access (WA) (Act Amendment) Regulations 2017</w:t>
            </w:r>
            <w:r>
              <w:rPr>
                <w:rFonts w:ascii="Times New Roman" w:hAnsi="Times New Roman"/>
                <w:snapToGrid w:val="0"/>
              </w:rPr>
              <w:t xml:space="preserve"> published in </w:t>
            </w:r>
            <w:r>
              <w:rPr>
                <w:rFonts w:ascii="Times New Roman" w:hAnsi="Times New Roman"/>
                <w:i/>
                <w:snapToGrid w:val="0"/>
              </w:rPr>
              <w:t xml:space="preserve">Gazette </w:t>
            </w:r>
            <w:r>
              <w:rPr>
                <w:rFonts w:ascii="Times New Roman" w:hAnsi="Times New Roman"/>
                <w:snapToGrid w:val="0"/>
              </w:rPr>
              <w:t>22 Dec 2017 p. 5985</w:t>
            </w:r>
            <w:r>
              <w:rPr>
                <w:rFonts w:ascii="Times New Roman" w:hAnsi="Times New Roman"/>
                <w:snapToGrid w:val="0"/>
              </w:rPr>
              <w:noBreakHyphen/>
              <w:t>6</w:t>
            </w:r>
          </w:p>
        </w:tc>
        <w:tc>
          <w:tcPr>
            <w:tcW w:w="2665" w:type="dxa"/>
            <w:tcBorders>
              <w:top w:val="nil"/>
              <w:bottom w:val="nil"/>
            </w:tcBorders>
          </w:tcPr>
          <w:p>
            <w:pPr>
              <w:pStyle w:val="nTable"/>
              <w:spacing w:after="40"/>
              <w:rPr>
                <w:rFonts w:ascii="Times New Roman" w:hAnsi="Times New Roman"/>
              </w:rPr>
            </w:pPr>
            <w:r>
              <w:rPr>
                <w:rFonts w:ascii="Times New Roman" w:hAnsi="Times New Roman"/>
                <w:bCs/>
                <w:snapToGrid w:val="0"/>
                <w:spacing w:val="-2"/>
              </w:rPr>
              <w:t>r. 1 and 2: 22 Dec 2017 (see r. 2(a));</w:t>
            </w:r>
            <w:r>
              <w:rPr>
                <w:rFonts w:ascii="Times New Roman" w:hAnsi="Times New Roman"/>
                <w:bCs/>
                <w:snapToGrid w:val="0"/>
                <w:spacing w:val="-2"/>
              </w:rPr>
              <w:br/>
              <w:t xml:space="preserve">Regulations other than r. 1 and 2: 23 Dec 2017 (see r. 2(b) and </w:t>
            </w:r>
            <w:r>
              <w:rPr>
                <w:rFonts w:ascii="Times New Roman" w:hAnsi="Times New Roman"/>
                <w:bCs/>
                <w:i/>
                <w:snapToGrid w:val="0"/>
                <w:spacing w:val="-2"/>
              </w:rPr>
              <w:t>Gazette</w:t>
            </w:r>
            <w:r>
              <w:rPr>
                <w:rFonts w:ascii="Times New Roman" w:hAnsi="Times New Roman"/>
                <w:bCs/>
                <w:snapToGrid w:val="0"/>
                <w:spacing w:val="-2"/>
              </w:rPr>
              <w:t xml:space="preserve"> 22 Dec 2017 p. 5984)</w:t>
            </w:r>
          </w:p>
        </w:tc>
      </w:tr>
      <w:tr>
        <w:tc>
          <w:tcPr>
            <w:tcW w:w="4423" w:type="dxa"/>
            <w:gridSpan w:val="3"/>
            <w:tcBorders>
              <w:top w:val="nil"/>
              <w:bottom w:val="nil"/>
            </w:tcBorders>
          </w:tcPr>
          <w:p>
            <w:pPr>
              <w:pStyle w:val="nTable"/>
              <w:spacing w:after="40"/>
              <w:rPr>
                <w:rFonts w:ascii="Times New Roman" w:hAnsi="Times New Roman"/>
                <w:i/>
                <w:snapToGrid w:val="0"/>
              </w:rPr>
            </w:pPr>
            <w:r>
              <w:rPr>
                <w:rFonts w:ascii="Times New Roman" w:hAnsi="Times New Roman"/>
                <w:i/>
                <w:snapToGrid w:val="0"/>
              </w:rPr>
              <w:t>National Gas Access (WA) (Act Amendment) Regulations 2019</w:t>
            </w:r>
            <w:r>
              <w:rPr>
                <w:rFonts w:ascii="Times New Roman" w:hAnsi="Times New Roman"/>
                <w:snapToGrid w:val="0"/>
              </w:rPr>
              <w:t xml:space="preserve"> published in </w:t>
            </w:r>
            <w:r>
              <w:rPr>
                <w:rFonts w:ascii="Times New Roman" w:hAnsi="Times New Roman"/>
                <w:i/>
                <w:snapToGrid w:val="0"/>
              </w:rPr>
              <w:t xml:space="preserve">Gazette </w:t>
            </w:r>
            <w:r>
              <w:rPr>
                <w:rFonts w:ascii="Times New Roman" w:hAnsi="Times New Roman"/>
                <w:snapToGrid w:val="0"/>
              </w:rPr>
              <w:t>5 Apr 2019 p. 1009</w:t>
            </w:r>
            <w:r>
              <w:rPr>
                <w:rFonts w:ascii="Times New Roman" w:hAnsi="Times New Roman"/>
                <w:snapToGrid w:val="0"/>
              </w:rPr>
              <w:noBreakHyphen/>
              <w:t>10</w:t>
            </w:r>
          </w:p>
        </w:tc>
        <w:tc>
          <w:tcPr>
            <w:tcW w:w="2665" w:type="dxa"/>
            <w:tcBorders>
              <w:top w:val="nil"/>
              <w:bottom w:val="nil"/>
            </w:tcBorders>
          </w:tcPr>
          <w:p>
            <w:pPr>
              <w:pStyle w:val="nTable"/>
              <w:spacing w:after="40"/>
              <w:rPr>
                <w:rFonts w:ascii="Times New Roman" w:hAnsi="Times New Roman"/>
                <w:bCs/>
                <w:snapToGrid w:val="0"/>
                <w:spacing w:val="-2"/>
              </w:rPr>
            </w:pPr>
            <w:r>
              <w:rPr>
                <w:rFonts w:ascii="Times New Roman" w:hAnsi="Times New Roman"/>
                <w:bCs/>
                <w:snapToGrid w:val="0"/>
                <w:spacing w:val="-2"/>
              </w:rPr>
              <w:t>r. 1 and 2: 5 Apr 2019 (see r. 2(a));</w:t>
            </w:r>
            <w:r>
              <w:rPr>
                <w:rFonts w:ascii="Times New Roman" w:hAnsi="Times New Roman"/>
                <w:bCs/>
                <w:snapToGrid w:val="0"/>
                <w:spacing w:val="-2"/>
              </w:rPr>
              <w:br/>
              <w:t xml:space="preserve">Regulations other than r. 1 and 2: 6 Apr 2019 (see r. 2(b) and </w:t>
            </w:r>
            <w:r>
              <w:rPr>
                <w:rFonts w:ascii="Times New Roman" w:hAnsi="Times New Roman"/>
                <w:bCs/>
                <w:i/>
                <w:snapToGrid w:val="0"/>
                <w:spacing w:val="-2"/>
              </w:rPr>
              <w:t>Gazette</w:t>
            </w:r>
            <w:r>
              <w:rPr>
                <w:rFonts w:ascii="Times New Roman" w:hAnsi="Times New Roman"/>
                <w:bCs/>
                <w:snapToGrid w:val="0"/>
                <w:spacing w:val="-2"/>
              </w:rPr>
              <w:t xml:space="preserve"> 5 Apr 2019 p. 1007)</w:t>
            </w:r>
          </w:p>
        </w:tc>
      </w:tr>
      <w:tr>
        <w:trPr>
          <w:ins w:id="502" w:author="svcMRProcess" w:date="2020-10-08T16:23:00Z"/>
        </w:trPr>
        <w:tc>
          <w:tcPr>
            <w:tcW w:w="4423" w:type="dxa"/>
            <w:gridSpan w:val="3"/>
            <w:tcBorders>
              <w:top w:val="nil"/>
            </w:tcBorders>
          </w:tcPr>
          <w:p>
            <w:pPr>
              <w:pStyle w:val="nTable"/>
              <w:spacing w:after="40"/>
              <w:rPr>
                <w:ins w:id="503" w:author="svcMRProcess" w:date="2020-10-08T16:23:00Z"/>
                <w:rFonts w:ascii="Times New Roman" w:hAnsi="Times New Roman"/>
                <w:snapToGrid w:val="0"/>
              </w:rPr>
            </w:pPr>
            <w:ins w:id="504" w:author="svcMRProcess" w:date="2020-10-08T16:23:00Z">
              <w:r>
                <w:rPr>
                  <w:rFonts w:ascii="Times New Roman" w:hAnsi="Times New Roman"/>
                  <w:i/>
                </w:rPr>
                <w:t>National Gas Access (WA) (Act Amendment) Regulations 2020</w:t>
              </w:r>
              <w:r>
                <w:rPr>
                  <w:rFonts w:ascii="Times New Roman" w:hAnsi="Times New Roman"/>
                </w:rPr>
                <w:t xml:space="preserve"> (SL 2020/194)</w:t>
              </w:r>
            </w:ins>
          </w:p>
        </w:tc>
        <w:tc>
          <w:tcPr>
            <w:tcW w:w="2665" w:type="dxa"/>
            <w:tcBorders>
              <w:top w:val="nil"/>
            </w:tcBorders>
          </w:tcPr>
          <w:p>
            <w:pPr>
              <w:pStyle w:val="nTable"/>
              <w:spacing w:after="40"/>
              <w:rPr>
                <w:ins w:id="505" w:author="svcMRProcess" w:date="2020-10-08T16:23:00Z"/>
                <w:rFonts w:ascii="Times New Roman" w:hAnsi="Times New Roman"/>
                <w:bCs/>
                <w:snapToGrid w:val="0"/>
                <w:spacing w:val="-2"/>
              </w:rPr>
            </w:pPr>
            <w:ins w:id="506" w:author="svcMRProcess" w:date="2020-10-08T16:23:00Z">
              <w:r>
                <w:rPr>
                  <w:rFonts w:ascii="Times New Roman" w:hAnsi="Times New Roman"/>
                  <w:bCs/>
                  <w:snapToGrid w:val="0"/>
                  <w:spacing w:val="-2"/>
                </w:rPr>
                <w:t>r. 1 and 2: 9 Oct 2020 (see r. 2(a));</w:t>
              </w:r>
              <w:r>
                <w:rPr>
                  <w:rFonts w:ascii="Times New Roman" w:hAnsi="Times New Roman"/>
                  <w:bCs/>
                  <w:snapToGrid w:val="0"/>
                  <w:spacing w:val="-2"/>
                </w:rPr>
                <w:br/>
                <w:t>Regulations other than r. 1 and 2: 10 Oct 2020 (see r. 2(b) and SL 2020/195 cl. 2(b))</w:t>
              </w:r>
            </w:ins>
          </w:p>
        </w:tc>
      </w:tr>
    </w:tbl>
    <w:p/>
    <w:p>
      <w:pPr>
        <w:sectPr>
          <w:headerReference w:type="even" r:id="rId28"/>
          <w:headerReference w:type="default" r:id="rId29"/>
          <w:endnotePr>
            <w:numFmt w:val="decimal"/>
          </w:endnotePr>
          <w:pgSz w:w="11907" w:h="16840" w:code="9"/>
          <w:pgMar w:top="2381" w:right="2410" w:bottom="3544" w:left="2410" w:header="720" w:footer="3380" w:gutter="0"/>
          <w:cols w:space="720"/>
          <w:docGrid w:linePitch="326"/>
        </w:sectPr>
      </w:pPr>
    </w:p>
    <w:p>
      <w:pPr>
        <w:pStyle w:val="yScheduleHeading"/>
        <w:pageBreakBefore w:val="0"/>
      </w:pPr>
      <w:bookmarkStart w:id="507" w:name="_Toc52954189"/>
      <w:bookmarkStart w:id="508" w:name="_Toc52955485"/>
      <w:bookmarkStart w:id="509" w:name="_Toc52956984"/>
      <w:bookmarkStart w:id="510" w:name="_Toc52957767"/>
      <w:bookmarkStart w:id="511" w:name="_Toc53045100"/>
      <w:bookmarkStart w:id="512" w:name="_Toc53045883"/>
      <w:bookmarkStart w:id="513" w:name="_Toc501633826"/>
      <w:bookmarkStart w:id="514" w:name="_Toc501712722"/>
      <w:bookmarkStart w:id="515" w:name="_Toc536781916"/>
      <w:bookmarkStart w:id="516" w:name="_Toc5346949"/>
      <w:bookmarkStart w:id="517" w:name="_Toc5363502"/>
      <w:bookmarkStart w:id="518" w:name="_Toc5364723"/>
      <w:r>
        <w:rPr>
          <w:rStyle w:val="CharSchNo"/>
        </w:rPr>
        <w:t>Note</w:t>
      </w:r>
      <w:r>
        <w:rPr>
          <w:rStyle w:val="CharSDivNo"/>
        </w:rPr>
        <w:t> </w:t>
      </w:r>
      <w:r>
        <w:t>—</w:t>
      </w:r>
      <w:r>
        <w:rPr>
          <w:rStyle w:val="CharSDivText"/>
        </w:rPr>
        <w:t> </w:t>
      </w:r>
      <w:r>
        <w:rPr>
          <w:rStyle w:val="CharSchText"/>
        </w:rPr>
        <w:t>Western Australian National Gas Access Law text</w:t>
      </w:r>
      <w:bookmarkEnd w:id="507"/>
      <w:bookmarkEnd w:id="508"/>
      <w:bookmarkEnd w:id="509"/>
      <w:bookmarkEnd w:id="510"/>
      <w:bookmarkEnd w:id="511"/>
      <w:bookmarkEnd w:id="512"/>
      <w:bookmarkEnd w:id="513"/>
      <w:bookmarkEnd w:id="514"/>
      <w:bookmarkEnd w:id="515"/>
      <w:bookmarkEnd w:id="516"/>
      <w:bookmarkEnd w:id="517"/>
      <w:bookmarkEnd w:id="518"/>
    </w:p>
    <w:p>
      <w:pPr>
        <w:pStyle w:val="ySubsection"/>
        <w:rPr>
          <w:b/>
          <w:bCs/>
          <w:i/>
          <w:iCs/>
        </w:rPr>
      </w:pPr>
      <w:r>
        <w:rPr>
          <w:b/>
          <w:bCs/>
          <w:i/>
          <w:iCs/>
        </w:rPr>
        <w:tab/>
      </w:r>
      <w:r>
        <w:rPr>
          <w:b/>
          <w:bCs/>
          <w:i/>
          <w:iCs/>
        </w:rPr>
        <w:tab/>
        <w:t>[This note is not part of the Act.  It shows the text that, under section 7(1), applies as the National Gas Access (Western Australia) Law.]</w:t>
      </w:r>
    </w:p>
    <w:p>
      <w:pPr>
        <w:pStyle w:val="Heading2"/>
        <w:pageBreakBefore w:val="0"/>
      </w:pPr>
      <w:bookmarkStart w:id="519" w:name="_Toc52954190"/>
      <w:bookmarkStart w:id="520" w:name="_Toc52955486"/>
      <w:bookmarkStart w:id="521" w:name="_Toc52956985"/>
      <w:bookmarkStart w:id="522" w:name="_Toc52957768"/>
      <w:bookmarkStart w:id="523" w:name="_Toc53045101"/>
      <w:bookmarkStart w:id="524" w:name="_Toc53045884"/>
      <w:bookmarkStart w:id="525" w:name="_Toc501633827"/>
      <w:bookmarkStart w:id="526" w:name="_Toc501712723"/>
      <w:bookmarkStart w:id="527" w:name="_Toc536781917"/>
      <w:bookmarkStart w:id="528" w:name="_Toc5346950"/>
      <w:bookmarkStart w:id="529" w:name="_Toc5363503"/>
      <w:bookmarkStart w:id="530" w:name="_Toc5364724"/>
      <w:r>
        <w:rPr>
          <w:rStyle w:val="CharPartNo"/>
          <w:sz w:val="28"/>
        </w:rPr>
        <w:t xml:space="preserve">Chapter 1 </w:t>
      </w:r>
      <w:r>
        <w:t>—</w:t>
      </w:r>
      <w:r>
        <w:rPr>
          <w:color w:val="000000"/>
          <w:szCs w:val="34"/>
        </w:rPr>
        <w:t xml:space="preserve"> </w:t>
      </w:r>
      <w:r>
        <w:rPr>
          <w:rStyle w:val="CharPartText"/>
          <w:sz w:val="28"/>
        </w:rPr>
        <w:t>Preliminary</w:t>
      </w:r>
      <w:bookmarkEnd w:id="519"/>
      <w:bookmarkEnd w:id="520"/>
      <w:bookmarkEnd w:id="521"/>
      <w:bookmarkEnd w:id="522"/>
      <w:bookmarkEnd w:id="523"/>
      <w:bookmarkEnd w:id="524"/>
      <w:bookmarkEnd w:id="525"/>
      <w:bookmarkEnd w:id="526"/>
      <w:bookmarkEnd w:id="527"/>
      <w:bookmarkEnd w:id="528"/>
      <w:bookmarkEnd w:id="529"/>
      <w:bookmarkEnd w:id="530"/>
    </w:p>
    <w:p>
      <w:pPr>
        <w:pStyle w:val="Heading3"/>
        <w:rPr>
          <w:szCs w:val="26"/>
        </w:rPr>
      </w:pPr>
      <w:bookmarkStart w:id="531" w:name="_Toc52954191"/>
      <w:bookmarkStart w:id="532" w:name="_Toc52955487"/>
      <w:bookmarkStart w:id="533" w:name="_Toc52956986"/>
      <w:bookmarkStart w:id="534" w:name="_Toc52957769"/>
      <w:bookmarkStart w:id="535" w:name="_Toc53045102"/>
      <w:bookmarkStart w:id="536" w:name="_Toc53045885"/>
      <w:bookmarkStart w:id="537" w:name="_Toc501633828"/>
      <w:bookmarkStart w:id="538" w:name="_Toc501712724"/>
      <w:bookmarkStart w:id="539" w:name="_Toc536781918"/>
      <w:bookmarkStart w:id="540" w:name="_Toc5346951"/>
      <w:bookmarkStart w:id="541" w:name="_Toc5363504"/>
      <w:bookmarkStart w:id="542" w:name="_Toc5364725"/>
      <w:r>
        <w:rPr>
          <w:rStyle w:val="CharDivNo"/>
        </w:rPr>
        <w:t xml:space="preserve">Part 1 </w:t>
      </w:r>
      <w:r>
        <w:rPr>
          <w:szCs w:val="26"/>
        </w:rPr>
        <w:t>—</w:t>
      </w:r>
      <w:r>
        <w:rPr>
          <w:color w:val="000000"/>
          <w:szCs w:val="32"/>
        </w:rPr>
        <w:t xml:space="preserve"> </w:t>
      </w:r>
      <w:r>
        <w:rPr>
          <w:rStyle w:val="CharDivText"/>
        </w:rPr>
        <w:t>Citation and interpretation</w:t>
      </w:r>
      <w:bookmarkEnd w:id="531"/>
      <w:bookmarkEnd w:id="532"/>
      <w:bookmarkEnd w:id="533"/>
      <w:bookmarkEnd w:id="534"/>
      <w:bookmarkEnd w:id="535"/>
      <w:bookmarkEnd w:id="536"/>
      <w:bookmarkEnd w:id="537"/>
      <w:bookmarkEnd w:id="538"/>
      <w:bookmarkEnd w:id="539"/>
      <w:bookmarkEnd w:id="540"/>
      <w:bookmarkEnd w:id="541"/>
      <w:bookmarkEnd w:id="542"/>
    </w:p>
    <w:p>
      <w:pPr>
        <w:pStyle w:val="Heading5"/>
      </w:pPr>
      <w:bookmarkStart w:id="543" w:name="_Toc53045886"/>
      <w:bookmarkStart w:id="544" w:name="_Toc5364726"/>
      <w:r>
        <w:rPr>
          <w:rStyle w:val="CharSectno"/>
        </w:rPr>
        <w:t>1</w:t>
      </w:r>
      <w:r>
        <w:t>.</w:t>
      </w:r>
      <w:r>
        <w:tab/>
        <w:t>Citation</w:t>
      </w:r>
      <w:bookmarkEnd w:id="543"/>
      <w:bookmarkEnd w:id="544"/>
    </w:p>
    <w:p>
      <w:pPr>
        <w:keepLines/>
        <w:autoSpaceDE w:val="0"/>
        <w:autoSpaceDN w:val="0"/>
        <w:adjustRightInd w:val="0"/>
        <w:spacing w:before="120"/>
        <w:ind w:left="1588"/>
        <w:rPr>
          <w:color w:val="000000"/>
          <w:sz w:val="23"/>
          <w:szCs w:val="23"/>
        </w:rPr>
      </w:pPr>
      <w:r>
        <w:rPr>
          <w:color w:val="000000"/>
          <w:sz w:val="23"/>
          <w:szCs w:val="23"/>
        </w:rPr>
        <w:t>This law may be cited as the National Gas Access Law.</w:t>
      </w:r>
    </w:p>
    <w:p>
      <w:pPr>
        <w:pStyle w:val="Footnotesection"/>
        <w:rPr>
          <w:color w:val="000000"/>
          <w:sz w:val="23"/>
          <w:szCs w:val="23"/>
        </w:rPr>
      </w:pPr>
      <w:r>
        <w:tab/>
        <w:t>[Section 1 modified: WA Act Sch. 1 cl. 2.]</w:t>
      </w:r>
    </w:p>
    <w:p>
      <w:pPr>
        <w:pStyle w:val="Heading5"/>
      </w:pPr>
      <w:bookmarkStart w:id="545" w:name="_Toc53045887"/>
      <w:bookmarkStart w:id="546" w:name="_Toc5364727"/>
      <w:r>
        <w:rPr>
          <w:rStyle w:val="CharSectno"/>
        </w:rPr>
        <w:t>2</w:t>
      </w:r>
      <w:r>
        <w:t>.</w:t>
      </w:r>
      <w:r>
        <w:tab/>
        <w:t>Definitions</w:t>
      </w:r>
      <w:bookmarkEnd w:id="545"/>
      <w:bookmarkEnd w:id="546"/>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autoSpaceDE w:val="0"/>
        <w:autoSpaceDN w:val="0"/>
        <w:adjustRightInd w:val="0"/>
        <w:spacing w:before="120"/>
        <w:ind w:left="1588"/>
        <w:rPr>
          <w:color w:val="000000"/>
          <w:sz w:val="23"/>
          <w:szCs w:val="23"/>
        </w:rPr>
      </w:pPr>
      <w:r>
        <w:rPr>
          <w:rStyle w:val="CharDefText"/>
          <w:sz w:val="23"/>
        </w:rPr>
        <w:t>15</w:t>
      </w:r>
      <w:r>
        <w:rPr>
          <w:rStyle w:val="CharDefText"/>
          <w:sz w:val="23"/>
        </w:rPr>
        <w:noBreakHyphen/>
        <w:t>year no</w:t>
      </w:r>
      <w:r>
        <w:rPr>
          <w:rStyle w:val="CharDefText"/>
          <w:sz w:val="23"/>
        </w:rPr>
        <w:noBreakHyphen/>
        <w:t>coverage determination</w:t>
      </w:r>
      <w:r>
        <w:rPr>
          <w:color w:val="000000"/>
          <w:sz w:val="23"/>
          <w:szCs w:val="23"/>
        </w:rPr>
        <w:t xml:space="preserve"> means a determination of a relevant Minister under Chapter 5 Part 2;</w:t>
      </w:r>
    </w:p>
    <w:p>
      <w:pPr>
        <w:keepLines/>
        <w:autoSpaceDE w:val="0"/>
        <w:autoSpaceDN w:val="0"/>
        <w:adjustRightInd w:val="0"/>
        <w:spacing w:before="120"/>
        <w:ind w:left="1588"/>
        <w:rPr>
          <w:color w:val="000000"/>
          <w:sz w:val="23"/>
          <w:szCs w:val="23"/>
        </w:rPr>
      </w:pPr>
      <w:r>
        <w:rPr>
          <w:rStyle w:val="CharDefText"/>
          <w:sz w:val="23"/>
        </w:rPr>
        <w:t>ACCC</w:t>
      </w:r>
      <w:r>
        <w:rPr>
          <w:color w:val="000000"/>
          <w:sz w:val="23"/>
          <w:szCs w:val="23"/>
        </w:rPr>
        <w:t xml:space="preserve"> means the Australian Competition and Consumer Commission established by section 6A of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access arrangement</w:t>
      </w:r>
      <w:r>
        <w:rPr>
          <w:bCs/>
          <w:i/>
          <w:iCs/>
          <w:color w:val="000000"/>
          <w:sz w:val="23"/>
          <w:szCs w:val="23"/>
        </w:rPr>
        <w:t xml:space="preserve"> </w:t>
      </w:r>
      <w:r>
        <w:rPr>
          <w:color w:val="000000"/>
          <w:sz w:val="23"/>
          <w:szCs w:val="23"/>
        </w:rPr>
        <w:t>means an arrangement setting out terms and conditions about access to pipeline services provided or to be provided by means of a pipeline;</w:t>
      </w:r>
    </w:p>
    <w:p>
      <w:pPr>
        <w:keepLines/>
        <w:autoSpaceDE w:val="0"/>
        <w:autoSpaceDN w:val="0"/>
        <w:adjustRightInd w:val="0"/>
        <w:spacing w:before="120"/>
        <w:ind w:left="1588"/>
        <w:rPr>
          <w:color w:val="000000"/>
          <w:sz w:val="23"/>
          <w:szCs w:val="23"/>
        </w:rPr>
      </w:pPr>
      <w:r>
        <w:rPr>
          <w:rStyle w:val="CharDefText"/>
          <w:bCs/>
          <w:sz w:val="23"/>
        </w:rPr>
        <w:t>access determination</w:t>
      </w:r>
      <w:r>
        <w:rPr>
          <w:bCs/>
          <w:i/>
          <w:iCs/>
          <w:color w:val="000000"/>
          <w:sz w:val="23"/>
          <w:szCs w:val="23"/>
        </w:rPr>
        <w:t xml:space="preserve"> </w:t>
      </w:r>
      <w:r>
        <w:rPr>
          <w:color w:val="000000"/>
          <w:sz w:val="23"/>
          <w:szCs w:val="23"/>
        </w:rPr>
        <w:t>means a determination of the dispute resolution body under Chapter 6 Part 3 and includes a determination varied under Part 4 of that Chapter;</w:t>
      </w:r>
    </w:p>
    <w:p>
      <w:pPr>
        <w:keepLines/>
        <w:autoSpaceDE w:val="0"/>
        <w:autoSpaceDN w:val="0"/>
        <w:adjustRightInd w:val="0"/>
        <w:spacing w:before="120"/>
        <w:ind w:left="1588"/>
        <w:rPr>
          <w:color w:val="000000"/>
          <w:sz w:val="23"/>
          <w:szCs w:val="23"/>
        </w:rPr>
      </w:pPr>
      <w:r>
        <w:rPr>
          <w:rStyle w:val="CharDefText"/>
          <w:bCs/>
          <w:sz w:val="23"/>
        </w:rPr>
        <w:t>AEMC</w:t>
      </w:r>
      <w:r>
        <w:rPr>
          <w:color w:val="000000"/>
          <w:sz w:val="23"/>
          <w:szCs w:val="23"/>
        </w:rPr>
        <w:t xml:space="preserve"> means the Australian Energy Market Commission established by section 5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AER</w:t>
      </w:r>
      <w:r>
        <w:rPr>
          <w:color w:val="000000"/>
          <w:sz w:val="23"/>
          <w:szCs w:val="23"/>
        </w:rPr>
        <w:t xml:space="preserve"> means the Australian Energy Regulator established by section 44AE of the </w:t>
      </w:r>
      <w:r>
        <w:rPr>
          <w:i/>
          <w:iCs/>
          <w:color w:val="000000"/>
          <w:sz w:val="23"/>
          <w:szCs w:val="23"/>
        </w:rPr>
        <w:t>Trade Practices Act 1974</w:t>
      </w:r>
      <w:r>
        <w:rPr>
          <w:color w:val="000000"/>
          <w:sz w:val="23"/>
          <w:szCs w:val="23"/>
        </w:rPr>
        <w:t xml:space="preserve"> of the Commonwealth except if section 2A requires the term to be given a different meaning;</w:t>
      </w:r>
    </w:p>
    <w:p>
      <w:pPr>
        <w:autoSpaceDE w:val="0"/>
        <w:autoSpaceDN w:val="0"/>
        <w:adjustRightInd w:val="0"/>
        <w:spacing w:before="120"/>
        <w:ind w:left="1588"/>
        <w:rPr>
          <w:color w:val="000000"/>
          <w:sz w:val="23"/>
          <w:szCs w:val="23"/>
        </w:rPr>
      </w:pPr>
      <w:r>
        <w:rPr>
          <w:rStyle w:val="CharDefText"/>
          <w:bCs/>
          <w:sz w:val="23"/>
        </w:rPr>
        <w:t>AER economic regulatory decision</w:t>
      </w:r>
      <w:r>
        <w:rPr>
          <w:color w:val="000000"/>
          <w:sz w:val="23"/>
          <w:szCs w:val="23"/>
        </w:rPr>
        <w:t xml:space="preserve"> means a decision (however described) of the AER under this Law or the Rules performing or exercising an AER economic regulatory function or power;</w:t>
      </w:r>
    </w:p>
    <w:p>
      <w:pPr>
        <w:keepNext/>
        <w:keepLines/>
        <w:autoSpaceDE w:val="0"/>
        <w:autoSpaceDN w:val="0"/>
        <w:adjustRightInd w:val="0"/>
        <w:spacing w:before="120"/>
        <w:ind w:left="1588"/>
        <w:rPr>
          <w:color w:val="000000"/>
          <w:sz w:val="23"/>
          <w:szCs w:val="23"/>
        </w:rPr>
      </w:pPr>
      <w:r>
        <w:rPr>
          <w:rStyle w:val="CharDefText"/>
          <w:bCs/>
          <w:sz w:val="23"/>
        </w:rPr>
        <w:t>AER economic regulatory function or power</w:t>
      </w:r>
      <w:r>
        <w:rPr>
          <w:bCs/>
          <w:color w:val="000000"/>
          <w:sz w:val="23"/>
          <w:szCs w:val="23"/>
        </w:rPr>
        <w:t xml:space="preserve"> </w:t>
      </w:r>
      <w:r>
        <w:rPr>
          <w:color w:val="000000"/>
          <w:sz w:val="23"/>
          <w:szCs w:val="23"/>
        </w:rPr>
        <w:t>means a function or power performed or exercised by the AER under this Law or the Rules (other than making a rate of return instrument) that relates to the economic regulation of pipeline services provided by a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connection with,</w:t>
      </w:r>
    </w:p>
    <w:p>
      <w:pPr>
        <w:keepLines/>
        <w:autoSpaceDE w:val="0"/>
        <w:autoSpaceDN w:val="0"/>
        <w:adjustRightInd w:val="0"/>
        <w:spacing w:before="120"/>
        <w:ind w:left="1588"/>
        <w:rPr>
          <w:color w:val="000000"/>
          <w:sz w:val="23"/>
          <w:szCs w:val="23"/>
        </w:rPr>
      </w:pPr>
      <w:r>
        <w:rPr>
          <w:color w:val="000000"/>
          <w:sz w:val="23"/>
          <w:szCs w:val="23"/>
        </w:rPr>
        <w:t>a scheme pipeline and includes a function or power performed or exercised by the AER under this Law or the Rules (other than making a rate of return instrument) that relates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preparation of a service provider performance report;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ring fencing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applicable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 access determination (if the AER is the dispute resolution body);</w:t>
      </w:r>
    </w:p>
    <w:p>
      <w:pPr>
        <w:keepLines/>
        <w:autoSpaceDE w:val="0"/>
        <w:autoSpaceDN w:val="0"/>
        <w:adjustRightInd w:val="0"/>
        <w:spacing w:before="120"/>
        <w:ind w:left="1588"/>
        <w:rPr>
          <w:b/>
          <w:color w:val="000000"/>
          <w:sz w:val="20"/>
        </w:rPr>
      </w:pPr>
      <w:r>
        <w:rPr>
          <w:b/>
          <w:color w:val="000000"/>
          <w:sz w:val="20"/>
        </w:rPr>
        <w:t>Note—</w:t>
      </w:r>
    </w:p>
    <w:p>
      <w:pPr>
        <w:keepLines/>
        <w:autoSpaceDE w:val="0"/>
        <w:autoSpaceDN w:val="0"/>
        <w:adjustRightInd w:val="0"/>
        <w:spacing w:before="120"/>
        <w:ind w:left="2382"/>
        <w:rPr>
          <w:color w:val="000000"/>
          <w:sz w:val="20"/>
        </w:rPr>
      </w:pPr>
      <w:r>
        <w:rPr>
          <w:color w:val="000000"/>
          <w:sz w:val="20"/>
        </w:rPr>
        <w:t>The application of a rate of return instrument under this Law is an AER economic regulatory function or power. See section 30Q(2).</w:t>
      </w:r>
    </w:p>
    <w:p>
      <w:pPr>
        <w:keepLines/>
        <w:autoSpaceDE w:val="0"/>
        <w:autoSpaceDN w:val="0"/>
        <w:adjustRightInd w:val="0"/>
        <w:spacing w:before="120"/>
        <w:ind w:left="1588"/>
        <w:rPr>
          <w:color w:val="000000"/>
          <w:sz w:val="23"/>
          <w:szCs w:val="23"/>
        </w:rPr>
      </w:pPr>
      <w:r>
        <w:rPr>
          <w:rStyle w:val="CharDefText"/>
          <w:bCs/>
          <w:sz w:val="23"/>
        </w:rPr>
        <w:t>AER ring fencing determination</w:t>
      </w:r>
      <w:r>
        <w:rPr>
          <w:bCs/>
          <w:i/>
          <w:iCs/>
          <w:color w:val="000000"/>
          <w:sz w:val="23"/>
          <w:szCs w:val="23"/>
        </w:rPr>
        <w:t xml:space="preserve"> </w:t>
      </w:r>
      <w:r>
        <w:rPr>
          <w:color w:val="000000"/>
          <w:sz w:val="23"/>
          <w:szCs w:val="23"/>
        </w:rPr>
        <w:t>means a determination of the AER under section 143(1);</w:t>
      </w:r>
    </w:p>
    <w:p>
      <w:pPr>
        <w:keepNext/>
        <w:keepLines/>
        <w:autoSpaceDE w:val="0"/>
        <w:autoSpaceDN w:val="0"/>
        <w:adjustRightInd w:val="0"/>
        <w:spacing w:before="120"/>
        <w:ind w:left="1588"/>
        <w:rPr>
          <w:color w:val="000000"/>
          <w:sz w:val="23"/>
          <w:szCs w:val="23"/>
        </w:rPr>
      </w:pPr>
      <w:r>
        <w:rPr>
          <w:rStyle w:val="CharDefText"/>
          <w:bCs/>
          <w:sz w:val="23"/>
        </w:rPr>
        <w:t>applicable access arrangement</w:t>
      </w:r>
      <w:r>
        <w:rPr>
          <w:bCs/>
          <w:i/>
          <w:iCs/>
          <w:color w:val="000000"/>
          <w:sz w:val="23"/>
          <w:szCs w:val="23"/>
        </w:rPr>
        <w:t xml:space="preserve"> </w:t>
      </w:r>
      <w:r>
        <w:rPr>
          <w:color w:val="000000"/>
          <w:sz w:val="23"/>
          <w:szCs w:val="23"/>
        </w:rPr>
        <w:t>means a limited access arrangement or full access arrangement that has taken effect after being approved or made by the AER under the Rules and includes an applicable access arrangement as varied—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an access determination as provided by this Law or the Rules;</w:t>
      </w:r>
    </w:p>
    <w:p>
      <w:pPr>
        <w:keepNext/>
        <w:keepLines/>
        <w:autoSpaceDE w:val="0"/>
        <w:autoSpaceDN w:val="0"/>
        <w:adjustRightInd w:val="0"/>
        <w:spacing w:before="120"/>
        <w:ind w:left="1588"/>
        <w:rPr>
          <w:color w:val="000000"/>
          <w:sz w:val="23"/>
          <w:szCs w:val="23"/>
        </w:rPr>
      </w:pPr>
      <w:r>
        <w:rPr>
          <w:rStyle w:val="CharDefText"/>
          <w:bCs/>
          <w:sz w:val="23"/>
        </w:rPr>
        <w:t>applicable access arrangement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limited access arrangement decision;</w:t>
      </w:r>
    </w:p>
    <w:p>
      <w:pPr>
        <w:keepLines/>
        <w:autoSpaceDE w:val="0"/>
        <w:autoSpaceDN w:val="0"/>
        <w:adjustRightInd w:val="0"/>
        <w:spacing w:before="120"/>
        <w:ind w:left="1588"/>
        <w:rPr>
          <w:color w:val="000000"/>
          <w:sz w:val="23"/>
          <w:szCs w:val="23"/>
        </w:rPr>
      </w:pPr>
      <w:r>
        <w:rPr>
          <w:rStyle w:val="CharDefText"/>
          <w:bCs/>
          <w:sz w:val="23"/>
        </w:rPr>
        <w:t>approved associate contract</w:t>
      </w:r>
      <w:r>
        <w:rPr>
          <w:bCs/>
          <w:i/>
          <w:iCs/>
          <w:color w:val="000000"/>
          <w:sz w:val="23"/>
          <w:szCs w:val="23"/>
        </w:rPr>
        <w:t xml:space="preserve"> </w:t>
      </w:r>
      <w:r>
        <w:rPr>
          <w:color w:val="000000"/>
          <w:sz w:val="23"/>
          <w:szCs w:val="23"/>
        </w:rPr>
        <w:t>means an associate contract approved by the AER under an associate contract decision;</w:t>
      </w:r>
    </w:p>
    <w:p>
      <w:pPr>
        <w:keepLines/>
        <w:autoSpaceDE w:val="0"/>
        <w:autoSpaceDN w:val="0"/>
        <w:adjustRightInd w:val="0"/>
        <w:spacing w:before="120"/>
        <w:ind w:left="1588"/>
        <w:rPr>
          <w:color w:val="000000"/>
          <w:sz w:val="23"/>
          <w:szCs w:val="23"/>
        </w:rPr>
      </w:pPr>
      <w:r>
        <w:rPr>
          <w:rStyle w:val="CharDefText"/>
          <w:bCs/>
          <w:sz w:val="23"/>
        </w:rPr>
        <w:t>associate</w:t>
      </w:r>
      <w:r>
        <w:rPr>
          <w:color w:val="000000"/>
          <w:sz w:val="23"/>
          <w:szCs w:val="23"/>
        </w:rPr>
        <w:t xml:space="preserve"> in relation to a person has the same meaning it would have under Division 2 of Part 1.2 of the </w:t>
      </w:r>
      <w:r>
        <w:rPr>
          <w:i/>
          <w:iCs/>
          <w:color w:val="000000"/>
          <w:sz w:val="23"/>
          <w:szCs w:val="23"/>
        </w:rPr>
        <w:t>Corporations Act 2001</w:t>
      </w:r>
      <w:r>
        <w:rPr>
          <w:color w:val="000000"/>
          <w:sz w:val="23"/>
          <w:szCs w:val="23"/>
        </w:rPr>
        <w:t xml:space="preserve"> of the Commonwealth if sections 13, 16(2) and 17 did not form part of that Act;</w:t>
      </w:r>
    </w:p>
    <w:p>
      <w:pPr>
        <w:keepNext/>
        <w:keepLines/>
        <w:autoSpaceDE w:val="0"/>
        <w:autoSpaceDN w:val="0"/>
        <w:adjustRightInd w:val="0"/>
        <w:spacing w:before="120"/>
        <w:ind w:left="1588"/>
        <w:rPr>
          <w:color w:val="000000"/>
          <w:sz w:val="23"/>
          <w:szCs w:val="23"/>
        </w:rPr>
      </w:pPr>
      <w:r>
        <w:rPr>
          <w:rStyle w:val="CharDefText"/>
          <w:bCs/>
          <w:sz w:val="23"/>
        </w:rPr>
        <w:t>associate contract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arrangement or understanding between a service provider and an associate of the service provider in connection with the provision of an associate pipeline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contract, arrangement or understanding between a service provider and any person in connection with the provision of an associate pipeline service—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provides a direct or indirect benefit to an associate;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is not at arm’s length;</w:t>
      </w:r>
    </w:p>
    <w:p>
      <w:pPr>
        <w:keepLines/>
        <w:autoSpaceDE w:val="0"/>
        <w:autoSpaceDN w:val="0"/>
        <w:adjustRightInd w:val="0"/>
        <w:spacing w:before="120"/>
        <w:ind w:left="1588"/>
        <w:rPr>
          <w:color w:val="000000"/>
          <w:sz w:val="23"/>
          <w:szCs w:val="23"/>
        </w:rPr>
      </w:pPr>
      <w:r>
        <w:rPr>
          <w:rStyle w:val="CharDefText"/>
          <w:bCs/>
          <w:sz w:val="23"/>
        </w:rPr>
        <w:t>associate contract decision</w:t>
      </w:r>
      <w:r>
        <w:rPr>
          <w:bCs/>
          <w:i/>
          <w:iCs/>
          <w:color w:val="000000"/>
          <w:sz w:val="23"/>
          <w:szCs w:val="23"/>
        </w:rPr>
        <w:t xml:space="preserve"> </w:t>
      </w:r>
      <w:r>
        <w:rPr>
          <w:color w:val="000000"/>
          <w:sz w:val="23"/>
          <w:szCs w:val="23"/>
        </w:rPr>
        <w:t>means a decision of the AER under the Rules that approves or does not approve an associate contract for the purposes of Chapter 4 Part 2 Division 5;</w:t>
      </w:r>
    </w:p>
    <w:p>
      <w:pPr>
        <w:keepLines/>
        <w:autoSpaceDE w:val="0"/>
        <w:autoSpaceDN w:val="0"/>
        <w:adjustRightInd w:val="0"/>
        <w:spacing w:before="120"/>
        <w:ind w:left="1588"/>
        <w:rPr>
          <w:color w:val="000000"/>
          <w:sz w:val="23"/>
          <w:szCs w:val="23"/>
        </w:rPr>
      </w:pPr>
      <w:r>
        <w:rPr>
          <w:rStyle w:val="CharDefText"/>
          <w:bCs/>
          <w:sz w:val="23"/>
        </w:rPr>
        <w:t>associate pipeline service</w:t>
      </w:r>
      <w:r>
        <w:rPr>
          <w:bCs/>
          <w:i/>
          <w:iCs/>
          <w:color w:val="000000"/>
          <w:sz w:val="23"/>
          <w:szCs w:val="23"/>
        </w:rPr>
        <w:t xml:space="preserve"> </w:t>
      </w:r>
      <w:r>
        <w:rPr>
          <w:color w:val="000000"/>
          <w:sz w:val="23"/>
          <w:szCs w:val="23"/>
        </w:rPr>
        <w:t>means a pipeline service provided by means of a pipeline other than a pipeline to which a 15</w:t>
      </w:r>
      <w:r>
        <w:rPr>
          <w:color w:val="000000"/>
          <w:sz w:val="23"/>
          <w:szCs w:val="23"/>
        </w:rPr>
        <w:noBreakHyphen/>
        <w:t>year no coverage determination applies;</w:t>
      </w:r>
    </w:p>
    <w:p>
      <w:pPr>
        <w:keepNext/>
        <w:keepLines/>
        <w:autoSpaceDE w:val="0"/>
        <w:autoSpaceDN w:val="0"/>
        <w:adjustRightInd w:val="0"/>
        <w:spacing w:before="120"/>
        <w:ind w:left="1588"/>
        <w:rPr>
          <w:color w:val="000000"/>
          <w:sz w:val="23"/>
          <w:szCs w:val="23"/>
        </w:rPr>
      </w:pPr>
      <w:r>
        <w:rPr>
          <w:rStyle w:val="CharDefText"/>
          <w:bCs/>
          <w:sz w:val="23"/>
        </w:rPr>
        <w:t>Bulletin Board information</w:t>
      </w:r>
      <w:r>
        <w:rPr>
          <w:bCs/>
          <w:i/>
          <w:iCs/>
          <w:color w:val="000000"/>
          <w:sz w:val="23"/>
          <w:szCs w:val="23"/>
        </w:rPr>
        <w:t xml:space="preserve"> </w:t>
      </w:r>
      <w:r>
        <w:rPr>
          <w:color w:val="000000"/>
          <w:sz w:val="23"/>
          <w:szCs w:val="23"/>
        </w:rPr>
        <w:t>means information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gives to the Bulletin Board operator to comply with section 223(1);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gives to the Bulletin Board operator in circumstances expressly permitted by the Rules;</w:t>
      </w:r>
    </w:p>
    <w:p>
      <w:pPr>
        <w:keepLines/>
        <w:autoSpaceDE w:val="0"/>
        <w:autoSpaceDN w:val="0"/>
        <w:adjustRightInd w:val="0"/>
        <w:spacing w:before="120"/>
        <w:ind w:left="1588"/>
        <w:rPr>
          <w:color w:val="000000"/>
          <w:sz w:val="23"/>
          <w:szCs w:val="23"/>
        </w:rPr>
      </w:pPr>
      <w:r>
        <w:rPr>
          <w:rStyle w:val="CharDefText"/>
          <w:bCs/>
          <w:sz w:val="23"/>
        </w:rPr>
        <w:t>Bulletin Board operator</w:t>
      </w:r>
      <w:r>
        <w:rPr>
          <w:bCs/>
          <w:i/>
          <w:iCs/>
          <w:color w:val="000000"/>
          <w:sz w:val="23"/>
          <w:szCs w:val="23"/>
        </w:rPr>
        <w:t xml:space="preserve"> </w:t>
      </w:r>
      <w:r>
        <w:rPr>
          <w:color w:val="000000"/>
          <w:sz w:val="23"/>
          <w:szCs w:val="23"/>
        </w:rPr>
        <w:t>means the person prescribed by the Regulations for the purposes of section 217;</w:t>
      </w:r>
    </w:p>
    <w:p>
      <w:pPr>
        <w:keepLines/>
        <w:autoSpaceDE w:val="0"/>
        <w:autoSpaceDN w:val="0"/>
        <w:adjustRightInd w:val="0"/>
        <w:spacing w:before="120"/>
        <w:ind w:left="1588"/>
        <w:rPr>
          <w:color w:val="000000"/>
          <w:sz w:val="23"/>
          <w:szCs w:val="23"/>
        </w:rPr>
      </w:pPr>
      <w:r>
        <w:rPr>
          <w:rStyle w:val="CharDefText"/>
          <w:bCs/>
          <w:sz w:val="23"/>
        </w:rPr>
        <w:t>charge</w:t>
      </w:r>
      <w:r>
        <w:rPr>
          <w:color w:val="000000"/>
          <w:sz w:val="23"/>
          <w:szCs w:val="23"/>
        </w:rPr>
        <w:t>, in relation to a pipeline service, means the amount that is payable by a user to a service provider for the provision of the pipeline service to that user;</w:t>
      </w:r>
    </w:p>
    <w:p>
      <w:pPr>
        <w:keepNext/>
        <w:keepLines/>
        <w:autoSpaceDE w:val="0"/>
        <w:autoSpaceDN w:val="0"/>
        <w:adjustRightInd w:val="0"/>
        <w:spacing w:before="120"/>
        <w:ind w:left="1588"/>
        <w:rPr>
          <w:color w:val="000000"/>
          <w:sz w:val="23"/>
          <w:szCs w:val="23"/>
        </w:rPr>
      </w:pPr>
      <w:r>
        <w:rPr>
          <w:rStyle w:val="CharDefText"/>
          <w:bCs/>
          <w:sz w:val="23"/>
        </w:rPr>
        <w:t>civil penalty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breach of a civil penalty provision by a natural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amount not exceeding $20 000;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amount not exceeding $2 000 for every day during which the breach continues;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breach of a civil penalty provision by a body corporate—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amount not exceeding $100 000;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amount not exceeding $10 000 for every day during which the breach continues;</w:t>
      </w:r>
    </w:p>
    <w:p>
      <w:pPr>
        <w:keepLines/>
        <w:autoSpaceDE w:val="0"/>
        <w:autoSpaceDN w:val="0"/>
        <w:adjustRightInd w:val="0"/>
        <w:spacing w:before="120"/>
        <w:ind w:left="1588"/>
        <w:rPr>
          <w:color w:val="000000"/>
          <w:sz w:val="23"/>
          <w:szCs w:val="23"/>
        </w:rPr>
      </w:pPr>
      <w:r>
        <w:rPr>
          <w:rStyle w:val="CharDefText"/>
          <w:bCs/>
          <w:sz w:val="23"/>
        </w:rPr>
        <w:t>civil penalty provision</w:t>
      </w:r>
      <w:r>
        <w:rPr>
          <w:bCs/>
          <w:i/>
          <w:iCs/>
          <w:color w:val="000000"/>
          <w:sz w:val="23"/>
          <w:szCs w:val="23"/>
        </w:rPr>
        <w:t xml:space="preserve"> </w:t>
      </w:r>
      <w:r>
        <w:rPr>
          <w:color w:val="000000"/>
          <w:sz w:val="23"/>
          <w:szCs w:val="23"/>
        </w:rPr>
        <w:t>has the meaning given by section 3;</w:t>
      </w:r>
    </w:p>
    <w:p>
      <w:pPr>
        <w:keepNext/>
        <w:keepLines/>
        <w:autoSpaceDE w:val="0"/>
        <w:autoSpaceDN w:val="0"/>
        <w:adjustRightInd w:val="0"/>
        <w:spacing w:before="120"/>
        <w:ind w:left="1588"/>
        <w:rPr>
          <w:color w:val="000000"/>
          <w:sz w:val="23"/>
          <w:szCs w:val="23"/>
        </w:rPr>
      </w:pPr>
      <w:r>
        <w:rPr>
          <w:rStyle w:val="CharDefText"/>
          <w:bCs/>
          <w:sz w:val="23"/>
        </w:rPr>
        <w:t>classification decision under the Rules</w:t>
      </w:r>
      <w:r>
        <w:rPr>
          <w:bCs/>
          <w:i/>
          <w:iCs/>
          <w:color w:val="000000"/>
          <w:sz w:val="23"/>
          <w:szCs w:val="23"/>
        </w:rPr>
        <w:t xml:space="preserve"> </w:t>
      </w:r>
      <w:r>
        <w:rPr>
          <w:color w:val="000000"/>
          <w:sz w:val="23"/>
          <w:szCs w:val="23"/>
        </w:rPr>
        <w:t>means a decision of the NCC under the Rules that classifies either of the following pipelines as a cross boundary transmission pipeline, cross boundary distribution pipeline, transmission pipeline or a distribution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in respect of which a tender approval decision becomes irrevocable by operation of the Rules;</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means of which a service provider intends to provide pipeline services to which a full access arrangement voluntarily submitted to the AER for approval by that provider will apply, if approved;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respect of which the NCC has not previously made an initial classification decision;</w:t>
      </w:r>
    </w:p>
    <w:p>
      <w:pPr>
        <w:keepLines/>
        <w:autoSpaceDE w:val="0"/>
        <w:autoSpaceDN w:val="0"/>
        <w:adjustRightInd w:val="0"/>
        <w:spacing w:before="120"/>
        <w:ind w:left="1588"/>
        <w:rPr>
          <w:color w:val="000000"/>
          <w:sz w:val="23"/>
          <w:szCs w:val="23"/>
        </w:rPr>
      </w:pPr>
      <w:r>
        <w:rPr>
          <w:rStyle w:val="CharDefText"/>
          <w:bCs/>
          <w:sz w:val="23"/>
        </w:rPr>
        <w:t>commission</w:t>
      </w:r>
      <w:r>
        <w:rPr>
          <w:color w:val="000000"/>
          <w:sz w:val="23"/>
          <w:szCs w:val="23"/>
        </w:rPr>
        <w:t>, in relation to a pipeline, has the meaning given by section 12;</w:t>
      </w:r>
    </w:p>
    <w:p>
      <w:pPr>
        <w:keepLines/>
        <w:autoSpaceDE w:val="0"/>
        <w:autoSpaceDN w:val="0"/>
        <w:adjustRightInd w:val="0"/>
        <w:spacing w:before="120"/>
        <w:ind w:left="1588"/>
        <w:rPr>
          <w:color w:val="000000"/>
          <w:sz w:val="23"/>
          <w:szCs w:val="23"/>
        </w:rPr>
      </w:pPr>
      <w:r>
        <w:rPr>
          <w:rStyle w:val="CharDefText"/>
          <w:bCs/>
          <w:sz w:val="23"/>
        </w:rPr>
        <w:t>Commonwealth Minister</w:t>
      </w:r>
      <w:r>
        <w:rPr>
          <w:bCs/>
          <w:i/>
          <w:iCs/>
          <w:color w:val="000000"/>
          <w:sz w:val="23"/>
          <w:szCs w:val="23"/>
        </w:rPr>
        <w:t xml:space="preserve"> </w:t>
      </w:r>
      <w:r>
        <w:rPr>
          <w:color w:val="000000"/>
          <w:sz w:val="23"/>
          <w:szCs w:val="23"/>
        </w:rPr>
        <w:t xml:space="preserve">means the Minister of the Commonwealth administering the </w:t>
      </w:r>
      <w:r>
        <w:rPr>
          <w:i/>
          <w:iCs/>
          <w:color w:val="000000"/>
          <w:sz w:val="23"/>
          <w:szCs w:val="23"/>
        </w:rPr>
        <w:t>Australian Energy Market Act 2004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conduct provision</w:t>
      </w:r>
      <w:r>
        <w:rPr>
          <w:bCs/>
          <w:i/>
          <w:iCs/>
          <w:color w:val="000000"/>
          <w:sz w:val="23"/>
          <w:szCs w:val="23"/>
        </w:rPr>
        <w:t xml:space="preserve"> </w:t>
      </w:r>
      <w:r>
        <w:rPr>
          <w:color w:val="000000"/>
          <w:sz w:val="23"/>
          <w:szCs w:val="23"/>
        </w:rPr>
        <w:t>has the meaning given by section 4;</w:t>
      </w:r>
    </w:p>
    <w:p>
      <w:pPr>
        <w:keepLines/>
        <w:autoSpaceDE w:val="0"/>
        <w:autoSpaceDN w:val="0"/>
        <w:adjustRightInd w:val="0"/>
        <w:spacing w:before="120"/>
        <w:ind w:left="1588"/>
        <w:rPr>
          <w:color w:val="000000"/>
          <w:szCs w:val="23"/>
        </w:rPr>
      </w:pPr>
      <w:r>
        <w:rPr>
          <w:rStyle w:val="CharDefText"/>
          <w:bCs/>
          <w:sz w:val="23"/>
        </w:rPr>
        <w:t>constituent components</w:t>
      </w:r>
      <w:r>
        <w:rPr>
          <w:color w:val="000000"/>
          <w:szCs w:val="23"/>
        </w:rPr>
        <w:t>, in relation to a designated reviewable regulatory</w:t>
      </w:r>
      <w:r>
        <w:rPr>
          <w:color w:val="000000"/>
          <w:sz w:val="23"/>
          <w:szCs w:val="23"/>
        </w:rPr>
        <w:t xml:space="preserve"> </w:t>
      </w:r>
      <w:r>
        <w:rPr>
          <w:color w:val="000000"/>
          <w:szCs w:val="23"/>
        </w:rPr>
        <w:t>decision, means the matters that constitute the elements or components of the</w:t>
      </w:r>
      <w:r>
        <w:rPr>
          <w:color w:val="000000"/>
          <w:sz w:val="23"/>
          <w:szCs w:val="23"/>
        </w:rPr>
        <w:t xml:space="preserve"> </w:t>
      </w:r>
      <w:r>
        <w:rPr>
          <w:color w:val="000000"/>
          <w:szCs w:val="23"/>
        </w:rPr>
        <w:t>designated reviewable regulatory decision and on which that designated</w:t>
      </w:r>
      <w:r>
        <w:rPr>
          <w:color w:val="000000"/>
          <w:sz w:val="23"/>
          <w:szCs w:val="23"/>
        </w:rPr>
        <w:t xml:space="preserve"> </w:t>
      </w:r>
      <w:r>
        <w:rPr>
          <w:color w:val="000000"/>
          <w:szCs w:val="23"/>
        </w:rPr>
        <w:t>reviewable regulatory</w:t>
      </w:r>
      <w:r>
        <w:rPr>
          <w:color w:val="000000"/>
          <w:sz w:val="23"/>
          <w:szCs w:val="23"/>
        </w:rPr>
        <w:t xml:space="preserve"> decision is based and includes — </w:t>
      </w:r>
    </w:p>
    <w:p>
      <w:pPr>
        <w:keepLines/>
        <w:tabs>
          <w:tab w:val="center" w:pos="1985"/>
          <w:tab w:val="left" w:pos="2382"/>
        </w:tabs>
        <w:autoSpaceDE w:val="0"/>
        <w:autoSpaceDN w:val="0"/>
        <w:adjustRightInd w:val="0"/>
        <w:spacing w:before="120"/>
        <w:ind w:left="2382" w:hanging="794"/>
        <w:rPr>
          <w:color w:val="000000"/>
          <w:szCs w:val="23"/>
        </w:rPr>
      </w:pPr>
      <w:r>
        <w:rPr>
          <w:color w:val="000000"/>
          <w:sz w:val="23"/>
          <w:szCs w:val="23"/>
        </w:rPr>
        <w:tab/>
      </w:r>
      <w:r>
        <w:rPr>
          <w:color w:val="000000"/>
          <w:szCs w:val="23"/>
        </w:rPr>
        <w:t>(a)</w:t>
      </w:r>
      <w:r>
        <w:rPr>
          <w:color w:val="000000"/>
          <w:sz w:val="23"/>
          <w:szCs w:val="23"/>
        </w:rPr>
        <w:tab/>
      </w:r>
      <w:r>
        <w:rPr>
          <w:color w:val="000000"/>
          <w:szCs w:val="23"/>
        </w:rPr>
        <w:t>matters that go to the making of the designated reviewable regulatory</w:t>
      </w:r>
      <w:r>
        <w:rPr>
          <w:color w:val="000000"/>
          <w:sz w:val="23"/>
          <w:szCs w:val="23"/>
        </w:rPr>
        <w:t xml:space="preserve"> </w:t>
      </w:r>
      <w:r>
        <w:rPr>
          <w:color w:val="000000"/>
          <w:szCs w:val="23"/>
        </w:rPr>
        <w:t>decision; and</w:t>
      </w:r>
    </w:p>
    <w:p>
      <w:pPr>
        <w:keepLines/>
        <w:tabs>
          <w:tab w:val="center" w:pos="1985"/>
          <w:tab w:val="left" w:pos="2382"/>
        </w:tabs>
        <w:autoSpaceDE w:val="0"/>
        <w:autoSpaceDN w:val="0"/>
        <w:adjustRightInd w:val="0"/>
        <w:spacing w:before="120"/>
        <w:ind w:left="2382" w:hanging="794"/>
        <w:rPr>
          <w:color w:val="000000"/>
          <w:szCs w:val="23"/>
        </w:rPr>
      </w:pPr>
      <w:r>
        <w:rPr>
          <w:color w:val="000000"/>
          <w:sz w:val="23"/>
          <w:szCs w:val="23"/>
        </w:rPr>
        <w:tab/>
      </w:r>
      <w:r>
        <w:rPr>
          <w:color w:val="000000"/>
          <w:szCs w:val="23"/>
        </w:rPr>
        <w:t>(b)</w:t>
      </w:r>
      <w:r>
        <w:rPr>
          <w:color w:val="000000"/>
          <w:sz w:val="23"/>
          <w:szCs w:val="23"/>
        </w:rPr>
        <w:tab/>
      </w:r>
      <w:r>
        <w:rPr>
          <w:color w:val="000000"/>
          <w:szCs w:val="23"/>
        </w:rPr>
        <w:t>decisions made by the AER for the purposes of the designated</w:t>
      </w:r>
      <w:r>
        <w:rPr>
          <w:color w:val="000000"/>
          <w:sz w:val="23"/>
          <w:szCs w:val="23"/>
        </w:rPr>
        <w:t xml:space="preserve"> </w:t>
      </w:r>
      <w:r>
        <w:rPr>
          <w:color w:val="000000"/>
          <w:szCs w:val="23"/>
        </w:rPr>
        <w:t>reviewable regulatory decision;</w:t>
      </w:r>
    </w:p>
    <w:p>
      <w:pPr>
        <w:keepLines/>
        <w:autoSpaceDE w:val="0"/>
        <w:autoSpaceDN w:val="0"/>
        <w:adjustRightInd w:val="0"/>
        <w:spacing w:before="120"/>
        <w:ind w:left="1588"/>
        <w:rPr>
          <w:color w:val="000000"/>
          <w:sz w:val="23"/>
          <w:szCs w:val="23"/>
        </w:rPr>
      </w:pPr>
      <w:r>
        <w:rPr>
          <w:rStyle w:val="CharDefText"/>
          <w:bCs/>
          <w:sz w:val="23"/>
        </w:rPr>
        <w:t>coverage determination</w:t>
      </w:r>
      <w:r>
        <w:rPr>
          <w:bCs/>
          <w:i/>
          <w:iCs/>
          <w:color w:val="000000"/>
          <w:sz w:val="23"/>
          <w:szCs w:val="23"/>
        </w:rPr>
        <w:t xml:space="preserve"> </w:t>
      </w:r>
      <w:r>
        <w:rPr>
          <w:color w:val="000000"/>
          <w:sz w:val="23"/>
          <w:szCs w:val="23"/>
        </w:rPr>
        <w:t>means a determination of a relevant Minister under Chapter 3 Part 1 Division 1;</w:t>
      </w:r>
    </w:p>
    <w:p>
      <w:pPr>
        <w:keepLines/>
        <w:autoSpaceDE w:val="0"/>
        <w:autoSpaceDN w:val="0"/>
        <w:adjustRightInd w:val="0"/>
        <w:spacing w:before="120"/>
        <w:ind w:left="1588"/>
        <w:rPr>
          <w:color w:val="000000"/>
          <w:sz w:val="23"/>
          <w:szCs w:val="23"/>
        </w:rPr>
      </w:pPr>
      <w:r>
        <w:rPr>
          <w:rStyle w:val="CharDefText"/>
          <w:bCs/>
          <w:sz w:val="23"/>
        </w:rPr>
        <w:t>coverage recommendation</w:t>
      </w:r>
      <w:r>
        <w:rPr>
          <w:bCs/>
          <w:i/>
          <w:iCs/>
          <w:color w:val="000000"/>
          <w:sz w:val="23"/>
          <w:szCs w:val="23"/>
        </w:rPr>
        <w:t xml:space="preserve"> </w:t>
      </w:r>
      <w:r>
        <w:rPr>
          <w:color w:val="000000"/>
          <w:sz w:val="23"/>
          <w:szCs w:val="23"/>
        </w:rPr>
        <w:t>means a recommendation of the NCC under Chapter 3 Part 1 Division 1;</w:t>
      </w:r>
    </w:p>
    <w:p>
      <w:pPr>
        <w:keepLines/>
        <w:autoSpaceDE w:val="0"/>
        <w:autoSpaceDN w:val="0"/>
        <w:adjustRightInd w:val="0"/>
        <w:spacing w:before="120"/>
        <w:ind w:left="1588"/>
        <w:rPr>
          <w:color w:val="000000"/>
          <w:sz w:val="23"/>
          <w:szCs w:val="23"/>
        </w:rPr>
      </w:pPr>
      <w:r>
        <w:rPr>
          <w:rStyle w:val="CharDefText"/>
          <w:bCs/>
          <w:sz w:val="23"/>
        </w:rPr>
        <w:t>coverage revocation determination</w:t>
      </w:r>
      <w:r>
        <w:rPr>
          <w:bCs/>
          <w:i/>
          <w:iCs/>
          <w:color w:val="000000"/>
          <w:sz w:val="23"/>
          <w:szCs w:val="23"/>
        </w:rPr>
        <w:t xml:space="preserve"> </w:t>
      </w:r>
      <w:r>
        <w:rPr>
          <w:color w:val="000000"/>
          <w:sz w:val="23"/>
          <w:szCs w:val="23"/>
        </w:rPr>
        <w:t>means a determination of a relevant Minister under Chapter 3 Part 1 Division 2;</w:t>
      </w:r>
    </w:p>
    <w:p>
      <w:pPr>
        <w:keepLines/>
        <w:autoSpaceDE w:val="0"/>
        <w:autoSpaceDN w:val="0"/>
        <w:adjustRightInd w:val="0"/>
        <w:spacing w:before="120"/>
        <w:ind w:left="1588"/>
        <w:rPr>
          <w:color w:val="000000"/>
          <w:sz w:val="23"/>
          <w:szCs w:val="23"/>
        </w:rPr>
      </w:pPr>
      <w:r>
        <w:rPr>
          <w:rStyle w:val="CharDefText"/>
          <w:bCs/>
          <w:sz w:val="23"/>
        </w:rPr>
        <w:t>coverage revocation recommendation</w:t>
      </w:r>
      <w:r>
        <w:rPr>
          <w:bCs/>
          <w:i/>
          <w:iCs/>
          <w:color w:val="000000"/>
          <w:sz w:val="23"/>
          <w:szCs w:val="23"/>
        </w:rPr>
        <w:t xml:space="preserve"> </w:t>
      </w:r>
      <w:r>
        <w:rPr>
          <w:color w:val="000000"/>
          <w:sz w:val="23"/>
          <w:szCs w:val="23"/>
        </w:rPr>
        <w:t>means a recommendation of the NCC under Chapter 3 Part 1 Division 2;</w:t>
      </w:r>
    </w:p>
    <w:p>
      <w:pPr>
        <w:keepNext/>
        <w:keepLines/>
        <w:autoSpaceDE w:val="0"/>
        <w:autoSpaceDN w:val="0"/>
        <w:adjustRightInd w:val="0"/>
        <w:spacing w:before="120"/>
        <w:ind w:left="1588"/>
        <w:rPr>
          <w:color w:val="000000"/>
          <w:sz w:val="23"/>
          <w:szCs w:val="23"/>
        </w:rPr>
      </w:pPr>
      <w:r>
        <w:rPr>
          <w:rStyle w:val="CharDefText"/>
          <w:bCs/>
          <w:sz w:val="23"/>
        </w:rPr>
        <w:t>covered pipeline</w:t>
      </w:r>
      <w:r>
        <w:rPr>
          <w:bCs/>
          <w:i/>
          <w:iCs/>
          <w:color w:val="000000"/>
          <w:sz w:val="23"/>
          <w:szCs w:val="23"/>
        </w:rPr>
        <w:t xml:space="preserve"> </w:t>
      </w:r>
      <w:r>
        <w:rPr>
          <w:color w:val="000000"/>
          <w:sz w:val="23"/>
          <w:szCs w:val="23"/>
        </w:rPr>
        <w:t>means a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which a coverage determination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deemed to be a covered pipeline by operation of section 126 or 127;</w:t>
      </w:r>
    </w:p>
    <w:p>
      <w:pPr>
        <w:keepLines/>
        <w:autoSpaceDE w:val="0"/>
        <w:autoSpaceDN w:val="0"/>
        <w:adjustRightInd w:val="0"/>
        <w:spacing w:before="120"/>
        <w:ind w:left="1588"/>
        <w:rPr>
          <w:color w:val="000000"/>
          <w:sz w:val="23"/>
          <w:szCs w:val="23"/>
        </w:rPr>
      </w:pPr>
      <w:r>
        <w:rPr>
          <w:rStyle w:val="CharDefText"/>
          <w:bCs/>
          <w:sz w:val="23"/>
        </w:rPr>
        <w:t>covered pipeline service provider</w:t>
      </w:r>
      <w:r>
        <w:rPr>
          <w:bCs/>
          <w:i/>
          <w:iCs/>
          <w:color w:val="000000"/>
          <w:sz w:val="23"/>
          <w:szCs w:val="23"/>
        </w:rPr>
        <w:t xml:space="preserve"> </w:t>
      </w:r>
      <w:r>
        <w:rPr>
          <w:color w:val="000000"/>
          <w:sz w:val="23"/>
          <w:szCs w:val="23"/>
        </w:rPr>
        <w:t>means a service provider that provides or intends to provide pipeline services by means of a covered pipeline;</w:t>
      </w:r>
    </w:p>
    <w:p>
      <w:pPr>
        <w:keepLines/>
        <w:autoSpaceDE w:val="0"/>
        <w:autoSpaceDN w:val="0"/>
        <w:adjustRightInd w:val="0"/>
        <w:spacing w:before="120"/>
        <w:ind w:left="1588"/>
        <w:rPr>
          <w:color w:val="000000"/>
          <w:sz w:val="23"/>
          <w:szCs w:val="23"/>
        </w:rPr>
      </w:pPr>
      <w:r>
        <w:rPr>
          <w:rStyle w:val="CharDefText"/>
          <w:bCs/>
          <w:sz w:val="23"/>
        </w:rPr>
        <w:t>cross boundary distribution pipeline</w:t>
      </w:r>
      <w:r>
        <w:rPr>
          <w:bCs/>
          <w:i/>
          <w:iCs/>
          <w:color w:val="000000"/>
          <w:sz w:val="23"/>
          <w:szCs w:val="23"/>
        </w:rPr>
        <w:t xml:space="preserve"> </w:t>
      </w:r>
      <w:r>
        <w:rPr>
          <w:color w:val="000000"/>
          <w:sz w:val="23"/>
          <w:szCs w:val="23"/>
        </w:rPr>
        <w:t>means a distribution pipeline that is partly situated in the jurisdictional areas of 2 or more participating jurisdictions;</w:t>
      </w:r>
    </w:p>
    <w:p>
      <w:pPr>
        <w:keepLines/>
        <w:autoSpaceDE w:val="0"/>
        <w:autoSpaceDN w:val="0"/>
        <w:adjustRightInd w:val="0"/>
        <w:spacing w:before="120"/>
        <w:ind w:left="1588"/>
        <w:rPr>
          <w:color w:val="000000"/>
          <w:sz w:val="23"/>
          <w:szCs w:val="23"/>
        </w:rPr>
      </w:pPr>
      <w:r>
        <w:rPr>
          <w:rStyle w:val="CharDefText"/>
          <w:bCs/>
          <w:sz w:val="23"/>
        </w:rPr>
        <w:t>cross boundary transmission pipeline</w:t>
      </w:r>
      <w:r>
        <w:rPr>
          <w:bCs/>
          <w:i/>
          <w:iCs/>
          <w:color w:val="000000"/>
          <w:sz w:val="23"/>
          <w:szCs w:val="23"/>
        </w:rPr>
        <w:t xml:space="preserve"> </w:t>
      </w:r>
      <w:r>
        <w:rPr>
          <w:color w:val="000000"/>
          <w:sz w:val="23"/>
          <w:szCs w:val="23"/>
        </w:rPr>
        <w:t>means a transmission pipeline that is partly situated in the jurisdictional areas of 2 or more participating jurisdictions;</w:t>
      </w:r>
    </w:p>
    <w:p>
      <w:pPr>
        <w:keepNext/>
        <w:keepLines/>
        <w:autoSpaceDE w:val="0"/>
        <w:autoSpaceDN w:val="0"/>
        <w:adjustRightInd w:val="0"/>
        <w:spacing w:before="120"/>
        <w:ind w:left="1588"/>
        <w:rPr>
          <w:color w:val="000000"/>
          <w:sz w:val="23"/>
          <w:szCs w:val="23"/>
        </w:rPr>
      </w:pPr>
      <w:r>
        <w:rPr>
          <w:rStyle w:val="CharDefText"/>
          <w:bCs/>
          <w:sz w:val="23"/>
        </w:rPr>
        <w:t>designated pipeline</w:t>
      </w:r>
      <w:r>
        <w:rPr>
          <w:color w:val="000000"/>
          <w:sz w:val="23"/>
          <w:szCs w:val="23"/>
        </w:rPr>
        <w:t xml:space="preserve"> means a pipeline classified by the Regulations, or designated in the application Act of a participating jurisdiction, as a designated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light regulation determination cannot be made in respect of pipeline services provided by means of a designated pipeline: see sections 109 and 111.</w:t>
      </w:r>
    </w:p>
    <w:p>
      <w:pPr>
        <w:keepNext/>
        <w:keepLines/>
        <w:autoSpaceDE w:val="0"/>
        <w:autoSpaceDN w:val="0"/>
        <w:adjustRightInd w:val="0"/>
        <w:spacing w:before="120"/>
        <w:ind w:left="1588"/>
        <w:rPr>
          <w:color w:val="000000"/>
          <w:sz w:val="23"/>
          <w:szCs w:val="23"/>
        </w:rPr>
      </w:pPr>
      <w:r>
        <w:rPr>
          <w:rStyle w:val="CharDefText"/>
          <w:bCs/>
          <w:sz w:val="23"/>
          <w:szCs w:val="23"/>
        </w:rPr>
        <w:t>designated reviewable regulatory decision</w:t>
      </w:r>
      <w:r>
        <w:rPr>
          <w:color w:val="000000"/>
          <w:sz w:val="23"/>
          <w:szCs w:val="23"/>
        </w:rPr>
        <w:t xml:space="preserve"> means an applicable access arrangement decision (other than a full access arrangement decision that does not approve a full access arrangement);</w:t>
      </w:r>
    </w:p>
    <w:p>
      <w:pPr>
        <w:keepLines/>
        <w:autoSpaceDE w:val="0"/>
        <w:autoSpaceDN w:val="0"/>
        <w:adjustRightInd w:val="0"/>
        <w:spacing w:before="120"/>
        <w:ind w:left="1588"/>
        <w:rPr>
          <w:color w:val="000000"/>
          <w:sz w:val="23"/>
          <w:szCs w:val="23"/>
        </w:rPr>
      </w:pPr>
      <w:r>
        <w:rPr>
          <w:rStyle w:val="CharDefText"/>
          <w:bCs/>
          <w:sz w:val="23"/>
        </w:rPr>
        <w:t>developable capacity</w:t>
      </w:r>
      <w:r>
        <w:rPr>
          <w:bCs/>
          <w:i/>
          <w:iCs/>
          <w:color w:val="000000"/>
          <w:sz w:val="23"/>
          <w:szCs w:val="23"/>
        </w:rPr>
        <w:t xml:space="preserve"> </w:t>
      </w:r>
      <w:r>
        <w:rPr>
          <w:color w:val="000000"/>
          <w:sz w:val="23"/>
          <w:szCs w:val="23"/>
        </w:rPr>
        <w:t>means the difference between the current capacity of a covered pipeline and the capacity of a covered pipeline which would be available if a new facility was constructed, but does not include any new capacity of a covered pipeline resulting from an extension to the geographic range of a covered pipeline;</w:t>
      </w:r>
    </w:p>
    <w:p>
      <w:pPr>
        <w:keepLines/>
        <w:autoSpaceDE w:val="0"/>
        <w:autoSpaceDN w:val="0"/>
        <w:adjustRightInd w:val="0"/>
        <w:spacing w:before="120"/>
        <w:ind w:left="1588"/>
        <w:rPr>
          <w:color w:val="000000"/>
          <w:sz w:val="23"/>
          <w:szCs w:val="23"/>
        </w:rPr>
      </w:pPr>
      <w:r>
        <w:rPr>
          <w:rStyle w:val="CharDefText"/>
          <w:bCs/>
          <w:sz w:val="23"/>
        </w:rPr>
        <w:t>dispute resolution body</w:t>
      </w:r>
      <w:r>
        <w:rPr>
          <w:bCs/>
          <w:i/>
          <w:iCs/>
          <w:color w:val="000000"/>
          <w:sz w:val="23"/>
          <w:szCs w:val="23"/>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keepNext/>
        <w:keepLines/>
        <w:autoSpaceDE w:val="0"/>
        <w:autoSpaceDN w:val="0"/>
        <w:adjustRightInd w:val="0"/>
        <w:spacing w:before="120"/>
        <w:ind w:left="1588"/>
        <w:rPr>
          <w:color w:val="000000"/>
          <w:sz w:val="23"/>
          <w:szCs w:val="23"/>
        </w:rPr>
      </w:pPr>
      <w:r>
        <w:rPr>
          <w:rStyle w:val="CharDefText"/>
          <w:bCs/>
          <w:sz w:val="23"/>
        </w:rPr>
        <w:t>distribution pipeline</w:t>
      </w:r>
      <w:r>
        <w:rPr>
          <w:bCs/>
          <w:i/>
          <w:iCs/>
          <w:color w:val="000000"/>
          <w:sz w:val="23"/>
          <w:szCs w:val="23"/>
        </w:rPr>
        <w:t xml:space="preserve"> </w:t>
      </w:r>
      <w:r>
        <w:rPr>
          <w:color w:val="000000"/>
          <w:sz w:val="23"/>
          <w:szCs w:val="23"/>
        </w:rPr>
        <w:t>means a pipeline that is classified in accordance with this Law or the Rules as a distribution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rPr>
      </w:pPr>
      <w:r>
        <w:rPr>
          <w:b/>
          <w:bCs/>
          <w:color w:val="000000"/>
          <w:sz w:val="23"/>
        </w:rPr>
        <w:t>Note—</w:t>
      </w:r>
    </w:p>
    <w:p>
      <w:pPr>
        <w:keepLines/>
        <w:autoSpaceDE w:val="0"/>
        <w:autoSpaceDN w:val="0"/>
        <w:adjustRightInd w:val="0"/>
        <w:spacing w:before="120"/>
        <w:ind w:left="2382"/>
        <w:rPr>
          <w:color w:val="000000"/>
          <w:sz w:val="23"/>
        </w:rPr>
      </w:pPr>
      <w:r>
        <w:rPr>
          <w:color w:val="000000"/>
          <w:sz w:val="23"/>
        </w:rPr>
        <w:t>See also sections 18 and 19.</w:t>
      </w:r>
    </w:p>
    <w:p>
      <w:pPr>
        <w:keepLines/>
        <w:autoSpaceDE w:val="0"/>
        <w:autoSpaceDN w:val="0"/>
        <w:adjustRightInd w:val="0"/>
        <w:spacing w:before="120"/>
        <w:ind w:left="1588"/>
        <w:rPr>
          <w:color w:val="000000"/>
          <w:sz w:val="23"/>
          <w:szCs w:val="23"/>
        </w:rPr>
      </w:pPr>
      <w:r>
        <w:rPr>
          <w:rStyle w:val="CharDefText"/>
          <w:bCs/>
          <w:sz w:val="23"/>
        </w:rPr>
        <w:t>draft Rule determination</w:t>
      </w:r>
      <w:r>
        <w:rPr>
          <w:bCs/>
          <w:i/>
          <w:iCs/>
          <w:color w:val="000000"/>
          <w:sz w:val="23"/>
          <w:szCs w:val="23"/>
        </w:rPr>
        <w:t xml:space="preserve"> </w:t>
      </w:r>
      <w:r>
        <w:rPr>
          <w:color w:val="000000"/>
          <w:sz w:val="23"/>
          <w:szCs w:val="23"/>
        </w:rPr>
        <w:t>means a determination of the AEMC under section 308;</w:t>
      </w:r>
    </w:p>
    <w:p>
      <w:pPr>
        <w:keepLines/>
        <w:autoSpaceDE w:val="0"/>
        <w:autoSpaceDN w:val="0"/>
        <w:adjustRightInd w:val="0"/>
        <w:spacing w:before="120"/>
        <w:ind w:left="1588"/>
        <w:rPr>
          <w:color w:val="000000"/>
          <w:sz w:val="23"/>
          <w:szCs w:val="23"/>
        </w:rPr>
      </w:pPr>
      <w:r>
        <w:rPr>
          <w:rStyle w:val="CharDefText"/>
          <w:bCs/>
          <w:sz w:val="23"/>
        </w:rPr>
        <w:t>end user</w:t>
      </w:r>
      <w:r>
        <w:rPr>
          <w:bCs/>
          <w:i/>
          <w:iCs/>
          <w:color w:val="000000"/>
          <w:sz w:val="23"/>
          <w:szCs w:val="23"/>
        </w:rPr>
        <w:t xml:space="preserve"> </w:t>
      </w:r>
      <w:r>
        <w:rPr>
          <w:color w:val="000000"/>
          <w:sz w:val="23"/>
          <w:szCs w:val="23"/>
        </w:rPr>
        <w:t>means a person who acquires natural gas or proposes to acquire natural gas for consumption purposes;</w:t>
      </w:r>
    </w:p>
    <w:p>
      <w:pPr>
        <w:keepLines/>
        <w:autoSpaceDE w:val="0"/>
        <w:autoSpaceDN w:val="0"/>
        <w:adjustRightInd w:val="0"/>
        <w:spacing w:before="120"/>
        <w:ind w:left="1588"/>
        <w:rPr>
          <w:color w:val="000000"/>
          <w:sz w:val="23"/>
          <w:szCs w:val="23"/>
        </w:rPr>
      </w:pPr>
      <w:r>
        <w:rPr>
          <w:rStyle w:val="CharDefText"/>
          <w:bCs/>
          <w:sz w:val="23"/>
        </w:rPr>
        <w:t>ERA</w:t>
      </w:r>
      <w:r>
        <w:rPr>
          <w:color w:val="000000"/>
          <w:sz w:val="23"/>
          <w:szCs w:val="23"/>
        </w:rPr>
        <w:t xml:space="preserve"> means the Economic Regulation Authority established by section 4 of the </w:t>
      </w:r>
      <w:r>
        <w:rPr>
          <w:i/>
          <w:iCs/>
          <w:color w:val="000000"/>
          <w:sz w:val="23"/>
          <w:szCs w:val="23"/>
        </w:rPr>
        <w:t>Economic Regulation Authority Act 2003</w:t>
      </w:r>
      <w:r>
        <w:rPr>
          <w:color w:val="000000"/>
          <w:sz w:val="23"/>
          <w:szCs w:val="23"/>
        </w:rPr>
        <w:t xml:space="preserve"> of Western Australia;</w:t>
      </w:r>
    </w:p>
    <w:p>
      <w:pPr>
        <w:keepNext/>
        <w:keepLines/>
        <w:autoSpaceDE w:val="0"/>
        <w:autoSpaceDN w:val="0"/>
        <w:adjustRightInd w:val="0"/>
        <w:spacing w:before="120"/>
        <w:ind w:left="1588"/>
        <w:rPr>
          <w:color w:val="000000"/>
          <w:sz w:val="23"/>
          <w:szCs w:val="23"/>
        </w:rPr>
      </w:pPr>
      <w:r>
        <w:rPr>
          <w:rStyle w:val="CharDefText"/>
          <w:bCs/>
          <w:sz w:val="23"/>
        </w:rPr>
        <w:t>extension and expansion requirements</w:t>
      </w:r>
      <w:r>
        <w:rPr>
          <w:bCs/>
          <w:i/>
          <w:iCs/>
          <w:color w:val="000000"/>
          <w:sz w:val="23"/>
          <w:szCs w:val="23"/>
        </w:rPr>
        <w:t xml:space="preserve"> </w:t>
      </w:r>
      <w:r>
        <w:rPr>
          <w:color w:val="000000"/>
          <w:sz w:val="23"/>
          <w:szCs w:val="23"/>
        </w:rPr>
        <w:t>means—</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requirements contained in an access arrangement that, in accordance with the Rules, specify—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circumstances when an extension to, or expansion of the capacity of, a covered pipeline is to be treated as forming part of the covered pipeline;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whether the pipeline services provided or to be provided by means of, or in connection with, spare capacity arising out of an extension to, or expansion of the capacity of, a covered pipeline will be subject to the applicable access arrangement applying to the pipeline services to which that arrangement applies;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whether an extension to, or expansion of the capacity of, a covered pipeline will affect a reference tariff, and if so, the effect on the reference tariff;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other requirements specified by the Rules as extension and expansion requirements;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sections 18 and 19.</w:t>
      </w:r>
    </w:p>
    <w:p>
      <w:pPr>
        <w:keepLines/>
        <w:autoSpaceDE w:val="0"/>
        <w:autoSpaceDN w:val="0"/>
        <w:adjustRightInd w:val="0"/>
        <w:spacing w:before="120"/>
        <w:ind w:left="1588"/>
        <w:rPr>
          <w:color w:val="000000"/>
          <w:sz w:val="23"/>
          <w:szCs w:val="23"/>
        </w:rPr>
      </w:pPr>
      <w:r>
        <w:rPr>
          <w:rStyle w:val="CharDefText"/>
          <w:bCs/>
          <w:sz w:val="23"/>
        </w:rPr>
        <w:t>final Rule determination</w:t>
      </w:r>
      <w:r>
        <w:rPr>
          <w:bCs/>
          <w:i/>
          <w:iCs/>
          <w:color w:val="000000"/>
          <w:sz w:val="23"/>
          <w:szCs w:val="23"/>
        </w:rPr>
        <w:t xml:space="preserve"> </w:t>
      </w:r>
      <w:r>
        <w:rPr>
          <w:color w:val="000000"/>
          <w:sz w:val="23"/>
          <w:szCs w:val="23"/>
        </w:rPr>
        <w:t>means a determination of the AEMC under section 311;</w:t>
      </w:r>
    </w:p>
    <w:p>
      <w:pPr>
        <w:keepLines/>
        <w:autoSpaceDE w:val="0"/>
        <w:autoSpaceDN w:val="0"/>
        <w:adjustRightInd w:val="0"/>
        <w:spacing w:before="120"/>
        <w:ind w:left="1588"/>
        <w:rPr>
          <w:color w:val="000000"/>
          <w:sz w:val="23"/>
          <w:szCs w:val="23"/>
        </w:rPr>
      </w:pPr>
      <w:r>
        <w:rPr>
          <w:rStyle w:val="CharDefText"/>
          <w:bCs/>
          <w:sz w:val="23"/>
        </w:rPr>
        <w:t>foreign company</w:t>
      </w:r>
      <w:r>
        <w:rPr>
          <w:bCs/>
          <w:i/>
          <w:iCs/>
          <w:color w:val="000000"/>
          <w:sz w:val="23"/>
          <w:szCs w:val="23"/>
        </w:rPr>
        <w:t xml:space="preserve"> </w:t>
      </w:r>
      <w:r>
        <w:rPr>
          <w:color w:val="000000"/>
          <w:sz w:val="23"/>
          <w:szCs w:val="23"/>
        </w:rPr>
        <w:t xml:space="preserve">has the same meaning as in the </w:t>
      </w:r>
      <w:r>
        <w:rPr>
          <w:i/>
          <w:iCs/>
          <w:color w:val="000000"/>
          <w:sz w:val="23"/>
          <w:szCs w:val="23"/>
        </w:rPr>
        <w:t>Corporations Act 2001</w:t>
      </w:r>
      <w:r>
        <w:rPr>
          <w:color w:val="000000"/>
          <w:sz w:val="23"/>
          <w:szCs w:val="23"/>
        </w:rPr>
        <w:t xml:space="preserve"> of the Commonwealth;</w:t>
      </w:r>
    </w:p>
    <w:p>
      <w:pPr>
        <w:keepNext/>
        <w:keepLines/>
        <w:autoSpaceDE w:val="0"/>
        <w:autoSpaceDN w:val="0"/>
        <w:adjustRightInd w:val="0"/>
        <w:spacing w:before="120"/>
        <w:ind w:left="1588"/>
        <w:rPr>
          <w:color w:val="000000"/>
          <w:sz w:val="23"/>
          <w:szCs w:val="23"/>
        </w:rPr>
      </w:pPr>
      <w:r>
        <w:rPr>
          <w:rStyle w:val="CharDefText"/>
          <w:bCs/>
          <w:sz w:val="23"/>
        </w:rPr>
        <w:t>foreign source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source beyond the outer limits of all of the following: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adjacent area of this jurisdiction;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adjacent area of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source within the joint petroleum development area (within the meaning of the </w:t>
      </w:r>
      <w:r>
        <w:rPr>
          <w:i/>
          <w:iCs/>
          <w:color w:val="000000"/>
          <w:sz w:val="23"/>
          <w:szCs w:val="23"/>
        </w:rPr>
        <w:t>Petroleum (Timor Sea Treaty) Act 2003</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form of regulation</w:t>
      </w:r>
      <w:r>
        <w:rPr>
          <w:rStyle w:val="CharDefText"/>
          <w:sz w:val="23"/>
        </w:rPr>
        <w:t xml:space="preserve"> </w:t>
      </w:r>
      <w:r>
        <w:rPr>
          <w:rStyle w:val="CharDefText"/>
          <w:bCs/>
          <w:sz w:val="23"/>
        </w:rPr>
        <w:t>factors</w:t>
      </w:r>
      <w:r>
        <w:rPr>
          <w:color w:val="000000"/>
          <w:sz w:val="23"/>
          <w:szCs w:val="23"/>
        </w:rPr>
        <w:t xml:space="preserve"> has the meaning given by section 16;</w:t>
      </w:r>
    </w:p>
    <w:p>
      <w:pPr>
        <w:keepNext/>
        <w:keepLines/>
        <w:autoSpaceDE w:val="0"/>
        <w:autoSpaceDN w:val="0"/>
        <w:adjustRightInd w:val="0"/>
        <w:spacing w:before="120"/>
        <w:ind w:left="1588"/>
        <w:rPr>
          <w:color w:val="000000"/>
          <w:sz w:val="23"/>
          <w:szCs w:val="23"/>
        </w:rPr>
      </w:pPr>
      <w:r>
        <w:rPr>
          <w:rStyle w:val="CharDefText"/>
          <w:bCs/>
          <w:sz w:val="23"/>
        </w:rPr>
        <w:t>full access arrangement</w:t>
      </w:r>
      <w:r>
        <w:rPr>
          <w:bCs/>
          <w:i/>
          <w:iCs/>
          <w:color w:val="000000"/>
          <w:sz w:val="23"/>
          <w:szCs w:val="23"/>
        </w:rPr>
        <w:t xml:space="preserve"> </w:t>
      </w:r>
      <w:r>
        <w:rPr>
          <w:color w:val="000000"/>
          <w:sz w:val="23"/>
          <w:szCs w:val="23"/>
        </w:rPr>
        <w:t>means an access arrangement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provides for price or revenue regulation as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deals with all other matters for which the Rules require provision to be made in an access arrangement;</w:t>
      </w:r>
    </w:p>
    <w:p>
      <w:pPr>
        <w:keepNext/>
        <w:keepLines/>
        <w:autoSpaceDE w:val="0"/>
        <w:autoSpaceDN w:val="0"/>
        <w:adjustRightInd w:val="0"/>
        <w:spacing w:before="120"/>
        <w:ind w:left="1588"/>
        <w:rPr>
          <w:color w:val="000000"/>
          <w:sz w:val="23"/>
          <w:szCs w:val="23"/>
        </w:rPr>
      </w:pPr>
      <w:r>
        <w:rPr>
          <w:rStyle w:val="CharDefText"/>
          <w:bCs/>
          <w:sz w:val="23"/>
        </w:rPr>
        <w:t>full access arrangement decision</w:t>
      </w:r>
      <w:r>
        <w:rPr>
          <w:bCs/>
          <w:i/>
          <w:iCs/>
          <w:color w:val="000000"/>
          <w:sz w:val="23"/>
          <w:szCs w:val="23"/>
        </w:rPr>
        <w:t xml:space="preserve"> </w:t>
      </w:r>
      <w:r>
        <w:rPr>
          <w:color w:val="000000"/>
          <w:sz w:val="23"/>
          <w:szCs w:val="23"/>
        </w:rPr>
        <w:t>means a decision of the AER under the Rules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approves or does not approve a full access arrangement or revisions to an applicable access arrangement submitted to the AER under section 132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makes a full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place of a full access arrangement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does not submit a full access arrangement in accordance with section 132 or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makes revisions to an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place of revisions submitted to the AER under section 132 that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does not submit revisions to the AER under section 132;</w:t>
      </w:r>
    </w:p>
    <w:p>
      <w:pPr>
        <w:autoSpaceDE w:val="0"/>
        <w:autoSpaceDN w:val="0"/>
        <w:adjustRightInd w:val="0"/>
        <w:spacing w:before="120"/>
        <w:ind w:left="1588"/>
        <w:rPr>
          <w:color w:val="000000"/>
          <w:sz w:val="23"/>
          <w:szCs w:val="23"/>
        </w:rPr>
      </w:pPr>
      <w:r>
        <w:rPr>
          <w:rStyle w:val="CharDefText"/>
          <w:bCs/>
          <w:sz w:val="23"/>
        </w:rPr>
        <w:t>Gas Code</w:t>
      </w:r>
      <w:r>
        <w:rPr>
          <w:bCs/>
          <w:i/>
          <w:iCs/>
          <w:color w:val="000000"/>
          <w:sz w:val="23"/>
          <w:szCs w:val="23"/>
        </w:rPr>
        <w:t xml:space="preserve"> </w:t>
      </w:r>
      <w:r>
        <w:rPr>
          <w:color w:val="000000"/>
          <w:sz w:val="23"/>
          <w:szCs w:val="23"/>
        </w:rPr>
        <w:t xml:space="preserve">means the </w:t>
      </w:r>
      <w:r>
        <w:rPr>
          <w:i/>
          <w:iCs/>
          <w:color w:val="000000"/>
          <w:sz w:val="23"/>
          <w:szCs w:val="23"/>
        </w:rPr>
        <w:t>National Third Party Access Code for Natural Gas Pipeline Systems</w:t>
      </w:r>
      <w:r>
        <w:rPr>
          <w:color w:val="000000"/>
          <w:sz w:val="23"/>
          <w:szCs w:val="23"/>
        </w:rPr>
        <w:t xml:space="preserve"> set out in Schedule 2 to the </w:t>
      </w:r>
      <w:r>
        <w:rPr>
          <w:i/>
          <w:iCs/>
          <w:color w:val="000000"/>
          <w:sz w:val="23"/>
          <w:szCs w:val="23"/>
        </w:rPr>
        <w:t>Gas Pipelines Access (South Australia) Act 1997</w:t>
      </w:r>
      <w:r>
        <w:rPr>
          <w:color w:val="000000"/>
          <w:sz w:val="23"/>
          <w:szCs w:val="23"/>
        </w:rPr>
        <w:t xml:space="preserve"> of South Australia as amended and applying from time to time before the commencement of </w:t>
      </w:r>
      <w:r>
        <w:rPr>
          <w:sz w:val="23"/>
        </w:rPr>
        <w:t xml:space="preserve">section 30 of the </w:t>
      </w:r>
      <w:r>
        <w:rPr>
          <w:i/>
          <w:sz w:val="23"/>
        </w:rPr>
        <w:t>National Gas Access (WA) Act 2009</w:t>
      </w:r>
      <w:r>
        <w:rPr>
          <w:color w:val="000000"/>
          <w:sz w:val="23"/>
          <w:szCs w:val="23"/>
        </w:rPr>
        <w:t xml:space="preserve"> as a law of Western Australia;</w:t>
      </w:r>
    </w:p>
    <w:p>
      <w:pPr>
        <w:keepLines/>
        <w:autoSpaceDE w:val="0"/>
        <w:autoSpaceDN w:val="0"/>
        <w:adjustRightInd w:val="0"/>
        <w:spacing w:before="120"/>
        <w:ind w:left="1588"/>
        <w:rPr>
          <w:color w:val="000000"/>
          <w:sz w:val="23"/>
          <w:szCs w:val="23"/>
        </w:rPr>
      </w:pPr>
      <w:r>
        <w:rPr>
          <w:rStyle w:val="CharDefText"/>
          <w:bCs/>
          <w:sz w:val="23"/>
        </w:rPr>
        <w:t>gas market operator</w:t>
      </w:r>
      <w:r>
        <w:rPr>
          <w:bCs/>
          <w:i/>
          <w:iCs/>
          <w:color w:val="000000"/>
          <w:sz w:val="23"/>
          <w:szCs w:val="23"/>
        </w:rPr>
        <w:t xml:space="preserve"> </w:t>
      </w:r>
      <w:r>
        <w:rPr>
          <w:color w:val="000000"/>
          <w:sz w:val="23"/>
          <w:szCs w:val="23"/>
        </w:rPr>
        <w:t>means VENCorp or any other person or body prescribed by the Regulations to be a gas market operator;</w:t>
      </w:r>
    </w:p>
    <w:p>
      <w:pPr>
        <w:keepLines/>
        <w:autoSpaceDE w:val="0"/>
        <w:autoSpaceDN w:val="0"/>
        <w:adjustRightInd w:val="0"/>
        <w:spacing w:before="120"/>
        <w:ind w:left="1588"/>
        <w:rPr>
          <w:color w:val="000000"/>
          <w:sz w:val="23"/>
          <w:szCs w:val="23"/>
        </w:rPr>
      </w:pPr>
      <w:r>
        <w:rPr>
          <w:rStyle w:val="CharDefText"/>
          <w:bCs/>
          <w:sz w:val="23"/>
        </w:rPr>
        <w:t>general regulatory information order</w:t>
      </w:r>
      <w:r>
        <w:rPr>
          <w:bCs/>
          <w:i/>
          <w:iCs/>
          <w:color w:val="000000"/>
          <w:sz w:val="23"/>
          <w:szCs w:val="23"/>
        </w:rPr>
        <w:t xml:space="preserve"> </w:t>
      </w:r>
      <w:r>
        <w:rPr>
          <w:color w:val="000000"/>
          <w:sz w:val="23"/>
          <w:szCs w:val="23"/>
        </w:rPr>
        <w:t>has the meaning given by section 45;</w:t>
      </w:r>
    </w:p>
    <w:p>
      <w:pPr>
        <w:keepNext/>
        <w:keepLines/>
        <w:autoSpaceDE w:val="0"/>
        <w:autoSpaceDN w:val="0"/>
        <w:adjustRightInd w:val="0"/>
        <w:spacing w:before="120"/>
        <w:ind w:left="1588"/>
        <w:rPr>
          <w:color w:val="000000"/>
          <w:sz w:val="23"/>
          <w:szCs w:val="23"/>
        </w:rPr>
      </w:pPr>
      <w:r>
        <w:rPr>
          <w:rStyle w:val="CharDefText"/>
          <w:bCs/>
          <w:sz w:val="23"/>
        </w:rPr>
        <w:t>greenfields pipeline incentive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price regulation exemption;</w:t>
      </w:r>
    </w:p>
    <w:p>
      <w:pPr>
        <w:keepLines/>
        <w:autoSpaceDE w:val="0"/>
        <w:autoSpaceDN w:val="0"/>
        <w:adjustRightInd w:val="0"/>
        <w:spacing w:before="120"/>
        <w:ind w:left="1588"/>
        <w:rPr>
          <w:color w:val="000000"/>
          <w:sz w:val="23"/>
          <w:szCs w:val="23"/>
        </w:rPr>
      </w:pPr>
      <w:r>
        <w:rPr>
          <w:rStyle w:val="CharDefText"/>
          <w:bCs/>
          <w:sz w:val="23"/>
        </w:rPr>
        <w:t>haulage</w:t>
      </w:r>
      <w:r>
        <w:rPr>
          <w:color w:val="000000"/>
          <w:sz w:val="23"/>
          <w:szCs w:val="23"/>
        </w:rPr>
        <w:t>, in relation to natural gas, includes conveyance or reticulation of natural gas;</w:t>
      </w:r>
    </w:p>
    <w:p>
      <w:pPr>
        <w:keepLines/>
        <w:autoSpaceDE w:val="0"/>
        <w:autoSpaceDN w:val="0"/>
        <w:adjustRightInd w:val="0"/>
        <w:spacing w:before="120"/>
        <w:ind w:left="1588"/>
        <w:rPr>
          <w:color w:val="000000"/>
          <w:sz w:val="23"/>
          <w:szCs w:val="23"/>
        </w:rPr>
      </w:pPr>
      <w:r>
        <w:rPr>
          <w:rStyle w:val="CharDefText"/>
          <w:bCs/>
          <w:sz w:val="23"/>
        </w:rPr>
        <w:t>initial classification decision</w:t>
      </w:r>
      <w:r>
        <w:rPr>
          <w:bCs/>
          <w:i/>
          <w:iCs/>
          <w:color w:val="000000"/>
          <w:sz w:val="23"/>
          <w:szCs w:val="23"/>
        </w:rPr>
        <w:t xml:space="preserve"> </w:t>
      </w:r>
      <w:r>
        <w:rPr>
          <w:color w:val="000000"/>
          <w:sz w:val="23"/>
          <w:szCs w:val="23"/>
        </w:rPr>
        <w:t>means a decision of the NCC under section 98 or 155;</w:t>
      </w:r>
    </w:p>
    <w:p>
      <w:pPr>
        <w:keepLines/>
        <w:autoSpaceDE w:val="0"/>
        <w:autoSpaceDN w:val="0"/>
        <w:adjustRightInd w:val="0"/>
        <w:spacing w:before="120"/>
        <w:ind w:left="1588" w:right="283"/>
      </w:pPr>
      <w:r>
        <w:rPr>
          <w:rStyle w:val="CharDefText"/>
          <w:sz w:val="23"/>
        </w:rPr>
        <w:t>initial National Gas Rules</w:t>
      </w:r>
      <w:r>
        <w:rPr>
          <w:sz w:val="23"/>
        </w:rPr>
        <w:t xml:space="preserve"> </w:t>
      </w:r>
      <w:r>
        <w:rPr>
          <w:color w:val="000000"/>
          <w:sz w:val="23"/>
          <w:szCs w:val="23"/>
        </w:rPr>
        <w:t>means</w:t>
      </w:r>
      <w:r>
        <w:rPr>
          <w:sz w:val="23"/>
        </w:rPr>
        <w:t xml:space="preserve"> — </w:t>
      </w:r>
    </w:p>
    <w:p>
      <w:pPr>
        <w:keepLines/>
        <w:tabs>
          <w:tab w:val="center" w:pos="1985"/>
          <w:tab w:val="left" w:pos="2382"/>
        </w:tabs>
        <w:autoSpaceDE w:val="0"/>
        <w:autoSpaceDN w:val="0"/>
        <w:adjustRightInd w:val="0"/>
        <w:spacing w:before="120"/>
        <w:ind w:left="2382" w:hanging="794"/>
        <w:rPr>
          <w:sz w:val="23"/>
          <w:szCs w:val="23"/>
        </w:rPr>
      </w:pPr>
      <w:r>
        <w:rPr>
          <w:sz w:val="23"/>
          <w:szCs w:val="23"/>
        </w:rPr>
        <w:tab/>
        <w:t>(a)</w:t>
      </w:r>
      <w:r>
        <w:rPr>
          <w:sz w:val="23"/>
          <w:szCs w:val="23"/>
        </w:rPr>
        <w:tab/>
        <w:t xml:space="preserve">the </w:t>
      </w:r>
      <w:r>
        <w:rPr>
          <w:color w:val="000000"/>
          <w:sz w:val="23"/>
          <w:szCs w:val="23"/>
        </w:rPr>
        <w:t>National</w:t>
      </w:r>
      <w:r>
        <w:rPr>
          <w:sz w:val="23"/>
          <w:szCs w:val="23"/>
        </w:rPr>
        <w:t xml:space="preserve"> Gas Rules that, when the </w:t>
      </w:r>
      <w:r>
        <w:rPr>
          <w:i/>
          <w:sz w:val="23"/>
          <w:szCs w:val="23"/>
        </w:rPr>
        <w:t>National Gas Access (WA) Act 2009</w:t>
      </w:r>
      <w:r>
        <w:rPr>
          <w:sz w:val="23"/>
          <w:szCs w:val="23"/>
        </w:rPr>
        <w:t xml:space="preserve"> section 30 came into operation, applied under section 294; and</w:t>
      </w:r>
    </w:p>
    <w:p>
      <w:pPr>
        <w:keepLines/>
        <w:tabs>
          <w:tab w:val="center" w:pos="1985"/>
          <w:tab w:val="left" w:pos="2382"/>
        </w:tabs>
        <w:autoSpaceDE w:val="0"/>
        <w:autoSpaceDN w:val="0"/>
        <w:adjustRightInd w:val="0"/>
        <w:spacing w:before="120"/>
        <w:ind w:left="2382" w:hanging="794"/>
        <w:rPr>
          <w:sz w:val="23"/>
          <w:szCs w:val="23"/>
        </w:rPr>
      </w:pPr>
      <w:r>
        <w:rPr>
          <w:sz w:val="23"/>
          <w:szCs w:val="23"/>
        </w:rPr>
        <w:tab/>
        <w:t>(b)</w:t>
      </w:r>
      <w:r>
        <w:rPr>
          <w:sz w:val="23"/>
          <w:szCs w:val="23"/>
        </w:rPr>
        <w:tab/>
      </w:r>
      <w:r>
        <w:rPr>
          <w:color w:val="000000"/>
          <w:sz w:val="23"/>
          <w:szCs w:val="23"/>
        </w:rPr>
        <w:t>the</w:t>
      </w:r>
      <w:r>
        <w:rPr>
          <w:sz w:val="23"/>
          <w:szCs w:val="23"/>
        </w:rPr>
        <w:t xml:space="preserve"> </w:t>
      </w:r>
      <w:r>
        <w:rPr>
          <w:i/>
          <w:sz w:val="23"/>
          <w:szCs w:val="23"/>
        </w:rPr>
        <w:t>National Gas Access (Pipelines-Arbitration Amendment) Rules 2017</w:t>
      </w:r>
      <w:r>
        <w:rPr>
          <w:sz w:val="23"/>
          <w:szCs w:val="23"/>
        </w:rPr>
        <w:t xml:space="preserve"> made by the Minister for Mineral Resources and Energy of South Australia under the National Gas (South Australia) Law section 294F (notice of which was published in the </w:t>
      </w:r>
      <w:r>
        <w:rPr>
          <w:i/>
          <w:sz w:val="23"/>
          <w:szCs w:val="23"/>
        </w:rPr>
        <w:t>Government Gazette</w:t>
      </w:r>
      <w:r>
        <w:rPr>
          <w:sz w:val="23"/>
          <w:szCs w:val="23"/>
        </w:rPr>
        <w:t xml:space="preserve"> of South Australia on 1 August 2017 at p. 2994);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w:t>
      </w:r>
      <w:r>
        <w:rPr>
          <w:i/>
          <w:color w:val="000000"/>
          <w:sz w:val="23"/>
          <w:szCs w:val="23"/>
        </w:rPr>
        <w:t>National Gas (Binding Rate of Return Instrument) Amendment Rule 2019</w:t>
      </w:r>
      <w:r>
        <w:rPr>
          <w:color w:val="000000"/>
          <w:sz w:val="23"/>
          <w:szCs w:val="23"/>
        </w:rPr>
        <w:t xml:space="preserve"> made by the Minister for Energy and Mining of South Australia under the National Gas (South Australia) Law section 294CA (notice of which was published in the </w:t>
      </w:r>
      <w:r>
        <w:rPr>
          <w:i/>
          <w:color w:val="000000"/>
          <w:sz w:val="23"/>
          <w:szCs w:val="23"/>
        </w:rPr>
        <w:t>Government Gazette</w:t>
      </w:r>
      <w:r>
        <w:rPr>
          <w:color w:val="000000"/>
          <w:sz w:val="23"/>
          <w:szCs w:val="23"/>
        </w:rPr>
        <w:t xml:space="preserve"> of South Australia on 7 February 2019 at p. 404);</w:t>
      </w:r>
    </w:p>
    <w:p>
      <w:pPr>
        <w:keepLines/>
        <w:autoSpaceDE w:val="0"/>
        <w:autoSpaceDN w:val="0"/>
        <w:adjustRightInd w:val="0"/>
        <w:spacing w:before="120"/>
        <w:ind w:left="1588"/>
        <w:rPr>
          <w:color w:val="000000"/>
          <w:sz w:val="23"/>
          <w:szCs w:val="23"/>
        </w:rPr>
      </w:pPr>
      <w:r>
        <w:rPr>
          <w:rStyle w:val="CharDefText"/>
          <w:bCs/>
          <w:sz w:val="23"/>
        </w:rPr>
        <w:t>international pipeline</w:t>
      </w:r>
      <w:r>
        <w:rPr>
          <w:bCs/>
          <w:i/>
          <w:iCs/>
          <w:color w:val="000000"/>
          <w:sz w:val="23"/>
          <w:szCs w:val="23"/>
        </w:rPr>
        <w:t xml:space="preserve"> </w:t>
      </w:r>
      <w:r>
        <w:rPr>
          <w:color w:val="000000"/>
          <w:sz w:val="23"/>
          <w:szCs w:val="23"/>
        </w:rPr>
        <w:t>means a pipeline for the haulage of gas from a foreign source;</w:t>
      </w:r>
    </w:p>
    <w:p>
      <w:pPr>
        <w:keepLines/>
        <w:autoSpaceDE w:val="0"/>
        <w:autoSpaceDN w:val="0"/>
        <w:adjustRightInd w:val="0"/>
        <w:spacing w:before="120"/>
        <w:ind w:left="1588"/>
        <w:rPr>
          <w:color w:val="000000"/>
          <w:sz w:val="23"/>
          <w:szCs w:val="23"/>
        </w:rPr>
      </w:pPr>
      <w:r>
        <w:rPr>
          <w:rStyle w:val="CharDefText"/>
          <w:bCs/>
          <w:sz w:val="23"/>
        </w:rPr>
        <w:t>jurisdictional determination criteria</w:t>
      </w:r>
      <w:r>
        <w:rPr>
          <w:color w:val="000000"/>
          <w:sz w:val="23"/>
          <w:szCs w:val="23"/>
        </w:rPr>
        <w:t>, in relation to a cross boundary distribution pipeline, has the meaning given by section 14;</w:t>
      </w:r>
    </w:p>
    <w:p>
      <w:pPr>
        <w:keepLines/>
        <w:autoSpaceDE w:val="0"/>
        <w:autoSpaceDN w:val="0"/>
        <w:adjustRightInd w:val="0"/>
        <w:spacing w:before="120"/>
        <w:ind w:left="1588"/>
        <w:rPr>
          <w:color w:val="000000"/>
          <w:sz w:val="23"/>
          <w:szCs w:val="23"/>
        </w:rPr>
      </w:pPr>
      <w:r>
        <w:rPr>
          <w:rStyle w:val="CharDefText"/>
          <w:bCs/>
          <w:sz w:val="23"/>
        </w:rPr>
        <w:t>jurisdictional gas legislation</w:t>
      </w:r>
      <w:r>
        <w:rPr>
          <w:bCs/>
          <w:i/>
          <w:iCs/>
          <w:color w:val="000000"/>
          <w:sz w:val="23"/>
          <w:szCs w:val="23"/>
        </w:rPr>
        <w:t xml:space="preserve"> </w:t>
      </w:r>
      <w:r>
        <w:rPr>
          <w:color w:val="000000"/>
          <w:sz w:val="23"/>
          <w:szCs w:val="23"/>
        </w:rPr>
        <w:t>means an Act of a participating jurisdiction (other than national gas legislation), or any instrument made or issued under or for the purposes of that Act, that regulates the haulage of gas in that jurisdiction;</w:t>
      </w:r>
    </w:p>
    <w:p>
      <w:pPr>
        <w:keepLines/>
        <w:autoSpaceDE w:val="0"/>
        <w:autoSpaceDN w:val="0"/>
        <w:adjustRightInd w:val="0"/>
        <w:spacing w:before="120"/>
        <w:ind w:left="1588"/>
        <w:rPr>
          <w:color w:val="000000"/>
          <w:sz w:val="23"/>
          <w:szCs w:val="23"/>
        </w:rPr>
      </w:pPr>
      <w:r>
        <w:rPr>
          <w:rStyle w:val="CharDefText"/>
          <w:bCs/>
          <w:sz w:val="23"/>
        </w:rPr>
        <w:t>light regulation determination</w:t>
      </w:r>
      <w:r>
        <w:rPr>
          <w:bCs/>
          <w:i/>
          <w:iCs/>
          <w:color w:val="000000"/>
          <w:sz w:val="23"/>
          <w:szCs w:val="23"/>
        </w:rPr>
        <w:t xml:space="preserve"> </w:t>
      </w:r>
      <w:r>
        <w:rPr>
          <w:color w:val="000000"/>
          <w:sz w:val="23"/>
          <w:szCs w:val="23"/>
        </w:rPr>
        <w:t>means a determination of the NCC under Chapter 3 Part 2 Division 1;</w:t>
      </w:r>
    </w:p>
    <w:p>
      <w:pPr>
        <w:keepLines/>
        <w:autoSpaceDE w:val="0"/>
        <w:autoSpaceDN w:val="0"/>
        <w:adjustRightInd w:val="0"/>
        <w:spacing w:before="120"/>
        <w:ind w:left="1588"/>
        <w:rPr>
          <w:color w:val="000000"/>
          <w:sz w:val="23"/>
          <w:szCs w:val="23"/>
        </w:rPr>
      </w:pPr>
      <w:r>
        <w:rPr>
          <w:rStyle w:val="CharDefText"/>
          <w:bCs/>
          <w:sz w:val="23"/>
        </w:rPr>
        <w:t>light regulation services</w:t>
      </w:r>
      <w:r>
        <w:rPr>
          <w:bCs/>
          <w:i/>
          <w:iCs/>
          <w:color w:val="000000"/>
          <w:sz w:val="23"/>
          <w:szCs w:val="23"/>
        </w:rPr>
        <w:t xml:space="preserve"> </w:t>
      </w:r>
      <w:r>
        <w:rPr>
          <w:color w:val="000000"/>
          <w:sz w:val="23"/>
          <w:szCs w:val="23"/>
        </w:rPr>
        <w:t>means pipeline services to which a light regulation determination applies;</w:t>
      </w:r>
    </w:p>
    <w:p>
      <w:pPr>
        <w:autoSpaceDE w:val="0"/>
        <w:autoSpaceDN w:val="0"/>
        <w:adjustRightInd w:val="0"/>
        <w:spacing w:before="120"/>
        <w:ind w:left="1588"/>
        <w:rPr>
          <w:color w:val="000000"/>
          <w:sz w:val="23"/>
          <w:szCs w:val="23"/>
        </w:rPr>
      </w:pPr>
      <w:r>
        <w:rPr>
          <w:rStyle w:val="CharDefText"/>
          <w:bCs/>
          <w:sz w:val="23"/>
        </w:rPr>
        <w:t>limited access arrangement</w:t>
      </w:r>
      <w:r>
        <w:rPr>
          <w:bCs/>
          <w:i/>
          <w:iCs/>
          <w:color w:val="000000"/>
          <w:sz w:val="23"/>
          <w:szCs w:val="23"/>
        </w:rPr>
        <w:t xml:space="preserve"> </w:t>
      </w:r>
      <w:r>
        <w:rPr>
          <w:color w:val="000000"/>
          <w:sz w:val="23"/>
          <w:szCs w:val="23"/>
        </w:rPr>
        <w:t>means an access arrangement that, under this Law and the Rules, is not required to make provision for price or revenue regulation but deals with the matters for which this Law and the Rules require provision to be made in an access arrangement;</w:t>
      </w:r>
    </w:p>
    <w:p>
      <w:pPr>
        <w:keepNext/>
        <w:keepLines/>
        <w:autoSpaceDE w:val="0"/>
        <w:autoSpaceDN w:val="0"/>
        <w:adjustRightInd w:val="0"/>
        <w:spacing w:before="120"/>
        <w:ind w:left="1588"/>
        <w:rPr>
          <w:color w:val="000000"/>
          <w:sz w:val="23"/>
          <w:szCs w:val="23"/>
        </w:rPr>
      </w:pPr>
      <w:r>
        <w:rPr>
          <w:rStyle w:val="CharDefText"/>
          <w:bCs/>
          <w:sz w:val="23"/>
        </w:rPr>
        <w:t>limited access arrangement decision</w:t>
      </w:r>
      <w:r>
        <w:rPr>
          <w:bCs/>
          <w:i/>
          <w:iCs/>
          <w:color w:val="000000"/>
          <w:sz w:val="23"/>
          <w:szCs w:val="23"/>
        </w:rPr>
        <w:t xml:space="preserve"> </w:t>
      </w:r>
      <w:r>
        <w:rPr>
          <w:color w:val="000000"/>
          <w:sz w:val="23"/>
          <w:szCs w:val="23"/>
        </w:rPr>
        <w:t>means a decision of the AER under the Rules that approves or does not approve—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limited access arrangement submitted to the AER under section 116 or 168;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revisions to a limited access arrangement submitted to the AER under section 116(3) or 168(3) or the Rules;</w:t>
      </w:r>
    </w:p>
    <w:p>
      <w:pPr>
        <w:keepLines/>
        <w:autoSpaceDE w:val="0"/>
        <w:autoSpaceDN w:val="0"/>
        <w:adjustRightInd w:val="0"/>
        <w:spacing w:before="120"/>
        <w:ind w:left="1588"/>
        <w:rPr>
          <w:color w:val="000000"/>
          <w:sz w:val="23"/>
          <w:szCs w:val="23"/>
        </w:rPr>
      </w:pPr>
      <w:r>
        <w:rPr>
          <w:rStyle w:val="CharDefText"/>
          <w:bCs/>
          <w:sz w:val="23"/>
        </w:rPr>
        <w:t>MCE</w:t>
      </w:r>
      <w:r>
        <w:rPr>
          <w:color w:val="000000"/>
          <w:sz w:val="23"/>
          <w:szCs w:val="23"/>
        </w:rPr>
        <w:t xml:space="preserve"> means the Ministerial Council on Energy established on 8 June 2001, being the Council of Ministers with primary carriage of energy matters at a national level comprising the Ministers representing the Commonwealth, the States, the Australian Capital Territory and the Northern Territory, acting in accordance with its own procedures;</w:t>
      </w:r>
    </w:p>
    <w:p>
      <w:pPr>
        <w:keepLines/>
        <w:autoSpaceDE w:val="0"/>
        <w:autoSpaceDN w:val="0"/>
        <w:adjustRightInd w:val="0"/>
        <w:spacing w:before="120"/>
        <w:ind w:left="1588"/>
        <w:rPr>
          <w:color w:val="000000"/>
          <w:sz w:val="23"/>
          <w:szCs w:val="23"/>
        </w:rPr>
      </w:pPr>
      <w:r>
        <w:rPr>
          <w:rStyle w:val="CharDefText"/>
          <w:bCs/>
          <w:sz w:val="23"/>
        </w:rPr>
        <w:t>MCE directed review</w:t>
      </w:r>
      <w:r>
        <w:rPr>
          <w:bCs/>
          <w:i/>
          <w:iCs/>
          <w:color w:val="000000"/>
          <w:sz w:val="23"/>
          <w:szCs w:val="23"/>
        </w:rPr>
        <w:t xml:space="preserve"> </w:t>
      </w:r>
      <w:r>
        <w:rPr>
          <w:color w:val="000000"/>
          <w:sz w:val="23"/>
          <w:szCs w:val="23"/>
        </w:rPr>
        <w:t>means a review conducted by the AEMC under Chapter 2 Part 2 Division 4;</w:t>
      </w:r>
    </w:p>
    <w:p>
      <w:pPr>
        <w:keepLines/>
        <w:autoSpaceDE w:val="0"/>
        <w:autoSpaceDN w:val="0"/>
        <w:adjustRightInd w:val="0"/>
        <w:spacing w:before="120"/>
        <w:ind w:left="1588"/>
        <w:rPr>
          <w:color w:val="000000"/>
          <w:sz w:val="23"/>
          <w:szCs w:val="23"/>
        </w:rPr>
      </w:pPr>
      <w:r>
        <w:rPr>
          <w:rStyle w:val="CharDefText"/>
          <w:bCs/>
          <w:sz w:val="23"/>
        </w:rPr>
        <w:t>MCE statement of policy principles</w:t>
      </w:r>
      <w:r>
        <w:rPr>
          <w:bCs/>
          <w:i/>
          <w:iCs/>
          <w:color w:val="000000"/>
          <w:sz w:val="23"/>
          <w:szCs w:val="23"/>
        </w:rPr>
        <w:t xml:space="preserve"> </w:t>
      </w:r>
      <w:r>
        <w:rPr>
          <w:color w:val="000000"/>
          <w:sz w:val="23"/>
          <w:szCs w:val="23"/>
        </w:rPr>
        <w:t>means a statement of policy principles issued by the MCE under section 25;</w:t>
      </w:r>
    </w:p>
    <w:p>
      <w:pPr>
        <w:keepLines/>
        <w:autoSpaceDE w:val="0"/>
        <w:autoSpaceDN w:val="0"/>
        <w:adjustRightInd w:val="0"/>
        <w:spacing w:before="120"/>
        <w:ind w:left="1588"/>
        <w:rPr>
          <w:color w:val="000000"/>
          <w:sz w:val="23"/>
          <w:szCs w:val="23"/>
        </w:rPr>
      </w:pPr>
      <w:r>
        <w:rPr>
          <w:rStyle w:val="CharDefText"/>
          <w:bCs/>
          <w:sz w:val="23"/>
        </w:rPr>
        <w:t>minimum ring fencing requirement</w:t>
      </w:r>
      <w:r>
        <w:rPr>
          <w:bCs/>
          <w:i/>
          <w:iCs/>
          <w:color w:val="000000"/>
          <w:sz w:val="23"/>
          <w:szCs w:val="23"/>
        </w:rPr>
        <w:t xml:space="preserve"> </w:t>
      </w:r>
      <w:r>
        <w:rPr>
          <w:color w:val="000000"/>
          <w:sz w:val="23"/>
          <w:szCs w:val="23"/>
        </w:rPr>
        <w:t>means a requirement under Chapter 4 Part 2 Division 2;</w:t>
      </w:r>
    </w:p>
    <w:p>
      <w:pPr>
        <w:keepLines/>
        <w:autoSpaceDE w:val="0"/>
        <w:autoSpaceDN w:val="0"/>
        <w:adjustRightInd w:val="0"/>
        <w:spacing w:before="120"/>
        <w:ind w:left="1588"/>
        <w:rPr>
          <w:color w:val="000000"/>
          <w:sz w:val="23"/>
          <w:szCs w:val="23"/>
        </w:rPr>
      </w:pPr>
      <w:r>
        <w:rPr>
          <w:rStyle w:val="CharDefText"/>
          <w:bCs/>
          <w:sz w:val="23"/>
        </w:rPr>
        <w:t>Minister of a participating jurisdiction</w:t>
      </w:r>
      <w:r>
        <w:rPr>
          <w:bCs/>
          <w:i/>
          <w:iCs/>
          <w:color w:val="000000"/>
          <w:sz w:val="23"/>
          <w:szCs w:val="23"/>
        </w:rPr>
        <w:t xml:space="preserve"> </w:t>
      </w:r>
      <w:r>
        <w:rPr>
          <w:color w:val="000000"/>
          <w:sz w:val="23"/>
          <w:szCs w:val="23"/>
        </w:rPr>
        <w:t>means a Minister who is a Minister of a participating jurisdiction within the meaning of section 22;</w:t>
      </w:r>
    </w:p>
    <w:p>
      <w:pPr>
        <w:keepNext/>
        <w:keepLines/>
        <w:autoSpaceDE w:val="0"/>
        <w:autoSpaceDN w:val="0"/>
        <w:adjustRightInd w:val="0"/>
        <w:spacing w:before="120"/>
        <w:ind w:left="1588"/>
        <w:rPr>
          <w:color w:val="000000"/>
          <w:sz w:val="23"/>
          <w:szCs w:val="23"/>
        </w:rPr>
      </w:pPr>
      <w:r>
        <w:rPr>
          <w:rStyle w:val="CharDefText"/>
          <w:bCs/>
          <w:sz w:val="23"/>
        </w:rPr>
        <w:t>Ministerial coverage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Commonwealth Minister under section 164;</w:t>
      </w:r>
    </w:p>
    <w:p>
      <w:pPr>
        <w:keepNext/>
        <w:keepLines/>
        <w:autoSpaceDE w:val="0"/>
        <w:autoSpaceDN w:val="0"/>
        <w:adjustRightInd w:val="0"/>
        <w:spacing w:before="120"/>
        <w:ind w:left="1588"/>
        <w:rPr>
          <w:color w:val="000000"/>
          <w:sz w:val="23"/>
          <w:szCs w:val="23"/>
        </w:rPr>
      </w:pPr>
      <w:r>
        <w:rPr>
          <w:rStyle w:val="CharDefText"/>
          <w:bCs/>
          <w:sz w:val="23"/>
        </w:rPr>
        <w:t>national gas legislation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w:t>
      </w:r>
      <w:r>
        <w:rPr>
          <w:i/>
          <w:iCs/>
          <w:color w:val="000000"/>
          <w:sz w:val="23"/>
          <w:szCs w:val="23"/>
        </w:rPr>
        <w:t>National Gas (South Australia) Act 2008</w:t>
      </w:r>
      <w:r>
        <w:rPr>
          <w:color w:val="000000"/>
          <w:sz w:val="23"/>
          <w:szCs w:val="23"/>
        </w:rPr>
        <w:t xml:space="preserve"> of South Australia and Regulations in force under that Act;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w:t>
      </w:r>
      <w:r>
        <w:rPr>
          <w:i/>
          <w:iCs/>
          <w:color w:val="000000"/>
          <w:sz w:val="23"/>
          <w:szCs w:val="23"/>
        </w:rPr>
        <w:t>National Gas (South Australia) Law</w:t>
      </w:r>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the National Gas Access (Western Australia) Law within the meaning given in 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 xml:space="preserve">Regulations made under the </w:t>
      </w:r>
      <w:r>
        <w:rPr>
          <w:i/>
          <w:iCs/>
          <w:color w:val="000000"/>
          <w:sz w:val="23"/>
          <w:szCs w:val="23"/>
        </w:rPr>
        <w:t>National Gas Access (Western Australia) Act 2008</w:t>
      </w:r>
      <w:r>
        <w:rPr>
          <w:color w:val="000000"/>
          <w:sz w:val="23"/>
          <w:szCs w:val="23"/>
        </w:rPr>
        <w:t xml:space="preserve"> of Western Australia for the purposes of the National Gas Access (Western Australia)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 Act of a participating jurisdiction (other than South Australia or Western Australia) that applies, as a law of that jurisdiction, any part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Regulations referred to in paragraph (a);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the National Gas Law set out in the Schedule to the </w:t>
      </w:r>
      <w:r>
        <w:rPr>
          <w:i/>
          <w:iCs/>
          <w:color w:val="000000"/>
          <w:sz w:val="23"/>
          <w:szCs w:val="23"/>
        </w:rPr>
        <w:t>National Gas (South Australia) Act 2008</w:t>
      </w:r>
      <w:r>
        <w:rPr>
          <w:color w:val="000000"/>
          <w:sz w:val="23"/>
          <w:szCs w:val="23"/>
        </w:rPr>
        <w:t xml:space="preserve"> of South Australia;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 xml:space="preserve">the National Gas Law set out in the Schedule to the </w:t>
      </w:r>
      <w:r>
        <w:rPr>
          <w:i/>
          <w:iCs/>
          <w:color w:val="000000"/>
          <w:sz w:val="23"/>
          <w:szCs w:val="23"/>
        </w:rPr>
        <w:t>National Gas (South Australia) Act 2008</w:t>
      </w:r>
      <w:r>
        <w:rPr>
          <w:color w:val="000000"/>
          <w:sz w:val="23"/>
          <w:szCs w:val="23"/>
        </w:rPr>
        <w:t xml:space="preserve"> of South Australia as applied as a law of a participating jurisdiction (other than South Australia or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the Regulations referred to in paragraph (a) as applied as a law of a participating jurisdiction (other than South Australia or Western Australia);</w:t>
      </w:r>
    </w:p>
    <w:p>
      <w:pPr>
        <w:keepLines/>
        <w:autoSpaceDE w:val="0"/>
        <w:autoSpaceDN w:val="0"/>
        <w:adjustRightInd w:val="0"/>
        <w:spacing w:before="120"/>
        <w:ind w:left="1588"/>
        <w:rPr>
          <w:color w:val="000000"/>
          <w:sz w:val="23"/>
          <w:szCs w:val="23"/>
        </w:rPr>
      </w:pPr>
      <w:r>
        <w:rPr>
          <w:rStyle w:val="CharDefText"/>
          <w:bCs/>
          <w:sz w:val="23"/>
        </w:rPr>
        <w:t>national gas objective</w:t>
      </w:r>
      <w:r>
        <w:rPr>
          <w:bCs/>
          <w:i/>
          <w:iCs/>
          <w:color w:val="000000"/>
          <w:sz w:val="23"/>
          <w:szCs w:val="23"/>
        </w:rPr>
        <w:t xml:space="preserve"> </w:t>
      </w:r>
      <w:r>
        <w:rPr>
          <w:color w:val="000000"/>
          <w:sz w:val="23"/>
          <w:szCs w:val="23"/>
        </w:rPr>
        <w:t>means the objective set out in section 23;</w:t>
      </w:r>
    </w:p>
    <w:p>
      <w:pPr>
        <w:keepNext/>
        <w:keepLines/>
        <w:autoSpaceDE w:val="0"/>
        <w:autoSpaceDN w:val="0"/>
        <w:adjustRightInd w:val="0"/>
        <w:spacing w:before="120"/>
        <w:ind w:left="1588"/>
        <w:rPr>
          <w:color w:val="000000"/>
          <w:sz w:val="23"/>
          <w:szCs w:val="23"/>
        </w:rPr>
      </w:pPr>
      <w:r>
        <w:rPr>
          <w:rStyle w:val="CharDefText"/>
          <w:bCs/>
          <w:sz w:val="23"/>
        </w:rPr>
        <w:t>National Gas Rules</w:t>
      </w:r>
      <w:r>
        <w:rPr>
          <w:bCs/>
          <w:i/>
          <w:iCs/>
          <w:color w:val="000000"/>
          <w:sz w:val="23"/>
          <w:szCs w:val="23"/>
        </w:rPr>
        <w:t xml:space="preserve"> </w:t>
      </w:r>
      <w:r>
        <w:rPr>
          <w:color w:val="000000"/>
          <w:sz w:val="23"/>
          <w:szCs w:val="23"/>
        </w:rPr>
        <w:t xml:space="preserve">or </w:t>
      </w:r>
      <w:r>
        <w:rPr>
          <w:rStyle w:val="CharDefText"/>
          <w:bCs/>
          <w:sz w:val="23"/>
        </w:rPr>
        <w:t>Rules</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initial National Gas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Rules made by the AEMC under this Law, including Rules that amend or revoke—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initial National Gas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Rules made by it;</w:t>
      </w:r>
    </w:p>
    <w:p>
      <w:pPr>
        <w:keepNext/>
        <w:keepLines/>
        <w:autoSpaceDE w:val="0"/>
        <w:autoSpaceDN w:val="0"/>
        <w:adjustRightInd w:val="0"/>
        <w:spacing w:before="120"/>
        <w:ind w:left="1588"/>
        <w:rPr>
          <w:color w:val="000000"/>
          <w:sz w:val="23"/>
          <w:szCs w:val="23"/>
        </w:rPr>
      </w:pPr>
      <w:r>
        <w:rPr>
          <w:rStyle w:val="CharDefText"/>
          <w:bCs/>
          <w:sz w:val="23"/>
        </w:rPr>
        <w:t>natural gas</w:t>
      </w:r>
      <w:r>
        <w:rPr>
          <w:bCs/>
          <w:i/>
          <w:iCs/>
          <w:color w:val="000000"/>
          <w:sz w:val="23"/>
          <w:szCs w:val="23"/>
        </w:rPr>
        <w:t xml:space="preserve"> </w:t>
      </w:r>
      <w:r>
        <w:rPr>
          <w:color w:val="000000"/>
          <w:sz w:val="23"/>
          <w:szCs w:val="23"/>
        </w:rPr>
        <w:t>means a substance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consists of naturally occurring hydrocarbons, or a naturally occurring mixture of hydrocarbons and non</w:t>
      </w:r>
      <w:r>
        <w:rPr>
          <w:color w:val="000000"/>
          <w:sz w:val="23"/>
          <w:szCs w:val="23"/>
        </w:rPr>
        <w:noBreakHyphen/>
        <w:t>hydrocarbons, the principal constituent of which is methane;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is suitable for consumption;</w:t>
      </w:r>
    </w:p>
    <w:p>
      <w:pPr>
        <w:keepNext/>
        <w:keepLines/>
        <w:autoSpaceDE w:val="0"/>
        <w:autoSpaceDN w:val="0"/>
        <w:adjustRightInd w:val="0"/>
        <w:spacing w:before="120"/>
        <w:ind w:left="1588"/>
        <w:rPr>
          <w:color w:val="000000"/>
          <w:sz w:val="23"/>
          <w:szCs w:val="23"/>
        </w:rPr>
      </w:pPr>
      <w:r>
        <w:rPr>
          <w:rStyle w:val="CharDefText"/>
          <w:bCs/>
          <w:sz w:val="23"/>
        </w:rPr>
        <w:t>natural gas service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supply of natural gas;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service ancillary to the service described in paragraph (b);</w:t>
      </w:r>
    </w:p>
    <w:p>
      <w:pPr>
        <w:keepLines/>
        <w:autoSpaceDE w:val="0"/>
        <w:autoSpaceDN w:val="0"/>
        <w:adjustRightInd w:val="0"/>
        <w:spacing w:before="120"/>
        <w:ind w:left="1588"/>
        <w:rPr>
          <w:color w:val="000000"/>
          <w:sz w:val="23"/>
          <w:szCs w:val="23"/>
        </w:rPr>
      </w:pPr>
      <w:r>
        <w:rPr>
          <w:rStyle w:val="CharDefText"/>
          <w:bCs/>
          <w:sz w:val="23"/>
        </w:rPr>
        <w:t>Natural Gas Services Bulletin Board</w:t>
      </w:r>
      <w:r>
        <w:rPr>
          <w:bCs/>
          <w:i/>
          <w:iCs/>
          <w:color w:val="000000"/>
          <w:sz w:val="23"/>
          <w:szCs w:val="23"/>
        </w:rPr>
        <w:t xml:space="preserve"> </w:t>
      </w:r>
      <w:r>
        <w:rPr>
          <w:color w:val="000000"/>
          <w:sz w:val="23"/>
          <w:szCs w:val="23"/>
        </w:rPr>
        <w:t>means the website maintained by the Bulletin Board operator that contains information of the kind specified in the Rules in relation to natural gas services;</w:t>
      </w:r>
    </w:p>
    <w:p>
      <w:pPr>
        <w:keepLines/>
        <w:autoSpaceDE w:val="0"/>
        <w:autoSpaceDN w:val="0"/>
        <w:adjustRightInd w:val="0"/>
        <w:spacing w:before="120"/>
        <w:ind w:left="1588"/>
        <w:rPr>
          <w:color w:val="000000"/>
          <w:sz w:val="23"/>
          <w:szCs w:val="23"/>
        </w:rPr>
      </w:pPr>
      <w:r>
        <w:rPr>
          <w:rStyle w:val="CharDefText"/>
          <w:bCs/>
          <w:sz w:val="23"/>
        </w:rPr>
        <w:t>NCC</w:t>
      </w:r>
      <w:r>
        <w:rPr>
          <w:color w:val="000000"/>
          <w:sz w:val="23"/>
          <w:szCs w:val="23"/>
        </w:rPr>
        <w:t xml:space="preserve"> means the National Competition Council established by section 29A of the </w:t>
      </w:r>
      <w:r>
        <w:rPr>
          <w:i/>
          <w:iCs/>
          <w:color w:val="000000"/>
          <w:sz w:val="23"/>
          <w:szCs w:val="23"/>
        </w:rPr>
        <w:t>Trade Practices Act 1974</w:t>
      </w:r>
      <w:r>
        <w:rPr>
          <w:color w:val="000000"/>
          <w:sz w:val="23"/>
          <w:szCs w:val="23"/>
        </w:rPr>
        <w:t xml:space="preserve"> of the Commonwealth;</w:t>
      </w:r>
    </w:p>
    <w:p>
      <w:pPr>
        <w:keepNext/>
        <w:keepLines/>
        <w:autoSpaceDE w:val="0"/>
        <w:autoSpaceDN w:val="0"/>
        <w:adjustRightInd w:val="0"/>
        <w:spacing w:before="120"/>
        <w:ind w:left="1588"/>
        <w:rPr>
          <w:color w:val="000000"/>
          <w:sz w:val="23"/>
          <w:szCs w:val="23"/>
        </w:rPr>
      </w:pPr>
      <w:r>
        <w:rPr>
          <w:rStyle w:val="CharDefText"/>
          <w:bCs/>
          <w:sz w:val="23"/>
        </w:rPr>
        <w:t>NCC recommendation or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no</w:t>
      </w:r>
      <w:r>
        <w:rPr>
          <w:color w:val="000000"/>
          <w:sz w:val="23"/>
          <w:szCs w:val="23"/>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price regulation exemption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 decision of the NCC under Chapter 3 Part 2 Division 2 to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 decision of the NCC not to make a decision referred to in paragraph (f) or (g);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advice under section 172;</w:t>
      </w:r>
    </w:p>
    <w:p>
      <w:pPr>
        <w:keepNext/>
        <w:keepLines/>
        <w:autoSpaceDE w:val="0"/>
        <w:autoSpaceDN w:val="0"/>
        <w:adjustRightInd w:val="0"/>
        <w:spacing w:before="120"/>
        <w:ind w:left="1588"/>
        <w:rPr>
          <w:color w:val="000000"/>
          <w:sz w:val="23"/>
          <w:szCs w:val="23"/>
        </w:rPr>
      </w:pPr>
      <w:r>
        <w:rPr>
          <w:rStyle w:val="CharDefText"/>
          <w:bCs/>
          <w:sz w:val="23"/>
        </w:rPr>
        <w:t>new facility</w:t>
      </w:r>
      <w:r>
        <w:rPr>
          <w:bCs/>
          <w:i/>
          <w:iCs/>
          <w:color w:val="000000"/>
          <w:sz w:val="23"/>
          <w:szCs w:val="23"/>
        </w:rPr>
        <w:t xml:space="preserve"> </w:t>
      </w:r>
      <w:r>
        <w:rPr>
          <w:color w:val="000000"/>
          <w:sz w:val="23"/>
          <w:szCs w:val="23"/>
        </w:rPr>
        <w:t>means an extension to, or expansion of the capacity of, a covered pipeline which is to be treated as part of the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extension and expansion requirements contained in an applicable access arrangement applying to the pipeline services provided by means of that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sections 18 and 19.</w:t>
      </w:r>
    </w:p>
    <w:p>
      <w:pPr>
        <w:keepLines/>
        <w:autoSpaceDE w:val="0"/>
        <w:autoSpaceDN w:val="0"/>
        <w:adjustRightInd w:val="0"/>
        <w:spacing w:before="120"/>
        <w:ind w:left="1588"/>
        <w:rPr>
          <w:color w:val="000000"/>
          <w:sz w:val="23"/>
          <w:szCs w:val="23"/>
        </w:rPr>
      </w:pPr>
      <w:r>
        <w:rPr>
          <w:rStyle w:val="CharDefText"/>
          <w:bCs/>
          <w:sz w:val="23"/>
        </w:rPr>
        <w:t>no</w:t>
      </w:r>
      <w:r>
        <w:rPr>
          <w:rStyle w:val="CharDefText"/>
          <w:bCs/>
          <w:sz w:val="23"/>
        </w:rPr>
        <w:noBreakHyphen/>
        <w:t>coverage recommendation</w:t>
      </w:r>
      <w:r>
        <w:rPr>
          <w:bCs/>
          <w:i/>
          <w:iCs/>
          <w:color w:val="000000"/>
          <w:sz w:val="23"/>
          <w:szCs w:val="23"/>
        </w:rPr>
        <w:t xml:space="preserve"> </w:t>
      </w:r>
      <w:r>
        <w:rPr>
          <w:color w:val="000000"/>
          <w:sz w:val="23"/>
          <w:szCs w:val="23"/>
        </w:rPr>
        <w:t>means a recommendation of the NCC under Chapter 5 Part 2;</w:t>
      </w:r>
    </w:p>
    <w:p>
      <w:pPr>
        <w:keepNext/>
        <w:autoSpaceDE w:val="0"/>
        <w:autoSpaceDN w:val="0"/>
        <w:adjustRightInd w:val="0"/>
        <w:spacing w:before="120"/>
        <w:ind w:left="1588"/>
        <w:rPr>
          <w:color w:val="000000"/>
          <w:sz w:val="23"/>
          <w:szCs w:val="23"/>
        </w:rPr>
      </w:pPr>
      <w:r>
        <w:rPr>
          <w:rStyle w:val="CharDefText"/>
          <w:bCs/>
          <w:sz w:val="23"/>
        </w:rPr>
        <w:t>non scheme pipeline user</w:t>
      </w:r>
      <w:r>
        <w:rPr>
          <w:bCs/>
          <w:i/>
          <w:iCs/>
          <w:color w:val="000000"/>
          <w:sz w:val="23"/>
          <w:szCs w:val="23"/>
        </w:rPr>
        <w:t xml:space="preserve"> </w:t>
      </w:r>
      <w:r>
        <w:rPr>
          <w:color w:val="000000"/>
          <w:sz w:val="23"/>
          <w:szCs w:val="23"/>
        </w:rPr>
        <w:t>means a person who—</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pipeline that is not a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pipeline that is not a scheme pipeline;</w:t>
      </w:r>
    </w:p>
    <w:p>
      <w:pPr>
        <w:autoSpaceDE w:val="0"/>
        <w:autoSpaceDN w:val="0"/>
        <w:adjustRightInd w:val="0"/>
        <w:spacing w:before="120"/>
        <w:ind w:left="1588"/>
        <w:rPr>
          <w:color w:val="000000"/>
          <w:sz w:val="23"/>
          <w:szCs w:val="23"/>
        </w:rPr>
      </w:pPr>
      <w:r>
        <w:rPr>
          <w:rStyle w:val="CharDefText"/>
          <w:bCs/>
          <w:sz w:val="23"/>
        </w:rPr>
        <w:t>offence provision</w:t>
      </w:r>
      <w:r>
        <w:rPr>
          <w:bCs/>
          <w:i/>
          <w:iCs/>
          <w:color w:val="000000"/>
          <w:sz w:val="23"/>
          <w:szCs w:val="23"/>
        </w:rPr>
        <w:t xml:space="preserve"> </w:t>
      </w:r>
      <w:r>
        <w:rPr>
          <w:color w:val="000000"/>
          <w:sz w:val="23"/>
          <w:szCs w:val="23"/>
        </w:rPr>
        <w:t>means a provision of this Law the breach or contravention of which by a person exposes that person to a finding of guilt by a court;</w:t>
      </w:r>
    </w:p>
    <w:p>
      <w:pPr>
        <w:keepLines/>
        <w:autoSpaceDE w:val="0"/>
        <w:autoSpaceDN w:val="0"/>
        <w:adjustRightInd w:val="0"/>
        <w:spacing w:before="120"/>
        <w:ind w:left="1588"/>
        <w:rPr>
          <w:color w:val="000000"/>
          <w:sz w:val="23"/>
          <w:szCs w:val="23"/>
        </w:rPr>
      </w:pPr>
      <w:r>
        <w:rPr>
          <w:rStyle w:val="CharDefText"/>
          <w:bCs/>
          <w:sz w:val="23"/>
        </w:rPr>
        <w:t>officer</w:t>
      </w:r>
      <w:r>
        <w:rPr>
          <w:color w:val="000000"/>
          <w:sz w:val="23"/>
          <w:szCs w:val="23"/>
        </w:rPr>
        <w:t xml:space="preserve"> has the same meaning as officer has in relation to a corporation under section 9 of the </w:t>
      </w:r>
      <w:r>
        <w:rPr>
          <w:i/>
          <w:iCs/>
          <w:color w:val="000000"/>
          <w:sz w:val="23"/>
          <w:szCs w:val="23"/>
        </w:rPr>
        <w:t>Corporations Act 2001</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old access law</w:t>
      </w:r>
      <w:r>
        <w:rPr>
          <w:bCs/>
          <w:i/>
          <w:iCs/>
          <w:color w:val="000000"/>
          <w:sz w:val="23"/>
          <w:szCs w:val="23"/>
        </w:rPr>
        <w:t xml:space="preserve"> </w:t>
      </w:r>
      <w:r>
        <w:rPr>
          <w:sz w:val="23"/>
        </w:rPr>
        <w:t xml:space="preserve">means Schedule 1 to the </w:t>
      </w:r>
      <w:r>
        <w:rPr>
          <w:i/>
          <w:sz w:val="23"/>
        </w:rPr>
        <w:t>Gas Pipelines Access (Western Australia) Act 1998</w:t>
      </w:r>
      <w:r>
        <w:rPr>
          <w:sz w:val="23"/>
        </w:rPr>
        <w:t xml:space="preserve"> as in force from time to time before the commencement of section 30 of the </w:t>
      </w:r>
      <w:r>
        <w:rPr>
          <w:i/>
          <w:sz w:val="23"/>
        </w:rPr>
        <w:t>National Gas Access (WA) Act 2009</w:t>
      </w:r>
      <w:r>
        <w:rPr>
          <w:sz w:val="23"/>
        </w:rPr>
        <w:t>;</w:t>
      </w:r>
    </w:p>
    <w:p>
      <w:pPr>
        <w:keepLines/>
        <w:autoSpaceDE w:val="0"/>
        <w:autoSpaceDN w:val="0"/>
        <w:adjustRightInd w:val="0"/>
        <w:spacing w:before="120"/>
        <w:ind w:left="1588"/>
        <w:rPr>
          <w:color w:val="000000"/>
          <w:sz w:val="23"/>
          <w:szCs w:val="23"/>
        </w:rPr>
      </w:pPr>
      <w:r>
        <w:rPr>
          <w:rStyle w:val="CharDefText"/>
          <w:bCs/>
          <w:sz w:val="23"/>
        </w:rPr>
        <w:t>old</w:t>
      </w:r>
      <w:r>
        <w:rPr>
          <w:rStyle w:val="CharDefText"/>
          <w:b w:val="0"/>
          <w:sz w:val="23"/>
        </w:rPr>
        <w:t xml:space="preserve"> </w:t>
      </w:r>
      <w:r>
        <w:rPr>
          <w:rStyle w:val="CharDefText"/>
          <w:bCs/>
          <w:sz w:val="23"/>
        </w:rPr>
        <w:t>scheme classification or determination</w:t>
      </w:r>
      <w:r>
        <w:rPr>
          <w:bCs/>
          <w:i/>
          <w:iCs/>
          <w:color w:val="000000"/>
          <w:sz w:val="23"/>
          <w:szCs w:val="23"/>
        </w:rPr>
        <w:t xml:space="preserve"> </w:t>
      </w:r>
      <w:r>
        <w:rPr>
          <w:color w:val="000000"/>
          <w:sz w:val="23"/>
          <w:szCs w:val="23"/>
        </w:rPr>
        <w:t>means a classification or determination under section 10 or 11 of the old access law in force at any time before the repeal of the old access law;</w:t>
      </w:r>
    </w:p>
    <w:p>
      <w:pPr>
        <w:keepNext/>
        <w:keepLines/>
        <w:autoSpaceDE w:val="0"/>
        <w:autoSpaceDN w:val="0"/>
        <w:adjustRightInd w:val="0"/>
        <w:spacing w:before="120"/>
        <w:ind w:left="1588"/>
        <w:rPr>
          <w:color w:val="000000"/>
          <w:sz w:val="23"/>
          <w:szCs w:val="23"/>
        </w:rPr>
      </w:pPr>
      <w:r>
        <w:rPr>
          <w:rStyle w:val="CharDefText"/>
          <w:bCs/>
          <w:sz w:val="23"/>
        </w:rPr>
        <w:t>old scheme distribution pipeline</w:t>
      </w:r>
      <w:r>
        <w:rPr>
          <w:bCs/>
          <w:i/>
          <w:iCs/>
          <w:color w:val="000000"/>
          <w:sz w:val="23"/>
          <w:szCs w:val="23"/>
        </w:rPr>
        <w:t xml:space="preserve"> </w:t>
      </w:r>
      <w:r>
        <w:rPr>
          <w:color w:val="000000"/>
          <w:sz w:val="23"/>
          <w:szCs w:val="23"/>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distribution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as defined in the Gas Code;</w:t>
      </w:r>
    </w:p>
    <w:p>
      <w:pPr>
        <w:keepNext/>
        <w:keepLines/>
        <w:autoSpaceDE w:val="0"/>
        <w:autoSpaceDN w:val="0"/>
        <w:adjustRightInd w:val="0"/>
        <w:spacing w:before="120"/>
        <w:ind w:left="1588"/>
        <w:rPr>
          <w:color w:val="000000"/>
          <w:sz w:val="23"/>
          <w:szCs w:val="23"/>
        </w:rPr>
      </w:pPr>
      <w:r>
        <w:rPr>
          <w:rStyle w:val="CharDefText"/>
          <w:bCs/>
          <w:sz w:val="23"/>
        </w:rPr>
        <w:t>old scheme transmission pipeline</w:t>
      </w:r>
      <w:r>
        <w:t xml:space="preserve"> </w:t>
      </w:r>
      <w:r>
        <w:rPr>
          <w:color w:val="000000"/>
          <w:sz w:val="23"/>
          <w:szCs w:val="23"/>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as defined in the Gas Code;</w:t>
      </w:r>
    </w:p>
    <w:p>
      <w:pPr>
        <w:keepLines/>
        <w:autoSpaceDE w:val="0"/>
        <w:autoSpaceDN w:val="0"/>
        <w:adjustRightInd w:val="0"/>
        <w:spacing w:before="120"/>
        <w:ind w:left="1588"/>
        <w:rPr>
          <w:color w:val="000000"/>
          <w:sz w:val="23"/>
          <w:szCs w:val="23"/>
        </w:rPr>
      </w:pPr>
      <w:r>
        <w:rPr>
          <w:rStyle w:val="CharDefText"/>
          <w:bCs/>
          <w:sz w:val="23"/>
        </w:rPr>
        <w:t>participating jurisdiction</w:t>
      </w:r>
      <w:r>
        <w:rPr>
          <w:bCs/>
          <w:i/>
          <w:iCs/>
          <w:color w:val="000000"/>
          <w:sz w:val="23"/>
          <w:szCs w:val="23"/>
        </w:rPr>
        <w:t xml:space="preserve"> </w:t>
      </w:r>
      <w:r>
        <w:rPr>
          <w:color w:val="000000"/>
          <w:sz w:val="23"/>
          <w:szCs w:val="23"/>
        </w:rPr>
        <w:t>means a jurisdiction that is a participating jurisdiction by reason of section 21;</w:t>
      </w:r>
    </w:p>
    <w:p>
      <w:pPr>
        <w:keepNext/>
        <w:autoSpaceDE w:val="0"/>
        <w:autoSpaceDN w:val="0"/>
        <w:adjustRightInd w:val="0"/>
        <w:spacing w:before="120"/>
        <w:ind w:left="1588"/>
        <w:rPr>
          <w:color w:val="000000"/>
          <w:sz w:val="23"/>
          <w:szCs w:val="23"/>
        </w:rPr>
      </w:pPr>
      <w:r>
        <w:rPr>
          <w:rStyle w:val="CharDefText"/>
          <w:bCs/>
          <w:sz w:val="23"/>
        </w:rPr>
        <w:t>pipeline</w:t>
      </w:r>
      <w:r>
        <w:rPr>
          <w:color w:val="000000"/>
          <w:sz w:val="23"/>
          <w:szCs w:val="23"/>
        </w:rPr>
        <w:t xml:space="preserve"> means—</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 or system of pipes for the haulage of natural gas, and any tanks, reservoirs, machinery or equipment directly attached to that pipe or system of pipes;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proposed pipe or system of pipes for the haulage of natural gas, and any proposed tanks, reservoirs, machinery or equipment proposed to be directly attached to the proposed pipe or system of pipes;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part of a pipe or system of pipes or proposed pipe or system of pipes referred to in paragraph (a) or (b),</w:t>
      </w:r>
    </w:p>
    <w:p>
      <w:pPr>
        <w:keepLines/>
        <w:autoSpaceDE w:val="0"/>
        <w:autoSpaceDN w:val="0"/>
        <w:adjustRightInd w:val="0"/>
        <w:spacing w:before="120"/>
        <w:ind w:left="1588"/>
        <w:rPr>
          <w:color w:val="000000"/>
          <w:sz w:val="23"/>
          <w:szCs w:val="23"/>
        </w:rPr>
      </w:pPr>
      <w:r>
        <w:rPr>
          <w:color w:val="000000"/>
          <w:sz w:val="23"/>
          <w:szCs w:val="23"/>
        </w:rPr>
        <w:t>but does not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unless paragraph (e) applies, anything upstream of a prescribed exit flange on a pipeline conveying natural gas from a prescribed gas processing plant;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if a connection point upstream of an exit flange on such a pipeline is prescribed, anything upstream of that point;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gathering system operated as part of an upstream producing operation;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any tanks, reservoirs, machinery or equipment used to remove or add components to or change natural gas (other than odourisation facilities) such as a gas processing plant;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anything downstream of a point on a pipeline from which a person takes natural gas for consumption purposes;</w:t>
      </w:r>
    </w:p>
    <w:p>
      <w:pPr>
        <w:keepLines/>
        <w:autoSpaceDE w:val="0"/>
        <w:autoSpaceDN w:val="0"/>
        <w:adjustRightInd w:val="0"/>
        <w:spacing w:before="120"/>
        <w:ind w:left="1588"/>
        <w:rPr>
          <w:color w:val="000000"/>
          <w:sz w:val="23"/>
          <w:szCs w:val="23"/>
        </w:rPr>
      </w:pPr>
      <w:r>
        <w:rPr>
          <w:rStyle w:val="CharDefText"/>
          <w:bCs/>
          <w:sz w:val="23"/>
        </w:rPr>
        <w:t>pipeline classification criterion</w:t>
      </w:r>
      <w:r>
        <w:rPr>
          <w:bCs/>
          <w:i/>
          <w:iCs/>
          <w:color w:val="000000"/>
          <w:sz w:val="23"/>
          <w:szCs w:val="23"/>
        </w:rPr>
        <w:t xml:space="preserve"> </w:t>
      </w:r>
      <w:r>
        <w:rPr>
          <w:color w:val="000000"/>
          <w:sz w:val="23"/>
          <w:szCs w:val="23"/>
        </w:rPr>
        <w:t>has the meaning given by section 13;</w:t>
      </w:r>
    </w:p>
    <w:p>
      <w:pPr>
        <w:keepLines/>
        <w:autoSpaceDE w:val="0"/>
        <w:autoSpaceDN w:val="0"/>
        <w:adjustRightInd w:val="0"/>
        <w:spacing w:before="120"/>
        <w:ind w:left="1588"/>
        <w:rPr>
          <w:color w:val="000000"/>
          <w:sz w:val="23"/>
          <w:szCs w:val="23"/>
        </w:rPr>
      </w:pPr>
      <w:r>
        <w:rPr>
          <w:rStyle w:val="CharDefText"/>
          <w:bCs/>
          <w:sz w:val="23"/>
        </w:rPr>
        <w:t>pipeline coverage criteria</w:t>
      </w:r>
      <w:r>
        <w:rPr>
          <w:bCs/>
          <w:i/>
          <w:iCs/>
          <w:color w:val="000000"/>
          <w:sz w:val="23"/>
          <w:szCs w:val="23"/>
        </w:rPr>
        <w:t xml:space="preserve"> </w:t>
      </w:r>
      <w:r>
        <w:rPr>
          <w:color w:val="000000"/>
          <w:sz w:val="23"/>
          <w:szCs w:val="23"/>
        </w:rPr>
        <w:t>has the meaning given by section 15;</w:t>
      </w:r>
    </w:p>
    <w:p>
      <w:pPr>
        <w:keepLines/>
        <w:autoSpaceDE w:val="0"/>
        <w:autoSpaceDN w:val="0"/>
        <w:adjustRightInd w:val="0"/>
        <w:spacing w:before="120"/>
        <w:ind w:left="1588"/>
        <w:rPr>
          <w:color w:val="000000"/>
          <w:sz w:val="23"/>
          <w:szCs w:val="23"/>
        </w:rPr>
      </w:pPr>
      <w:r>
        <w:rPr>
          <w:rStyle w:val="CharDefText"/>
          <w:bCs/>
          <w:sz w:val="23"/>
        </w:rPr>
        <w:t>pipeline reliability standard</w:t>
      </w:r>
      <w:r>
        <w:rPr>
          <w:bCs/>
          <w:i/>
          <w:iCs/>
          <w:color w:val="000000"/>
          <w:sz w:val="23"/>
          <w:szCs w:val="23"/>
        </w:rPr>
        <w:t xml:space="preserve"> </w:t>
      </w:r>
      <w:r>
        <w:rPr>
          <w:color w:val="000000"/>
          <w:sz w:val="23"/>
          <w:szCs w:val="23"/>
        </w:rPr>
        <w:t>means a standard imposed by or under an Act of a participating jurisdiction, or any instrument made or issued under or for the purposes of that Act, relating to the reliable haulage of natural gas in that jurisdiction;</w:t>
      </w:r>
    </w:p>
    <w:p>
      <w:pPr>
        <w:autoSpaceDE w:val="0"/>
        <w:autoSpaceDN w:val="0"/>
        <w:adjustRightInd w:val="0"/>
        <w:spacing w:before="120"/>
        <w:ind w:left="1588"/>
        <w:rPr>
          <w:color w:val="000000"/>
          <w:sz w:val="23"/>
          <w:szCs w:val="23"/>
        </w:rPr>
      </w:pPr>
      <w:r>
        <w:rPr>
          <w:rStyle w:val="CharDefText"/>
          <w:bCs/>
          <w:sz w:val="23"/>
        </w:rPr>
        <w:t>pipeline safety duty</w:t>
      </w:r>
      <w:r>
        <w:rPr>
          <w:bCs/>
          <w:i/>
          <w:iCs/>
          <w:color w:val="000000"/>
          <w:sz w:val="23"/>
          <w:szCs w:val="23"/>
        </w:rPr>
        <w:t xml:space="preserve"> </w:t>
      </w:r>
      <w:r>
        <w:rPr>
          <w:color w:val="000000"/>
          <w:sz w:val="23"/>
          <w:szCs w:val="23"/>
        </w:rPr>
        <w:t>means a duty or requirement under an Act of a participating jurisdiction, or any instrument made or issued under or for the purposes of that Act, relating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safe haulage of natural gas in that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safe operation of a pipeline in that jurisdiction;</w:t>
      </w:r>
    </w:p>
    <w:p>
      <w:pPr>
        <w:keepNext/>
        <w:keepLines/>
        <w:autoSpaceDE w:val="0"/>
        <w:autoSpaceDN w:val="0"/>
        <w:adjustRightInd w:val="0"/>
        <w:spacing w:before="120"/>
        <w:ind w:left="1588"/>
        <w:rPr>
          <w:color w:val="000000"/>
          <w:sz w:val="23"/>
          <w:szCs w:val="23"/>
        </w:rPr>
      </w:pPr>
      <w:r>
        <w:rPr>
          <w:rStyle w:val="CharDefText"/>
          <w:bCs/>
          <w:sz w:val="23"/>
        </w:rPr>
        <w:t>pipeline service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provided by means of a pipeline,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haulage service (such as firm haulage, interruptible haulage, spot haulage and backhaul);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service providing for, or facilitating, the interconnection of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service ancillary to the provision of a service referred to in paragraph (a),</w:t>
      </w:r>
    </w:p>
    <w:p>
      <w:pPr>
        <w:keepLines/>
        <w:autoSpaceDE w:val="0"/>
        <w:autoSpaceDN w:val="0"/>
        <w:adjustRightInd w:val="0"/>
        <w:spacing w:before="120"/>
        <w:ind w:left="1588"/>
        <w:rPr>
          <w:color w:val="000000"/>
          <w:sz w:val="23"/>
          <w:szCs w:val="23"/>
        </w:rPr>
      </w:pPr>
      <w:r>
        <w:rPr>
          <w:color w:val="000000"/>
          <w:sz w:val="23"/>
          <w:szCs w:val="23"/>
        </w:rPr>
        <w:t>but does not include the production, sale or purchase of natural gas or processable gas;</w:t>
      </w:r>
    </w:p>
    <w:p>
      <w:pPr>
        <w:keepNext/>
        <w:keepLines/>
        <w:autoSpaceDE w:val="0"/>
        <w:autoSpaceDN w:val="0"/>
        <w:adjustRightInd w:val="0"/>
        <w:spacing w:before="120"/>
        <w:ind w:left="1588"/>
        <w:rPr>
          <w:color w:val="000000"/>
          <w:sz w:val="23"/>
          <w:szCs w:val="23"/>
        </w:rPr>
      </w:pPr>
      <w:r>
        <w:rPr>
          <w:rStyle w:val="CharDefText"/>
          <w:bCs/>
          <w:sz w:val="23"/>
        </w:rPr>
        <w:t>pipeline service standard</w:t>
      </w:r>
      <w:r>
        <w:rPr>
          <w:bCs/>
          <w:i/>
          <w:iCs/>
          <w:color w:val="000000"/>
          <w:sz w:val="23"/>
          <w:szCs w:val="23"/>
        </w:rPr>
        <w:t xml:space="preserve"> </w:t>
      </w:r>
      <w:r>
        <w:rPr>
          <w:color w:val="000000"/>
          <w:sz w:val="23"/>
          <w:szCs w:val="23"/>
        </w:rPr>
        <w:t>means a standard relating to the standard of the pipeline services provided by a service provider by means of a covered pipeline imposed—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or under jurisdictional gas legislation;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under an access arrangement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accordance with the Rules;</w:t>
      </w:r>
    </w:p>
    <w:p>
      <w:pPr>
        <w:keepNext/>
        <w:keepLines/>
        <w:autoSpaceDE w:val="0"/>
        <w:autoSpaceDN w:val="0"/>
        <w:adjustRightInd w:val="0"/>
        <w:spacing w:before="120"/>
        <w:ind w:left="1588"/>
        <w:rPr>
          <w:color w:val="000000"/>
          <w:sz w:val="23"/>
          <w:szCs w:val="23"/>
        </w:rPr>
      </w:pPr>
      <w:r>
        <w:rPr>
          <w:rStyle w:val="CharDefText"/>
          <w:bCs/>
          <w:sz w:val="23"/>
        </w:rPr>
        <w:t>price or revenue regulation</w:t>
      </w:r>
      <w:r>
        <w:rPr>
          <w:bCs/>
          <w:i/>
          <w:iCs/>
          <w:color w:val="000000"/>
          <w:sz w:val="23"/>
          <w:szCs w:val="23"/>
        </w:rPr>
        <w:t xml:space="preserve"> </w:t>
      </w:r>
      <w:r>
        <w:rPr>
          <w:color w:val="000000"/>
          <w:sz w:val="23"/>
          <w:szCs w:val="23"/>
        </w:rPr>
        <w:t>means regulation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prices, charges or tariffs for pipeline services to be, or that are to be, provided;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revenue to be, or that is to be, derived from the provision of pipeline services;</w:t>
      </w:r>
    </w:p>
    <w:p>
      <w:pPr>
        <w:keepLines/>
        <w:autoSpaceDE w:val="0"/>
        <w:autoSpaceDN w:val="0"/>
        <w:adjustRightInd w:val="0"/>
        <w:spacing w:before="120"/>
        <w:ind w:left="1588"/>
        <w:rPr>
          <w:color w:val="000000"/>
          <w:sz w:val="23"/>
          <w:szCs w:val="23"/>
        </w:rPr>
      </w:pPr>
      <w:r>
        <w:rPr>
          <w:rStyle w:val="CharDefText"/>
          <w:bCs/>
          <w:sz w:val="23"/>
        </w:rPr>
        <w:t>price regulation exemption</w:t>
      </w:r>
      <w:r>
        <w:rPr>
          <w:bCs/>
          <w:i/>
          <w:iCs/>
          <w:color w:val="000000"/>
          <w:sz w:val="23"/>
          <w:szCs w:val="23"/>
        </w:rPr>
        <w:t xml:space="preserve"> </w:t>
      </w:r>
      <w:r>
        <w:rPr>
          <w:color w:val="000000"/>
          <w:sz w:val="23"/>
          <w:szCs w:val="23"/>
        </w:rPr>
        <w:t>means an exemption under Chapter 5 Part 3;</w:t>
      </w:r>
    </w:p>
    <w:p>
      <w:pPr>
        <w:keepLines/>
        <w:autoSpaceDE w:val="0"/>
        <w:autoSpaceDN w:val="0"/>
        <w:adjustRightInd w:val="0"/>
        <w:spacing w:before="120"/>
        <w:ind w:left="1588"/>
        <w:rPr>
          <w:color w:val="000000"/>
          <w:sz w:val="23"/>
          <w:szCs w:val="23"/>
        </w:rPr>
      </w:pPr>
      <w:r>
        <w:rPr>
          <w:rStyle w:val="CharDefText"/>
          <w:bCs/>
          <w:sz w:val="23"/>
        </w:rPr>
        <w:t>price regulation exemption recommendation</w:t>
      </w:r>
      <w:r>
        <w:rPr>
          <w:bCs/>
          <w:i/>
          <w:iCs/>
          <w:color w:val="000000"/>
          <w:sz w:val="23"/>
          <w:szCs w:val="23"/>
        </w:rPr>
        <w:t xml:space="preserve"> </w:t>
      </w:r>
      <w:r>
        <w:rPr>
          <w:color w:val="000000"/>
          <w:sz w:val="23"/>
          <w:szCs w:val="23"/>
        </w:rPr>
        <w:t>means a recommendation of the NCC under section 162;</w:t>
      </w:r>
    </w:p>
    <w:p>
      <w:pPr>
        <w:keepNext/>
        <w:keepLines/>
        <w:autoSpaceDE w:val="0"/>
        <w:autoSpaceDN w:val="0"/>
        <w:adjustRightInd w:val="0"/>
        <w:spacing w:before="120"/>
        <w:ind w:left="1588"/>
        <w:rPr>
          <w:color w:val="000000"/>
          <w:sz w:val="23"/>
          <w:szCs w:val="23"/>
        </w:rPr>
      </w:pPr>
      <w:r>
        <w:rPr>
          <w:rStyle w:val="CharDefText"/>
          <w:bCs/>
          <w:sz w:val="23"/>
        </w:rPr>
        <w:t>processable gas</w:t>
      </w:r>
      <w:r>
        <w:rPr>
          <w:i/>
          <w:iCs/>
          <w:color w:val="000000"/>
          <w:sz w:val="23"/>
          <w:szCs w:val="23"/>
        </w:rPr>
        <w:t xml:space="preserve"> </w:t>
      </w:r>
      <w:r>
        <w:rPr>
          <w:color w:val="000000"/>
          <w:sz w:val="23"/>
          <w:szCs w:val="23"/>
        </w:rPr>
        <w:t>means a substance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consists of naturally occurring hydrocarbons, or a naturally occurring mixture of hydrocarbons and non</w:t>
      </w:r>
      <w:r>
        <w:rPr>
          <w:color w:val="000000"/>
          <w:sz w:val="23"/>
          <w:szCs w:val="23"/>
        </w:rPr>
        <w:noBreakHyphen/>
        <w:t>hydrocarbons, the principal constituent of which is methane;</w:t>
      </w:r>
    </w:p>
    <w:p>
      <w:pPr>
        <w:keepLines/>
        <w:autoSpaceDE w:val="0"/>
        <w:autoSpaceDN w:val="0"/>
        <w:adjustRightInd w:val="0"/>
        <w:spacing w:before="120"/>
        <w:ind w:left="1588"/>
        <w:rPr>
          <w:color w:val="000000"/>
          <w:sz w:val="23"/>
          <w:szCs w:val="23"/>
        </w:rPr>
      </w:pPr>
      <w:r>
        <w:rPr>
          <w:rStyle w:val="CharDefText"/>
          <w:bCs/>
          <w:sz w:val="23"/>
        </w:rPr>
        <w:t>producer</w:t>
      </w:r>
      <w:r>
        <w:rPr>
          <w:color w:val="000000"/>
          <w:sz w:val="23"/>
          <w:szCs w:val="23"/>
        </w:rPr>
        <w:t xml:space="preserve"> means a person who carries on a business of producing natural gas;</w:t>
      </w:r>
    </w:p>
    <w:p>
      <w:pPr>
        <w:keepLines/>
        <w:autoSpaceDE w:val="0"/>
        <w:autoSpaceDN w:val="0"/>
        <w:adjustRightInd w:val="0"/>
        <w:spacing w:before="120"/>
        <w:ind w:left="1588"/>
        <w:rPr>
          <w:color w:val="000000"/>
          <w:sz w:val="23"/>
          <w:szCs w:val="23"/>
        </w:rPr>
      </w:pPr>
      <w:r>
        <w:rPr>
          <w:rStyle w:val="CharDefText"/>
          <w:bCs/>
          <w:sz w:val="23"/>
        </w:rPr>
        <w:t>prospective user</w:t>
      </w:r>
      <w:r>
        <w:rPr>
          <w:bCs/>
          <w:i/>
          <w:iCs/>
          <w:color w:val="000000"/>
          <w:sz w:val="23"/>
          <w:szCs w:val="23"/>
        </w:rPr>
        <w:t xml:space="preserve"> </w:t>
      </w:r>
      <w:r>
        <w:rPr>
          <w:color w:val="000000"/>
          <w:sz w:val="23"/>
          <w:szCs w:val="23"/>
        </w:rPr>
        <w:t>has the meaning given by section 5;</w:t>
      </w:r>
    </w:p>
    <w:p>
      <w:pPr>
        <w:keepLines/>
        <w:autoSpaceDE w:val="0"/>
        <w:autoSpaceDN w:val="0"/>
        <w:adjustRightInd w:val="0"/>
        <w:spacing w:before="120"/>
        <w:ind w:left="1588"/>
        <w:rPr>
          <w:color w:val="000000"/>
          <w:sz w:val="23"/>
          <w:szCs w:val="23"/>
        </w:rPr>
      </w:pPr>
      <w:r>
        <w:rPr>
          <w:rStyle w:val="CharDefText"/>
          <w:bCs/>
          <w:sz w:val="23"/>
        </w:rPr>
        <w:t>queuing requirements</w:t>
      </w:r>
      <w:r>
        <w:rPr>
          <w:bCs/>
          <w:i/>
          <w:iCs/>
          <w:color w:val="000000"/>
          <w:sz w:val="23"/>
          <w:szCs w:val="23"/>
        </w:rPr>
        <w:t xml:space="preserve"> </w:t>
      </w:r>
      <w:r>
        <w:rPr>
          <w:color w:val="000000"/>
          <w:sz w:val="23"/>
          <w:szCs w:val="23"/>
        </w:rPr>
        <w:t>means terms and conditions providing for the priority that a prospective user has, as against any other prospective user, to obtain access to spare capacity and developable capacity;</w:t>
      </w:r>
    </w:p>
    <w:p>
      <w:pPr>
        <w:keepLines/>
        <w:autoSpaceDE w:val="0"/>
        <w:autoSpaceDN w:val="0"/>
        <w:adjustRightInd w:val="0"/>
        <w:spacing w:before="120"/>
        <w:ind w:left="1588"/>
        <w:rPr>
          <w:color w:val="000000"/>
          <w:sz w:val="23"/>
          <w:szCs w:val="23"/>
        </w:rPr>
      </w:pPr>
      <w:r>
        <w:rPr>
          <w:rStyle w:val="CharDefText"/>
          <w:sz w:val="23"/>
          <w:szCs w:val="23"/>
        </w:rPr>
        <w:t>rate of return instrument</w:t>
      </w:r>
      <w:r>
        <w:rPr>
          <w:color w:val="000000"/>
          <w:sz w:val="23"/>
          <w:szCs w:val="23"/>
        </w:rPr>
        <w:t>—see section 30D(2);</w:t>
      </w:r>
    </w:p>
    <w:p>
      <w:pPr>
        <w:keepLines/>
        <w:autoSpaceDE w:val="0"/>
        <w:autoSpaceDN w:val="0"/>
        <w:adjustRightInd w:val="0"/>
        <w:spacing w:before="120"/>
        <w:ind w:left="1588"/>
        <w:rPr>
          <w:color w:val="000000"/>
          <w:sz w:val="23"/>
          <w:szCs w:val="23"/>
        </w:rPr>
      </w:pPr>
      <w:r>
        <w:rPr>
          <w:rStyle w:val="CharDefText"/>
          <w:bCs/>
          <w:sz w:val="23"/>
        </w:rPr>
        <w:t>reclassification decision</w:t>
      </w:r>
      <w:r>
        <w:rPr>
          <w:bCs/>
          <w:i/>
          <w:iCs/>
          <w:color w:val="000000"/>
          <w:sz w:val="23"/>
          <w:szCs w:val="23"/>
        </w:rPr>
        <w:t xml:space="preserve"> </w:t>
      </w:r>
      <w:r>
        <w:rPr>
          <w:color w:val="000000"/>
          <w:sz w:val="23"/>
          <w:szCs w:val="23"/>
        </w:rPr>
        <w:t>means a decision of the NCC under Chapter 3 Part 5;</w:t>
      </w:r>
    </w:p>
    <w:p>
      <w:pPr>
        <w:keepLines/>
        <w:autoSpaceDE w:val="0"/>
        <w:autoSpaceDN w:val="0"/>
        <w:adjustRightInd w:val="0"/>
        <w:spacing w:before="120"/>
        <w:ind w:left="1588"/>
        <w:rPr>
          <w:color w:val="000000"/>
          <w:sz w:val="23"/>
          <w:szCs w:val="23"/>
        </w:rPr>
      </w:pPr>
      <w:r>
        <w:rPr>
          <w:rStyle w:val="CharDefText"/>
          <w:bCs/>
          <w:sz w:val="23"/>
        </w:rPr>
        <w:t>reference service</w:t>
      </w:r>
      <w:r>
        <w:rPr>
          <w:bCs/>
          <w:i/>
          <w:iCs/>
          <w:color w:val="000000"/>
          <w:sz w:val="23"/>
          <w:szCs w:val="23"/>
        </w:rPr>
        <w:t xml:space="preserve"> </w:t>
      </w:r>
      <w:r>
        <w:rPr>
          <w:color w:val="000000"/>
          <w:sz w:val="23"/>
          <w:szCs w:val="23"/>
        </w:rPr>
        <w:t>means a pipeline service specified by, or determined or approved by the AER under, the Rules as a reference service;</w:t>
      </w:r>
    </w:p>
    <w:p>
      <w:pPr>
        <w:keepNext/>
        <w:autoSpaceDE w:val="0"/>
        <w:autoSpaceDN w:val="0"/>
        <w:adjustRightInd w:val="0"/>
        <w:spacing w:before="120"/>
        <w:ind w:left="1588"/>
        <w:rPr>
          <w:color w:val="000000"/>
          <w:sz w:val="23"/>
          <w:szCs w:val="23"/>
        </w:rPr>
      </w:pPr>
      <w:r>
        <w:rPr>
          <w:rStyle w:val="CharDefText"/>
          <w:bCs/>
          <w:sz w:val="23"/>
        </w:rPr>
        <w:t>reference tariff</w:t>
      </w:r>
      <w:r>
        <w:rPr>
          <w:bCs/>
          <w:i/>
          <w:iCs/>
          <w:color w:val="000000"/>
          <w:sz w:val="23"/>
          <w:szCs w:val="23"/>
        </w:rPr>
        <w:t xml:space="preserve"> </w:t>
      </w:r>
      <w:r>
        <w:rPr>
          <w:color w:val="000000"/>
          <w:sz w:val="23"/>
          <w:szCs w:val="23"/>
        </w:rPr>
        <w:t>means a tariff or charge for a reference service—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specified in an applicable access arrangement approved or made under 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determined by applying the formula or methodology contained in an applicable access arrangement approved or made under a full access arrangement decision;</w:t>
      </w:r>
    </w:p>
    <w:p>
      <w:pPr>
        <w:keepLines/>
        <w:autoSpaceDE w:val="0"/>
        <w:autoSpaceDN w:val="0"/>
        <w:adjustRightInd w:val="0"/>
        <w:spacing w:before="120"/>
        <w:ind w:left="1588"/>
        <w:rPr>
          <w:color w:val="000000"/>
          <w:sz w:val="23"/>
          <w:szCs w:val="23"/>
        </w:rPr>
      </w:pPr>
      <w:r>
        <w:rPr>
          <w:rStyle w:val="CharDefText"/>
          <w:bCs/>
          <w:sz w:val="23"/>
        </w:rPr>
        <w:t>Regulations</w:t>
      </w:r>
      <w:r>
        <w:rPr>
          <w:color w:val="000000"/>
          <w:sz w:val="23"/>
          <w:szCs w:val="23"/>
        </w:rPr>
        <w:t xml:space="preserve"> </w:t>
      </w:r>
      <w:r>
        <w:rPr>
          <w:sz w:val="23"/>
        </w:rPr>
        <w:t xml:space="preserve">means the regulations made under Part 3 of the </w:t>
      </w:r>
      <w:r>
        <w:rPr>
          <w:i/>
          <w:sz w:val="23"/>
        </w:rPr>
        <w:t>National Gas Access (WA) Act 2009</w:t>
      </w:r>
      <w:r>
        <w:rPr>
          <w:sz w:val="23"/>
        </w:rPr>
        <w:t xml:space="preserve"> that apply as a law of this jurisdiction;</w:t>
      </w:r>
    </w:p>
    <w:p>
      <w:pPr>
        <w:keepLines/>
        <w:autoSpaceDE w:val="0"/>
        <w:autoSpaceDN w:val="0"/>
        <w:adjustRightInd w:val="0"/>
        <w:spacing w:before="120"/>
        <w:ind w:left="1588"/>
        <w:rPr>
          <w:color w:val="000000"/>
          <w:sz w:val="23"/>
          <w:szCs w:val="23"/>
        </w:rPr>
      </w:pPr>
      <w:r>
        <w:rPr>
          <w:rStyle w:val="CharDefText"/>
          <w:bCs/>
          <w:sz w:val="23"/>
        </w:rPr>
        <w:t>regulator</w:t>
      </w:r>
      <w:r>
        <w:rPr>
          <w:sz w:val="23"/>
        </w:rPr>
        <w:t xml:space="preserve"> has the meaning given to that term in </w:t>
      </w:r>
      <w:r>
        <w:rPr>
          <w:iCs/>
          <w:sz w:val="23"/>
        </w:rPr>
        <w:t xml:space="preserve">section 9(1) of </w:t>
      </w:r>
      <w:r>
        <w:rPr>
          <w:sz w:val="23"/>
        </w:rPr>
        <w:t xml:space="preserve">the </w:t>
      </w:r>
      <w:r>
        <w:rPr>
          <w:i/>
          <w:sz w:val="23"/>
        </w:rPr>
        <w:t>National Gas Access (WA) Act 2009;</w:t>
      </w:r>
    </w:p>
    <w:p>
      <w:pPr>
        <w:keepNext/>
        <w:keepLines/>
        <w:autoSpaceDE w:val="0"/>
        <w:autoSpaceDN w:val="0"/>
        <w:adjustRightInd w:val="0"/>
        <w:spacing w:before="120"/>
        <w:ind w:left="1588"/>
        <w:rPr>
          <w:color w:val="000000"/>
          <w:sz w:val="23"/>
          <w:szCs w:val="23"/>
        </w:rPr>
      </w:pPr>
      <w:r>
        <w:rPr>
          <w:rStyle w:val="CharDefText"/>
          <w:bCs/>
          <w:sz w:val="23"/>
        </w:rPr>
        <w:t>regulatory information instrument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general regulatory information order;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regulatory information notice;</w:t>
      </w:r>
    </w:p>
    <w:p>
      <w:pPr>
        <w:keepLines/>
        <w:autoSpaceDE w:val="0"/>
        <w:autoSpaceDN w:val="0"/>
        <w:adjustRightInd w:val="0"/>
        <w:spacing w:before="120"/>
        <w:ind w:left="1588"/>
        <w:rPr>
          <w:color w:val="000000"/>
          <w:sz w:val="23"/>
          <w:szCs w:val="23"/>
        </w:rPr>
      </w:pPr>
      <w:r>
        <w:rPr>
          <w:rStyle w:val="CharDefText"/>
          <w:bCs/>
          <w:sz w:val="23"/>
        </w:rPr>
        <w:t xml:space="preserve">regulatory information notice </w:t>
      </w:r>
      <w:r>
        <w:rPr>
          <w:color w:val="000000"/>
          <w:sz w:val="23"/>
          <w:szCs w:val="23"/>
        </w:rPr>
        <w:t>has the meaning given by section 46;</w:t>
      </w:r>
    </w:p>
    <w:p>
      <w:pPr>
        <w:keepLines/>
        <w:autoSpaceDE w:val="0"/>
        <w:autoSpaceDN w:val="0"/>
        <w:adjustRightInd w:val="0"/>
        <w:spacing w:before="120"/>
        <w:ind w:left="1588"/>
        <w:rPr>
          <w:color w:val="000000"/>
          <w:sz w:val="23"/>
          <w:szCs w:val="23"/>
        </w:rPr>
      </w:pPr>
      <w:r>
        <w:rPr>
          <w:rStyle w:val="CharDefText"/>
          <w:bCs/>
          <w:sz w:val="23"/>
        </w:rPr>
        <w:t>regulatory obligation or requirement</w:t>
      </w:r>
      <w:r>
        <w:rPr>
          <w:bCs/>
          <w:i/>
          <w:iCs/>
          <w:color w:val="000000"/>
          <w:sz w:val="23"/>
          <w:szCs w:val="23"/>
        </w:rPr>
        <w:t xml:space="preserve"> </w:t>
      </w:r>
      <w:r>
        <w:rPr>
          <w:color w:val="000000"/>
          <w:sz w:val="23"/>
          <w:szCs w:val="23"/>
        </w:rPr>
        <w:t>has the meaning given by section 6;</w:t>
      </w:r>
    </w:p>
    <w:p>
      <w:pPr>
        <w:keepLines/>
        <w:autoSpaceDE w:val="0"/>
        <w:autoSpaceDN w:val="0"/>
        <w:adjustRightInd w:val="0"/>
        <w:spacing w:before="120"/>
        <w:ind w:left="1588"/>
        <w:rPr>
          <w:color w:val="000000"/>
          <w:sz w:val="23"/>
          <w:szCs w:val="23"/>
        </w:rPr>
      </w:pPr>
      <w:r>
        <w:rPr>
          <w:rStyle w:val="CharDefText"/>
          <w:sz w:val="23"/>
        </w:rPr>
        <w:t>regulatory</w:t>
      </w:r>
      <w:r>
        <w:rPr>
          <w:rStyle w:val="CharDefText"/>
          <w:bCs/>
          <w:sz w:val="23"/>
        </w:rPr>
        <w:t xml:space="preserve"> payment </w:t>
      </w:r>
      <w:r>
        <w:rPr>
          <w:color w:val="000000"/>
          <w:sz w:val="23"/>
          <w:szCs w:val="23"/>
        </w:rPr>
        <w:t>has the meaning given by section 7;</w:t>
      </w:r>
    </w:p>
    <w:p>
      <w:pPr>
        <w:keepNext/>
        <w:keepLines/>
        <w:autoSpaceDE w:val="0"/>
        <w:autoSpaceDN w:val="0"/>
        <w:adjustRightInd w:val="0"/>
        <w:spacing w:before="120"/>
        <w:ind w:left="1588"/>
        <w:rPr>
          <w:color w:val="000000"/>
          <w:sz w:val="23"/>
          <w:szCs w:val="23"/>
        </w:rPr>
      </w:pPr>
      <w:r>
        <w:rPr>
          <w:rStyle w:val="CharDefText"/>
          <w:bCs/>
          <w:sz w:val="23"/>
        </w:rPr>
        <w:t>relevant Minister</w:t>
      </w:r>
      <w:r>
        <w:rPr>
          <w:bCs/>
          <w:i/>
          <w:iCs/>
          <w:color w:val="000000"/>
          <w:sz w:val="23"/>
          <w:szCs w:val="23"/>
        </w:rPr>
        <w:t xml:space="preserve"> </w:t>
      </w:r>
      <w:r>
        <w:rPr>
          <w:color w:val="000000"/>
          <w:sz w:val="23"/>
          <w:szCs w:val="23"/>
        </w:rPr>
        <w:t>means if, in a coverage recommendation, no</w:t>
      </w:r>
      <w:r>
        <w:rPr>
          <w:color w:val="000000"/>
          <w:sz w:val="23"/>
          <w:szCs w:val="23"/>
        </w:rPr>
        <w:noBreakHyphen/>
        <w:t>coverage recommendation, classification decision under the Rules or reclassification decision, the NCC determines the pipeline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cross boundary transmission pipeline—the Commonwealth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transmission pipeline situated wholly within a participating jurisdiction—the designated Minister;</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The term designated Minister is defined in the Act of this jurisdiction that applies this Law as a law of this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distribution pipeline situated wholly within a participating jurisdiction—the Minister of the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cross boundary distribution pipeline—the Minister of the participating jurisdiction determined by the NCC in the recommendation as being the participating jurisdiction with which the cross boundary distribution pipeline is most closely connected;</w:t>
      </w:r>
    </w:p>
    <w:p>
      <w:pPr>
        <w:keepLines/>
        <w:autoSpaceDE w:val="0"/>
        <w:autoSpaceDN w:val="0"/>
        <w:adjustRightInd w:val="0"/>
        <w:spacing w:before="120"/>
        <w:ind w:left="1588"/>
        <w:rPr>
          <w:color w:val="000000"/>
          <w:sz w:val="23"/>
          <w:szCs w:val="23"/>
        </w:rPr>
      </w:pPr>
      <w:r>
        <w:rPr>
          <w:rStyle w:val="CharDefText"/>
          <w:bCs/>
          <w:sz w:val="23"/>
        </w:rPr>
        <w:t>relevant Regulator</w:t>
      </w:r>
      <w:r>
        <w:rPr>
          <w:bCs/>
          <w:i/>
          <w:iCs/>
          <w:color w:val="000000"/>
          <w:sz w:val="23"/>
          <w:szCs w:val="23"/>
        </w:rPr>
        <w:t xml:space="preserve"> </w:t>
      </w:r>
      <w:r>
        <w:rPr>
          <w:color w:val="000000"/>
          <w:sz w:val="23"/>
          <w:szCs w:val="23"/>
        </w:rPr>
        <w:t>has the same meaning as in section 2 of the old access law;</w:t>
      </w:r>
    </w:p>
    <w:p>
      <w:pPr>
        <w:keepLines/>
        <w:autoSpaceDE w:val="0"/>
        <w:autoSpaceDN w:val="0"/>
        <w:adjustRightInd w:val="0"/>
        <w:spacing w:before="120"/>
        <w:ind w:left="1588"/>
        <w:rPr>
          <w:color w:val="000000"/>
          <w:sz w:val="23"/>
          <w:szCs w:val="23"/>
        </w:rPr>
      </w:pPr>
      <w:r>
        <w:rPr>
          <w:rStyle w:val="CharDefText"/>
          <w:bCs/>
          <w:sz w:val="23"/>
        </w:rPr>
        <w:t>revenue and pricing principles</w:t>
      </w:r>
      <w:r>
        <w:rPr>
          <w:bCs/>
          <w:i/>
          <w:iCs/>
          <w:color w:val="000000"/>
          <w:sz w:val="23"/>
          <w:szCs w:val="23"/>
        </w:rPr>
        <w:t xml:space="preserve"> </w:t>
      </w:r>
      <w:r>
        <w:rPr>
          <w:color w:val="000000"/>
          <w:sz w:val="23"/>
          <w:szCs w:val="23"/>
        </w:rPr>
        <w:t>means the principles set out in section 24;</w:t>
      </w:r>
    </w:p>
    <w:p>
      <w:pPr>
        <w:keepNext/>
        <w:keepLines/>
        <w:autoSpaceDE w:val="0"/>
        <w:autoSpaceDN w:val="0"/>
        <w:adjustRightInd w:val="0"/>
        <w:spacing w:before="120"/>
        <w:ind w:left="1588"/>
        <w:rPr>
          <w:color w:val="000000"/>
          <w:sz w:val="23"/>
          <w:szCs w:val="23"/>
        </w:rPr>
      </w:pPr>
      <w:r>
        <w:rPr>
          <w:rStyle w:val="CharDefText"/>
          <w:bCs/>
          <w:sz w:val="23"/>
          <w:szCs w:val="23"/>
        </w:rPr>
        <w:t>reviewable regulatory decision</w:t>
      </w:r>
      <w:r>
        <w:rPr>
          <w:color w:val="000000"/>
          <w:sz w:val="23"/>
          <w:szCs w:val="23"/>
        </w:rPr>
        <w:t xml:space="preserve"> has the meaning given by section 244;</w:t>
      </w:r>
    </w:p>
    <w:p>
      <w:pPr>
        <w:keepNext/>
        <w:keepLines/>
        <w:autoSpaceDE w:val="0"/>
        <w:autoSpaceDN w:val="0"/>
        <w:adjustRightInd w:val="0"/>
        <w:spacing w:before="120"/>
        <w:ind w:left="1588"/>
        <w:rPr>
          <w:color w:val="000000"/>
          <w:sz w:val="23"/>
          <w:szCs w:val="23"/>
        </w:rPr>
      </w:pPr>
      <w:r>
        <w:rPr>
          <w:rStyle w:val="CharDefText"/>
          <w:bCs/>
          <w:sz w:val="23"/>
        </w:rPr>
        <w:t>ring fencing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under section 146 granting or not granting an exemption under that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associate contract decision;</w:t>
      </w:r>
    </w:p>
    <w:p>
      <w:pPr>
        <w:keepNext/>
        <w:keepLines/>
        <w:autoSpaceDE w:val="0"/>
        <w:autoSpaceDN w:val="0"/>
        <w:adjustRightInd w:val="0"/>
        <w:spacing w:before="120"/>
        <w:ind w:left="1588"/>
        <w:rPr>
          <w:color w:val="000000"/>
          <w:sz w:val="23"/>
          <w:szCs w:val="23"/>
        </w:rPr>
      </w:pPr>
      <w:r>
        <w:rPr>
          <w:rStyle w:val="CharDefText"/>
          <w:bCs/>
          <w:sz w:val="23"/>
        </w:rPr>
        <w:t>scheme pipeline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international pipeline to which a price regulation exemption applies;</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has the meaning given by section 8;</w:t>
      </w:r>
    </w:p>
    <w:p>
      <w:pPr>
        <w:keepLines/>
        <w:autoSpaceDE w:val="0"/>
        <w:autoSpaceDN w:val="0"/>
        <w:adjustRightInd w:val="0"/>
        <w:spacing w:before="120"/>
        <w:ind w:left="1588"/>
        <w:rPr>
          <w:color w:val="000000"/>
          <w:sz w:val="23"/>
          <w:szCs w:val="23"/>
        </w:rPr>
      </w:pPr>
      <w:r>
        <w:rPr>
          <w:rStyle w:val="CharDefText"/>
          <w:bCs/>
          <w:sz w:val="23"/>
        </w:rPr>
        <w:t>service provider performance report</w:t>
      </w:r>
      <w:r>
        <w:rPr>
          <w:bCs/>
          <w:i/>
          <w:iCs/>
          <w:color w:val="000000"/>
          <w:sz w:val="23"/>
          <w:szCs w:val="23"/>
        </w:rPr>
        <w:t xml:space="preserve"> </w:t>
      </w:r>
      <w:r>
        <w:rPr>
          <w:color w:val="000000"/>
          <w:sz w:val="23"/>
          <w:szCs w:val="23"/>
        </w:rPr>
        <w:t>means a report prepared by the AER under section 64;</w:t>
      </w:r>
    </w:p>
    <w:p>
      <w:pPr>
        <w:keepLines/>
        <w:autoSpaceDE w:val="0"/>
        <w:autoSpaceDN w:val="0"/>
        <w:adjustRightInd w:val="0"/>
        <w:spacing w:before="120"/>
        <w:ind w:left="1588"/>
        <w:rPr>
          <w:color w:val="000000"/>
          <w:sz w:val="23"/>
          <w:szCs w:val="23"/>
        </w:rPr>
      </w:pPr>
      <w:r>
        <w:rPr>
          <w:rStyle w:val="CharDefText"/>
          <w:bCs/>
          <w:sz w:val="23"/>
        </w:rPr>
        <w:t xml:space="preserve">spare capacity </w:t>
      </w:r>
      <w:r>
        <w:rPr>
          <w:color w:val="000000"/>
          <w:sz w:val="23"/>
          <w:szCs w:val="23"/>
        </w:rPr>
        <w:t>means unutilised capacity of a pipeline;</w:t>
      </w:r>
    </w:p>
    <w:p>
      <w:pPr>
        <w:keepLines/>
        <w:autoSpaceDE w:val="0"/>
        <w:autoSpaceDN w:val="0"/>
        <w:adjustRightInd w:val="0"/>
        <w:spacing w:before="120"/>
        <w:ind w:left="1588"/>
        <w:rPr>
          <w:color w:val="000000"/>
          <w:sz w:val="23"/>
          <w:szCs w:val="23"/>
        </w:rPr>
      </w:pPr>
      <w:r>
        <w:rPr>
          <w:rStyle w:val="CharDefText"/>
          <w:bCs/>
          <w:sz w:val="23"/>
        </w:rPr>
        <w:t>storage provider</w:t>
      </w:r>
      <w:r>
        <w:rPr>
          <w:bCs/>
          <w:i/>
          <w:iCs/>
          <w:color w:val="000000"/>
          <w:sz w:val="23"/>
          <w:szCs w:val="23"/>
        </w:rPr>
        <w:t xml:space="preserve"> </w:t>
      </w:r>
      <w:r>
        <w:rPr>
          <w:color w:val="000000"/>
          <w:sz w:val="23"/>
          <w:szCs w:val="23"/>
        </w:rPr>
        <w:t>means any person who owns, operates or controls a facility for storing natural gas or processable gas for injection into a pipeline;</w:t>
      </w:r>
    </w:p>
    <w:p>
      <w:pPr>
        <w:keepNext/>
        <w:keepLines/>
        <w:autoSpaceDE w:val="0"/>
        <w:autoSpaceDN w:val="0"/>
        <w:adjustRightInd w:val="0"/>
        <w:spacing w:before="120"/>
        <w:ind w:left="1588"/>
        <w:rPr>
          <w:color w:val="000000"/>
          <w:sz w:val="23"/>
          <w:szCs w:val="23"/>
        </w:rPr>
      </w:pPr>
      <w:r>
        <w:rPr>
          <w:rStyle w:val="CharDefText"/>
          <w:sz w:val="23"/>
        </w:rPr>
        <w:t>supply</w:t>
      </w:r>
      <w:r>
        <w:rPr>
          <w:color w:val="000000"/>
          <w:sz w:val="23"/>
          <w:szCs w:val="23"/>
        </w:rPr>
        <w:t xml:space="preserve">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goods—supply (including re</w:t>
      </w:r>
      <w:r>
        <w:rPr>
          <w:color w:val="000000"/>
          <w:sz w:val="23"/>
          <w:szCs w:val="23"/>
        </w:rPr>
        <w:noBreakHyphen/>
        <w:t>supply) by way of sale, exchange, lease, hire or hire purchase;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services—provide, grant or confer;</w:t>
      </w:r>
    </w:p>
    <w:p>
      <w:pPr>
        <w:keepLines/>
        <w:autoSpaceDE w:val="0"/>
        <w:autoSpaceDN w:val="0"/>
        <w:adjustRightInd w:val="0"/>
        <w:spacing w:before="120"/>
        <w:ind w:left="1588"/>
        <w:rPr>
          <w:color w:val="000000"/>
          <w:sz w:val="23"/>
          <w:szCs w:val="23"/>
        </w:rPr>
      </w:pPr>
      <w:r>
        <w:rPr>
          <w:rStyle w:val="CharDefText"/>
          <w:bCs/>
          <w:sz w:val="23"/>
        </w:rPr>
        <w:t>tariff</w:t>
      </w:r>
      <w:r>
        <w:rPr>
          <w:color w:val="000000"/>
          <w:sz w:val="23"/>
          <w:szCs w:val="23"/>
        </w:rPr>
        <w:t xml:space="preserve"> means a rate by which a charge for a pipeline service is calculated;</w:t>
      </w:r>
    </w:p>
    <w:p>
      <w:pPr>
        <w:keepLines/>
        <w:autoSpaceDE w:val="0"/>
        <w:autoSpaceDN w:val="0"/>
        <w:adjustRightInd w:val="0"/>
        <w:spacing w:before="120"/>
        <w:ind w:left="1588"/>
        <w:rPr>
          <w:color w:val="000000"/>
          <w:sz w:val="23"/>
          <w:szCs w:val="23"/>
        </w:rPr>
      </w:pPr>
      <w:r>
        <w:rPr>
          <w:rStyle w:val="CharDefText"/>
          <w:bCs/>
          <w:sz w:val="23"/>
        </w:rPr>
        <w:t>tender approval decision</w:t>
      </w:r>
      <w:r>
        <w:rPr>
          <w:bCs/>
          <w:i/>
          <w:iCs/>
          <w:color w:val="000000"/>
          <w:sz w:val="23"/>
          <w:szCs w:val="23"/>
        </w:rPr>
        <w:t xml:space="preserve"> </w:t>
      </w:r>
      <w:r>
        <w:rPr>
          <w:color w:val="000000"/>
          <w:sz w:val="23"/>
          <w:szCs w:val="23"/>
        </w:rPr>
        <w:t>means a decision of the AER under the Rules under which the AER approves a tender process for the construction and operation of a pipeline as a competitive tender process;</w:t>
      </w:r>
    </w:p>
    <w:p>
      <w:pPr>
        <w:keepLines/>
        <w:autoSpaceDE w:val="0"/>
        <w:autoSpaceDN w:val="0"/>
        <w:adjustRightInd w:val="0"/>
        <w:spacing w:before="120"/>
        <w:ind w:left="1588"/>
        <w:rPr>
          <w:color w:val="000000"/>
          <w:sz w:val="23"/>
          <w:szCs w:val="23"/>
        </w:rPr>
      </w:pPr>
      <w:r>
        <w:rPr>
          <w:rStyle w:val="CharDefText"/>
          <w:bCs/>
          <w:sz w:val="23"/>
        </w:rPr>
        <w:t>Territory</w:t>
      </w:r>
      <w:r>
        <w:rPr>
          <w:color w:val="000000"/>
          <w:sz w:val="23"/>
          <w:szCs w:val="23"/>
        </w:rPr>
        <w:t xml:space="preserve"> means the Australian Capital Territory or the Northern Territory;</w:t>
      </w:r>
    </w:p>
    <w:p>
      <w:pPr>
        <w:keepNext/>
        <w:keepLines/>
        <w:autoSpaceDE w:val="0"/>
        <w:autoSpaceDN w:val="0"/>
        <w:adjustRightInd w:val="0"/>
        <w:spacing w:before="120"/>
        <w:ind w:left="1588"/>
        <w:rPr>
          <w:color w:val="000000"/>
          <w:sz w:val="23"/>
          <w:szCs w:val="23"/>
        </w:rPr>
      </w:pPr>
      <w:r>
        <w:rPr>
          <w:rStyle w:val="CharDefText"/>
          <w:bCs/>
          <w:sz w:val="23"/>
        </w:rPr>
        <w:t>transmission pipeline</w:t>
      </w:r>
      <w:r>
        <w:rPr>
          <w:bCs/>
          <w:i/>
          <w:iCs/>
          <w:color w:val="000000"/>
          <w:sz w:val="23"/>
          <w:szCs w:val="23"/>
        </w:rPr>
        <w:t xml:space="preserve"> </w:t>
      </w:r>
      <w:r>
        <w:rPr>
          <w:color w:val="000000"/>
          <w:sz w:val="23"/>
          <w:szCs w:val="23"/>
        </w:rPr>
        <w:t>means a pipeline that is classified in accordance with this Law or the Rules as a transmission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rPr>
      </w:pPr>
      <w:r>
        <w:rPr>
          <w:b/>
          <w:bCs/>
          <w:color w:val="000000"/>
          <w:sz w:val="23"/>
        </w:rPr>
        <w:t>Note—</w:t>
      </w:r>
    </w:p>
    <w:p>
      <w:pPr>
        <w:keepLines/>
        <w:autoSpaceDE w:val="0"/>
        <w:autoSpaceDN w:val="0"/>
        <w:adjustRightInd w:val="0"/>
        <w:spacing w:before="120"/>
        <w:ind w:left="2382"/>
        <w:rPr>
          <w:color w:val="000000"/>
          <w:sz w:val="23"/>
        </w:rPr>
      </w:pPr>
      <w:r>
        <w:rPr>
          <w:color w:val="000000"/>
          <w:sz w:val="23"/>
        </w:rPr>
        <w:t>See also sections 18 and 19.</w:t>
      </w:r>
    </w:p>
    <w:p>
      <w:pPr>
        <w:keepLines/>
        <w:autoSpaceDE w:val="0"/>
        <w:autoSpaceDN w:val="0"/>
        <w:adjustRightInd w:val="0"/>
        <w:spacing w:before="120"/>
        <w:ind w:left="1588"/>
        <w:rPr>
          <w:color w:val="000000"/>
          <w:sz w:val="23"/>
          <w:szCs w:val="23"/>
        </w:rPr>
      </w:pPr>
      <w:r>
        <w:rPr>
          <w:rStyle w:val="CharDefText"/>
          <w:bCs/>
          <w:sz w:val="23"/>
        </w:rPr>
        <w:t>Tribunal</w:t>
      </w:r>
      <w:r>
        <w:rPr>
          <w:color w:val="000000"/>
          <w:sz w:val="23"/>
          <w:szCs w:val="23"/>
        </w:rPr>
        <w:t xml:space="preserve"> means the Australian Competition Tribunal referred to in the </w:t>
      </w:r>
      <w:r>
        <w:rPr>
          <w:i/>
          <w:iCs/>
          <w:color w:val="000000"/>
          <w:sz w:val="23"/>
          <w:szCs w:val="23"/>
        </w:rPr>
        <w:t>Trade Practices Act 1974</w:t>
      </w:r>
      <w:r>
        <w:rPr>
          <w:color w:val="000000"/>
          <w:sz w:val="23"/>
          <w:szCs w:val="23"/>
        </w:rPr>
        <w:t xml:space="preserve"> of the Commonwealth and includes a member of the Tribunal or a Division of the Tribunal performing functions of the Tribunal;</w:t>
      </w:r>
    </w:p>
    <w:p>
      <w:pPr>
        <w:keepNext/>
        <w:keepLines/>
        <w:autoSpaceDE w:val="0"/>
        <w:autoSpaceDN w:val="0"/>
        <w:adjustRightInd w:val="0"/>
        <w:spacing w:before="120"/>
        <w:ind w:left="1588"/>
        <w:rPr>
          <w:color w:val="000000"/>
          <w:sz w:val="23"/>
          <w:szCs w:val="23"/>
        </w:rPr>
      </w:pPr>
      <w:r>
        <w:rPr>
          <w:rStyle w:val="CharDefText"/>
          <w:bCs/>
          <w:sz w:val="23"/>
        </w:rPr>
        <w:t>user</w:t>
      </w:r>
      <w:r>
        <w:rPr>
          <w:color w:val="000000"/>
          <w:sz w:val="23"/>
          <w:szCs w:val="23"/>
        </w:rPr>
        <w:t xml:space="preserve"> means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scheme pipeline;</w:t>
      </w:r>
    </w:p>
    <w:p>
      <w:pPr>
        <w:keepLines/>
        <w:autoSpaceDE w:val="0"/>
        <w:autoSpaceDN w:val="0"/>
        <w:adjustRightInd w:val="0"/>
        <w:spacing w:before="120"/>
        <w:ind w:left="1588"/>
        <w:rPr>
          <w:color w:val="000000"/>
          <w:sz w:val="23"/>
          <w:szCs w:val="23"/>
        </w:rPr>
      </w:pPr>
      <w:r>
        <w:rPr>
          <w:rStyle w:val="CharDefText"/>
          <w:bCs/>
          <w:sz w:val="23"/>
          <w:szCs w:val="23"/>
        </w:rPr>
        <w:t>user or consumer association</w:t>
      </w:r>
      <w:r>
        <w:rPr>
          <w:color w:val="000000"/>
          <w:sz w:val="23"/>
          <w:szCs w:val="23"/>
        </w:rPr>
        <w:t xml:space="preserve"> has the meaning given by section 244;</w:t>
      </w:r>
    </w:p>
    <w:p>
      <w:pPr>
        <w:keepLines/>
        <w:autoSpaceDE w:val="0"/>
        <w:autoSpaceDN w:val="0"/>
        <w:adjustRightInd w:val="0"/>
        <w:spacing w:before="120"/>
        <w:ind w:left="1588"/>
        <w:rPr>
          <w:color w:val="000000"/>
          <w:sz w:val="23"/>
          <w:szCs w:val="23"/>
        </w:rPr>
      </w:pPr>
      <w:r>
        <w:rPr>
          <w:rStyle w:val="CharDefText"/>
          <w:bCs/>
          <w:sz w:val="23"/>
          <w:szCs w:val="23"/>
        </w:rPr>
        <w:t>user or consumer interest group</w:t>
      </w:r>
      <w:r>
        <w:rPr>
          <w:color w:val="000000"/>
          <w:sz w:val="23"/>
          <w:szCs w:val="23"/>
        </w:rPr>
        <w:t xml:space="preserve"> has the meaning given by section 244;</w:t>
      </w:r>
    </w:p>
    <w:p>
      <w:pPr>
        <w:keepLines/>
        <w:autoSpaceDE w:val="0"/>
        <w:autoSpaceDN w:val="0"/>
        <w:adjustRightInd w:val="0"/>
        <w:spacing w:before="120"/>
        <w:ind w:left="1588"/>
        <w:rPr>
          <w:color w:val="000000"/>
          <w:sz w:val="23"/>
          <w:szCs w:val="23"/>
        </w:rPr>
      </w:pPr>
      <w:r>
        <w:rPr>
          <w:rStyle w:val="CharDefText"/>
          <w:bCs/>
          <w:sz w:val="23"/>
        </w:rPr>
        <w:t>VENCorp</w:t>
      </w:r>
      <w:r>
        <w:rPr>
          <w:color w:val="000000"/>
          <w:sz w:val="23"/>
          <w:szCs w:val="23"/>
        </w:rPr>
        <w:t xml:space="preserve"> means the Victorian Energy Networks Corporation continued under Part 8 of the </w:t>
      </w:r>
      <w:r>
        <w:rPr>
          <w:i/>
          <w:iCs/>
          <w:color w:val="000000"/>
          <w:sz w:val="23"/>
          <w:szCs w:val="23"/>
        </w:rPr>
        <w:t>Gas Industry Act 2001</w:t>
      </w:r>
      <w:r>
        <w:rPr>
          <w:color w:val="000000"/>
          <w:sz w:val="23"/>
          <w:szCs w:val="23"/>
        </w:rPr>
        <w:t xml:space="preserve"> of Victoria;</w:t>
      </w:r>
    </w:p>
    <w:p>
      <w:pPr>
        <w:keepLines/>
        <w:autoSpaceDE w:val="0"/>
        <w:autoSpaceDN w:val="0"/>
        <w:adjustRightInd w:val="0"/>
        <w:spacing w:before="120"/>
        <w:ind w:left="1588"/>
        <w:rPr>
          <w:sz w:val="23"/>
        </w:rPr>
      </w:pPr>
      <w:r>
        <w:rPr>
          <w:rStyle w:val="CharDefText"/>
          <w:bCs/>
          <w:sz w:val="23"/>
        </w:rPr>
        <w:t>WA arbitrator</w:t>
      </w:r>
      <w:r>
        <w:rPr>
          <w:bCs/>
          <w:i/>
          <w:iCs/>
          <w:color w:val="000000"/>
          <w:sz w:val="23"/>
          <w:szCs w:val="23"/>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Footnotesection"/>
        <w:rPr>
          <w:szCs w:val="23"/>
        </w:rPr>
      </w:pPr>
      <w:r>
        <w:tab/>
        <w:t>[Section 2 modified: WA Act Sch. 1 cl. 3; amended: see SA Act No. 30 of 2009 s. 6 and WA Gazette 18 Dec 2009 p. 5167; SA Act No. 79 of 2013 s. 19 and WA Gazette 14 Mar 2014 p. 632; SA Act No. 33 of 2018 and WA Gazette 5 Apr 2019 p. 1007</w:t>
      </w:r>
      <w:r>
        <w:noBreakHyphen/>
        <w:t>8.]</w:t>
      </w:r>
    </w:p>
    <w:p>
      <w:pPr>
        <w:pStyle w:val="Heading5"/>
        <w:keepNext w:val="0"/>
        <w:keepLines w:val="0"/>
      </w:pPr>
      <w:bookmarkStart w:id="547" w:name="_Toc53045888"/>
      <w:bookmarkStart w:id="548" w:name="_Toc5364728"/>
      <w:r>
        <w:rPr>
          <w:rStyle w:val="CharSectno"/>
        </w:rPr>
        <w:t>2A</w:t>
      </w:r>
      <w:r>
        <w:t>.</w:t>
      </w:r>
      <w:r>
        <w:tab/>
        <w:t>Meaning of AER modified</w:t>
      </w:r>
      <w:bookmarkEnd w:id="547"/>
      <w:bookmarkEnd w:id="548"/>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In this Law, other than in the definition of </w:t>
      </w:r>
      <w:r>
        <w:rPr>
          <w:b/>
          <w:bCs/>
          <w:i/>
          <w:iCs/>
          <w:color w:val="000000"/>
          <w:sz w:val="23"/>
          <w:szCs w:val="23"/>
        </w:rPr>
        <w:t>AER</w:t>
      </w:r>
      <w:r>
        <w:rPr>
          <w:color w:val="000000"/>
          <w:sz w:val="23"/>
          <w:szCs w:val="23"/>
        </w:rPr>
        <w:t xml:space="preserve"> in section 2, a reference to the AER is to be read as a reference to the regulator (whether the ERA or the AER) except to the extent that subsection (2) gives a different meaning.</w:t>
      </w:r>
    </w:p>
    <w:p>
      <w:pPr>
        <w:keepNext/>
        <w:keepLines/>
        <w:tabs>
          <w:tab w:val="center" w:pos="1191"/>
          <w:tab w:val="left" w:pos="1588"/>
        </w:tabs>
        <w:autoSpaceDE w:val="0"/>
        <w:autoSpaceDN w:val="0"/>
        <w:adjustRightInd w:val="0"/>
        <w:spacing w:before="120"/>
        <w:ind w:left="1588" w:hanging="794"/>
        <w:rPr>
          <w:sz w:val="23"/>
        </w:rPr>
      </w:pPr>
      <w:r>
        <w:rPr>
          <w:sz w:val="23"/>
        </w:rPr>
        <w:tab/>
        <w:t>(2)</w:t>
      </w:r>
      <w:r>
        <w:rPr>
          <w:sz w:val="23"/>
        </w:rPr>
        <w:tab/>
        <w:t xml:space="preserve">To the extent to which a reference to the AER is capable of being read as a reference to the Australian Energy Regulator established by section 44AE of the </w:t>
      </w:r>
      <w:r>
        <w:rPr>
          <w:i/>
          <w:iCs/>
          <w:sz w:val="23"/>
        </w:rPr>
        <w:t>Trade Practices Act 1974</w:t>
      </w:r>
      <w:r>
        <w:rPr>
          <w:sz w:val="23"/>
        </w:rPr>
        <w:t xml:space="preserve"> of the Commonwealth acting as the disputes resolution body, the term is to be read as having or including that meaning.</w:t>
      </w:r>
    </w:p>
    <w:p>
      <w:pPr>
        <w:pStyle w:val="Footnotesection"/>
      </w:pPr>
      <w:r>
        <w:tab/>
        <w:t>[Section 2A inserted: WA Act Sch. 1 cl. 4.]</w:t>
      </w:r>
    </w:p>
    <w:p>
      <w:pPr>
        <w:pStyle w:val="Heading5"/>
        <w:keepNext w:val="0"/>
        <w:keepLines w:val="0"/>
      </w:pPr>
      <w:bookmarkStart w:id="549" w:name="_Toc53045889"/>
      <w:bookmarkStart w:id="550" w:name="_Toc5364729"/>
      <w:r>
        <w:t>2B.</w:t>
      </w:r>
      <w:r>
        <w:rPr>
          <w:b w:val="0"/>
        </w:rPr>
        <w:tab/>
      </w:r>
      <w:r>
        <w:t>References to WA application Act</w:t>
      </w:r>
      <w:bookmarkEnd w:id="549"/>
      <w:bookmarkEnd w:id="550"/>
    </w:p>
    <w:p>
      <w:pPr>
        <w:tabs>
          <w:tab w:val="center" w:pos="1191"/>
          <w:tab w:val="left" w:pos="1588"/>
        </w:tabs>
        <w:autoSpaceDE w:val="0"/>
        <w:autoSpaceDN w:val="0"/>
        <w:adjustRightInd w:val="0"/>
        <w:spacing w:before="120"/>
        <w:ind w:left="1588" w:hanging="794"/>
        <w:rPr>
          <w:sz w:val="23"/>
        </w:rPr>
      </w:pPr>
      <w:r>
        <w:rPr>
          <w:sz w:val="23"/>
        </w:rPr>
        <w:tab/>
      </w:r>
      <w:r>
        <w:rPr>
          <w:sz w:val="23"/>
        </w:rPr>
        <w:tab/>
        <w:t xml:space="preserve">In this Law, a reference to </w:t>
      </w:r>
      <w:r>
        <w:rPr>
          <w:color w:val="000000"/>
          <w:sz w:val="23"/>
          <w:szCs w:val="23"/>
        </w:rPr>
        <w:t xml:space="preserve">the </w:t>
      </w:r>
      <w:r>
        <w:rPr>
          <w:i/>
          <w:iCs/>
          <w:color w:val="000000"/>
          <w:sz w:val="23"/>
          <w:szCs w:val="23"/>
        </w:rPr>
        <w:t>National Gas Access (Western Australia) Act 2008</w:t>
      </w:r>
      <w:r>
        <w:rPr>
          <w:sz w:val="23"/>
        </w:rPr>
        <w:t xml:space="preserve">, if any, is to be read as a reference to </w:t>
      </w:r>
      <w:r>
        <w:rPr>
          <w:snapToGrid w:val="0"/>
          <w:sz w:val="22"/>
        </w:rPr>
        <w:t>the</w:t>
      </w:r>
      <w:r>
        <w:rPr>
          <w:i/>
          <w:snapToGrid w:val="0"/>
          <w:sz w:val="22"/>
        </w:rPr>
        <w:t xml:space="preserve"> National Gas Access (WA) Act 2009</w:t>
      </w:r>
      <w:r>
        <w:rPr>
          <w:sz w:val="23"/>
        </w:rPr>
        <w:t>.</w:t>
      </w:r>
    </w:p>
    <w:p>
      <w:pPr>
        <w:pStyle w:val="Footnotesection"/>
      </w:pPr>
      <w:r>
        <w:tab/>
        <w:t>[Section 2B inserted: WA Act Sch. 1 cl. 4.]</w:t>
      </w:r>
    </w:p>
    <w:p>
      <w:pPr>
        <w:pStyle w:val="Heading5"/>
      </w:pPr>
      <w:bookmarkStart w:id="551" w:name="_Toc53045890"/>
      <w:bookmarkStart w:id="552" w:name="_Toc5364730"/>
      <w:r>
        <w:rPr>
          <w:rStyle w:val="CharSectno"/>
        </w:rPr>
        <w:t>3</w:t>
      </w:r>
      <w:r>
        <w:t>.</w:t>
      </w:r>
      <w:r>
        <w:tab/>
        <w:t>Meaning of civil penalty provision</w:t>
      </w:r>
      <w:bookmarkEnd w:id="551"/>
      <w:bookmarkEnd w:id="552"/>
    </w:p>
    <w:p>
      <w:pPr>
        <w:keepNext/>
        <w:keepLines/>
        <w:autoSpaceDE w:val="0"/>
        <w:autoSpaceDN w:val="0"/>
        <w:adjustRightInd w:val="0"/>
        <w:spacing w:before="120"/>
        <w:ind w:left="1588"/>
        <w:rPr>
          <w:color w:val="000000"/>
          <w:sz w:val="23"/>
          <w:szCs w:val="23"/>
        </w:rPr>
      </w:pPr>
      <w:r>
        <w:rPr>
          <w:color w:val="000000"/>
          <w:sz w:val="23"/>
          <w:szCs w:val="23"/>
        </w:rPr>
        <w:t>A civil penalty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this Law (other than an offence provision) or the Rules that is prescribed by the Regulations to be a civil penalty provision.</w:t>
      </w:r>
    </w:p>
    <w:p>
      <w:pPr>
        <w:keepNext/>
        <w:keepLines/>
        <w:autoSpaceDE w:val="0"/>
        <w:autoSpaceDN w:val="0"/>
        <w:adjustRightInd w:val="0"/>
        <w:spacing w:before="120"/>
        <w:ind w:left="1588"/>
        <w:rPr>
          <w:color w:val="000000"/>
          <w:sz w:val="2"/>
          <w:szCs w:val="2"/>
        </w:rPr>
      </w:pPr>
    </w:p>
    <w:p>
      <w:pPr>
        <w:keepNext/>
        <w:keepLines/>
        <w:autoSpaceDE w:val="0"/>
        <w:autoSpaceDN w:val="0"/>
        <w:adjustRightInd w:val="0"/>
        <w:spacing w:before="120" w:after="40"/>
        <w:jc w:val="center"/>
        <w:rPr>
          <w:color w:val="000000"/>
          <w:sz w:val="23"/>
          <w:szCs w:val="23"/>
        </w:rPr>
      </w:pPr>
      <w:r>
        <w:rPr>
          <w:b/>
          <w:bCs/>
          <w:color w:val="000000"/>
          <w:sz w:val="23"/>
          <w:szCs w:val="23"/>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Provision</w:t>
            </w:r>
          </w:p>
        </w:tc>
      </w:tr>
      <w:tr>
        <w:tc>
          <w:tcPr>
            <w:tcW w:w="2252" w:type="dxa"/>
            <w:tcBorders>
              <w:top w:val="single" w:sz="4" w:space="0" w:color="auto"/>
            </w:tcBorders>
            <w:vAlign w:val="center"/>
          </w:tcPr>
          <w:p>
            <w:pPr>
              <w:keepLines/>
              <w:autoSpaceDE w:val="0"/>
              <w:autoSpaceDN w:val="0"/>
              <w:adjustRightInd w:val="0"/>
              <w:spacing w:before="80"/>
              <w:rPr>
                <w:color w:val="000000"/>
                <w:sz w:val="20"/>
              </w:rPr>
            </w:pPr>
            <w:r>
              <w:rPr>
                <w:color w:val="000000"/>
                <w:sz w:val="20"/>
              </w:rPr>
              <w:t>1</w:t>
            </w:r>
          </w:p>
        </w:tc>
        <w:tc>
          <w:tcPr>
            <w:tcW w:w="1440" w:type="dxa"/>
            <w:tcBorders>
              <w:top w:val="single" w:sz="4" w:space="0" w:color="auto"/>
            </w:tcBorders>
            <w:vAlign w:val="center"/>
          </w:tcPr>
          <w:p>
            <w:pPr>
              <w:keepLines/>
              <w:autoSpaceDE w:val="0"/>
              <w:autoSpaceDN w:val="0"/>
              <w:adjustRightInd w:val="0"/>
              <w:spacing w:before="80"/>
              <w:rPr>
                <w:color w:val="000000"/>
                <w:sz w:val="20"/>
              </w:rPr>
            </w:pPr>
            <w:r>
              <w:rPr>
                <w:color w:val="000000"/>
                <w:sz w:val="20"/>
              </w:rPr>
              <w:t>Section 56</w:t>
            </w:r>
          </w:p>
        </w:tc>
      </w:tr>
      <w:tr>
        <w:tc>
          <w:tcPr>
            <w:tcW w:w="2252" w:type="dxa"/>
            <w:vAlign w:val="center"/>
          </w:tcPr>
          <w:p>
            <w:pPr>
              <w:keepLines/>
              <w:autoSpaceDE w:val="0"/>
              <w:autoSpaceDN w:val="0"/>
              <w:adjustRightInd w:val="0"/>
              <w:spacing w:before="80"/>
              <w:rPr>
                <w:color w:val="000000"/>
                <w:sz w:val="20"/>
              </w:rPr>
            </w:pPr>
            <w:r>
              <w:rPr>
                <w:color w:val="000000"/>
                <w:sz w:val="20"/>
              </w:rPr>
              <w:t>2</w:t>
            </w:r>
          </w:p>
        </w:tc>
        <w:tc>
          <w:tcPr>
            <w:tcW w:w="1440" w:type="dxa"/>
            <w:vAlign w:val="center"/>
          </w:tcPr>
          <w:p>
            <w:pPr>
              <w:keepLines/>
              <w:autoSpaceDE w:val="0"/>
              <w:autoSpaceDN w:val="0"/>
              <w:adjustRightInd w:val="0"/>
              <w:spacing w:before="80"/>
              <w:rPr>
                <w:color w:val="000000"/>
                <w:sz w:val="20"/>
              </w:rPr>
            </w:pPr>
            <w:r>
              <w:rPr>
                <w:color w:val="000000"/>
                <w:sz w:val="20"/>
              </w:rPr>
              <w:t>Section 57</w:t>
            </w:r>
          </w:p>
        </w:tc>
      </w:tr>
      <w:tr>
        <w:tc>
          <w:tcPr>
            <w:tcW w:w="2252" w:type="dxa"/>
            <w:vAlign w:val="center"/>
          </w:tcPr>
          <w:p>
            <w:pPr>
              <w:keepLines/>
              <w:autoSpaceDE w:val="0"/>
              <w:autoSpaceDN w:val="0"/>
              <w:adjustRightInd w:val="0"/>
              <w:spacing w:before="80"/>
              <w:rPr>
                <w:color w:val="000000"/>
                <w:sz w:val="20"/>
              </w:rPr>
            </w:pPr>
            <w:r>
              <w:rPr>
                <w:color w:val="000000"/>
                <w:sz w:val="20"/>
              </w:rPr>
              <w:t>3</w:t>
            </w:r>
          </w:p>
        </w:tc>
        <w:tc>
          <w:tcPr>
            <w:tcW w:w="1440" w:type="dxa"/>
            <w:vAlign w:val="center"/>
          </w:tcPr>
          <w:p>
            <w:pPr>
              <w:keepLines/>
              <w:autoSpaceDE w:val="0"/>
              <w:autoSpaceDN w:val="0"/>
              <w:adjustRightInd w:val="0"/>
              <w:spacing w:before="80"/>
              <w:rPr>
                <w:color w:val="000000"/>
                <w:sz w:val="20"/>
              </w:rPr>
            </w:pPr>
            <w:r>
              <w:rPr>
                <w:color w:val="000000"/>
                <w:sz w:val="20"/>
              </w:rPr>
              <w:t>Section 131</w:t>
            </w:r>
          </w:p>
        </w:tc>
      </w:tr>
      <w:tr>
        <w:tc>
          <w:tcPr>
            <w:tcW w:w="2252" w:type="dxa"/>
            <w:vAlign w:val="center"/>
          </w:tcPr>
          <w:p>
            <w:pPr>
              <w:keepLines/>
              <w:autoSpaceDE w:val="0"/>
              <w:autoSpaceDN w:val="0"/>
              <w:adjustRightInd w:val="0"/>
              <w:spacing w:before="80"/>
              <w:rPr>
                <w:color w:val="000000"/>
                <w:sz w:val="20"/>
              </w:rPr>
            </w:pPr>
            <w:r>
              <w:rPr>
                <w:color w:val="000000"/>
                <w:sz w:val="20"/>
              </w:rPr>
              <w:t>4</w:t>
            </w:r>
          </w:p>
        </w:tc>
        <w:tc>
          <w:tcPr>
            <w:tcW w:w="1440" w:type="dxa"/>
            <w:vAlign w:val="center"/>
          </w:tcPr>
          <w:p>
            <w:pPr>
              <w:keepLines/>
              <w:autoSpaceDE w:val="0"/>
              <w:autoSpaceDN w:val="0"/>
              <w:adjustRightInd w:val="0"/>
              <w:spacing w:before="80"/>
              <w:rPr>
                <w:color w:val="000000"/>
                <w:sz w:val="20"/>
              </w:rPr>
            </w:pPr>
            <w:r>
              <w:rPr>
                <w:color w:val="000000"/>
                <w:sz w:val="20"/>
              </w:rPr>
              <w:t>Section 133</w:t>
            </w:r>
          </w:p>
        </w:tc>
      </w:tr>
      <w:tr>
        <w:tc>
          <w:tcPr>
            <w:tcW w:w="2252" w:type="dxa"/>
            <w:vAlign w:val="center"/>
          </w:tcPr>
          <w:p>
            <w:pPr>
              <w:keepLines/>
              <w:autoSpaceDE w:val="0"/>
              <w:autoSpaceDN w:val="0"/>
              <w:adjustRightInd w:val="0"/>
              <w:spacing w:before="80"/>
              <w:rPr>
                <w:color w:val="000000"/>
                <w:sz w:val="20"/>
              </w:rPr>
            </w:pPr>
            <w:r>
              <w:rPr>
                <w:color w:val="000000"/>
                <w:sz w:val="20"/>
              </w:rPr>
              <w:t>5</w:t>
            </w:r>
          </w:p>
        </w:tc>
        <w:tc>
          <w:tcPr>
            <w:tcW w:w="1440" w:type="dxa"/>
            <w:vAlign w:val="center"/>
          </w:tcPr>
          <w:p>
            <w:pPr>
              <w:keepLines/>
              <w:autoSpaceDE w:val="0"/>
              <w:autoSpaceDN w:val="0"/>
              <w:adjustRightInd w:val="0"/>
              <w:spacing w:before="80"/>
              <w:rPr>
                <w:color w:val="000000"/>
                <w:sz w:val="20"/>
              </w:rPr>
            </w:pPr>
            <w:r>
              <w:rPr>
                <w:color w:val="000000"/>
                <w:sz w:val="20"/>
              </w:rPr>
              <w:t>Section 134</w:t>
            </w:r>
          </w:p>
        </w:tc>
      </w:tr>
      <w:tr>
        <w:tc>
          <w:tcPr>
            <w:tcW w:w="2252" w:type="dxa"/>
            <w:vAlign w:val="center"/>
          </w:tcPr>
          <w:p>
            <w:pPr>
              <w:keepLines/>
              <w:autoSpaceDE w:val="0"/>
              <w:autoSpaceDN w:val="0"/>
              <w:adjustRightInd w:val="0"/>
              <w:spacing w:before="80"/>
              <w:rPr>
                <w:color w:val="000000"/>
                <w:sz w:val="20"/>
              </w:rPr>
            </w:pPr>
            <w:r>
              <w:rPr>
                <w:color w:val="000000"/>
                <w:sz w:val="20"/>
              </w:rPr>
              <w:t>6</w:t>
            </w:r>
          </w:p>
        </w:tc>
        <w:tc>
          <w:tcPr>
            <w:tcW w:w="1440" w:type="dxa"/>
            <w:vAlign w:val="center"/>
          </w:tcPr>
          <w:p>
            <w:pPr>
              <w:keepLines/>
              <w:autoSpaceDE w:val="0"/>
              <w:autoSpaceDN w:val="0"/>
              <w:adjustRightInd w:val="0"/>
              <w:spacing w:before="80"/>
              <w:rPr>
                <w:color w:val="000000"/>
                <w:sz w:val="20"/>
              </w:rPr>
            </w:pPr>
            <w:r>
              <w:rPr>
                <w:color w:val="000000"/>
                <w:sz w:val="20"/>
              </w:rPr>
              <w:t>Section 135</w:t>
            </w:r>
          </w:p>
        </w:tc>
      </w:tr>
      <w:tr>
        <w:tc>
          <w:tcPr>
            <w:tcW w:w="2252" w:type="dxa"/>
            <w:vAlign w:val="center"/>
          </w:tcPr>
          <w:p>
            <w:pPr>
              <w:keepLines/>
              <w:autoSpaceDE w:val="0"/>
              <w:autoSpaceDN w:val="0"/>
              <w:adjustRightInd w:val="0"/>
              <w:spacing w:before="80"/>
              <w:rPr>
                <w:color w:val="000000"/>
                <w:sz w:val="20"/>
              </w:rPr>
            </w:pPr>
            <w:r>
              <w:rPr>
                <w:color w:val="000000"/>
                <w:sz w:val="20"/>
              </w:rPr>
              <w:t>7</w:t>
            </w:r>
          </w:p>
        </w:tc>
        <w:tc>
          <w:tcPr>
            <w:tcW w:w="1440" w:type="dxa"/>
            <w:vAlign w:val="center"/>
          </w:tcPr>
          <w:p>
            <w:pPr>
              <w:keepLines/>
              <w:autoSpaceDE w:val="0"/>
              <w:autoSpaceDN w:val="0"/>
              <w:adjustRightInd w:val="0"/>
              <w:spacing w:before="80"/>
              <w:rPr>
                <w:color w:val="000000"/>
                <w:sz w:val="20"/>
              </w:rPr>
            </w:pPr>
            <w:r>
              <w:rPr>
                <w:color w:val="000000"/>
                <w:sz w:val="20"/>
              </w:rPr>
              <w:t>Section 136</w:t>
            </w:r>
          </w:p>
        </w:tc>
      </w:tr>
      <w:tr>
        <w:tc>
          <w:tcPr>
            <w:tcW w:w="2252" w:type="dxa"/>
            <w:vAlign w:val="center"/>
          </w:tcPr>
          <w:p>
            <w:pPr>
              <w:keepLines/>
              <w:autoSpaceDE w:val="0"/>
              <w:autoSpaceDN w:val="0"/>
              <w:adjustRightInd w:val="0"/>
              <w:spacing w:before="80"/>
              <w:rPr>
                <w:color w:val="000000"/>
                <w:sz w:val="20"/>
              </w:rPr>
            </w:pPr>
            <w:r>
              <w:rPr>
                <w:color w:val="000000"/>
                <w:sz w:val="20"/>
              </w:rPr>
              <w:t>8</w:t>
            </w:r>
          </w:p>
        </w:tc>
        <w:tc>
          <w:tcPr>
            <w:tcW w:w="1440" w:type="dxa"/>
            <w:vAlign w:val="center"/>
          </w:tcPr>
          <w:p>
            <w:pPr>
              <w:keepLines/>
              <w:autoSpaceDE w:val="0"/>
              <w:autoSpaceDN w:val="0"/>
              <w:adjustRightInd w:val="0"/>
              <w:spacing w:before="80"/>
              <w:rPr>
                <w:color w:val="000000"/>
                <w:sz w:val="20"/>
              </w:rPr>
            </w:pPr>
            <w:r>
              <w:rPr>
                <w:color w:val="000000"/>
                <w:sz w:val="20"/>
              </w:rPr>
              <w:t>Section 139</w:t>
            </w:r>
          </w:p>
        </w:tc>
      </w:tr>
      <w:tr>
        <w:tc>
          <w:tcPr>
            <w:tcW w:w="2252" w:type="dxa"/>
            <w:vAlign w:val="center"/>
          </w:tcPr>
          <w:p>
            <w:pPr>
              <w:keepLines/>
              <w:autoSpaceDE w:val="0"/>
              <w:autoSpaceDN w:val="0"/>
              <w:adjustRightInd w:val="0"/>
              <w:spacing w:before="80"/>
              <w:rPr>
                <w:color w:val="000000"/>
                <w:sz w:val="20"/>
              </w:rPr>
            </w:pPr>
            <w:r>
              <w:rPr>
                <w:color w:val="000000"/>
                <w:sz w:val="20"/>
              </w:rPr>
              <w:t>9</w:t>
            </w:r>
          </w:p>
        </w:tc>
        <w:tc>
          <w:tcPr>
            <w:tcW w:w="1440" w:type="dxa"/>
            <w:vAlign w:val="center"/>
          </w:tcPr>
          <w:p>
            <w:pPr>
              <w:keepLines/>
              <w:autoSpaceDE w:val="0"/>
              <w:autoSpaceDN w:val="0"/>
              <w:adjustRightInd w:val="0"/>
              <w:spacing w:before="80"/>
              <w:rPr>
                <w:color w:val="000000"/>
                <w:sz w:val="20"/>
              </w:rPr>
            </w:pPr>
            <w:r>
              <w:rPr>
                <w:color w:val="000000"/>
                <w:sz w:val="20"/>
              </w:rPr>
              <w:t>Section 140</w:t>
            </w:r>
          </w:p>
        </w:tc>
      </w:tr>
      <w:tr>
        <w:tc>
          <w:tcPr>
            <w:tcW w:w="2252" w:type="dxa"/>
            <w:vAlign w:val="center"/>
          </w:tcPr>
          <w:p>
            <w:pPr>
              <w:keepLines/>
              <w:autoSpaceDE w:val="0"/>
              <w:autoSpaceDN w:val="0"/>
              <w:adjustRightInd w:val="0"/>
              <w:spacing w:before="80"/>
              <w:rPr>
                <w:color w:val="000000"/>
                <w:sz w:val="20"/>
              </w:rPr>
            </w:pPr>
            <w:r>
              <w:rPr>
                <w:color w:val="000000"/>
                <w:sz w:val="20"/>
              </w:rPr>
              <w:t>10</w:t>
            </w:r>
          </w:p>
        </w:tc>
        <w:tc>
          <w:tcPr>
            <w:tcW w:w="1440" w:type="dxa"/>
            <w:vAlign w:val="center"/>
          </w:tcPr>
          <w:p>
            <w:pPr>
              <w:keepLines/>
              <w:autoSpaceDE w:val="0"/>
              <w:autoSpaceDN w:val="0"/>
              <w:adjustRightInd w:val="0"/>
              <w:spacing w:before="80"/>
              <w:rPr>
                <w:color w:val="000000"/>
                <w:sz w:val="20"/>
              </w:rPr>
            </w:pPr>
            <w:r>
              <w:rPr>
                <w:color w:val="000000"/>
                <w:sz w:val="20"/>
              </w:rPr>
              <w:t>Section 141</w:t>
            </w:r>
          </w:p>
        </w:tc>
      </w:tr>
      <w:tr>
        <w:tc>
          <w:tcPr>
            <w:tcW w:w="2252" w:type="dxa"/>
            <w:vAlign w:val="center"/>
          </w:tcPr>
          <w:p>
            <w:pPr>
              <w:keepLines/>
              <w:autoSpaceDE w:val="0"/>
              <w:autoSpaceDN w:val="0"/>
              <w:adjustRightInd w:val="0"/>
              <w:spacing w:before="80"/>
              <w:rPr>
                <w:color w:val="000000"/>
                <w:sz w:val="20"/>
              </w:rPr>
            </w:pPr>
            <w:r>
              <w:rPr>
                <w:color w:val="000000"/>
                <w:sz w:val="20"/>
              </w:rPr>
              <w:t>11</w:t>
            </w:r>
          </w:p>
        </w:tc>
        <w:tc>
          <w:tcPr>
            <w:tcW w:w="1440" w:type="dxa"/>
            <w:vAlign w:val="center"/>
          </w:tcPr>
          <w:p>
            <w:pPr>
              <w:keepLines/>
              <w:autoSpaceDE w:val="0"/>
              <w:autoSpaceDN w:val="0"/>
              <w:adjustRightInd w:val="0"/>
              <w:spacing w:before="80"/>
              <w:rPr>
                <w:color w:val="000000"/>
                <w:sz w:val="20"/>
              </w:rPr>
            </w:pPr>
            <w:r>
              <w:rPr>
                <w:color w:val="000000"/>
                <w:sz w:val="20"/>
              </w:rPr>
              <w:t>Section 143(6)</w:t>
            </w:r>
          </w:p>
        </w:tc>
      </w:tr>
      <w:tr>
        <w:tc>
          <w:tcPr>
            <w:tcW w:w="2252" w:type="dxa"/>
            <w:vAlign w:val="center"/>
          </w:tcPr>
          <w:p>
            <w:pPr>
              <w:keepLines/>
              <w:autoSpaceDE w:val="0"/>
              <w:autoSpaceDN w:val="0"/>
              <w:adjustRightInd w:val="0"/>
              <w:spacing w:before="80"/>
              <w:rPr>
                <w:color w:val="000000"/>
                <w:sz w:val="20"/>
              </w:rPr>
            </w:pPr>
            <w:r>
              <w:rPr>
                <w:color w:val="000000"/>
                <w:sz w:val="20"/>
              </w:rPr>
              <w:t>12</w:t>
            </w:r>
          </w:p>
        </w:tc>
        <w:tc>
          <w:tcPr>
            <w:tcW w:w="1440" w:type="dxa"/>
            <w:vAlign w:val="center"/>
          </w:tcPr>
          <w:p>
            <w:pPr>
              <w:keepLines/>
              <w:autoSpaceDE w:val="0"/>
              <w:autoSpaceDN w:val="0"/>
              <w:adjustRightInd w:val="0"/>
              <w:spacing w:before="80"/>
              <w:rPr>
                <w:color w:val="000000"/>
                <w:sz w:val="20"/>
              </w:rPr>
            </w:pPr>
            <w:r>
              <w:rPr>
                <w:color w:val="000000"/>
                <w:sz w:val="20"/>
              </w:rPr>
              <w:t>Section 147</w:t>
            </w:r>
          </w:p>
        </w:tc>
      </w:tr>
      <w:tr>
        <w:tc>
          <w:tcPr>
            <w:tcW w:w="2252" w:type="dxa"/>
            <w:vAlign w:val="center"/>
          </w:tcPr>
          <w:p>
            <w:pPr>
              <w:keepLines/>
              <w:autoSpaceDE w:val="0"/>
              <w:autoSpaceDN w:val="0"/>
              <w:adjustRightInd w:val="0"/>
              <w:spacing w:before="80"/>
              <w:rPr>
                <w:color w:val="000000"/>
                <w:sz w:val="20"/>
              </w:rPr>
            </w:pPr>
            <w:r>
              <w:rPr>
                <w:color w:val="000000"/>
                <w:sz w:val="20"/>
              </w:rPr>
              <w:t>13</w:t>
            </w:r>
          </w:p>
        </w:tc>
        <w:tc>
          <w:tcPr>
            <w:tcW w:w="1440" w:type="dxa"/>
            <w:vAlign w:val="center"/>
          </w:tcPr>
          <w:p>
            <w:pPr>
              <w:keepLines/>
              <w:autoSpaceDE w:val="0"/>
              <w:autoSpaceDN w:val="0"/>
              <w:adjustRightInd w:val="0"/>
              <w:spacing w:before="80"/>
              <w:rPr>
                <w:color w:val="000000"/>
                <w:sz w:val="20"/>
              </w:rPr>
            </w:pPr>
            <w:r>
              <w:rPr>
                <w:color w:val="000000"/>
                <w:sz w:val="20"/>
              </w:rPr>
              <w:t>Section 148</w:t>
            </w:r>
          </w:p>
        </w:tc>
      </w:tr>
      <w:tr>
        <w:tc>
          <w:tcPr>
            <w:tcW w:w="2252" w:type="dxa"/>
            <w:vAlign w:val="center"/>
          </w:tcPr>
          <w:p>
            <w:pPr>
              <w:keepLines/>
              <w:autoSpaceDE w:val="0"/>
              <w:autoSpaceDN w:val="0"/>
              <w:adjustRightInd w:val="0"/>
              <w:spacing w:before="80"/>
              <w:rPr>
                <w:color w:val="000000"/>
                <w:sz w:val="20"/>
              </w:rPr>
            </w:pPr>
            <w:r>
              <w:rPr>
                <w:color w:val="000000"/>
                <w:sz w:val="20"/>
              </w:rPr>
              <w:t>14</w:t>
            </w:r>
          </w:p>
        </w:tc>
        <w:tc>
          <w:tcPr>
            <w:tcW w:w="1440" w:type="dxa"/>
            <w:vAlign w:val="center"/>
          </w:tcPr>
          <w:p>
            <w:pPr>
              <w:keepLines/>
              <w:autoSpaceDE w:val="0"/>
              <w:autoSpaceDN w:val="0"/>
              <w:adjustRightInd w:val="0"/>
              <w:spacing w:before="80"/>
              <w:rPr>
                <w:color w:val="000000"/>
                <w:sz w:val="20"/>
              </w:rPr>
            </w:pPr>
            <w:r>
              <w:rPr>
                <w:color w:val="000000"/>
                <w:sz w:val="20"/>
              </w:rPr>
              <w:t>Section 168</w:t>
            </w:r>
          </w:p>
        </w:tc>
      </w:tr>
      <w:tr>
        <w:tc>
          <w:tcPr>
            <w:tcW w:w="2252" w:type="dxa"/>
            <w:vAlign w:val="center"/>
          </w:tcPr>
          <w:p>
            <w:pPr>
              <w:keepLines/>
              <w:autoSpaceDE w:val="0"/>
              <w:autoSpaceDN w:val="0"/>
              <w:adjustRightInd w:val="0"/>
              <w:spacing w:before="80"/>
              <w:rPr>
                <w:color w:val="000000"/>
                <w:sz w:val="20"/>
              </w:rPr>
            </w:pPr>
            <w:r>
              <w:rPr>
                <w:color w:val="000000"/>
                <w:sz w:val="20"/>
              </w:rPr>
              <w:t>15</w:t>
            </w:r>
          </w:p>
        </w:tc>
        <w:tc>
          <w:tcPr>
            <w:tcW w:w="1440" w:type="dxa"/>
            <w:vAlign w:val="center"/>
          </w:tcPr>
          <w:p>
            <w:pPr>
              <w:keepLines/>
              <w:autoSpaceDE w:val="0"/>
              <w:autoSpaceDN w:val="0"/>
              <w:adjustRightInd w:val="0"/>
              <w:spacing w:before="80"/>
              <w:rPr>
                <w:color w:val="000000"/>
                <w:sz w:val="20"/>
              </w:rPr>
            </w:pPr>
            <w:r>
              <w:rPr>
                <w:color w:val="000000"/>
                <w:sz w:val="20"/>
              </w:rPr>
              <w:t>Section 169(3)</w:t>
            </w:r>
          </w:p>
        </w:tc>
      </w:tr>
      <w:tr>
        <w:tc>
          <w:tcPr>
            <w:tcW w:w="2252" w:type="dxa"/>
            <w:vAlign w:val="center"/>
          </w:tcPr>
          <w:p>
            <w:pPr>
              <w:keepLines/>
              <w:autoSpaceDE w:val="0"/>
              <w:autoSpaceDN w:val="0"/>
              <w:adjustRightInd w:val="0"/>
              <w:spacing w:before="80"/>
              <w:rPr>
                <w:color w:val="000000"/>
                <w:sz w:val="20"/>
              </w:rPr>
            </w:pPr>
            <w:r>
              <w:rPr>
                <w:color w:val="000000"/>
                <w:sz w:val="20"/>
              </w:rPr>
              <w:t>16</w:t>
            </w:r>
          </w:p>
        </w:tc>
        <w:tc>
          <w:tcPr>
            <w:tcW w:w="1440" w:type="dxa"/>
            <w:vAlign w:val="center"/>
          </w:tcPr>
          <w:p>
            <w:pPr>
              <w:keepLines/>
              <w:autoSpaceDE w:val="0"/>
              <w:autoSpaceDN w:val="0"/>
              <w:adjustRightInd w:val="0"/>
              <w:spacing w:before="80"/>
              <w:rPr>
                <w:color w:val="000000"/>
                <w:sz w:val="20"/>
              </w:rPr>
            </w:pPr>
            <w:r>
              <w:rPr>
                <w:color w:val="000000"/>
                <w:sz w:val="20"/>
              </w:rPr>
              <w:t>Section 170</w:t>
            </w:r>
          </w:p>
        </w:tc>
      </w:tr>
      <w:tr>
        <w:tc>
          <w:tcPr>
            <w:tcW w:w="2252" w:type="dxa"/>
            <w:vAlign w:val="center"/>
          </w:tcPr>
          <w:p>
            <w:pPr>
              <w:keepLines/>
              <w:autoSpaceDE w:val="0"/>
              <w:autoSpaceDN w:val="0"/>
              <w:adjustRightInd w:val="0"/>
              <w:spacing w:before="80"/>
              <w:rPr>
                <w:color w:val="000000"/>
                <w:sz w:val="20"/>
              </w:rPr>
            </w:pPr>
            <w:r>
              <w:rPr>
                <w:color w:val="000000"/>
                <w:sz w:val="20"/>
              </w:rPr>
              <w:t>17</w:t>
            </w:r>
          </w:p>
        </w:tc>
        <w:tc>
          <w:tcPr>
            <w:tcW w:w="1440" w:type="dxa"/>
            <w:vAlign w:val="center"/>
          </w:tcPr>
          <w:p>
            <w:pPr>
              <w:keepLines/>
              <w:autoSpaceDE w:val="0"/>
              <w:autoSpaceDN w:val="0"/>
              <w:adjustRightInd w:val="0"/>
              <w:spacing w:before="80"/>
              <w:rPr>
                <w:color w:val="000000"/>
                <w:sz w:val="20"/>
              </w:rPr>
            </w:pPr>
            <w:r>
              <w:rPr>
                <w:color w:val="000000"/>
                <w:sz w:val="20"/>
              </w:rPr>
              <w:t>Section 195</w:t>
            </w:r>
          </w:p>
        </w:tc>
      </w:tr>
      <w:tr>
        <w:tc>
          <w:tcPr>
            <w:tcW w:w="2252" w:type="dxa"/>
            <w:vAlign w:val="center"/>
          </w:tcPr>
          <w:p>
            <w:pPr>
              <w:keepLines/>
              <w:autoSpaceDE w:val="0"/>
              <w:autoSpaceDN w:val="0"/>
              <w:adjustRightInd w:val="0"/>
              <w:spacing w:before="80"/>
              <w:rPr>
                <w:color w:val="000000"/>
                <w:sz w:val="20"/>
              </w:rPr>
            </w:pPr>
            <w:r>
              <w:rPr>
                <w:color w:val="000000"/>
                <w:sz w:val="20"/>
              </w:rPr>
              <w:t>18</w:t>
            </w:r>
          </w:p>
        </w:tc>
        <w:tc>
          <w:tcPr>
            <w:tcW w:w="1440" w:type="dxa"/>
            <w:vAlign w:val="center"/>
          </w:tcPr>
          <w:p>
            <w:pPr>
              <w:keepLines/>
              <w:autoSpaceDE w:val="0"/>
              <w:autoSpaceDN w:val="0"/>
              <w:adjustRightInd w:val="0"/>
              <w:spacing w:before="80"/>
              <w:rPr>
                <w:color w:val="000000"/>
                <w:sz w:val="20"/>
              </w:rPr>
            </w:pPr>
            <w:r>
              <w:rPr>
                <w:color w:val="000000"/>
                <w:sz w:val="20"/>
              </w:rPr>
              <w:t>Section 223</w:t>
            </w:r>
          </w:p>
        </w:tc>
      </w:tr>
      <w:tr>
        <w:tc>
          <w:tcPr>
            <w:tcW w:w="2252" w:type="dxa"/>
            <w:vAlign w:val="center"/>
          </w:tcPr>
          <w:p>
            <w:pPr>
              <w:keepLines/>
              <w:autoSpaceDE w:val="0"/>
              <w:autoSpaceDN w:val="0"/>
              <w:adjustRightInd w:val="0"/>
              <w:spacing w:before="80"/>
              <w:rPr>
                <w:color w:val="000000"/>
                <w:sz w:val="20"/>
              </w:rPr>
            </w:pPr>
            <w:r>
              <w:rPr>
                <w:color w:val="000000"/>
                <w:sz w:val="20"/>
              </w:rPr>
              <w:t>19</w:t>
            </w:r>
          </w:p>
        </w:tc>
        <w:tc>
          <w:tcPr>
            <w:tcW w:w="1440" w:type="dxa"/>
            <w:vAlign w:val="center"/>
          </w:tcPr>
          <w:p>
            <w:pPr>
              <w:keepLines/>
              <w:autoSpaceDE w:val="0"/>
              <w:autoSpaceDN w:val="0"/>
              <w:adjustRightInd w:val="0"/>
              <w:spacing w:before="80"/>
              <w:rPr>
                <w:color w:val="000000"/>
                <w:sz w:val="20"/>
              </w:rPr>
            </w:pPr>
            <w:r>
              <w:rPr>
                <w:color w:val="000000"/>
                <w:sz w:val="20"/>
              </w:rPr>
              <w:t>Section 225</w:t>
            </w:r>
          </w:p>
        </w:tc>
      </w:tr>
      <w:tr>
        <w:tc>
          <w:tcPr>
            <w:tcW w:w="2252" w:type="dxa"/>
            <w:vAlign w:val="center"/>
          </w:tcPr>
          <w:p>
            <w:pPr>
              <w:keepLines/>
              <w:autoSpaceDE w:val="0"/>
              <w:autoSpaceDN w:val="0"/>
              <w:adjustRightInd w:val="0"/>
              <w:spacing w:before="80"/>
              <w:rPr>
                <w:color w:val="000000"/>
                <w:sz w:val="20"/>
              </w:rPr>
            </w:pPr>
            <w:r>
              <w:rPr>
                <w:color w:val="000000"/>
                <w:sz w:val="20"/>
              </w:rPr>
              <w:t>20</w:t>
            </w:r>
          </w:p>
        </w:tc>
        <w:tc>
          <w:tcPr>
            <w:tcW w:w="1440" w:type="dxa"/>
            <w:vAlign w:val="center"/>
          </w:tcPr>
          <w:p>
            <w:pPr>
              <w:keepLines/>
              <w:autoSpaceDE w:val="0"/>
              <w:autoSpaceDN w:val="0"/>
              <w:adjustRightInd w:val="0"/>
              <w:spacing w:before="80"/>
              <w:rPr>
                <w:color w:val="000000"/>
                <w:sz w:val="20"/>
              </w:rPr>
            </w:pPr>
            <w:r>
              <w:rPr>
                <w:color w:val="000000"/>
                <w:sz w:val="20"/>
              </w:rPr>
              <w:t>Section 227</w:t>
            </w:r>
          </w:p>
        </w:tc>
      </w:tr>
      <w:tr>
        <w:tc>
          <w:tcPr>
            <w:tcW w:w="2252" w:type="dxa"/>
            <w:vAlign w:val="center"/>
          </w:tcPr>
          <w:p>
            <w:pPr>
              <w:keepLines/>
              <w:autoSpaceDE w:val="0"/>
              <w:autoSpaceDN w:val="0"/>
              <w:adjustRightInd w:val="0"/>
              <w:spacing w:before="80"/>
              <w:rPr>
                <w:color w:val="000000"/>
                <w:sz w:val="20"/>
              </w:rPr>
            </w:pPr>
            <w:r>
              <w:rPr>
                <w:color w:val="000000"/>
                <w:sz w:val="20"/>
              </w:rPr>
              <w:t>21</w:t>
            </w:r>
          </w:p>
        </w:tc>
        <w:tc>
          <w:tcPr>
            <w:tcW w:w="1440" w:type="dxa"/>
            <w:vAlign w:val="center"/>
          </w:tcPr>
          <w:p>
            <w:pPr>
              <w:keepLines/>
              <w:autoSpaceDE w:val="0"/>
              <w:autoSpaceDN w:val="0"/>
              <w:adjustRightInd w:val="0"/>
              <w:spacing w:before="80"/>
              <w:rPr>
                <w:color w:val="000000"/>
                <w:sz w:val="20"/>
              </w:rPr>
            </w:pPr>
            <w:r>
              <w:rPr>
                <w:color w:val="000000"/>
                <w:sz w:val="20"/>
              </w:rPr>
              <w:t>Section 228</w:t>
            </w:r>
          </w:p>
        </w:tc>
      </w:tr>
    </w:tbl>
    <w:p>
      <w:pPr>
        <w:pStyle w:val="Heading5"/>
      </w:pPr>
      <w:bookmarkStart w:id="553" w:name="_Toc53045891"/>
      <w:bookmarkStart w:id="554" w:name="_Toc5364731"/>
      <w:r>
        <w:rPr>
          <w:rStyle w:val="CharSectno"/>
        </w:rPr>
        <w:t>4</w:t>
      </w:r>
      <w:r>
        <w:t>.</w:t>
      </w:r>
      <w:r>
        <w:tab/>
        <w:t>Meaning of conduct provision</w:t>
      </w:r>
      <w:bookmarkEnd w:id="553"/>
      <w:bookmarkEnd w:id="554"/>
    </w:p>
    <w:p>
      <w:pPr>
        <w:keepNext/>
        <w:keepLines/>
        <w:autoSpaceDE w:val="0"/>
        <w:autoSpaceDN w:val="0"/>
        <w:adjustRightInd w:val="0"/>
        <w:spacing w:before="120"/>
        <w:ind w:left="1588"/>
        <w:rPr>
          <w:color w:val="000000"/>
          <w:sz w:val="23"/>
          <w:szCs w:val="23"/>
        </w:rPr>
      </w:pPr>
      <w:r>
        <w:rPr>
          <w:color w:val="000000"/>
          <w:sz w:val="23"/>
          <w:szCs w:val="23"/>
        </w:rPr>
        <w:t>A conduct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this Law (other than an offence provision) or the Rules that is prescribed by the Regulations to be a conduct provision.</w:t>
      </w:r>
    </w:p>
    <w:p>
      <w:pPr>
        <w:keepNext/>
        <w:keepLines/>
        <w:autoSpaceDE w:val="0"/>
        <w:autoSpaceDN w:val="0"/>
        <w:adjustRightInd w:val="0"/>
        <w:spacing w:before="120"/>
        <w:ind w:left="1588"/>
        <w:rPr>
          <w:color w:val="000000"/>
          <w:sz w:val="2"/>
          <w:szCs w:val="2"/>
        </w:rPr>
      </w:pPr>
    </w:p>
    <w:p>
      <w:pPr>
        <w:keepNext/>
        <w:keepLines/>
        <w:autoSpaceDE w:val="0"/>
        <w:autoSpaceDN w:val="0"/>
        <w:adjustRightInd w:val="0"/>
        <w:spacing w:before="120" w:after="40"/>
        <w:jc w:val="center"/>
        <w:rPr>
          <w:color w:val="000000"/>
          <w:sz w:val="23"/>
          <w:szCs w:val="23"/>
        </w:rPr>
      </w:pPr>
      <w:r>
        <w:rPr>
          <w:b/>
          <w:bCs/>
          <w:color w:val="000000"/>
          <w:sz w:val="23"/>
          <w:szCs w:val="23"/>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Provision</w:t>
            </w:r>
          </w:p>
        </w:tc>
      </w:tr>
      <w:tr>
        <w:tc>
          <w:tcPr>
            <w:tcW w:w="2252" w:type="dxa"/>
            <w:tcBorders>
              <w:top w:val="single" w:sz="4" w:space="0" w:color="auto"/>
            </w:tcBorders>
            <w:vAlign w:val="center"/>
          </w:tcPr>
          <w:p>
            <w:pPr>
              <w:keepLines/>
              <w:autoSpaceDE w:val="0"/>
              <w:autoSpaceDN w:val="0"/>
              <w:adjustRightInd w:val="0"/>
              <w:spacing w:before="120"/>
              <w:rPr>
                <w:color w:val="000000"/>
                <w:sz w:val="20"/>
              </w:rPr>
            </w:pPr>
            <w:r>
              <w:rPr>
                <w:color w:val="000000"/>
                <w:sz w:val="20"/>
              </w:rPr>
              <w:t>1</w:t>
            </w:r>
          </w:p>
        </w:tc>
        <w:tc>
          <w:tcPr>
            <w:tcW w:w="1440" w:type="dxa"/>
            <w:tcBorders>
              <w:top w:val="single" w:sz="4" w:space="0" w:color="auto"/>
            </w:tcBorders>
            <w:vAlign w:val="center"/>
          </w:tcPr>
          <w:p>
            <w:pPr>
              <w:keepLines/>
              <w:autoSpaceDE w:val="0"/>
              <w:autoSpaceDN w:val="0"/>
              <w:adjustRightInd w:val="0"/>
              <w:spacing w:before="120"/>
              <w:rPr>
                <w:color w:val="000000"/>
                <w:sz w:val="20"/>
              </w:rPr>
            </w:pPr>
            <w:r>
              <w:rPr>
                <w:color w:val="000000"/>
                <w:sz w:val="20"/>
              </w:rPr>
              <w:t>Section 133</w:t>
            </w:r>
          </w:p>
        </w:tc>
      </w:tr>
      <w:tr>
        <w:tc>
          <w:tcPr>
            <w:tcW w:w="2252" w:type="dxa"/>
            <w:vAlign w:val="center"/>
          </w:tcPr>
          <w:p>
            <w:pPr>
              <w:keepLines/>
              <w:autoSpaceDE w:val="0"/>
              <w:autoSpaceDN w:val="0"/>
              <w:adjustRightInd w:val="0"/>
              <w:spacing w:before="120"/>
              <w:rPr>
                <w:color w:val="000000"/>
                <w:sz w:val="20"/>
              </w:rPr>
            </w:pPr>
            <w:r>
              <w:rPr>
                <w:color w:val="000000"/>
                <w:sz w:val="20"/>
              </w:rPr>
              <w:t>2</w:t>
            </w:r>
          </w:p>
        </w:tc>
        <w:tc>
          <w:tcPr>
            <w:tcW w:w="1440" w:type="dxa"/>
            <w:vAlign w:val="center"/>
          </w:tcPr>
          <w:p>
            <w:pPr>
              <w:keepLines/>
              <w:autoSpaceDE w:val="0"/>
              <w:autoSpaceDN w:val="0"/>
              <w:adjustRightInd w:val="0"/>
              <w:spacing w:before="120"/>
              <w:rPr>
                <w:color w:val="000000"/>
                <w:sz w:val="20"/>
              </w:rPr>
            </w:pPr>
            <w:r>
              <w:rPr>
                <w:color w:val="000000"/>
                <w:sz w:val="20"/>
              </w:rPr>
              <w:t>Section 134</w:t>
            </w:r>
          </w:p>
        </w:tc>
      </w:tr>
      <w:tr>
        <w:tc>
          <w:tcPr>
            <w:tcW w:w="2252" w:type="dxa"/>
            <w:vAlign w:val="center"/>
          </w:tcPr>
          <w:p>
            <w:pPr>
              <w:keepLines/>
              <w:autoSpaceDE w:val="0"/>
              <w:autoSpaceDN w:val="0"/>
              <w:adjustRightInd w:val="0"/>
              <w:spacing w:before="120"/>
              <w:rPr>
                <w:color w:val="000000"/>
                <w:sz w:val="20"/>
              </w:rPr>
            </w:pPr>
            <w:r>
              <w:rPr>
                <w:color w:val="000000"/>
                <w:sz w:val="20"/>
              </w:rPr>
              <w:t>3</w:t>
            </w:r>
          </w:p>
        </w:tc>
        <w:tc>
          <w:tcPr>
            <w:tcW w:w="1440" w:type="dxa"/>
            <w:vAlign w:val="center"/>
          </w:tcPr>
          <w:p>
            <w:pPr>
              <w:keepLines/>
              <w:autoSpaceDE w:val="0"/>
              <w:autoSpaceDN w:val="0"/>
              <w:adjustRightInd w:val="0"/>
              <w:spacing w:before="120"/>
              <w:rPr>
                <w:color w:val="000000"/>
                <w:sz w:val="20"/>
              </w:rPr>
            </w:pPr>
            <w:r>
              <w:rPr>
                <w:color w:val="000000"/>
                <w:sz w:val="20"/>
              </w:rPr>
              <w:t>Section 135</w:t>
            </w:r>
          </w:p>
        </w:tc>
      </w:tr>
      <w:tr>
        <w:tc>
          <w:tcPr>
            <w:tcW w:w="2252" w:type="dxa"/>
            <w:vAlign w:val="center"/>
          </w:tcPr>
          <w:p>
            <w:pPr>
              <w:keepLines/>
              <w:autoSpaceDE w:val="0"/>
              <w:autoSpaceDN w:val="0"/>
              <w:adjustRightInd w:val="0"/>
              <w:spacing w:before="120"/>
              <w:rPr>
                <w:color w:val="000000"/>
                <w:sz w:val="20"/>
              </w:rPr>
            </w:pPr>
            <w:r>
              <w:rPr>
                <w:color w:val="000000"/>
                <w:sz w:val="20"/>
              </w:rPr>
              <w:t>4</w:t>
            </w:r>
          </w:p>
        </w:tc>
        <w:tc>
          <w:tcPr>
            <w:tcW w:w="1440" w:type="dxa"/>
            <w:vAlign w:val="center"/>
          </w:tcPr>
          <w:p>
            <w:pPr>
              <w:keepLines/>
              <w:autoSpaceDE w:val="0"/>
              <w:autoSpaceDN w:val="0"/>
              <w:adjustRightInd w:val="0"/>
              <w:spacing w:before="120"/>
              <w:rPr>
                <w:color w:val="000000"/>
                <w:sz w:val="20"/>
              </w:rPr>
            </w:pPr>
            <w:r>
              <w:rPr>
                <w:color w:val="000000"/>
                <w:sz w:val="20"/>
              </w:rPr>
              <w:t>Section 136</w:t>
            </w:r>
          </w:p>
        </w:tc>
      </w:tr>
      <w:tr>
        <w:tc>
          <w:tcPr>
            <w:tcW w:w="2252" w:type="dxa"/>
            <w:vAlign w:val="center"/>
          </w:tcPr>
          <w:p>
            <w:pPr>
              <w:keepLines/>
              <w:autoSpaceDE w:val="0"/>
              <w:autoSpaceDN w:val="0"/>
              <w:adjustRightInd w:val="0"/>
              <w:spacing w:before="120"/>
              <w:rPr>
                <w:color w:val="000000"/>
                <w:sz w:val="20"/>
              </w:rPr>
            </w:pPr>
            <w:r>
              <w:rPr>
                <w:color w:val="000000"/>
                <w:sz w:val="20"/>
              </w:rPr>
              <w:t>5</w:t>
            </w:r>
          </w:p>
        </w:tc>
        <w:tc>
          <w:tcPr>
            <w:tcW w:w="1440" w:type="dxa"/>
            <w:vAlign w:val="center"/>
          </w:tcPr>
          <w:p>
            <w:pPr>
              <w:keepLines/>
              <w:autoSpaceDE w:val="0"/>
              <w:autoSpaceDN w:val="0"/>
              <w:adjustRightInd w:val="0"/>
              <w:spacing w:before="120"/>
              <w:rPr>
                <w:color w:val="000000"/>
                <w:sz w:val="20"/>
              </w:rPr>
            </w:pPr>
            <w:r>
              <w:rPr>
                <w:color w:val="000000"/>
                <w:sz w:val="20"/>
              </w:rPr>
              <w:t>Section 147</w:t>
            </w:r>
          </w:p>
        </w:tc>
      </w:tr>
      <w:tr>
        <w:tc>
          <w:tcPr>
            <w:tcW w:w="2252" w:type="dxa"/>
            <w:vAlign w:val="center"/>
          </w:tcPr>
          <w:p>
            <w:pPr>
              <w:keepLines/>
              <w:autoSpaceDE w:val="0"/>
              <w:autoSpaceDN w:val="0"/>
              <w:adjustRightInd w:val="0"/>
              <w:spacing w:before="120"/>
              <w:rPr>
                <w:color w:val="000000"/>
                <w:sz w:val="20"/>
              </w:rPr>
            </w:pPr>
            <w:r>
              <w:rPr>
                <w:color w:val="000000"/>
                <w:sz w:val="20"/>
              </w:rPr>
              <w:t>6</w:t>
            </w:r>
          </w:p>
        </w:tc>
        <w:tc>
          <w:tcPr>
            <w:tcW w:w="1440" w:type="dxa"/>
            <w:vAlign w:val="center"/>
          </w:tcPr>
          <w:p>
            <w:pPr>
              <w:keepLines/>
              <w:autoSpaceDE w:val="0"/>
              <w:autoSpaceDN w:val="0"/>
              <w:adjustRightInd w:val="0"/>
              <w:spacing w:before="120"/>
              <w:rPr>
                <w:color w:val="000000"/>
                <w:sz w:val="20"/>
              </w:rPr>
            </w:pPr>
            <w:r>
              <w:rPr>
                <w:color w:val="000000"/>
                <w:sz w:val="20"/>
              </w:rPr>
              <w:t>Section 148</w:t>
            </w:r>
          </w:p>
        </w:tc>
      </w:tr>
      <w:tr>
        <w:tc>
          <w:tcPr>
            <w:tcW w:w="2252" w:type="dxa"/>
            <w:vAlign w:val="center"/>
          </w:tcPr>
          <w:p>
            <w:pPr>
              <w:keepLines/>
              <w:autoSpaceDE w:val="0"/>
              <w:autoSpaceDN w:val="0"/>
              <w:adjustRightInd w:val="0"/>
              <w:spacing w:before="120"/>
              <w:rPr>
                <w:color w:val="000000"/>
                <w:sz w:val="20"/>
              </w:rPr>
            </w:pPr>
            <w:r>
              <w:rPr>
                <w:color w:val="000000"/>
                <w:sz w:val="20"/>
              </w:rPr>
              <w:t>7</w:t>
            </w:r>
          </w:p>
        </w:tc>
        <w:tc>
          <w:tcPr>
            <w:tcW w:w="1440" w:type="dxa"/>
            <w:vAlign w:val="center"/>
          </w:tcPr>
          <w:p>
            <w:pPr>
              <w:keepLines/>
              <w:autoSpaceDE w:val="0"/>
              <w:autoSpaceDN w:val="0"/>
              <w:adjustRightInd w:val="0"/>
              <w:spacing w:before="120"/>
              <w:rPr>
                <w:color w:val="000000"/>
                <w:sz w:val="20"/>
              </w:rPr>
            </w:pPr>
            <w:r>
              <w:rPr>
                <w:color w:val="000000"/>
                <w:sz w:val="20"/>
              </w:rPr>
              <w:t>Section 170</w:t>
            </w:r>
          </w:p>
        </w:tc>
      </w:tr>
    </w:tbl>
    <w:p>
      <w:pPr>
        <w:pStyle w:val="Heading5"/>
      </w:pPr>
      <w:bookmarkStart w:id="555" w:name="_Toc53045892"/>
      <w:bookmarkStart w:id="556" w:name="_Toc5364732"/>
      <w:r>
        <w:rPr>
          <w:rStyle w:val="CharSectno"/>
        </w:rPr>
        <w:t>5</w:t>
      </w:r>
      <w:r>
        <w:t>.</w:t>
      </w:r>
      <w:r>
        <w:tab/>
        <w:t>Meaning of prospective user</w:t>
      </w:r>
      <w:bookmarkEnd w:id="555"/>
      <w:bookmarkEnd w:id="55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prospective user is a person who seeks or wishes to be provided with a pipeline service by means of a scheme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a user is also a prospective user if the user seeks or wishes to be provided with a pipeline service by means of a scheme pipeline other than a pipeline service already provided to them under—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determination.</w:t>
      </w:r>
    </w:p>
    <w:p>
      <w:pPr>
        <w:pStyle w:val="Heading5"/>
      </w:pPr>
      <w:bookmarkStart w:id="557" w:name="_Toc53045893"/>
      <w:bookmarkStart w:id="558" w:name="_Toc5364733"/>
      <w:r>
        <w:rPr>
          <w:rStyle w:val="CharSectno"/>
        </w:rPr>
        <w:t>6</w:t>
      </w:r>
      <w:r>
        <w:t>.</w:t>
      </w:r>
      <w:r>
        <w:tab/>
        <w:t>Meaning of regulatory obligation or requirement</w:t>
      </w:r>
      <w:bookmarkEnd w:id="557"/>
      <w:bookmarkEnd w:id="55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regulatory obligation or requirement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the provision of a pipeline service by a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obligation or requirement under—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this Law or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Act of a participating jurisdiction, or any instrument made or issued under or for the purposes of that Act, that levies or imposes a tax or other levy that is payable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an Act of a participating jurisdiction, or any instrument made or issued under or for the purposes of that Act, that regulates the use of land in a participating jurisdiction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an Act of a participating jurisdiction or any instrument made or issued under or for the purposes of that Act that relates to the protection of the environment; or</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an Act of a participating jurisdiction, or any instrument made or issued under or for the purposes of that Act (other than national gas legislation or an Act of a participating jurisdiction or an Act or instrument referred to in subparagraphs (ii) to (iv)), that materially affects the provision, by a service provider, of pipeline services to which an applicable access arrangement applies.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regulatory obligation or requirement does not include an obligation or requirement to pay a fine, penalty or compensation—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a breach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or the Rules or an Act or an instrument referred to in subsection (1)(b)(ii) to (v).</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24(2)(b).</w:t>
      </w:r>
    </w:p>
    <w:p>
      <w:pPr>
        <w:pStyle w:val="Heading5"/>
      </w:pPr>
      <w:bookmarkStart w:id="559" w:name="_Toc53045894"/>
      <w:bookmarkStart w:id="560" w:name="_Toc5364734"/>
      <w:r>
        <w:rPr>
          <w:rStyle w:val="CharSectno"/>
        </w:rPr>
        <w:t>7</w:t>
      </w:r>
      <w:r>
        <w:t>.</w:t>
      </w:r>
      <w:r>
        <w:tab/>
        <w:t>Meaning of regulatory payment</w:t>
      </w:r>
      <w:bookmarkEnd w:id="559"/>
      <w:bookmarkEnd w:id="560"/>
    </w:p>
    <w:p>
      <w:pPr>
        <w:keepNext/>
        <w:keepLines/>
        <w:autoSpaceDE w:val="0"/>
        <w:autoSpaceDN w:val="0"/>
        <w:adjustRightInd w:val="0"/>
        <w:spacing w:before="120"/>
        <w:ind w:left="1588"/>
        <w:rPr>
          <w:color w:val="000000"/>
          <w:sz w:val="23"/>
          <w:szCs w:val="23"/>
        </w:rPr>
      </w:pPr>
      <w:r>
        <w:rPr>
          <w:color w:val="000000"/>
          <w:sz w:val="23"/>
          <w:szCs w:val="23"/>
        </w:rPr>
        <w:t>A regulatory payment is a sum that a service provider had been required or allowed to pay to a user or an end user for a breach of,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reliability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 service standard,</w:t>
      </w:r>
    </w:p>
    <w:p>
      <w:pPr>
        <w:keepLines/>
        <w:autoSpaceDE w:val="0"/>
        <w:autoSpaceDN w:val="0"/>
        <w:adjustRightInd w:val="0"/>
        <w:spacing w:before="120"/>
        <w:ind w:left="1588"/>
        <w:rPr>
          <w:color w:val="000000"/>
          <w:sz w:val="23"/>
          <w:szCs w:val="23"/>
        </w:rPr>
      </w:pPr>
      <w:r>
        <w:rPr>
          <w:color w:val="000000"/>
          <w:sz w:val="23"/>
          <w:szCs w:val="23"/>
        </w:rPr>
        <w:t>because it was efficient for the service provider (in terms of the service provider’s overall business) to pay that sum.</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24(2)(b).</w:t>
      </w:r>
    </w:p>
    <w:p>
      <w:pPr>
        <w:pStyle w:val="Heading5"/>
      </w:pPr>
      <w:bookmarkStart w:id="561" w:name="_Toc53045895"/>
      <w:bookmarkStart w:id="562" w:name="_Toc5364735"/>
      <w:r>
        <w:rPr>
          <w:rStyle w:val="CharSectno"/>
        </w:rPr>
        <w:t>8</w:t>
      </w:r>
      <w:r>
        <w:t>.</w:t>
      </w:r>
      <w:r>
        <w:tab/>
        <w:t>Meaning of service provider</w:t>
      </w:r>
      <w:bookmarkEnd w:id="561"/>
      <w:bookmarkEnd w:id="56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is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owns, controls or operates;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intends to own, control or operate,</w:t>
      </w:r>
    </w:p>
    <w:p>
      <w:pPr>
        <w:keepLines/>
        <w:autoSpaceDE w:val="0"/>
        <w:autoSpaceDN w:val="0"/>
        <w:adjustRightInd w:val="0"/>
        <w:spacing w:before="120"/>
        <w:ind w:left="1588"/>
        <w:rPr>
          <w:color w:val="000000"/>
          <w:sz w:val="23"/>
          <w:szCs w:val="23"/>
        </w:rPr>
      </w:pPr>
      <w:r>
        <w:rPr>
          <w:color w:val="000000"/>
          <w:sz w:val="23"/>
          <w:szCs w:val="23"/>
        </w:rPr>
        <w:t>a pipeline or scheme pipeline, or any part of a pipeline or scheme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service provider must not provide pipeline services by means of a scheme pipeline unless the service provider is a legal entity of a specified kind: See section 131, and section 169 where the scheme pipeline is an international pipeline to which a price regulation exemption applies.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gas market operator that controls or operates (without at the same time owning)—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or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 of a pipeline or scheme pipeline,</w:t>
      </w:r>
    </w:p>
    <w:p>
      <w:pPr>
        <w:keepLines/>
        <w:autoSpaceDE w:val="0"/>
        <w:autoSpaceDN w:val="0"/>
        <w:adjustRightInd w:val="0"/>
        <w:spacing w:before="120"/>
        <w:ind w:left="1588"/>
        <w:rPr>
          <w:color w:val="000000"/>
          <w:sz w:val="23"/>
          <w:szCs w:val="23"/>
        </w:rPr>
      </w:pPr>
      <w:r>
        <w:rPr>
          <w:color w:val="000000"/>
          <w:sz w:val="23"/>
          <w:szCs w:val="23"/>
        </w:rPr>
        <w:t>is not to be taken to be a service provider for the purposes of this Law.</w:t>
      </w:r>
    </w:p>
    <w:p>
      <w:pPr>
        <w:pStyle w:val="Heading5"/>
      </w:pPr>
      <w:bookmarkStart w:id="563" w:name="_Toc53045896"/>
      <w:bookmarkStart w:id="564" w:name="_Toc5364736"/>
      <w:r>
        <w:rPr>
          <w:rStyle w:val="CharSectno"/>
        </w:rPr>
        <w:t>9</w:t>
      </w:r>
      <w:r>
        <w:t>.</w:t>
      </w:r>
      <w:r>
        <w:tab/>
        <w:t>Passive owners of scheme pipelines deemed to provide or intend to provide pipeline services</w:t>
      </w:r>
      <w:bookmarkEnd w:id="563"/>
      <w:bookmarkEnd w:id="56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 person who owns a scheme pipeline but does not provide or intend to provide pipeline services by means of that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person is, for the purposes of this Law, deemed to provide or intend to provide pipeline services by means of that pipeline even if the person does not, in fact, do so.</w:t>
      </w:r>
    </w:p>
    <w:p>
      <w:pPr>
        <w:pStyle w:val="Heading5"/>
      </w:pPr>
      <w:bookmarkStart w:id="565" w:name="_Toc53045897"/>
      <w:bookmarkStart w:id="566" w:name="_Toc5364737"/>
      <w:r>
        <w:rPr>
          <w:rStyle w:val="CharSectno"/>
        </w:rPr>
        <w:t>10</w:t>
      </w:r>
      <w:r>
        <w:t>.</w:t>
      </w:r>
      <w:r>
        <w:tab/>
        <w:t>Things done by 1 service provider to be treated as being done by all of service provider group</w:t>
      </w:r>
      <w:bookmarkEnd w:id="565"/>
      <w:bookmarkEnd w:id="56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more than 1 service provider (a </w:t>
      </w:r>
      <w:r>
        <w:rPr>
          <w:rStyle w:val="CharDefText"/>
          <w:bCs/>
          <w:sz w:val="23"/>
        </w:rPr>
        <w:t>service provider group</w:t>
      </w:r>
      <w:r>
        <w:rPr>
          <w:color w:val="000000"/>
          <w:sz w:val="23"/>
          <w:szCs w:val="23"/>
        </w:rPr>
        <w:t>) carries out a controlling pipeline activity in respect of a pipeline (or a part of a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or the Rules a service provider is required or allowed to do a thing.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A service provider of the service provider group (the </w:t>
      </w:r>
      <w:r>
        <w:rPr>
          <w:rStyle w:val="CharDefText"/>
          <w:bCs/>
          <w:sz w:val="23"/>
        </w:rPr>
        <w:t>complying service provider</w:t>
      </w:r>
      <w:r>
        <w:rPr>
          <w:color w:val="000000"/>
          <w:sz w:val="23"/>
          <w:szCs w:val="23"/>
        </w:rPr>
        <w:t>) may do that thing on behalf of the other service providers of the service provider group if the complying service provider has the written permission of all of the service providers of that group to do that thing on behalf of the service provider group.</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(3)</w:t>
      </w:r>
      <w:r>
        <w:rPr>
          <w:color w:val="000000"/>
          <w:sz w:val="23"/>
          <w:szCs w:val="23"/>
        </w:rPr>
        <w:tab/>
        <w:t>Unless this Law or the Rules otherwise provide, on the doing of a thing referred to in subsection (2) by a complying service provider, the service providers of the service provider group on whose behalf the complying service provider does that thing, must, for the purposes of this Law and the Rules, each be taken to have done the thing done by the complying service provider.</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(4)</w:t>
      </w:r>
      <w:r>
        <w:rPr>
          <w:color w:val="000000"/>
          <w:sz w:val="23"/>
          <w:szCs w:val="23"/>
        </w:rPr>
        <w:tab/>
        <w:t>This section does not apply to a thing required or allowed to be done under section 131 or Chapter 4 Part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controlling pipeline activity</w:t>
      </w:r>
      <w:r>
        <w:rPr>
          <w:bCs/>
          <w:i/>
          <w:iCs/>
          <w:color w:val="000000"/>
          <w:sz w:val="23"/>
          <w:szCs w:val="23"/>
        </w:rPr>
        <w:t xml:space="preserve"> </w:t>
      </w:r>
      <w:r>
        <w:rPr>
          <w:color w:val="000000"/>
          <w:sz w:val="23"/>
          <w:szCs w:val="23"/>
        </w:rPr>
        <w:t>means own, control or operate.</w:t>
      </w:r>
    </w:p>
    <w:p>
      <w:pPr>
        <w:pStyle w:val="Heading5"/>
      </w:pPr>
      <w:bookmarkStart w:id="567" w:name="_Toc53045898"/>
      <w:bookmarkStart w:id="568" w:name="_Toc5364738"/>
      <w:r>
        <w:rPr>
          <w:rStyle w:val="CharSectno"/>
        </w:rPr>
        <w:t>11</w:t>
      </w:r>
      <w:r>
        <w:t>.</w:t>
      </w:r>
      <w:r>
        <w:tab/>
        <w:t>Local agents of foreign service providers</w:t>
      </w:r>
      <w:bookmarkEnd w:id="567"/>
      <w:bookmarkEnd w:id="568"/>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is a foreign company;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service provider has, under the </w:t>
      </w:r>
      <w:r>
        <w:rPr>
          <w:i/>
          <w:iCs/>
          <w:color w:val="000000"/>
          <w:sz w:val="23"/>
          <w:szCs w:val="23"/>
        </w:rPr>
        <w:t>Corporations Act 2001</w:t>
      </w:r>
      <w:r>
        <w:rPr>
          <w:color w:val="000000"/>
          <w:sz w:val="23"/>
          <w:szCs w:val="23"/>
        </w:rPr>
        <w:t xml:space="preserve"> of the Commonwealth, appointed a local agent within the meaning of that Act.</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The local agent—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answerable for the doing of all acts, matters and things the service provider is required by or under this Law to do;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personally liable to a penalty imposed on the service provider for a breach of a provision of this Law or the Rules if a court hearing the matter is satisfied that the local agent should be so liable.</w:t>
      </w:r>
    </w:p>
    <w:p>
      <w:pPr>
        <w:pStyle w:val="Heading5"/>
      </w:pPr>
      <w:bookmarkStart w:id="569" w:name="_Toc53045899"/>
      <w:bookmarkStart w:id="570" w:name="_Toc5364739"/>
      <w:r>
        <w:rPr>
          <w:rStyle w:val="CharSectno"/>
        </w:rPr>
        <w:t>12</w:t>
      </w:r>
      <w:r>
        <w:rPr>
          <w:bCs/>
        </w:rPr>
        <w:t>.</w:t>
      </w:r>
      <w:r>
        <w:rPr>
          <w:bCs/>
        </w:rPr>
        <w:tab/>
      </w:r>
      <w:r>
        <w:t>Commissioning of a pipeline</w:t>
      </w:r>
      <w:bookmarkEnd w:id="569"/>
      <w:bookmarkEnd w:id="570"/>
    </w:p>
    <w:p>
      <w:pPr>
        <w:keepLines/>
        <w:autoSpaceDE w:val="0"/>
        <w:autoSpaceDN w:val="0"/>
        <w:adjustRightInd w:val="0"/>
        <w:spacing w:before="120"/>
        <w:ind w:left="1588"/>
        <w:rPr>
          <w:color w:val="000000"/>
          <w:sz w:val="23"/>
          <w:szCs w:val="23"/>
        </w:rPr>
      </w:pPr>
      <w:r>
        <w:rPr>
          <w:color w:val="000000"/>
          <w:sz w:val="23"/>
          <w:szCs w:val="23"/>
        </w:rPr>
        <w:t>A pipeline is commissioned when the pipeline is first used for the haulage of natural gas, on a commercial basis.</w:t>
      </w:r>
    </w:p>
    <w:p>
      <w:pPr>
        <w:pStyle w:val="Heading5"/>
      </w:pPr>
      <w:bookmarkStart w:id="571" w:name="_Toc53045900"/>
      <w:bookmarkStart w:id="572" w:name="_Toc5364740"/>
      <w:r>
        <w:rPr>
          <w:rStyle w:val="CharSectno"/>
        </w:rPr>
        <w:t>13</w:t>
      </w:r>
      <w:r>
        <w:rPr>
          <w:rStyle w:val="CharSectno"/>
          <w:bCs/>
        </w:rPr>
        <w:t>.</w:t>
      </w:r>
      <w:r>
        <w:rPr>
          <w:rStyle w:val="CharSectno"/>
          <w:bCs/>
        </w:rPr>
        <w:tab/>
      </w:r>
      <w:r>
        <w:t>Pipeline classification criterion</w:t>
      </w:r>
      <w:bookmarkEnd w:id="571"/>
      <w:bookmarkEnd w:id="57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pipeline classification criterion is whether the primary function of the pipeline is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reticulate gas within a market (which is the primary function of a distribution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convey gas to a market (which is the primary function of a transmission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in determining the primary function of the pipeline, regard must also be had to whether the characteristics of the pipeline are those of a transmission pipeline or distribution pipeline having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characteristics and classification of, as the case requires, an old scheme transmission pipeline or an old scheme distribution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characteristics of, as the case requires, a transmission pipeline or a distribution pipeline classified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characteristics and classification of pipelines specified in the Rules (if any);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diameter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pressure at which the pipeline is or will be designed to operate;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number of points at which gas can or will be injected into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extent of the area served or to be served by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the pipeline’s linear or dendritic configuration.</w:t>
      </w:r>
    </w:p>
    <w:p>
      <w:pPr>
        <w:pStyle w:val="Heading5"/>
      </w:pPr>
      <w:bookmarkStart w:id="573" w:name="_Toc53045901"/>
      <w:bookmarkStart w:id="574" w:name="_Toc5364741"/>
      <w:r>
        <w:rPr>
          <w:rStyle w:val="CharSectno"/>
        </w:rPr>
        <w:t>14</w:t>
      </w:r>
      <w:r>
        <w:t>.</w:t>
      </w:r>
      <w:r>
        <w:rPr>
          <w:rStyle w:val="CharSectno"/>
          <w:bCs/>
        </w:rPr>
        <w:tab/>
      </w:r>
      <w:r>
        <w:t>Jurisdictional determination criteria—cross boundary distribution pipelines</w:t>
      </w:r>
      <w:bookmarkEnd w:id="573"/>
      <w:bookmarkEnd w:id="574"/>
    </w:p>
    <w:p>
      <w:pPr>
        <w:keepNext/>
        <w:keepLines/>
        <w:autoSpaceDE w:val="0"/>
        <w:autoSpaceDN w:val="0"/>
        <w:adjustRightInd w:val="0"/>
        <w:spacing w:before="120"/>
        <w:ind w:left="1588"/>
        <w:rPr>
          <w:color w:val="000000"/>
          <w:sz w:val="23"/>
          <w:szCs w:val="23"/>
        </w:rPr>
      </w:pPr>
      <w:r>
        <w:rPr>
          <w:color w:val="000000"/>
          <w:sz w:val="23"/>
          <w:szCs w:val="23"/>
        </w:rPr>
        <w:t>The pipeline jurisdictional determination criteria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more gas is to be delivered by a cross boundary distribution pipeline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more customers to be served by a cross boundary distribution pipeline are resident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whether more of the network for a cross boundary distribution pipeline is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1 participating jurisdiction has greater prospects for growth in the gas market served or to be served by a cross boundary distribution pipeline than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regional economic benefits from competition are likely to be greater for 1 participating jurisdiction than for any other participating jurisdiction.</w:t>
      </w:r>
    </w:p>
    <w:p>
      <w:pPr>
        <w:pStyle w:val="Heading5"/>
      </w:pPr>
      <w:bookmarkStart w:id="575" w:name="_Toc53045902"/>
      <w:bookmarkStart w:id="576" w:name="_Toc5364742"/>
      <w:r>
        <w:rPr>
          <w:rStyle w:val="CharSectno"/>
        </w:rPr>
        <w:t>15</w:t>
      </w:r>
      <w:r>
        <w:t>.</w:t>
      </w:r>
      <w:r>
        <w:tab/>
        <w:t>Pipeline coverage criteria</w:t>
      </w:r>
      <w:bookmarkEnd w:id="575"/>
      <w:bookmarkEnd w:id="576"/>
    </w:p>
    <w:p>
      <w:pPr>
        <w:keepNext/>
        <w:keepLines/>
        <w:autoSpaceDE w:val="0"/>
        <w:autoSpaceDN w:val="0"/>
        <w:adjustRightInd w:val="0"/>
        <w:spacing w:before="120"/>
        <w:ind w:left="1588"/>
        <w:rPr>
          <w:color w:val="000000"/>
          <w:sz w:val="23"/>
          <w:szCs w:val="23"/>
        </w:rPr>
      </w:pPr>
      <w:r>
        <w:rPr>
          <w:color w:val="000000"/>
          <w:sz w:val="23"/>
          <w:szCs w:val="23"/>
        </w:rPr>
        <w:t>The pipeline coverage criteria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access (or increased access) to pipeline services provided by means of the pipeline would promote a material increase in competition in at least 1 market (whether or not in Australia), other than the market for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it would be uneconomic for anyone to develop another pipeline to provide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that access (or increased access) to the pipeline services provided by means of the pipeline can be provided without undue risk to human health or safety;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access (or increased access) to the pipeline services provided by means of the pipeline would not be contrary to the public interest.</w:t>
      </w:r>
    </w:p>
    <w:p>
      <w:pPr>
        <w:pStyle w:val="Heading5"/>
      </w:pPr>
      <w:bookmarkStart w:id="577" w:name="_Toc53045903"/>
      <w:bookmarkStart w:id="578" w:name="_Toc5364743"/>
      <w:r>
        <w:rPr>
          <w:rStyle w:val="CharSectno"/>
        </w:rPr>
        <w:t>16</w:t>
      </w:r>
      <w:r>
        <w:t>.</w:t>
      </w:r>
      <w:r>
        <w:tab/>
        <w:t>Form of regulation factors</w:t>
      </w:r>
      <w:bookmarkEnd w:id="577"/>
      <w:bookmarkEnd w:id="578"/>
    </w:p>
    <w:p>
      <w:pPr>
        <w:keepNext/>
        <w:keepLines/>
        <w:autoSpaceDE w:val="0"/>
        <w:autoSpaceDN w:val="0"/>
        <w:adjustRightInd w:val="0"/>
        <w:spacing w:before="120"/>
        <w:ind w:left="1588"/>
        <w:rPr>
          <w:color w:val="000000"/>
          <w:sz w:val="23"/>
          <w:szCs w:val="23"/>
        </w:rPr>
      </w:pPr>
      <w:r>
        <w:rPr>
          <w:color w:val="000000"/>
          <w:sz w:val="23"/>
          <w:szCs w:val="23"/>
        </w:rPr>
        <w:t>The form of regulation factors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presence and extent of any barriers to entry in a market for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presence and extent of any network externalities (that is, interdependencies) between a natural gas service provided by a service provider and any other natural gas service provided by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presence and extent of any network externalities (that is, interdependencies) between a natural gas service provided by a service provider and any other service provided by the service provider in any other market;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extent to which any market power possessed by a service provider is, or is likely to be, mitigated by any countervailing market power possessed by a user or prospective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presence and extent of any substitute, and the elasticity of demand, in a market for a pipeline service in which a service provider provides that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presence and extent of any substitute for, and the elasticity of demand in a market for, electricity or gas (as the case may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extent to which there is information available to a prospective user or user, and whether that information is adequate, to enable the prospective user or user to negotiate on an informed basis with a service provider for the provision of a pipeline service to them by the service provider.</w:t>
      </w:r>
    </w:p>
    <w:p>
      <w:pPr>
        <w:pStyle w:val="Heading5"/>
      </w:pPr>
      <w:bookmarkStart w:id="579" w:name="_Toc53045904"/>
      <w:bookmarkStart w:id="580" w:name="_Toc5364744"/>
      <w:r>
        <w:rPr>
          <w:rStyle w:val="CharSectno"/>
        </w:rPr>
        <w:t>17</w:t>
      </w:r>
      <w:r>
        <w:rPr>
          <w:bCs/>
        </w:rPr>
        <w:t>.</w:t>
      </w:r>
      <w:r>
        <w:rPr>
          <w:bCs/>
        </w:rPr>
        <w:tab/>
      </w:r>
      <w:r>
        <w:t>Effect of separate and consolidated access arrangements in certain cases</w:t>
      </w:r>
      <w:bookmarkEnd w:id="579"/>
      <w:bookmarkEnd w:id="58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despite anything to the contrary in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under this Law and the Rules, separate access arrangements are approved in an applicable access arrangement decision for pipeline services provided, or to be provided, by means of different parts of a covered pipeline, each part of the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which pipeline services are provided;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each separate applicable access arrangement applies,</w:t>
      </w:r>
    </w:p>
    <w:p>
      <w:pPr>
        <w:keepLines/>
        <w:autoSpaceDE w:val="0"/>
        <w:autoSpaceDN w:val="0"/>
        <w:adjustRightInd w:val="0"/>
        <w:spacing w:before="120"/>
        <w:ind w:left="1588"/>
        <w:rPr>
          <w:color w:val="000000"/>
          <w:sz w:val="23"/>
          <w:szCs w:val="23"/>
        </w:rPr>
      </w:pPr>
      <w:r>
        <w:rPr>
          <w:color w:val="000000"/>
          <w:sz w:val="23"/>
          <w:szCs w:val="23"/>
        </w:rPr>
        <w:t>must to be taken to be a separate covered pipeline for the purposes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under this Law and the Rules, a single access arrangement is approved in an applicable access arrangement decision for pipeline services provided, or to be provided, by means of 2 or more covered pipelines, those pipelines must be taken to be a single covered pipeline for the purposes of this Law.</w:t>
      </w:r>
    </w:p>
    <w:p>
      <w:pPr>
        <w:pStyle w:val="Heading5"/>
      </w:pPr>
      <w:bookmarkStart w:id="581" w:name="_Toc53045905"/>
      <w:bookmarkStart w:id="582" w:name="_Toc5364745"/>
      <w:r>
        <w:rPr>
          <w:rStyle w:val="CharSectno"/>
        </w:rPr>
        <w:t>18</w:t>
      </w:r>
      <w:r>
        <w:t>.</w:t>
      </w:r>
      <w:r>
        <w:tab/>
        <w:t>Certain extensions to, or expansion of the capacity of, pipelines to be taken to be part of a covered pipeline</w:t>
      </w:r>
      <w:bookmarkEnd w:id="581"/>
      <w:bookmarkEnd w:id="582"/>
    </w:p>
    <w:p>
      <w:pPr>
        <w:keepNext/>
        <w:keepLines/>
        <w:autoSpaceDE w:val="0"/>
        <w:autoSpaceDN w:val="0"/>
        <w:adjustRightInd w:val="0"/>
        <w:spacing w:before="120"/>
        <w:ind w:left="1588"/>
        <w:rPr>
          <w:color w:val="000000"/>
          <w:sz w:val="23"/>
          <w:szCs w:val="23"/>
        </w:rPr>
      </w:pPr>
      <w:r>
        <w:rPr>
          <w:color w:val="000000"/>
          <w:sz w:val="23"/>
          <w:szCs w:val="23"/>
        </w:rPr>
        <w:t>For the purposes of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extension to, or expansion of the capacity of, a covered pipeline must be taken to be part of the covered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as extended or expanded must be taken to be a covered pipeline,</w:t>
      </w:r>
    </w:p>
    <w:p>
      <w:pPr>
        <w:keepLines/>
        <w:autoSpaceDE w:val="0"/>
        <w:autoSpaceDN w:val="0"/>
        <w:adjustRightInd w:val="0"/>
        <w:spacing w:before="120"/>
        <w:ind w:left="1588"/>
        <w:rPr>
          <w:color w:val="000000"/>
          <w:sz w:val="23"/>
          <w:szCs w:val="23"/>
        </w:rPr>
      </w:pPr>
      <w:r>
        <w:rPr>
          <w:color w:val="000000"/>
          <w:sz w:val="23"/>
          <w:szCs w:val="23"/>
        </w:rPr>
        <w:t>if, by operation of the extension and expansion requirements under an applicable access arrangement, the applicable access arrangement will apply to pipeline services provided by means of the covered pipeline as extended or expanded.</w:t>
      </w:r>
    </w:p>
    <w:p>
      <w:pPr>
        <w:pStyle w:val="Heading5"/>
      </w:pPr>
      <w:bookmarkStart w:id="583" w:name="_Toc53045906"/>
      <w:bookmarkStart w:id="584" w:name="_Toc5364746"/>
      <w:r>
        <w:rPr>
          <w:rStyle w:val="CharSectno"/>
        </w:rPr>
        <w:t>19</w:t>
      </w:r>
      <w:r>
        <w:rPr>
          <w:bCs/>
        </w:rPr>
        <w:t>.</w:t>
      </w:r>
      <w:r>
        <w:rPr>
          <w:bCs/>
        </w:rPr>
        <w:tab/>
      </w:r>
      <w:r>
        <w:t>Expansions of and extensions to covered pipeline by which light regulation services are provided</w:t>
      </w:r>
      <w:bookmarkEnd w:id="583"/>
      <w:bookmarkEnd w:id="584"/>
    </w:p>
    <w:p>
      <w:pPr>
        <w:keepLines/>
        <w:autoSpaceDE w:val="0"/>
        <w:autoSpaceDN w:val="0"/>
        <w:adjustRightInd w:val="0"/>
        <w:spacing w:before="120"/>
        <w:ind w:left="1588"/>
        <w:rPr>
          <w:color w:val="000000"/>
          <w:sz w:val="23"/>
          <w:szCs w:val="23"/>
        </w:rPr>
      </w:pPr>
      <w:r>
        <w:rPr>
          <w:color w:val="000000"/>
          <w:sz w:val="23"/>
          <w:szCs w:val="23"/>
        </w:rPr>
        <w:t>For the purposes of this Law, an extension to, or expansion of the capacity of, a covered pipeline by means of which light regulation services (and in respect of which there is no limited access arrangement) are provided, must be taken to be part of the covered pipeline unless the AER determines otherwise in writing.</w:t>
      </w:r>
    </w:p>
    <w:p>
      <w:pPr>
        <w:pStyle w:val="Heading5"/>
      </w:pPr>
      <w:bookmarkStart w:id="585" w:name="_Toc53045907"/>
      <w:bookmarkStart w:id="586" w:name="_Toc5364747"/>
      <w:r>
        <w:rPr>
          <w:rStyle w:val="CharSectno"/>
        </w:rPr>
        <w:t>20</w:t>
      </w:r>
      <w:r>
        <w:t>.</w:t>
      </w:r>
      <w:r>
        <w:tab/>
        <w:t>Interpretation generally</w:t>
      </w:r>
      <w:bookmarkEnd w:id="585"/>
      <w:bookmarkEnd w:id="586"/>
    </w:p>
    <w:p>
      <w:pPr>
        <w:keepLines/>
        <w:autoSpaceDE w:val="0"/>
        <w:autoSpaceDN w:val="0"/>
        <w:adjustRightInd w:val="0"/>
        <w:spacing w:before="120"/>
        <w:ind w:left="1588"/>
        <w:rPr>
          <w:color w:val="000000"/>
          <w:sz w:val="23"/>
          <w:szCs w:val="23"/>
        </w:rPr>
      </w:pPr>
      <w:r>
        <w:rPr>
          <w:color w:val="000000"/>
          <w:sz w:val="23"/>
          <w:szCs w:val="23"/>
        </w:rPr>
        <w:t>Schedule 2 to this Law applies to this Law, the Regulations and the Rules and any other statutory instrument made under this Law.</w:t>
      </w:r>
    </w:p>
    <w:p>
      <w:pPr>
        <w:pStyle w:val="Heading3"/>
      </w:pPr>
      <w:bookmarkStart w:id="587" w:name="_Toc52954214"/>
      <w:bookmarkStart w:id="588" w:name="_Toc52955510"/>
      <w:bookmarkStart w:id="589" w:name="_Toc52957009"/>
      <w:bookmarkStart w:id="590" w:name="_Toc52957792"/>
      <w:bookmarkStart w:id="591" w:name="_Toc53045125"/>
      <w:bookmarkStart w:id="592" w:name="_Toc53045908"/>
      <w:bookmarkStart w:id="593" w:name="_Toc501633851"/>
      <w:bookmarkStart w:id="594" w:name="_Toc501712747"/>
      <w:bookmarkStart w:id="595" w:name="_Toc536781941"/>
      <w:bookmarkStart w:id="596" w:name="_Toc5346974"/>
      <w:bookmarkStart w:id="597" w:name="_Toc5363527"/>
      <w:bookmarkStart w:id="598" w:name="_Toc5364748"/>
      <w:r>
        <w:rPr>
          <w:rStyle w:val="CharDivNo"/>
        </w:rPr>
        <w:t>Part 1A</w:t>
      </w:r>
      <w:r>
        <w:rPr>
          <w:color w:val="000000"/>
          <w:szCs w:val="32"/>
        </w:rPr>
        <w:t xml:space="preserve"> </w:t>
      </w:r>
      <w:r>
        <w:t>—</w:t>
      </w:r>
      <w:r>
        <w:rPr>
          <w:color w:val="000000"/>
          <w:szCs w:val="32"/>
        </w:rPr>
        <w:t xml:space="preserve"> </w:t>
      </w:r>
      <w:r>
        <w:rPr>
          <w:rStyle w:val="CharDivText"/>
        </w:rPr>
        <w:t>Postponement of Natural Gas Services Bulletin Board provisions</w:t>
      </w:r>
      <w:bookmarkEnd w:id="587"/>
      <w:bookmarkEnd w:id="588"/>
      <w:bookmarkEnd w:id="589"/>
      <w:bookmarkEnd w:id="590"/>
      <w:bookmarkEnd w:id="591"/>
      <w:bookmarkEnd w:id="592"/>
      <w:bookmarkEnd w:id="593"/>
      <w:bookmarkEnd w:id="594"/>
      <w:bookmarkEnd w:id="595"/>
      <w:bookmarkEnd w:id="596"/>
      <w:bookmarkEnd w:id="597"/>
      <w:bookmarkEnd w:id="598"/>
    </w:p>
    <w:p>
      <w:pPr>
        <w:pStyle w:val="Footnotesection"/>
      </w:pPr>
      <w:r>
        <w:tab/>
        <w:t>[Heading inserted: WA Act Sch. 1 cl. 5.]</w:t>
      </w:r>
    </w:p>
    <w:p>
      <w:pPr>
        <w:pStyle w:val="Heading5"/>
      </w:pPr>
      <w:bookmarkStart w:id="599" w:name="_Toc53045909"/>
      <w:bookmarkStart w:id="600" w:name="_Toc5364749"/>
      <w:r>
        <w:rPr>
          <w:rStyle w:val="CharSectno"/>
        </w:rPr>
        <w:t>20A</w:t>
      </w:r>
      <w:r>
        <w:rPr>
          <w:bCs/>
        </w:rPr>
        <w:t>.</w:t>
      </w:r>
      <w:r>
        <w:rPr>
          <w:bCs/>
        </w:rPr>
        <w:tab/>
      </w:r>
      <w:r>
        <w:t>Minister may fix day on which provisions apply</w:t>
      </w:r>
      <w:bookmarkEnd w:id="599"/>
      <w:bookmarkEnd w:id="600"/>
    </w:p>
    <w:p>
      <w:pPr>
        <w:keepLines/>
        <w:autoSpaceDE w:val="0"/>
        <w:autoSpaceDN w:val="0"/>
        <w:adjustRightInd w:val="0"/>
        <w:spacing w:before="120"/>
        <w:ind w:left="1588"/>
        <w:rPr>
          <w:color w:val="000000"/>
          <w:sz w:val="23"/>
          <w:szCs w:val="23"/>
        </w:rPr>
      </w:pPr>
      <w:r>
        <w:rPr>
          <w:color w:val="000000"/>
          <w:sz w:val="23"/>
          <w:szCs w:val="23"/>
        </w:rPr>
        <w:t xml:space="preserve">To the extent that a provision of this Law relates to the Natural Gas Services Bulletin Board, the provision does not apply before a day is fixed by the Minister, by an order notice of which is published in the </w:t>
      </w:r>
      <w:r>
        <w:rPr>
          <w:i/>
          <w:iCs/>
          <w:color w:val="000000"/>
          <w:sz w:val="23"/>
          <w:szCs w:val="23"/>
        </w:rPr>
        <w:t>Government Gazette</w:t>
      </w:r>
      <w:r>
        <w:rPr>
          <w:color w:val="000000"/>
          <w:sz w:val="23"/>
          <w:szCs w:val="23"/>
        </w:rPr>
        <w:t>, as the day on and after which provisions of this Law relating to the Natural Gas Services Bulletin Board apply.</w:t>
      </w:r>
    </w:p>
    <w:p>
      <w:pPr>
        <w:pStyle w:val="Footnotesection"/>
      </w:pPr>
      <w:r>
        <w:tab/>
        <w:t>[Section 20A inserted: WA Act Sch. 1 cl. 5.]</w:t>
      </w:r>
    </w:p>
    <w:p>
      <w:pPr>
        <w:pStyle w:val="Heading3"/>
        <w:rPr>
          <w:color w:val="000000"/>
          <w:sz w:val="32"/>
          <w:szCs w:val="32"/>
        </w:rPr>
      </w:pPr>
      <w:bookmarkStart w:id="601" w:name="_Toc52954216"/>
      <w:bookmarkStart w:id="602" w:name="_Toc52955512"/>
      <w:bookmarkStart w:id="603" w:name="_Toc52957011"/>
      <w:bookmarkStart w:id="604" w:name="_Toc52957794"/>
      <w:bookmarkStart w:id="605" w:name="_Toc53045127"/>
      <w:bookmarkStart w:id="606" w:name="_Toc53045910"/>
      <w:bookmarkStart w:id="607" w:name="_Toc501633853"/>
      <w:bookmarkStart w:id="608" w:name="_Toc501712749"/>
      <w:bookmarkStart w:id="609" w:name="_Toc536781943"/>
      <w:bookmarkStart w:id="610" w:name="_Toc5346976"/>
      <w:bookmarkStart w:id="611" w:name="_Toc5363529"/>
      <w:bookmarkStart w:id="612" w:name="_Toc5364750"/>
      <w:r>
        <w:rPr>
          <w:rStyle w:val="CharDivNo"/>
        </w:rPr>
        <w:t>Part 2</w:t>
      </w:r>
      <w:r>
        <w:rPr>
          <w:color w:val="000000"/>
          <w:sz w:val="32"/>
          <w:szCs w:val="32"/>
        </w:rPr>
        <w:t xml:space="preserve"> — </w:t>
      </w:r>
      <w:r>
        <w:rPr>
          <w:rStyle w:val="CharDivText"/>
        </w:rPr>
        <w:t>Participating jurisdictions</w:t>
      </w:r>
      <w:bookmarkEnd w:id="601"/>
      <w:bookmarkEnd w:id="602"/>
      <w:bookmarkEnd w:id="603"/>
      <w:bookmarkEnd w:id="604"/>
      <w:bookmarkEnd w:id="605"/>
      <w:bookmarkEnd w:id="606"/>
      <w:bookmarkEnd w:id="607"/>
      <w:bookmarkEnd w:id="608"/>
      <w:bookmarkEnd w:id="609"/>
      <w:bookmarkEnd w:id="610"/>
      <w:bookmarkEnd w:id="611"/>
      <w:bookmarkEnd w:id="612"/>
    </w:p>
    <w:p>
      <w:pPr>
        <w:pStyle w:val="Heading5"/>
      </w:pPr>
      <w:bookmarkStart w:id="613" w:name="_Toc53045911"/>
      <w:bookmarkStart w:id="614" w:name="_Toc5364751"/>
      <w:r>
        <w:rPr>
          <w:rStyle w:val="CharSectno"/>
        </w:rPr>
        <w:t>21</w:t>
      </w:r>
      <w:r>
        <w:t>.</w:t>
      </w:r>
      <w:r>
        <w:tab/>
        <w:t>Participating jurisdictions</w:t>
      </w:r>
      <w:bookmarkEnd w:id="613"/>
      <w:bookmarkEnd w:id="614"/>
    </w:p>
    <w:p>
      <w:pPr>
        <w:keepLines/>
        <w:autoSpaceDE w:val="0"/>
        <w:autoSpaceDN w:val="0"/>
        <w:adjustRightInd w:val="0"/>
        <w:spacing w:before="120"/>
        <w:ind w:left="1588"/>
        <w:rPr>
          <w:color w:val="000000"/>
          <w:sz w:val="23"/>
          <w:szCs w:val="23"/>
        </w:rPr>
      </w:pPr>
      <w:r>
        <w:rPr>
          <w:color w:val="000000"/>
          <w:sz w:val="23"/>
          <w:szCs w:val="23"/>
        </w:rPr>
        <w:t>The State of South Australia, the Commonwealth, each of the States of New South Wales, Victoria, Queensland, Western Australia and Tasmania, and the Australian Capital Territory and the Northern Territory are participating jurisdictions for the purposes of this Law.</w:t>
      </w:r>
    </w:p>
    <w:p>
      <w:pPr>
        <w:pStyle w:val="Heading5"/>
      </w:pPr>
      <w:bookmarkStart w:id="615" w:name="_Toc53045912"/>
      <w:bookmarkStart w:id="616" w:name="_Toc5364752"/>
      <w:r>
        <w:rPr>
          <w:rStyle w:val="CharSectno"/>
        </w:rPr>
        <w:t>22</w:t>
      </w:r>
      <w:r>
        <w:rPr>
          <w:bCs/>
        </w:rPr>
        <w:t>.</w:t>
      </w:r>
      <w:r>
        <w:rPr>
          <w:bCs/>
        </w:rPr>
        <w:tab/>
      </w:r>
      <w:r>
        <w:t>Ministers of participating jurisdictions</w:t>
      </w:r>
      <w:bookmarkEnd w:id="615"/>
      <w:bookmarkEnd w:id="616"/>
    </w:p>
    <w:p>
      <w:pPr>
        <w:keepNext/>
        <w:keepLines/>
        <w:autoSpaceDE w:val="0"/>
        <w:autoSpaceDN w:val="0"/>
        <w:adjustRightInd w:val="0"/>
        <w:spacing w:before="120"/>
        <w:ind w:left="1588"/>
        <w:rPr>
          <w:color w:val="000000"/>
          <w:sz w:val="23"/>
          <w:szCs w:val="23"/>
        </w:rPr>
      </w:pPr>
      <w:r>
        <w:rPr>
          <w:color w:val="000000"/>
          <w:sz w:val="23"/>
          <w:szCs w:val="23"/>
        </w:rPr>
        <w:t>The Ministers of the participating jurisdictions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Minister of the Crown in right of South Australia administering Part 2 of the </w:t>
      </w:r>
      <w:r>
        <w:rPr>
          <w:i/>
          <w:iCs/>
          <w:color w:val="000000"/>
          <w:sz w:val="23"/>
          <w:szCs w:val="23"/>
        </w:rPr>
        <w:t>National Gas (South Australia) Act 2008</w:t>
      </w:r>
      <w:r>
        <w:rPr>
          <w:color w:val="000000"/>
          <w:sz w:val="23"/>
          <w:szCs w:val="23"/>
        </w:rPr>
        <w:t xml:space="preserve">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Minister of the Crown in right of Western Australia administering 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Minister of the Crown in right of the Commonwealth administering the </w:t>
      </w:r>
      <w:r>
        <w:rPr>
          <w:i/>
          <w:iCs/>
          <w:color w:val="000000"/>
          <w:sz w:val="23"/>
          <w:szCs w:val="23"/>
        </w:rPr>
        <w:t>Australian Energy Market Act 2004</w:t>
      </w:r>
      <w:r>
        <w:rPr>
          <w:color w:val="000000"/>
          <w:sz w:val="23"/>
          <w:szCs w:val="23"/>
        </w:rPr>
        <w:t xml:space="preserve"> of the Commonwealth;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the Ministers of the Crown in right of the other participating jurisdictions administering the laws of those jurisdictions that substantially correspond to Part 2 of the </w:t>
      </w:r>
      <w:r>
        <w:rPr>
          <w:i/>
          <w:iCs/>
          <w:color w:val="000000"/>
          <w:sz w:val="23"/>
          <w:szCs w:val="23"/>
        </w:rPr>
        <w:t>National Gas (South Australia) Act 2008</w:t>
      </w:r>
      <w:r>
        <w:rPr>
          <w:color w:val="000000"/>
          <w:sz w:val="23"/>
          <w:szCs w:val="23"/>
        </w:rPr>
        <w:t xml:space="preserve"> of South Australia.</w:t>
      </w:r>
    </w:p>
    <w:p>
      <w:pPr>
        <w:pStyle w:val="Heading3"/>
        <w:rPr>
          <w:color w:val="000000"/>
          <w:sz w:val="32"/>
          <w:szCs w:val="32"/>
        </w:rPr>
      </w:pPr>
      <w:bookmarkStart w:id="617" w:name="_Toc52954219"/>
      <w:bookmarkStart w:id="618" w:name="_Toc52955515"/>
      <w:bookmarkStart w:id="619" w:name="_Toc52957014"/>
      <w:bookmarkStart w:id="620" w:name="_Toc52957797"/>
      <w:bookmarkStart w:id="621" w:name="_Toc53045130"/>
      <w:bookmarkStart w:id="622" w:name="_Toc53045913"/>
      <w:bookmarkStart w:id="623" w:name="_Toc501633856"/>
      <w:bookmarkStart w:id="624" w:name="_Toc501712752"/>
      <w:bookmarkStart w:id="625" w:name="_Toc536781946"/>
      <w:bookmarkStart w:id="626" w:name="_Toc5346979"/>
      <w:bookmarkStart w:id="627" w:name="_Toc5363532"/>
      <w:bookmarkStart w:id="628" w:name="_Toc5364753"/>
      <w:r>
        <w:rPr>
          <w:rStyle w:val="CharDivNo"/>
        </w:rPr>
        <w:t>Part 3</w:t>
      </w:r>
      <w:r>
        <w:rPr>
          <w:color w:val="000000"/>
          <w:sz w:val="32"/>
          <w:szCs w:val="32"/>
        </w:rPr>
        <w:t xml:space="preserve"> — </w:t>
      </w:r>
      <w:r>
        <w:rPr>
          <w:rStyle w:val="CharDivText"/>
        </w:rPr>
        <w:t>National gas objective and principles</w:t>
      </w:r>
      <w:bookmarkEnd w:id="617"/>
      <w:bookmarkEnd w:id="618"/>
      <w:bookmarkEnd w:id="619"/>
      <w:bookmarkEnd w:id="620"/>
      <w:bookmarkEnd w:id="621"/>
      <w:bookmarkEnd w:id="622"/>
      <w:bookmarkEnd w:id="623"/>
      <w:bookmarkEnd w:id="624"/>
      <w:bookmarkEnd w:id="625"/>
      <w:bookmarkEnd w:id="626"/>
      <w:bookmarkEnd w:id="627"/>
      <w:bookmarkEnd w:id="628"/>
    </w:p>
    <w:p>
      <w:pPr>
        <w:pStyle w:val="Heading4"/>
      </w:pPr>
      <w:bookmarkStart w:id="629" w:name="_Toc52954220"/>
      <w:bookmarkStart w:id="630" w:name="_Toc52955516"/>
      <w:bookmarkStart w:id="631" w:name="_Toc52957015"/>
      <w:bookmarkStart w:id="632" w:name="_Toc52957798"/>
      <w:bookmarkStart w:id="633" w:name="_Toc53045131"/>
      <w:bookmarkStart w:id="634" w:name="_Toc53045914"/>
      <w:bookmarkStart w:id="635" w:name="_Toc501633857"/>
      <w:bookmarkStart w:id="636" w:name="_Toc501712753"/>
      <w:bookmarkStart w:id="637" w:name="_Toc536781947"/>
      <w:bookmarkStart w:id="638" w:name="_Toc5346980"/>
      <w:bookmarkStart w:id="639" w:name="_Toc5363533"/>
      <w:bookmarkStart w:id="640" w:name="_Toc5364754"/>
      <w:r>
        <w:t>Division 1 — National gas objective</w:t>
      </w:r>
      <w:bookmarkEnd w:id="629"/>
      <w:bookmarkEnd w:id="630"/>
      <w:bookmarkEnd w:id="631"/>
      <w:bookmarkEnd w:id="632"/>
      <w:bookmarkEnd w:id="633"/>
      <w:bookmarkEnd w:id="634"/>
      <w:bookmarkEnd w:id="635"/>
      <w:bookmarkEnd w:id="636"/>
      <w:bookmarkEnd w:id="637"/>
      <w:bookmarkEnd w:id="638"/>
      <w:bookmarkEnd w:id="639"/>
      <w:bookmarkEnd w:id="640"/>
    </w:p>
    <w:p>
      <w:pPr>
        <w:pStyle w:val="Heading5"/>
      </w:pPr>
      <w:bookmarkStart w:id="641" w:name="_Toc53045915"/>
      <w:bookmarkStart w:id="642" w:name="_Toc5364755"/>
      <w:r>
        <w:rPr>
          <w:rStyle w:val="CharSectno"/>
        </w:rPr>
        <w:t>23</w:t>
      </w:r>
      <w:r>
        <w:t>.</w:t>
      </w:r>
      <w:r>
        <w:tab/>
        <w:t>National gas objective</w:t>
      </w:r>
      <w:bookmarkEnd w:id="641"/>
      <w:bookmarkEnd w:id="642"/>
    </w:p>
    <w:p>
      <w:pPr>
        <w:keepLines/>
        <w:autoSpaceDE w:val="0"/>
        <w:autoSpaceDN w:val="0"/>
        <w:adjustRightInd w:val="0"/>
        <w:spacing w:before="120"/>
        <w:ind w:left="1588"/>
        <w:rPr>
          <w:color w:val="000000"/>
          <w:sz w:val="23"/>
          <w:szCs w:val="23"/>
        </w:rPr>
      </w:pPr>
      <w:r>
        <w:rPr>
          <w:color w:val="000000"/>
          <w:sz w:val="23"/>
          <w:szCs w:val="23"/>
        </w:rPr>
        <w:t>The objective of this Law is to promote efficient investment in, and efficient operation and use of, natural gas services for the long term interests of consumers of natural gas with respect to price, quality, safety, reliability and security of supply of natural gas.</w:t>
      </w:r>
    </w:p>
    <w:p>
      <w:pPr>
        <w:pStyle w:val="Heading4"/>
      </w:pPr>
      <w:bookmarkStart w:id="643" w:name="_Toc52954222"/>
      <w:bookmarkStart w:id="644" w:name="_Toc52955518"/>
      <w:bookmarkStart w:id="645" w:name="_Toc52957017"/>
      <w:bookmarkStart w:id="646" w:name="_Toc52957800"/>
      <w:bookmarkStart w:id="647" w:name="_Toc53045133"/>
      <w:bookmarkStart w:id="648" w:name="_Toc53045916"/>
      <w:bookmarkStart w:id="649" w:name="_Toc501633859"/>
      <w:bookmarkStart w:id="650" w:name="_Toc501712755"/>
      <w:bookmarkStart w:id="651" w:name="_Toc536781949"/>
      <w:bookmarkStart w:id="652" w:name="_Toc5346982"/>
      <w:bookmarkStart w:id="653" w:name="_Toc5363535"/>
      <w:bookmarkStart w:id="654" w:name="_Toc5364756"/>
      <w:r>
        <w:t>Division 2 — Revenue and pricing principles</w:t>
      </w:r>
      <w:bookmarkEnd w:id="643"/>
      <w:bookmarkEnd w:id="644"/>
      <w:bookmarkEnd w:id="645"/>
      <w:bookmarkEnd w:id="646"/>
      <w:bookmarkEnd w:id="647"/>
      <w:bookmarkEnd w:id="648"/>
      <w:bookmarkEnd w:id="649"/>
      <w:bookmarkEnd w:id="650"/>
      <w:bookmarkEnd w:id="651"/>
      <w:bookmarkEnd w:id="652"/>
      <w:bookmarkEnd w:id="653"/>
      <w:bookmarkEnd w:id="654"/>
    </w:p>
    <w:p>
      <w:pPr>
        <w:pStyle w:val="Heading5"/>
      </w:pPr>
      <w:bookmarkStart w:id="655" w:name="_Toc53045917"/>
      <w:bookmarkStart w:id="656" w:name="_Toc5364757"/>
      <w:r>
        <w:rPr>
          <w:rStyle w:val="CharSectno"/>
        </w:rPr>
        <w:t>24</w:t>
      </w:r>
      <w:r>
        <w:rPr>
          <w:bCs/>
        </w:rPr>
        <w:t>.</w:t>
      </w:r>
      <w:r>
        <w:rPr>
          <w:bCs/>
        </w:rPr>
        <w:tab/>
      </w:r>
      <w:r>
        <w:t>Revenue and pricing principles</w:t>
      </w:r>
      <w:bookmarkEnd w:id="655"/>
      <w:bookmarkEnd w:id="65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revenue and pricing principles are the principles set out in subsections (2) to (7).</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service provider should be provided with a reasonable opportunity to recover at least the efficient costs the service provider incurs 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providing reference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complying with a regulatory obligation or requirement or making a regulatory payment.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should be provided with effective incentives in order to promote economic efficiency with respect to reference services the service provider provides. The economic efficiency that should be promoted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efficient investment in, or in connection with, a pipeline with which the service provider provides reference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efficient provision of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efficient use of the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Regard should be had to the capital base with respect to a pipeline adopted—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any previous—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full access arrangement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decision of a relevant Regulator under section 2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reference tariff should allow for a return commensurate with the regulatory and commercial risks involved in providing the reference service to which that tariff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Regard should be had to the economic costs and risks of the potential for under and over investment by a service provider in a pipeline with which the service provider provides pipeline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Regard should be had to the economic costs and risks of the potential for under and over utilisation of a pipeline with which a service provider provides pipeline services.</w:t>
      </w:r>
    </w:p>
    <w:p>
      <w:pPr>
        <w:pStyle w:val="Heading4"/>
      </w:pPr>
      <w:bookmarkStart w:id="657" w:name="_Toc52954224"/>
      <w:bookmarkStart w:id="658" w:name="_Toc52955520"/>
      <w:bookmarkStart w:id="659" w:name="_Toc52957019"/>
      <w:bookmarkStart w:id="660" w:name="_Toc52957802"/>
      <w:bookmarkStart w:id="661" w:name="_Toc53045135"/>
      <w:bookmarkStart w:id="662" w:name="_Toc53045918"/>
      <w:bookmarkStart w:id="663" w:name="_Toc501633861"/>
      <w:bookmarkStart w:id="664" w:name="_Toc501712757"/>
      <w:bookmarkStart w:id="665" w:name="_Toc536781951"/>
      <w:bookmarkStart w:id="666" w:name="_Toc5346984"/>
      <w:bookmarkStart w:id="667" w:name="_Toc5363537"/>
      <w:bookmarkStart w:id="668" w:name="_Toc5364758"/>
      <w:r>
        <w:t>Division 3 — MCE policy principles</w:t>
      </w:r>
      <w:bookmarkEnd w:id="657"/>
      <w:bookmarkEnd w:id="658"/>
      <w:bookmarkEnd w:id="659"/>
      <w:bookmarkEnd w:id="660"/>
      <w:bookmarkEnd w:id="661"/>
      <w:bookmarkEnd w:id="662"/>
      <w:bookmarkEnd w:id="663"/>
      <w:bookmarkEnd w:id="664"/>
      <w:bookmarkEnd w:id="665"/>
      <w:bookmarkEnd w:id="666"/>
      <w:bookmarkEnd w:id="667"/>
      <w:bookmarkEnd w:id="668"/>
    </w:p>
    <w:p>
      <w:pPr>
        <w:pStyle w:val="Heading5"/>
      </w:pPr>
      <w:bookmarkStart w:id="669" w:name="_Toc53045919"/>
      <w:bookmarkStart w:id="670" w:name="_Toc5364759"/>
      <w:r>
        <w:rPr>
          <w:rStyle w:val="CharSectno"/>
        </w:rPr>
        <w:t>25</w:t>
      </w:r>
      <w:r>
        <w:rPr>
          <w:bCs/>
        </w:rPr>
        <w:t>.</w:t>
      </w:r>
      <w:r>
        <w:rPr>
          <w:bCs/>
        </w:rPr>
        <w:tab/>
      </w:r>
      <w:r>
        <w:t>MCE statements of policy principles</w:t>
      </w:r>
      <w:bookmarkEnd w:id="669"/>
      <w:bookmarkEnd w:id="67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MCE may issue a statement of policy principles in relation to any matters that are relevant to the exercise and performance by the AEMC of its functions and powers 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making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conducting a review under section 83.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issuing a statement of policy principles, the MCE must be satisfied that the statement is consistent with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As soon as practicable after issuing a statement of policy principles, the MCE must give a copy of the statement to the AEMC.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publish the statement in the South Australian Government Gazette and on its website as soon as practicable after it is given a copy of the statement.</w:t>
      </w:r>
    </w:p>
    <w:p>
      <w:pPr>
        <w:pStyle w:val="Heading3"/>
      </w:pPr>
      <w:bookmarkStart w:id="671" w:name="_Toc52954226"/>
      <w:bookmarkStart w:id="672" w:name="_Toc52955522"/>
      <w:bookmarkStart w:id="673" w:name="_Toc52957021"/>
      <w:bookmarkStart w:id="674" w:name="_Toc52957804"/>
      <w:bookmarkStart w:id="675" w:name="_Toc53045137"/>
      <w:bookmarkStart w:id="676" w:name="_Toc53045920"/>
      <w:bookmarkStart w:id="677" w:name="_Toc501633863"/>
      <w:bookmarkStart w:id="678" w:name="_Toc501712759"/>
      <w:bookmarkStart w:id="679" w:name="_Toc536781953"/>
      <w:bookmarkStart w:id="680" w:name="_Toc5346986"/>
      <w:bookmarkStart w:id="681" w:name="_Toc5363539"/>
      <w:bookmarkStart w:id="682" w:name="_Toc5364760"/>
      <w:r>
        <w:rPr>
          <w:rStyle w:val="CharDivNo"/>
        </w:rPr>
        <w:t>Part 4</w:t>
      </w:r>
      <w:r>
        <w:t xml:space="preserve"> — </w:t>
      </w:r>
      <w:r>
        <w:rPr>
          <w:rStyle w:val="CharDivText"/>
        </w:rPr>
        <w:t>Operation and effect of National Gas Rules</w:t>
      </w:r>
      <w:bookmarkEnd w:id="671"/>
      <w:bookmarkEnd w:id="672"/>
      <w:bookmarkEnd w:id="673"/>
      <w:bookmarkEnd w:id="674"/>
      <w:bookmarkEnd w:id="675"/>
      <w:bookmarkEnd w:id="676"/>
      <w:bookmarkEnd w:id="677"/>
      <w:bookmarkEnd w:id="678"/>
      <w:bookmarkEnd w:id="679"/>
      <w:bookmarkEnd w:id="680"/>
      <w:bookmarkEnd w:id="681"/>
      <w:bookmarkEnd w:id="682"/>
    </w:p>
    <w:p>
      <w:pPr>
        <w:pStyle w:val="Heading5"/>
      </w:pPr>
      <w:bookmarkStart w:id="683" w:name="_Toc53045921"/>
      <w:bookmarkStart w:id="684" w:name="_Toc5364761"/>
      <w:r>
        <w:rPr>
          <w:rStyle w:val="CharSectno"/>
        </w:rPr>
        <w:t>26</w:t>
      </w:r>
      <w:r>
        <w:t>.</w:t>
      </w:r>
      <w:r>
        <w:rPr>
          <w:rStyle w:val="CharSectno"/>
        </w:rPr>
        <w:tab/>
      </w:r>
      <w:r>
        <w:t>National Gas Rules to have force of law</w:t>
      </w:r>
      <w:bookmarkEnd w:id="683"/>
      <w:bookmarkEnd w:id="684"/>
    </w:p>
    <w:p>
      <w:pPr>
        <w:keepLines/>
        <w:autoSpaceDE w:val="0"/>
        <w:autoSpaceDN w:val="0"/>
        <w:adjustRightInd w:val="0"/>
        <w:spacing w:before="120"/>
        <w:ind w:left="1588"/>
        <w:rPr>
          <w:color w:val="000000"/>
          <w:sz w:val="23"/>
          <w:szCs w:val="23"/>
        </w:rPr>
      </w:pPr>
      <w:r>
        <w:rPr>
          <w:color w:val="000000"/>
          <w:sz w:val="23"/>
          <w:szCs w:val="23"/>
        </w:rPr>
        <w:t>The National Gas Rules have the force of law in this jurisdiction.</w:t>
      </w:r>
    </w:p>
    <w:p>
      <w:pPr>
        <w:pStyle w:val="Heading2"/>
      </w:pPr>
      <w:bookmarkStart w:id="685" w:name="_Toc52954228"/>
      <w:bookmarkStart w:id="686" w:name="_Toc52955524"/>
      <w:bookmarkStart w:id="687" w:name="_Toc52957023"/>
      <w:bookmarkStart w:id="688" w:name="_Toc52957806"/>
      <w:bookmarkStart w:id="689" w:name="_Toc53045139"/>
      <w:bookmarkStart w:id="690" w:name="_Toc53045922"/>
      <w:bookmarkStart w:id="691" w:name="_Toc501633865"/>
      <w:bookmarkStart w:id="692" w:name="_Toc501712761"/>
      <w:bookmarkStart w:id="693" w:name="_Toc536781955"/>
      <w:bookmarkStart w:id="694" w:name="_Toc5346988"/>
      <w:bookmarkStart w:id="695" w:name="_Toc5363541"/>
      <w:bookmarkStart w:id="696" w:name="_Toc5364762"/>
      <w:r>
        <w:rPr>
          <w:rStyle w:val="CharPartNo"/>
        </w:rPr>
        <w:t>Chapter 2</w:t>
      </w:r>
      <w:r>
        <w:t xml:space="preserve"> — </w:t>
      </w:r>
      <w:r>
        <w:rPr>
          <w:rStyle w:val="CharPartText"/>
        </w:rPr>
        <w:t>Functions and powers of gas market regulatory entities</w:t>
      </w:r>
      <w:bookmarkEnd w:id="685"/>
      <w:bookmarkEnd w:id="686"/>
      <w:bookmarkEnd w:id="687"/>
      <w:bookmarkEnd w:id="688"/>
      <w:bookmarkEnd w:id="689"/>
      <w:bookmarkEnd w:id="690"/>
      <w:bookmarkEnd w:id="691"/>
      <w:bookmarkEnd w:id="692"/>
      <w:bookmarkEnd w:id="693"/>
      <w:bookmarkEnd w:id="694"/>
      <w:bookmarkEnd w:id="695"/>
      <w:bookmarkEnd w:id="696"/>
    </w:p>
    <w:p>
      <w:pPr>
        <w:pStyle w:val="Heading3"/>
      </w:pPr>
      <w:bookmarkStart w:id="697" w:name="_Toc52954229"/>
      <w:bookmarkStart w:id="698" w:name="_Toc52955525"/>
      <w:bookmarkStart w:id="699" w:name="_Toc52957024"/>
      <w:bookmarkStart w:id="700" w:name="_Toc52957807"/>
      <w:bookmarkStart w:id="701" w:name="_Toc53045140"/>
      <w:bookmarkStart w:id="702" w:name="_Toc53045923"/>
      <w:bookmarkStart w:id="703" w:name="_Toc501633866"/>
      <w:bookmarkStart w:id="704" w:name="_Toc501712762"/>
      <w:bookmarkStart w:id="705" w:name="_Toc536781956"/>
      <w:bookmarkStart w:id="706" w:name="_Toc5346989"/>
      <w:bookmarkStart w:id="707" w:name="_Toc5363542"/>
      <w:bookmarkStart w:id="708" w:name="_Toc5364763"/>
      <w:r>
        <w:rPr>
          <w:rStyle w:val="CharDivNo"/>
        </w:rPr>
        <w:t>Part 1</w:t>
      </w:r>
      <w:r>
        <w:t xml:space="preserve"> — </w:t>
      </w:r>
      <w:r>
        <w:rPr>
          <w:rStyle w:val="CharDivText"/>
        </w:rPr>
        <w:t>Functions and powers of the Australian Energy Regulator</w:t>
      </w:r>
      <w:bookmarkEnd w:id="697"/>
      <w:bookmarkEnd w:id="698"/>
      <w:bookmarkEnd w:id="699"/>
      <w:bookmarkEnd w:id="700"/>
      <w:bookmarkEnd w:id="701"/>
      <w:bookmarkEnd w:id="702"/>
      <w:bookmarkEnd w:id="703"/>
      <w:bookmarkEnd w:id="704"/>
      <w:bookmarkEnd w:id="705"/>
      <w:bookmarkEnd w:id="706"/>
      <w:bookmarkEnd w:id="707"/>
      <w:bookmarkEnd w:id="708"/>
    </w:p>
    <w:p>
      <w:pPr>
        <w:pStyle w:val="Heading4"/>
        <w:rPr>
          <w:szCs w:val="28"/>
        </w:rPr>
      </w:pPr>
      <w:bookmarkStart w:id="709" w:name="_Toc52954230"/>
      <w:bookmarkStart w:id="710" w:name="_Toc52955526"/>
      <w:bookmarkStart w:id="711" w:name="_Toc52957025"/>
      <w:bookmarkStart w:id="712" w:name="_Toc52957808"/>
      <w:bookmarkStart w:id="713" w:name="_Toc53045141"/>
      <w:bookmarkStart w:id="714" w:name="_Toc53045924"/>
      <w:bookmarkStart w:id="715" w:name="_Toc501633867"/>
      <w:bookmarkStart w:id="716" w:name="_Toc501712763"/>
      <w:bookmarkStart w:id="717" w:name="_Toc536781957"/>
      <w:bookmarkStart w:id="718" w:name="_Toc5346990"/>
      <w:bookmarkStart w:id="719" w:name="_Toc5363543"/>
      <w:bookmarkStart w:id="720" w:name="_Toc5364764"/>
      <w:r>
        <w:rPr>
          <w:szCs w:val="28"/>
        </w:rPr>
        <w:t>Division 1</w:t>
      </w:r>
      <w:r>
        <w:rPr>
          <w:rStyle w:val="CharSDivNo"/>
        </w:rPr>
        <w:t xml:space="preserve"> </w:t>
      </w:r>
      <w:r>
        <w:rPr>
          <w:szCs w:val="28"/>
        </w:rPr>
        <w:t>—</w:t>
      </w:r>
      <w:r>
        <w:t xml:space="preserve"> </w:t>
      </w:r>
      <w:r>
        <w:rPr>
          <w:szCs w:val="28"/>
        </w:rPr>
        <w:t>General</w:t>
      </w:r>
      <w:bookmarkEnd w:id="709"/>
      <w:bookmarkEnd w:id="710"/>
      <w:bookmarkEnd w:id="711"/>
      <w:bookmarkEnd w:id="712"/>
      <w:bookmarkEnd w:id="713"/>
      <w:bookmarkEnd w:id="714"/>
      <w:bookmarkEnd w:id="715"/>
      <w:bookmarkEnd w:id="716"/>
      <w:bookmarkEnd w:id="717"/>
      <w:bookmarkEnd w:id="718"/>
      <w:bookmarkEnd w:id="719"/>
      <w:bookmarkEnd w:id="720"/>
    </w:p>
    <w:p>
      <w:pPr>
        <w:pStyle w:val="Heading5"/>
      </w:pPr>
      <w:bookmarkStart w:id="721" w:name="_Toc53045925"/>
      <w:bookmarkStart w:id="722" w:name="_Toc5364765"/>
      <w:r>
        <w:rPr>
          <w:rStyle w:val="CharSectno"/>
        </w:rPr>
        <w:t>27</w:t>
      </w:r>
      <w:r>
        <w:t>.</w:t>
      </w:r>
      <w:r>
        <w:rPr>
          <w:bCs/>
        </w:rPr>
        <w:tab/>
      </w:r>
      <w:r>
        <w:t>Functions and powers of the AER</w:t>
      </w:r>
      <w:bookmarkEnd w:id="721"/>
      <w:bookmarkEnd w:id="72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monitor compliance by persons with this Law, the Regulations and the Rules, including compliance with an applicable access arrangement, an access determination and a ring fencing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investigate breaches or possible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institute and conduct proceedings in relation to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institute and conduct appeals from decisions in proceedings referred to in paragraph (c);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(da)</w:t>
      </w:r>
      <w:r>
        <w:rPr>
          <w:color w:val="000000"/>
          <w:sz w:val="23"/>
          <w:szCs w:val="23"/>
        </w:rPr>
        <w:tab/>
        <w:t>to make a rate of return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AER economic regulatory functions or powers;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to prepare and publish reports on the financial and operational performance of service providers in providing pipeline services by means of covered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to approve compliance programs of service providers relating to compliance by service providers with this Law or the Rules;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any other functions and powers conferred on it under this Law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has the power to do all things necessary or convenient to be done for or in connection with the performance of its functions.</w:t>
      </w:r>
    </w:p>
    <w:p>
      <w:pPr>
        <w:pStyle w:val="Footnotesection"/>
        <w:rPr>
          <w:szCs w:val="23"/>
        </w:rPr>
      </w:pPr>
      <w:r>
        <w:tab/>
        <w:t>[Section 27 amended: see SA Act No. 33 of 2018 s. 14 and WA Gazette 5 Apr 2019 p. 1007.]</w:t>
      </w:r>
    </w:p>
    <w:p>
      <w:pPr>
        <w:pStyle w:val="Heading5"/>
      </w:pPr>
      <w:bookmarkStart w:id="723" w:name="_Toc53045926"/>
      <w:bookmarkStart w:id="724" w:name="_Toc5364766"/>
      <w:r>
        <w:rPr>
          <w:rStyle w:val="CharSectno"/>
        </w:rPr>
        <w:t>28</w:t>
      </w:r>
      <w:r>
        <w:t>.</w:t>
      </w:r>
      <w:r>
        <w:tab/>
        <w:t>Manner in which AER must perform or exercise AER economic regulatory functions or powers</w:t>
      </w:r>
      <w:bookmarkEnd w:id="723"/>
      <w:bookmarkEnd w:id="72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in performing or exercising an AER economic regulatory function or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perform or exercise that function or power in a manner that will or is likely to contribute to the achievement of 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if the AER is making a designated reviewable regulatory decision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 xml:space="preserve">ensure that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the covered pipeline service provider that provides the pipeline services to which the applicable access arrangement decision will apply;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users or prospective users of the pipeline services that the AER considers have an interest in the matter;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(C)</w:t>
      </w:r>
      <w:r>
        <w:rPr>
          <w:color w:val="000000"/>
          <w:sz w:val="23"/>
          <w:szCs w:val="23"/>
        </w:rPr>
        <w:tab/>
        <w:t>any user or consumer associations or user or consumer interest groups that the AER considers have an interest in the matter,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r>
      <w:r>
        <w:rPr>
          <w:color w:val="000000"/>
          <w:sz w:val="23"/>
          <w:szCs w:val="23"/>
        </w:rPr>
        <w:tab/>
        <w:t xml:space="preserve">are, in accordance with the Rules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(D)</w:t>
      </w:r>
      <w:r>
        <w:rPr>
          <w:color w:val="000000"/>
          <w:sz w:val="23"/>
          <w:szCs w:val="23"/>
        </w:rPr>
        <w:tab/>
        <w:t>informed of the material issues under consideration by the AER;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(E)</w:t>
      </w:r>
      <w:r>
        <w:rPr>
          <w:color w:val="000000"/>
          <w:sz w:val="23"/>
          <w:szCs w:val="23"/>
        </w:rPr>
        <w:tab/>
        <w:t>given a reasonable opportunity to make submissions in respect of the decision before it is made;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specify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the manner in which the constituent components of the decision relate to each other;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the manner in which that interrelationship has been taken into account in the making of the decision;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 xml:space="preserve">if there are 2 or more possible designated reviewable regulatory decisions that will or are likely to contribute to the achievement of the national gas objective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make the decision that the AER is satisfied will or is likely to contribute to the achievement of the national gas objective to the greatest degree (the preferable designated reviewable regulatory decision);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specify reasons as to the basis on which the AER is satisfied that the decision is the preferable designated reviewable regulatory decision.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the AER—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take into account the revenue and pricing principles—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when exercising a discretion in approving or making those parts of an access arrangement relating to a reference tariff;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take into account the revenue and pricing principles when performing or exercising any other AER economic regulatory function or power, if the AER considers it appropriate to do so.</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(2)(a)(ii), a reference to a “reference service” in the revenue and pricing principles must be read as a reference to a “pipeline service”.</w:t>
      </w:r>
    </w:p>
    <w:p>
      <w:pPr>
        <w:pStyle w:val="Footnotesection"/>
        <w:rPr>
          <w:szCs w:val="23"/>
        </w:rPr>
      </w:pPr>
      <w:r>
        <w:tab/>
        <w:t>[Section 28 amended: see SA Act No. 79 of 2013 s. 20 and WA Gazette 14 Mar 2014 p. 632.]</w:t>
      </w:r>
    </w:p>
    <w:p>
      <w:pPr>
        <w:pStyle w:val="Heading5"/>
        <w:keepLines w:val="0"/>
      </w:pPr>
      <w:bookmarkStart w:id="725" w:name="_Toc53045927"/>
      <w:bookmarkStart w:id="726" w:name="_Toc5364767"/>
      <w:r>
        <w:rPr>
          <w:rStyle w:val="CharSectno"/>
        </w:rPr>
        <w:t>29</w:t>
      </w:r>
      <w:r>
        <w:t>.</w:t>
      </w:r>
      <w:r>
        <w:tab/>
        <w:t>Delegations</w:t>
      </w:r>
      <w:bookmarkEnd w:id="725"/>
      <w:bookmarkEnd w:id="726"/>
    </w:p>
    <w:p>
      <w:pPr>
        <w:autoSpaceDE w:val="0"/>
        <w:autoSpaceDN w:val="0"/>
        <w:adjustRightInd w:val="0"/>
        <w:spacing w:before="120"/>
        <w:ind w:left="1588"/>
        <w:rPr>
          <w:color w:val="000000"/>
          <w:sz w:val="23"/>
          <w:szCs w:val="23"/>
        </w:rPr>
      </w:pPr>
      <w:r>
        <w:rPr>
          <w:color w:val="000000"/>
          <w:sz w:val="23"/>
          <w:szCs w:val="23"/>
        </w:rPr>
        <w:t xml:space="preserve">Any delegation by the AER under section 44AAH of the </w:t>
      </w:r>
      <w:r>
        <w:rPr>
          <w:i/>
          <w:iCs/>
          <w:color w:val="000000"/>
          <w:sz w:val="23"/>
          <w:szCs w:val="23"/>
        </w:rPr>
        <w:t>Trade Practices Act 1974</w:t>
      </w:r>
      <w:r>
        <w:rPr>
          <w:color w:val="000000"/>
          <w:sz w:val="23"/>
          <w:szCs w:val="23"/>
        </w:rPr>
        <w:t xml:space="preserve"> of the Commonwealth</w:t>
      </w:r>
      <w:r>
        <w:rPr>
          <w:sz w:val="23"/>
        </w:rPr>
        <w:t xml:space="preserve"> or by the ERA under section 29 of the </w:t>
      </w:r>
      <w:r>
        <w:rPr>
          <w:i/>
          <w:sz w:val="23"/>
        </w:rPr>
        <w:t>Economic Regulation Authority Act 2003</w:t>
      </w:r>
      <w:r>
        <w:rPr>
          <w:color w:val="000000"/>
          <w:sz w:val="23"/>
          <w:szCs w:val="23"/>
        </w:rPr>
        <w:t xml:space="preserve"> extends to, and has effect for the purposes of, this Law, the Regulations and the Rules.</w:t>
      </w:r>
    </w:p>
    <w:p>
      <w:pPr>
        <w:pStyle w:val="Footnotesection"/>
      </w:pPr>
      <w:r>
        <w:tab/>
        <w:t>[Section 29 modified: WA Act Sch. 1 cl. 6.]</w:t>
      </w:r>
    </w:p>
    <w:p>
      <w:pPr>
        <w:pStyle w:val="Heading5"/>
      </w:pPr>
      <w:bookmarkStart w:id="727" w:name="_Toc53045928"/>
      <w:bookmarkStart w:id="728" w:name="_Toc5364768"/>
      <w:r>
        <w:rPr>
          <w:rStyle w:val="CharSectno"/>
        </w:rPr>
        <w:t>30</w:t>
      </w:r>
      <w:r>
        <w:t>.</w:t>
      </w:r>
      <w:r>
        <w:tab/>
        <w:t>Confidentiality</w:t>
      </w:r>
      <w:bookmarkEnd w:id="727"/>
      <w:bookmarkEnd w:id="72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Section 44AAF of the </w:t>
      </w:r>
      <w:r>
        <w:rPr>
          <w:i/>
          <w:iCs/>
          <w:color w:val="000000"/>
          <w:sz w:val="23"/>
          <w:szCs w:val="23"/>
        </w:rPr>
        <w:t>Trade Practices Act 1974</w:t>
      </w:r>
      <w:r>
        <w:rPr>
          <w:color w:val="000000"/>
          <w:sz w:val="23"/>
          <w:szCs w:val="23"/>
        </w:rPr>
        <w:t xml:space="preserve"> of the Commonwealth has effect for the purposes of this Law, the Regulations and the Rules as if it formed part of this Law.</w:t>
      </w:r>
    </w:p>
    <w:p>
      <w:pPr>
        <w:keepLines/>
        <w:tabs>
          <w:tab w:val="center" w:pos="1191"/>
          <w:tab w:val="left" w:pos="1588"/>
        </w:tabs>
        <w:autoSpaceDE w:val="0"/>
        <w:autoSpaceDN w:val="0"/>
        <w:adjustRightInd w:val="0"/>
        <w:spacing w:before="120"/>
        <w:ind w:left="1588" w:hanging="794"/>
        <w:rPr>
          <w:sz w:val="23"/>
        </w:rPr>
      </w:pPr>
      <w:r>
        <w:rPr>
          <w:sz w:val="23"/>
        </w:rPr>
        <w:tab/>
        <w:t>(2)</w:t>
      </w:r>
      <w:r>
        <w:rPr>
          <w:sz w:val="23"/>
        </w:rPr>
        <w:tab/>
        <w:t>Without limiting section 2A, that section also applies to section 44AAF as adopted by subsection (1) and, when the adopted section is read as if a reference in it to the AER were a reference to the ERA, it is further modified as follows:</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delete subsection (3)(c) of the adopted section and insert:</w:t>
      </w:r>
    </w:p>
    <w:p>
      <w:pPr>
        <w:pStyle w:val="BlankOpen"/>
      </w:pP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 xml:space="preserve">the Australian Energy Regulator established by section 44AE of the </w:t>
      </w:r>
      <w:r>
        <w:rPr>
          <w:i/>
          <w:iCs/>
          <w:sz w:val="23"/>
        </w:rPr>
        <w:t>Trade Practices Act 1974</w:t>
      </w:r>
      <w:r>
        <w:rPr>
          <w:sz w:val="23"/>
        </w:rPr>
        <w:t xml:space="preserve"> of the Commonwealth;</w:t>
      </w:r>
    </w:p>
    <w:p>
      <w:pPr>
        <w:pStyle w:val="BlankClose"/>
      </w:pP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delete subsection (6)(a)(i) of the adopted section and insert:</w:t>
      </w:r>
    </w:p>
    <w:p>
      <w:pPr>
        <w:pStyle w:val="BlankOpen"/>
      </w:pPr>
    </w:p>
    <w:p>
      <w:pPr>
        <w:keepLines/>
        <w:tabs>
          <w:tab w:val="center" w:pos="2779"/>
          <w:tab w:val="left" w:pos="3176"/>
        </w:tabs>
        <w:autoSpaceDE w:val="0"/>
        <w:autoSpaceDN w:val="0"/>
        <w:adjustRightInd w:val="0"/>
        <w:spacing w:before="120"/>
        <w:ind w:left="3176" w:hanging="794"/>
        <w:rPr>
          <w:sz w:val="23"/>
        </w:rPr>
      </w:pPr>
      <w:r>
        <w:rPr>
          <w:sz w:val="23"/>
        </w:rPr>
        <w:tab/>
        <w:t>(i)</w:t>
      </w:r>
      <w:r>
        <w:rPr>
          <w:sz w:val="23"/>
        </w:rPr>
        <w:tab/>
        <w:t>an ERA member, a person assisting the ERA in the performance of its functions or a delegate of the ERA;</w:t>
      </w:r>
    </w:p>
    <w:p>
      <w:pPr>
        <w:pStyle w:val="BlankClose"/>
      </w:pP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1.</w:t>
      </w:r>
    </w:p>
    <w:p>
      <w:pPr>
        <w:pStyle w:val="Footnotesection"/>
      </w:pPr>
      <w:r>
        <w:tab/>
        <w:t>[Section 30 modified: WA Act Sch. 1 cl. 7.]</w:t>
      </w:r>
    </w:p>
    <w:p>
      <w:pPr>
        <w:pStyle w:val="Heading4"/>
        <w:keepNext w:val="0"/>
      </w:pPr>
      <w:bookmarkStart w:id="729" w:name="_Toc52954235"/>
      <w:bookmarkStart w:id="730" w:name="_Toc52955531"/>
      <w:bookmarkStart w:id="731" w:name="_Toc52957030"/>
      <w:bookmarkStart w:id="732" w:name="_Toc52957813"/>
      <w:bookmarkStart w:id="733" w:name="_Toc53045146"/>
      <w:bookmarkStart w:id="734" w:name="_Toc53045929"/>
      <w:bookmarkStart w:id="735" w:name="_Toc182382"/>
      <w:bookmarkStart w:id="736" w:name="_Toc5346995"/>
      <w:bookmarkStart w:id="737" w:name="_Toc5363548"/>
      <w:bookmarkStart w:id="738" w:name="_Toc5364769"/>
      <w:bookmarkStart w:id="739" w:name="_Toc501633872"/>
      <w:bookmarkStart w:id="740" w:name="_Toc501712768"/>
      <w:bookmarkStart w:id="741" w:name="_Toc536781962"/>
      <w:r>
        <w:t>Division 1A—Rate of return instrument</w:t>
      </w:r>
      <w:bookmarkEnd w:id="729"/>
      <w:bookmarkEnd w:id="730"/>
      <w:bookmarkEnd w:id="731"/>
      <w:bookmarkEnd w:id="732"/>
      <w:bookmarkEnd w:id="733"/>
      <w:bookmarkEnd w:id="734"/>
      <w:bookmarkEnd w:id="735"/>
      <w:bookmarkEnd w:id="736"/>
      <w:bookmarkEnd w:id="737"/>
      <w:bookmarkEnd w:id="738"/>
    </w:p>
    <w:p>
      <w:pPr>
        <w:pStyle w:val="Footnoteheading"/>
      </w:pPr>
      <w:r>
        <w:tab/>
        <w:t>[Heading inserted: see SA Act No. 33 of 2018 s. 15 and WA Gazette 5 Apr 2019 p. 1007.]</w:t>
      </w:r>
    </w:p>
    <w:p>
      <w:pPr>
        <w:pStyle w:val="Heading4"/>
        <w:keepNext w:val="0"/>
      </w:pPr>
      <w:bookmarkStart w:id="742" w:name="_Toc52954236"/>
      <w:bookmarkStart w:id="743" w:name="_Toc52955532"/>
      <w:bookmarkStart w:id="744" w:name="_Toc52957031"/>
      <w:bookmarkStart w:id="745" w:name="_Toc52957814"/>
      <w:bookmarkStart w:id="746" w:name="_Toc53045147"/>
      <w:bookmarkStart w:id="747" w:name="_Toc53045930"/>
      <w:bookmarkStart w:id="748" w:name="_Toc182383"/>
      <w:bookmarkStart w:id="749" w:name="_Toc5346996"/>
      <w:bookmarkStart w:id="750" w:name="_Toc5363549"/>
      <w:bookmarkStart w:id="751" w:name="_Toc5364770"/>
      <w:r>
        <w:t>Subdivision 1—Preliminary</w:t>
      </w:r>
      <w:bookmarkEnd w:id="742"/>
      <w:bookmarkEnd w:id="743"/>
      <w:bookmarkEnd w:id="744"/>
      <w:bookmarkEnd w:id="745"/>
      <w:bookmarkEnd w:id="746"/>
      <w:bookmarkEnd w:id="747"/>
      <w:bookmarkEnd w:id="748"/>
      <w:bookmarkEnd w:id="749"/>
      <w:bookmarkEnd w:id="750"/>
      <w:bookmarkEnd w:id="751"/>
    </w:p>
    <w:p>
      <w:pPr>
        <w:pStyle w:val="Footnoteheading"/>
      </w:pPr>
      <w:r>
        <w:tab/>
        <w:t>[Heading inserted: see SA Act No. 33 of 2018 s. 15 and WA Gazette 5 Apr 2019 p. 1007.]</w:t>
      </w:r>
    </w:p>
    <w:p>
      <w:pPr>
        <w:pStyle w:val="Heading5"/>
        <w:rPr>
          <w:b w:val="0"/>
        </w:rPr>
      </w:pPr>
      <w:bookmarkStart w:id="752" w:name="_Toc53045931"/>
      <w:bookmarkStart w:id="753" w:name="_Toc182384"/>
      <w:bookmarkStart w:id="754" w:name="_Toc5364771"/>
      <w:r>
        <w:rPr>
          <w:rStyle w:val="CharSectno"/>
        </w:rPr>
        <w:t>30A</w:t>
      </w:r>
      <w:r>
        <w:t>.</w:t>
      </w:r>
      <w:r>
        <w:tab/>
        <w:t>Definitions</w:t>
      </w:r>
      <w:bookmarkEnd w:id="752"/>
      <w:bookmarkEnd w:id="753"/>
      <w:bookmarkEnd w:id="754"/>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sz w:val="23"/>
          <w:szCs w:val="23"/>
        </w:rPr>
        <w:t>consumer reference group</w:t>
      </w:r>
      <w:r>
        <w:rPr>
          <w:color w:val="000000"/>
          <w:sz w:val="23"/>
          <w:szCs w:val="23"/>
        </w:rPr>
        <w:t>, for making a rate of return instrument, see section 30H(1)(a);</w:t>
      </w:r>
    </w:p>
    <w:p>
      <w:pPr>
        <w:keepLines/>
        <w:autoSpaceDE w:val="0"/>
        <w:autoSpaceDN w:val="0"/>
        <w:adjustRightInd w:val="0"/>
        <w:spacing w:before="120"/>
        <w:ind w:left="1588"/>
        <w:rPr>
          <w:color w:val="000000"/>
          <w:sz w:val="23"/>
          <w:szCs w:val="23"/>
        </w:rPr>
      </w:pPr>
      <w:r>
        <w:rPr>
          <w:rStyle w:val="CharDefText"/>
          <w:sz w:val="23"/>
          <w:szCs w:val="23"/>
        </w:rPr>
        <w:t>explanatory information</w:t>
      </w:r>
      <w:r>
        <w:rPr>
          <w:color w:val="000000"/>
          <w:sz w:val="23"/>
          <w:szCs w:val="23"/>
        </w:rPr>
        <w:t>, for a rate of return instrument, means information about the content of the instrument, including (but not limited to) information explaining—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for the rate of return on capital or the value of imputation credits under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how the stated value, or the way to calculate the rate or value, was decided;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the instrument replaces another instrument—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differences (if any) between the instrument and the replaced instrument;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reasons for any differences;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why the AER is satisfied the instrument will, or is most likely to, contribute to the achievement of the national gas objective to the greatest degree;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how the AER had regard to the following in making the instrument: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revenue and pricing principles;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matters mentioned in section 30G;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estimation methods, financial models, market data and other evidence relevant to making the instrument;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prevailing conditions in the market for equity funds;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interrelationships between financial parameters used, or to be used, in relation to deciding the rate or value.</w:t>
      </w:r>
    </w:p>
    <w:p>
      <w:pPr>
        <w:pStyle w:val="Footnotesection"/>
      </w:pPr>
      <w:r>
        <w:tab/>
        <w:t>[Section 30A inserted: see SA Act No. 33 of 2018 s. 15 and WA Gazette 5 Apr 2019 p. 1007.]</w:t>
      </w:r>
    </w:p>
    <w:p>
      <w:pPr>
        <w:pStyle w:val="Heading5"/>
        <w:rPr>
          <w:b w:val="0"/>
        </w:rPr>
      </w:pPr>
      <w:bookmarkStart w:id="755" w:name="_Toc53045932"/>
      <w:bookmarkStart w:id="756" w:name="_Toc182385"/>
      <w:bookmarkStart w:id="757" w:name="_Toc5364772"/>
      <w:r>
        <w:rPr>
          <w:rStyle w:val="CharSectno"/>
        </w:rPr>
        <w:t>30B</w:t>
      </w:r>
      <w:r>
        <w:t>.</w:t>
      </w:r>
      <w:r>
        <w:tab/>
        <w:t>Rate of return instrument has force of law</w:t>
      </w:r>
      <w:bookmarkEnd w:id="755"/>
      <w:bookmarkEnd w:id="756"/>
      <w:bookmarkEnd w:id="75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rate of return instrument has the force of law in this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Act of this jurisdiction regulating the making of subordinate legislation does not apply to a rate of return instrument.</w:t>
      </w:r>
    </w:p>
    <w:p>
      <w:pPr>
        <w:pStyle w:val="Footnotesection"/>
      </w:pPr>
      <w:r>
        <w:tab/>
        <w:t>[Section 30B inserted: see SA Act No. 33 of 2018 s. 15 and WA Gazette 5 Apr 2019 p. 1007.]</w:t>
      </w:r>
    </w:p>
    <w:p>
      <w:pPr>
        <w:pStyle w:val="Heading5"/>
        <w:rPr>
          <w:b w:val="0"/>
        </w:rPr>
      </w:pPr>
      <w:bookmarkStart w:id="758" w:name="_Toc53045933"/>
      <w:bookmarkStart w:id="759" w:name="_Toc182386"/>
      <w:bookmarkStart w:id="760" w:name="_Toc5364773"/>
      <w:r>
        <w:rPr>
          <w:rStyle w:val="CharSectno"/>
        </w:rPr>
        <w:t>30C</w:t>
      </w:r>
      <w:r>
        <w:t>.</w:t>
      </w:r>
      <w:r>
        <w:tab/>
        <w:t>Rate of return instrument is binding on AER and covered pipeline service providers</w:t>
      </w:r>
      <w:bookmarkEnd w:id="758"/>
      <w:bookmarkEnd w:id="759"/>
      <w:bookmarkEnd w:id="760"/>
    </w:p>
    <w:p>
      <w:pPr>
        <w:keepNext/>
        <w:keepLines/>
        <w:autoSpaceDE w:val="0"/>
        <w:autoSpaceDN w:val="0"/>
        <w:adjustRightInd w:val="0"/>
        <w:spacing w:before="120"/>
        <w:ind w:left="1588"/>
        <w:rPr>
          <w:color w:val="000000"/>
          <w:sz w:val="23"/>
          <w:szCs w:val="23"/>
        </w:rPr>
      </w:pPr>
      <w:r>
        <w:rPr>
          <w:color w:val="000000"/>
          <w:sz w:val="23"/>
          <w:szCs w:val="23"/>
        </w:rPr>
        <w:t>A rate of return instrument is binding 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AER in relation to the performance or exercise of an AER economic regulatory </w:t>
      </w:r>
      <w:r>
        <w:rPr>
          <w:sz w:val="23"/>
        </w:rPr>
        <w:t>function</w:t>
      </w:r>
      <w:r>
        <w:rPr>
          <w:color w:val="000000"/>
          <w:sz w:val="23"/>
          <w:szCs w:val="23"/>
        </w:rPr>
        <w:t xml:space="preserve"> or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each covered pipeline service provider in </w:t>
      </w:r>
      <w:r>
        <w:rPr>
          <w:sz w:val="23"/>
        </w:rPr>
        <w:t>relation</w:t>
      </w:r>
      <w:r>
        <w:rPr>
          <w:color w:val="000000"/>
          <w:sz w:val="23"/>
          <w:szCs w:val="23"/>
        </w:rPr>
        <w:t xml:space="preserve"> to a matter relevant to the performance or exercise of an AER economic regulatory function or power.</w:t>
      </w:r>
    </w:p>
    <w:p>
      <w:pPr>
        <w:pStyle w:val="Footnotesection"/>
      </w:pPr>
      <w:r>
        <w:tab/>
        <w:t>[Section 30C inserted: see SA Act No. 33 of 2018 s. 15 and WA Gazette 5 Apr 2019 p. 1007.]</w:t>
      </w:r>
    </w:p>
    <w:p>
      <w:pPr>
        <w:pStyle w:val="Heading4"/>
      </w:pPr>
      <w:bookmarkStart w:id="761" w:name="_Toc52954240"/>
      <w:bookmarkStart w:id="762" w:name="_Toc52955536"/>
      <w:bookmarkStart w:id="763" w:name="_Toc52957035"/>
      <w:bookmarkStart w:id="764" w:name="_Toc52957818"/>
      <w:bookmarkStart w:id="765" w:name="_Toc53045151"/>
      <w:bookmarkStart w:id="766" w:name="_Toc53045934"/>
      <w:bookmarkStart w:id="767" w:name="_Toc182387"/>
      <w:bookmarkStart w:id="768" w:name="_Toc5347000"/>
      <w:bookmarkStart w:id="769" w:name="_Toc5363553"/>
      <w:bookmarkStart w:id="770" w:name="_Toc5364774"/>
      <w:r>
        <w:t>Subdivision 2—Requirement to make rate of return instrument</w:t>
      </w:r>
      <w:bookmarkEnd w:id="761"/>
      <w:bookmarkEnd w:id="762"/>
      <w:bookmarkEnd w:id="763"/>
      <w:bookmarkEnd w:id="764"/>
      <w:bookmarkEnd w:id="765"/>
      <w:bookmarkEnd w:id="766"/>
      <w:bookmarkEnd w:id="767"/>
      <w:bookmarkEnd w:id="768"/>
      <w:bookmarkEnd w:id="769"/>
      <w:bookmarkEnd w:id="770"/>
    </w:p>
    <w:p>
      <w:pPr>
        <w:pStyle w:val="Footnoteheading"/>
      </w:pPr>
      <w:r>
        <w:tab/>
        <w:t>[Heading inserted: see SA Act No. 33 of 2018 s. 15 and WA Gazette 5 Apr 2019 p. 1007.]</w:t>
      </w:r>
    </w:p>
    <w:p>
      <w:pPr>
        <w:pStyle w:val="Heading5"/>
        <w:rPr>
          <w:b w:val="0"/>
        </w:rPr>
      </w:pPr>
      <w:bookmarkStart w:id="771" w:name="_Toc53045935"/>
      <w:bookmarkStart w:id="772" w:name="_Toc182388"/>
      <w:bookmarkStart w:id="773" w:name="_Toc5364775"/>
      <w:r>
        <w:rPr>
          <w:rStyle w:val="CharSectno"/>
        </w:rPr>
        <w:t>30D</w:t>
      </w:r>
      <w:r>
        <w:t>.</w:t>
      </w:r>
      <w:r>
        <w:tab/>
        <w:t>AER to make rate of return instrument</w:t>
      </w:r>
      <w:bookmarkEnd w:id="771"/>
      <w:bookmarkEnd w:id="772"/>
      <w:bookmarkEnd w:id="77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 rate of return on capital or the value of imputation credits is required for performing or exercising an AER economic regulatory function or power.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AER must make an instrument (a </w:t>
      </w:r>
      <w:r>
        <w:rPr>
          <w:rStyle w:val="CharDefText"/>
          <w:sz w:val="23"/>
          <w:szCs w:val="23"/>
        </w:rPr>
        <w:t>rate of return instrument</w:t>
      </w:r>
      <w:r>
        <w:rPr>
          <w:color w:val="000000"/>
          <w:sz w:val="23"/>
          <w:szCs w:val="23"/>
        </w:rPr>
        <w:t>) stating—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a rate of return on capital—the way to calculate the rate;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 the value of imputation credits—the value or the way to calculate the value.</w:t>
      </w:r>
    </w:p>
    <w:p>
      <w:pPr>
        <w:keepLines/>
        <w:tabs>
          <w:tab w:val="center" w:pos="1191"/>
          <w:tab w:val="left" w:pos="1588"/>
        </w:tabs>
        <w:autoSpaceDE w:val="0"/>
        <w:autoSpaceDN w:val="0"/>
        <w:adjustRightInd w:val="0"/>
        <w:spacing w:before="120"/>
        <w:ind w:left="1588" w:hanging="794"/>
        <w:rPr>
          <w:color w:val="000000"/>
          <w:sz w:val="23"/>
          <w:szCs w:val="23"/>
        </w:rPr>
      </w:pPr>
      <w:bookmarkStart w:id="774" w:name="id9b8853f5_7d27_438d_9781_ada0a1ec1e"/>
      <w:r>
        <w:rPr>
          <w:color w:val="000000"/>
          <w:sz w:val="23"/>
          <w:szCs w:val="23"/>
        </w:rPr>
        <w:tab/>
        <w:t>(3)</w:t>
      </w:r>
      <w:r>
        <w:rPr>
          <w:color w:val="000000"/>
          <w:sz w:val="23"/>
          <w:szCs w:val="23"/>
        </w:rPr>
        <w:tab/>
        <w:t>The AER may make an instrument only if satisfied the instrument will, or is most likely to, contribute to the achievement of the national gas objective to the greatest degree.</w:t>
      </w:r>
      <w:bookmarkEnd w:id="77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Subject to subsection (3), the way to calculate a rate of return on capital must include a weighted average of an allowed return on equity and an allowed return on debt.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making an instrument,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revenue and pricing principles;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other information the AER considers appropriate.</w:t>
      </w:r>
    </w:p>
    <w:p>
      <w:pPr>
        <w:pStyle w:val="Footnotesection"/>
      </w:pPr>
      <w:r>
        <w:tab/>
        <w:t>[Section 30D inserted: see SA Act No. 33 of 2018 s. 15 and WA Gazette 5 Apr 2019 p. 1007.]</w:t>
      </w:r>
    </w:p>
    <w:p>
      <w:pPr>
        <w:pStyle w:val="Heading5"/>
        <w:rPr>
          <w:b w:val="0"/>
        </w:rPr>
      </w:pPr>
      <w:bookmarkStart w:id="775" w:name="_Toc53045936"/>
      <w:bookmarkStart w:id="776" w:name="_Toc182389"/>
      <w:bookmarkStart w:id="777" w:name="_Toc5364776"/>
      <w:r>
        <w:rPr>
          <w:rStyle w:val="CharSectno"/>
        </w:rPr>
        <w:t>30E</w:t>
      </w:r>
      <w:r>
        <w:t>.</w:t>
      </w:r>
      <w:r>
        <w:tab/>
        <w:t>Content of rate of return instrument</w:t>
      </w:r>
      <w:bookmarkEnd w:id="775"/>
      <w:bookmarkEnd w:id="776"/>
      <w:bookmarkEnd w:id="777"/>
    </w:p>
    <w:p>
      <w:pPr>
        <w:keepLines/>
        <w:tabs>
          <w:tab w:val="center" w:pos="1191"/>
          <w:tab w:val="left" w:pos="1588"/>
        </w:tabs>
        <w:autoSpaceDE w:val="0"/>
        <w:autoSpaceDN w:val="0"/>
        <w:adjustRightInd w:val="0"/>
        <w:spacing w:before="120"/>
        <w:ind w:left="1588" w:hanging="794"/>
        <w:rPr>
          <w:color w:val="000000"/>
          <w:sz w:val="23"/>
          <w:szCs w:val="23"/>
        </w:rPr>
      </w:pPr>
      <w:bookmarkStart w:id="778" w:name="id06c5f023_a283_4d2b_9097_c782232148"/>
      <w:r>
        <w:rPr>
          <w:color w:val="000000"/>
          <w:sz w:val="23"/>
          <w:szCs w:val="23"/>
        </w:rPr>
        <w:tab/>
        <w:t>(1)</w:t>
      </w:r>
      <w:r>
        <w:rPr>
          <w:color w:val="000000"/>
          <w:sz w:val="23"/>
          <w:szCs w:val="23"/>
        </w:rPr>
        <w:tab/>
        <w:t>If a rate of return instrument states the value of imputation credits, the instrument must state a single value to apply in relation to all covered pipeline service providers.</w:t>
      </w:r>
      <w:bookmarkEnd w:id="778"/>
    </w:p>
    <w:p>
      <w:pPr>
        <w:keepLines/>
        <w:tabs>
          <w:tab w:val="center" w:pos="1191"/>
          <w:tab w:val="left" w:pos="1588"/>
        </w:tabs>
        <w:autoSpaceDE w:val="0"/>
        <w:autoSpaceDN w:val="0"/>
        <w:adjustRightInd w:val="0"/>
        <w:spacing w:before="120"/>
        <w:ind w:left="1588" w:hanging="794"/>
        <w:rPr>
          <w:color w:val="000000"/>
          <w:sz w:val="23"/>
          <w:szCs w:val="23"/>
        </w:rPr>
      </w:pPr>
      <w:bookmarkStart w:id="779" w:name="id49cda631_9ac5_4134_9ed1_22b9ec72d5"/>
      <w:r>
        <w:rPr>
          <w:color w:val="000000"/>
          <w:sz w:val="23"/>
          <w:szCs w:val="23"/>
        </w:rPr>
        <w:tab/>
        <w:t>(2)</w:t>
      </w:r>
      <w:r>
        <w:rPr>
          <w:color w:val="000000"/>
          <w:sz w:val="23"/>
          <w:szCs w:val="23"/>
        </w:rPr>
        <w:tab/>
        <w:t>If a rate of return instrument states a way to calculate the rate of return on capital or the value of imputation credits, the instrument must—</w:t>
      </w:r>
      <w:bookmarkEnd w:id="779"/>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provide for the same methodology to </w:t>
      </w:r>
      <w:r>
        <w:rPr>
          <w:sz w:val="23"/>
        </w:rPr>
        <w:t>apply</w:t>
      </w:r>
      <w:r>
        <w:rPr>
          <w:color w:val="000000"/>
          <w:sz w:val="23"/>
          <w:szCs w:val="23"/>
        </w:rPr>
        <w:t xml:space="preserve"> in relation to all covered pipeline service providers in calculating the rate or value;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provide for the methodology to apply automatically without the exercise of any </w:t>
      </w:r>
      <w:r>
        <w:rPr>
          <w:sz w:val="23"/>
        </w:rPr>
        <w:t>discretion</w:t>
      </w:r>
      <w:r>
        <w:rPr>
          <w:color w:val="000000"/>
          <w:sz w:val="23"/>
          <w:szCs w:val="23"/>
        </w:rPr>
        <w:t xml:space="preserve"> by the AER.</w:t>
      </w:r>
    </w:p>
    <w:p>
      <w:pPr>
        <w:keepNext/>
        <w:keepLines/>
        <w:autoSpaceDE w:val="0"/>
        <w:autoSpaceDN w:val="0"/>
        <w:adjustRightInd w:val="0"/>
        <w:spacing w:before="120"/>
        <w:ind w:left="1560" w:hanging="794"/>
        <w:rPr>
          <w:b/>
          <w:bCs/>
          <w:color w:val="000000"/>
          <w:sz w:val="20"/>
        </w:rPr>
      </w:pPr>
      <w:r>
        <w:rPr>
          <w:b/>
          <w:bCs/>
          <w:color w:val="000000"/>
          <w:sz w:val="20"/>
        </w:rPr>
        <w:tab/>
        <w:t>Example for paragraph (b)—</w:t>
      </w:r>
    </w:p>
    <w:p>
      <w:pPr>
        <w:keepLines/>
        <w:autoSpaceDE w:val="0"/>
        <w:autoSpaceDN w:val="0"/>
        <w:adjustRightInd w:val="0"/>
        <w:spacing w:before="120"/>
        <w:ind w:left="2410"/>
        <w:rPr>
          <w:color w:val="000000"/>
          <w:sz w:val="20"/>
        </w:rPr>
      </w:pPr>
      <w:r>
        <w:rPr>
          <w:color w:val="000000"/>
          <w:sz w:val="20"/>
        </w:rPr>
        <w:t>The instrument can not include different methodologies or a band of values from which the AER could choose in applying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Subject to subsections (1) and (2), the instrument may include other matters the AER considers appropriate.</w:t>
      </w:r>
    </w:p>
    <w:p>
      <w:pPr>
        <w:keepNext/>
        <w:keepLines/>
        <w:autoSpaceDE w:val="0"/>
        <w:autoSpaceDN w:val="0"/>
        <w:adjustRightInd w:val="0"/>
        <w:spacing w:before="120"/>
        <w:ind w:left="3176" w:hanging="1552"/>
        <w:rPr>
          <w:b/>
          <w:bCs/>
          <w:color w:val="000000"/>
          <w:sz w:val="20"/>
        </w:rPr>
      </w:pPr>
      <w:r>
        <w:rPr>
          <w:b/>
          <w:bCs/>
          <w:color w:val="000000"/>
          <w:sz w:val="20"/>
        </w:rPr>
        <w:t>Example—</w:t>
      </w:r>
    </w:p>
    <w:p>
      <w:pPr>
        <w:keepLines/>
        <w:autoSpaceDE w:val="0"/>
        <w:autoSpaceDN w:val="0"/>
        <w:adjustRightInd w:val="0"/>
        <w:spacing w:before="120"/>
        <w:ind w:left="2436"/>
        <w:rPr>
          <w:color w:val="000000"/>
          <w:sz w:val="20"/>
        </w:rPr>
      </w:pPr>
      <w:r>
        <w:rPr>
          <w:color w:val="000000"/>
          <w:sz w:val="20"/>
        </w:rPr>
        <w:t>Matters to help a covered pipeline service provider calculate a rate of return or the value of imputation credits.</w:t>
      </w:r>
    </w:p>
    <w:p>
      <w:pPr>
        <w:pStyle w:val="Footnotesection"/>
      </w:pPr>
      <w:r>
        <w:tab/>
        <w:t>[Section 30E inserted: see SA Act No. 33 of 2018 s. 15 and WA Gazette 5 Apr 2019 p. 1007.]</w:t>
      </w:r>
    </w:p>
    <w:p>
      <w:pPr>
        <w:pStyle w:val="Heading4"/>
      </w:pPr>
      <w:bookmarkStart w:id="780" w:name="_Toc52954243"/>
      <w:bookmarkStart w:id="781" w:name="_Toc52955539"/>
      <w:bookmarkStart w:id="782" w:name="_Toc52957038"/>
      <w:bookmarkStart w:id="783" w:name="_Toc52957821"/>
      <w:bookmarkStart w:id="784" w:name="_Toc53045154"/>
      <w:bookmarkStart w:id="785" w:name="_Toc53045937"/>
      <w:bookmarkStart w:id="786" w:name="_Toc182390"/>
      <w:bookmarkStart w:id="787" w:name="_Toc5347003"/>
      <w:bookmarkStart w:id="788" w:name="_Toc5363556"/>
      <w:bookmarkStart w:id="789" w:name="_Toc5364777"/>
      <w:r>
        <w:t>Subdivision 3—Consultation requirements</w:t>
      </w:r>
      <w:bookmarkEnd w:id="780"/>
      <w:bookmarkEnd w:id="781"/>
      <w:bookmarkEnd w:id="782"/>
      <w:bookmarkEnd w:id="783"/>
      <w:bookmarkEnd w:id="784"/>
      <w:bookmarkEnd w:id="785"/>
      <w:bookmarkEnd w:id="786"/>
      <w:bookmarkEnd w:id="787"/>
      <w:bookmarkEnd w:id="788"/>
      <w:bookmarkEnd w:id="789"/>
    </w:p>
    <w:p>
      <w:pPr>
        <w:pStyle w:val="Footnoteheading"/>
      </w:pPr>
      <w:r>
        <w:tab/>
        <w:t>[Heading inserted: see SA Act No. 33 of 2018 s. 15 and WA Gazette 5 Apr 2019 p. 1007.]</w:t>
      </w:r>
    </w:p>
    <w:p>
      <w:pPr>
        <w:pStyle w:val="Heading5"/>
        <w:rPr>
          <w:b w:val="0"/>
        </w:rPr>
      </w:pPr>
      <w:bookmarkStart w:id="790" w:name="_Toc53045938"/>
      <w:bookmarkStart w:id="791" w:name="_Toc182391"/>
      <w:bookmarkStart w:id="792" w:name="_Toc5364778"/>
      <w:r>
        <w:rPr>
          <w:rStyle w:val="CharSectno"/>
        </w:rPr>
        <w:t>30F</w:t>
      </w:r>
      <w:r>
        <w:t>.</w:t>
      </w:r>
      <w:r>
        <w:tab/>
        <w:t>Process for making rate of return instrument</w:t>
      </w:r>
      <w:bookmarkEnd w:id="790"/>
      <w:bookmarkEnd w:id="791"/>
      <w:bookmarkEnd w:id="792"/>
    </w:p>
    <w:p>
      <w:pPr>
        <w:keepNext/>
        <w:keepLines/>
        <w:autoSpaceDE w:val="0"/>
        <w:autoSpaceDN w:val="0"/>
        <w:adjustRightInd w:val="0"/>
        <w:spacing w:before="120"/>
        <w:ind w:left="1588"/>
        <w:rPr>
          <w:color w:val="000000"/>
          <w:sz w:val="23"/>
          <w:szCs w:val="23"/>
        </w:rPr>
      </w:pPr>
      <w:r>
        <w:rPr>
          <w:color w:val="000000"/>
          <w:sz w:val="23"/>
          <w:szCs w:val="23"/>
        </w:rPr>
        <w:t>Subject to this Division, the AER may make a rate of return instrument in the way it considers appropriate.</w:t>
      </w:r>
    </w:p>
    <w:p>
      <w:pPr>
        <w:pStyle w:val="Footnotesection"/>
      </w:pPr>
      <w:r>
        <w:tab/>
        <w:t>[Section 30F inserted: see SA Act No. 33 of 2018 s. 15 and WA Gazette 5 Apr 2019 p. 1007.]</w:t>
      </w:r>
    </w:p>
    <w:p>
      <w:pPr>
        <w:pStyle w:val="Heading5"/>
        <w:rPr>
          <w:b w:val="0"/>
        </w:rPr>
      </w:pPr>
      <w:bookmarkStart w:id="793" w:name="_Toc53045939"/>
      <w:bookmarkStart w:id="794" w:name="_Toc182392"/>
      <w:bookmarkStart w:id="795" w:name="_Toc5364779"/>
      <w:r>
        <w:rPr>
          <w:rStyle w:val="CharSectno"/>
        </w:rPr>
        <w:t>30G</w:t>
      </w:r>
      <w:r>
        <w:t>.</w:t>
      </w:r>
      <w:r>
        <w:tab/>
        <w:t>Other matters AER must have regard to in making instrument</w:t>
      </w:r>
      <w:bookmarkEnd w:id="793"/>
      <w:bookmarkEnd w:id="794"/>
      <w:bookmarkEnd w:id="795"/>
    </w:p>
    <w:p>
      <w:pPr>
        <w:keepNext/>
        <w:keepLines/>
        <w:autoSpaceDE w:val="0"/>
        <w:autoSpaceDN w:val="0"/>
        <w:adjustRightInd w:val="0"/>
        <w:spacing w:before="120"/>
        <w:ind w:left="1588"/>
        <w:rPr>
          <w:color w:val="000000"/>
          <w:sz w:val="23"/>
          <w:szCs w:val="23"/>
        </w:rPr>
      </w:pPr>
      <w:r>
        <w:rPr>
          <w:color w:val="000000"/>
          <w:sz w:val="23"/>
          <w:szCs w:val="23"/>
        </w:rPr>
        <w:t>In making a rate of return instrument, the AER must also have regard to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advice, recommendations or submissions given by a consumer reference group;</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submissions made, and the report published, under section 30H;</w:t>
      </w: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submissions made under section 30J;</w:t>
      </w:r>
    </w:p>
    <w:p>
      <w:pPr>
        <w:keepLines/>
        <w:tabs>
          <w:tab w:val="center" w:pos="1985"/>
          <w:tab w:val="left" w:pos="2382"/>
        </w:tabs>
        <w:autoSpaceDE w:val="0"/>
        <w:autoSpaceDN w:val="0"/>
        <w:adjustRightInd w:val="0"/>
        <w:spacing w:before="120"/>
        <w:ind w:left="2382" w:hanging="794"/>
        <w:rPr>
          <w:sz w:val="23"/>
        </w:rPr>
      </w:pPr>
      <w:r>
        <w:rPr>
          <w:sz w:val="23"/>
        </w:rPr>
        <w:tab/>
        <w:t>(d)</w:t>
      </w:r>
      <w:r>
        <w:rPr>
          <w:sz w:val="23"/>
        </w:rPr>
        <w:tab/>
        <w:t>the report given by the independent panel under section 30K.</w:t>
      </w:r>
    </w:p>
    <w:p>
      <w:pPr>
        <w:pStyle w:val="Footnotesection"/>
      </w:pPr>
      <w:r>
        <w:tab/>
        <w:t>[Section 30G inserted: see SA Act No. 33 of 2018 s. 15 and WA Gazette 5 Apr 2019 p. 1007.]</w:t>
      </w:r>
    </w:p>
    <w:p>
      <w:pPr>
        <w:pStyle w:val="Heading5"/>
        <w:rPr>
          <w:b w:val="0"/>
        </w:rPr>
      </w:pPr>
      <w:bookmarkStart w:id="796" w:name="_Toc53045940"/>
      <w:bookmarkStart w:id="797" w:name="_Toc182393"/>
      <w:bookmarkStart w:id="798" w:name="_Toc5364780"/>
      <w:r>
        <w:rPr>
          <w:rStyle w:val="CharSectno"/>
        </w:rPr>
        <w:t>30H</w:t>
      </w:r>
      <w:r>
        <w:t>.</w:t>
      </w:r>
      <w:r>
        <w:tab/>
        <w:t>Requirements before publishing draft instrument</w:t>
      </w:r>
      <w:bookmarkEnd w:id="796"/>
      <w:bookmarkEnd w:id="797"/>
      <w:bookmarkEnd w:id="798"/>
    </w:p>
    <w:p>
      <w:pPr>
        <w:keepLines/>
        <w:tabs>
          <w:tab w:val="center" w:pos="1191"/>
          <w:tab w:val="left" w:pos="1588"/>
        </w:tabs>
        <w:autoSpaceDE w:val="0"/>
        <w:autoSpaceDN w:val="0"/>
        <w:adjustRightInd w:val="0"/>
        <w:spacing w:before="120"/>
        <w:ind w:left="1588" w:hanging="794"/>
        <w:rPr>
          <w:color w:val="000000"/>
          <w:sz w:val="23"/>
          <w:szCs w:val="23"/>
        </w:rPr>
      </w:pPr>
      <w:bookmarkStart w:id="799" w:name="id4ed2c1b1_4d16_45f9_8783_7955d727cb"/>
      <w:r>
        <w:rPr>
          <w:color w:val="000000"/>
          <w:sz w:val="23"/>
          <w:szCs w:val="23"/>
        </w:rPr>
        <w:tab/>
        <w:t>(1)</w:t>
      </w:r>
      <w:r>
        <w:rPr>
          <w:color w:val="000000"/>
          <w:sz w:val="23"/>
          <w:szCs w:val="23"/>
        </w:rPr>
        <w:tab/>
        <w:t>Before publishing a draft rate of return instrument under this Subdivision, the AER must—</w:t>
      </w:r>
      <w:bookmarkEnd w:id="799"/>
    </w:p>
    <w:p>
      <w:pPr>
        <w:keepLines/>
        <w:tabs>
          <w:tab w:val="center" w:pos="1985"/>
          <w:tab w:val="left" w:pos="2382"/>
        </w:tabs>
        <w:autoSpaceDE w:val="0"/>
        <w:autoSpaceDN w:val="0"/>
        <w:adjustRightInd w:val="0"/>
        <w:spacing w:before="120"/>
        <w:ind w:left="2382" w:hanging="794"/>
        <w:rPr>
          <w:color w:val="000000"/>
          <w:sz w:val="23"/>
          <w:szCs w:val="23"/>
        </w:rPr>
      </w:pPr>
      <w:bookmarkStart w:id="800" w:name="id72f52006_4c51_4fb9_8278_cb348f29de"/>
      <w:r>
        <w:rPr>
          <w:color w:val="000000"/>
          <w:sz w:val="23"/>
          <w:szCs w:val="23"/>
        </w:rPr>
        <w:tab/>
        <w:t>(a)</w:t>
      </w:r>
      <w:r>
        <w:rPr>
          <w:color w:val="000000"/>
          <w:sz w:val="23"/>
          <w:szCs w:val="23"/>
        </w:rPr>
        <w:tab/>
        <w:t xml:space="preserve">establish a reference group to help the AER implement an effective consumer consultation process for making the proposed instrument (a </w:t>
      </w:r>
      <w:r>
        <w:rPr>
          <w:rStyle w:val="CharDefText"/>
          <w:sz w:val="23"/>
          <w:szCs w:val="23"/>
        </w:rPr>
        <w:t>consumer reference group</w:t>
      </w:r>
      <w:r>
        <w:rPr>
          <w:color w:val="000000"/>
          <w:sz w:val="23"/>
          <w:szCs w:val="23"/>
        </w:rPr>
        <w:t>); and</w:t>
      </w:r>
      <w:bookmarkEnd w:id="800"/>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notice on its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inviting persons to make a written submission to the AER about the proposed instrument;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stating the period, not less than 28 days, within which a submission must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seek concurrent expert opinions or evidence about the proposed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may make a submission after the stated period only with the written approval of the AER.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Subject to subsections (4) and (5), the AER may seek the expert opinions or evidence in the way it considers appropriate.</w:t>
      </w:r>
    </w:p>
    <w:p>
      <w:pPr>
        <w:keepNext/>
        <w:keepLines/>
        <w:autoSpaceDE w:val="0"/>
        <w:autoSpaceDN w:val="0"/>
        <w:adjustRightInd w:val="0"/>
        <w:spacing w:before="120"/>
        <w:ind w:left="3176" w:hanging="1616"/>
        <w:rPr>
          <w:b/>
          <w:bCs/>
          <w:color w:val="000000"/>
          <w:sz w:val="20"/>
        </w:rPr>
      </w:pPr>
      <w:r>
        <w:rPr>
          <w:b/>
          <w:bCs/>
          <w:color w:val="000000"/>
          <w:sz w:val="20"/>
        </w:rPr>
        <w:t>Example—</w:t>
      </w:r>
    </w:p>
    <w:p>
      <w:pPr>
        <w:keepLines/>
        <w:autoSpaceDE w:val="0"/>
        <w:autoSpaceDN w:val="0"/>
        <w:adjustRightInd w:val="0"/>
        <w:spacing w:before="120"/>
        <w:ind w:left="2310"/>
        <w:rPr>
          <w:color w:val="000000"/>
          <w:sz w:val="20"/>
        </w:rPr>
      </w:pPr>
      <w:r>
        <w:rPr>
          <w:color w:val="000000"/>
          <w:sz w:val="20"/>
        </w:rPr>
        <w:t>The AER might convene a conference of experts to identify key issues, and areas of dispute and agreement among the experts, about the content of the proposed instrument.</w:t>
      </w:r>
    </w:p>
    <w:p>
      <w:pPr>
        <w:keepLines/>
        <w:tabs>
          <w:tab w:val="center" w:pos="1191"/>
          <w:tab w:val="left" w:pos="1588"/>
        </w:tabs>
        <w:autoSpaceDE w:val="0"/>
        <w:autoSpaceDN w:val="0"/>
        <w:adjustRightInd w:val="0"/>
        <w:spacing w:before="120"/>
        <w:ind w:left="1588" w:hanging="794"/>
        <w:rPr>
          <w:color w:val="000000"/>
          <w:sz w:val="23"/>
          <w:szCs w:val="23"/>
        </w:rPr>
      </w:pPr>
      <w:bookmarkStart w:id="801" w:name="idf9ce6eb5_2545_46ba_b42e_06f502792a"/>
      <w:r>
        <w:rPr>
          <w:color w:val="000000"/>
          <w:sz w:val="23"/>
          <w:szCs w:val="23"/>
        </w:rPr>
        <w:tab/>
        <w:t>(4)</w:t>
      </w:r>
      <w:r>
        <w:rPr>
          <w:color w:val="000000"/>
          <w:sz w:val="23"/>
          <w:szCs w:val="23"/>
        </w:rPr>
        <w:tab/>
        <w:t>The AER must call for nominations of eligible experts but may seek the expert opinions or evidence from any eligible expert.</w:t>
      </w:r>
      <w:bookmarkEnd w:id="801"/>
    </w:p>
    <w:p>
      <w:pPr>
        <w:keepLines/>
        <w:tabs>
          <w:tab w:val="center" w:pos="1191"/>
          <w:tab w:val="left" w:pos="1588"/>
        </w:tabs>
        <w:autoSpaceDE w:val="0"/>
        <w:autoSpaceDN w:val="0"/>
        <w:adjustRightInd w:val="0"/>
        <w:spacing w:before="120"/>
        <w:ind w:left="1588" w:hanging="794"/>
        <w:rPr>
          <w:color w:val="000000"/>
          <w:sz w:val="23"/>
          <w:szCs w:val="23"/>
        </w:rPr>
      </w:pPr>
      <w:bookmarkStart w:id="802" w:name="id36efa138_c002_43f9_a5b7_65e8ea8217"/>
      <w:r>
        <w:rPr>
          <w:color w:val="000000"/>
          <w:sz w:val="23"/>
          <w:szCs w:val="23"/>
        </w:rPr>
        <w:tab/>
        <w:t>(5)</w:t>
      </w:r>
      <w:r>
        <w:rPr>
          <w:color w:val="000000"/>
          <w:sz w:val="23"/>
          <w:szCs w:val="23"/>
        </w:rPr>
        <w:tab/>
        <w:t>If practicable, the AER must seek the expert opinions or evidence from at least 3 eligible experts.</w:t>
      </w:r>
      <w:bookmarkEnd w:id="80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The AER must publish on its website—</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submissions made under this section;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a report on the outcomes of seeking the expert opinions or evidence.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sz w:val="23"/>
          <w:szCs w:val="23"/>
        </w:rPr>
        <w:t>eligible expert</w:t>
      </w:r>
      <w:r>
        <w:rPr>
          <w:color w:val="000000"/>
          <w:sz w:val="23"/>
          <w:szCs w:val="23"/>
        </w:rPr>
        <w:t xml:space="preserve"> means a person with qualifications or experience in a field the AER considers relevant to making a rate of return instrument.</w:t>
      </w:r>
    </w:p>
    <w:p>
      <w:pPr>
        <w:keepNext/>
        <w:keepLines/>
        <w:autoSpaceDE w:val="0"/>
        <w:autoSpaceDN w:val="0"/>
        <w:adjustRightInd w:val="0"/>
        <w:spacing w:before="120"/>
        <w:ind w:left="3176" w:hanging="1552"/>
        <w:rPr>
          <w:b/>
          <w:bCs/>
          <w:color w:val="000000"/>
          <w:sz w:val="20"/>
        </w:rPr>
      </w:pPr>
      <w:r>
        <w:rPr>
          <w:b/>
          <w:bCs/>
          <w:color w:val="000000"/>
          <w:sz w:val="20"/>
        </w:rPr>
        <w:t>Examples of relevant fields—</w:t>
      </w:r>
    </w:p>
    <w:p>
      <w:pPr>
        <w:keepLines/>
        <w:autoSpaceDE w:val="0"/>
        <w:autoSpaceDN w:val="0"/>
        <w:adjustRightInd w:val="0"/>
        <w:spacing w:before="120"/>
        <w:ind w:left="2506"/>
        <w:rPr>
          <w:color w:val="000000"/>
          <w:sz w:val="20"/>
        </w:rPr>
      </w:pPr>
      <w:r>
        <w:rPr>
          <w:color w:val="000000"/>
          <w:sz w:val="20"/>
        </w:rPr>
        <w:t>Finance, economics, law, consumer affairs, institutional investment.</w:t>
      </w:r>
    </w:p>
    <w:p>
      <w:pPr>
        <w:pStyle w:val="Footnotesection"/>
      </w:pPr>
      <w:r>
        <w:tab/>
        <w:t>[Section 30H inserted: see SA Act No. 33 of 2018 s. 15 and WA Gazette 5 Apr 2019 p. 1007.]</w:t>
      </w:r>
    </w:p>
    <w:p>
      <w:pPr>
        <w:pStyle w:val="Heading5"/>
        <w:rPr>
          <w:b w:val="0"/>
        </w:rPr>
      </w:pPr>
      <w:bookmarkStart w:id="803" w:name="_Toc53045941"/>
      <w:bookmarkStart w:id="804" w:name="_Toc182394"/>
      <w:bookmarkStart w:id="805" w:name="_Toc5364781"/>
      <w:r>
        <w:rPr>
          <w:rStyle w:val="CharSectno"/>
        </w:rPr>
        <w:t>30I</w:t>
      </w:r>
      <w:r>
        <w:t>.</w:t>
      </w:r>
      <w:r>
        <w:tab/>
        <w:t>Consumer reference group</w:t>
      </w:r>
      <w:bookmarkEnd w:id="803"/>
      <w:bookmarkEnd w:id="804"/>
      <w:bookmarkEnd w:id="805"/>
    </w:p>
    <w:p>
      <w:pPr>
        <w:keepLines/>
        <w:tabs>
          <w:tab w:val="center" w:pos="1191"/>
          <w:tab w:val="left" w:pos="1588"/>
        </w:tabs>
        <w:autoSpaceDE w:val="0"/>
        <w:autoSpaceDN w:val="0"/>
        <w:adjustRightInd w:val="0"/>
        <w:spacing w:before="120"/>
        <w:ind w:left="1588" w:hanging="794"/>
        <w:rPr>
          <w:color w:val="000000"/>
          <w:sz w:val="23"/>
          <w:szCs w:val="23"/>
        </w:rPr>
      </w:pPr>
      <w:bookmarkStart w:id="806" w:name="id7c8202bb_c300_409e_80bc_5c69e8dde5"/>
      <w:r>
        <w:rPr>
          <w:color w:val="000000"/>
          <w:sz w:val="23"/>
          <w:szCs w:val="23"/>
        </w:rPr>
        <w:tab/>
        <w:t>(1)</w:t>
      </w:r>
      <w:r>
        <w:rPr>
          <w:color w:val="000000"/>
          <w:sz w:val="23"/>
          <w:szCs w:val="23"/>
        </w:rPr>
        <w:tab/>
        <w:t>A consumer reference group for making a rate of return instrument—</w:t>
      </w:r>
      <w:bookmarkEnd w:id="806"/>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is to consist of the members appointed by the AER; and</w:t>
      </w:r>
    </w:p>
    <w:p>
      <w:pPr>
        <w:keepLines/>
        <w:tabs>
          <w:tab w:val="center" w:pos="1985"/>
          <w:tab w:val="left" w:pos="2382"/>
        </w:tabs>
        <w:autoSpaceDE w:val="0"/>
        <w:autoSpaceDN w:val="0"/>
        <w:adjustRightInd w:val="0"/>
        <w:spacing w:before="120"/>
        <w:ind w:left="2382" w:hanging="794"/>
        <w:rPr>
          <w:sz w:val="23"/>
        </w:rPr>
      </w:pPr>
      <w:bookmarkStart w:id="807" w:name="idaffe0aac_73d3_4f1e_abe4_201e1caac3"/>
      <w:r>
        <w:rPr>
          <w:sz w:val="23"/>
        </w:rPr>
        <w:tab/>
        <w:t>(b)</w:t>
      </w:r>
      <w:r>
        <w:rPr>
          <w:sz w:val="23"/>
        </w:rPr>
        <w:tab/>
        <w:t>may carry out its activities, including giving advice or recommendations to the AER about the instrument, in the way it considers appropriate.</w:t>
      </w:r>
      <w:bookmarkEnd w:id="80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(1)(b), the consumer reference group may—</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consult with consumers of natural gas;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facilitate consumer engagement in the process for making the instrument; and</w:t>
      </w: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make written submissions to the AER about the content of the instrument and the process for making 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 publish on its website any written advice, recommendations or submissions given to it by the consumer reference group.</w:t>
      </w:r>
    </w:p>
    <w:p>
      <w:pPr>
        <w:pStyle w:val="Footnotesection"/>
      </w:pPr>
      <w:r>
        <w:tab/>
        <w:t>[Section 30I inserted: see SA Act No. 33 of 2018 s. 15 and WA Gazette 5 Apr 2019 p. 1007.]</w:t>
      </w:r>
    </w:p>
    <w:p>
      <w:pPr>
        <w:pStyle w:val="Heading5"/>
        <w:rPr>
          <w:b w:val="0"/>
        </w:rPr>
      </w:pPr>
      <w:bookmarkStart w:id="808" w:name="_Toc53045942"/>
      <w:bookmarkStart w:id="809" w:name="_Toc182395"/>
      <w:bookmarkStart w:id="810" w:name="_Toc5364782"/>
      <w:r>
        <w:rPr>
          <w:rStyle w:val="CharSectno"/>
        </w:rPr>
        <w:t>30J</w:t>
      </w:r>
      <w:r>
        <w:t>.</w:t>
      </w:r>
      <w:r>
        <w:tab/>
        <w:t>Publication of draft instrument and other information</w:t>
      </w:r>
      <w:bookmarkEnd w:id="808"/>
      <w:bookmarkEnd w:id="809"/>
      <w:bookmarkEnd w:id="81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at least 6 months before making a rate of return instrument, publish on its website—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t>
      </w:r>
      <w:r>
        <w:rPr>
          <w:sz w:val="23"/>
        </w:rPr>
        <w:t>draft</w:t>
      </w:r>
      <w:r>
        <w:rPr>
          <w:color w:val="000000"/>
          <w:sz w:val="23"/>
          <w:szCs w:val="23"/>
        </w:rPr>
        <w:t xml:space="preserve"> of the proposed instrument and the explanatory information for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w:t>
      </w:r>
      <w:r>
        <w:rPr>
          <w:sz w:val="23"/>
        </w:rPr>
        <w:t>notice</w:t>
      </w:r>
      <w:r>
        <w:rPr>
          <w:color w:val="000000"/>
          <w:sz w:val="23"/>
          <w:szCs w:val="23"/>
        </w:rPr>
        <w: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inviting persons to make a written submission to the AER about the proposed instrument;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stating the period, not less than 28 days, within which a submission must be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may make a submission after the stated period only with the written approval of the AER.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 publish submissions made under this section on its website.</w:t>
      </w:r>
    </w:p>
    <w:p>
      <w:pPr>
        <w:pStyle w:val="Footnotesection"/>
      </w:pPr>
      <w:r>
        <w:tab/>
        <w:t>[Section 30J inserted: see SA Act No. 33 of 2018 s. 15 and WA Gazette 5 Apr 2019 p. 1007.]</w:t>
      </w:r>
    </w:p>
    <w:p>
      <w:pPr>
        <w:pStyle w:val="Heading5"/>
        <w:rPr>
          <w:b w:val="0"/>
        </w:rPr>
      </w:pPr>
      <w:bookmarkStart w:id="811" w:name="_Toc53045943"/>
      <w:bookmarkStart w:id="812" w:name="_Toc182396"/>
      <w:bookmarkStart w:id="813" w:name="_Toc5364783"/>
      <w:r>
        <w:rPr>
          <w:rStyle w:val="CharSectno"/>
        </w:rPr>
        <w:t>30K</w:t>
      </w:r>
      <w:r>
        <w:t>.</w:t>
      </w:r>
      <w:r>
        <w:tab/>
        <w:t>Report about draft instrument by independent panel</w:t>
      </w:r>
      <w:bookmarkEnd w:id="811"/>
      <w:bookmarkEnd w:id="812"/>
      <w:bookmarkEnd w:id="81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as soon as practicable after publishing the draft instrument, establish an independent panel to give the AER a written report about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panel—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carry out its activities, including giving the report, in the way it considers appropriate;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r>
      <w:r>
        <w:rPr>
          <w:sz w:val="23"/>
        </w:rPr>
        <w:t>must</w:t>
      </w:r>
      <w:r>
        <w:rPr>
          <w:color w:val="000000"/>
          <w:sz w:val="23"/>
          <w:szCs w:val="23"/>
        </w:rPr>
        <w:t xml:space="preserve"> seek to give the report by consensus.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panel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consist of at least 3 members, appointed by the AER, who have qualifications or experience in a field the AER considers relevant to making a rate of return instrument; and</w:t>
      </w:r>
    </w:p>
    <w:p>
      <w:pPr>
        <w:keepNext/>
        <w:keepLines/>
        <w:autoSpaceDE w:val="0"/>
        <w:autoSpaceDN w:val="0"/>
        <w:adjustRightInd w:val="0"/>
        <w:spacing w:before="120"/>
        <w:ind w:left="3970" w:hanging="1534"/>
        <w:rPr>
          <w:b/>
          <w:bCs/>
          <w:color w:val="000000"/>
          <w:sz w:val="20"/>
        </w:rPr>
      </w:pPr>
      <w:r>
        <w:rPr>
          <w:b/>
          <w:bCs/>
          <w:color w:val="000000"/>
          <w:sz w:val="20"/>
        </w:rPr>
        <w:t>Examples of relevant fields—</w:t>
      </w:r>
    </w:p>
    <w:p>
      <w:pPr>
        <w:keepLines/>
        <w:autoSpaceDE w:val="0"/>
        <w:autoSpaceDN w:val="0"/>
        <w:adjustRightInd w:val="0"/>
        <w:spacing w:before="120"/>
        <w:ind w:left="3332"/>
        <w:rPr>
          <w:color w:val="000000"/>
          <w:sz w:val="20"/>
        </w:rPr>
      </w:pPr>
      <w:r>
        <w:rPr>
          <w:color w:val="000000"/>
          <w:sz w:val="20"/>
        </w:rPr>
        <w:t>Finance, economics, law, consumer affairs, institutional investment.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r>
      <w:r>
        <w:rPr>
          <w:sz w:val="23"/>
        </w:rPr>
        <w:t>give</w:t>
      </w:r>
      <w:r>
        <w:rPr>
          <w:color w:val="000000"/>
          <w:sz w:val="23"/>
          <w:szCs w:val="23"/>
        </w:rPr>
        <w:t xml:space="preserve"> the report to the AER before the A</w:t>
      </w:r>
      <w:r>
        <w:rPr>
          <w:sz w:val="23"/>
        </w:rPr>
        <w:t>E</w:t>
      </w:r>
      <w:r>
        <w:rPr>
          <w:color w:val="000000"/>
          <w:sz w:val="23"/>
          <w:szCs w:val="23"/>
        </w:rPr>
        <w:t>R makes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AER must take reasonable steps to minimise and manage any conflicts of interest a panel member may have in relation to making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report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r>
      <w:r>
        <w:rPr>
          <w:sz w:val="23"/>
        </w:rPr>
        <w:t>include</w:t>
      </w:r>
      <w:r>
        <w:rPr>
          <w:color w:val="000000"/>
          <w:sz w:val="23"/>
          <w:szCs w:val="23"/>
        </w:rPr>
        <w:t xml:space="preserve"> the panel’s assessment of the evidence and reasons supporting the rate of return on capital or the value of imputation credits under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state whether the report is given by consensus.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The AER must publish the report on its website.</w:t>
      </w:r>
    </w:p>
    <w:p>
      <w:pPr>
        <w:pStyle w:val="Footnotesection"/>
      </w:pPr>
      <w:r>
        <w:tab/>
        <w:t>[Section 30K inserted: see SA Act No. 33 of 2018 s. 15 and WA Gazette 5 Apr 2019 p. 1007.]</w:t>
      </w:r>
    </w:p>
    <w:p>
      <w:pPr>
        <w:pStyle w:val="Heading5"/>
        <w:rPr>
          <w:b w:val="0"/>
        </w:rPr>
      </w:pPr>
      <w:bookmarkStart w:id="814" w:name="_Toc53045944"/>
      <w:bookmarkStart w:id="815" w:name="_Toc182397"/>
      <w:bookmarkStart w:id="816" w:name="_Toc5364784"/>
      <w:r>
        <w:rPr>
          <w:rStyle w:val="CharSectno"/>
        </w:rPr>
        <w:t>30L</w:t>
      </w:r>
      <w:r>
        <w:t>.</w:t>
      </w:r>
      <w:r>
        <w:tab/>
        <w:t>Publication of explanatory information</w:t>
      </w:r>
      <w:bookmarkEnd w:id="814"/>
      <w:bookmarkEnd w:id="815"/>
      <w:bookmarkEnd w:id="816"/>
    </w:p>
    <w:p>
      <w:pPr>
        <w:keepNext/>
        <w:keepLines/>
        <w:autoSpaceDE w:val="0"/>
        <w:autoSpaceDN w:val="0"/>
        <w:adjustRightInd w:val="0"/>
        <w:spacing w:before="120"/>
        <w:ind w:left="1588"/>
        <w:rPr>
          <w:color w:val="000000"/>
          <w:sz w:val="23"/>
          <w:szCs w:val="23"/>
        </w:rPr>
      </w:pPr>
      <w:r>
        <w:rPr>
          <w:color w:val="000000"/>
          <w:sz w:val="23"/>
          <w:szCs w:val="23"/>
        </w:rPr>
        <w:t>The AER must publish explanatory information for a rate of return instrument on its website when the instrument is published under section 30N.</w:t>
      </w:r>
    </w:p>
    <w:p>
      <w:pPr>
        <w:pStyle w:val="Footnotesection"/>
      </w:pPr>
      <w:r>
        <w:tab/>
        <w:t>[Section 30L inserted: see SA Act No. 33 of 2018 s. 15 and WA Gazette 5 Apr 2019 p. 1007.]</w:t>
      </w:r>
    </w:p>
    <w:p>
      <w:pPr>
        <w:pStyle w:val="Heading5"/>
        <w:rPr>
          <w:b w:val="0"/>
        </w:rPr>
      </w:pPr>
      <w:bookmarkStart w:id="817" w:name="_Toc53045945"/>
      <w:bookmarkStart w:id="818" w:name="_Toc182398"/>
      <w:bookmarkStart w:id="819" w:name="_Toc5364785"/>
      <w:r>
        <w:rPr>
          <w:rStyle w:val="CharSectno"/>
        </w:rPr>
        <w:t>30M</w:t>
      </w:r>
      <w:r>
        <w:t>.</w:t>
      </w:r>
      <w:r>
        <w:tab/>
        <w:t>Failure to comply does not affect validity</w:t>
      </w:r>
      <w:bookmarkEnd w:id="817"/>
      <w:bookmarkEnd w:id="818"/>
      <w:bookmarkEnd w:id="81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Failure to comply with this Subdivision does not invalidate or otherwise affect a rate of return instrument.</w:t>
      </w:r>
    </w:p>
    <w:p>
      <w:pPr>
        <w:pStyle w:val="Footnotesection"/>
      </w:pPr>
      <w:r>
        <w:tab/>
        <w:t>[Section 30M inserted: see SA Act No. 33 of 2018 s. 15 and WA Gazette 5 Apr 2019 p. 1007.]</w:t>
      </w:r>
    </w:p>
    <w:p>
      <w:pPr>
        <w:pStyle w:val="Heading4"/>
      </w:pPr>
      <w:bookmarkStart w:id="820" w:name="_Toc52954252"/>
      <w:bookmarkStart w:id="821" w:name="_Toc52955548"/>
      <w:bookmarkStart w:id="822" w:name="_Toc52957047"/>
      <w:bookmarkStart w:id="823" w:name="_Toc52957830"/>
      <w:bookmarkStart w:id="824" w:name="_Toc53045163"/>
      <w:bookmarkStart w:id="825" w:name="_Toc53045946"/>
      <w:bookmarkStart w:id="826" w:name="_Toc182399"/>
      <w:bookmarkStart w:id="827" w:name="_Toc5347012"/>
      <w:bookmarkStart w:id="828" w:name="_Toc5363565"/>
      <w:bookmarkStart w:id="829" w:name="_Toc5364786"/>
      <w:r>
        <w:t>Subdivision 4—Publication, review and other matters</w:t>
      </w:r>
      <w:bookmarkEnd w:id="820"/>
      <w:bookmarkEnd w:id="821"/>
      <w:bookmarkEnd w:id="822"/>
      <w:bookmarkEnd w:id="823"/>
      <w:bookmarkEnd w:id="824"/>
      <w:bookmarkEnd w:id="825"/>
      <w:bookmarkEnd w:id="826"/>
      <w:bookmarkEnd w:id="827"/>
      <w:bookmarkEnd w:id="828"/>
      <w:bookmarkEnd w:id="829"/>
    </w:p>
    <w:p>
      <w:pPr>
        <w:pStyle w:val="Footnoteheading"/>
      </w:pPr>
      <w:r>
        <w:tab/>
        <w:t>[Heading inserted: see SA Act No. 33 of 2018 s. 15 and WA Gazette 5 Apr 2019 p. 1007.]</w:t>
      </w:r>
    </w:p>
    <w:p>
      <w:pPr>
        <w:pStyle w:val="Heading5"/>
        <w:rPr>
          <w:b w:val="0"/>
        </w:rPr>
      </w:pPr>
      <w:bookmarkStart w:id="830" w:name="_Toc53045947"/>
      <w:bookmarkStart w:id="831" w:name="_Toc182400"/>
      <w:bookmarkStart w:id="832" w:name="_Toc5364787"/>
      <w:r>
        <w:rPr>
          <w:rStyle w:val="CharSectno"/>
        </w:rPr>
        <w:t>30N</w:t>
      </w:r>
      <w:r>
        <w:t>.</w:t>
      </w:r>
      <w:r>
        <w:tab/>
        <w:t>Publication of rate of return instrument</w:t>
      </w:r>
      <w:bookmarkEnd w:id="830"/>
      <w:bookmarkEnd w:id="831"/>
      <w:bookmarkEnd w:id="832"/>
    </w:p>
    <w:p>
      <w:pPr>
        <w:keepNext/>
        <w:keepLines/>
        <w:autoSpaceDE w:val="0"/>
        <w:autoSpaceDN w:val="0"/>
        <w:adjustRightInd w:val="0"/>
        <w:spacing w:before="120"/>
        <w:ind w:left="1588"/>
        <w:rPr>
          <w:color w:val="000000"/>
          <w:sz w:val="23"/>
          <w:szCs w:val="23"/>
        </w:rPr>
      </w:pPr>
      <w:r>
        <w:rPr>
          <w:color w:val="000000"/>
          <w:sz w:val="23"/>
          <w:szCs w:val="23"/>
        </w:rPr>
        <w:t>After making a rate of return instrument, the AER must publish the instrument on its website.</w:t>
      </w:r>
    </w:p>
    <w:p>
      <w:pPr>
        <w:keepNext/>
        <w:keepLines/>
        <w:autoSpaceDE w:val="0"/>
        <w:autoSpaceDN w:val="0"/>
        <w:adjustRightInd w:val="0"/>
        <w:spacing w:before="120"/>
        <w:ind w:left="3176" w:hanging="1552"/>
        <w:rPr>
          <w:b/>
          <w:bCs/>
          <w:color w:val="000000"/>
          <w:sz w:val="20"/>
        </w:rPr>
      </w:pPr>
      <w:r>
        <w:rPr>
          <w:b/>
          <w:bCs/>
          <w:color w:val="000000"/>
          <w:sz w:val="20"/>
        </w:rPr>
        <w:t>Note—</w:t>
      </w:r>
    </w:p>
    <w:p>
      <w:pPr>
        <w:keepLines/>
        <w:autoSpaceDE w:val="0"/>
        <w:autoSpaceDN w:val="0"/>
        <w:adjustRightInd w:val="0"/>
        <w:spacing w:before="120"/>
        <w:ind w:left="2282"/>
        <w:rPr>
          <w:color w:val="000000"/>
          <w:sz w:val="20"/>
        </w:rPr>
      </w:pPr>
      <w:r>
        <w:rPr>
          <w:color w:val="000000"/>
          <w:sz w:val="20"/>
        </w:rPr>
        <w:t>See section 30L for the requirement to publish explanatory information for the instrument.</w:t>
      </w:r>
    </w:p>
    <w:p>
      <w:pPr>
        <w:pStyle w:val="Footnotesection"/>
      </w:pPr>
      <w:r>
        <w:tab/>
        <w:t>[Section 30N inserted: see SA Act No. 33 of 2018 s. 15 and WA Gazette 5 Apr 2019 p. 1007.]</w:t>
      </w:r>
    </w:p>
    <w:p>
      <w:pPr>
        <w:pStyle w:val="Heading5"/>
        <w:rPr>
          <w:b w:val="0"/>
        </w:rPr>
      </w:pPr>
      <w:bookmarkStart w:id="833" w:name="_Toc53045948"/>
      <w:bookmarkStart w:id="834" w:name="_Toc182401"/>
      <w:bookmarkStart w:id="835" w:name="_Toc5364788"/>
      <w:r>
        <w:rPr>
          <w:rStyle w:val="CharSectno"/>
        </w:rPr>
        <w:t>30O</w:t>
      </w:r>
      <w:r>
        <w:t>.</w:t>
      </w:r>
      <w:r>
        <w:tab/>
        <w:t>Commencement and duration of instrument</w:t>
      </w:r>
      <w:bookmarkEnd w:id="833"/>
      <w:bookmarkEnd w:id="834"/>
      <w:bookmarkEnd w:id="835"/>
    </w:p>
    <w:p>
      <w:pPr>
        <w:keepNext/>
        <w:keepLines/>
        <w:autoSpaceDE w:val="0"/>
        <w:autoSpaceDN w:val="0"/>
        <w:adjustRightInd w:val="0"/>
        <w:spacing w:before="120"/>
        <w:ind w:left="1588"/>
        <w:rPr>
          <w:color w:val="000000"/>
          <w:sz w:val="23"/>
          <w:szCs w:val="23"/>
        </w:rPr>
      </w:pPr>
      <w:r>
        <w:rPr>
          <w:color w:val="000000"/>
          <w:sz w:val="23"/>
          <w:szCs w:val="23"/>
        </w:rPr>
        <w:t>A rate of return instrument—</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commences on the day after it is published on the AER’s website;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remains in force until the end of the day it is replaced under section 30P.</w:t>
      </w:r>
    </w:p>
    <w:p>
      <w:pPr>
        <w:pStyle w:val="Footnotesection"/>
      </w:pPr>
      <w:r>
        <w:tab/>
        <w:t>[Section 30O inserted: see SA Act No. 33 of 2018 s. 15 and WA Gazette 5 Apr 2019 p. 1007.]</w:t>
      </w:r>
    </w:p>
    <w:p>
      <w:pPr>
        <w:pStyle w:val="Heading5"/>
        <w:rPr>
          <w:b w:val="0"/>
        </w:rPr>
      </w:pPr>
      <w:bookmarkStart w:id="836" w:name="_Toc53045949"/>
      <w:bookmarkStart w:id="837" w:name="_Toc182402"/>
      <w:bookmarkStart w:id="838" w:name="_Toc5364789"/>
      <w:r>
        <w:rPr>
          <w:rStyle w:val="CharSectno"/>
        </w:rPr>
        <w:t>30P</w:t>
      </w:r>
      <w:r>
        <w:t>.</w:t>
      </w:r>
      <w:r>
        <w:tab/>
        <w:t>Review and replacement of instrument</w:t>
      </w:r>
      <w:bookmarkEnd w:id="836"/>
      <w:bookmarkEnd w:id="837"/>
      <w:bookmarkEnd w:id="83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review each rate of return instrument;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make a new rate of return instrument under this Division to replace the reviewed instrument.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replace the reviewed instrument by publishing the new instrument on its website on the day that is—</w:t>
      </w:r>
    </w:p>
    <w:p>
      <w:pPr>
        <w:keepLines/>
        <w:tabs>
          <w:tab w:val="center" w:pos="1985"/>
          <w:tab w:val="left" w:pos="2382"/>
        </w:tabs>
        <w:autoSpaceDE w:val="0"/>
        <w:autoSpaceDN w:val="0"/>
        <w:adjustRightInd w:val="0"/>
        <w:spacing w:before="120"/>
        <w:ind w:left="2382" w:hanging="794"/>
        <w:rPr>
          <w:sz w:val="23"/>
        </w:rPr>
      </w:pPr>
      <w:bookmarkStart w:id="839" w:name="ide68ac82a_69fa_49e3_8f33_05844174a6"/>
      <w:r>
        <w:rPr>
          <w:sz w:val="23"/>
        </w:rPr>
        <w:tab/>
        <w:t>(a)</w:t>
      </w:r>
      <w:r>
        <w:rPr>
          <w:sz w:val="23"/>
        </w:rPr>
        <w:tab/>
        <w:t>the fourth anniversary of the day the reviewed instrument was published; or</w:t>
      </w:r>
      <w:bookmarkEnd w:id="839"/>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if the day mentioned in paragraph (a) is not a business day—the first business day after that day.</w:t>
      </w:r>
    </w:p>
    <w:p>
      <w:pPr>
        <w:pStyle w:val="Footnotesection"/>
      </w:pPr>
      <w:r>
        <w:tab/>
        <w:t>[Section 30P inserted: see SA Act No. 33 of 2018 s. 15 and WA Gazette 5 Apr 2019 p. 1007.]</w:t>
      </w:r>
    </w:p>
    <w:p>
      <w:pPr>
        <w:pStyle w:val="Heading5"/>
        <w:rPr>
          <w:b w:val="0"/>
        </w:rPr>
      </w:pPr>
      <w:bookmarkStart w:id="840" w:name="_Toc53045950"/>
      <w:bookmarkStart w:id="841" w:name="_Toc182403"/>
      <w:bookmarkStart w:id="842" w:name="_Toc5364790"/>
      <w:r>
        <w:rPr>
          <w:rStyle w:val="CharSectno"/>
        </w:rPr>
        <w:t>30Q</w:t>
      </w:r>
      <w:r>
        <w:t>.</w:t>
      </w:r>
      <w:r>
        <w:tab/>
        <w:t>Application of instrument</w:t>
      </w:r>
      <w:bookmarkEnd w:id="840"/>
      <w:bookmarkEnd w:id="841"/>
      <w:bookmarkEnd w:id="84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rate of return instrument—</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applies for the purposes of an AER economic regulatory decision made after the commencement of the instrument;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does not affect an AER economic regulatory decision made before the commencement of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remove any doubt, it is declared that the application of the instrument under this Law, including, for example, in making a full access arrangement decision, is an AER economic regulatory function or power.</w:t>
      </w:r>
    </w:p>
    <w:p>
      <w:pPr>
        <w:pStyle w:val="Footnotesection"/>
      </w:pPr>
      <w:r>
        <w:tab/>
        <w:t>[Section 30Q inserted: see SA Act No. 33 of 2018 s. 15 and WA Gazette 5 Apr 2019 p. 1007.]</w:t>
      </w:r>
    </w:p>
    <w:p>
      <w:pPr>
        <w:pStyle w:val="Ednotesection"/>
      </w:pPr>
      <w:r>
        <w:t>[</w:t>
      </w:r>
      <w:r>
        <w:rPr>
          <w:b/>
        </w:rPr>
        <w:t>30R.</w:t>
      </w:r>
      <w:r>
        <w:rPr>
          <w:b/>
        </w:rPr>
        <w:tab/>
      </w:r>
      <w:r>
        <w:t>Section 30R inserted: see SA Act No. 33 of 2018 s. 15 and WA Gazette 5 Apr 2019 p. 1007; deleted: WA Act Sch. 1 cl. 7A.]</w:t>
      </w:r>
    </w:p>
    <w:p>
      <w:pPr>
        <w:pStyle w:val="Heading4"/>
      </w:pPr>
      <w:bookmarkStart w:id="843" w:name="_Toc52954257"/>
      <w:bookmarkStart w:id="844" w:name="_Toc52955553"/>
      <w:bookmarkStart w:id="845" w:name="_Toc52957052"/>
      <w:bookmarkStart w:id="846" w:name="_Toc52957835"/>
      <w:bookmarkStart w:id="847" w:name="_Toc53045168"/>
      <w:bookmarkStart w:id="848" w:name="_Toc53045951"/>
      <w:bookmarkStart w:id="849" w:name="_Toc182404"/>
      <w:bookmarkStart w:id="850" w:name="_Toc5347017"/>
      <w:bookmarkStart w:id="851" w:name="_Toc5363570"/>
      <w:bookmarkStart w:id="852" w:name="_Toc5364791"/>
      <w:r>
        <w:t>Subdivision 5—Confidentiality of information</w:t>
      </w:r>
      <w:bookmarkEnd w:id="843"/>
      <w:bookmarkEnd w:id="844"/>
      <w:bookmarkEnd w:id="845"/>
      <w:bookmarkEnd w:id="846"/>
      <w:bookmarkEnd w:id="847"/>
      <w:bookmarkEnd w:id="848"/>
      <w:bookmarkEnd w:id="849"/>
      <w:bookmarkEnd w:id="850"/>
      <w:bookmarkEnd w:id="851"/>
      <w:bookmarkEnd w:id="852"/>
    </w:p>
    <w:p>
      <w:pPr>
        <w:pStyle w:val="Footnoteheading"/>
        <w:keepNext/>
      </w:pPr>
      <w:r>
        <w:tab/>
        <w:t>[Heading inserted: see SA Act No. 33 of 2018 s. 15 and WA Gazette 5 Apr 2019 p. 1007.]</w:t>
      </w:r>
    </w:p>
    <w:p>
      <w:pPr>
        <w:pStyle w:val="Heading5"/>
        <w:rPr>
          <w:b w:val="0"/>
        </w:rPr>
      </w:pPr>
      <w:bookmarkStart w:id="853" w:name="_Toc53045952"/>
      <w:bookmarkStart w:id="854" w:name="_Toc182405"/>
      <w:bookmarkStart w:id="855" w:name="_Toc5364792"/>
      <w:r>
        <w:rPr>
          <w:rStyle w:val="CharSectno"/>
        </w:rPr>
        <w:t>30S</w:t>
      </w:r>
      <w:r>
        <w:t>.</w:t>
      </w:r>
      <w:r>
        <w:tab/>
        <w:t>Confidentiality</w:t>
      </w:r>
      <w:bookmarkEnd w:id="853"/>
      <w:bookmarkEnd w:id="854"/>
      <w:bookmarkEnd w:id="855"/>
    </w:p>
    <w:p>
      <w:pPr>
        <w:keepLines/>
        <w:tabs>
          <w:tab w:val="center" w:pos="1191"/>
          <w:tab w:val="left" w:pos="1588"/>
        </w:tabs>
        <w:autoSpaceDE w:val="0"/>
        <w:autoSpaceDN w:val="0"/>
        <w:adjustRightInd w:val="0"/>
        <w:spacing w:before="120"/>
        <w:ind w:left="1588" w:hanging="794"/>
        <w:rPr>
          <w:color w:val="000000"/>
          <w:sz w:val="23"/>
          <w:szCs w:val="23"/>
        </w:rPr>
      </w:pPr>
      <w:bookmarkStart w:id="856" w:name="id7b991313_de91_485f_867a_676e631da1"/>
      <w:r>
        <w:rPr>
          <w:color w:val="000000"/>
          <w:sz w:val="23"/>
          <w:szCs w:val="23"/>
        </w:rPr>
        <w:tab/>
        <w:t>(1)</w:t>
      </w:r>
      <w:r>
        <w:rPr>
          <w:color w:val="000000"/>
          <w:sz w:val="23"/>
          <w:szCs w:val="23"/>
        </w:rPr>
        <w:tab/>
        <w:t>If a person wishes to give information to the AER for the purposes of this Division in confidence—</w:t>
      </w:r>
      <w:bookmarkEnd w:id="856"/>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the person must give the AER written notice that the person claims the information is confidential;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give reasons to support the claim,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information about the detriment that might be caused to the person if the information were disclosed by the AER;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information that—</w:t>
      </w:r>
    </w:p>
    <w:p>
      <w:pPr>
        <w:keepLines/>
        <w:tabs>
          <w:tab w:val="center" w:pos="3686"/>
          <w:tab w:val="left" w:pos="4111"/>
        </w:tabs>
        <w:autoSpaceDE w:val="0"/>
        <w:autoSpaceDN w:val="0"/>
        <w:adjustRightInd w:val="0"/>
        <w:spacing w:before="120"/>
        <w:ind w:left="4111" w:hanging="919"/>
        <w:rPr>
          <w:color w:val="000000"/>
          <w:sz w:val="23"/>
          <w:szCs w:val="23"/>
        </w:rPr>
      </w:pPr>
      <w:r>
        <w:rPr>
          <w:color w:val="000000"/>
          <w:sz w:val="23"/>
          <w:szCs w:val="23"/>
        </w:rPr>
        <w:tab/>
        <w:t>(A)</w:t>
      </w:r>
      <w:r>
        <w:rPr>
          <w:color w:val="000000"/>
          <w:sz w:val="23"/>
          <w:szCs w:val="23"/>
        </w:rPr>
        <w:tab/>
        <w:t>is reasonably within the person’s knowledge and capacity to give; and</w:t>
      </w:r>
    </w:p>
    <w:p>
      <w:pPr>
        <w:keepLines/>
        <w:tabs>
          <w:tab w:val="center" w:pos="3686"/>
          <w:tab w:val="left" w:pos="4111"/>
        </w:tabs>
        <w:autoSpaceDE w:val="0"/>
        <w:autoSpaceDN w:val="0"/>
        <w:adjustRightInd w:val="0"/>
        <w:spacing w:before="120"/>
        <w:ind w:left="4111" w:hanging="919"/>
        <w:rPr>
          <w:color w:val="000000"/>
          <w:sz w:val="23"/>
          <w:szCs w:val="23"/>
        </w:rPr>
      </w:pPr>
      <w:r>
        <w:rPr>
          <w:color w:val="000000"/>
          <w:sz w:val="23"/>
          <w:szCs w:val="23"/>
        </w:rPr>
        <w:tab/>
        <w:t>(B)</w:t>
      </w:r>
      <w:r>
        <w:rPr>
          <w:color w:val="000000"/>
          <w:sz w:val="23"/>
          <w:szCs w:val="23"/>
        </w:rPr>
        <w:tab/>
        <w:t>may be relevant to the AER’s consideration under section 329 about whether the public benefit in disclosing the information outweighs the detriment.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In giving reasons to support a claim under subsection (1) about information received from another person (a </w:t>
      </w:r>
      <w:r>
        <w:rPr>
          <w:rStyle w:val="CharDefText"/>
          <w:sz w:val="23"/>
          <w:szCs w:val="23"/>
        </w:rPr>
        <w:t>third party</w:t>
      </w:r>
      <w:r>
        <w:rPr>
          <w:color w:val="000000"/>
          <w:sz w:val="23"/>
          <w:szCs w:val="23"/>
        </w:rPr>
        <w:t>), a person may include information that—</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is reasonably within the person’s knowledge and capacity to give;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is about the detriment that might be caused to the third party if the information were disclosed by the AER; and</w:t>
      </w: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may be relevant to the AER’s consideration under section 329 about whether the public benefit in disclosing the information outweighs the detriment.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acting under subsection (1), a person must specifically identify the information in relation to which the claim is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Information given to the AER for the purposes of this Division is not to be regarded as being given in confidence, or to be confidential in any way, unless the information is subject to an express claim of confidentiality made under this section.</w:t>
      </w:r>
    </w:p>
    <w:p>
      <w:pPr>
        <w:pStyle w:val="Footnotesection"/>
      </w:pPr>
      <w:r>
        <w:tab/>
        <w:t>[Section 30S inserted: see SA Act No. 33 of 2018 s. 15 and WA Gazette 5 Apr 2019 p. 1007.]</w:t>
      </w:r>
    </w:p>
    <w:p>
      <w:pPr>
        <w:pStyle w:val="Heading5"/>
        <w:rPr>
          <w:b w:val="0"/>
        </w:rPr>
      </w:pPr>
      <w:bookmarkStart w:id="857" w:name="_Toc53045953"/>
      <w:bookmarkStart w:id="858" w:name="_Toc182406"/>
      <w:bookmarkStart w:id="859" w:name="_Toc5364793"/>
      <w:r>
        <w:rPr>
          <w:rStyle w:val="CharSectno"/>
        </w:rPr>
        <w:t>30T</w:t>
      </w:r>
      <w:r>
        <w:t>.</w:t>
      </w:r>
      <w:r>
        <w:tab/>
        <w:t>Disclosure of information given in confidence</w:t>
      </w:r>
      <w:bookmarkEnd w:id="857"/>
      <w:bookmarkEnd w:id="858"/>
      <w:bookmarkEnd w:id="85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Chapter 10 Part 2 Division 1 applies in relation to publishing information given to the AER in confidence under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sz w:val="23"/>
          <w:szCs w:val="23"/>
        </w:rPr>
        <w:t>information</w:t>
      </w:r>
      <w:r>
        <w:t xml:space="preserve"> </w:t>
      </w:r>
      <w:r>
        <w:rPr>
          <w:color w:val="000000"/>
          <w:sz w:val="23"/>
          <w:szCs w:val="23"/>
        </w:rPr>
        <w:t>includes advice, recommendations, submissions and reports.</w:t>
      </w:r>
    </w:p>
    <w:p>
      <w:pPr>
        <w:pStyle w:val="Footnotesection"/>
      </w:pPr>
      <w:r>
        <w:tab/>
        <w:t>[Section 30T inserted: see SA Act No. 33 of 2018 s. 15 and WA Gazette 5 Apr 2019 p. 1007.]</w:t>
      </w:r>
    </w:p>
    <w:p>
      <w:pPr>
        <w:pStyle w:val="Heading4"/>
        <w:rPr>
          <w:szCs w:val="28"/>
        </w:rPr>
      </w:pPr>
      <w:bookmarkStart w:id="860" w:name="_Toc52954260"/>
      <w:bookmarkStart w:id="861" w:name="_Toc52955556"/>
      <w:bookmarkStart w:id="862" w:name="_Toc52957055"/>
      <w:bookmarkStart w:id="863" w:name="_Toc52957838"/>
      <w:bookmarkStart w:id="864" w:name="_Toc53045171"/>
      <w:bookmarkStart w:id="865" w:name="_Toc53045954"/>
      <w:bookmarkStart w:id="866" w:name="_Toc5347020"/>
      <w:bookmarkStart w:id="867" w:name="_Toc5363573"/>
      <w:bookmarkStart w:id="868" w:name="_Toc5364794"/>
      <w:r>
        <w:rPr>
          <w:szCs w:val="28"/>
        </w:rPr>
        <w:t>Division 2 — Search warrants</w:t>
      </w:r>
      <w:bookmarkEnd w:id="860"/>
      <w:bookmarkEnd w:id="861"/>
      <w:bookmarkEnd w:id="862"/>
      <w:bookmarkEnd w:id="863"/>
      <w:bookmarkEnd w:id="864"/>
      <w:bookmarkEnd w:id="865"/>
      <w:bookmarkEnd w:id="739"/>
      <w:bookmarkEnd w:id="740"/>
      <w:bookmarkEnd w:id="741"/>
      <w:bookmarkEnd w:id="866"/>
      <w:bookmarkEnd w:id="867"/>
      <w:bookmarkEnd w:id="868"/>
    </w:p>
    <w:p>
      <w:pPr>
        <w:pStyle w:val="Heading5"/>
      </w:pPr>
      <w:bookmarkStart w:id="869" w:name="_Toc53045955"/>
      <w:bookmarkStart w:id="870" w:name="_Toc5364795"/>
      <w:r>
        <w:rPr>
          <w:rStyle w:val="CharSectno"/>
        </w:rPr>
        <w:t>31</w:t>
      </w:r>
      <w:r>
        <w:t>.</w:t>
      </w:r>
      <w:r>
        <w:tab/>
        <w:t>Definitions</w:t>
      </w:r>
      <w:bookmarkEnd w:id="869"/>
      <w:bookmarkEnd w:id="870"/>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authorised person</w:t>
      </w:r>
      <w:r>
        <w:rPr>
          <w:bCs/>
          <w:i/>
          <w:iCs/>
          <w:color w:val="000000"/>
          <w:sz w:val="23"/>
          <w:szCs w:val="23"/>
        </w:rPr>
        <w:t xml:space="preserve"> </w:t>
      </w:r>
      <w:r>
        <w:rPr>
          <w:color w:val="000000"/>
          <w:sz w:val="23"/>
          <w:szCs w:val="23"/>
        </w:rPr>
        <w:t>means a person authorised under section 32;</w:t>
      </w:r>
    </w:p>
    <w:p>
      <w:pPr>
        <w:keepLines/>
        <w:autoSpaceDE w:val="0"/>
        <w:autoSpaceDN w:val="0"/>
        <w:adjustRightInd w:val="0"/>
        <w:spacing w:before="120"/>
        <w:ind w:left="1588"/>
        <w:rPr>
          <w:color w:val="000000"/>
          <w:sz w:val="23"/>
          <w:szCs w:val="23"/>
        </w:rPr>
      </w:pPr>
      <w:r>
        <w:rPr>
          <w:rStyle w:val="CharDefText"/>
          <w:bCs/>
          <w:sz w:val="23"/>
        </w:rPr>
        <w:t>relevant provision</w:t>
      </w:r>
      <w:r>
        <w:rPr>
          <w:bCs/>
          <w:i/>
          <w:iCs/>
          <w:color w:val="000000"/>
          <w:sz w:val="23"/>
          <w:szCs w:val="23"/>
        </w:rPr>
        <w:t xml:space="preserve"> </w:t>
      </w:r>
      <w:r>
        <w:rPr>
          <w:color w:val="000000"/>
          <w:sz w:val="23"/>
          <w:szCs w:val="23"/>
        </w:rPr>
        <w:t>means a provision of this Law, the Regulations or the Rules.</w:t>
      </w:r>
    </w:p>
    <w:p>
      <w:pPr>
        <w:pStyle w:val="Heading5"/>
      </w:pPr>
      <w:bookmarkStart w:id="871" w:name="_Toc53045956"/>
      <w:bookmarkStart w:id="872" w:name="_Toc5364796"/>
      <w:r>
        <w:rPr>
          <w:rStyle w:val="CharSectno"/>
        </w:rPr>
        <w:t>32</w:t>
      </w:r>
      <w:r>
        <w:t>.</w:t>
      </w:r>
      <w:r>
        <w:tab/>
        <w:t>Authorised person</w:t>
      </w:r>
      <w:bookmarkEnd w:id="871"/>
      <w:bookmarkEnd w:id="87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in writing, authorise a person that the AER considers is suitably qualified or trained to be an authorised person for the purposes of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authorised person must comply with any direction of the AER in exercising powers or functions as an authorised person.</w:t>
      </w:r>
    </w:p>
    <w:p>
      <w:pPr>
        <w:pStyle w:val="Heading5"/>
      </w:pPr>
      <w:bookmarkStart w:id="873" w:name="_Toc53045957"/>
      <w:bookmarkStart w:id="874" w:name="_Toc5364797"/>
      <w:r>
        <w:rPr>
          <w:rStyle w:val="CharSectno"/>
        </w:rPr>
        <w:t>33</w:t>
      </w:r>
      <w:r>
        <w:t>.</w:t>
      </w:r>
      <w:r>
        <w:tab/>
        <w:t>Identity cards</w:t>
      </w:r>
      <w:bookmarkEnd w:id="873"/>
      <w:bookmarkEnd w:id="87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issue an identity card to an authorised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identity card must contain the name, a recent photograph and the signature of the authorised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authorised person must carry the identity card at all times when exercising powers or performing functions as an authorised person.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authorised person must produce his or her identity card for inspection—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before exercising a power as an authorised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at any time during the exercise of a power as an authorised person, if asked to do so.</w:t>
      </w:r>
    </w:p>
    <w:p>
      <w:pPr>
        <w:pStyle w:val="Heading5"/>
      </w:pPr>
      <w:bookmarkStart w:id="875" w:name="_Toc53045958"/>
      <w:bookmarkStart w:id="876" w:name="_Toc5364798"/>
      <w:r>
        <w:rPr>
          <w:rStyle w:val="CharSectno"/>
        </w:rPr>
        <w:t>34</w:t>
      </w:r>
      <w:r>
        <w:t>.</w:t>
      </w:r>
      <w:r>
        <w:tab/>
        <w:t>Return of identity cards</w:t>
      </w:r>
      <w:bookmarkEnd w:id="875"/>
      <w:bookmarkEnd w:id="876"/>
    </w:p>
    <w:p>
      <w:pPr>
        <w:keepNext/>
        <w:keepLines/>
        <w:autoSpaceDE w:val="0"/>
        <w:autoSpaceDN w:val="0"/>
        <w:adjustRightInd w:val="0"/>
        <w:spacing w:before="120"/>
        <w:ind w:left="1588"/>
        <w:rPr>
          <w:color w:val="000000"/>
          <w:sz w:val="23"/>
          <w:szCs w:val="23"/>
        </w:rPr>
      </w:pPr>
      <w:r>
        <w:rPr>
          <w:color w:val="000000"/>
          <w:sz w:val="23"/>
          <w:szCs w:val="23"/>
        </w:rPr>
        <w:t>If a person to whom an identity card has been issued ceases to be an authorised person, the person must return the identity card to the AER as soon as practicable.</w:t>
      </w:r>
    </w:p>
    <w:p>
      <w:pPr>
        <w:keepLines/>
        <w:autoSpaceDE w:val="0"/>
        <w:autoSpaceDN w:val="0"/>
        <w:adjustRightInd w:val="0"/>
        <w:spacing w:before="80"/>
        <w:ind w:left="1588"/>
        <w:rPr>
          <w:color w:val="000000"/>
          <w:sz w:val="23"/>
          <w:szCs w:val="23"/>
        </w:rPr>
      </w:pPr>
      <w:r>
        <w:rPr>
          <w:color w:val="000000"/>
          <w:sz w:val="23"/>
          <w:szCs w:val="23"/>
        </w:rPr>
        <w:t>Maximum penalty: $500</w:t>
      </w:r>
    </w:p>
    <w:p>
      <w:pPr>
        <w:pStyle w:val="Heading5"/>
      </w:pPr>
      <w:bookmarkStart w:id="877" w:name="_Toc53045959"/>
      <w:bookmarkStart w:id="878" w:name="_Toc5364799"/>
      <w:r>
        <w:rPr>
          <w:rStyle w:val="CharSectno"/>
        </w:rPr>
        <w:t>35</w:t>
      </w:r>
      <w:r>
        <w:t>.</w:t>
      </w:r>
      <w:r>
        <w:tab/>
        <w:t>Search warrant</w:t>
      </w:r>
      <w:bookmarkEnd w:id="877"/>
      <w:bookmarkEnd w:id="87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authorised person may apply to a magistrate for the issue of a search warrant in relation to a particular place if the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believes on reasonable grounds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there is or has been or will be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is or may be a thing or things of a particular kind connected with that breach on or in that place;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reasonably suspects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there may have been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is or may be a thing or things of a particular kind connected with that breach on or in that place.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magistrate is satisfied by the evidence, on oath or by affidavit, of an authorised person that there are reasonable grounds for suspecting that there is, or may be within the next 7 days, a thing or things of a particular kind connected with a breach or possible breach of a relevant provision on or in a place, the magistrate may issue a search warrant authorising an authorised person named in the warrant—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enter the place specified in the warrant, with such assistance and by the use of such force as is necessary and reasonable;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search the place or any part of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search for and seize a thing named or described in the warrant and which the person believes on reasonable grounds to be connected with the breach or possible breach of the relevant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inspect, examine or record an image of anything in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take extracts from, and make copies of, any documents in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to take into the place such equipment and materials as the person requires for exercising the powers.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search warrant issued under this section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purpose for which the search is required and the nature of the suspected breach of the relevant provision;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conditions to which the warrant is subject;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whether entry is authorised to be made at any time of the day or night or during stated hours of the day or night;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day, not later than 7 days after the issue of the warrant, on which the warrant ceases to have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Except as provided by this Law, the rules to be observed with respect to search warrants mentioned in any relevant laws of this jurisdiction extend and apply to warrants under this section.</w:t>
      </w:r>
    </w:p>
    <w:p>
      <w:pPr>
        <w:pStyle w:val="Heading5"/>
      </w:pPr>
      <w:bookmarkStart w:id="879" w:name="_Toc53045960"/>
      <w:bookmarkStart w:id="880" w:name="_Toc5364800"/>
      <w:r>
        <w:rPr>
          <w:rStyle w:val="CharSectno"/>
        </w:rPr>
        <w:t>36</w:t>
      </w:r>
      <w:r>
        <w:t>.</w:t>
      </w:r>
      <w:r>
        <w:tab/>
        <w:t>Announcement of entry and details of warrant to be given to occupier or other person at premises</w:t>
      </w:r>
      <w:bookmarkEnd w:id="879"/>
      <w:bookmarkEnd w:id="88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occupier or another person who apparently represents the occupier is present at premises when a search warrant is being executed.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authorised person executing the warrant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identify himself or herself to that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announce that he or she is authorised by the warrant to enter the place;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before using force to enter, give the person an opportunity to allow entry;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give the person a copy of the warrant.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authorised person executing the warrant is not entitled to exercise any powers under the warrant in relation to premises if the authorised person does not comply with subsection (2).</w:t>
      </w:r>
    </w:p>
    <w:p>
      <w:pPr>
        <w:pStyle w:val="Heading5"/>
      </w:pPr>
      <w:bookmarkStart w:id="881" w:name="_Toc53045961"/>
      <w:bookmarkStart w:id="882" w:name="_Toc5364801"/>
      <w:r>
        <w:rPr>
          <w:rStyle w:val="CharSectno"/>
        </w:rPr>
        <w:t>37</w:t>
      </w:r>
      <w:r>
        <w:t>.</w:t>
      </w:r>
      <w:r>
        <w:tab/>
        <w:t>Immediate entry permitted in certain cases</w:t>
      </w:r>
      <w:bookmarkEnd w:id="881"/>
      <w:bookmarkEnd w:id="882"/>
    </w:p>
    <w:p>
      <w:pPr>
        <w:keepNext/>
        <w:keepLines/>
        <w:autoSpaceDE w:val="0"/>
        <w:autoSpaceDN w:val="0"/>
        <w:adjustRightInd w:val="0"/>
        <w:spacing w:before="120"/>
        <w:ind w:left="1588"/>
        <w:rPr>
          <w:color w:val="000000"/>
          <w:sz w:val="23"/>
          <w:szCs w:val="23"/>
        </w:rPr>
      </w:pPr>
      <w:r>
        <w:rPr>
          <w:color w:val="000000"/>
          <w:sz w:val="23"/>
          <w:szCs w:val="23"/>
        </w:rPr>
        <w:t>An authorised person executing a warrant need not comply with section 36 if he or she believes on reasonable grounds that immediate entry to premises is required to ensure—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safety of any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the effective execution of the search warrant is not frustrated.</w:t>
      </w:r>
    </w:p>
    <w:p>
      <w:pPr>
        <w:pStyle w:val="Heading5"/>
      </w:pPr>
      <w:bookmarkStart w:id="883" w:name="_Toc53045962"/>
      <w:bookmarkStart w:id="884" w:name="_Toc5364802"/>
      <w:r>
        <w:rPr>
          <w:rStyle w:val="CharSectno"/>
        </w:rPr>
        <w:t>38</w:t>
      </w:r>
      <w:r>
        <w:t>.</w:t>
      </w:r>
      <w:r>
        <w:tab/>
        <w:t>Copies of seized documents</w:t>
      </w:r>
      <w:bookmarkEnd w:id="883"/>
      <w:bookmarkEnd w:id="88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authorised person executing a warrant retains possession of a document seized from a person in accordance with the warrant, the authorised person must give that other person, within 21 days of the seizure, a copy of the document certified as correct by the authorised person executing the warrant.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copy of a document certified under subsection (1) shall be received in all courts and all tribunals as evidence of equal validity to the original.</w:t>
      </w:r>
    </w:p>
    <w:p>
      <w:pPr>
        <w:pStyle w:val="Heading5"/>
        <w:keepLines w:val="0"/>
      </w:pPr>
      <w:bookmarkStart w:id="885" w:name="_Toc53045963"/>
      <w:bookmarkStart w:id="886" w:name="_Toc5364803"/>
      <w:r>
        <w:rPr>
          <w:rStyle w:val="CharSectno"/>
        </w:rPr>
        <w:t>39</w:t>
      </w:r>
      <w:r>
        <w:t>.</w:t>
      </w:r>
      <w:r>
        <w:tab/>
        <w:t>Retention and return of seized documents or things</w:t>
      </w:r>
      <w:bookmarkEnd w:id="885"/>
      <w:bookmarkEnd w:id="886"/>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authorised person executing a warrant seizes a document or other thing in accordance with the warrant, the authorised person must if he or she is not a person employed by the AER, give the document or other thing seized to the AER.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take reasonable steps to return the document or thing to the person from whom it was seized if the reason for its seizure no longer exists.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document or thing seized has not been returned within 3 months after it was seized, the AER must take reasonable steps to return it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proceedings for the purpose for which the document or thing was retained have commenced within that 3 month period and those proceedings (including any appeal) have not been completed;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magistrate makes an order under section 40 extending the period during which the document or thing may be retained.</w:t>
      </w:r>
    </w:p>
    <w:p>
      <w:pPr>
        <w:pStyle w:val="Heading5"/>
      </w:pPr>
      <w:bookmarkStart w:id="887" w:name="_Toc53045964"/>
      <w:bookmarkStart w:id="888" w:name="_Toc5364804"/>
      <w:r>
        <w:rPr>
          <w:rStyle w:val="CharSectno"/>
        </w:rPr>
        <w:t>40</w:t>
      </w:r>
      <w:r>
        <w:t>.</w:t>
      </w:r>
      <w:r>
        <w:tab/>
        <w:t>Extension of period of retention of documents or things seized</w:t>
      </w:r>
      <w:bookmarkEnd w:id="887"/>
      <w:bookmarkEnd w:id="88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apply to a magistrate—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within 3 months after a document or other thing was seized in accordance with a warrant;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an extension has been granted under this section, before the end of the period of the extension,</w:t>
      </w:r>
    </w:p>
    <w:p>
      <w:pPr>
        <w:keepLines/>
        <w:autoSpaceDE w:val="0"/>
        <w:autoSpaceDN w:val="0"/>
        <w:adjustRightInd w:val="0"/>
        <w:spacing w:before="120"/>
        <w:ind w:left="1588"/>
        <w:rPr>
          <w:color w:val="000000"/>
          <w:sz w:val="23"/>
          <w:szCs w:val="23"/>
        </w:rPr>
      </w:pPr>
      <w:r>
        <w:rPr>
          <w:color w:val="000000"/>
          <w:sz w:val="23"/>
          <w:szCs w:val="23"/>
        </w:rPr>
        <w:t>for an extension of the period for which the AER may retain the document or thing but so that the total period of retention does not exceed 12 months.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 be made before proceedings for the purpose for which the document or thing was retained have been commenced.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magistrate may order such an extension if he or she is satisfied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in the interests of justice;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total period of retention does not exceed 12 months;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retention of the document or other thing is necessary—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the purposes of an investigation into whether a breach of a relevant provision has occurred;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to enable evidence of a breach of a relevant provision to be obtained for the purposes of a proceeding under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proceedings are commenced for the purpose for which the document or thing was retained at any time before the expiry of the period specified in an order under this section, the document or thing may be retained until those proceedings (including any appeal) have been completed despite those proceedings being completed after the period specified in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At least 7 days prior to the hearing of an application under this section by a magistrate, notice of the application must be sent to the owner of the document or thing described in the application.</w:t>
      </w:r>
    </w:p>
    <w:p>
      <w:pPr>
        <w:pStyle w:val="Heading5"/>
      </w:pPr>
      <w:bookmarkStart w:id="889" w:name="_Toc53045965"/>
      <w:bookmarkStart w:id="890" w:name="_Toc5364805"/>
      <w:r>
        <w:rPr>
          <w:rStyle w:val="CharSectno"/>
        </w:rPr>
        <w:t>41</w:t>
      </w:r>
      <w:r>
        <w:t>.</w:t>
      </w:r>
      <w:r>
        <w:tab/>
        <w:t>Obstruction of persons authorised to enter</w:t>
      </w:r>
      <w:bookmarkEnd w:id="889"/>
      <w:bookmarkEnd w:id="890"/>
    </w:p>
    <w:p>
      <w:pPr>
        <w:keepNext/>
        <w:keepLines/>
        <w:autoSpaceDE w:val="0"/>
        <w:autoSpaceDN w:val="0"/>
        <w:adjustRightInd w:val="0"/>
        <w:spacing w:before="120"/>
        <w:ind w:left="1588"/>
        <w:rPr>
          <w:color w:val="000000"/>
          <w:sz w:val="23"/>
          <w:szCs w:val="23"/>
        </w:rPr>
      </w:pPr>
      <w:r>
        <w:rPr>
          <w:color w:val="000000"/>
          <w:sz w:val="23"/>
          <w:szCs w:val="23"/>
        </w:rPr>
        <w:t>A person must not, without reasonable excuse, obstruct or hinder an authorised person in the exercise of a power under a search warrant under this Division.</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4"/>
      </w:pPr>
      <w:bookmarkStart w:id="891" w:name="_Toc52954272"/>
      <w:bookmarkStart w:id="892" w:name="_Toc52955568"/>
      <w:bookmarkStart w:id="893" w:name="_Toc52957067"/>
      <w:bookmarkStart w:id="894" w:name="_Toc52957850"/>
      <w:bookmarkStart w:id="895" w:name="_Toc53045183"/>
      <w:bookmarkStart w:id="896" w:name="_Toc53045966"/>
      <w:bookmarkStart w:id="897" w:name="_Toc501633884"/>
      <w:bookmarkStart w:id="898" w:name="_Toc501712780"/>
      <w:bookmarkStart w:id="899" w:name="_Toc536781974"/>
      <w:bookmarkStart w:id="900" w:name="_Toc5347032"/>
      <w:bookmarkStart w:id="901" w:name="_Toc5363585"/>
      <w:bookmarkStart w:id="902" w:name="_Toc5364806"/>
      <w:r>
        <w:t>Division 3 — General information gathering powers</w:t>
      </w:r>
      <w:bookmarkEnd w:id="891"/>
      <w:bookmarkEnd w:id="892"/>
      <w:bookmarkEnd w:id="893"/>
      <w:bookmarkEnd w:id="894"/>
      <w:bookmarkEnd w:id="895"/>
      <w:bookmarkEnd w:id="896"/>
      <w:bookmarkEnd w:id="897"/>
      <w:bookmarkEnd w:id="898"/>
      <w:bookmarkEnd w:id="899"/>
      <w:bookmarkEnd w:id="900"/>
      <w:bookmarkEnd w:id="901"/>
      <w:bookmarkEnd w:id="902"/>
    </w:p>
    <w:p>
      <w:pPr>
        <w:pStyle w:val="Heading5"/>
      </w:pPr>
      <w:bookmarkStart w:id="903" w:name="_Toc53045967"/>
      <w:bookmarkStart w:id="904" w:name="_Toc5364807"/>
      <w:r>
        <w:rPr>
          <w:rStyle w:val="CharSectno"/>
        </w:rPr>
        <w:t>42</w:t>
      </w:r>
      <w:r>
        <w:t>.</w:t>
      </w:r>
      <w:r>
        <w:tab/>
        <w:t>Power to obtain information and documents in relation to performance and exercise of functions and powers</w:t>
      </w:r>
      <w:bookmarkEnd w:id="903"/>
      <w:bookmarkEnd w:id="90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the AER has reason to believe that a person is capable of providing information or producing a document that the AER requires for the performance or exercise of a function or power conferred on it under this Law or the Rules, the AER may, by notice in writing, serve on that person a notice (a </w:t>
      </w:r>
      <w:r>
        <w:rPr>
          <w:rStyle w:val="CharDefText"/>
          <w:bCs/>
          <w:sz w:val="23"/>
        </w:rPr>
        <w:t>relevant notice</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relevant notice may require the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by writing signed by that person or, in the case of a body corporate, by a competent officer of the body corporate, within the time and in the manner specified in the notice, any information of the kind referred to in subsection (1);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to the AER, or to a person specified in the notice acting on its behalf, in accordance with the notice, any documents of the kind referred to in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on whom a relevant notice is served must comply with the relevant notice unless the person has a reasonable excuse.</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must not, in purported compliance with a relevant notice, provide information that the person knows is false or misleading in a material particular.</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It is a reasonable excuse for the purposes of subsection (3) if the person served the relevant notice is not capable of complying with that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It is a reasonable excuse for a natural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rPr>
      </w:pPr>
      <w:r>
        <w:rPr>
          <w:color w:val="000000"/>
          <w:sz w:val="23"/>
          <w:szCs w:val="23"/>
        </w:rPr>
        <w:t>if to do so might tend to incriminate the person, or make the person liable to a criminal penalty, under a law of this jurisdiction or a law of another participating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It is not a reasonable excuse for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rPr>
      </w:pPr>
      <w:r>
        <w:rPr>
          <w:color w:val="000000"/>
          <w:sz w:val="23"/>
          <w:szCs w:val="23"/>
        </w:rPr>
        <w:t>on the ground of any duty of confidence.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the production of which would disclose information that is the subject of legal professional privilege.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information that would disclose the contents of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provide information, or produce a document, that would disclose the deliberations of the Cabinet or a committee of the Cabinet of the Commonwealth or of a State or a Territory.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A person incurs, by complying with a relevant notice, no liability for breach of contract, breach of confidence or any other civil wrong.</w:t>
      </w:r>
    </w:p>
    <w:p>
      <w:pPr>
        <w:pStyle w:val="Heading4"/>
      </w:pPr>
      <w:bookmarkStart w:id="905" w:name="_Toc52954274"/>
      <w:bookmarkStart w:id="906" w:name="_Toc52955570"/>
      <w:bookmarkStart w:id="907" w:name="_Toc52957069"/>
      <w:bookmarkStart w:id="908" w:name="_Toc52957852"/>
      <w:bookmarkStart w:id="909" w:name="_Toc53045185"/>
      <w:bookmarkStart w:id="910" w:name="_Toc53045968"/>
      <w:bookmarkStart w:id="911" w:name="_Toc501633886"/>
      <w:bookmarkStart w:id="912" w:name="_Toc501712782"/>
      <w:bookmarkStart w:id="913" w:name="_Toc536781976"/>
      <w:bookmarkStart w:id="914" w:name="_Toc5347034"/>
      <w:bookmarkStart w:id="915" w:name="_Toc5363587"/>
      <w:bookmarkStart w:id="916" w:name="_Toc5364808"/>
      <w:r>
        <w:t>Division 4 — Regulatory information notices and general regulatory information orders</w:t>
      </w:r>
      <w:bookmarkEnd w:id="905"/>
      <w:bookmarkEnd w:id="906"/>
      <w:bookmarkEnd w:id="907"/>
      <w:bookmarkEnd w:id="908"/>
      <w:bookmarkEnd w:id="909"/>
      <w:bookmarkEnd w:id="910"/>
      <w:bookmarkEnd w:id="911"/>
      <w:bookmarkEnd w:id="912"/>
      <w:bookmarkEnd w:id="913"/>
      <w:bookmarkEnd w:id="914"/>
      <w:bookmarkEnd w:id="915"/>
      <w:bookmarkEnd w:id="916"/>
    </w:p>
    <w:p>
      <w:pPr>
        <w:pStyle w:val="Heading4"/>
      </w:pPr>
      <w:bookmarkStart w:id="917" w:name="_Toc52954275"/>
      <w:bookmarkStart w:id="918" w:name="_Toc52955571"/>
      <w:bookmarkStart w:id="919" w:name="_Toc52957070"/>
      <w:bookmarkStart w:id="920" w:name="_Toc52957853"/>
      <w:bookmarkStart w:id="921" w:name="_Toc53045186"/>
      <w:bookmarkStart w:id="922" w:name="_Toc53045969"/>
      <w:bookmarkStart w:id="923" w:name="_Toc501633887"/>
      <w:bookmarkStart w:id="924" w:name="_Toc501712783"/>
      <w:bookmarkStart w:id="925" w:name="_Toc536781977"/>
      <w:bookmarkStart w:id="926" w:name="_Toc5347035"/>
      <w:bookmarkStart w:id="927" w:name="_Toc5363588"/>
      <w:bookmarkStart w:id="928" w:name="_Toc5364809"/>
      <w:r>
        <w:t>Subdivision 1 — Interpretation</w:t>
      </w:r>
      <w:bookmarkEnd w:id="917"/>
      <w:bookmarkEnd w:id="918"/>
      <w:bookmarkEnd w:id="919"/>
      <w:bookmarkEnd w:id="920"/>
      <w:bookmarkEnd w:id="921"/>
      <w:bookmarkEnd w:id="922"/>
      <w:bookmarkEnd w:id="923"/>
      <w:bookmarkEnd w:id="924"/>
      <w:bookmarkEnd w:id="925"/>
      <w:bookmarkEnd w:id="926"/>
      <w:bookmarkEnd w:id="927"/>
      <w:bookmarkEnd w:id="928"/>
    </w:p>
    <w:p>
      <w:pPr>
        <w:pStyle w:val="Heading5"/>
      </w:pPr>
      <w:bookmarkStart w:id="929" w:name="_Toc53045970"/>
      <w:bookmarkStart w:id="930" w:name="_Toc5364810"/>
      <w:r>
        <w:rPr>
          <w:rStyle w:val="CharSectno"/>
        </w:rPr>
        <w:t>43</w:t>
      </w:r>
      <w:r>
        <w:t>.</w:t>
      </w:r>
      <w:r>
        <w:tab/>
        <w:t>Definitions</w:t>
      </w:r>
      <w:bookmarkEnd w:id="929"/>
      <w:bookmarkEnd w:id="930"/>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contributing service</w:t>
      </w:r>
      <w:r>
        <w:rPr>
          <w:bCs/>
          <w:i/>
          <w:iCs/>
          <w:color w:val="000000"/>
          <w:sz w:val="23"/>
          <w:szCs w:val="23"/>
        </w:rPr>
        <w:t xml:space="preserve"> </w:t>
      </w:r>
      <w:r>
        <w:rPr>
          <w:color w:val="000000"/>
          <w:sz w:val="23"/>
          <w:szCs w:val="23"/>
        </w:rPr>
        <w:t>has the meaning given by section 44;</w:t>
      </w:r>
    </w:p>
    <w:p>
      <w:pPr>
        <w:keepNext/>
        <w:keepLines/>
        <w:autoSpaceDE w:val="0"/>
        <w:autoSpaceDN w:val="0"/>
        <w:adjustRightInd w:val="0"/>
        <w:spacing w:before="120"/>
        <w:ind w:left="1588"/>
        <w:rPr>
          <w:color w:val="000000"/>
          <w:sz w:val="23"/>
          <w:szCs w:val="23"/>
        </w:rPr>
      </w:pPr>
      <w:r>
        <w:rPr>
          <w:rStyle w:val="CharDefText"/>
          <w:bCs/>
          <w:sz w:val="23"/>
        </w:rPr>
        <w:t>scheme pipeline service provider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service provider who provides or intends to provide pipeline services by means of an international pipeline to which a price regulation exemption applies;</w:t>
      </w:r>
    </w:p>
    <w:p>
      <w:pPr>
        <w:keepLines/>
        <w:autoSpaceDE w:val="0"/>
        <w:autoSpaceDN w:val="0"/>
        <w:adjustRightInd w:val="0"/>
        <w:spacing w:before="120"/>
        <w:ind w:left="1588"/>
        <w:rPr>
          <w:color w:val="000000"/>
          <w:sz w:val="23"/>
          <w:szCs w:val="23"/>
        </w:rPr>
      </w:pPr>
      <w:r>
        <w:rPr>
          <w:rStyle w:val="CharDefText"/>
          <w:bCs/>
          <w:sz w:val="23"/>
        </w:rPr>
        <w:t>related provider</w:t>
      </w:r>
      <w:r>
        <w:rPr>
          <w:bCs/>
          <w:i/>
          <w:iCs/>
          <w:color w:val="000000"/>
          <w:sz w:val="23"/>
          <w:szCs w:val="23"/>
        </w:rPr>
        <w:t xml:space="preserve"> </w:t>
      </w:r>
      <w:r>
        <w:rPr>
          <w:color w:val="000000"/>
          <w:sz w:val="23"/>
          <w:szCs w:val="23"/>
        </w:rPr>
        <w:t>means a person who supplies a contributing service to a scheme pipeline service provider.</w:t>
      </w:r>
    </w:p>
    <w:p>
      <w:pPr>
        <w:pStyle w:val="Heading5"/>
      </w:pPr>
      <w:bookmarkStart w:id="931" w:name="_Toc53045971"/>
      <w:bookmarkStart w:id="932" w:name="_Toc5364811"/>
      <w:r>
        <w:rPr>
          <w:rStyle w:val="CharSectno"/>
        </w:rPr>
        <w:t>44</w:t>
      </w:r>
      <w:r>
        <w:t>.</w:t>
      </w:r>
      <w:r>
        <w:tab/>
        <w:t>Meaning of contributing service</w:t>
      </w:r>
      <w:bookmarkEnd w:id="931"/>
      <w:bookmarkEnd w:id="93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contributing service is a service that the AER, in accordance with this section, decides is a service that contributes in a material way to the provision of a pipeline service by a scheme pipeline service provider.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deciding whether a service is a service that contributes in a material way to the provision of a pipeline service by a scheme pipeline service provider,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nature and kind of the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the service was first supplied;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and extent of the contribution of the service relative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pipeline service;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all other services supplied by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the service was previously supplied—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the scheme pipeline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directly or indirectly by an associate of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service, together with other services, contributes in a material way to the provision of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other matter specified under the Rules.</w:t>
      </w:r>
    </w:p>
    <w:p>
      <w:pPr>
        <w:pStyle w:val="Heading5"/>
      </w:pPr>
      <w:bookmarkStart w:id="933" w:name="_Toc53045972"/>
      <w:bookmarkStart w:id="934" w:name="_Toc5364812"/>
      <w:r>
        <w:rPr>
          <w:rStyle w:val="CharSectno"/>
        </w:rPr>
        <w:t>45</w:t>
      </w:r>
      <w:r>
        <w:t>.</w:t>
      </w:r>
      <w:r>
        <w:tab/>
        <w:t>Meaning of general regulatory information order</w:t>
      </w:r>
      <w:bookmarkEnd w:id="933"/>
      <w:bookmarkEnd w:id="934"/>
    </w:p>
    <w:p>
      <w:pPr>
        <w:keepNext/>
        <w:keepLines/>
        <w:autoSpaceDE w:val="0"/>
        <w:autoSpaceDN w:val="0"/>
        <w:adjustRightInd w:val="0"/>
        <w:spacing w:before="120"/>
        <w:ind w:left="1588"/>
        <w:rPr>
          <w:color w:val="000000"/>
          <w:sz w:val="23"/>
          <w:szCs w:val="23"/>
        </w:rPr>
      </w:pPr>
      <w:r>
        <w:rPr>
          <w:color w:val="000000"/>
          <w:sz w:val="23"/>
          <w:szCs w:val="23"/>
        </w:rPr>
        <w:t>A general regulatory information order is an order made by the AER in accordance with this Division that requires each scheme pipeline service provider of a specified class, or each related provider of a specified class,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the information specified in the order;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prepare, maintain or keep information specified in the notice in a manner and form specified in the order.</w:t>
      </w:r>
    </w:p>
    <w:p>
      <w:pPr>
        <w:pStyle w:val="Heading5"/>
      </w:pPr>
      <w:bookmarkStart w:id="935" w:name="_Toc53045973"/>
      <w:bookmarkStart w:id="936" w:name="_Toc5364813"/>
      <w:r>
        <w:rPr>
          <w:rStyle w:val="CharSectno"/>
        </w:rPr>
        <w:t>46</w:t>
      </w:r>
      <w:r>
        <w:t>.</w:t>
      </w:r>
      <w:r>
        <w:tab/>
        <w:t>Meaning of regulatory information notice</w:t>
      </w:r>
      <w:bookmarkEnd w:id="935"/>
      <w:bookmarkEnd w:id="936"/>
    </w:p>
    <w:p>
      <w:pPr>
        <w:keepNext/>
        <w:keepLines/>
        <w:autoSpaceDE w:val="0"/>
        <w:autoSpaceDN w:val="0"/>
        <w:adjustRightInd w:val="0"/>
        <w:spacing w:before="120"/>
        <w:ind w:left="1588"/>
        <w:rPr>
          <w:color w:val="000000"/>
          <w:sz w:val="23"/>
          <w:szCs w:val="23"/>
        </w:rPr>
      </w:pPr>
      <w:r>
        <w:rPr>
          <w:color w:val="000000"/>
          <w:sz w:val="23"/>
          <w:szCs w:val="23"/>
        </w:rPr>
        <w:t>A regulatory information notice is a notice prepared and served by the AER in accordance with this Division that requires the scheme pipeline service provider, or a related provider, named in the notice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the information specified in the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prepare, maintain or keep information specified in the notice in a manner and form specified in the notice.</w:t>
      </w:r>
    </w:p>
    <w:p>
      <w:pPr>
        <w:pStyle w:val="Heading5"/>
      </w:pPr>
      <w:bookmarkStart w:id="937" w:name="_Toc53045974"/>
      <w:bookmarkStart w:id="938" w:name="_Toc5364814"/>
      <w:r>
        <w:rPr>
          <w:rStyle w:val="CharSectno"/>
        </w:rPr>
        <w:t>47</w:t>
      </w:r>
      <w:r>
        <w:t>.</w:t>
      </w:r>
      <w:r>
        <w:tab/>
        <w:t>Division does not limit operation of information gathering powers under Division 3</w:t>
      </w:r>
      <w:bookmarkEnd w:id="937"/>
      <w:bookmarkEnd w:id="938"/>
    </w:p>
    <w:p>
      <w:pPr>
        <w:keepLines/>
        <w:autoSpaceDE w:val="0"/>
        <w:autoSpaceDN w:val="0"/>
        <w:adjustRightInd w:val="0"/>
        <w:spacing w:before="120"/>
        <w:ind w:left="1588"/>
        <w:rPr>
          <w:color w:val="000000"/>
          <w:sz w:val="23"/>
          <w:szCs w:val="23"/>
        </w:rPr>
      </w:pPr>
      <w:r>
        <w:rPr>
          <w:color w:val="000000"/>
          <w:sz w:val="23"/>
          <w:szCs w:val="23"/>
        </w:rPr>
        <w:t>This Division does not limit the operation of Division 3.</w:t>
      </w:r>
    </w:p>
    <w:p>
      <w:pPr>
        <w:pStyle w:val="Heading4"/>
      </w:pPr>
      <w:bookmarkStart w:id="939" w:name="_Toc52954281"/>
      <w:bookmarkStart w:id="940" w:name="_Toc52955577"/>
      <w:bookmarkStart w:id="941" w:name="_Toc52957076"/>
      <w:bookmarkStart w:id="942" w:name="_Toc52957859"/>
      <w:bookmarkStart w:id="943" w:name="_Toc53045192"/>
      <w:bookmarkStart w:id="944" w:name="_Toc53045975"/>
      <w:bookmarkStart w:id="945" w:name="_Toc501633893"/>
      <w:bookmarkStart w:id="946" w:name="_Toc501712789"/>
      <w:bookmarkStart w:id="947" w:name="_Toc536781983"/>
      <w:bookmarkStart w:id="948" w:name="_Toc5347041"/>
      <w:bookmarkStart w:id="949" w:name="_Toc5363594"/>
      <w:bookmarkStart w:id="950" w:name="_Toc5364815"/>
      <w:r>
        <w:t>Subdivision 2 — Serving and making of regulatory information instruments</w:t>
      </w:r>
      <w:bookmarkEnd w:id="939"/>
      <w:bookmarkEnd w:id="940"/>
      <w:bookmarkEnd w:id="941"/>
      <w:bookmarkEnd w:id="942"/>
      <w:bookmarkEnd w:id="943"/>
      <w:bookmarkEnd w:id="944"/>
      <w:bookmarkEnd w:id="945"/>
      <w:bookmarkEnd w:id="946"/>
      <w:bookmarkEnd w:id="947"/>
      <w:bookmarkEnd w:id="948"/>
      <w:bookmarkEnd w:id="949"/>
      <w:bookmarkEnd w:id="950"/>
    </w:p>
    <w:p>
      <w:pPr>
        <w:pStyle w:val="Heading5"/>
      </w:pPr>
      <w:bookmarkStart w:id="951" w:name="_Toc53045976"/>
      <w:bookmarkStart w:id="952" w:name="_Toc5364816"/>
      <w:r>
        <w:rPr>
          <w:rStyle w:val="CharSectno"/>
        </w:rPr>
        <w:t>48</w:t>
      </w:r>
      <w:r>
        <w:t>.</w:t>
      </w:r>
      <w:r>
        <w:tab/>
        <w:t>Service and making of regulatory information instrument</w:t>
      </w:r>
      <w:bookmarkEnd w:id="951"/>
      <w:bookmarkEnd w:id="95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Division, the AER, if it considers it reasonably necessary for the performance or exercise of its functions or powers under this Law or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serve a regulatory information notice on a scheme pipeline service provider or a related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a general regulatory information order.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considering whether it is reasonably necessary to serve a regulatory information notice, or make a general regulatory information order,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matter to be addressed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service of the regulatory information notice;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making of the general regulatory information order;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likely costs that may be incurred by an efficient scheme pipeline service provider or efficient related provider in complying with the notice or order.</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AER must also exercise its powers under this section in a manner that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regulatory information notice must not be served, or a general regulatory information order must not be made, solely for the purpose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investigating breaches or possible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instituting and conducting proceedings in relation to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instituting and conducting appeals from decisions in proceedings referred to in paragraph (b);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collecting information for the preparation of a service provider performance report;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application for review of a decision of the AER under Chapter 8 Part 5.</w:t>
      </w:r>
    </w:p>
    <w:p>
      <w:pPr>
        <w:pStyle w:val="Heading5"/>
      </w:pPr>
      <w:bookmarkStart w:id="953" w:name="_Toc53045977"/>
      <w:bookmarkStart w:id="954" w:name="_Toc5364817"/>
      <w:r>
        <w:rPr>
          <w:rStyle w:val="CharSectno"/>
        </w:rPr>
        <w:t>49</w:t>
      </w:r>
      <w:r>
        <w:t>.</w:t>
      </w:r>
      <w:r>
        <w:tab/>
        <w:t>Additional matters to be considered for related provider regulatory information instruments</w:t>
      </w:r>
      <w:bookmarkEnd w:id="953"/>
      <w:bookmarkEnd w:id="95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AER is intending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serve a regulatory information notice on a related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a general regulatory information order that will apply to a class of related providers.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to the matters set out in section 48(2), the AER, in considering whether it is reasonably necessary to serve the regulatory information notice, or make the general regulatory information order,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the scheme pipeline service provider being supplied a contributing service by the related provider or related providers to which the intended regulatory information instrument will apply can—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 the information to be specified in that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 maintain or keep the information to be specified in the particular manner and form to be specified in that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extent to which the related provider or related providers to which the intended regulatory information instrument will apply is, or are, supplying a contributing service on a genuinely competitive basis;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of any ownership or control between—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scheme pipeline service provider being supplied a contributing service by a related provider to which the intended regulatory information instrument will apply;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related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nature of any ownership or control as between different related providers supplying the contributing service to the scheme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other matter the AER considers relevant.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(2)(b), in considering whether a contributing service is being supplied on a genuinely competitive basis, the AER may take into account—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there is effective competition in the market for the supply of the contributing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the related provider supplies the contributing service to a scheme pipeline service provider under a contract, arrangement or understanding entered into with that scheme pipeline service provider following a competitive process for the awarding of the right to enter into that contract, arrangement or understanding involving persons who were not associates of the scheme pipeline service provider.</w:t>
      </w:r>
    </w:p>
    <w:p>
      <w:pPr>
        <w:pStyle w:val="Heading5"/>
      </w:pPr>
      <w:bookmarkStart w:id="955" w:name="_Toc53045978"/>
      <w:bookmarkStart w:id="956" w:name="_Toc5364818"/>
      <w:r>
        <w:rPr>
          <w:rStyle w:val="CharSectno"/>
        </w:rPr>
        <w:t>50</w:t>
      </w:r>
      <w:r>
        <w:t>.</w:t>
      </w:r>
      <w:r>
        <w:tab/>
        <w:t>AER must consult before publishing a general regulatory information order</w:t>
      </w:r>
      <w:bookmarkEnd w:id="955"/>
      <w:bookmarkEnd w:id="956"/>
    </w:p>
    <w:p>
      <w:pPr>
        <w:keepLines/>
        <w:autoSpaceDE w:val="0"/>
        <w:autoSpaceDN w:val="0"/>
        <w:adjustRightInd w:val="0"/>
        <w:spacing w:before="120"/>
        <w:ind w:left="1588"/>
        <w:rPr>
          <w:color w:val="000000"/>
          <w:sz w:val="23"/>
          <w:szCs w:val="23"/>
        </w:rPr>
      </w:pPr>
      <w:r>
        <w:rPr>
          <w:color w:val="000000"/>
          <w:sz w:val="23"/>
          <w:szCs w:val="23"/>
        </w:rPr>
        <w:t>The AER must, in accordance with the Rules, consult with the public on the general regulatory information order it intends to make before it makes that order.</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65 about what the AER must and may do after receiving submissions.</w:t>
      </w:r>
    </w:p>
    <w:p>
      <w:pPr>
        <w:pStyle w:val="Heading5"/>
      </w:pPr>
      <w:bookmarkStart w:id="957" w:name="_Toc53045979"/>
      <w:bookmarkStart w:id="958" w:name="_Toc5364819"/>
      <w:r>
        <w:rPr>
          <w:rStyle w:val="CharSectno"/>
        </w:rPr>
        <w:t>51</w:t>
      </w:r>
      <w:r>
        <w:t>.</w:t>
      </w:r>
      <w:r>
        <w:tab/>
        <w:t>Publication requirements for general regulatory information orders</w:t>
      </w:r>
      <w:bookmarkEnd w:id="957"/>
      <w:bookmarkEnd w:id="95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general regulatory information order made under section 48(1)(b) must be published on the AER’s website as soon as practicable after it is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the making of a general regulatory information order must be published in a newspaper circulating generally throughout Australia as soon as practicable after it is made.</w:t>
      </w:r>
    </w:p>
    <w:p>
      <w:pPr>
        <w:pStyle w:val="Heading5"/>
      </w:pPr>
      <w:bookmarkStart w:id="959" w:name="_Toc53045980"/>
      <w:bookmarkStart w:id="960" w:name="_Toc5364820"/>
      <w:r>
        <w:rPr>
          <w:rStyle w:val="CharSectno"/>
        </w:rPr>
        <w:t>52</w:t>
      </w:r>
      <w:r>
        <w:t>.</w:t>
      </w:r>
      <w:r>
        <w:tab/>
        <w:t>Opportunity to be heard before regulatory information notice is served</w:t>
      </w:r>
      <w:bookmarkEnd w:id="959"/>
      <w:bookmarkEnd w:id="96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before serving a regulatory information notice,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notify, in writing, the scheme pipeline service provider, or the related provider, on whom the AER intends to serve the regulatory information notice of its intention to do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scheme pipeline service provider, or the related provider, a draft of the regulatory information notice it intends to serve.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regulatory information notice to be served is an urgent notice, the AER must, in a notice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identify the regulatory information notice to be served as an urgent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its reasons, in writing, why the regulatory information notice to be served is an urgent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regulatory information notice is an urgent notice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the notice the AER will require the scheme pipeline service provider or related provider to provide information to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requirement has arisen because the AER considers it must deal with or address a particular matter or thing in order for it to make an AER economic regulatory decision or a rate of return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AER considers that, having regard to the time within which it must make that AER economic regulatory decision or a rate of return instrument, the time within which the AER requires the information is of the essence.</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notice under subsection (1) must—</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the scheme pipeline service provider, or the related provider, to make written representations to the AER as to whether the AER should serve the regulatory information notice on them;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period within which the scheme pipeline service provider, or the related provider, may make the representations.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period that must be specified in accordance with subsection (4) must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urgent notice to be served—a period of not less than 5 business days and not more than 10 business days calculated from the date of the notice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all other cases—a period of at least 20 business days calculated from the date of the notice under subsection (1).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The AER must consider the written representations made in accordance with a notice under subsection (1) before making its decision in accordance with this Division to serve the regulatory information notice.</w:t>
      </w:r>
    </w:p>
    <w:p>
      <w:pPr>
        <w:pStyle w:val="Footnotesection"/>
      </w:pPr>
      <w:bookmarkStart w:id="961" w:name="_Toc501633899"/>
      <w:bookmarkStart w:id="962" w:name="_Toc501712795"/>
      <w:bookmarkStart w:id="963" w:name="_Toc536781989"/>
      <w:r>
        <w:tab/>
        <w:t>[Section 52 amended: see SA Act No. 33 of 2018 s. 16 and WA Gazette 5 Apr 2019 p. 1007.]</w:t>
      </w:r>
    </w:p>
    <w:p>
      <w:pPr>
        <w:pStyle w:val="Heading4"/>
      </w:pPr>
      <w:bookmarkStart w:id="964" w:name="_Toc52954287"/>
      <w:bookmarkStart w:id="965" w:name="_Toc52955583"/>
      <w:bookmarkStart w:id="966" w:name="_Toc52957082"/>
      <w:bookmarkStart w:id="967" w:name="_Toc52957865"/>
      <w:bookmarkStart w:id="968" w:name="_Toc53045198"/>
      <w:bookmarkStart w:id="969" w:name="_Toc53045981"/>
      <w:bookmarkStart w:id="970" w:name="_Toc5347047"/>
      <w:bookmarkStart w:id="971" w:name="_Toc5363600"/>
      <w:bookmarkStart w:id="972" w:name="_Toc5364821"/>
      <w:r>
        <w:t>Subdivision 3 — Form and content of regulatory information instruments</w:t>
      </w:r>
      <w:bookmarkEnd w:id="964"/>
      <w:bookmarkEnd w:id="965"/>
      <w:bookmarkEnd w:id="966"/>
      <w:bookmarkEnd w:id="967"/>
      <w:bookmarkEnd w:id="968"/>
      <w:bookmarkEnd w:id="969"/>
      <w:bookmarkEnd w:id="961"/>
      <w:bookmarkEnd w:id="962"/>
      <w:bookmarkEnd w:id="963"/>
      <w:bookmarkEnd w:id="970"/>
      <w:bookmarkEnd w:id="971"/>
      <w:bookmarkEnd w:id="972"/>
    </w:p>
    <w:p>
      <w:pPr>
        <w:pStyle w:val="Heading5"/>
      </w:pPr>
      <w:bookmarkStart w:id="973" w:name="_Toc53045982"/>
      <w:bookmarkStart w:id="974" w:name="_Toc5364822"/>
      <w:r>
        <w:rPr>
          <w:rStyle w:val="CharSectno"/>
        </w:rPr>
        <w:t>53</w:t>
      </w:r>
      <w:r>
        <w:t>.</w:t>
      </w:r>
      <w:r>
        <w:tab/>
        <w:t>Form and content of regulatory information instrument</w:t>
      </w:r>
      <w:bookmarkEnd w:id="973"/>
      <w:bookmarkEnd w:id="97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regulatory information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specify the information required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specify the manner and form in which the information described in the instrument is required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state the reasons of the AER for requiring the information described in the instrument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the case of an instrument requiring information to be provided to the AER, must specify when the information must be provided.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the case of a regulatory information notice, the notice must name the scheme pipeline service provider or the related provider to whom it applies.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a general regulatory information order, the order must specify the class of scheme pipeline service provider, or related provider, to whom the order applies.</w:t>
      </w:r>
    </w:p>
    <w:p>
      <w:pPr>
        <w:pStyle w:val="Heading5"/>
      </w:pPr>
      <w:bookmarkStart w:id="975" w:name="_Toc53045983"/>
      <w:bookmarkStart w:id="976" w:name="_Toc5364823"/>
      <w:r>
        <w:rPr>
          <w:rStyle w:val="CharSectno"/>
        </w:rPr>
        <w:t>54</w:t>
      </w:r>
      <w:r>
        <w:t>.</w:t>
      </w:r>
      <w:r>
        <w:tab/>
        <w:t>Further provision about the information that may be described in a regulatory information instrument</w:t>
      </w:r>
      <w:bookmarkEnd w:id="975"/>
      <w:bookmarkEnd w:id="976"/>
    </w:p>
    <w:p>
      <w:pPr>
        <w:keepNext/>
        <w:keepLines/>
        <w:autoSpaceDE w:val="0"/>
        <w:autoSpaceDN w:val="0"/>
        <w:adjustRightInd w:val="0"/>
        <w:spacing w:before="120"/>
        <w:ind w:left="1588"/>
        <w:rPr>
          <w:color w:val="000000"/>
          <w:sz w:val="23"/>
          <w:szCs w:val="23"/>
        </w:rPr>
      </w:pPr>
      <w:r>
        <w:rPr>
          <w:color w:val="000000"/>
          <w:sz w:val="23"/>
          <w:szCs w:val="23"/>
        </w:rPr>
        <w:t>Without limiting section 53(1)(a), the information that may be required to be provided to the AER, or to be prepared, maintained or kept, may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historic, current and forecast information (including financial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information that is or may be derived from other information in the possession or control of the scheme pipeline service provider or the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information to enable the AER to verify whether the scheme pipeline service provider to whom the instrument applies is or has been complying with Chapter 4;</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information to enable the AER to verify compliance with any requirements for the allocation of costs between natural gas services under—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applicable access arrangement.</w:t>
      </w:r>
    </w:p>
    <w:p>
      <w:pPr>
        <w:pStyle w:val="Heading5"/>
      </w:pPr>
      <w:bookmarkStart w:id="977" w:name="_Toc53045984"/>
      <w:bookmarkStart w:id="978" w:name="_Toc5364824"/>
      <w:r>
        <w:rPr>
          <w:rStyle w:val="CharSectno"/>
        </w:rPr>
        <w:t>55</w:t>
      </w:r>
      <w:r>
        <w:t>.</w:t>
      </w:r>
      <w:r>
        <w:tab/>
        <w:t>Further provision about manner in which information must be provided to AER or kept</w:t>
      </w:r>
      <w:bookmarkEnd w:id="977"/>
      <w:bookmarkEnd w:id="978"/>
    </w:p>
    <w:p>
      <w:pPr>
        <w:keepNext/>
        <w:keepLines/>
        <w:autoSpaceDE w:val="0"/>
        <w:autoSpaceDN w:val="0"/>
        <w:adjustRightInd w:val="0"/>
        <w:spacing w:before="120"/>
        <w:ind w:left="1588"/>
        <w:rPr>
          <w:color w:val="000000"/>
          <w:sz w:val="23"/>
          <w:szCs w:val="23"/>
        </w:rPr>
      </w:pPr>
      <w:r>
        <w:rPr>
          <w:color w:val="000000"/>
          <w:sz w:val="23"/>
          <w:szCs w:val="23"/>
        </w:rPr>
        <w:t>Without limiting section 53(1)(b), a regulatory information instrument may specify the information specified in the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provided to the AER, or prepared, maintained or kept, on an annual basis or some other basis, including on the occurrence of a specified event or state of affairs;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provided to the AER, or prepared, maintained or kept, in accordance with specified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provided to the AER, or prepared, maintained or kept, in accordance with any document, code, standard, rule, specification or method formulated, issued, prescribed or published by the AER or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wholly or partially or as amended by the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formulated, issued, prescribed or published at the time the instrument is served or published or at any time before the instrument is served or published;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as amended from time to time;</w:t>
      </w:r>
    </w:p>
    <w:p>
      <w:pPr>
        <w:keepNext/>
        <w:keepLines/>
        <w:autoSpaceDE w:val="0"/>
        <w:autoSpaceDN w:val="0"/>
        <w:adjustRightInd w:val="0"/>
        <w:spacing w:before="120"/>
        <w:ind w:left="3970" w:hanging="794"/>
        <w:rPr>
          <w:b/>
          <w:bCs/>
          <w:color w:val="000000"/>
          <w:sz w:val="20"/>
        </w:rPr>
      </w:pPr>
      <w:r>
        <w:rPr>
          <w:b/>
          <w:bCs/>
          <w:color w:val="000000"/>
          <w:sz w:val="20"/>
        </w:rPr>
        <w:t>Example—</w:t>
      </w:r>
    </w:p>
    <w:p>
      <w:pPr>
        <w:keepLines/>
        <w:autoSpaceDE w:val="0"/>
        <w:autoSpaceDN w:val="0"/>
        <w:adjustRightInd w:val="0"/>
        <w:spacing w:before="120"/>
        <w:ind w:left="3970"/>
        <w:rPr>
          <w:color w:val="000000"/>
          <w:sz w:val="20"/>
        </w:rPr>
      </w:pPr>
      <w:r>
        <w:rPr>
          <w:color w:val="000000"/>
          <w:sz w:val="20"/>
        </w:rPr>
        <w:t>The AER may require a scheme pipeline service provider to provide information in a form and manner that complies with relevant accounting standards.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verified by way of statutory declaration by an officer of the scheme pipeline service provider, or of a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audited—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a class of person specified in the instrument before it is provided to the AER;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at the expense of the scheme pipeline service provider or related provider to whom the instrument applies.</w:t>
      </w:r>
    </w:p>
    <w:p>
      <w:pPr>
        <w:pStyle w:val="Heading4"/>
      </w:pPr>
      <w:bookmarkStart w:id="979" w:name="_Toc52954291"/>
      <w:bookmarkStart w:id="980" w:name="_Toc52955587"/>
      <w:bookmarkStart w:id="981" w:name="_Toc52957086"/>
      <w:bookmarkStart w:id="982" w:name="_Toc52957869"/>
      <w:bookmarkStart w:id="983" w:name="_Toc53045202"/>
      <w:bookmarkStart w:id="984" w:name="_Toc53045985"/>
      <w:bookmarkStart w:id="985" w:name="_Toc501633903"/>
      <w:bookmarkStart w:id="986" w:name="_Toc501712799"/>
      <w:bookmarkStart w:id="987" w:name="_Toc536781993"/>
      <w:bookmarkStart w:id="988" w:name="_Toc5347051"/>
      <w:bookmarkStart w:id="989" w:name="_Toc5363604"/>
      <w:bookmarkStart w:id="990" w:name="_Toc5364825"/>
      <w:r>
        <w:t>Subdivision 4 — Compliance with regulatory information instruments</w:t>
      </w:r>
      <w:bookmarkEnd w:id="979"/>
      <w:bookmarkEnd w:id="980"/>
      <w:bookmarkEnd w:id="981"/>
      <w:bookmarkEnd w:id="982"/>
      <w:bookmarkEnd w:id="983"/>
      <w:bookmarkEnd w:id="984"/>
      <w:bookmarkEnd w:id="985"/>
      <w:bookmarkEnd w:id="986"/>
      <w:bookmarkEnd w:id="987"/>
      <w:bookmarkEnd w:id="988"/>
      <w:bookmarkEnd w:id="989"/>
      <w:bookmarkEnd w:id="990"/>
    </w:p>
    <w:p>
      <w:pPr>
        <w:pStyle w:val="Heading5"/>
      </w:pPr>
      <w:bookmarkStart w:id="991" w:name="_Toc53045986"/>
      <w:bookmarkStart w:id="992" w:name="_Toc5364826"/>
      <w:r>
        <w:rPr>
          <w:rStyle w:val="CharSectno"/>
        </w:rPr>
        <w:t>56</w:t>
      </w:r>
      <w:r>
        <w:t>.</w:t>
      </w:r>
      <w:r>
        <w:tab/>
        <w:t>Compliance with regulatory information notice that is served</w:t>
      </w:r>
      <w:bookmarkEnd w:id="991"/>
      <w:bookmarkEnd w:id="992"/>
    </w:p>
    <w:p>
      <w:pPr>
        <w:keepLines/>
        <w:autoSpaceDE w:val="0"/>
        <w:autoSpaceDN w:val="0"/>
        <w:adjustRightInd w:val="0"/>
        <w:spacing w:before="120"/>
        <w:ind w:left="1588"/>
        <w:rPr>
          <w:color w:val="000000"/>
          <w:sz w:val="23"/>
          <w:szCs w:val="23"/>
        </w:rPr>
      </w:pPr>
      <w:r>
        <w:rPr>
          <w:color w:val="000000"/>
          <w:sz w:val="23"/>
          <w:szCs w:val="23"/>
        </w:rPr>
        <w:t>On being served a regulatory information notice, a person named in the notice must comply with the notice.</w:t>
      </w:r>
    </w:p>
    <w:p>
      <w:pPr>
        <w:pStyle w:val="Heading5"/>
      </w:pPr>
      <w:bookmarkStart w:id="993" w:name="_Toc53045987"/>
      <w:bookmarkStart w:id="994" w:name="_Toc5364827"/>
      <w:r>
        <w:rPr>
          <w:rStyle w:val="CharSectno"/>
        </w:rPr>
        <w:t>57</w:t>
      </w:r>
      <w:r>
        <w:t>.</w:t>
      </w:r>
      <w:r>
        <w:tab/>
        <w:t>Compliance with general regulatory information order</w:t>
      </w:r>
      <w:bookmarkEnd w:id="993"/>
      <w:bookmarkEnd w:id="99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publication of a general regulatory information order in accordance with section 51(1), a person who is a member of the class of person to which a general regulatory information order applies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to a person who has been given an exemption under section 58.</w:t>
      </w:r>
    </w:p>
    <w:p>
      <w:pPr>
        <w:pStyle w:val="Heading5"/>
      </w:pPr>
      <w:bookmarkStart w:id="995" w:name="_Toc53045988"/>
      <w:bookmarkStart w:id="996" w:name="_Toc5364828"/>
      <w:r>
        <w:rPr>
          <w:rStyle w:val="CharSectno"/>
        </w:rPr>
        <w:t>58</w:t>
      </w:r>
      <w:r>
        <w:t>.</w:t>
      </w:r>
      <w:r>
        <w:tab/>
        <w:t>Exemptions from compliance with general regulatory information order</w:t>
      </w:r>
      <w:bookmarkEnd w:id="995"/>
      <w:bookmarkEnd w:id="99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exempt a person, or a class of person, from complying with section 57—</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unconditionally or on specified conditions;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wholly or to the extent as is specified in the exemption.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exemption under this section must be in writing.</w:t>
      </w:r>
    </w:p>
    <w:p>
      <w:pPr>
        <w:pStyle w:val="Heading5"/>
      </w:pPr>
      <w:bookmarkStart w:id="997" w:name="_Toc53045989"/>
      <w:bookmarkStart w:id="998" w:name="_Toc5364829"/>
      <w:r>
        <w:rPr>
          <w:rStyle w:val="CharSectno"/>
        </w:rPr>
        <w:t>59</w:t>
      </w:r>
      <w:r>
        <w:t>.</w:t>
      </w:r>
      <w:r>
        <w:tab/>
        <w:t>Assumptions where there is non</w:t>
      </w:r>
      <w:r>
        <w:noBreakHyphen/>
        <w:t>compliance with regulatory information instrument</w:t>
      </w:r>
      <w:bookmarkEnd w:id="997"/>
      <w:bookmarkEnd w:id="99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a regulatory information instrument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requires a scheme pipeline service provider to provide information to the AER for the purpose of enabling the AER to make an AER economic regulatory decision relating to the scheme pipeline service provider or to make a rate of return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requires a related provider to provide information to the AER that is relevant to the making of an AER economic regulatory decision relating to a scheme pipeline service provider or the making of a rate of return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scheme pipeline service provider or related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does not provide the information to the AER in accordance with the applicable regulatory information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provides information that is insufficient (when compared to what was requested under the applicable regulatory information instrument).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sections 56 and 57 and despite anything to the contrary in this Law or the Rules,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make the AER economic regulatory decision or the rate of return instrument on the basis of the information the AER has at the time it makes that decision or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making that decision or instrument, may make reasonable assumptions (including assumptions adverse to the interests of the scheme pipeline service provider) in respect of the matters the information required under the regulatory information instrument would have addressed had that information been provided as required.</w:t>
      </w:r>
    </w:p>
    <w:p>
      <w:pPr>
        <w:pStyle w:val="Footnotesection"/>
      </w:pPr>
      <w:bookmarkStart w:id="999" w:name="_Toc501633908"/>
      <w:bookmarkStart w:id="1000" w:name="_Toc501712804"/>
      <w:bookmarkStart w:id="1001" w:name="_Toc536781998"/>
      <w:r>
        <w:tab/>
        <w:t>[Section 59 amended: see SA Act No. 33 of 2018 s. 17 and WA Gazette 5 Apr 2019 p. 1007.]</w:t>
      </w:r>
    </w:p>
    <w:p>
      <w:pPr>
        <w:pStyle w:val="Heading4"/>
      </w:pPr>
      <w:bookmarkStart w:id="1002" w:name="_Toc52954296"/>
      <w:bookmarkStart w:id="1003" w:name="_Toc52955592"/>
      <w:bookmarkStart w:id="1004" w:name="_Toc52957091"/>
      <w:bookmarkStart w:id="1005" w:name="_Toc52957874"/>
      <w:bookmarkStart w:id="1006" w:name="_Toc53045207"/>
      <w:bookmarkStart w:id="1007" w:name="_Toc53045990"/>
      <w:bookmarkStart w:id="1008" w:name="_Toc5347056"/>
      <w:bookmarkStart w:id="1009" w:name="_Toc5363609"/>
      <w:bookmarkStart w:id="1010" w:name="_Toc5364830"/>
      <w:r>
        <w:t>Subdivision 5 — General</w:t>
      </w:r>
      <w:bookmarkEnd w:id="1002"/>
      <w:bookmarkEnd w:id="1003"/>
      <w:bookmarkEnd w:id="1004"/>
      <w:bookmarkEnd w:id="1005"/>
      <w:bookmarkEnd w:id="1006"/>
      <w:bookmarkEnd w:id="1007"/>
      <w:bookmarkEnd w:id="999"/>
      <w:bookmarkEnd w:id="1000"/>
      <w:bookmarkEnd w:id="1001"/>
      <w:bookmarkEnd w:id="1008"/>
      <w:bookmarkEnd w:id="1009"/>
      <w:bookmarkEnd w:id="1010"/>
    </w:p>
    <w:p>
      <w:pPr>
        <w:pStyle w:val="Heading5"/>
      </w:pPr>
      <w:bookmarkStart w:id="1011" w:name="_Toc53045991"/>
      <w:bookmarkStart w:id="1012" w:name="_Toc5364831"/>
      <w:r>
        <w:rPr>
          <w:rStyle w:val="CharSectno"/>
        </w:rPr>
        <w:t>60</w:t>
      </w:r>
      <w:r>
        <w:t>.</w:t>
      </w:r>
      <w:r>
        <w:tab/>
        <w:t>Providing to AER false and misleading information</w:t>
      </w:r>
      <w:bookmarkEnd w:id="1011"/>
      <w:bookmarkEnd w:id="1012"/>
    </w:p>
    <w:p>
      <w:pPr>
        <w:keepNext/>
        <w:keepLines/>
        <w:autoSpaceDE w:val="0"/>
        <w:autoSpaceDN w:val="0"/>
        <w:adjustRightInd w:val="0"/>
        <w:spacing w:before="120"/>
        <w:ind w:left="1588"/>
        <w:rPr>
          <w:color w:val="000000"/>
          <w:sz w:val="23"/>
          <w:szCs w:val="23"/>
        </w:rPr>
      </w:pPr>
      <w:r>
        <w:rPr>
          <w:color w:val="000000"/>
          <w:sz w:val="23"/>
          <w:szCs w:val="23"/>
        </w:rPr>
        <w:t>A person must not, in purported compliance with a regulatory information instrument requiring the person to provide information to the AER, provide information to the AER that the person knows is false or misleading in a material particular.</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5"/>
      </w:pPr>
      <w:bookmarkStart w:id="1013" w:name="_Toc53045992"/>
      <w:bookmarkStart w:id="1014" w:name="_Toc5364832"/>
      <w:r>
        <w:rPr>
          <w:rStyle w:val="CharSectno"/>
        </w:rPr>
        <w:t>61</w:t>
      </w:r>
      <w:r>
        <w:t>.</w:t>
      </w:r>
      <w:r>
        <w:tab/>
        <w:t>Person cannot rely on duty of confidence to avoid compliance with regulatory information instrument</w:t>
      </w:r>
      <w:bookmarkEnd w:id="1013"/>
      <w:bookmarkEnd w:id="101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must not refuse to comply with a regulatory information instrument on the ground of any duty of confidence.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incurs, by complying with a regulatory information instrument, no liability for breach of contract, breach of confidence or any other civil wrong.</w:t>
      </w:r>
    </w:p>
    <w:p>
      <w:pPr>
        <w:pStyle w:val="Heading5"/>
      </w:pPr>
      <w:bookmarkStart w:id="1015" w:name="_Toc53045993"/>
      <w:bookmarkStart w:id="1016" w:name="_Toc5364833"/>
      <w:r>
        <w:rPr>
          <w:rStyle w:val="CharSectno"/>
        </w:rPr>
        <w:t>62</w:t>
      </w:r>
      <w:r>
        <w:t>.</w:t>
      </w:r>
      <w:r>
        <w:tab/>
        <w:t>Legal professional privilege not affected</w:t>
      </w:r>
      <w:bookmarkEnd w:id="1015"/>
      <w:bookmarkEnd w:id="1016"/>
    </w:p>
    <w:p>
      <w:pPr>
        <w:keepNext/>
        <w:keepLines/>
        <w:autoSpaceDE w:val="0"/>
        <w:autoSpaceDN w:val="0"/>
        <w:adjustRightInd w:val="0"/>
        <w:spacing w:before="120"/>
        <w:ind w:left="1588"/>
        <w:rPr>
          <w:color w:val="000000"/>
          <w:sz w:val="23"/>
          <w:szCs w:val="23"/>
        </w:rPr>
      </w:pPr>
      <w:r>
        <w:rPr>
          <w:color w:val="000000"/>
          <w:sz w:val="23"/>
          <w:szCs w:val="23"/>
        </w:rPr>
        <w:t>A regulatory information instrument, and sections 56 and 57, are not to be taken as requiring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to the AER the production of which would disclose information that is the subject of legal professional privilege.</w:t>
      </w:r>
    </w:p>
    <w:p>
      <w:pPr>
        <w:pStyle w:val="Heading5"/>
      </w:pPr>
      <w:bookmarkStart w:id="1017" w:name="_Toc53045994"/>
      <w:bookmarkStart w:id="1018" w:name="_Toc5364834"/>
      <w:r>
        <w:rPr>
          <w:rStyle w:val="CharSectno"/>
        </w:rPr>
        <w:t>63</w:t>
      </w:r>
      <w:r>
        <w:t>.</w:t>
      </w:r>
      <w:r>
        <w:tab/>
        <w:t>Protection against self</w:t>
      </w:r>
      <w:r>
        <w:noBreakHyphen/>
        <w:t>incrimination</w:t>
      </w:r>
      <w:bookmarkEnd w:id="1017"/>
      <w:bookmarkEnd w:id="101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It is a reasonable excuse for a natural person to whom section 56 applies not to comply with a regulatory information notice served on the person requiring the person to provide information to the AER if to do so might tend to incriminate the person, or make the person liable to a criminal penalty, under a law of this jurisdiction or another participating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a reasonable excuse for a natural person to whom section 57 applies not to comply with a general regulatory information order made requiring the person to provide information to the AER if to do so might tend to incriminate the person, or make the person liable to a criminal penalty, under a law of this jurisdiction or another participating jurisdiction.</w:t>
      </w:r>
    </w:p>
    <w:p>
      <w:pPr>
        <w:pStyle w:val="Heading4"/>
      </w:pPr>
      <w:bookmarkStart w:id="1019" w:name="_Toc52954301"/>
      <w:bookmarkStart w:id="1020" w:name="_Toc52955597"/>
      <w:bookmarkStart w:id="1021" w:name="_Toc52957096"/>
      <w:bookmarkStart w:id="1022" w:name="_Toc52957879"/>
      <w:bookmarkStart w:id="1023" w:name="_Toc53045212"/>
      <w:bookmarkStart w:id="1024" w:name="_Toc53045995"/>
      <w:bookmarkStart w:id="1025" w:name="_Toc501633913"/>
      <w:bookmarkStart w:id="1026" w:name="_Toc501712809"/>
      <w:bookmarkStart w:id="1027" w:name="_Toc536782003"/>
      <w:bookmarkStart w:id="1028" w:name="_Toc5347061"/>
      <w:bookmarkStart w:id="1029" w:name="_Toc5363614"/>
      <w:bookmarkStart w:id="1030" w:name="_Toc5364835"/>
      <w:r>
        <w:t>Division 5 — Service provider performance reports</w:t>
      </w:r>
      <w:bookmarkEnd w:id="1019"/>
      <w:bookmarkEnd w:id="1020"/>
      <w:bookmarkEnd w:id="1021"/>
      <w:bookmarkEnd w:id="1022"/>
      <w:bookmarkEnd w:id="1023"/>
      <w:bookmarkEnd w:id="1024"/>
      <w:bookmarkEnd w:id="1025"/>
      <w:bookmarkEnd w:id="1026"/>
      <w:bookmarkEnd w:id="1027"/>
      <w:bookmarkEnd w:id="1028"/>
      <w:bookmarkEnd w:id="1029"/>
      <w:bookmarkEnd w:id="1030"/>
    </w:p>
    <w:p>
      <w:pPr>
        <w:pStyle w:val="Heading5"/>
      </w:pPr>
      <w:bookmarkStart w:id="1031" w:name="_Toc53045996"/>
      <w:bookmarkStart w:id="1032" w:name="_Toc5364836"/>
      <w:r>
        <w:rPr>
          <w:rStyle w:val="CharSectno"/>
        </w:rPr>
        <w:t>64</w:t>
      </w:r>
      <w:r>
        <w:t>.</w:t>
      </w:r>
      <w:r>
        <w:tab/>
        <w:t>Preparation of service provider performance reports</w:t>
      </w:r>
      <w:bookmarkEnd w:id="1031"/>
      <w:bookmarkEnd w:id="103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AER may prepare a report on the financial performance or operational performance of 1 or more scheme pipeline service providers in providing pipeline services by means of a scheme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AER may only prepare a report under subsection (1) if the preparation of the report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report prepared under this section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deal with the financial or operational performance of the scheme pipeline service provider in relation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complying with pipeline service standards;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standards relating to the provision of pipeline services to users or end users;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profitability of scheme pipeline service providers in providing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AER considers it appropriate, deal with the performance of the scheme pipeline service provider in relation to other matters or things if that performance is directly related to the performance or exercise by the AER of an AER economic regulatory function or power.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report prepared under this section may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information provided to the AER by a person in compliance with a regulatory information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report dealing with the financial performance of 1 or more scheme pipeline service providers, a comparison of the profitability of the scheme pipeline service providers to which the report relates from the provision of pipeline services by them.</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Before preparing a report under this section, the AER must, in accordance with the Rules, consult with the persons or bodies specified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AER may publish a report prepared under this section on its website.</w:t>
      </w:r>
    </w:p>
    <w:p>
      <w:pPr>
        <w:pStyle w:val="Heading4"/>
      </w:pPr>
      <w:bookmarkStart w:id="1033" w:name="_Toc52954303"/>
      <w:bookmarkStart w:id="1034" w:name="_Toc52955599"/>
      <w:bookmarkStart w:id="1035" w:name="_Toc52957098"/>
      <w:bookmarkStart w:id="1036" w:name="_Toc52957881"/>
      <w:bookmarkStart w:id="1037" w:name="_Toc53045214"/>
      <w:bookmarkStart w:id="1038" w:name="_Toc53045997"/>
      <w:bookmarkStart w:id="1039" w:name="_Toc501633915"/>
      <w:bookmarkStart w:id="1040" w:name="_Toc501712811"/>
      <w:bookmarkStart w:id="1041" w:name="_Toc536782005"/>
      <w:bookmarkStart w:id="1042" w:name="_Toc5347063"/>
      <w:bookmarkStart w:id="1043" w:name="_Toc5363616"/>
      <w:bookmarkStart w:id="1044" w:name="_Toc5364837"/>
      <w:r>
        <w:t>Division 6 — Miscellaneous matters</w:t>
      </w:r>
      <w:bookmarkEnd w:id="1033"/>
      <w:bookmarkEnd w:id="1034"/>
      <w:bookmarkEnd w:id="1035"/>
      <w:bookmarkEnd w:id="1036"/>
      <w:bookmarkEnd w:id="1037"/>
      <w:bookmarkEnd w:id="1038"/>
      <w:bookmarkEnd w:id="1039"/>
      <w:bookmarkEnd w:id="1040"/>
      <w:bookmarkEnd w:id="1041"/>
      <w:bookmarkEnd w:id="1042"/>
      <w:bookmarkEnd w:id="1043"/>
      <w:bookmarkEnd w:id="1044"/>
    </w:p>
    <w:p>
      <w:pPr>
        <w:pStyle w:val="Heading5"/>
      </w:pPr>
      <w:bookmarkStart w:id="1045" w:name="_Toc53045998"/>
      <w:bookmarkStart w:id="1046" w:name="_Toc5364838"/>
      <w:r>
        <w:rPr>
          <w:rStyle w:val="CharSectno"/>
        </w:rPr>
        <w:t>65</w:t>
      </w:r>
      <w:r>
        <w:t>.</w:t>
      </w:r>
      <w:r>
        <w:tab/>
        <w:t>Consideration by the AER of submissions or comments made to it under this Law or the Rules</w:t>
      </w:r>
      <w:bookmarkEnd w:id="1045"/>
      <w:bookmarkEnd w:id="1046"/>
    </w:p>
    <w:p>
      <w:pPr>
        <w:keepNext/>
        <w:keepLines/>
        <w:autoSpaceDE w:val="0"/>
        <w:autoSpaceDN w:val="0"/>
        <w:adjustRightInd w:val="0"/>
        <w:spacing w:before="120"/>
        <w:ind w:left="1588"/>
        <w:rPr>
          <w:color w:val="000000"/>
          <w:sz w:val="23"/>
          <w:szCs w:val="23"/>
        </w:rPr>
      </w:pPr>
      <w:r>
        <w:rPr>
          <w:color w:val="000000"/>
          <w:sz w:val="23"/>
          <w:szCs w:val="23"/>
        </w:rPr>
        <w:t>If, under this Law or the Rules, the AER publishes a notice inviting submissions in relation to the making of an AER economic regulatory decision, the AER, in making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consider every submission it receives within the period specified in the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consider a submission it receives after the period specified in the notice expires.</w:t>
      </w:r>
    </w:p>
    <w:p>
      <w:pPr>
        <w:pStyle w:val="Heading5"/>
      </w:pPr>
      <w:bookmarkStart w:id="1047" w:name="_Toc53045999"/>
      <w:bookmarkStart w:id="1048" w:name="_Toc5364839"/>
      <w:r>
        <w:rPr>
          <w:rStyle w:val="CharSectno"/>
        </w:rPr>
        <w:t>66</w:t>
      </w:r>
      <w:r>
        <w:t>.</w:t>
      </w:r>
      <w:r>
        <w:tab/>
        <w:t>Use of information provided under a notice under Division 3 or a regulatory information instrument</w:t>
      </w:r>
      <w:bookmarkEnd w:id="1047"/>
      <w:bookmarkEnd w:id="1048"/>
    </w:p>
    <w:p>
      <w:pPr>
        <w:keepLines/>
        <w:autoSpaceDE w:val="0"/>
        <w:autoSpaceDN w:val="0"/>
        <w:adjustRightInd w:val="0"/>
        <w:spacing w:before="120"/>
        <w:ind w:left="1588"/>
        <w:rPr>
          <w:color w:val="000000"/>
          <w:sz w:val="23"/>
          <w:szCs w:val="23"/>
        </w:rPr>
      </w:pPr>
      <w:r>
        <w:rPr>
          <w:color w:val="000000"/>
          <w:sz w:val="23"/>
          <w:szCs w:val="23"/>
        </w:rPr>
        <w:t>The AER may use information provided to it by a person in compliance with a notice under section 42 or a regulatory information instrument for any purpose connected with the performance or exercise of a function or power of the AER under this Law or the Rules.</w:t>
      </w:r>
    </w:p>
    <w:p>
      <w:pPr>
        <w:pStyle w:val="Heading5"/>
      </w:pPr>
      <w:bookmarkStart w:id="1049" w:name="_Toc53046000"/>
      <w:bookmarkStart w:id="1050" w:name="_Toc5364840"/>
      <w:r>
        <w:rPr>
          <w:rStyle w:val="CharSectno"/>
        </w:rPr>
        <w:t>67</w:t>
      </w:r>
      <w:r>
        <w:t>.</w:t>
      </w:r>
      <w:r>
        <w:tab/>
        <w:t>AER to inform certain persons of decisions not to investigate breaches, institute proceedings or serve infringement notices</w:t>
      </w:r>
      <w:bookmarkEnd w:id="1049"/>
      <w:bookmarkEnd w:id="105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AER is given information by any person in relation to a breach or a possible breach of this Law, the Regulations or the Rules by a person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decides not to investigate that breach or possible breach;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following an investigation, decides not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institute any proceedings under Chapter 8 in respect of that breach or possible breach;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serve an infringement notice in accordance with Chapter 8 Part 7 in respect of that breach or possible breach,</w:t>
      </w:r>
    </w:p>
    <w:p>
      <w:pPr>
        <w:keepLines/>
        <w:autoSpaceDE w:val="0"/>
        <w:autoSpaceDN w:val="0"/>
        <w:adjustRightInd w:val="0"/>
        <w:spacing w:before="120"/>
        <w:ind w:left="2382"/>
        <w:rPr>
          <w:color w:val="000000"/>
          <w:sz w:val="23"/>
          <w:szCs w:val="23"/>
        </w:rPr>
      </w:pPr>
      <w:r>
        <w:rPr>
          <w:color w:val="000000"/>
          <w:sz w:val="23"/>
          <w:szCs w:val="23"/>
        </w:rPr>
        <w:t>the AER must notify that person of that decision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section does not apply if the person gave the information to the AER anonymously.</w:t>
      </w:r>
    </w:p>
    <w:p>
      <w:pPr>
        <w:pStyle w:val="Heading5"/>
      </w:pPr>
      <w:bookmarkStart w:id="1051" w:name="_Toc53046001"/>
      <w:bookmarkStart w:id="1052" w:name="_Toc5364841"/>
      <w:r>
        <w:rPr>
          <w:rStyle w:val="CharSectno"/>
        </w:rPr>
        <w:t>68</w:t>
      </w:r>
      <w:r>
        <w:t>.</w:t>
      </w:r>
      <w:r>
        <w:tab/>
        <w:t>AER enforcement guidelines</w:t>
      </w:r>
      <w:bookmarkEnd w:id="1051"/>
      <w:bookmarkEnd w:id="105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prepare guidelines about the matters it will have regard to before—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making an application under section 231;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serving an infringement notice under section 277.</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publish guidelines prepared under subsection (1) on its website.</w:t>
      </w:r>
    </w:p>
    <w:p>
      <w:pPr>
        <w:pStyle w:val="Heading5"/>
      </w:pPr>
      <w:bookmarkStart w:id="1053" w:name="_Toc53046002"/>
      <w:bookmarkStart w:id="1054" w:name="_Toc5364842"/>
      <w:r>
        <w:rPr>
          <w:rStyle w:val="CharSectno"/>
        </w:rPr>
        <w:t>68C</w:t>
      </w:r>
      <w:r>
        <w:t>.</w:t>
      </w:r>
      <w:r>
        <w:tab/>
        <w:t>Record of designated reviewable regulatory decisions</w:t>
      </w:r>
      <w:bookmarkEnd w:id="1053"/>
      <w:bookmarkEnd w:id="105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in making a designated reviewable regulatory decision, keep a written record of decision related matter.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In this section — </w:t>
      </w:r>
    </w:p>
    <w:p>
      <w:pPr>
        <w:keepLines/>
        <w:autoSpaceDE w:val="0"/>
        <w:autoSpaceDN w:val="0"/>
        <w:adjustRightInd w:val="0"/>
        <w:spacing w:before="120"/>
        <w:ind w:left="1588"/>
        <w:rPr>
          <w:color w:val="000000"/>
          <w:sz w:val="23"/>
          <w:szCs w:val="23"/>
        </w:rPr>
      </w:pPr>
      <w:r>
        <w:rPr>
          <w:rStyle w:val="CharDefText"/>
          <w:sz w:val="23"/>
          <w:szCs w:val="23"/>
        </w:rPr>
        <w:t>decision related matter</w:t>
      </w:r>
      <w:r>
        <w:rPr>
          <w:color w:val="000000"/>
          <w:sz w:val="23"/>
          <w:szCs w:val="23"/>
        </w:rPr>
        <w:t xml:space="preserve">, in relation to a designated reviewable regulatory decision, means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and the written record of it and any written reasons for it (including (if relevant) the reasons of the AER for a decision of the AER not to approve the access arrangement or proposed revisions to the applicable access arrangement (as the case may be));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document, proposal or information required or allowed under the Rules to be submitted as part of the process for the making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written submissions made to the AER after the proposed access arrangement or proposed revisions to the applicable access arrangement (as the case may be) to which the decision relates were submitted to the AER and before the decision was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reports and materials (including (but not limited to) consultant reports, data sets, models or other documents) considered by the AER in making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draft of the decision that has been released for public consultation (including (if relevant) a draft of the reasons of the AER for a decision of the AER not to approve the access arrangement or proposed revisions to the applicable access arrangement (as the case may be));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submissions on the draft of the decision or the decision itself (including (if relevant) submissions on the draft of the reasons of the AER for a decision of the AER not to approve the access arrangement or proposed revisions to the applicable access arrangement (as the case may be)) considered by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transcript of any hearing (if any) conducted by the AER for the purpose of making the decision.</w:t>
      </w:r>
    </w:p>
    <w:p>
      <w:pPr>
        <w:pStyle w:val="Footnotesection"/>
        <w:rPr>
          <w:szCs w:val="23"/>
        </w:rPr>
      </w:pPr>
      <w:r>
        <w:tab/>
        <w:t>[Section 68C inserted see SA Act No. 79 of 2013 s. 21 and WA Gazette 14 Mar 2014 p. 632.]</w:t>
      </w:r>
    </w:p>
    <w:p>
      <w:pPr>
        <w:pStyle w:val="Heading3"/>
        <w:keepLines/>
      </w:pPr>
      <w:bookmarkStart w:id="1055" w:name="_Toc52954309"/>
      <w:bookmarkStart w:id="1056" w:name="_Toc52955605"/>
      <w:bookmarkStart w:id="1057" w:name="_Toc52957104"/>
      <w:bookmarkStart w:id="1058" w:name="_Toc52957887"/>
      <w:bookmarkStart w:id="1059" w:name="_Toc53045220"/>
      <w:bookmarkStart w:id="1060" w:name="_Toc53046003"/>
      <w:bookmarkStart w:id="1061" w:name="_Toc501633921"/>
      <w:bookmarkStart w:id="1062" w:name="_Toc501712817"/>
      <w:bookmarkStart w:id="1063" w:name="_Toc536782011"/>
      <w:bookmarkStart w:id="1064" w:name="_Toc5347069"/>
      <w:bookmarkStart w:id="1065" w:name="_Toc5363622"/>
      <w:bookmarkStart w:id="1066" w:name="_Toc5364843"/>
      <w:r>
        <w:rPr>
          <w:rStyle w:val="CharDivNo"/>
        </w:rPr>
        <w:t>Part 1A</w:t>
      </w:r>
      <w:r>
        <w:t xml:space="preserve"> — </w:t>
      </w:r>
      <w:r>
        <w:rPr>
          <w:rStyle w:val="CharDivText"/>
        </w:rPr>
        <w:t>Functions and powers of WA arbitrator</w:t>
      </w:r>
      <w:bookmarkEnd w:id="1055"/>
      <w:bookmarkEnd w:id="1056"/>
      <w:bookmarkEnd w:id="1057"/>
      <w:bookmarkEnd w:id="1058"/>
      <w:bookmarkEnd w:id="1059"/>
      <w:bookmarkEnd w:id="1060"/>
      <w:bookmarkEnd w:id="1061"/>
      <w:bookmarkEnd w:id="1062"/>
      <w:bookmarkEnd w:id="1063"/>
      <w:bookmarkEnd w:id="1064"/>
      <w:bookmarkEnd w:id="1065"/>
      <w:bookmarkEnd w:id="1066"/>
    </w:p>
    <w:p>
      <w:pPr>
        <w:pStyle w:val="Footnotesection"/>
        <w:keepNext/>
      </w:pPr>
      <w:r>
        <w:tab/>
        <w:t>[Heading inserted: WA Act Sch. 1 cl. 8.]</w:t>
      </w:r>
    </w:p>
    <w:p>
      <w:pPr>
        <w:pStyle w:val="Heading5"/>
      </w:pPr>
      <w:bookmarkStart w:id="1067" w:name="_Toc53046004"/>
      <w:bookmarkStart w:id="1068" w:name="_Toc5364844"/>
      <w:r>
        <w:rPr>
          <w:rStyle w:val="CharSectno"/>
        </w:rPr>
        <w:t>68A</w:t>
      </w:r>
      <w:r>
        <w:t>.</w:t>
      </w:r>
      <w:r>
        <w:tab/>
        <w:t>Manner in which WA arbitrator must perform or exercise certain functions or powers</w:t>
      </w:r>
      <w:bookmarkEnd w:id="1067"/>
      <w:bookmarkEnd w:id="106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WA arbitrator must, in performing or exercising a function or power that relates to an access determination, perform or exercise that function or power in a manner that will or is likely to contribute to the achievement of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the WA arbitrator—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take into account the revenue and pricing principles 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take into account the revenue and pricing principles when performing or exercising any other function or power that relates to an access determination, if the WA arbitrator considers it appropriate to do so.</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(2)(a), a reference to a reference service in the revenue and pricing principles must be read as a reference to a pipeline service.</w:t>
      </w:r>
    </w:p>
    <w:p>
      <w:pPr>
        <w:pStyle w:val="Footnotesection"/>
      </w:pPr>
      <w:r>
        <w:tab/>
        <w:t>[Section 68A inserted: WA Act Sch. 1 cl. 8.]</w:t>
      </w:r>
    </w:p>
    <w:p>
      <w:pPr>
        <w:pStyle w:val="Heading3"/>
      </w:pPr>
      <w:bookmarkStart w:id="1069" w:name="_Toc52954311"/>
      <w:bookmarkStart w:id="1070" w:name="_Toc52955607"/>
      <w:bookmarkStart w:id="1071" w:name="_Toc52957106"/>
      <w:bookmarkStart w:id="1072" w:name="_Toc52957889"/>
      <w:bookmarkStart w:id="1073" w:name="_Toc53045222"/>
      <w:bookmarkStart w:id="1074" w:name="_Toc53046005"/>
      <w:bookmarkStart w:id="1075" w:name="_Toc501633923"/>
      <w:bookmarkStart w:id="1076" w:name="_Toc501712819"/>
      <w:bookmarkStart w:id="1077" w:name="_Toc536782013"/>
      <w:bookmarkStart w:id="1078" w:name="_Toc5347071"/>
      <w:bookmarkStart w:id="1079" w:name="_Toc5363624"/>
      <w:bookmarkStart w:id="1080" w:name="_Toc5364845"/>
      <w:r>
        <w:rPr>
          <w:rStyle w:val="CharDivNo"/>
        </w:rPr>
        <w:t>Part 2</w:t>
      </w:r>
      <w:r>
        <w:t xml:space="preserve"> — </w:t>
      </w:r>
      <w:r>
        <w:rPr>
          <w:rStyle w:val="CharDivText"/>
        </w:rPr>
        <w:t>Functions and powers of the Australian Energy Market Commission</w:t>
      </w:r>
      <w:bookmarkEnd w:id="1069"/>
      <w:bookmarkEnd w:id="1070"/>
      <w:bookmarkEnd w:id="1071"/>
      <w:bookmarkEnd w:id="1072"/>
      <w:bookmarkEnd w:id="1073"/>
      <w:bookmarkEnd w:id="1074"/>
      <w:bookmarkEnd w:id="1075"/>
      <w:bookmarkEnd w:id="1076"/>
      <w:bookmarkEnd w:id="1077"/>
      <w:bookmarkEnd w:id="1078"/>
      <w:bookmarkEnd w:id="1079"/>
      <w:bookmarkEnd w:id="1080"/>
    </w:p>
    <w:p>
      <w:pPr>
        <w:pStyle w:val="Heading4"/>
      </w:pPr>
      <w:bookmarkStart w:id="1081" w:name="_Toc52954312"/>
      <w:bookmarkStart w:id="1082" w:name="_Toc52955608"/>
      <w:bookmarkStart w:id="1083" w:name="_Toc52957107"/>
      <w:bookmarkStart w:id="1084" w:name="_Toc52957890"/>
      <w:bookmarkStart w:id="1085" w:name="_Toc53045223"/>
      <w:bookmarkStart w:id="1086" w:name="_Toc53046006"/>
      <w:bookmarkStart w:id="1087" w:name="_Toc501633924"/>
      <w:bookmarkStart w:id="1088" w:name="_Toc501712820"/>
      <w:bookmarkStart w:id="1089" w:name="_Toc536782014"/>
      <w:bookmarkStart w:id="1090" w:name="_Toc5347072"/>
      <w:bookmarkStart w:id="1091" w:name="_Toc5363625"/>
      <w:bookmarkStart w:id="1092" w:name="_Toc5364846"/>
      <w:r>
        <w:t>Division 1 — General</w:t>
      </w:r>
      <w:bookmarkEnd w:id="1081"/>
      <w:bookmarkEnd w:id="1082"/>
      <w:bookmarkEnd w:id="1083"/>
      <w:bookmarkEnd w:id="1084"/>
      <w:bookmarkEnd w:id="1085"/>
      <w:bookmarkEnd w:id="1086"/>
      <w:bookmarkEnd w:id="1087"/>
      <w:bookmarkEnd w:id="1088"/>
      <w:bookmarkEnd w:id="1089"/>
      <w:bookmarkEnd w:id="1090"/>
      <w:bookmarkEnd w:id="1091"/>
      <w:bookmarkEnd w:id="1092"/>
    </w:p>
    <w:p>
      <w:pPr>
        <w:pStyle w:val="Heading5"/>
      </w:pPr>
      <w:bookmarkStart w:id="1093" w:name="_Toc53046007"/>
      <w:bookmarkStart w:id="1094" w:name="_Toc5364847"/>
      <w:r>
        <w:rPr>
          <w:rStyle w:val="CharSectno"/>
        </w:rPr>
        <w:t>69</w:t>
      </w:r>
      <w:r>
        <w:t>.</w:t>
      </w:r>
      <w:r>
        <w:tab/>
        <w:t>Functions and powers of the AEMC</w:t>
      </w:r>
      <w:bookmarkEnd w:id="1093"/>
      <w:bookmarkEnd w:id="109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Rule making functions and powers conferred on it under this Law and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market development functions conferred on it under this Law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functions and powers conferred on it under this Law and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has power to do all things necessary or convenient to be done for or in connection with the performance of its functions.</w:t>
      </w:r>
    </w:p>
    <w:p>
      <w:pPr>
        <w:pStyle w:val="Heading5"/>
      </w:pPr>
      <w:bookmarkStart w:id="1095" w:name="_Toc53046008"/>
      <w:bookmarkStart w:id="1096" w:name="_Toc5364848"/>
      <w:r>
        <w:rPr>
          <w:rStyle w:val="CharSectno"/>
        </w:rPr>
        <w:t>70</w:t>
      </w:r>
      <w:r>
        <w:t>.</w:t>
      </w:r>
      <w:r>
        <w:tab/>
        <w:t>Delegations</w:t>
      </w:r>
      <w:bookmarkEnd w:id="1095"/>
      <w:bookmarkEnd w:id="1096"/>
    </w:p>
    <w:p>
      <w:pPr>
        <w:keepLines/>
        <w:autoSpaceDE w:val="0"/>
        <w:autoSpaceDN w:val="0"/>
        <w:adjustRightInd w:val="0"/>
        <w:spacing w:before="120"/>
        <w:ind w:left="1588"/>
        <w:rPr>
          <w:color w:val="000000"/>
          <w:sz w:val="23"/>
          <w:szCs w:val="23"/>
        </w:rPr>
      </w:pPr>
      <w:r>
        <w:rPr>
          <w:color w:val="000000"/>
          <w:sz w:val="23"/>
          <w:szCs w:val="23"/>
        </w:rPr>
        <w:t xml:space="preserve">Any delegation by the AEMC under section 20 of the </w:t>
      </w:r>
      <w:r>
        <w:rPr>
          <w:i/>
          <w:iCs/>
          <w:color w:val="000000"/>
          <w:sz w:val="23"/>
          <w:szCs w:val="23"/>
        </w:rPr>
        <w:t>Australian Energy Market Commission Establishment Act 2004</w:t>
      </w:r>
      <w:r>
        <w:rPr>
          <w:color w:val="000000"/>
          <w:sz w:val="23"/>
          <w:szCs w:val="23"/>
        </w:rPr>
        <w:t xml:space="preserve"> of South Australia extends to, and has effect for the purposes of, this Law, the Regulations and the Rules.</w:t>
      </w:r>
    </w:p>
    <w:p>
      <w:pPr>
        <w:pStyle w:val="Heading5"/>
      </w:pPr>
      <w:bookmarkStart w:id="1097" w:name="_Toc53046009"/>
      <w:bookmarkStart w:id="1098" w:name="_Toc5364849"/>
      <w:r>
        <w:rPr>
          <w:rStyle w:val="CharSectno"/>
        </w:rPr>
        <w:t>71</w:t>
      </w:r>
      <w:r>
        <w:t>.</w:t>
      </w:r>
      <w:r>
        <w:tab/>
        <w:t>Confidentiality</w:t>
      </w:r>
      <w:bookmarkEnd w:id="1097"/>
      <w:bookmarkEnd w:id="1098"/>
    </w:p>
    <w:p>
      <w:pPr>
        <w:keepLines/>
        <w:autoSpaceDE w:val="0"/>
        <w:autoSpaceDN w:val="0"/>
        <w:adjustRightInd w:val="0"/>
        <w:spacing w:before="120"/>
        <w:ind w:left="1588"/>
        <w:rPr>
          <w:color w:val="000000"/>
          <w:sz w:val="23"/>
          <w:szCs w:val="23"/>
        </w:rPr>
      </w:pPr>
      <w:r>
        <w:rPr>
          <w:color w:val="000000"/>
          <w:sz w:val="23"/>
          <w:szCs w:val="23"/>
        </w:rPr>
        <w:t xml:space="preserve">Section 24 of the </w:t>
      </w:r>
      <w:r>
        <w:rPr>
          <w:i/>
          <w:iCs/>
          <w:color w:val="000000"/>
          <w:sz w:val="23"/>
          <w:szCs w:val="23"/>
        </w:rPr>
        <w:t>Australian Energy Market Commission Establishment Act 2004</w:t>
      </w:r>
      <w:r>
        <w:rPr>
          <w:color w:val="000000"/>
          <w:sz w:val="23"/>
          <w:szCs w:val="23"/>
        </w:rPr>
        <w:t xml:space="preserve"> of South Australia has effect for the purposes of this Law, the Regulations and the Rules as if it formed part of this Law.</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2.</w:t>
      </w:r>
    </w:p>
    <w:p>
      <w:pPr>
        <w:pStyle w:val="Heading5"/>
      </w:pPr>
      <w:bookmarkStart w:id="1099" w:name="_Toc53046010"/>
      <w:bookmarkStart w:id="1100" w:name="_Toc5364850"/>
      <w:r>
        <w:rPr>
          <w:rStyle w:val="CharSectno"/>
        </w:rPr>
        <w:t>72</w:t>
      </w:r>
      <w:r>
        <w:t>.</w:t>
      </w:r>
      <w:r>
        <w:tab/>
        <w:t>AEMC must have regard to national gas objective</w:t>
      </w:r>
      <w:bookmarkEnd w:id="1099"/>
      <w:bookmarkEnd w:id="1100"/>
    </w:p>
    <w:p>
      <w:pPr>
        <w:keepLines/>
        <w:autoSpaceDE w:val="0"/>
        <w:autoSpaceDN w:val="0"/>
        <w:adjustRightInd w:val="0"/>
        <w:spacing w:before="120"/>
        <w:ind w:left="1588"/>
        <w:rPr>
          <w:color w:val="000000"/>
          <w:sz w:val="23"/>
          <w:szCs w:val="23"/>
        </w:rPr>
      </w:pPr>
      <w:r>
        <w:rPr>
          <w:color w:val="000000"/>
          <w:sz w:val="23"/>
          <w:szCs w:val="23"/>
        </w:rPr>
        <w:t>In performing or exercising any function or power under this Law, the Regulations or the Rules, the AEMC must have regard to the national gas objective.</w:t>
      </w:r>
    </w:p>
    <w:p>
      <w:pPr>
        <w:pStyle w:val="Heading5"/>
      </w:pPr>
      <w:bookmarkStart w:id="1101" w:name="_Toc53046011"/>
      <w:bookmarkStart w:id="1102" w:name="_Toc5364851"/>
      <w:r>
        <w:rPr>
          <w:rStyle w:val="CharSectno"/>
        </w:rPr>
        <w:t>73</w:t>
      </w:r>
      <w:r>
        <w:t>.</w:t>
      </w:r>
      <w:r>
        <w:tab/>
        <w:t>AEMC must have regard to MCE statements of policy principles in relation to Rule making and reviews</w:t>
      </w:r>
      <w:bookmarkEnd w:id="1101"/>
      <w:bookmarkEnd w:id="1102"/>
    </w:p>
    <w:p>
      <w:pPr>
        <w:keepNext/>
        <w:keepLines/>
        <w:autoSpaceDE w:val="0"/>
        <w:autoSpaceDN w:val="0"/>
        <w:adjustRightInd w:val="0"/>
        <w:spacing w:before="120"/>
        <w:ind w:left="1588"/>
        <w:rPr>
          <w:color w:val="000000"/>
          <w:sz w:val="23"/>
          <w:szCs w:val="23"/>
        </w:rPr>
      </w:pPr>
      <w:r>
        <w:rPr>
          <w:color w:val="000000"/>
          <w:sz w:val="23"/>
          <w:szCs w:val="23"/>
        </w:rPr>
        <w:t>The AEMC must have regard to any relevant MCE statement of policy principles—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making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conducting a review under section 83.</w:t>
      </w:r>
    </w:p>
    <w:p>
      <w:pPr>
        <w:pStyle w:val="Heading4"/>
      </w:pPr>
      <w:bookmarkStart w:id="1103" w:name="_Toc52954318"/>
      <w:bookmarkStart w:id="1104" w:name="_Toc52955614"/>
      <w:bookmarkStart w:id="1105" w:name="_Toc52957113"/>
      <w:bookmarkStart w:id="1106" w:name="_Toc52957896"/>
      <w:bookmarkStart w:id="1107" w:name="_Toc53045229"/>
      <w:bookmarkStart w:id="1108" w:name="_Toc53046012"/>
      <w:bookmarkStart w:id="1109" w:name="_Toc501633930"/>
      <w:bookmarkStart w:id="1110" w:name="_Toc501712826"/>
      <w:bookmarkStart w:id="1111" w:name="_Toc536782020"/>
      <w:bookmarkStart w:id="1112" w:name="_Toc5347078"/>
      <w:bookmarkStart w:id="1113" w:name="_Toc5363631"/>
      <w:bookmarkStart w:id="1114" w:name="_Toc5364852"/>
      <w:r>
        <w:t>Division 2 — Rule making functions and powers of the AEMC</w:t>
      </w:r>
      <w:bookmarkEnd w:id="1103"/>
      <w:bookmarkEnd w:id="1104"/>
      <w:bookmarkEnd w:id="1105"/>
      <w:bookmarkEnd w:id="1106"/>
      <w:bookmarkEnd w:id="1107"/>
      <w:bookmarkEnd w:id="1108"/>
      <w:bookmarkEnd w:id="1109"/>
      <w:bookmarkEnd w:id="1110"/>
      <w:bookmarkEnd w:id="1111"/>
      <w:bookmarkEnd w:id="1112"/>
      <w:bookmarkEnd w:id="1113"/>
      <w:bookmarkEnd w:id="1114"/>
    </w:p>
    <w:p>
      <w:pPr>
        <w:pStyle w:val="Heading5"/>
      </w:pPr>
      <w:bookmarkStart w:id="1115" w:name="_Toc53046013"/>
      <w:bookmarkStart w:id="1116" w:name="_Toc5364853"/>
      <w:r>
        <w:rPr>
          <w:rStyle w:val="CharSectno"/>
        </w:rPr>
        <w:t>74</w:t>
      </w:r>
      <w:r>
        <w:t>.</w:t>
      </w:r>
      <w:r>
        <w:tab/>
        <w:t>Subject matter for National Gas Rules</w:t>
      </w:r>
      <w:bookmarkEnd w:id="1115"/>
      <w:bookmarkEnd w:id="111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Division, the AEMC, in accordance with this Law and the Regulations, may make Rules, to be known, collectively, as the “National Gas Rules”, for or with respect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regulating—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access to pipeline services;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provision of pipeline services;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collection, use, disclosure, copying, recording, management and publication of information in relation to natural gas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or thing contemplated by this Law, or is necessary or expedient for the purposes of this Law.</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procedure for the making of a Rule by the AEMC is set out in Chapter 9 Part 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AEMC, in accordance with this Law and the Regulations, may make Rules for or with respect to any matter or thing specified in Schedule 1 to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Rules made by the AEMC in accordance with this Law and the Regulations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according to the persons, times, places or circumstances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confer functions or powers on, or leave any matter or thing to be decided or determined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AER, the AEMC or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panel or committee established by the AEMC;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any other body established, or person appointed, in accordance with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confer rights or impose obligations on any person or a class of person (other than the AER or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confer a function on the AER, the AEMC or the Bulletin Board operator to make or issue guidelines, tests, standards, procedures or any other document (however described) in accordance with the Rules, including guidelines, tests, standards, procedures or any other document (however described) that leave any matter or thing to be determined by the AER, the AEMC or the Bulletin Board operator;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empower or require any person (other than a person referred to in paragraph (e)) or body to make or issue guidelines, tests, standards, procedures or any other document (however described) in accordance with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apply, adopt or incorporate wholly or partially, or as amended by the Rules, the provisions of any standard, rule, specification, method or document (however described) formulated, issued, prescribed or published by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as formulated, issued, prescribed or published at the time the Rules are made or at any time before the Rules are made;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amended from time to time;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confer a power of direction on the AER, the AEMC or the Bulletin Board operator to require a person conferred a right, or on whom an obligation is imposed, under the Rules to comply with—</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guideline, test, standard, procedure or other document (however described) referred to in paragraph (e) or (f);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standard, rule, specification, method or document (however described) referred to in paragraph (g);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if this section authorises or requires Rules that regulate any matter or thing, prohibit that matter or thing or any aspect of that matter of thing;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(j)</w:t>
      </w:r>
      <w:r>
        <w:rPr>
          <w:color w:val="000000"/>
          <w:sz w:val="23"/>
          <w:szCs w:val="23"/>
        </w:rPr>
        <w:tab/>
        <w:t>provide for the review of, or a right of appeal against, a decision or determination made under the Rules and for that purpose, confer jurisdiction on the Court;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(k)</w:t>
      </w:r>
      <w:r>
        <w:rPr>
          <w:color w:val="000000"/>
          <w:sz w:val="23"/>
          <w:szCs w:val="23"/>
        </w:rPr>
        <w:tab/>
        <w:t>require a form prescribed by or under the Rules, or information or documents included in, attached to or given with the form, to be verified by statutory declaration;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(l)</w:t>
      </w:r>
      <w:r>
        <w:rPr>
          <w:color w:val="000000"/>
          <w:sz w:val="23"/>
          <w:szCs w:val="23"/>
        </w:rPr>
        <w:tab/>
        <w:t>in a specified case or class of case, exempt a person or body performing or exercising a function or power, or conferred a right, or on whom an obligation is imposed, under the Rules or a class of any such person or body from complying with a provision, or a part of a provision, of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(m)</w:t>
      </w:r>
      <w:r>
        <w:rPr>
          <w:color w:val="000000"/>
          <w:sz w:val="23"/>
          <w:szCs w:val="23"/>
        </w:rPr>
        <w:tab/>
        <w:t>provide for the modification or variation of a provision of the Rules (with or without substitution of a provision of the Rules or a part of a provision of the Rules) as it applies to a person or body performing or exercising a function or power, or conferred a right, or on whom an obligation is imposed, under the Rules or a class of any such person or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(n)</w:t>
      </w:r>
      <w:r>
        <w:rPr>
          <w:color w:val="000000"/>
          <w:sz w:val="23"/>
          <w:szCs w:val="23"/>
        </w:rPr>
        <w:tab/>
        <w:t>confer an immunity on, or limit the liability of, any person or body performing or exercising a function or power, or conferred a right, or on whom an obligation is imposed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(o)</w:t>
      </w:r>
      <w:r>
        <w:rPr>
          <w:color w:val="000000"/>
          <w:sz w:val="23"/>
          <w:szCs w:val="23"/>
        </w:rPr>
        <w:tab/>
        <w:t>contain provisions of a savings or transitional nature consequent on the amendment or revocation of a Rule.</w:t>
      </w:r>
    </w:p>
    <w:p>
      <w:pPr>
        <w:pStyle w:val="Heading5"/>
      </w:pPr>
      <w:bookmarkStart w:id="1117" w:name="_Toc53046014"/>
      <w:bookmarkStart w:id="1118" w:name="_Toc5364854"/>
      <w:r>
        <w:rPr>
          <w:rStyle w:val="CharSectno"/>
        </w:rPr>
        <w:t>75</w:t>
      </w:r>
      <w:r>
        <w:t>.</w:t>
      </w:r>
      <w:r>
        <w:tab/>
        <w:t>Rules relating to MCE or Ministers of participating jurisdictions require MCE consent</w:t>
      </w:r>
      <w:bookmarkEnd w:id="1117"/>
      <w:bookmarkEnd w:id="1118"/>
    </w:p>
    <w:p>
      <w:pPr>
        <w:keepLines/>
        <w:autoSpaceDE w:val="0"/>
        <w:autoSpaceDN w:val="0"/>
        <w:adjustRightInd w:val="0"/>
        <w:spacing w:before="120"/>
        <w:ind w:left="1588"/>
        <w:rPr>
          <w:color w:val="000000"/>
          <w:sz w:val="23"/>
          <w:szCs w:val="23"/>
        </w:rPr>
      </w:pPr>
      <w:r>
        <w:rPr>
          <w:color w:val="000000"/>
          <w:sz w:val="23"/>
          <w:szCs w:val="23"/>
        </w:rPr>
        <w:t>The AEMC must not, without the consent of the MCE, make a Rule that confers a right or function, or imposes an obligation, on the MCE or a Minister of a participating jurisdiction.</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of Schedule 2 to this Law to include “duty”.</w:t>
      </w:r>
    </w:p>
    <w:p>
      <w:pPr>
        <w:pStyle w:val="Heading5"/>
      </w:pPr>
      <w:bookmarkStart w:id="1119" w:name="_Toc53046015"/>
      <w:bookmarkStart w:id="1120" w:name="_Toc5364855"/>
      <w:r>
        <w:rPr>
          <w:rStyle w:val="CharSectno"/>
        </w:rPr>
        <w:t>76</w:t>
      </w:r>
      <w:r>
        <w:t>.</w:t>
      </w:r>
      <w:r>
        <w:tab/>
        <w:t>AEMC must not make Rules that create criminal offences or impose civil penalties for breaches</w:t>
      </w:r>
      <w:bookmarkEnd w:id="1119"/>
      <w:bookmarkEnd w:id="1120"/>
    </w:p>
    <w:p>
      <w:pPr>
        <w:keepNext/>
        <w:keepLines/>
        <w:autoSpaceDE w:val="0"/>
        <w:autoSpaceDN w:val="0"/>
        <w:adjustRightInd w:val="0"/>
        <w:spacing w:before="120"/>
        <w:ind w:left="1588"/>
        <w:rPr>
          <w:color w:val="000000"/>
          <w:sz w:val="23"/>
          <w:szCs w:val="23"/>
        </w:rPr>
      </w:pPr>
      <w:r>
        <w:rPr>
          <w:color w:val="000000"/>
          <w:sz w:val="23"/>
          <w:szCs w:val="23"/>
        </w:rPr>
        <w:t>The AEMC must not make a Rule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creates an offence for a breach of a provision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provides for a criminal penalty or civil penalty for a breach of a provision of the Rules.</w:t>
      </w:r>
    </w:p>
    <w:p>
      <w:pPr>
        <w:pStyle w:val="Heading5"/>
      </w:pPr>
      <w:bookmarkStart w:id="1121" w:name="_Toc53046016"/>
      <w:bookmarkStart w:id="1122" w:name="_Toc5364856"/>
      <w:r>
        <w:rPr>
          <w:rStyle w:val="CharSectno"/>
        </w:rPr>
        <w:t>77</w:t>
      </w:r>
      <w:r>
        <w:t>.</w:t>
      </w:r>
      <w:r>
        <w:tab/>
        <w:t>Documents etc applied, adopted and incorporated by Rules to be publicly available</w:t>
      </w:r>
      <w:bookmarkEnd w:id="1121"/>
      <w:bookmarkEnd w:id="112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make publicly available—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every standard, rule, specification, method or document (however described) formulated, issued, prescribed or published by any person, authority or body that is applied, adopted or incorporated by a Rule;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a standard, rule, specification, method or document (however described) formulated, issued, prescribed or published by any person, authority or body is applied, adopted or incorporated by a Rule as amended from time to time—any amendment to that standard, rule, specification, method or document.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AEMC makes a standard, rule, specification, method or document (however described) formulated, issued, prescribed or published by any person, authority or body applied, adopted or incorporated by any Rule publicly available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publishes the standard, rule, specification, method or document on the AEMC’s website;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specifies a place from which the standard, rule, specification, method or document may be obtained or purchased (as the case requires).</w:t>
      </w:r>
    </w:p>
    <w:p>
      <w:pPr>
        <w:pStyle w:val="Heading4"/>
      </w:pPr>
      <w:bookmarkStart w:id="1123" w:name="_Toc52954323"/>
      <w:bookmarkStart w:id="1124" w:name="_Toc52955619"/>
      <w:bookmarkStart w:id="1125" w:name="_Toc52957118"/>
      <w:bookmarkStart w:id="1126" w:name="_Toc52957901"/>
      <w:bookmarkStart w:id="1127" w:name="_Toc53045234"/>
      <w:bookmarkStart w:id="1128" w:name="_Toc53046017"/>
      <w:bookmarkStart w:id="1129" w:name="_Toc501633935"/>
      <w:bookmarkStart w:id="1130" w:name="_Toc501712831"/>
      <w:bookmarkStart w:id="1131" w:name="_Toc536782025"/>
      <w:bookmarkStart w:id="1132" w:name="_Toc5347083"/>
      <w:bookmarkStart w:id="1133" w:name="_Toc5363636"/>
      <w:bookmarkStart w:id="1134" w:name="_Toc5364857"/>
      <w:r>
        <w:t>Division 3 — Committees, panels and working groups of the AEMC</w:t>
      </w:r>
      <w:bookmarkEnd w:id="1123"/>
      <w:bookmarkEnd w:id="1124"/>
      <w:bookmarkEnd w:id="1125"/>
      <w:bookmarkEnd w:id="1126"/>
      <w:bookmarkEnd w:id="1127"/>
      <w:bookmarkEnd w:id="1128"/>
      <w:bookmarkEnd w:id="1129"/>
      <w:bookmarkEnd w:id="1130"/>
      <w:bookmarkEnd w:id="1131"/>
      <w:bookmarkEnd w:id="1132"/>
      <w:bookmarkEnd w:id="1133"/>
      <w:bookmarkEnd w:id="1134"/>
    </w:p>
    <w:p>
      <w:pPr>
        <w:pStyle w:val="Heading5"/>
      </w:pPr>
      <w:bookmarkStart w:id="1135" w:name="_Toc53046018"/>
      <w:bookmarkStart w:id="1136" w:name="_Toc5364858"/>
      <w:r>
        <w:rPr>
          <w:rStyle w:val="CharSectno"/>
        </w:rPr>
        <w:t>78</w:t>
      </w:r>
      <w:r>
        <w:t>.</w:t>
      </w:r>
      <w:r>
        <w:tab/>
        <w:t>Establishment of committees, panels and working groups</w:t>
      </w:r>
      <w:bookmarkEnd w:id="1135"/>
      <w:bookmarkEnd w:id="1136"/>
    </w:p>
    <w:p>
      <w:pPr>
        <w:keepNext/>
        <w:keepLines/>
        <w:autoSpaceDE w:val="0"/>
        <w:autoSpaceDN w:val="0"/>
        <w:adjustRightInd w:val="0"/>
        <w:spacing w:before="120"/>
        <w:ind w:left="1588"/>
        <w:rPr>
          <w:color w:val="000000"/>
          <w:sz w:val="23"/>
          <w:szCs w:val="23"/>
        </w:rPr>
      </w:pPr>
      <w:r>
        <w:rPr>
          <w:color w:val="000000"/>
          <w:sz w:val="23"/>
          <w:szCs w:val="23"/>
        </w:rPr>
        <w:t>The AEMC may establish committees, panels and working groups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advice on specified aspects of the AEMC’s functions;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undertake any other activity in relation to the AEMC’s functions as is specified by the AEMC.</w:t>
      </w:r>
    </w:p>
    <w:p>
      <w:pPr>
        <w:pStyle w:val="Heading4"/>
      </w:pPr>
      <w:bookmarkStart w:id="1137" w:name="_Toc52954325"/>
      <w:bookmarkStart w:id="1138" w:name="_Toc52955621"/>
      <w:bookmarkStart w:id="1139" w:name="_Toc52957120"/>
      <w:bookmarkStart w:id="1140" w:name="_Toc52957903"/>
      <w:bookmarkStart w:id="1141" w:name="_Toc53045236"/>
      <w:bookmarkStart w:id="1142" w:name="_Toc53046019"/>
      <w:bookmarkStart w:id="1143" w:name="_Toc501633937"/>
      <w:bookmarkStart w:id="1144" w:name="_Toc501712833"/>
      <w:bookmarkStart w:id="1145" w:name="_Toc536782027"/>
      <w:bookmarkStart w:id="1146" w:name="_Toc5347085"/>
      <w:bookmarkStart w:id="1147" w:name="_Toc5363638"/>
      <w:bookmarkStart w:id="1148" w:name="_Toc5364859"/>
      <w:r>
        <w:t>Division 4 — MCE directed reviews</w:t>
      </w:r>
      <w:bookmarkEnd w:id="1137"/>
      <w:bookmarkEnd w:id="1138"/>
      <w:bookmarkEnd w:id="1139"/>
      <w:bookmarkEnd w:id="1140"/>
      <w:bookmarkEnd w:id="1141"/>
      <w:bookmarkEnd w:id="1142"/>
      <w:bookmarkEnd w:id="1143"/>
      <w:bookmarkEnd w:id="1144"/>
      <w:bookmarkEnd w:id="1145"/>
      <w:bookmarkEnd w:id="1146"/>
      <w:bookmarkEnd w:id="1147"/>
      <w:bookmarkEnd w:id="1148"/>
    </w:p>
    <w:p>
      <w:pPr>
        <w:pStyle w:val="Heading5"/>
      </w:pPr>
      <w:bookmarkStart w:id="1149" w:name="_Toc53046020"/>
      <w:bookmarkStart w:id="1150" w:name="_Toc5364860"/>
      <w:r>
        <w:rPr>
          <w:rStyle w:val="CharSectno"/>
        </w:rPr>
        <w:t>79</w:t>
      </w:r>
      <w:r>
        <w:t>.</w:t>
      </w:r>
      <w:r>
        <w:tab/>
        <w:t>MCE directions</w:t>
      </w:r>
      <w:bookmarkEnd w:id="1149"/>
      <w:bookmarkEnd w:id="115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may give a written direction to the AEMC that the AEMC conduct a review into—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 matter relating to a market for gas (including services provided in a market for gas);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relating to access to pipelines or to pipeline services provided by means of pipelines;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matter relating to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effectiveness of competition in a market for gas for the purpose of giving advice about whether to retain, remove or reintroduce price controls on prices for retail gas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direction given to the AEMC under this section is binding on the AEMC and must be complied with despite anything to the contrary in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direction given under this section must be published in the South Australian Government Gazette.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cause a direction given under this section to be published on its website.</w:t>
      </w:r>
    </w:p>
    <w:p>
      <w:pPr>
        <w:pStyle w:val="Heading5"/>
      </w:pPr>
      <w:bookmarkStart w:id="1151" w:name="_Toc53046021"/>
      <w:bookmarkStart w:id="1152" w:name="_Toc5364861"/>
      <w:r>
        <w:rPr>
          <w:rStyle w:val="CharSectno"/>
        </w:rPr>
        <w:t>80</w:t>
      </w:r>
      <w:r>
        <w:t>.</w:t>
      </w:r>
      <w:r>
        <w:tab/>
        <w:t>Terms of reference</w:t>
      </w:r>
      <w:bookmarkEnd w:id="1151"/>
      <w:bookmarkEnd w:id="115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terms of reference of a MCE directed review will be as specified in the direction given by the MCE.</w:t>
      </w:r>
    </w:p>
    <w:p>
      <w:pPr>
        <w:keepNext/>
        <w:keepLines/>
        <w:autoSpaceDE w:val="0"/>
        <w:autoSpaceDN w:val="0"/>
        <w:adjustRightInd w:val="0"/>
        <w:spacing w:before="120"/>
        <w:ind w:left="2382" w:hanging="794"/>
        <w:rPr>
          <w:b/>
          <w:bCs/>
          <w:color w:val="000000"/>
          <w:sz w:val="20"/>
        </w:rPr>
      </w:pPr>
      <w:r>
        <w:rPr>
          <w:b/>
          <w:bCs/>
          <w:color w:val="000000"/>
          <w:sz w:val="20"/>
        </w:rPr>
        <w:t>Example—</w:t>
      </w:r>
    </w:p>
    <w:p>
      <w:pPr>
        <w:keepNext/>
        <w:keepLines/>
        <w:autoSpaceDE w:val="0"/>
        <w:autoSpaceDN w:val="0"/>
        <w:adjustRightInd w:val="0"/>
        <w:spacing w:before="120"/>
        <w:ind w:left="2382"/>
        <w:rPr>
          <w:color w:val="000000"/>
          <w:sz w:val="20"/>
        </w:rPr>
      </w:pPr>
      <w:r>
        <w:rPr>
          <w:color w:val="000000"/>
          <w:sz w:val="20"/>
        </w:rPr>
        <w:t>The terms of reference may require a MCE directed review to be conducted—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about a specific matter within a specified time; or</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whenever a specified event occurs; or</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(c)</w:t>
      </w:r>
      <w:r>
        <w:rPr>
          <w:color w:val="000000"/>
          <w:sz w:val="20"/>
        </w:rPr>
        <w:tab/>
        <w:t>on an annual basis.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MCE may in its direction to the AEMC do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require the AEMC to give a report on a MCE directed review to the MCE within a specified period;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require the AEMC to make the report on a MCE directed review publicly available or available to specified persons or bodies;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require the AEMC to make a draft report publicly available or available to specified persons or bodies during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require the AEMC to consider specified matters in the conduct of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require the AEMC to have specified objectives in the conduct of a MCE directed review which need not be limited by the national gas objective;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require the AEMC to assess a particular matter in relation to services provided in a market for gas against specified criteria or a specified methodology;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require the AEMC—</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to assess a particular matter in relation to services provided in a market for gas;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to develop appropriate and relevant criteria, or an appropriate and relevant methodology, for the purpose of the required assessment;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give the AEMC other specific directions in respect of the conduct of a MCE directed review.</w:t>
      </w:r>
    </w:p>
    <w:p>
      <w:pPr>
        <w:pStyle w:val="Heading5"/>
      </w:pPr>
      <w:bookmarkStart w:id="1153" w:name="_Toc53046022"/>
      <w:bookmarkStart w:id="1154" w:name="_Toc5364862"/>
      <w:r>
        <w:rPr>
          <w:rStyle w:val="CharSectno"/>
        </w:rPr>
        <w:t>81</w:t>
      </w:r>
      <w:r>
        <w:t>.</w:t>
      </w:r>
      <w:r>
        <w:tab/>
        <w:t>Notice of MCE directed review</w:t>
      </w:r>
      <w:bookmarkEnd w:id="1153"/>
      <w:bookmarkEnd w:id="115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publish notice of a MCE directed review on its website and in a newspaper circulating generally throughout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publish a further such notice if a term of reference or a requirement or direction relating to the MCE directed review is varied.</w:t>
      </w:r>
    </w:p>
    <w:p>
      <w:pPr>
        <w:pStyle w:val="Heading5"/>
      </w:pPr>
      <w:bookmarkStart w:id="1155" w:name="_Toc53046023"/>
      <w:bookmarkStart w:id="1156" w:name="_Toc5364863"/>
      <w:r>
        <w:rPr>
          <w:rStyle w:val="CharSectno"/>
        </w:rPr>
        <w:t>82</w:t>
      </w:r>
      <w:r>
        <w:t>.</w:t>
      </w:r>
      <w:r>
        <w:tab/>
        <w:t>Conduct of MCE directed review</w:t>
      </w:r>
      <w:bookmarkEnd w:id="1155"/>
      <w:bookmarkEnd w:id="1156"/>
    </w:p>
    <w:p>
      <w:pPr>
        <w:keepNext/>
        <w:keepLines/>
        <w:autoSpaceDE w:val="0"/>
        <w:autoSpaceDN w:val="0"/>
        <w:adjustRightInd w:val="0"/>
        <w:spacing w:before="120"/>
        <w:ind w:left="1588"/>
        <w:rPr>
          <w:color w:val="000000"/>
          <w:sz w:val="23"/>
          <w:szCs w:val="23"/>
        </w:rPr>
      </w:pPr>
      <w:r>
        <w:rPr>
          <w:color w:val="000000"/>
          <w:sz w:val="23"/>
          <w:szCs w:val="23"/>
        </w:rPr>
        <w:t>Subject to any requirement or direction of the MCE,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involve public hearings.</w:t>
      </w:r>
    </w:p>
    <w:p>
      <w:pPr>
        <w:pStyle w:val="Heading4"/>
      </w:pPr>
      <w:bookmarkStart w:id="1157" w:name="_Toc52954330"/>
      <w:bookmarkStart w:id="1158" w:name="_Toc52955626"/>
      <w:bookmarkStart w:id="1159" w:name="_Toc52957125"/>
      <w:bookmarkStart w:id="1160" w:name="_Toc52957908"/>
      <w:bookmarkStart w:id="1161" w:name="_Toc53045241"/>
      <w:bookmarkStart w:id="1162" w:name="_Toc53046024"/>
      <w:bookmarkStart w:id="1163" w:name="_Toc501633942"/>
      <w:bookmarkStart w:id="1164" w:name="_Toc501712838"/>
      <w:bookmarkStart w:id="1165" w:name="_Toc536782032"/>
      <w:bookmarkStart w:id="1166" w:name="_Toc5347090"/>
      <w:bookmarkStart w:id="1167" w:name="_Toc5363643"/>
      <w:bookmarkStart w:id="1168" w:name="_Toc5364864"/>
      <w:r>
        <w:t>Division 5 — Other reviews</w:t>
      </w:r>
      <w:bookmarkEnd w:id="1157"/>
      <w:bookmarkEnd w:id="1158"/>
      <w:bookmarkEnd w:id="1159"/>
      <w:bookmarkEnd w:id="1160"/>
      <w:bookmarkEnd w:id="1161"/>
      <w:bookmarkEnd w:id="1162"/>
      <w:bookmarkEnd w:id="1163"/>
      <w:bookmarkEnd w:id="1164"/>
      <w:bookmarkEnd w:id="1165"/>
      <w:bookmarkEnd w:id="1166"/>
      <w:bookmarkEnd w:id="1167"/>
      <w:bookmarkEnd w:id="1168"/>
    </w:p>
    <w:p>
      <w:pPr>
        <w:pStyle w:val="Heading5"/>
      </w:pPr>
      <w:bookmarkStart w:id="1169" w:name="_Toc53046025"/>
      <w:bookmarkStart w:id="1170" w:name="_Toc5364865"/>
      <w:r>
        <w:rPr>
          <w:rStyle w:val="CharSectno"/>
        </w:rPr>
        <w:t>83</w:t>
      </w:r>
      <w:r>
        <w:t>.</w:t>
      </w:r>
      <w:r>
        <w:tab/>
        <w:t>Rule reviews by the AEMC</w:t>
      </w:r>
      <w:bookmarkEnd w:id="1169"/>
      <w:bookmarkEnd w:id="117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conduct a review into—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relating to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involve public hearings.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During the course of a review, the AEMC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consult with any person or body that it considers appropriate;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establish working groups to assist it in relation to any aspect, or any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commission reports by other persons on its behalf on any aspect, or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publish discussion papers or draft reports.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At the completion of a review,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a copy of the report to the MCE;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report or a version of a report from which confidential information has been omitted in accordance with section 331.</w:t>
      </w:r>
    </w:p>
    <w:p>
      <w:pPr>
        <w:pStyle w:val="Heading4"/>
      </w:pPr>
      <w:bookmarkStart w:id="1171" w:name="_Toc52954332"/>
      <w:bookmarkStart w:id="1172" w:name="_Toc52955628"/>
      <w:bookmarkStart w:id="1173" w:name="_Toc52957127"/>
      <w:bookmarkStart w:id="1174" w:name="_Toc52957910"/>
      <w:bookmarkStart w:id="1175" w:name="_Toc53045243"/>
      <w:bookmarkStart w:id="1176" w:name="_Toc53046026"/>
      <w:bookmarkStart w:id="1177" w:name="_Toc501633944"/>
      <w:bookmarkStart w:id="1178" w:name="_Toc501712840"/>
      <w:bookmarkStart w:id="1179" w:name="_Toc536782034"/>
      <w:bookmarkStart w:id="1180" w:name="_Toc5347092"/>
      <w:bookmarkStart w:id="1181" w:name="_Toc5363645"/>
      <w:bookmarkStart w:id="1182" w:name="_Toc5364866"/>
      <w:r>
        <w:t>Division 6 — Miscellaneous matters</w:t>
      </w:r>
      <w:bookmarkEnd w:id="1171"/>
      <w:bookmarkEnd w:id="1172"/>
      <w:bookmarkEnd w:id="1173"/>
      <w:bookmarkEnd w:id="1174"/>
      <w:bookmarkEnd w:id="1175"/>
      <w:bookmarkEnd w:id="1176"/>
      <w:bookmarkEnd w:id="1177"/>
      <w:bookmarkEnd w:id="1178"/>
      <w:bookmarkEnd w:id="1179"/>
      <w:bookmarkEnd w:id="1180"/>
      <w:bookmarkEnd w:id="1181"/>
      <w:bookmarkEnd w:id="1182"/>
    </w:p>
    <w:p>
      <w:pPr>
        <w:pStyle w:val="Heading5"/>
      </w:pPr>
      <w:bookmarkStart w:id="1183" w:name="_Toc53046027"/>
      <w:bookmarkStart w:id="1184" w:name="_Toc5364867"/>
      <w:r>
        <w:rPr>
          <w:rStyle w:val="CharSectno"/>
        </w:rPr>
        <w:t>83A</w:t>
      </w:r>
      <w:r>
        <w:t>.</w:t>
      </w:r>
      <w:r>
        <w:tab/>
        <w:t>Special information and transparency requirements relating to non</w:t>
      </w:r>
      <w:r>
        <w:noBreakHyphen/>
        <w:t>scheme pipelines</w:t>
      </w:r>
      <w:bookmarkEnd w:id="1183"/>
      <w:bookmarkEnd w:id="118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section—</w:t>
      </w:r>
    </w:p>
    <w:p>
      <w:pPr>
        <w:keepLines/>
        <w:autoSpaceDE w:val="0"/>
        <w:autoSpaceDN w:val="0"/>
        <w:adjustRightInd w:val="0"/>
        <w:spacing w:before="120"/>
        <w:ind w:left="1588"/>
        <w:rPr>
          <w:color w:val="000000"/>
          <w:sz w:val="23"/>
          <w:szCs w:val="23"/>
        </w:rPr>
      </w:pPr>
      <w:r>
        <w:rPr>
          <w:b/>
          <w:bCs/>
          <w:i/>
          <w:iCs/>
          <w:color w:val="000000"/>
          <w:sz w:val="23"/>
          <w:szCs w:val="23"/>
        </w:rPr>
        <w:t>non-scheme pipeline</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that is not a scheme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distribution pipeline that is not a scheme pipeline.</w:t>
      </w:r>
    </w:p>
    <w:p>
      <w:pPr>
        <w:keepNext/>
        <w:keepLines/>
        <w:tabs>
          <w:tab w:val="center" w:pos="1191"/>
          <w:tab w:val="left" w:pos="1588"/>
        </w:tabs>
        <w:autoSpaceDE w:val="0"/>
        <w:autoSpaceDN w:val="0"/>
        <w:adjustRightInd w:val="0"/>
        <w:spacing w:before="120"/>
        <w:ind w:left="1588" w:hanging="794"/>
        <w:rPr>
          <w:color w:val="000000"/>
          <w:sz w:val="23"/>
          <w:szCs w:val="23"/>
        </w:rPr>
      </w:pPr>
      <w:bookmarkStart w:id="1185" w:name="id16e1e13e_cfde_4d18_b3fc_94e5a9dfd8"/>
      <w:r>
        <w:rPr>
          <w:color w:val="000000"/>
          <w:sz w:val="23"/>
          <w:szCs w:val="23"/>
        </w:rPr>
        <w:tab/>
        <w:t>(2)</w:t>
      </w:r>
      <w:r>
        <w:rPr>
          <w:color w:val="000000"/>
          <w:sz w:val="23"/>
          <w:szCs w:val="23"/>
        </w:rPr>
        <w:tab/>
        <w:t>Without limiting any other provision, the Rules may provide for such things as—</w:t>
      </w:r>
      <w:bookmarkEnd w:id="1185"/>
    </w:p>
    <w:p>
      <w:pPr>
        <w:keepLines/>
        <w:tabs>
          <w:tab w:val="center" w:pos="1985"/>
          <w:tab w:val="left" w:pos="2382"/>
        </w:tabs>
        <w:autoSpaceDE w:val="0"/>
        <w:autoSpaceDN w:val="0"/>
        <w:adjustRightInd w:val="0"/>
        <w:spacing w:before="120"/>
        <w:ind w:left="2382" w:hanging="794"/>
        <w:rPr>
          <w:color w:val="000000"/>
          <w:sz w:val="23"/>
          <w:szCs w:val="23"/>
        </w:rPr>
      </w:pPr>
      <w:bookmarkStart w:id="1186" w:name="ide1523334_7c87_472c_83af_88551bd104"/>
      <w:r>
        <w:rPr>
          <w:color w:val="000000"/>
          <w:sz w:val="23"/>
          <w:szCs w:val="23"/>
        </w:rPr>
        <w:tab/>
        <w:t>(a)</w:t>
      </w:r>
      <w:r>
        <w:rPr>
          <w:color w:val="000000"/>
          <w:sz w:val="23"/>
          <w:szCs w:val="23"/>
        </w:rPr>
        <w:tab/>
        <w:t>the collection, disclosure, verification, management and publication of information in relation to services that may be provided by a non</w:t>
      </w:r>
      <w:r>
        <w:rPr>
          <w:color w:val="000000"/>
          <w:sz w:val="23"/>
          <w:szCs w:val="23"/>
        </w:rPr>
        <w:noBreakHyphen/>
        <w:t>scheme pipeline; and</w:t>
      </w:r>
      <w:bookmarkEnd w:id="1186"/>
    </w:p>
    <w:p>
      <w:pPr>
        <w:keepLines/>
        <w:tabs>
          <w:tab w:val="center" w:pos="1985"/>
          <w:tab w:val="left" w:pos="2382"/>
        </w:tabs>
        <w:autoSpaceDE w:val="0"/>
        <w:autoSpaceDN w:val="0"/>
        <w:adjustRightInd w:val="0"/>
        <w:spacing w:before="120"/>
        <w:ind w:left="2382" w:hanging="794"/>
        <w:rPr>
          <w:color w:val="000000"/>
          <w:sz w:val="23"/>
          <w:szCs w:val="23"/>
        </w:rPr>
      </w:pPr>
      <w:bookmarkStart w:id="1187" w:name="id86211e6a_ed2c_46fe_a639_95bd47e520"/>
      <w:r>
        <w:rPr>
          <w:color w:val="000000"/>
          <w:sz w:val="23"/>
          <w:szCs w:val="23"/>
        </w:rPr>
        <w:tab/>
        <w:t>(b)</w:t>
      </w:r>
      <w:r>
        <w:rPr>
          <w:color w:val="000000"/>
          <w:sz w:val="23"/>
          <w:szCs w:val="23"/>
        </w:rPr>
        <w:tab/>
        <w:t>without limiting paragraph (a), requirements about the information that must be provided by service providers in relation to access (or potential access) to services provided by means of any non</w:t>
      </w:r>
      <w:r>
        <w:rPr>
          <w:color w:val="000000"/>
          <w:sz w:val="23"/>
          <w:szCs w:val="23"/>
        </w:rPr>
        <w:noBreakHyphen/>
        <w:t>scheme pipeline, including information about—</w:t>
      </w:r>
      <w:bookmarkEnd w:id="1187"/>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terms and conditions on which the service provider is prepared to make a non</w:t>
      </w:r>
      <w:r>
        <w:rPr>
          <w:color w:val="000000"/>
          <w:sz w:val="23"/>
          <w:szCs w:val="23"/>
        </w:rPr>
        <w:noBreakHyphen/>
        <w:t>scheme pipeline available for use by others;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procedures that the service provider will apply in determining a proposal for access to a non</w:t>
      </w:r>
      <w:r>
        <w:rPr>
          <w:color w:val="000000"/>
          <w:sz w:val="23"/>
          <w:szCs w:val="23"/>
        </w:rPr>
        <w:noBreakHyphen/>
        <w:t>scheme pipeline;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relevant prices, costs and methodologies associated with gaining access to (and using) a non</w:t>
      </w:r>
      <w:r>
        <w:rPr>
          <w:color w:val="000000"/>
          <w:sz w:val="23"/>
          <w:szCs w:val="23"/>
        </w:rPr>
        <w:noBreakHyphen/>
        <w:t>scheme pipeline and relevant or related services;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access contracts and arrangements used (or required to be used) by the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without limiting paragraphs (a) and (b), information to be provided by a service provider in response to a request for access to services provided by means of a non</w:t>
      </w:r>
      <w:r>
        <w:rPr>
          <w:color w:val="000000"/>
          <w:sz w:val="23"/>
          <w:szCs w:val="23"/>
        </w:rPr>
        <w:noBreakHyphen/>
        <w:t>scheme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requirements to ensure that information is accurate and complete;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requirements that relate to any matter that is contemplated by Chapter 4 Part 2 (as if a reference to a covered pipeline service provider in that Part were a reference to a service provider in relation to a non-scheme pipeline and subject to any modifications made by the Rules and subject to such other necessary alterations and modifications so as to apply those requirements in relation to non</w:t>
      </w:r>
      <w:r>
        <w:rPr>
          <w:color w:val="000000"/>
          <w:sz w:val="23"/>
          <w:szCs w:val="23"/>
        </w:rPr>
        <w:noBreakHyphen/>
        <w:t>scheme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imposition or recovery of costs associated with any matter referred to in a preceding paragraph or otherwise associated with facilitating access (or potential access) to services provided by means of a non</w:t>
      </w:r>
      <w:r>
        <w:rPr>
          <w:color w:val="000000"/>
          <w:sz w:val="23"/>
          <w:szCs w:val="23"/>
        </w:rPr>
        <w:noBreakHyphen/>
        <w:t>scheme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Nothing in subsection (2) limits any power to grant an exemption from complying with a provision, or part of a provision, of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reference in subsection (2) with respect to gaining access (or potential access) to services provided by means of a non</w:t>
      </w:r>
      <w:r>
        <w:rPr>
          <w:color w:val="000000"/>
          <w:sz w:val="23"/>
          <w:szCs w:val="23"/>
        </w:rPr>
        <w:noBreakHyphen/>
        <w:t>scheme pipeline includes a reference to services that will require an extension to, or expansion of the capacity of, a non</w:t>
      </w:r>
      <w:r>
        <w:rPr>
          <w:color w:val="000000"/>
          <w:sz w:val="23"/>
          <w:szCs w:val="23"/>
        </w:rPr>
        <w:noBreakHyphen/>
        <w:t>scheme pipeline.</w:t>
      </w:r>
    </w:p>
    <w:p>
      <w:pPr>
        <w:pStyle w:val="Footnotesection"/>
      </w:pPr>
      <w:r>
        <w:tab/>
        <w:t>[Section 83A inserted: see SA Act No. 23 of 2017 s. 4 and WA Gazette 22 Dec 2017 p. 5984.]</w:t>
      </w:r>
    </w:p>
    <w:p>
      <w:pPr>
        <w:pStyle w:val="Heading5"/>
      </w:pPr>
      <w:bookmarkStart w:id="1188" w:name="_Toc53046028"/>
      <w:bookmarkStart w:id="1189" w:name="_Toc5364868"/>
      <w:r>
        <w:rPr>
          <w:rStyle w:val="CharSectno"/>
        </w:rPr>
        <w:t>84</w:t>
      </w:r>
      <w:r>
        <w:t>.</w:t>
      </w:r>
      <w:r>
        <w:tab/>
        <w:t>AEMC must publish and make available up to date versions of Rules</w:t>
      </w:r>
      <w:bookmarkEnd w:id="1188"/>
      <w:bookmarkEnd w:id="1189"/>
    </w:p>
    <w:p>
      <w:pPr>
        <w:keepNext/>
        <w:keepLines/>
        <w:autoSpaceDE w:val="0"/>
        <w:autoSpaceDN w:val="0"/>
        <w:adjustRightInd w:val="0"/>
        <w:spacing w:before="120"/>
        <w:ind w:left="1588"/>
        <w:rPr>
          <w:color w:val="000000"/>
          <w:sz w:val="23"/>
          <w:szCs w:val="23"/>
        </w:rPr>
      </w:pPr>
      <w:r>
        <w:rPr>
          <w:color w:val="000000"/>
          <w:sz w:val="23"/>
          <w:szCs w:val="23"/>
        </w:rPr>
        <w:t>The AEMC must, at all times—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maintain, on its website, a copy of the National Gas Rules, as in force from time to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copies of the National Gas Rules, as in force from time to time, available to the public for inspection at its offices during business hours.</w:t>
      </w:r>
    </w:p>
    <w:p>
      <w:pPr>
        <w:pStyle w:val="Heading5"/>
      </w:pPr>
      <w:bookmarkStart w:id="1190" w:name="_Toc53046029"/>
      <w:bookmarkStart w:id="1191" w:name="_Toc5364869"/>
      <w:r>
        <w:rPr>
          <w:rStyle w:val="CharSectno"/>
        </w:rPr>
        <w:t>85</w:t>
      </w:r>
      <w:r>
        <w:t>.</w:t>
      </w:r>
      <w:r>
        <w:tab/>
        <w:t>Fees</w:t>
      </w:r>
      <w:bookmarkEnd w:id="1190"/>
      <w:bookmarkEnd w:id="119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charge a fee specified, or a fee calculated in accordance with a formula or methodology specified, in the Regulations for services provided by it in performing or exercising any of its functions or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fee must not be such as to amount to taxation.</w:t>
      </w:r>
    </w:p>
    <w:p>
      <w:pPr>
        <w:pStyle w:val="Heading5"/>
      </w:pPr>
      <w:bookmarkStart w:id="1192" w:name="_Toc53046030"/>
      <w:bookmarkStart w:id="1193" w:name="_Toc5364870"/>
      <w:r>
        <w:rPr>
          <w:rStyle w:val="CharSectno"/>
        </w:rPr>
        <w:t>86</w:t>
      </w:r>
      <w:r>
        <w:t>.</w:t>
      </w:r>
      <w:r>
        <w:tab/>
        <w:t>Immunity from personal liability of AEMC officials</w:t>
      </w:r>
      <w:bookmarkEnd w:id="1192"/>
      <w:bookmarkEnd w:id="119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No personal liability attaches to an AEMC official for an act or omission in good faith in the performance or exercise, or purported performance or exercise of a function or power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liability that would, but for subsection (1), lie against an AEMC official lies instead against the AEMC.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AEMC official</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member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chief executive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member of staff appointed by the AEMC.</w:t>
      </w:r>
    </w:p>
    <w:p>
      <w:pPr>
        <w:pStyle w:val="Heading3"/>
      </w:pPr>
      <w:bookmarkStart w:id="1194" w:name="_Toc52954337"/>
      <w:bookmarkStart w:id="1195" w:name="_Toc52955633"/>
      <w:bookmarkStart w:id="1196" w:name="_Toc52957132"/>
      <w:bookmarkStart w:id="1197" w:name="_Toc52957915"/>
      <w:bookmarkStart w:id="1198" w:name="_Toc53045248"/>
      <w:bookmarkStart w:id="1199" w:name="_Toc53046031"/>
      <w:bookmarkStart w:id="1200" w:name="_Toc501633948"/>
      <w:bookmarkStart w:id="1201" w:name="_Toc501712844"/>
      <w:bookmarkStart w:id="1202" w:name="_Toc536782039"/>
      <w:bookmarkStart w:id="1203" w:name="_Toc5347097"/>
      <w:bookmarkStart w:id="1204" w:name="_Toc5363650"/>
      <w:bookmarkStart w:id="1205" w:name="_Toc5364871"/>
      <w:r>
        <w:rPr>
          <w:rStyle w:val="CharDivNo"/>
        </w:rPr>
        <w:t>Part 3</w:t>
      </w:r>
      <w:r>
        <w:t xml:space="preserve"> — </w:t>
      </w:r>
      <w:r>
        <w:rPr>
          <w:rStyle w:val="CharDivText"/>
        </w:rPr>
        <w:t>Functions and powers of Ministers of participating jurisdictions</w:t>
      </w:r>
      <w:bookmarkEnd w:id="1194"/>
      <w:bookmarkEnd w:id="1195"/>
      <w:bookmarkEnd w:id="1196"/>
      <w:bookmarkEnd w:id="1197"/>
      <w:bookmarkEnd w:id="1198"/>
      <w:bookmarkEnd w:id="1199"/>
      <w:bookmarkEnd w:id="1200"/>
      <w:bookmarkEnd w:id="1201"/>
      <w:bookmarkEnd w:id="1202"/>
      <w:bookmarkEnd w:id="1203"/>
      <w:bookmarkEnd w:id="1204"/>
      <w:bookmarkEnd w:id="1205"/>
    </w:p>
    <w:p>
      <w:pPr>
        <w:pStyle w:val="Heading5"/>
      </w:pPr>
      <w:bookmarkStart w:id="1206" w:name="_Toc53046032"/>
      <w:bookmarkStart w:id="1207" w:name="_Toc5364872"/>
      <w:r>
        <w:rPr>
          <w:rStyle w:val="CharSectno"/>
        </w:rPr>
        <w:t>87</w:t>
      </w:r>
      <w:r>
        <w:t>.</w:t>
      </w:r>
      <w:r>
        <w:tab/>
        <w:t>Functions and powers of Minister of this participating jurisdiction under this Law</w:t>
      </w:r>
      <w:bookmarkEnd w:id="1206"/>
      <w:bookmarkEnd w:id="120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Minister of this participating jurisdiction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Minister of this participating jurisdiction has power to do all things necessary or convenient to be done for or in connection with the performance of his or her functions.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Minister of this participating jurisdiction</w:t>
      </w:r>
      <w:r>
        <w:rPr>
          <w:bCs/>
          <w:i/>
          <w:iCs/>
          <w:color w:val="000000"/>
          <w:sz w:val="23"/>
          <w:szCs w:val="23"/>
        </w:rPr>
        <w:t xml:space="preserve"> </w:t>
      </w:r>
      <w:r>
        <w:rPr>
          <w:color w:val="000000"/>
          <w:sz w:val="23"/>
          <w:szCs w:val="23"/>
        </w:rPr>
        <w:t>means the Minister that administers the Act of this jurisdiction that applies this Law as a law of this jurisdiction.</w:t>
      </w:r>
    </w:p>
    <w:p>
      <w:pPr>
        <w:pStyle w:val="Heading5"/>
      </w:pPr>
      <w:bookmarkStart w:id="1208" w:name="_Toc53046033"/>
      <w:bookmarkStart w:id="1209" w:name="_Toc5364873"/>
      <w:r>
        <w:rPr>
          <w:rStyle w:val="CharSectno"/>
        </w:rPr>
        <w:t>88</w:t>
      </w:r>
      <w:r>
        <w:t>.</w:t>
      </w:r>
      <w:r>
        <w:tab/>
        <w:t>Functions and powers of Commonwealth Minister under this Law</w:t>
      </w:r>
      <w:bookmarkEnd w:id="1208"/>
      <w:bookmarkEnd w:id="120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Commonwealth Minister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Commonwealth Minister has power to do all things necessary or convenient to be done for or in connection with the performance of his or her functions.</w:t>
      </w:r>
    </w:p>
    <w:p>
      <w:pPr>
        <w:pStyle w:val="Heading3"/>
      </w:pPr>
      <w:bookmarkStart w:id="1210" w:name="_Toc52954340"/>
      <w:bookmarkStart w:id="1211" w:name="_Toc52955636"/>
      <w:bookmarkStart w:id="1212" w:name="_Toc52957135"/>
      <w:bookmarkStart w:id="1213" w:name="_Toc52957918"/>
      <w:bookmarkStart w:id="1214" w:name="_Toc53045251"/>
      <w:bookmarkStart w:id="1215" w:name="_Toc53046034"/>
      <w:bookmarkStart w:id="1216" w:name="_Toc501633951"/>
      <w:bookmarkStart w:id="1217" w:name="_Toc501712847"/>
      <w:bookmarkStart w:id="1218" w:name="_Toc536782042"/>
      <w:bookmarkStart w:id="1219" w:name="_Toc5347100"/>
      <w:bookmarkStart w:id="1220" w:name="_Toc5363653"/>
      <w:bookmarkStart w:id="1221" w:name="_Toc5364874"/>
      <w:r>
        <w:rPr>
          <w:rStyle w:val="CharDivNo"/>
        </w:rPr>
        <w:t>Part 4</w:t>
      </w:r>
      <w:r>
        <w:t xml:space="preserve"> — </w:t>
      </w:r>
      <w:r>
        <w:rPr>
          <w:rStyle w:val="CharDivText"/>
        </w:rPr>
        <w:t>Functions and powers of the NCC</w:t>
      </w:r>
      <w:bookmarkEnd w:id="1210"/>
      <w:bookmarkEnd w:id="1211"/>
      <w:bookmarkEnd w:id="1212"/>
      <w:bookmarkEnd w:id="1213"/>
      <w:bookmarkEnd w:id="1214"/>
      <w:bookmarkEnd w:id="1215"/>
      <w:bookmarkEnd w:id="1216"/>
      <w:bookmarkEnd w:id="1217"/>
      <w:bookmarkEnd w:id="1218"/>
      <w:bookmarkEnd w:id="1219"/>
      <w:bookmarkEnd w:id="1220"/>
      <w:bookmarkEnd w:id="1221"/>
    </w:p>
    <w:p>
      <w:pPr>
        <w:pStyle w:val="Heading5"/>
      </w:pPr>
      <w:bookmarkStart w:id="1222" w:name="_Toc53046035"/>
      <w:bookmarkStart w:id="1223" w:name="_Toc5364875"/>
      <w:r>
        <w:rPr>
          <w:rStyle w:val="CharSectno"/>
        </w:rPr>
        <w:t>89</w:t>
      </w:r>
      <w:r>
        <w:t>.</w:t>
      </w:r>
      <w:r>
        <w:tab/>
        <w:t>Functions and powers of NCC under this Law</w:t>
      </w:r>
      <w:bookmarkEnd w:id="1222"/>
      <w:bookmarkEnd w:id="122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has the functions and powers conferred on it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has power to do all things necessary or convenient to be done for or in connection with the performance of its functions.</w:t>
      </w:r>
    </w:p>
    <w:p>
      <w:pPr>
        <w:pStyle w:val="Heading5"/>
      </w:pPr>
      <w:bookmarkStart w:id="1224" w:name="_Toc53046036"/>
      <w:bookmarkStart w:id="1225" w:name="_Toc5364876"/>
      <w:r>
        <w:rPr>
          <w:rStyle w:val="CharSectno"/>
        </w:rPr>
        <w:t>90</w:t>
      </w:r>
      <w:r>
        <w:t>.</w:t>
      </w:r>
      <w:r>
        <w:tab/>
        <w:t>Confidentiality</w:t>
      </w:r>
      <w:bookmarkEnd w:id="1224"/>
      <w:bookmarkEnd w:id="122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take all reasonable measures to protect from unauthorised use or disclosure information given to it in confidence in, or in connection with, the performance of its functions or the exercise of its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disclosure of information as required or permitted by this Law, a law of the Commonwealth, a State or Territory is taken to be authorised use and disclosure of the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Disclosing information to 1 of the following is authorised use and disclosure of the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ERA;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staff or consultant assisting a body mentioned in paragraph (a) to (d) in performing its functions or exercising its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other person or body prescribed by the Regulations for the purpose of this paragraph.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or body to whom information is disclosed under subsection (3) may use the information for any purpose connected with the performance of the functions, or the exercise of the powers, of the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NCC may impose conditions to be complied with in relation to information disclosed under subsection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For the purposes of subsection (1), the use or disclosure of information by a person for the purposes of performing the person’s functions, or exercising the person’s powers,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Councillor or a person referred to in section 29M of the </w:t>
      </w:r>
      <w:r>
        <w:rPr>
          <w:i/>
          <w:iCs/>
          <w:color w:val="000000"/>
          <w:sz w:val="23"/>
          <w:szCs w:val="23"/>
        </w:rPr>
        <w:t>Trade Practices Act 1974</w:t>
      </w:r>
      <w:r>
        <w:rPr>
          <w:color w:val="000000"/>
          <w:sz w:val="23"/>
          <w:szCs w:val="23"/>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 is authorised to perform or exercise a function or power of, or on behalf of, the NCC,</w:t>
      </w:r>
    </w:p>
    <w:p>
      <w:pPr>
        <w:keepLines/>
        <w:autoSpaceDE w:val="0"/>
        <w:autoSpaceDN w:val="0"/>
        <w:adjustRightInd w:val="0"/>
        <w:spacing w:before="120"/>
        <w:ind w:left="1588"/>
        <w:rPr>
          <w:color w:val="000000"/>
          <w:sz w:val="23"/>
          <w:szCs w:val="23"/>
        </w:rPr>
      </w:pPr>
      <w:r>
        <w:rPr>
          <w:color w:val="000000"/>
          <w:sz w:val="23"/>
          <w:szCs w:val="23"/>
        </w:rPr>
        <w:t>is taken to be authorised use and disclosure of the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Regulations made for the purposes of this section may specify uses of information and disclosures of information that are authorised uses and authorised disclosures for the purposes of this section.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Nothing in any of the above subsections limits—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anything else in any of those subsections;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what may otherwise constitute, for the purposes of subsection (1), authorised use or disclosure of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Councillor</w:t>
      </w:r>
      <w:r>
        <w:rPr>
          <w:color w:val="000000"/>
          <w:sz w:val="23"/>
          <w:szCs w:val="23"/>
        </w:rPr>
        <w:t xml:space="preserve"> has the same meaning as in the </w:t>
      </w:r>
      <w:r>
        <w:rPr>
          <w:i/>
          <w:iCs/>
          <w:color w:val="000000"/>
          <w:sz w:val="23"/>
          <w:szCs w:val="23"/>
        </w:rPr>
        <w:t>Trade Practices Act 1974</w:t>
      </w:r>
      <w:r>
        <w:rPr>
          <w:color w:val="000000"/>
          <w:sz w:val="23"/>
          <w:szCs w:val="23"/>
        </w:rPr>
        <w:t xml:space="preserve"> of the Commonwealth.</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2.</w:t>
      </w:r>
    </w:p>
    <w:p>
      <w:pPr>
        <w:pStyle w:val="Heading3"/>
      </w:pPr>
      <w:bookmarkStart w:id="1226" w:name="_Toc52954343"/>
      <w:bookmarkStart w:id="1227" w:name="_Toc52955639"/>
      <w:bookmarkStart w:id="1228" w:name="_Toc52957138"/>
      <w:bookmarkStart w:id="1229" w:name="_Toc52957921"/>
      <w:bookmarkStart w:id="1230" w:name="_Toc53045254"/>
      <w:bookmarkStart w:id="1231" w:name="_Toc53046037"/>
      <w:bookmarkStart w:id="1232" w:name="_Toc501633954"/>
      <w:bookmarkStart w:id="1233" w:name="_Toc501712850"/>
      <w:bookmarkStart w:id="1234" w:name="_Toc536782045"/>
      <w:bookmarkStart w:id="1235" w:name="_Toc5347103"/>
      <w:bookmarkStart w:id="1236" w:name="_Toc5363656"/>
      <w:bookmarkStart w:id="1237" w:name="_Toc5364877"/>
      <w:r>
        <w:rPr>
          <w:rStyle w:val="CharDivNo"/>
        </w:rPr>
        <w:t>Part 5</w:t>
      </w:r>
      <w:r>
        <w:t xml:space="preserve"> — </w:t>
      </w:r>
      <w:r>
        <w:rPr>
          <w:rStyle w:val="CharDivText"/>
        </w:rPr>
        <w:t>Functions and powers of Tribunal</w:t>
      </w:r>
      <w:bookmarkEnd w:id="1226"/>
      <w:bookmarkEnd w:id="1227"/>
      <w:bookmarkEnd w:id="1228"/>
      <w:bookmarkEnd w:id="1229"/>
      <w:bookmarkEnd w:id="1230"/>
      <w:bookmarkEnd w:id="1231"/>
      <w:bookmarkEnd w:id="1232"/>
      <w:bookmarkEnd w:id="1233"/>
      <w:bookmarkEnd w:id="1234"/>
      <w:bookmarkEnd w:id="1235"/>
      <w:bookmarkEnd w:id="1236"/>
      <w:bookmarkEnd w:id="1237"/>
    </w:p>
    <w:p>
      <w:pPr>
        <w:pStyle w:val="Heading5"/>
      </w:pPr>
      <w:bookmarkStart w:id="1238" w:name="_Toc53046038"/>
      <w:bookmarkStart w:id="1239" w:name="_Toc5364878"/>
      <w:r>
        <w:rPr>
          <w:rStyle w:val="CharSectno"/>
        </w:rPr>
        <w:t>91</w:t>
      </w:r>
      <w:r>
        <w:t>.</w:t>
      </w:r>
      <w:r>
        <w:tab/>
        <w:t>Functions and powers of Tribunal under this Law</w:t>
      </w:r>
      <w:bookmarkEnd w:id="1238"/>
      <w:bookmarkEnd w:id="123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has the functions and powers conferred on it under Chapter 8 Part 5 and any Regulations made for the purposes of that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has power to do all things necessary or convenient to be done for or in connection with the performance of its functions.</w:t>
      </w:r>
    </w:p>
    <w:p>
      <w:pPr>
        <w:pStyle w:val="Heading2"/>
      </w:pPr>
      <w:bookmarkStart w:id="1240" w:name="_Toc52954345"/>
      <w:bookmarkStart w:id="1241" w:name="_Toc52955641"/>
      <w:bookmarkStart w:id="1242" w:name="_Toc52957140"/>
      <w:bookmarkStart w:id="1243" w:name="_Toc52957923"/>
      <w:bookmarkStart w:id="1244" w:name="_Toc53045256"/>
      <w:bookmarkStart w:id="1245" w:name="_Toc53046039"/>
      <w:bookmarkStart w:id="1246" w:name="_Toc501633956"/>
      <w:bookmarkStart w:id="1247" w:name="_Toc501712852"/>
      <w:bookmarkStart w:id="1248" w:name="_Toc536782047"/>
      <w:bookmarkStart w:id="1249" w:name="_Toc5347105"/>
      <w:bookmarkStart w:id="1250" w:name="_Toc5363658"/>
      <w:bookmarkStart w:id="1251" w:name="_Toc5364879"/>
      <w:r>
        <w:rPr>
          <w:rStyle w:val="CharPartNo"/>
        </w:rPr>
        <w:t>Chapter 3</w:t>
      </w:r>
      <w:r>
        <w:t xml:space="preserve"> — </w:t>
      </w:r>
      <w:r>
        <w:rPr>
          <w:rStyle w:val="CharPartText"/>
        </w:rPr>
        <w:t>Coverage and classification of pipelines</w:t>
      </w:r>
      <w:bookmarkEnd w:id="1240"/>
      <w:bookmarkEnd w:id="1241"/>
      <w:bookmarkEnd w:id="1242"/>
      <w:bookmarkEnd w:id="1243"/>
      <w:bookmarkEnd w:id="1244"/>
      <w:bookmarkEnd w:id="1245"/>
      <w:bookmarkEnd w:id="1246"/>
      <w:bookmarkEnd w:id="1247"/>
      <w:bookmarkEnd w:id="1248"/>
      <w:bookmarkEnd w:id="1249"/>
      <w:bookmarkEnd w:id="1250"/>
      <w:bookmarkEnd w:id="1251"/>
    </w:p>
    <w:p>
      <w:pPr>
        <w:pStyle w:val="Heading3"/>
      </w:pPr>
      <w:bookmarkStart w:id="1252" w:name="_Toc52954346"/>
      <w:bookmarkStart w:id="1253" w:name="_Toc52955642"/>
      <w:bookmarkStart w:id="1254" w:name="_Toc52957141"/>
      <w:bookmarkStart w:id="1255" w:name="_Toc52957924"/>
      <w:bookmarkStart w:id="1256" w:name="_Toc53045257"/>
      <w:bookmarkStart w:id="1257" w:name="_Toc53046040"/>
      <w:bookmarkStart w:id="1258" w:name="_Toc501633957"/>
      <w:bookmarkStart w:id="1259" w:name="_Toc501712853"/>
      <w:bookmarkStart w:id="1260" w:name="_Toc536782048"/>
      <w:bookmarkStart w:id="1261" w:name="_Toc5347106"/>
      <w:bookmarkStart w:id="1262" w:name="_Toc5363659"/>
      <w:bookmarkStart w:id="1263" w:name="_Toc5364880"/>
      <w:r>
        <w:rPr>
          <w:rStyle w:val="CharDivNo"/>
        </w:rPr>
        <w:t>Part 1</w:t>
      </w:r>
      <w:r>
        <w:t xml:space="preserve"> — </w:t>
      </w:r>
      <w:r>
        <w:rPr>
          <w:rStyle w:val="CharDivText"/>
        </w:rPr>
        <w:t>Coverage of pipelines</w:t>
      </w:r>
      <w:bookmarkEnd w:id="1252"/>
      <w:bookmarkEnd w:id="1253"/>
      <w:bookmarkEnd w:id="1254"/>
      <w:bookmarkEnd w:id="1255"/>
      <w:bookmarkEnd w:id="1256"/>
      <w:bookmarkEnd w:id="1257"/>
      <w:bookmarkEnd w:id="1258"/>
      <w:bookmarkEnd w:id="1259"/>
      <w:bookmarkEnd w:id="1260"/>
      <w:bookmarkEnd w:id="1261"/>
      <w:bookmarkEnd w:id="1262"/>
      <w:bookmarkEnd w:id="1263"/>
    </w:p>
    <w:p>
      <w:pPr>
        <w:pStyle w:val="Heading4"/>
      </w:pPr>
      <w:bookmarkStart w:id="1264" w:name="_Toc52954347"/>
      <w:bookmarkStart w:id="1265" w:name="_Toc52955643"/>
      <w:bookmarkStart w:id="1266" w:name="_Toc52957142"/>
      <w:bookmarkStart w:id="1267" w:name="_Toc52957925"/>
      <w:bookmarkStart w:id="1268" w:name="_Toc53045258"/>
      <w:bookmarkStart w:id="1269" w:name="_Toc53046041"/>
      <w:bookmarkStart w:id="1270" w:name="_Toc501633958"/>
      <w:bookmarkStart w:id="1271" w:name="_Toc501712854"/>
      <w:bookmarkStart w:id="1272" w:name="_Toc536782049"/>
      <w:bookmarkStart w:id="1273" w:name="_Toc5347107"/>
      <w:bookmarkStart w:id="1274" w:name="_Toc5363660"/>
      <w:bookmarkStart w:id="1275" w:name="_Toc5364881"/>
      <w:r>
        <w:t>Division 1 — Coverage determinations</w:t>
      </w:r>
      <w:bookmarkEnd w:id="1264"/>
      <w:bookmarkEnd w:id="1265"/>
      <w:bookmarkEnd w:id="1266"/>
      <w:bookmarkEnd w:id="1267"/>
      <w:bookmarkEnd w:id="1268"/>
      <w:bookmarkEnd w:id="1269"/>
      <w:bookmarkEnd w:id="1270"/>
      <w:bookmarkEnd w:id="1271"/>
      <w:bookmarkEnd w:id="1272"/>
      <w:bookmarkEnd w:id="1273"/>
      <w:bookmarkEnd w:id="1274"/>
      <w:bookmarkEnd w:id="1275"/>
    </w:p>
    <w:p>
      <w:pPr>
        <w:pStyle w:val="Heading5"/>
      </w:pPr>
      <w:bookmarkStart w:id="1276" w:name="_Toc53046042"/>
      <w:bookmarkStart w:id="1277" w:name="_Toc5364882"/>
      <w:r>
        <w:rPr>
          <w:rStyle w:val="CharSectno"/>
        </w:rPr>
        <w:t>92</w:t>
      </w:r>
      <w:r>
        <w:t>.</w:t>
      </w:r>
      <w:r>
        <w:tab/>
        <w:t>Application for recommendation that a pipeline be a covered pipeline</w:t>
      </w:r>
      <w:bookmarkEnd w:id="1276"/>
      <w:bookmarkEnd w:id="127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Any person may apply for a determination that a pipeline be a covered pipeline (a </w:t>
      </w:r>
      <w:r>
        <w:rPr>
          <w:rStyle w:val="CharDefText"/>
          <w:bCs/>
          <w:sz w:val="23"/>
        </w:rPr>
        <w:t>coverage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accompanied by the fee prescribed by the Regulations (if any).</w:t>
      </w:r>
    </w:p>
    <w:p>
      <w:pPr>
        <w:pStyle w:val="Heading5"/>
      </w:pPr>
      <w:bookmarkStart w:id="1278" w:name="_Toc53046043"/>
      <w:bookmarkStart w:id="1279" w:name="_Toc5364883"/>
      <w:r>
        <w:rPr>
          <w:rStyle w:val="CharSectno"/>
        </w:rPr>
        <w:t>93</w:t>
      </w:r>
      <w:r>
        <w:t>.</w:t>
      </w:r>
      <w:r>
        <w:tab/>
        <w:t>Application to be dealt with in accordance with the Rules</w:t>
      </w:r>
      <w:bookmarkEnd w:id="1278"/>
      <w:bookmarkEnd w:id="1279"/>
    </w:p>
    <w:p>
      <w:pPr>
        <w:keepLines/>
        <w:autoSpaceDE w:val="0"/>
        <w:autoSpaceDN w:val="0"/>
        <w:adjustRightInd w:val="0"/>
        <w:spacing w:before="120"/>
        <w:ind w:left="1588"/>
        <w:rPr>
          <w:color w:val="000000"/>
          <w:sz w:val="23"/>
          <w:szCs w:val="23"/>
        </w:rPr>
      </w:pPr>
      <w:r>
        <w:rPr>
          <w:color w:val="000000"/>
          <w:sz w:val="23"/>
          <w:szCs w:val="23"/>
        </w:rPr>
        <w:t>Subject to section 94, on receiving an application under section 92 the NCC must deal with it in accordance with the Rules.</w:t>
      </w:r>
    </w:p>
    <w:p>
      <w:pPr>
        <w:pStyle w:val="Heading5"/>
        <w:keepNext w:val="0"/>
        <w:keepLines w:val="0"/>
        <w:rPr>
          <w:bCs/>
          <w:color w:val="000000"/>
          <w:sz w:val="26"/>
          <w:szCs w:val="26"/>
        </w:rPr>
      </w:pPr>
      <w:bookmarkStart w:id="1280" w:name="_Toc53046044"/>
      <w:bookmarkStart w:id="1281" w:name="_Toc5364884"/>
      <w:r>
        <w:rPr>
          <w:rStyle w:val="CharSectno"/>
        </w:rPr>
        <w:t>94</w:t>
      </w:r>
      <w:r>
        <w:t>.</w:t>
      </w:r>
      <w:r>
        <w:tab/>
        <w:t>NCC may defer consideration of application in</w:t>
      </w:r>
      <w:r>
        <w:rPr>
          <w:bCs/>
          <w:color w:val="000000"/>
          <w:sz w:val="26"/>
          <w:szCs w:val="26"/>
        </w:rPr>
        <w:t xml:space="preserve"> certain cases</w:t>
      </w:r>
      <w:bookmarkEnd w:id="1280"/>
      <w:bookmarkEnd w:id="1281"/>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an application under section 92 is made in relation to a proposed pipeline after—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has been made to the AER under the Rules for the approval, by the AER, of the tender process for the construction and operation of the proposed pipeline as a competitive tender process;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tender approval decision has been made in respect of the tender process for the construction and operation of the proposed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may defer consideration of whether to make a recommendation in respect of the application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application for the approval, by the AER, of the tender process for the construction and operation of the proposed pipeline as a competitive tender process has been rejected by the AER under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tender approval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has been revoked under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has lapsed as provided under the Rules.</w:t>
      </w:r>
    </w:p>
    <w:p>
      <w:pPr>
        <w:pStyle w:val="Heading5"/>
      </w:pPr>
      <w:bookmarkStart w:id="1282" w:name="_Toc53046045"/>
      <w:bookmarkStart w:id="1283" w:name="_Toc5364885"/>
      <w:r>
        <w:rPr>
          <w:rStyle w:val="CharSectno"/>
        </w:rPr>
        <w:t>95</w:t>
      </w:r>
      <w:r>
        <w:t>.</w:t>
      </w:r>
      <w:r>
        <w:tab/>
        <w:t>NCC coverage recommendation</w:t>
      </w:r>
      <w:bookmarkEnd w:id="1282"/>
      <w:bookmarkEnd w:id="128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sections 94 and 96, the NCC must recommend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 be a covered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Chapter 3 Part 2 Division 1 Subdivision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from the outcome sought in the application under section 92.</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determination that the whole of a pipeline be a covered pipeline. The NCC may recommend that only a part of the pipeline the subject of the application be covered or may recommend that the pipeline not be covered.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1284" w:name="_Toc53046046"/>
      <w:bookmarkStart w:id="1285" w:name="_Toc5364886"/>
      <w:r>
        <w:rPr>
          <w:rStyle w:val="CharSectno"/>
        </w:rPr>
        <w:t>96</w:t>
      </w:r>
      <w:r>
        <w:t>.</w:t>
      </w:r>
      <w:r>
        <w:tab/>
        <w:t>NCC must not make coverage recommendation if tender approval decision becomes irrevocable</w:t>
      </w:r>
      <w:bookmarkEnd w:id="1284"/>
      <w:bookmarkEnd w:id="1285"/>
    </w:p>
    <w:p>
      <w:pPr>
        <w:keepNext/>
        <w:keepLines/>
        <w:autoSpaceDE w:val="0"/>
        <w:autoSpaceDN w:val="0"/>
        <w:adjustRightInd w:val="0"/>
        <w:spacing w:before="120"/>
        <w:ind w:left="1588"/>
        <w:rPr>
          <w:color w:val="000000"/>
          <w:sz w:val="23"/>
          <w:szCs w:val="23"/>
        </w:rPr>
      </w:pPr>
      <w:r>
        <w:rPr>
          <w:color w:val="000000"/>
          <w:sz w:val="23"/>
          <w:szCs w:val="23"/>
        </w:rPr>
        <w:t>Despite anything to the contrary in this Division,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make a recommendation under section 95 if the pipeline is the subject of a tender approval decision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has not lapsed as provided under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not revoked under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for the purposes of paragraph (a), treat the application as having never been made.</w:t>
      </w:r>
    </w:p>
    <w:p>
      <w:pPr>
        <w:pStyle w:val="Heading5"/>
      </w:pPr>
      <w:bookmarkStart w:id="1286" w:name="_Toc53046047"/>
      <w:bookmarkStart w:id="1287" w:name="_Toc5364887"/>
      <w:r>
        <w:rPr>
          <w:rStyle w:val="CharSectno"/>
        </w:rPr>
        <w:t>97</w:t>
      </w:r>
      <w:r>
        <w:t>.</w:t>
      </w:r>
      <w:r>
        <w:tab/>
        <w:t>Principles governing the making of a coverage recommendation</w:t>
      </w:r>
      <w:bookmarkEnd w:id="1286"/>
      <w:bookmarkEnd w:id="128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coverage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pipeline—the recommendation must be in favour of the pipeline being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pipeline—the recommendation must be against the pipeline being a covered pipeline.</w:t>
      </w:r>
    </w:p>
    <w:p>
      <w:pPr>
        <w:pStyle w:val="Heading5"/>
      </w:pPr>
      <w:bookmarkStart w:id="1288" w:name="_Toc53046048"/>
      <w:bookmarkStart w:id="1289" w:name="_Toc5364888"/>
      <w:r>
        <w:rPr>
          <w:rStyle w:val="CharSectno"/>
        </w:rPr>
        <w:t>98</w:t>
      </w:r>
      <w:r>
        <w:t>.</w:t>
      </w:r>
      <w:r>
        <w:tab/>
        <w:t>Initial classification decision to be made as part of recommendation</w:t>
      </w:r>
      <w:bookmarkEnd w:id="1288"/>
      <w:bookmarkEnd w:id="128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as part of a coverage recommendation, classify the pipeline the subject of an application under section 92 as a transmission pipeline or a distribution pipeline (an </w:t>
      </w:r>
      <w:r>
        <w:rPr>
          <w:rStyle w:val="CharDefText"/>
          <w:bCs/>
          <w:sz w:val="23"/>
        </w:rPr>
        <w:t>initial classification decision</w:t>
      </w:r>
      <w:r>
        <w:rPr>
          <w:color w:val="000000"/>
          <w:sz w:val="23"/>
          <w:szCs w:val="23"/>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also determine, as part of an initial classification decision, the participating jurisdiction with which the pipeline the subject of the application under section 92 is most closely connected if the NCC determines the pipeline is also a cross boundary distribution pipeline. In doing so, the NCC must apply the pipeline classification criterion.</w:t>
      </w:r>
    </w:p>
    <w:p>
      <w:pPr>
        <w:pStyle w:val="Heading5"/>
      </w:pPr>
      <w:bookmarkStart w:id="1290" w:name="_Toc53046049"/>
      <w:bookmarkStart w:id="1291" w:name="_Toc5364889"/>
      <w:r>
        <w:rPr>
          <w:rStyle w:val="CharSectno"/>
        </w:rPr>
        <w:t>99</w:t>
      </w:r>
      <w:r>
        <w:t>.</w:t>
      </w:r>
      <w:r>
        <w:tab/>
        <w:t>Relevant Minister’s determination on application</w:t>
      </w:r>
      <w:bookmarkEnd w:id="1290"/>
      <w:bookmarkEnd w:id="129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coverage recommendation, the relevant Minister must decide whether to make a 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20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92.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coverage determination or a decision not to make a coverage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the case of a coverage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92;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coverage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determination that the whole of a pipeline be a covered pipeline. The NCC may recommend that only a part of the pipeline the subject of the application be covered. The relevant Minister may determine that different parts of the pipeline to those recommended by the NCC be covered.</w:t>
      </w:r>
    </w:p>
    <w:p>
      <w:pPr>
        <w:pStyle w:val="Heading5"/>
      </w:pPr>
      <w:bookmarkStart w:id="1292" w:name="_Toc53046050"/>
      <w:bookmarkStart w:id="1293" w:name="_Toc5364890"/>
      <w:r>
        <w:rPr>
          <w:rStyle w:val="CharSectno"/>
        </w:rPr>
        <w:t>100</w:t>
      </w:r>
      <w:r>
        <w:t>.</w:t>
      </w:r>
      <w:r>
        <w:tab/>
        <w:t>Principles governing the making of a coverage determination or decision not to do so</w:t>
      </w:r>
      <w:bookmarkEnd w:id="1292"/>
      <w:bookmarkEnd w:id="129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coverage determination under this Division,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coverage recommendation;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99(4);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relevant Minister is satisfied that all the pipeline coverage criteria are satisfied in relation to the pipeline—the Minister must make 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relevant Minister is not satisfied that all the pipeline coverage criteria are satisfied in relation to the pipeline—the Minister must not make a coverage determination.</w:t>
      </w:r>
    </w:p>
    <w:p>
      <w:pPr>
        <w:pStyle w:val="Heading5"/>
      </w:pPr>
      <w:bookmarkStart w:id="1294" w:name="_Toc53046051"/>
      <w:bookmarkStart w:id="1295" w:name="_Toc5364891"/>
      <w:r>
        <w:rPr>
          <w:rStyle w:val="CharSectno"/>
        </w:rPr>
        <w:t>101</w:t>
      </w:r>
      <w:r>
        <w:t>.</w:t>
      </w:r>
      <w:r>
        <w:tab/>
        <w:t>Operation and effect of coverage determination</w:t>
      </w:r>
      <w:bookmarkEnd w:id="1294"/>
      <w:bookmarkEnd w:id="1295"/>
    </w:p>
    <w:p>
      <w:pPr>
        <w:keepNext/>
        <w:keepLines/>
        <w:autoSpaceDE w:val="0"/>
        <w:autoSpaceDN w:val="0"/>
        <w:adjustRightInd w:val="0"/>
        <w:spacing w:before="120"/>
        <w:ind w:left="1588"/>
        <w:rPr>
          <w:color w:val="000000"/>
          <w:sz w:val="23"/>
          <w:szCs w:val="23"/>
        </w:rPr>
      </w:pPr>
      <w:r>
        <w:rPr>
          <w:color w:val="000000"/>
          <w:sz w:val="23"/>
          <w:szCs w:val="23"/>
        </w:rPr>
        <w:t>The pipeline the subject of a coverage determination becomes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when the coverage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continues to be a covered pipeline while the coverage determination remains in effect.</w:t>
      </w:r>
    </w:p>
    <w:p>
      <w:pPr>
        <w:pStyle w:val="Heading4"/>
      </w:pPr>
      <w:bookmarkStart w:id="1296" w:name="_Toc52954358"/>
      <w:bookmarkStart w:id="1297" w:name="_Toc52955654"/>
      <w:bookmarkStart w:id="1298" w:name="_Toc52957153"/>
      <w:bookmarkStart w:id="1299" w:name="_Toc52957936"/>
      <w:bookmarkStart w:id="1300" w:name="_Toc53045269"/>
      <w:bookmarkStart w:id="1301" w:name="_Toc53046052"/>
      <w:bookmarkStart w:id="1302" w:name="_Toc501633969"/>
      <w:bookmarkStart w:id="1303" w:name="_Toc501712865"/>
      <w:bookmarkStart w:id="1304" w:name="_Toc536782060"/>
      <w:bookmarkStart w:id="1305" w:name="_Toc5347118"/>
      <w:bookmarkStart w:id="1306" w:name="_Toc5363671"/>
      <w:bookmarkStart w:id="1307" w:name="_Toc5364892"/>
      <w:r>
        <w:t>Division 2 — Coverage revocation determinations</w:t>
      </w:r>
      <w:bookmarkEnd w:id="1296"/>
      <w:bookmarkEnd w:id="1297"/>
      <w:bookmarkEnd w:id="1298"/>
      <w:bookmarkEnd w:id="1299"/>
      <w:bookmarkEnd w:id="1300"/>
      <w:bookmarkEnd w:id="1301"/>
      <w:bookmarkEnd w:id="1302"/>
      <w:bookmarkEnd w:id="1303"/>
      <w:bookmarkEnd w:id="1304"/>
      <w:bookmarkEnd w:id="1305"/>
      <w:bookmarkEnd w:id="1306"/>
      <w:bookmarkEnd w:id="1307"/>
    </w:p>
    <w:p>
      <w:pPr>
        <w:pStyle w:val="Heading5"/>
      </w:pPr>
      <w:bookmarkStart w:id="1308" w:name="_Toc53046053"/>
      <w:bookmarkStart w:id="1309" w:name="_Toc5364893"/>
      <w:r>
        <w:rPr>
          <w:rStyle w:val="CharSectno"/>
        </w:rPr>
        <w:t>102</w:t>
      </w:r>
      <w:r>
        <w:t>.</w:t>
      </w:r>
      <w:r>
        <w:tab/>
        <w:t>Application for a determination that a pipeline no longer be a covered pipeline</w:t>
      </w:r>
      <w:bookmarkEnd w:id="1308"/>
      <w:bookmarkEnd w:id="130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Any person may apply for a determination that a covered pipeline no longer be a covered pipeline (a </w:t>
      </w:r>
      <w:r>
        <w:rPr>
          <w:rStyle w:val="CharDefText"/>
          <w:bCs/>
          <w:sz w:val="23"/>
        </w:rPr>
        <w:t>coverage revocation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accompanied by the fee prescribed by the Regulations (if any).</w:t>
      </w:r>
    </w:p>
    <w:p>
      <w:pPr>
        <w:pStyle w:val="Heading5"/>
      </w:pPr>
      <w:bookmarkStart w:id="1310" w:name="_Toc53046054"/>
      <w:bookmarkStart w:id="1311" w:name="_Toc5364894"/>
      <w:r>
        <w:rPr>
          <w:rStyle w:val="CharSectno"/>
        </w:rPr>
        <w:t>103</w:t>
      </w:r>
      <w:r>
        <w:t>.</w:t>
      </w:r>
      <w:r>
        <w:tab/>
        <w:t>Application to be dealt with in accordance with the Rules</w:t>
      </w:r>
      <w:bookmarkEnd w:id="1310"/>
      <w:bookmarkEnd w:id="1311"/>
    </w:p>
    <w:p>
      <w:pPr>
        <w:keepLines/>
        <w:autoSpaceDE w:val="0"/>
        <w:autoSpaceDN w:val="0"/>
        <w:adjustRightInd w:val="0"/>
        <w:spacing w:before="120"/>
        <w:ind w:left="1588"/>
        <w:rPr>
          <w:color w:val="000000"/>
          <w:sz w:val="23"/>
          <w:szCs w:val="23"/>
        </w:rPr>
      </w:pPr>
      <w:r>
        <w:rPr>
          <w:color w:val="000000"/>
          <w:sz w:val="23"/>
          <w:szCs w:val="23"/>
        </w:rPr>
        <w:t>On receiving an application under section 102, the NCC must deal with it in accordance with the Rules.</w:t>
      </w:r>
    </w:p>
    <w:p>
      <w:pPr>
        <w:pStyle w:val="Heading5"/>
      </w:pPr>
      <w:bookmarkStart w:id="1312" w:name="_Toc53046055"/>
      <w:bookmarkStart w:id="1313" w:name="_Toc5364895"/>
      <w:r>
        <w:rPr>
          <w:rStyle w:val="CharSectno"/>
        </w:rPr>
        <w:t>104</w:t>
      </w:r>
      <w:r>
        <w:t>.</w:t>
      </w:r>
      <w:r>
        <w:tab/>
        <w:t>NCC coverage revocation recommendation</w:t>
      </w:r>
      <w:bookmarkEnd w:id="1312"/>
      <w:bookmarkEnd w:id="131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to the relevant Minister as to whether the covered pipeline the subject of the application should continue to be a covered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119.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from the outcome sought in the application under section 102.</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 service provider may apply for a determination that revokes the coverage of the covered pipeline by means of which the provider provides pipeline services. The NCC may recommend that the coverage of the covered pipeline be only partly revoked or not be revoked.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1314" w:name="_Toc53046056"/>
      <w:bookmarkStart w:id="1315" w:name="_Toc5364896"/>
      <w:r>
        <w:rPr>
          <w:rStyle w:val="CharSectno"/>
        </w:rPr>
        <w:t>105</w:t>
      </w:r>
      <w:r>
        <w:t>.</w:t>
      </w:r>
      <w:r>
        <w:tab/>
        <w:t>Principles governing the making of a coverage revocation recommendation</w:t>
      </w:r>
      <w:bookmarkEnd w:id="1314"/>
      <w:bookmarkEnd w:id="131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coverage revocation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pipeline—the recommendation must be in favour of the pipeline continuing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pipeline—the recommendation must be in favour of the pipeline no longer being a covered pipeline.</w:t>
      </w:r>
    </w:p>
    <w:p>
      <w:pPr>
        <w:pStyle w:val="Heading5"/>
      </w:pPr>
      <w:bookmarkStart w:id="1316" w:name="_Toc53046057"/>
      <w:bookmarkStart w:id="1317" w:name="_Toc5364897"/>
      <w:r>
        <w:rPr>
          <w:rStyle w:val="CharSectno"/>
        </w:rPr>
        <w:t>106</w:t>
      </w:r>
      <w:r>
        <w:t>.</w:t>
      </w:r>
      <w:r>
        <w:tab/>
        <w:t>Relevant Minister’s determination on application</w:t>
      </w:r>
      <w:bookmarkEnd w:id="1316"/>
      <w:bookmarkEnd w:id="131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coverage revocation recommendation, the relevant Minister must decide whether to make a coverage revocation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20 business days after receiving the coverage revocation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102.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coverage revocation determination or a decision not to make a coverage revocation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the case of a coverage revocation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coverage revocation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102;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coverage revocation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 service provider may apply for a determination that revokes the coverage of the covered pipeline by means of which the provider provides pipeline services. The NCC may recommend that the coverage of the covered pipeline be only partly revoked. The relevant Minister may make a determination that revokes coverage of different parts of the covered pipeline to those parts in relation to which the NCC recommended coverage be revoked.</w:t>
      </w:r>
    </w:p>
    <w:p>
      <w:pPr>
        <w:pStyle w:val="Heading5"/>
        <w:keepNext w:val="0"/>
        <w:keepLines w:val="0"/>
        <w:spacing w:before="120"/>
      </w:pPr>
      <w:bookmarkStart w:id="1318" w:name="_Toc53046058"/>
      <w:bookmarkStart w:id="1319" w:name="_Toc5364898"/>
      <w:r>
        <w:rPr>
          <w:rStyle w:val="CharSectno"/>
        </w:rPr>
        <w:t>107</w:t>
      </w:r>
      <w:r>
        <w:t>.</w:t>
      </w:r>
      <w:r>
        <w:tab/>
        <w:t>Principles governing the making of a coverage revocation determination or decision not to do so</w:t>
      </w:r>
      <w:bookmarkEnd w:id="1318"/>
      <w:bookmarkEnd w:id="1319"/>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coverage revocation determination under this Division, the relevant Minister—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coverage revocation recommendation; and</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106(4);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relevant Minister is satisfied that all the pipeline coverage criteria are satisfied in relation to the pipeline—the Minister must not make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relevant Minister is not satisfied that all the pipeline coverage criteria are satisfied in relation to the pipeline—the Minister must make a coverage revocation determination.</w:t>
      </w:r>
    </w:p>
    <w:p>
      <w:pPr>
        <w:pStyle w:val="Heading5"/>
      </w:pPr>
      <w:bookmarkStart w:id="1320" w:name="_Toc53046059"/>
      <w:bookmarkStart w:id="1321" w:name="_Toc5364899"/>
      <w:r>
        <w:rPr>
          <w:rStyle w:val="CharSectno"/>
        </w:rPr>
        <w:t>108</w:t>
      </w:r>
      <w:r>
        <w:t>.</w:t>
      </w:r>
      <w:r>
        <w:tab/>
        <w:t>Operation and effect of coverage revocation determination</w:t>
      </w:r>
      <w:bookmarkEnd w:id="1320"/>
      <w:bookmarkEnd w:id="1321"/>
    </w:p>
    <w:p>
      <w:pPr>
        <w:keepLines/>
        <w:autoSpaceDE w:val="0"/>
        <w:autoSpaceDN w:val="0"/>
        <w:adjustRightInd w:val="0"/>
        <w:spacing w:before="120"/>
        <w:ind w:left="1588"/>
        <w:rPr>
          <w:color w:val="000000"/>
          <w:sz w:val="23"/>
          <w:szCs w:val="23"/>
        </w:rPr>
      </w:pPr>
      <w:r>
        <w:rPr>
          <w:color w:val="000000"/>
          <w:sz w:val="23"/>
          <w:szCs w:val="23"/>
        </w:rPr>
        <w:t>The pipeline the subject of a coverage revocation determination ceases to be a covered pipeline when the coverage revocation determination takes effect.</w:t>
      </w:r>
    </w:p>
    <w:p>
      <w:pPr>
        <w:pStyle w:val="Heading3"/>
      </w:pPr>
      <w:bookmarkStart w:id="1322" w:name="_Toc52954366"/>
      <w:bookmarkStart w:id="1323" w:name="_Toc52955662"/>
      <w:bookmarkStart w:id="1324" w:name="_Toc52957161"/>
      <w:bookmarkStart w:id="1325" w:name="_Toc52957944"/>
      <w:bookmarkStart w:id="1326" w:name="_Toc53045277"/>
      <w:bookmarkStart w:id="1327" w:name="_Toc53046060"/>
      <w:bookmarkStart w:id="1328" w:name="_Toc501633977"/>
      <w:bookmarkStart w:id="1329" w:name="_Toc501712873"/>
      <w:bookmarkStart w:id="1330" w:name="_Toc536782068"/>
      <w:bookmarkStart w:id="1331" w:name="_Toc5347126"/>
      <w:bookmarkStart w:id="1332" w:name="_Toc5363679"/>
      <w:bookmarkStart w:id="1333" w:name="_Toc5364900"/>
      <w:r>
        <w:rPr>
          <w:rStyle w:val="CharDivNo"/>
        </w:rPr>
        <w:t>Part 2</w:t>
      </w:r>
      <w:r>
        <w:t xml:space="preserve"> — </w:t>
      </w:r>
      <w:r>
        <w:rPr>
          <w:rStyle w:val="CharDivText"/>
        </w:rPr>
        <w:t>Light regulation of covered pipeline services</w:t>
      </w:r>
      <w:bookmarkEnd w:id="1322"/>
      <w:bookmarkEnd w:id="1323"/>
      <w:bookmarkEnd w:id="1324"/>
      <w:bookmarkEnd w:id="1325"/>
      <w:bookmarkEnd w:id="1326"/>
      <w:bookmarkEnd w:id="1327"/>
      <w:bookmarkEnd w:id="1328"/>
      <w:bookmarkEnd w:id="1329"/>
      <w:bookmarkEnd w:id="1330"/>
      <w:bookmarkEnd w:id="1331"/>
      <w:bookmarkEnd w:id="1332"/>
      <w:bookmarkEnd w:id="1333"/>
    </w:p>
    <w:p>
      <w:pPr>
        <w:pStyle w:val="Heading4"/>
      </w:pPr>
      <w:bookmarkStart w:id="1334" w:name="_Toc52954367"/>
      <w:bookmarkStart w:id="1335" w:name="_Toc52955663"/>
      <w:bookmarkStart w:id="1336" w:name="_Toc52957162"/>
      <w:bookmarkStart w:id="1337" w:name="_Toc52957945"/>
      <w:bookmarkStart w:id="1338" w:name="_Toc53045278"/>
      <w:bookmarkStart w:id="1339" w:name="_Toc53046061"/>
      <w:bookmarkStart w:id="1340" w:name="_Toc501633978"/>
      <w:bookmarkStart w:id="1341" w:name="_Toc501712874"/>
      <w:bookmarkStart w:id="1342" w:name="_Toc536782069"/>
      <w:bookmarkStart w:id="1343" w:name="_Toc5347127"/>
      <w:bookmarkStart w:id="1344" w:name="_Toc5363680"/>
      <w:bookmarkStart w:id="1345" w:name="_Toc5364901"/>
      <w:r>
        <w:t>Division 1 — Making of light regulation determinations</w:t>
      </w:r>
      <w:bookmarkEnd w:id="1334"/>
      <w:bookmarkEnd w:id="1335"/>
      <w:bookmarkEnd w:id="1336"/>
      <w:bookmarkEnd w:id="1337"/>
      <w:bookmarkEnd w:id="1338"/>
      <w:bookmarkEnd w:id="1339"/>
      <w:bookmarkEnd w:id="1340"/>
      <w:bookmarkEnd w:id="1341"/>
      <w:bookmarkEnd w:id="1342"/>
      <w:bookmarkEnd w:id="1343"/>
      <w:bookmarkEnd w:id="1344"/>
      <w:bookmarkEnd w:id="1345"/>
    </w:p>
    <w:p>
      <w:pPr>
        <w:pStyle w:val="Heading4"/>
      </w:pPr>
      <w:bookmarkStart w:id="1346" w:name="_Toc52954368"/>
      <w:bookmarkStart w:id="1347" w:name="_Toc52955664"/>
      <w:bookmarkStart w:id="1348" w:name="_Toc52957163"/>
      <w:bookmarkStart w:id="1349" w:name="_Toc52957946"/>
      <w:bookmarkStart w:id="1350" w:name="_Toc53045279"/>
      <w:bookmarkStart w:id="1351" w:name="_Toc53046062"/>
      <w:bookmarkStart w:id="1352" w:name="_Toc501633979"/>
      <w:bookmarkStart w:id="1353" w:name="_Toc501712875"/>
      <w:bookmarkStart w:id="1354" w:name="_Toc536782070"/>
      <w:bookmarkStart w:id="1355" w:name="_Toc5347128"/>
      <w:bookmarkStart w:id="1356" w:name="_Toc5363681"/>
      <w:bookmarkStart w:id="1357" w:name="_Toc5364902"/>
      <w:r>
        <w:t>Subdivision 1 — Decisions when pipeline is not a covered pipeline</w:t>
      </w:r>
      <w:bookmarkEnd w:id="1346"/>
      <w:bookmarkEnd w:id="1347"/>
      <w:bookmarkEnd w:id="1348"/>
      <w:bookmarkEnd w:id="1349"/>
      <w:bookmarkEnd w:id="1350"/>
      <w:bookmarkEnd w:id="1351"/>
      <w:bookmarkEnd w:id="1352"/>
      <w:bookmarkEnd w:id="1353"/>
      <w:bookmarkEnd w:id="1354"/>
      <w:bookmarkEnd w:id="1355"/>
      <w:bookmarkEnd w:id="1356"/>
      <w:bookmarkEnd w:id="1357"/>
    </w:p>
    <w:p>
      <w:pPr>
        <w:pStyle w:val="Heading5"/>
      </w:pPr>
      <w:bookmarkStart w:id="1358" w:name="_Toc53046063"/>
      <w:bookmarkStart w:id="1359" w:name="_Toc5364903"/>
      <w:r>
        <w:rPr>
          <w:rStyle w:val="CharSectno"/>
        </w:rPr>
        <w:t>109</w:t>
      </w:r>
      <w:r>
        <w:t>.</w:t>
      </w:r>
      <w:r>
        <w:tab/>
        <w:t>Application of Subdivision</w:t>
      </w:r>
      <w:bookmarkEnd w:id="1358"/>
      <w:bookmarkEnd w:id="1359"/>
    </w:p>
    <w:p>
      <w:pPr>
        <w:keepNext/>
        <w:keepLines/>
        <w:autoSpaceDE w:val="0"/>
        <w:autoSpaceDN w:val="0"/>
        <w:adjustRightInd w:val="0"/>
        <w:spacing w:before="120"/>
        <w:ind w:left="1588"/>
        <w:rPr>
          <w:color w:val="000000"/>
          <w:sz w:val="23"/>
          <w:szCs w:val="23"/>
        </w:rPr>
      </w:pPr>
      <w:r>
        <w:rPr>
          <w:color w:val="000000"/>
          <w:sz w:val="23"/>
          <w:szCs w:val="23"/>
        </w:rPr>
        <w:t>This Subdivision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has been made under section 92 for a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the subject of the application is not a designated pipeline.</w:t>
      </w:r>
    </w:p>
    <w:p>
      <w:pPr>
        <w:pStyle w:val="Heading5"/>
      </w:pPr>
      <w:bookmarkStart w:id="1360" w:name="_Toc53046064"/>
      <w:bookmarkStart w:id="1361" w:name="_Toc5364904"/>
      <w:r>
        <w:rPr>
          <w:rStyle w:val="CharSectno"/>
        </w:rPr>
        <w:t>110</w:t>
      </w:r>
      <w:r>
        <w:t>.</w:t>
      </w:r>
      <w:r>
        <w:tab/>
        <w:t>NCC’s decision on light regulation of pipeline services</w:t>
      </w:r>
      <w:bookmarkEnd w:id="1360"/>
      <w:bookmarkEnd w:id="136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decide whether to make a determination that the pipeline services provided or to be provided by means of the pipeline are light regulation services (a </w:t>
      </w:r>
      <w:r>
        <w:rPr>
          <w:rStyle w:val="CharDefText"/>
          <w:bCs/>
          <w:sz w:val="23"/>
        </w:rPr>
        <w:t>light regulation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make its decision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at the same time as it makes the coverage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time it must make the coverage recommendation.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attached to the coverage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If the NCC makes a light regulation determination, and the relevant Minister makes the coverage determination, the service provider may submit a limited access arrangement in respect of the light regulation services to the AER for approval: see section 116.</w:t>
      </w:r>
    </w:p>
    <w:p>
      <w:pPr>
        <w:pStyle w:val="Heading4"/>
      </w:pPr>
      <w:bookmarkStart w:id="1362" w:name="_Toc52954371"/>
      <w:bookmarkStart w:id="1363" w:name="_Toc52955667"/>
      <w:bookmarkStart w:id="1364" w:name="_Toc52957166"/>
      <w:bookmarkStart w:id="1365" w:name="_Toc52957949"/>
      <w:bookmarkStart w:id="1366" w:name="_Toc53045282"/>
      <w:bookmarkStart w:id="1367" w:name="_Toc53046065"/>
      <w:bookmarkStart w:id="1368" w:name="_Toc501633982"/>
      <w:bookmarkStart w:id="1369" w:name="_Toc501712878"/>
      <w:bookmarkStart w:id="1370" w:name="_Toc536782073"/>
      <w:bookmarkStart w:id="1371" w:name="_Toc5347131"/>
      <w:bookmarkStart w:id="1372" w:name="_Toc5363684"/>
      <w:bookmarkStart w:id="1373" w:name="_Toc5364905"/>
      <w:r>
        <w:t>Subdivision 2 — Decisions when pipeline is a covered pipeline</w:t>
      </w:r>
      <w:bookmarkEnd w:id="1362"/>
      <w:bookmarkEnd w:id="1363"/>
      <w:bookmarkEnd w:id="1364"/>
      <w:bookmarkEnd w:id="1365"/>
      <w:bookmarkEnd w:id="1366"/>
      <w:bookmarkEnd w:id="1367"/>
      <w:bookmarkEnd w:id="1368"/>
      <w:bookmarkEnd w:id="1369"/>
      <w:bookmarkEnd w:id="1370"/>
      <w:bookmarkEnd w:id="1371"/>
      <w:bookmarkEnd w:id="1372"/>
      <w:bookmarkEnd w:id="1373"/>
    </w:p>
    <w:p>
      <w:pPr>
        <w:pStyle w:val="Heading5"/>
      </w:pPr>
      <w:bookmarkStart w:id="1374" w:name="_Toc53046066"/>
      <w:bookmarkStart w:id="1375" w:name="_Toc5364906"/>
      <w:r>
        <w:rPr>
          <w:rStyle w:val="CharSectno"/>
        </w:rPr>
        <w:t>111</w:t>
      </w:r>
      <w:r>
        <w:t>.</w:t>
      </w:r>
      <w:r>
        <w:tab/>
        <w:t>Application of Subdivision</w:t>
      </w:r>
      <w:bookmarkEnd w:id="1374"/>
      <w:bookmarkEnd w:id="1375"/>
    </w:p>
    <w:p>
      <w:pPr>
        <w:keepNext/>
        <w:keepLines/>
        <w:autoSpaceDE w:val="0"/>
        <w:autoSpaceDN w:val="0"/>
        <w:adjustRightInd w:val="0"/>
        <w:spacing w:before="120"/>
        <w:ind w:left="1588"/>
        <w:rPr>
          <w:color w:val="000000"/>
          <w:sz w:val="23"/>
          <w:szCs w:val="23"/>
        </w:rPr>
      </w:pPr>
      <w:r>
        <w:rPr>
          <w:color w:val="000000"/>
          <w:sz w:val="23"/>
          <w:szCs w:val="23"/>
        </w:rPr>
        <w:t>This Subdivision applies if a service provider provides pipelines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a covered pipeline that is not a designated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an applicable access arrangement approved or made under a full access arrangement decision applies.</w:t>
      </w:r>
    </w:p>
    <w:p>
      <w:pPr>
        <w:pStyle w:val="Heading5"/>
      </w:pPr>
      <w:bookmarkStart w:id="1376" w:name="_Toc53046067"/>
      <w:bookmarkStart w:id="1377" w:name="_Toc5364907"/>
      <w:r>
        <w:rPr>
          <w:rStyle w:val="CharSectno"/>
        </w:rPr>
        <w:t>112</w:t>
      </w:r>
      <w:r>
        <w:t>.</w:t>
      </w:r>
      <w:r>
        <w:tab/>
        <w:t>Application</w:t>
      </w:r>
      <w:bookmarkEnd w:id="1376"/>
      <w:bookmarkEnd w:id="137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 service provider may apply to the NCC for a determination that pipeline services provided by the service provider by means of a covered pipeline be light regulation services (a </w:t>
      </w:r>
      <w:r>
        <w:rPr>
          <w:rStyle w:val="CharDefText"/>
          <w:bCs/>
          <w:sz w:val="23"/>
        </w:rPr>
        <w:t>light regulation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may only be made in respect of all of the pipeline services provided by means of the covered pipeline.</w:t>
      </w:r>
    </w:p>
    <w:p>
      <w:pPr>
        <w:pStyle w:val="Heading5"/>
      </w:pPr>
      <w:bookmarkStart w:id="1378" w:name="_Toc53046068"/>
      <w:bookmarkStart w:id="1379" w:name="_Toc5364908"/>
      <w:r>
        <w:rPr>
          <w:rStyle w:val="CharSectno"/>
        </w:rPr>
        <w:t>113</w:t>
      </w:r>
      <w:r>
        <w:t>.</w:t>
      </w:r>
      <w:r>
        <w:tab/>
        <w:t>Application to be dealt with in accordance with the Rules</w:t>
      </w:r>
      <w:bookmarkEnd w:id="1378"/>
      <w:bookmarkEnd w:id="1379"/>
    </w:p>
    <w:p>
      <w:pPr>
        <w:keepLines/>
        <w:autoSpaceDE w:val="0"/>
        <w:autoSpaceDN w:val="0"/>
        <w:adjustRightInd w:val="0"/>
        <w:spacing w:before="120"/>
        <w:ind w:left="1588"/>
        <w:rPr>
          <w:color w:val="000000"/>
          <w:sz w:val="23"/>
          <w:szCs w:val="23"/>
        </w:rPr>
      </w:pPr>
      <w:r>
        <w:rPr>
          <w:color w:val="000000"/>
          <w:sz w:val="23"/>
          <w:szCs w:val="23"/>
        </w:rPr>
        <w:t>On receiving an application under section 112, the NCC must deal with it in accordance with the Rules.</w:t>
      </w:r>
    </w:p>
    <w:p>
      <w:pPr>
        <w:pStyle w:val="Heading5"/>
      </w:pPr>
      <w:bookmarkStart w:id="1380" w:name="_Toc53046069"/>
      <w:bookmarkStart w:id="1381" w:name="_Toc5364909"/>
      <w:r>
        <w:rPr>
          <w:rStyle w:val="CharSectno"/>
        </w:rPr>
        <w:t>114</w:t>
      </w:r>
      <w:r>
        <w:t>.</w:t>
      </w:r>
      <w:r>
        <w:tab/>
        <w:t>NCC’s decision on light regulation of pipeline services</w:t>
      </w:r>
      <w:bookmarkEnd w:id="1380"/>
      <w:bookmarkEnd w:id="138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decide whether to make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112;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If the NCC makes a light regulation determination, the service provider may submit a limited access arrangement in respect of the light regulation services to the AER for approval: see section 116.</w:t>
      </w:r>
    </w:p>
    <w:p>
      <w:pPr>
        <w:pStyle w:val="Heading4"/>
      </w:pPr>
      <w:bookmarkStart w:id="1382" w:name="_Toc52954376"/>
      <w:bookmarkStart w:id="1383" w:name="_Toc52955672"/>
      <w:bookmarkStart w:id="1384" w:name="_Toc52957171"/>
      <w:bookmarkStart w:id="1385" w:name="_Toc52957954"/>
      <w:bookmarkStart w:id="1386" w:name="_Toc53045287"/>
      <w:bookmarkStart w:id="1387" w:name="_Toc53046070"/>
      <w:bookmarkStart w:id="1388" w:name="_Toc501633987"/>
      <w:bookmarkStart w:id="1389" w:name="_Toc501712883"/>
      <w:bookmarkStart w:id="1390" w:name="_Toc536782078"/>
      <w:bookmarkStart w:id="1391" w:name="_Toc5347136"/>
      <w:bookmarkStart w:id="1392" w:name="_Toc5363689"/>
      <w:bookmarkStart w:id="1393" w:name="_Toc5364910"/>
      <w:r>
        <w:t>Subdivision 3 — Operation and effect of light regulation determinations</w:t>
      </w:r>
      <w:bookmarkEnd w:id="1382"/>
      <w:bookmarkEnd w:id="1383"/>
      <w:bookmarkEnd w:id="1384"/>
      <w:bookmarkEnd w:id="1385"/>
      <w:bookmarkEnd w:id="1386"/>
      <w:bookmarkEnd w:id="1387"/>
      <w:bookmarkEnd w:id="1388"/>
      <w:bookmarkEnd w:id="1389"/>
      <w:bookmarkEnd w:id="1390"/>
      <w:bookmarkEnd w:id="1391"/>
      <w:bookmarkEnd w:id="1392"/>
      <w:bookmarkEnd w:id="1393"/>
    </w:p>
    <w:p>
      <w:pPr>
        <w:pStyle w:val="Heading5"/>
      </w:pPr>
      <w:bookmarkStart w:id="1394" w:name="_Toc53046071"/>
      <w:bookmarkStart w:id="1395" w:name="_Toc5364911"/>
      <w:r>
        <w:rPr>
          <w:rStyle w:val="CharSectno"/>
        </w:rPr>
        <w:t>115</w:t>
      </w:r>
      <w:r>
        <w:t>.</w:t>
      </w:r>
      <w:r>
        <w:tab/>
        <w:t>When light regulation determinations take effect</w:t>
      </w:r>
      <w:bookmarkEnd w:id="1394"/>
      <w:bookmarkEnd w:id="139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light regulation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light regulation determination made under Subdivision 1—on the day the relevant coverage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light regulation determination made under Subdivision 2—60 business days after the light regulation determination is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light regulation determination continues in operation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revoked by operation of section 117(5);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under section 119(2) or 120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it is revoked by operation of section 123(2);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it is revoked by operation of section 124.</w:t>
      </w:r>
    </w:p>
    <w:p>
      <w:pPr>
        <w:pStyle w:val="Heading5"/>
      </w:pPr>
      <w:bookmarkStart w:id="1396" w:name="_Toc53046072"/>
      <w:bookmarkStart w:id="1397" w:name="_Toc5364912"/>
      <w:r>
        <w:rPr>
          <w:rStyle w:val="CharSectno"/>
        </w:rPr>
        <w:t>116</w:t>
      </w:r>
      <w:r>
        <w:t>.</w:t>
      </w:r>
      <w:r>
        <w:tab/>
        <w:t>Submission of limited access arrangement for light regulation services</w:t>
      </w:r>
      <w:bookmarkEnd w:id="1396"/>
      <w:bookmarkEnd w:id="139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in respect of light regulation services the service provider provides or intends to provide,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service provider chooses to submit a limited access arrangement in accordance with subsection (1), the limited access arrangement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submit to the AER, for approval by the AER under the Rules, revisions to an applicable access arrangement that is a limited access arrangement and that applies to the light regulation services the provider provides—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specified by the Rules.</w:t>
      </w:r>
    </w:p>
    <w:p>
      <w:pPr>
        <w:pStyle w:val="Heading4"/>
      </w:pPr>
      <w:bookmarkStart w:id="1398" w:name="_Toc52954379"/>
      <w:bookmarkStart w:id="1399" w:name="_Toc52955675"/>
      <w:bookmarkStart w:id="1400" w:name="_Toc52957174"/>
      <w:bookmarkStart w:id="1401" w:name="_Toc52957957"/>
      <w:bookmarkStart w:id="1402" w:name="_Toc53045290"/>
      <w:bookmarkStart w:id="1403" w:name="_Toc53046073"/>
      <w:bookmarkStart w:id="1404" w:name="_Toc501633990"/>
      <w:bookmarkStart w:id="1405" w:name="_Toc501712886"/>
      <w:bookmarkStart w:id="1406" w:name="_Toc536782081"/>
      <w:bookmarkStart w:id="1407" w:name="_Toc5347139"/>
      <w:bookmarkStart w:id="1408" w:name="_Toc5363692"/>
      <w:bookmarkStart w:id="1409" w:name="_Toc5364913"/>
      <w:r>
        <w:t>Division 2 — Revocation of light regulation determinations</w:t>
      </w:r>
      <w:bookmarkEnd w:id="1398"/>
      <w:bookmarkEnd w:id="1399"/>
      <w:bookmarkEnd w:id="1400"/>
      <w:bookmarkEnd w:id="1401"/>
      <w:bookmarkEnd w:id="1402"/>
      <w:bookmarkEnd w:id="1403"/>
      <w:bookmarkEnd w:id="1404"/>
      <w:bookmarkEnd w:id="1405"/>
      <w:bookmarkEnd w:id="1406"/>
      <w:bookmarkEnd w:id="1407"/>
      <w:bookmarkEnd w:id="1408"/>
      <w:bookmarkEnd w:id="1409"/>
    </w:p>
    <w:p>
      <w:pPr>
        <w:pStyle w:val="Heading4"/>
      </w:pPr>
      <w:bookmarkStart w:id="1410" w:name="_Toc52954380"/>
      <w:bookmarkStart w:id="1411" w:name="_Toc52955676"/>
      <w:bookmarkStart w:id="1412" w:name="_Toc52957175"/>
      <w:bookmarkStart w:id="1413" w:name="_Toc52957958"/>
      <w:bookmarkStart w:id="1414" w:name="_Toc53045291"/>
      <w:bookmarkStart w:id="1415" w:name="_Toc53046074"/>
      <w:bookmarkStart w:id="1416" w:name="_Toc501633991"/>
      <w:bookmarkStart w:id="1417" w:name="_Toc501712887"/>
      <w:bookmarkStart w:id="1418" w:name="_Toc536782082"/>
      <w:bookmarkStart w:id="1419" w:name="_Toc5347140"/>
      <w:bookmarkStart w:id="1420" w:name="_Toc5363693"/>
      <w:bookmarkStart w:id="1421" w:name="_Toc5364914"/>
      <w:r>
        <w:t>Subdivision 1 — On advice from service providers</w:t>
      </w:r>
      <w:bookmarkEnd w:id="1410"/>
      <w:bookmarkEnd w:id="1411"/>
      <w:bookmarkEnd w:id="1412"/>
      <w:bookmarkEnd w:id="1413"/>
      <w:bookmarkEnd w:id="1414"/>
      <w:bookmarkEnd w:id="1415"/>
      <w:bookmarkEnd w:id="1416"/>
      <w:bookmarkEnd w:id="1417"/>
      <w:bookmarkEnd w:id="1418"/>
      <w:bookmarkEnd w:id="1419"/>
      <w:bookmarkEnd w:id="1420"/>
      <w:bookmarkEnd w:id="1421"/>
    </w:p>
    <w:p>
      <w:pPr>
        <w:pStyle w:val="Heading5"/>
      </w:pPr>
      <w:bookmarkStart w:id="1422" w:name="_Toc53046075"/>
      <w:bookmarkStart w:id="1423" w:name="_Toc5364915"/>
      <w:r>
        <w:rPr>
          <w:rStyle w:val="CharSectno"/>
        </w:rPr>
        <w:t>117</w:t>
      </w:r>
      <w:r>
        <w:t>.</w:t>
      </w:r>
      <w:r>
        <w:tab/>
        <w:t>Advice by service provider that light regulation services should cease to be light regulation services</w:t>
      </w:r>
      <w:bookmarkEnd w:id="1422"/>
      <w:bookmarkEnd w:id="142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advise the NCC that it wishes that the pipeline services it provides cease to be light regulation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advice under subsection (1) must be in writing.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an advice under subsection (1), the NCC must, without delay, publish notice of receipt of that advice—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on its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 newspaper circulating generally throughout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On publication of a notice under subsection (3) the service provider must comply with section 132.</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light regulation determination applying to the pipeline services is, by force of this section, revoked on the same day that an access arrangement that applies to the pipeline services provided by that service provider is, as the case requires,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 the revocation of the light regulation determination the pipeline services to which the light regulation determination applied cease to be light regulation services.</w:t>
      </w:r>
    </w:p>
    <w:p>
      <w:pPr>
        <w:pStyle w:val="Heading4"/>
      </w:pPr>
      <w:bookmarkStart w:id="1424" w:name="_Toc52954382"/>
      <w:bookmarkStart w:id="1425" w:name="_Toc52955678"/>
      <w:bookmarkStart w:id="1426" w:name="_Toc52957177"/>
      <w:bookmarkStart w:id="1427" w:name="_Toc52957960"/>
      <w:bookmarkStart w:id="1428" w:name="_Toc53045293"/>
      <w:bookmarkStart w:id="1429" w:name="_Toc53046076"/>
      <w:bookmarkStart w:id="1430" w:name="_Toc501633993"/>
      <w:bookmarkStart w:id="1431" w:name="_Toc501712889"/>
      <w:bookmarkStart w:id="1432" w:name="_Toc536782084"/>
      <w:bookmarkStart w:id="1433" w:name="_Toc5347142"/>
      <w:bookmarkStart w:id="1434" w:name="_Toc5363695"/>
      <w:bookmarkStart w:id="1435" w:name="_Toc5364916"/>
      <w:r>
        <w:t>Subdivision 2 — On application by persons other than service providers</w:t>
      </w:r>
      <w:bookmarkEnd w:id="1424"/>
      <w:bookmarkEnd w:id="1425"/>
      <w:bookmarkEnd w:id="1426"/>
      <w:bookmarkEnd w:id="1427"/>
      <w:bookmarkEnd w:id="1428"/>
      <w:bookmarkEnd w:id="1429"/>
      <w:bookmarkEnd w:id="1430"/>
      <w:bookmarkEnd w:id="1431"/>
      <w:bookmarkEnd w:id="1432"/>
      <w:bookmarkEnd w:id="1433"/>
      <w:bookmarkEnd w:id="1434"/>
      <w:bookmarkEnd w:id="1435"/>
    </w:p>
    <w:p>
      <w:pPr>
        <w:pStyle w:val="Heading5"/>
      </w:pPr>
      <w:bookmarkStart w:id="1436" w:name="_Toc53046077"/>
      <w:bookmarkStart w:id="1437" w:name="_Toc5364917"/>
      <w:r>
        <w:rPr>
          <w:rStyle w:val="CharSectno"/>
        </w:rPr>
        <w:t>118</w:t>
      </w:r>
      <w:r>
        <w:t>.</w:t>
      </w:r>
      <w:r>
        <w:tab/>
        <w:t>Application (other than by service provider) for revocation of light regulation determinations</w:t>
      </w:r>
      <w:bookmarkEnd w:id="1436"/>
      <w:bookmarkEnd w:id="143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(other than the service provider who provides light regulation services) may apply to the NCC for the revocation of a light regulation determination relating to those services.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under subsection (1)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pStyle w:val="Heading5"/>
      </w:pPr>
      <w:bookmarkStart w:id="1438" w:name="_Toc53046078"/>
      <w:bookmarkStart w:id="1439" w:name="_Toc5364918"/>
      <w:r>
        <w:rPr>
          <w:rStyle w:val="CharSectno"/>
        </w:rPr>
        <w:t>119</w:t>
      </w:r>
      <w:r>
        <w:t>.</w:t>
      </w:r>
      <w:r>
        <w:tab/>
        <w:t>Decisions on applications made around time of applications for coverage revocation determinations</w:t>
      </w:r>
      <w:bookmarkEnd w:id="1438"/>
      <w:bookmarkEnd w:id="143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application for a coverage revocation determination under section 102 under consideration—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respect of the covered pipeline by means of which the light regulation services the subject of the application under section 118 are provided;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respect of which the NCC has not made 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for a coverage revocation determination is made under section 102 in respect of the covered pipeline by means of which the light regulation services the subject of the application under section 118 are provided—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after the application under section 118; but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anything to the contrary in this Part, the NCC must make its decision in respect of the application under this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the application under section 118, the NCC must decide whether to revoke the light regulation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NCC must make its decision under subsection (3)—</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at the same time as it makes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time it must make the coverage revocation recommendation.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decision under subsection (3)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attached to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w:t>
      </w:r>
    </w:p>
    <w:p>
      <w:pPr>
        <w:pStyle w:val="Heading5"/>
      </w:pPr>
      <w:bookmarkStart w:id="1440" w:name="_Toc53046079"/>
      <w:bookmarkStart w:id="1441" w:name="_Toc5364919"/>
      <w:r>
        <w:rPr>
          <w:rStyle w:val="CharSectno"/>
        </w:rPr>
        <w:t>120</w:t>
      </w:r>
      <w:r>
        <w:t>.</w:t>
      </w:r>
      <w:r>
        <w:tab/>
        <w:t>NCC decision on application where no application for a coverage revocation recommendation</w:t>
      </w:r>
      <w:bookmarkEnd w:id="1440"/>
      <w:bookmarkEnd w:id="144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 application for a coverage revocation determination in respect of the covered pipeline (by means of which the light regulation services the subject of the application under section 118) are provided is made 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section, on receiving an application under section 118 the NCC must deal with it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decide whether to revoke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118;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pStyle w:val="Heading5"/>
        <w:keepLines w:val="0"/>
      </w:pPr>
      <w:bookmarkStart w:id="1442" w:name="_Toc53046080"/>
      <w:bookmarkStart w:id="1443" w:name="_Toc5364920"/>
      <w:r>
        <w:rPr>
          <w:rStyle w:val="CharSectno"/>
        </w:rPr>
        <w:t>121</w:t>
      </w:r>
      <w:r>
        <w:t>.</w:t>
      </w:r>
      <w:r>
        <w:tab/>
        <w:t>Operation and effect of decision of NCC under this Division</w:t>
      </w:r>
      <w:bookmarkEnd w:id="1442"/>
      <w:bookmarkEnd w:id="1443"/>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 124, on the making of a decision under section 119(2) or 120 revoking a light regulation determination, the service provider must comply with section 132.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decision under section 119(2) or 120 revoking a light regulation determination does not take effect until an access arrangement that applies to the pipeline services provided by that service provider is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effect of a decision under section 119(2) or 120 revoking a light regulation determination is that the pipeline services to which the light regulation determination applied cease to be light regulation services.</w:t>
      </w:r>
    </w:p>
    <w:p>
      <w:pPr>
        <w:pStyle w:val="Heading4"/>
      </w:pPr>
      <w:bookmarkStart w:id="1444" w:name="_Toc52954387"/>
      <w:bookmarkStart w:id="1445" w:name="_Toc52955683"/>
      <w:bookmarkStart w:id="1446" w:name="_Toc52957182"/>
      <w:bookmarkStart w:id="1447" w:name="_Toc52957965"/>
      <w:bookmarkStart w:id="1448" w:name="_Toc53045298"/>
      <w:bookmarkStart w:id="1449" w:name="_Toc53046081"/>
      <w:bookmarkStart w:id="1450" w:name="_Toc501633998"/>
      <w:bookmarkStart w:id="1451" w:name="_Toc501712894"/>
      <w:bookmarkStart w:id="1452" w:name="_Toc536782089"/>
      <w:bookmarkStart w:id="1453" w:name="_Toc5347147"/>
      <w:bookmarkStart w:id="1454" w:name="_Toc5363700"/>
      <w:bookmarkStart w:id="1455" w:name="_Toc5364921"/>
      <w:r>
        <w:t>Division 3 — Principles governing light regulation determinations</w:t>
      </w:r>
      <w:bookmarkEnd w:id="1444"/>
      <w:bookmarkEnd w:id="1445"/>
      <w:bookmarkEnd w:id="1446"/>
      <w:bookmarkEnd w:id="1447"/>
      <w:bookmarkEnd w:id="1448"/>
      <w:bookmarkEnd w:id="1449"/>
      <w:bookmarkEnd w:id="1450"/>
      <w:bookmarkEnd w:id="1451"/>
      <w:bookmarkEnd w:id="1452"/>
      <w:bookmarkEnd w:id="1453"/>
      <w:bookmarkEnd w:id="1454"/>
      <w:bookmarkEnd w:id="1455"/>
    </w:p>
    <w:p>
      <w:pPr>
        <w:pStyle w:val="Heading5"/>
      </w:pPr>
      <w:bookmarkStart w:id="1456" w:name="_Toc53046082"/>
      <w:bookmarkStart w:id="1457" w:name="_Toc5364922"/>
      <w:r>
        <w:rPr>
          <w:rStyle w:val="CharSectno"/>
        </w:rPr>
        <w:t>122</w:t>
      </w:r>
      <w:r>
        <w:t>.</w:t>
      </w:r>
      <w:r>
        <w:tab/>
        <w:t>Principles governing the making or revoking of light regulation determinations</w:t>
      </w:r>
      <w:bookmarkEnd w:id="1456"/>
      <w:bookmarkEnd w:id="145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light regulation determination under Division 1 or to revoke a light regulation determination under Division 2, the NCC must consider—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likely effectiveness of the forms of regulation provided for under this Law and the Rules to regulate the provision of the pipeline services (the subject of the application) to promote access to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effect of the forms of regulation provided for under this Law and the Rules 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likely costs that may be incurred by an efficient service provider;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likely costs that may be incurred by efficient users and efficient prospective users;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likely costs of end users.</w:t>
      </w:r>
    </w:p>
    <w:p>
      <w:pPr>
        <w:keepNext/>
        <w:keepLines/>
        <w:autoSpaceDE w:val="0"/>
        <w:autoSpaceDN w:val="0"/>
        <w:adjustRightInd w:val="0"/>
        <w:spacing w:before="120"/>
        <w:ind w:left="2382" w:hanging="794"/>
        <w:rPr>
          <w:b/>
          <w:bCs/>
          <w:color w:val="000000"/>
          <w:sz w:val="20"/>
        </w:rPr>
      </w:pPr>
      <w:r>
        <w:rPr>
          <w:b/>
          <w:bCs/>
          <w:color w:val="000000"/>
          <w:sz w:val="20"/>
        </w:rPr>
        <w:t>Note—</w:t>
      </w:r>
    </w:p>
    <w:p>
      <w:pPr>
        <w:keepNext/>
        <w:keepLines/>
        <w:autoSpaceDE w:val="0"/>
        <w:autoSpaceDN w:val="0"/>
        <w:adjustRightInd w:val="0"/>
        <w:spacing w:before="120"/>
        <w:ind w:left="2382"/>
        <w:rPr>
          <w:color w:val="000000"/>
          <w:sz w:val="20"/>
        </w:rPr>
      </w:pPr>
      <w:r>
        <w:rPr>
          <w:color w:val="000000"/>
          <w:sz w:val="20"/>
        </w:rPr>
        <w:t>The forms of regulation provided for under this Law and the Rules to regulate the provision of the pipeline services by means of a covered pipeline are—</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making a light regulation determination so that those services become light regulation services;</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not making a light regulation determination so that those services are regulated under a full access arrangement decision that approves or makes the applicable access arrangement that applies to those services.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have regard to the form of regulation factors;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have regard to any other matters it considers relevant.</w:t>
      </w:r>
    </w:p>
    <w:p>
      <w:pPr>
        <w:pStyle w:val="Heading4"/>
      </w:pPr>
      <w:bookmarkStart w:id="1458" w:name="_Toc52954389"/>
      <w:bookmarkStart w:id="1459" w:name="_Toc52955685"/>
      <w:bookmarkStart w:id="1460" w:name="_Toc52957184"/>
      <w:bookmarkStart w:id="1461" w:name="_Toc52957967"/>
      <w:bookmarkStart w:id="1462" w:name="_Toc53045300"/>
      <w:bookmarkStart w:id="1463" w:name="_Toc53046083"/>
      <w:bookmarkStart w:id="1464" w:name="_Toc501634000"/>
      <w:bookmarkStart w:id="1465" w:name="_Toc501712896"/>
      <w:bookmarkStart w:id="1466" w:name="_Toc536782091"/>
      <w:bookmarkStart w:id="1467" w:name="_Toc5347149"/>
      <w:bookmarkStart w:id="1468" w:name="_Toc5363702"/>
      <w:bookmarkStart w:id="1469" w:name="_Toc5364923"/>
      <w:r>
        <w:t>Division 4 — Revocation if coverage determination not made</w:t>
      </w:r>
      <w:bookmarkEnd w:id="1458"/>
      <w:bookmarkEnd w:id="1459"/>
      <w:bookmarkEnd w:id="1460"/>
      <w:bookmarkEnd w:id="1461"/>
      <w:bookmarkEnd w:id="1462"/>
      <w:bookmarkEnd w:id="1463"/>
      <w:bookmarkEnd w:id="1464"/>
      <w:bookmarkEnd w:id="1465"/>
      <w:bookmarkEnd w:id="1466"/>
      <w:bookmarkEnd w:id="1467"/>
      <w:bookmarkEnd w:id="1468"/>
      <w:bookmarkEnd w:id="1469"/>
    </w:p>
    <w:p>
      <w:pPr>
        <w:pStyle w:val="Heading5"/>
      </w:pPr>
      <w:bookmarkStart w:id="1470" w:name="_Toc53046084"/>
      <w:bookmarkStart w:id="1471" w:name="_Toc5364924"/>
      <w:r>
        <w:rPr>
          <w:rStyle w:val="CharSectno"/>
        </w:rPr>
        <w:t>123</w:t>
      </w:r>
      <w:r>
        <w:t>.</w:t>
      </w:r>
      <w:r>
        <w:tab/>
        <w:t>Light regulation determination revoked if coverage determination not made</w:t>
      </w:r>
      <w:bookmarkEnd w:id="1470"/>
      <w:bookmarkEnd w:id="147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light regulation determination has been made in respect of pipeline services;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by means of which those services will be provided does not become a covered pipeline because the relevant Minister, contrary to a coverage recommendation recommending coverage, makes a decision not to make a coverage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light regulation determination is, by force of this section, revoked on the same day as the relevant Minister’s decision not to make a coverage determination takes effect.</w:t>
      </w:r>
    </w:p>
    <w:p>
      <w:pPr>
        <w:pStyle w:val="Heading4"/>
      </w:pPr>
      <w:bookmarkStart w:id="1472" w:name="_Toc52954391"/>
      <w:bookmarkStart w:id="1473" w:name="_Toc52955687"/>
      <w:bookmarkStart w:id="1474" w:name="_Toc52957186"/>
      <w:bookmarkStart w:id="1475" w:name="_Toc52957969"/>
      <w:bookmarkStart w:id="1476" w:name="_Toc53045302"/>
      <w:bookmarkStart w:id="1477" w:name="_Toc53046085"/>
      <w:bookmarkStart w:id="1478" w:name="_Toc501634002"/>
      <w:bookmarkStart w:id="1479" w:name="_Toc501712898"/>
      <w:bookmarkStart w:id="1480" w:name="_Toc536782093"/>
      <w:bookmarkStart w:id="1481" w:name="_Toc5347151"/>
      <w:bookmarkStart w:id="1482" w:name="_Toc5363704"/>
      <w:bookmarkStart w:id="1483" w:name="_Toc5364925"/>
      <w:r>
        <w:t>Division 5 — Effect of pipeline ceasing to be covered pipeline</w:t>
      </w:r>
      <w:bookmarkEnd w:id="1472"/>
      <w:bookmarkEnd w:id="1473"/>
      <w:bookmarkEnd w:id="1474"/>
      <w:bookmarkEnd w:id="1475"/>
      <w:bookmarkEnd w:id="1476"/>
      <w:bookmarkEnd w:id="1477"/>
      <w:bookmarkEnd w:id="1478"/>
      <w:bookmarkEnd w:id="1479"/>
      <w:bookmarkEnd w:id="1480"/>
      <w:bookmarkEnd w:id="1481"/>
      <w:bookmarkEnd w:id="1482"/>
      <w:bookmarkEnd w:id="1483"/>
    </w:p>
    <w:p>
      <w:pPr>
        <w:pStyle w:val="Heading5"/>
      </w:pPr>
      <w:bookmarkStart w:id="1484" w:name="_Toc53046086"/>
      <w:bookmarkStart w:id="1485" w:name="_Toc5364926"/>
      <w:r>
        <w:rPr>
          <w:rStyle w:val="CharSectno"/>
        </w:rPr>
        <w:t>124</w:t>
      </w:r>
      <w:r>
        <w:t>.</w:t>
      </w:r>
      <w:r>
        <w:tab/>
        <w:t>Light regulation services cease to be such services on cessation of coverage of pipeline</w:t>
      </w:r>
      <w:bookmarkEnd w:id="1484"/>
      <w:bookmarkEnd w:id="1485"/>
    </w:p>
    <w:p>
      <w:pPr>
        <w:keepNext/>
        <w:keepLines/>
        <w:autoSpaceDE w:val="0"/>
        <w:autoSpaceDN w:val="0"/>
        <w:adjustRightInd w:val="0"/>
        <w:spacing w:before="120"/>
        <w:ind w:left="1588"/>
        <w:rPr>
          <w:color w:val="000000"/>
          <w:sz w:val="23"/>
          <w:szCs w:val="23"/>
        </w:rPr>
      </w:pPr>
      <w:r>
        <w:rPr>
          <w:color w:val="000000"/>
          <w:sz w:val="23"/>
          <w:szCs w:val="23"/>
        </w:rPr>
        <w:t>If a pipeline by means of which light regulation services are provided ceases to be a covered pipeline because of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light regulation determination applying to the light regulation services provided by means of that pipeline is, by force of this section, revoked on the same day the coverage revocation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avoid doubt, the light regulation services to which that determination applied cease to be light regulation services on the same day.</w:t>
      </w:r>
    </w:p>
    <w:p>
      <w:pPr>
        <w:pStyle w:val="Heading4"/>
      </w:pPr>
      <w:bookmarkStart w:id="1486" w:name="_Toc52954393"/>
      <w:bookmarkStart w:id="1487" w:name="_Toc52955689"/>
      <w:bookmarkStart w:id="1488" w:name="_Toc52957188"/>
      <w:bookmarkStart w:id="1489" w:name="_Toc52957971"/>
      <w:bookmarkStart w:id="1490" w:name="_Toc53045304"/>
      <w:bookmarkStart w:id="1491" w:name="_Toc53046087"/>
      <w:bookmarkStart w:id="1492" w:name="_Toc501634004"/>
      <w:bookmarkStart w:id="1493" w:name="_Toc501712900"/>
      <w:bookmarkStart w:id="1494" w:name="_Toc536782095"/>
      <w:bookmarkStart w:id="1495" w:name="_Toc5347153"/>
      <w:bookmarkStart w:id="1496" w:name="_Toc5363706"/>
      <w:bookmarkStart w:id="1497" w:name="_Toc5364927"/>
      <w:r>
        <w:t>Division 6 — AER reviews into designated pipelines</w:t>
      </w:r>
      <w:bookmarkEnd w:id="1486"/>
      <w:bookmarkEnd w:id="1487"/>
      <w:bookmarkEnd w:id="1488"/>
      <w:bookmarkEnd w:id="1489"/>
      <w:bookmarkEnd w:id="1490"/>
      <w:bookmarkEnd w:id="1491"/>
      <w:bookmarkEnd w:id="1492"/>
      <w:bookmarkEnd w:id="1493"/>
      <w:bookmarkEnd w:id="1494"/>
      <w:bookmarkEnd w:id="1495"/>
      <w:bookmarkEnd w:id="1496"/>
      <w:bookmarkEnd w:id="1497"/>
    </w:p>
    <w:p>
      <w:pPr>
        <w:pStyle w:val="Heading5"/>
      </w:pPr>
      <w:bookmarkStart w:id="1498" w:name="_Toc53046088"/>
      <w:bookmarkStart w:id="1499" w:name="_Toc5364928"/>
      <w:r>
        <w:rPr>
          <w:rStyle w:val="CharSectno"/>
        </w:rPr>
        <w:t>125</w:t>
      </w:r>
      <w:r>
        <w:t>.</w:t>
      </w:r>
      <w:r>
        <w:tab/>
        <w:t>AER reviews</w:t>
      </w:r>
      <w:bookmarkEnd w:id="1498"/>
      <w:bookmarkEnd w:id="149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may request the AER to conduct a review into, and report to it as to, whether a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service provider that provides pipeline services by means of a designated pipeline may request the AER to conduct a review into, and report to the MCE as to, whether that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request under subsection (1) or (2) must be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On receiving a request under this section, the AER must conduct a review as to whether the pipeline the subject of the request should continue to be a designated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conducting a review under this section, the AER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have regard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whether there has been a material change in competition in a market served by the designated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consult, in accordance with the Rules, with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 the completion of a review under this section, the AER must prepare a report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the report to the MCE;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the report on its website.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The AER must also give a copy of the report to the service provider that has requested the review.</w:t>
      </w:r>
    </w:p>
    <w:p>
      <w:pPr>
        <w:pStyle w:val="Heading3"/>
      </w:pPr>
      <w:bookmarkStart w:id="1500" w:name="_Toc52954395"/>
      <w:bookmarkStart w:id="1501" w:name="_Toc52955691"/>
      <w:bookmarkStart w:id="1502" w:name="_Toc52957190"/>
      <w:bookmarkStart w:id="1503" w:name="_Toc52957973"/>
      <w:bookmarkStart w:id="1504" w:name="_Toc53045306"/>
      <w:bookmarkStart w:id="1505" w:name="_Toc53046089"/>
      <w:bookmarkStart w:id="1506" w:name="_Toc501634006"/>
      <w:bookmarkStart w:id="1507" w:name="_Toc501712902"/>
      <w:bookmarkStart w:id="1508" w:name="_Toc536782097"/>
      <w:bookmarkStart w:id="1509" w:name="_Toc5347155"/>
      <w:bookmarkStart w:id="1510" w:name="_Toc5363708"/>
      <w:bookmarkStart w:id="1511" w:name="_Toc5364929"/>
      <w:r>
        <w:rPr>
          <w:rStyle w:val="CharDivNo"/>
        </w:rPr>
        <w:t>Part 3</w:t>
      </w:r>
      <w:r>
        <w:t xml:space="preserve"> — </w:t>
      </w:r>
      <w:r>
        <w:rPr>
          <w:rStyle w:val="CharDivText"/>
        </w:rPr>
        <w:t>Coverage of pipelines the subject of tender process</w:t>
      </w:r>
      <w:bookmarkEnd w:id="1500"/>
      <w:bookmarkEnd w:id="1501"/>
      <w:bookmarkEnd w:id="1502"/>
      <w:bookmarkEnd w:id="1503"/>
      <w:bookmarkEnd w:id="1504"/>
      <w:bookmarkEnd w:id="1505"/>
      <w:bookmarkEnd w:id="1506"/>
      <w:bookmarkEnd w:id="1507"/>
      <w:bookmarkEnd w:id="1508"/>
      <w:bookmarkEnd w:id="1509"/>
      <w:bookmarkEnd w:id="1510"/>
      <w:bookmarkEnd w:id="1511"/>
    </w:p>
    <w:p>
      <w:pPr>
        <w:pStyle w:val="Heading5"/>
      </w:pPr>
      <w:bookmarkStart w:id="1512" w:name="_Toc53046090"/>
      <w:bookmarkStart w:id="1513" w:name="_Toc5364930"/>
      <w:r>
        <w:rPr>
          <w:rStyle w:val="CharSectno"/>
        </w:rPr>
        <w:t>126</w:t>
      </w:r>
      <w:r>
        <w:t>.</w:t>
      </w:r>
      <w:r>
        <w:tab/>
        <w:t>Tender approval pipelines deemed to be covered pipelines</w:t>
      </w:r>
      <w:bookmarkEnd w:id="1512"/>
      <w:bookmarkEnd w:id="151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pipeline to which a tender approval decision relates is deemed to be a covered pipeline on and from the date the tender approval decision becomes irrevocable by operation of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there is an applicable access arrangement that applies to the pipeline services provided, or that are to be provided by means of that pipeline—when that arrangement expires;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a coverage revocation determination made in respect of that pipeline takes effect.</w:t>
      </w:r>
    </w:p>
    <w:p>
      <w:pPr>
        <w:keepNext/>
        <w:keepLines/>
        <w:autoSpaceDE w:val="0"/>
        <w:autoSpaceDN w:val="0"/>
        <w:adjustRightInd w:val="0"/>
        <w:spacing w:before="120"/>
        <w:ind w:left="2382" w:hanging="794"/>
        <w:rPr>
          <w:b/>
          <w:bCs/>
          <w:color w:val="000000"/>
          <w:sz w:val="20"/>
        </w:rPr>
      </w:pPr>
      <w:r>
        <w:rPr>
          <w:b/>
          <w:bCs/>
          <w:color w:val="000000"/>
          <w:sz w:val="20"/>
        </w:rPr>
        <w:t>Note—</w:t>
      </w:r>
    </w:p>
    <w:p>
      <w:pPr>
        <w:keepNext/>
        <w:keepLines/>
        <w:autoSpaceDE w:val="0"/>
        <w:autoSpaceDN w:val="0"/>
        <w:adjustRightInd w:val="0"/>
        <w:spacing w:before="120"/>
        <w:ind w:left="2382"/>
        <w:rPr>
          <w:color w:val="000000"/>
          <w:sz w:val="20"/>
        </w:rPr>
      </w:pPr>
      <w:r>
        <w:rPr>
          <w:color w:val="000000"/>
          <w:sz w:val="20"/>
        </w:rPr>
        <w:t>Under the Rules, the NCC will—</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classify the pipeline to be constructed and operated in accordance with an approved tender process as a cross boundary transmission pipeline, cross boundary distribution pipeline, transmission pipeline or distribution pipeline; and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determine the relevant Minister for the purposes of that pipeline.</w:t>
      </w:r>
    </w:p>
    <w:p>
      <w:pPr>
        <w:pStyle w:val="Heading3"/>
      </w:pPr>
      <w:bookmarkStart w:id="1514" w:name="_Toc52954397"/>
      <w:bookmarkStart w:id="1515" w:name="_Toc52955693"/>
      <w:bookmarkStart w:id="1516" w:name="_Toc52957192"/>
      <w:bookmarkStart w:id="1517" w:name="_Toc52957975"/>
      <w:bookmarkStart w:id="1518" w:name="_Toc53045308"/>
      <w:bookmarkStart w:id="1519" w:name="_Toc53046091"/>
      <w:bookmarkStart w:id="1520" w:name="_Toc501634008"/>
      <w:bookmarkStart w:id="1521" w:name="_Toc501712904"/>
      <w:bookmarkStart w:id="1522" w:name="_Toc536782099"/>
      <w:bookmarkStart w:id="1523" w:name="_Toc5347157"/>
      <w:bookmarkStart w:id="1524" w:name="_Toc5363710"/>
      <w:bookmarkStart w:id="1525" w:name="_Toc5364931"/>
      <w:r>
        <w:rPr>
          <w:rStyle w:val="CharDivNo"/>
        </w:rPr>
        <w:t>Part 4</w:t>
      </w:r>
      <w:r>
        <w:t xml:space="preserve"> — </w:t>
      </w:r>
      <w:r>
        <w:rPr>
          <w:rStyle w:val="CharDivText"/>
        </w:rPr>
        <w:t>Coverage following approval of voluntary access arrangement</w:t>
      </w:r>
      <w:bookmarkEnd w:id="1514"/>
      <w:bookmarkEnd w:id="1515"/>
      <w:bookmarkEnd w:id="1516"/>
      <w:bookmarkEnd w:id="1517"/>
      <w:bookmarkEnd w:id="1518"/>
      <w:bookmarkEnd w:id="1519"/>
      <w:bookmarkEnd w:id="1520"/>
      <w:bookmarkEnd w:id="1521"/>
      <w:bookmarkEnd w:id="1522"/>
      <w:bookmarkEnd w:id="1523"/>
      <w:bookmarkEnd w:id="1524"/>
      <w:bookmarkEnd w:id="1525"/>
    </w:p>
    <w:p>
      <w:pPr>
        <w:pStyle w:val="Heading5"/>
      </w:pPr>
      <w:bookmarkStart w:id="1526" w:name="_Toc53046092"/>
      <w:bookmarkStart w:id="1527" w:name="_Toc5364932"/>
      <w:r>
        <w:rPr>
          <w:rStyle w:val="CharSectno"/>
        </w:rPr>
        <w:t>127</w:t>
      </w:r>
      <w:r>
        <w:t>.</w:t>
      </w:r>
      <w:r>
        <w:tab/>
        <w:t>Certain pipelines become covered pipelines on approval of voluntary access arrangement</w:t>
      </w:r>
      <w:bookmarkEnd w:id="1526"/>
      <w:bookmarkEnd w:id="152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voluntarily submits to the AER for approval by the AER, under the Rules, a full access arrangement that will apply to the pipeline services provided, or that are to be provided, by means of a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pipeline is not a covered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pipeline is deemed to be a covered pipeline on the day the voluntarily submitted full access arrangement takes effect as an applicable access arrangement.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when the applicable access arrangement that applies to the pipeline services provided, or that are to be provided, expires;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a coverage revocation determination is made in respect of that pipeline takes effect.</w:t>
      </w:r>
    </w:p>
    <w:p>
      <w:pPr>
        <w:keepNext/>
        <w:keepLines/>
        <w:autoSpaceDE w:val="0"/>
        <w:autoSpaceDN w:val="0"/>
        <w:adjustRightInd w:val="0"/>
        <w:spacing w:before="120"/>
        <w:ind w:left="1588" w:hanging="567"/>
        <w:rPr>
          <w:b/>
          <w:bCs/>
          <w:color w:val="000000"/>
          <w:sz w:val="20"/>
        </w:rPr>
      </w:pPr>
      <w:r>
        <w:rPr>
          <w:b/>
          <w:bCs/>
          <w:color w:val="000000"/>
          <w:sz w:val="20"/>
        </w:rPr>
        <w:t>Note—</w:t>
      </w:r>
    </w:p>
    <w:p>
      <w:pPr>
        <w:keepNext/>
        <w:keepLines/>
        <w:autoSpaceDE w:val="0"/>
        <w:autoSpaceDN w:val="0"/>
        <w:adjustRightInd w:val="0"/>
        <w:spacing w:before="120"/>
        <w:ind w:left="1588"/>
        <w:rPr>
          <w:color w:val="000000"/>
          <w:sz w:val="20"/>
        </w:rPr>
      </w:pPr>
      <w:r>
        <w:rPr>
          <w:color w:val="000000"/>
          <w:sz w:val="20"/>
        </w:rPr>
        <w:t>Under the Rules, the NCC will—</w:t>
      </w:r>
    </w:p>
    <w:p>
      <w:pPr>
        <w:keepLines/>
        <w:tabs>
          <w:tab w:val="center" w:pos="1985"/>
          <w:tab w:val="left" w:pos="2382"/>
        </w:tabs>
        <w:autoSpaceDE w:val="0"/>
        <w:autoSpaceDN w:val="0"/>
        <w:adjustRightInd w:val="0"/>
        <w:spacing w:before="120"/>
        <w:ind w:left="2382" w:hanging="794"/>
        <w:rPr>
          <w:color w:val="000000"/>
          <w:sz w:val="20"/>
        </w:rPr>
      </w:pPr>
      <w:r>
        <w:rPr>
          <w:color w:val="000000"/>
          <w:sz w:val="20"/>
        </w:rPr>
        <w:tab/>
        <w:t>(a)</w:t>
      </w:r>
      <w:r>
        <w:rPr>
          <w:color w:val="000000"/>
          <w:sz w:val="20"/>
        </w:rPr>
        <w:tab/>
        <w:t>classify the pipeline (by means of which the pipeline services to which the arrangement relates are provided) as a cross boundary transmission pipeline, cross boundary distribution pipeline, transmission pipeline or distribution pipeline; and</w:t>
      </w:r>
    </w:p>
    <w:p>
      <w:pPr>
        <w:keepLines/>
        <w:tabs>
          <w:tab w:val="center" w:pos="1985"/>
          <w:tab w:val="left" w:pos="2382"/>
        </w:tabs>
        <w:autoSpaceDE w:val="0"/>
        <w:autoSpaceDN w:val="0"/>
        <w:adjustRightInd w:val="0"/>
        <w:spacing w:before="120"/>
        <w:ind w:left="2382" w:hanging="794"/>
        <w:rPr>
          <w:color w:val="000000"/>
          <w:sz w:val="20"/>
        </w:rPr>
      </w:pPr>
      <w:r>
        <w:rPr>
          <w:color w:val="000000"/>
          <w:sz w:val="20"/>
        </w:rPr>
        <w:tab/>
        <w:t>(b)</w:t>
      </w:r>
      <w:r>
        <w:rPr>
          <w:color w:val="000000"/>
          <w:sz w:val="20"/>
        </w:rPr>
        <w:tab/>
        <w:t>determine the relevant Minister for the purposes of that pipeline.</w:t>
      </w:r>
    </w:p>
    <w:p>
      <w:pPr>
        <w:pStyle w:val="Heading3"/>
      </w:pPr>
      <w:bookmarkStart w:id="1528" w:name="_Toc52954399"/>
      <w:bookmarkStart w:id="1529" w:name="_Toc52955695"/>
      <w:bookmarkStart w:id="1530" w:name="_Toc52957194"/>
      <w:bookmarkStart w:id="1531" w:name="_Toc52957977"/>
      <w:bookmarkStart w:id="1532" w:name="_Toc53045310"/>
      <w:bookmarkStart w:id="1533" w:name="_Toc53046093"/>
      <w:bookmarkStart w:id="1534" w:name="_Toc501634010"/>
      <w:bookmarkStart w:id="1535" w:name="_Toc501712906"/>
      <w:bookmarkStart w:id="1536" w:name="_Toc536782101"/>
      <w:bookmarkStart w:id="1537" w:name="_Toc5347159"/>
      <w:bookmarkStart w:id="1538" w:name="_Toc5363712"/>
      <w:bookmarkStart w:id="1539" w:name="_Toc5364933"/>
      <w:r>
        <w:rPr>
          <w:rStyle w:val="CharDivNo"/>
        </w:rPr>
        <w:t>Part 5</w:t>
      </w:r>
      <w:r>
        <w:t xml:space="preserve"> — </w:t>
      </w:r>
      <w:r>
        <w:rPr>
          <w:rStyle w:val="CharDivText"/>
        </w:rPr>
        <w:t>Reclassification of pipelines</w:t>
      </w:r>
      <w:bookmarkEnd w:id="1528"/>
      <w:bookmarkEnd w:id="1529"/>
      <w:bookmarkEnd w:id="1530"/>
      <w:bookmarkEnd w:id="1531"/>
      <w:bookmarkEnd w:id="1532"/>
      <w:bookmarkEnd w:id="1533"/>
      <w:bookmarkEnd w:id="1534"/>
      <w:bookmarkEnd w:id="1535"/>
      <w:bookmarkEnd w:id="1536"/>
      <w:bookmarkEnd w:id="1537"/>
      <w:bookmarkEnd w:id="1538"/>
      <w:bookmarkEnd w:id="1539"/>
    </w:p>
    <w:p>
      <w:pPr>
        <w:pStyle w:val="Heading5"/>
      </w:pPr>
      <w:bookmarkStart w:id="1540" w:name="_Toc53046094"/>
      <w:bookmarkStart w:id="1541" w:name="_Toc5364934"/>
      <w:r>
        <w:rPr>
          <w:rStyle w:val="CharSectno"/>
        </w:rPr>
        <w:t>128</w:t>
      </w:r>
      <w:r>
        <w:t>.</w:t>
      </w:r>
      <w:r>
        <w:tab/>
        <w:t>Service provider may apply for reclassification of pipeline</w:t>
      </w:r>
      <w:bookmarkEnd w:id="1540"/>
      <w:bookmarkEnd w:id="154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in respect of a pipeline by means of which the service provider provides pipeline services, apply to the NCC for the pipeline to be reclassified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pipeline is a transmission pipeline—a distribution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pipeline is a distribution pipeline—a transmission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application must be accompanied by the fee prescribed by the Regulations (if any).</w:t>
      </w:r>
    </w:p>
    <w:p>
      <w:pPr>
        <w:pStyle w:val="Heading5"/>
      </w:pPr>
      <w:bookmarkStart w:id="1542" w:name="_Toc53046095"/>
      <w:bookmarkStart w:id="1543" w:name="_Toc5364935"/>
      <w:r>
        <w:rPr>
          <w:rStyle w:val="CharSectno"/>
        </w:rPr>
        <w:t>129</w:t>
      </w:r>
      <w:r>
        <w:t>.</w:t>
      </w:r>
      <w:r>
        <w:tab/>
        <w:t>Reclassification decision</w:t>
      </w:r>
      <w:bookmarkEnd w:id="1542"/>
      <w:bookmarkEnd w:id="154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make a decision (a </w:t>
      </w:r>
      <w:r>
        <w:rPr>
          <w:rStyle w:val="CharDefText"/>
          <w:bCs/>
          <w:sz w:val="23"/>
        </w:rPr>
        <w:t>reclassification decision</w:t>
      </w:r>
      <w:r>
        <w:rPr>
          <w:color w:val="000000"/>
          <w:sz w:val="23"/>
          <w:szCs w:val="23"/>
        </w:rPr>
        <w:t>)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128;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reclassification decision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making a reclassification decision, the NCC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NCC must also as part of the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reclassifies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reclassifies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under subsection (4), the NCC determines that a pipeline reclassified as a distribution pipeline is also a cross boundary distribution pipeline, the NCC must determine the participating jurisdiction with which the cross boundary distribution pipeline is most closely connected. In doing so, the NCC must have regard to the jurisdictional determination criteria.</w:t>
      </w:r>
    </w:p>
    <w:p>
      <w:pPr>
        <w:pStyle w:val="Heading5"/>
      </w:pPr>
      <w:bookmarkStart w:id="1544" w:name="_Toc53046096"/>
      <w:bookmarkStart w:id="1545" w:name="_Toc5364936"/>
      <w:r>
        <w:rPr>
          <w:rStyle w:val="CharSectno"/>
        </w:rPr>
        <w:t>130</w:t>
      </w:r>
      <w:r>
        <w:t>.</w:t>
      </w:r>
      <w:r>
        <w:tab/>
        <w:t>Effect of reclassification decision</w:t>
      </w:r>
      <w:bookmarkEnd w:id="1544"/>
      <w:bookmarkEnd w:id="1545"/>
    </w:p>
    <w:p>
      <w:pPr>
        <w:keepNext/>
        <w:keepLines/>
        <w:autoSpaceDE w:val="0"/>
        <w:autoSpaceDN w:val="0"/>
        <w:adjustRightInd w:val="0"/>
        <w:spacing w:before="120"/>
        <w:ind w:left="1588"/>
        <w:rPr>
          <w:color w:val="000000"/>
          <w:sz w:val="23"/>
          <w:szCs w:val="23"/>
        </w:rPr>
      </w:pPr>
      <w:r>
        <w:rPr>
          <w:color w:val="000000"/>
          <w:sz w:val="23"/>
          <w:szCs w:val="23"/>
        </w:rPr>
        <w:t>On the making of a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pipeline is, in accordance with the decision, reclassified as either a transmission pipeline or distribution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Minister in respect of the pipeline is the relevant Minister as provided under this Law.</w:t>
      </w:r>
    </w:p>
    <w:p>
      <w:pPr>
        <w:pStyle w:val="Heading2"/>
      </w:pPr>
      <w:bookmarkStart w:id="1546" w:name="_Toc52954403"/>
      <w:bookmarkStart w:id="1547" w:name="_Toc52955699"/>
      <w:bookmarkStart w:id="1548" w:name="_Toc52957198"/>
      <w:bookmarkStart w:id="1549" w:name="_Toc52957981"/>
      <w:bookmarkStart w:id="1550" w:name="_Toc53045314"/>
      <w:bookmarkStart w:id="1551" w:name="_Toc53046097"/>
      <w:bookmarkStart w:id="1552" w:name="_Toc501634014"/>
      <w:bookmarkStart w:id="1553" w:name="_Toc501712910"/>
      <w:bookmarkStart w:id="1554" w:name="_Toc536782105"/>
      <w:bookmarkStart w:id="1555" w:name="_Toc5347163"/>
      <w:bookmarkStart w:id="1556" w:name="_Toc5363716"/>
      <w:bookmarkStart w:id="1557" w:name="_Toc5364937"/>
      <w:r>
        <w:rPr>
          <w:rStyle w:val="CharPartNo"/>
        </w:rPr>
        <w:t>Chapter 4</w:t>
      </w:r>
      <w:r>
        <w:t xml:space="preserve"> — </w:t>
      </w:r>
      <w:r>
        <w:rPr>
          <w:rStyle w:val="CharPartText"/>
        </w:rPr>
        <w:t>General requirements for provision of covered pipeline services</w:t>
      </w:r>
      <w:bookmarkEnd w:id="1546"/>
      <w:bookmarkEnd w:id="1547"/>
      <w:bookmarkEnd w:id="1548"/>
      <w:bookmarkEnd w:id="1549"/>
      <w:bookmarkEnd w:id="1550"/>
      <w:bookmarkEnd w:id="1551"/>
      <w:bookmarkEnd w:id="1552"/>
      <w:bookmarkEnd w:id="1553"/>
      <w:bookmarkEnd w:id="1554"/>
      <w:bookmarkEnd w:id="1555"/>
      <w:bookmarkEnd w:id="1556"/>
      <w:bookmarkEnd w:id="1557"/>
    </w:p>
    <w:p>
      <w:pPr>
        <w:pStyle w:val="Heading3"/>
        <w:spacing w:before="120"/>
      </w:pPr>
      <w:bookmarkStart w:id="1558" w:name="_Toc52954404"/>
      <w:bookmarkStart w:id="1559" w:name="_Toc52955700"/>
      <w:bookmarkStart w:id="1560" w:name="_Toc52957199"/>
      <w:bookmarkStart w:id="1561" w:name="_Toc52957982"/>
      <w:bookmarkStart w:id="1562" w:name="_Toc53045315"/>
      <w:bookmarkStart w:id="1563" w:name="_Toc53046098"/>
      <w:bookmarkStart w:id="1564" w:name="_Toc501634015"/>
      <w:bookmarkStart w:id="1565" w:name="_Toc501712911"/>
      <w:bookmarkStart w:id="1566" w:name="_Toc536782106"/>
      <w:bookmarkStart w:id="1567" w:name="_Toc5347164"/>
      <w:bookmarkStart w:id="1568" w:name="_Toc5363717"/>
      <w:bookmarkStart w:id="1569" w:name="_Toc5364938"/>
      <w:r>
        <w:rPr>
          <w:rStyle w:val="CharDivNo"/>
        </w:rPr>
        <w:t>Part 1</w:t>
      </w:r>
      <w:r>
        <w:t xml:space="preserve"> — </w:t>
      </w:r>
      <w:r>
        <w:rPr>
          <w:rStyle w:val="CharDivText"/>
        </w:rPr>
        <w:t>General duties for provision of pipeline services by covered pipelines</w:t>
      </w:r>
      <w:bookmarkEnd w:id="1558"/>
      <w:bookmarkEnd w:id="1559"/>
      <w:bookmarkEnd w:id="1560"/>
      <w:bookmarkEnd w:id="1561"/>
      <w:bookmarkEnd w:id="1562"/>
      <w:bookmarkEnd w:id="1563"/>
      <w:bookmarkEnd w:id="1564"/>
      <w:bookmarkEnd w:id="1565"/>
      <w:bookmarkEnd w:id="1566"/>
      <w:bookmarkEnd w:id="1567"/>
      <w:bookmarkEnd w:id="1568"/>
      <w:bookmarkEnd w:id="1569"/>
    </w:p>
    <w:p>
      <w:pPr>
        <w:pStyle w:val="Heading5"/>
        <w:spacing w:before="120"/>
      </w:pPr>
      <w:bookmarkStart w:id="1570" w:name="_Toc53046099"/>
      <w:bookmarkStart w:id="1571" w:name="_Toc5364939"/>
      <w:r>
        <w:rPr>
          <w:rStyle w:val="CharSectno"/>
        </w:rPr>
        <w:t>131</w:t>
      </w:r>
      <w:r>
        <w:t>.</w:t>
      </w:r>
      <w:r>
        <w:tab/>
        <w:t>Service provider must be legal entity of a specified kind to provide pipeline services by covered pipeline</w:t>
      </w:r>
      <w:bookmarkEnd w:id="1570"/>
      <w:bookmarkEnd w:id="1571"/>
    </w:p>
    <w:p>
      <w:pPr>
        <w:keepNext/>
        <w:keepLines/>
        <w:autoSpaceDE w:val="0"/>
        <w:autoSpaceDN w:val="0"/>
        <w:adjustRightInd w:val="0"/>
        <w:spacing w:before="120"/>
        <w:ind w:left="1588"/>
        <w:rPr>
          <w:color w:val="000000"/>
          <w:sz w:val="23"/>
          <w:szCs w:val="23"/>
        </w:rPr>
      </w:pPr>
      <w:r>
        <w:rPr>
          <w:color w:val="000000"/>
          <w:sz w:val="23"/>
          <w:szCs w:val="23"/>
        </w:rPr>
        <w:t>A covered pipeline service provider must not provide a pipeline service by means of a covered pipeline unless the service provider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legal entity registered under the </w:t>
      </w:r>
      <w:r>
        <w:rPr>
          <w:i/>
          <w:iCs/>
          <w:color w:val="000000"/>
          <w:sz w:val="23"/>
          <w:szCs w:val="23"/>
        </w:rPr>
        <w:t>Corporations Act 2001</w:t>
      </w:r>
      <w:r>
        <w:rPr>
          <w:color w:val="000000"/>
          <w:sz w:val="23"/>
          <w:szCs w:val="23"/>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foreign company;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corporation established by or under a law of this jurisdiction or another participating jurisdiction, whether or not that corporation has been established for a public purpose;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Crown in right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person referred to in paragraph (a) to (d) and that person provides a pipeline service by means of a covered pipeline together with another person referred to in paragraph (a) to (d).</w:t>
      </w:r>
    </w:p>
    <w:p>
      <w:pPr>
        <w:pStyle w:val="Heading5"/>
        <w:keepNext w:val="0"/>
        <w:keepLines w:val="0"/>
      </w:pPr>
      <w:bookmarkStart w:id="1572" w:name="_Toc53046100"/>
      <w:bookmarkStart w:id="1573" w:name="_Toc5364940"/>
      <w:r>
        <w:rPr>
          <w:rStyle w:val="CharSectno"/>
        </w:rPr>
        <w:t>132</w:t>
      </w:r>
      <w:r>
        <w:t>.</w:t>
      </w:r>
      <w:r>
        <w:tab/>
        <w:t>Submission of full access arrangement or revisions to applicable full access arrangements</w:t>
      </w:r>
      <w:bookmarkEnd w:id="1572"/>
      <w:bookmarkEnd w:id="1573"/>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submit to the AER, for approval by the AER under the Rules, a full access arrangement or revisions to an applicable access arrangement that is a full access arrangement, in respect of the pipeline services the provider provides or intends to provide—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circumstances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of time specified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pipeline services that are, or are intended to be, provided by the service provider light regulation services;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the extent the Rules provide subsection (1) is not to apply.</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A service provider who provides or intends to provide pipeline services by means of an international pipeline to which a price regulation applies must submit a limited access arrangement to the AER for approval: see section 168.</w:t>
      </w:r>
    </w:p>
    <w:p>
      <w:pPr>
        <w:pStyle w:val="Heading5"/>
      </w:pPr>
      <w:bookmarkStart w:id="1574" w:name="_Toc53046101"/>
      <w:bookmarkStart w:id="1575" w:name="_Toc5364941"/>
      <w:r>
        <w:rPr>
          <w:rStyle w:val="CharSectno"/>
        </w:rPr>
        <w:t>133</w:t>
      </w:r>
      <w:r>
        <w:t>.</w:t>
      </w:r>
      <w:r>
        <w:tab/>
        <w:t>Preventing or hindering access</w:t>
      </w:r>
      <w:bookmarkEnd w:id="1574"/>
      <w:bookmarkEnd w:id="157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 party to an agreement with a service provider relating to a pipeline service provided by means of a covered pipeline;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a result of an access determination is entitled to a pipeline service provided by means of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associate of a service provider or a person referred to in paragraph (b),</w:t>
      </w:r>
    </w:p>
    <w:p>
      <w:pPr>
        <w:keepLines/>
        <w:autoSpaceDE w:val="0"/>
        <w:autoSpaceDN w:val="0"/>
        <w:adjustRightInd w:val="0"/>
        <w:spacing w:before="120"/>
        <w:ind w:left="1588"/>
        <w:rPr>
          <w:color w:val="000000"/>
          <w:sz w:val="23"/>
          <w:szCs w:val="23"/>
        </w:rPr>
      </w:pPr>
      <w:r>
        <w:rPr>
          <w:color w:val="000000"/>
          <w:sz w:val="23"/>
          <w:szCs w:val="23"/>
        </w:rPr>
        <w:t>must not engage in conduct for the purpose of preventing or hindering the access of another person to a pipeline service provided by means of the covered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a person is deemed to engage in conduct for a particular purpose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conduct is or was engaged in for that purpose or for a purpose that includes, or included, that purpose;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purpose is or was a substantial purpose.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may be taken to have engaged in conduct for the purpose referred to in subsection (1) even though, after all the evidence has been considered, the existence of that purpose is ascertainable only by inference from the conduct of the person or of any other person or from other relevant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Subsection (3) does not limit the manner in which the purpose of a person may be established for the purpose of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engaging in conduct is a reference to doing or refusing to do any act, including refusing to supply a pipeline service or, without reasonable grounds, limiting or disrupting a pipeline service, or making, or giving effect to, a provision of, a contract or arrangement, arriving at, or giving effect to, a provision of, an understanding or requiring the giving of, or giving, a covenant;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refusing to do an act includes a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refraining (otherwise than inadvertently) from doing that act;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making it known that that act will not be done.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Subsection (1) does not apply to conduct engaged in in accordance with an agreement, if the agreement was in force on 30 March 1995.</w:t>
      </w:r>
    </w:p>
    <w:p>
      <w:pPr>
        <w:keepNext/>
        <w:keepLines/>
        <w:autoSpaceDE w:val="0"/>
        <w:autoSpaceDN w:val="0"/>
        <w:adjustRightInd w:val="0"/>
        <w:spacing w:before="120"/>
        <w:ind w:left="1588" w:hanging="567"/>
        <w:rPr>
          <w:b/>
          <w:bCs/>
          <w:color w:val="000000"/>
          <w:sz w:val="20"/>
        </w:rPr>
      </w:pPr>
      <w:r>
        <w:rPr>
          <w:b/>
          <w:bCs/>
          <w:color w:val="000000"/>
          <w:sz w:val="20"/>
        </w:rPr>
        <w:t>Example—</w:t>
      </w:r>
    </w:p>
    <w:p>
      <w:pPr>
        <w:keepLines/>
        <w:autoSpaceDE w:val="0"/>
        <w:autoSpaceDN w:val="0"/>
        <w:adjustRightInd w:val="0"/>
        <w:spacing w:before="120"/>
        <w:ind w:left="1588"/>
        <w:rPr>
          <w:color w:val="000000"/>
          <w:sz w:val="20"/>
        </w:rPr>
      </w:pPr>
      <w:r>
        <w:rPr>
          <w:color w:val="000000"/>
          <w:sz w:val="20"/>
        </w:rPr>
        <w:t>An example of conduct which may be prohibited if the requisite purpose is established is refusing to supply, or limiting or disrupting the supply of, a pipeline service to a user or prospective user for technical or safety reasons without reasonable grounds.</w:t>
      </w:r>
    </w:p>
    <w:p>
      <w:pPr>
        <w:pStyle w:val="Heading5"/>
      </w:pPr>
      <w:bookmarkStart w:id="1576" w:name="_Toc53046102"/>
      <w:bookmarkStart w:id="1577" w:name="_Toc5364942"/>
      <w:r>
        <w:rPr>
          <w:rStyle w:val="CharSectno"/>
        </w:rPr>
        <w:t>134</w:t>
      </w:r>
      <w:r>
        <w:t>.</w:t>
      </w:r>
      <w:r>
        <w:tab/>
        <w:t>Supply and haulage of natural gas</w:t>
      </w:r>
      <w:bookmarkEnd w:id="1576"/>
      <w:bookmarkEnd w:id="157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producer states terms and conditions (whether or not including the price) (</w:t>
      </w:r>
      <w:r>
        <w:rPr>
          <w:rStyle w:val="CharDefText"/>
          <w:bCs/>
          <w:sz w:val="23"/>
        </w:rPr>
        <w:t>the first terms</w:t>
      </w:r>
      <w:r>
        <w:rPr>
          <w:color w:val="000000"/>
          <w:sz w:val="23"/>
          <w:szCs w:val="23"/>
        </w:rPr>
        <w:t>) on which the producer offers to supply natural gas through a covered pipeline that is in operation at the time of the offer to a person at a place other than the exit flange of the producer’s processing plant, the producer must, on request by the person, state terms and conditions (including the price, if the price was included in the first terms) (</w:t>
      </w:r>
      <w:r>
        <w:rPr>
          <w:rStyle w:val="CharDefText"/>
          <w:bCs/>
          <w:sz w:val="23"/>
        </w:rPr>
        <w:t>the second terms</w:t>
      </w:r>
      <w:r>
        <w:rPr>
          <w:color w:val="000000"/>
          <w:sz w:val="23"/>
          <w:szCs w:val="23"/>
        </w:rPr>
        <w:t>) on which the producer will supply natural gas to the person at the exit flange.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there is a difference in the price stated in the first terms and the second terms, the producer must include in the second terms a statement of the reasons for the difference.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producer offers to supply natural gas to a person at a place other than the exit flange of the producer’s processing plant, the producer must, on request, offer to supply the gas at the exit flange on the terms and conditions (including price) stated in accordance with this section.</w:t>
      </w:r>
    </w:p>
    <w:p>
      <w:pPr>
        <w:pStyle w:val="Heading5"/>
        <w:spacing w:before="120"/>
      </w:pPr>
      <w:bookmarkStart w:id="1578" w:name="_Toc53046103"/>
      <w:bookmarkStart w:id="1579" w:name="_Toc5364943"/>
      <w:r>
        <w:rPr>
          <w:rStyle w:val="CharSectno"/>
        </w:rPr>
        <w:t>135</w:t>
      </w:r>
      <w:r>
        <w:t>.</w:t>
      </w:r>
      <w:r>
        <w:tab/>
        <w:t>Covered pipeline service provider must comply with queuing requirements</w:t>
      </w:r>
      <w:bookmarkEnd w:id="1578"/>
      <w:bookmarkEnd w:id="1579"/>
    </w:p>
    <w:p>
      <w:pPr>
        <w:keepLines/>
        <w:autoSpaceDE w:val="0"/>
        <w:autoSpaceDN w:val="0"/>
        <w:adjustRightInd w:val="0"/>
        <w:spacing w:before="120"/>
        <w:ind w:left="1588"/>
        <w:rPr>
          <w:color w:val="000000"/>
          <w:sz w:val="23"/>
          <w:szCs w:val="23"/>
        </w:rPr>
      </w:pPr>
      <w:r>
        <w:rPr>
          <w:color w:val="000000"/>
          <w:sz w:val="23"/>
          <w:szCs w:val="23"/>
        </w:rPr>
        <w:t>A covered pipeline service provider must comply with the queuing requirements of an applicable access arrangement.</w:t>
      </w:r>
    </w:p>
    <w:p>
      <w:pPr>
        <w:pStyle w:val="Heading5"/>
        <w:keepLines w:val="0"/>
      </w:pPr>
      <w:bookmarkStart w:id="1580" w:name="_Toc53046104"/>
      <w:bookmarkStart w:id="1581" w:name="_Toc5364944"/>
      <w:r>
        <w:rPr>
          <w:rStyle w:val="CharSectno"/>
        </w:rPr>
        <w:t>136</w:t>
      </w:r>
      <w:r>
        <w:t>.</w:t>
      </w:r>
      <w:r>
        <w:tab/>
        <w:t>Covered pipeline service provider providing light regulation services must not price discriminate</w:t>
      </w:r>
      <w:bookmarkEnd w:id="1580"/>
      <w:bookmarkEnd w:id="1581"/>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not engage in price discrimination when providing light regulation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if the covered pipeline service provider engages in price discrimination that is conducive to efficient service provision.</w:t>
      </w:r>
    </w:p>
    <w:p>
      <w:pPr>
        <w:pStyle w:val="Heading3"/>
      </w:pPr>
      <w:bookmarkStart w:id="1582" w:name="_Toc52954411"/>
      <w:bookmarkStart w:id="1583" w:name="_Toc52955707"/>
      <w:bookmarkStart w:id="1584" w:name="_Toc52957206"/>
      <w:bookmarkStart w:id="1585" w:name="_Toc52957989"/>
      <w:bookmarkStart w:id="1586" w:name="_Toc53045322"/>
      <w:bookmarkStart w:id="1587" w:name="_Toc53046105"/>
      <w:bookmarkStart w:id="1588" w:name="_Toc501634022"/>
      <w:bookmarkStart w:id="1589" w:name="_Toc501712918"/>
      <w:bookmarkStart w:id="1590" w:name="_Toc536782113"/>
      <w:bookmarkStart w:id="1591" w:name="_Toc5347171"/>
      <w:bookmarkStart w:id="1592" w:name="_Toc5363724"/>
      <w:bookmarkStart w:id="1593" w:name="_Toc5364945"/>
      <w:r>
        <w:rPr>
          <w:rStyle w:val="CharDivNo"/>
        </w:rPr>
        <w:t>Part 2</w:t>
      </w:r>
      <w:r>
        <w:t xml:space="preserve"> — </w:t>
      </w:r>
      <w:r>
        <w:rPr>
          <w:rStyle w:val="CharDivText"/>
        </w:rPr>
        <w:t>Structural and operational separation requirements (ring fencing)</w:t>
      </w:r>
      <w:bookmarkEnd w:id="1582"/>
      <w:bookmarkEnd w:id="1583"/>
      <w:bookmarkEnd w:id="1584"/>
      <w:bookmarkEnd w:id="1585"/>
      <w:bookmarkEnd w:id="1586"/>
      <w:bookmarkEnd w:id="1587"/>
      <w:bookmarkEnd w:id="1588"/>
      <w:bookmarkEnd w:id="1589"/>
      <w:bookmarkEnd w:id="1590"/>
      <w:bookmarkEnd w:id="1591"/>
      <w:bookmarkEnd w:id="1592"/>
      <w:bookmarkEnd w:id="1593"/>
    </w:p>
    <w:p>
      <w:pPr>
        <w:pStyle w:val="Heading4"/>
      </w:pPr>
      <w:bookmarkStart w:id="1594" w:name="_Toc52954412"/>
      <w:bookmarkStart w:id="1595" w:name="_Toc52955708"/>
      <w:bookmarkStart w:id="1596" w:name="_Toc52957207"/>
      <w:bookmarkStart w:id="1597" w:name="_Toc52957990"/>
      <w:bookmarkStart w:id="1598" w:name="_Toc53045323"/>
      <w:bookmarkStart w:id="1599" w:name="_Toc53046106"/>
      <w:bookmarkStart w:id="1600" w:name="_Toc501634023"/>
      <w:bookmarkStart w:id="1601" w:name="_Toc501712919"/>
      <w:bookmarkStart w:id="1602" w:name="_Toc536782114"/>
      <w:bookmarkStart w:id="1603" w:name="_Toc5347172"/>
      <w:bookmarkStart w:id="1604" w:name="_Toc5363725"/>
      <w:bookmarkStart w:id="1605" w:name="_Toc5364946"/>
      <w:r>
        <w:t>Division 1 — Interpretation</w:t>
      </w:r>
      <w:bookmarkEnd w:id="1594"/>
      <w:bookmarkEnd w:id="1595"/>
      <w:bookmarkEnd w:id="1596"/>
      <w:bookmarkEnd w:id="1597"/>
      <w:bookmarkEnd w:id="1598"/>
      <w:bookmarkEnd w:id="1599"/>
      <w:bookmarkEnd w:id="1600"/>
      <w:bookmarkEnd w:id="1601"/>
      <w:bookmarkEnd w:id="1602"/>
      <w:bookmarkEnd w:id="1603"/>
      <w:bookmarkEnd w:id="1604"/>
      <w:bookmarkEnd w:id="1605"/>
    </w:p>
    <w:p>
      <w:pPr>
        <w:pStyle w:val="Heading5"/>
      </w:pPr>
      <w:bookmarkStart w:id="1606" w:name="_Toc53046107"/>
      <w:bookmarkStart w:id="1607" w:name="_Toc5364947"/>
      <w:r>
        <w:rPr>
          <w:rStyle w:val="CharSectno"/>
        </w:rPr>
        <w:t>137</w:t>
      </w:r>
      <w:r>
        <w:t>.</w:t>
      </w:r>
      <w:r>
        <w:tab/>
        <w:t>Definitions</w:t>
      </w:r>
      <w:bookmarkEnd w:id="1606"/>
      <w:bookmarkEnd w:id="1607"/>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additional ring fencing requirement</w:t>
      </w:r>
      <w:r>
        <w:rPr>
          <w:bCs/>
          <w:i/>
          <w:iCs/>
          <w:color w:val="000000"/>
          <w:sz w:val="23"/>
          <w:szCs w:val="23"/>
        </w:rPr>
        <w:t xml:space="preserve"> </w:t>
      </w:r>
      <w:r>
        <w:rPr>
          <w:color w:val="000000"/>
          <w:sz w:val="23"/>
          <w:szCs w:val="23"/>
        </w:rPr>
        <w:t>has the meaning given by section 143(1);</w:t>
      </w:r>
    </w:p>
    <w:p>
      <w:pPr>
        <w:keepLines/>
        <w:autoSpaceDE w:val="0"/>
        <w:autoSpaceDN w:val="0"/>
        <w:adjustRightInd w:val="0"/>
        <w:spacing w:before="120"/>
        <w:ind w:left="1588"/>
        <w:rPr>
          <w:color w:val="000000"/>
          <w:sz w:val="23"/>
          <w:szCs w:val="23"/>
        </w:rPr>
      </w:pPr>
      <w:r>
        <w:rPr>
          <w:rStyle w:val="CharDefText"/>
          <w:bCs/>
          <w:sz w:val="23"/>
        </w:rPr>
        <w:t>compliance date</w:t>
      </w:r>
      <w:r>
        <w:rPr>
          <w:bCs/>
          <w:i/>
          <w:iCs/>
          <w:color w:val="000000"/>
          <w:sz w:val="23"/>
          <w:szCs w:val="23"/>
        </w:rPr>
        <w:t xml:space="preserve"> </w:t>
      </w:r>
      <w:r>
        <w:rPr>
          <w:color w:val="000000"/>
          <w:sz w:val="23"/>
          <w:szCs w:val="23"/>
        </w:rPr>
        <w:t>means the date that is 6 months after the date a pipeline becomes a covered pipeline;</w:t>
      </w:r>
    </w:p>
    <w:p>
      <w:pPr>
        <w:keepLines/>
        <w:autoSpaceDE w:val="0"/>
        <w:autoSpaceDN w:val="0"/>
        <w:adjustRightInd w:val="0"/>
        <w:spacing w:before="120"/>
        <w:ind w:left="1588"/>
        <w:rPr>
          <w:color w:val="000000"/>
          <w:sz w:val="23"/>
          <w:szCs w:val="23"/>
        </w:rPr>
      </w:pPr>
      <w:r>
        <w:rPr>
          <w:rStyle w:val="CharDefText"/>
          <w:bCs/>
          <w:sz w:val="23"/>
        </w:rPr>
        <w:t>marketing staff</w:t>
      </w:r>
      <w:r>
        <w:rPr>
          <w:bCs/>
          <w:i/>
          <w:iCs/>
          <w:color w:val="000000"/>
          <w:sz w:val="23"/>
          <w:szCs w:val="23"/>
        </w:rPr>
        <w:t xml:space="preserve"> </w:t>
      </w:r>
      <w:r>
        <w:rPr>
          <w:color w:val="000000"/>
          <w:sz w:val="23"/>
          <w:szCs w:val="23"/>
        </w:rPr>
        <w:t>has the meaning given by section 138;</w:t>
      </w:r>
    </w:p>
    <w:p>
      <w:pPr>
        <w:keepNext/>
        <w:keepLines/>
        <w:autoSpaceDE w:val="0"/>
        <w:autoSpaceDN w:val="0"/>
        <w:adjustRightInd w:val="0"/>
        <w:spacing w:before="120"/>
        <w:ind w:left="1588"/>
        <w:rPr>
          <w:color w:val="000000"/>
          <w:sz w:val="23"/>
          <w:szCs w:val="23"/>
        </w:rPr>
      </w:pPr>
      <w:r>
        <w:rPr>
          <w:rStyle w:val="CharDefText"/>
          <w:bCs/>
          <w:sz w:val="23"/>
        </w:rPr>
        <w:t>related business</w:t>
      </w:r>
      <w:r>
        <w:rPr>
          <w:bCs/>
          <w:i/>
          <w:iCs/>
          <w:color w:val="000000"/>
          <w:sz w:val="23"/>
          <w:szCs w:val="23"/>
        </w:rPr>
        <w:t xml:space="preserve"> </w:t>
      </w:r>
      <w:r>
        <w:rPr>
          <w:color w:val="000000"/>
          <w:sz w:val="23"/>
          <w:szCs w:val="23"/>
        </w:rPr>
        <w:t>means the business of producing, purchasing or selling natural gas or processable gas, but does not include purchasing or selling of natural gas or processable gas to the extent necessary—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the safe and reliable operation of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enable a service provider to provide balancing services in connection with a covered pipeline.</w:t>
      </w:r>
    </w:p>
    <w:p>
      <w:pPr>
        <w:pStyle w:val="Heading5"/>
      </w:pPr>
      <w:bookmarkStart w:id="1608" w:name="_Toc53046108"/>
      <w:bookmarkStart w:id="1609" w:name="_Toc5364948"/>
      <w:r>
        <w:rPr>
          <w:rStyle w:val="CharSectno"/>
        </w:rPr>
        <w:t>138</w:t>
      </w:r>
      <w:r>
        <w:t>.</w:t>
      </w:r>
      <w:r>
        <w:tab/>
        <w:t>Meaning of marketing staff</w:t>
      </w:r>
      <w:bookmarkEnd w:id="1608"/>
      <w:bookmarkEnd w:id="160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is marketing staff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an officer, employee, consultant or independent contractor or agent of the covered pipeline service provider;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directly involved in the sale, marketing or advertising of pipeline services (whether or not the person is also involved in other activities);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associate of 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an officer, employee, consultant or independent contractor or agent of the associate;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directly involved in the sale, marketing or advertising of pipeline services (whether or not the person is also involved in other activities).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is not marketing staff of a covered pipeline service provider, or an associate of a covered pipeline service provider,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person’s function or role (as an officer, employee, consultant or independent contractor or agent of a covered pipeline service provider, or an associate of a covered pipeline service provider) is only to provide technical, administrative, legal and accounting services to that provider or associate;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sale, marketing or advertising of pipeline services is only an incidental part of the person’s function or role (as an officer, employee, consultant or independent contractor or agent of a covered pipeline service provider, or an associate of a covered pipeline service provider).</w:t>
      </w:r>
    </w:p>
    <w:p>
      <w:pPr>
        <w:keepNext/>
        <w:autoSpaceDE w:val="0"/>
        <w:autoSpaceDN w:val="0"/>
        <w:adjustRightInd w:val="0"/>
        <w:spacing w:before="120"/>
        <w:ind w:left="1588" w:hanging="567"/>
        <w:rPr>
          <w:b/>
          <w:bCs/>
          <w:color w:val="000000"/>
          <w:sz w:val="20"/>
        </w:rPr>
      </w:pPr>
      <w:r>
        <w:rPr>
          <w:b/>
          <w:bCs/>
          <w:color w:val="000000"/>
          <w:sz w:val="20"/>
        </w:rPr>
        <w:t>Example—</w:t>
      </w:r>
    </w:p>
    <w:p>
      <w:pPr>
        <w:autoSpaceDE w:val="0"/>
        <w:autoSpaceDN w:val="0"/>
        <w:adjustRightInd w:val="0"/>
        <w:spacing w:before="120"/>
        <w:ind w:left="1588"/>
        <w:rPr>
          <w:color w:val="000000"/>
          <w:sz w:val="20"/>
        </w:rPr>
      </w:pPr>
      <w:r>
        <w:rPr>
          <w:color w:val="000000"/>
          <w:sz w:val="20"/>
        </w:rPr>
        <w:t>A person in the position of general manager of marketing of a covered pipeline service provider or an associate of a covered pipeline service provider would be marketing staff whereas a person in the position of chief executive officer, or chief financial officer, of a covered pipeline service provider or an associate of a covered pipeline service provider would not be marketing staff.</w:t>
      </w:r>
    </w:p>
    <w:p>
      <w:pPr>
        <w:pStyle w:val="Heading4"/>
      </w:pPr>
      <w:bookmarkStart w:id="1610" w:name="_Toc52954415"/>
      <w:bookmarkStart w:id="1611" w:name="_Toc52955711"/>
      <w:bookmarkStart w:id="1612" w:name="_Toc52957210"/>
      <w:bookmarkStart w:id="1613" w:name="_Toc52957993"/>
      <w:bookmarkStart w:id="1614" w:name="_Toc53045326"/>
      <w:bookmarkStart w:id="1615" w:name="_Toc53046109"/>
      <w:bookmarkStart w:id="1616" w:name="_Toc501634026"/>
      <w:bookmarkStart w:id="1617" w:name="_Toc501712922"/>
      <w:bookmarkStart w:id="1618" w:name="_Toc536782117"/>
      <w:bookmarkStart w:id="1619" w:name="_Toc5347175"/>
      <w:bookmarkStart w:id="1620" w:name="_Toc5363728"/>
      <w:bookmarkStart w:id="1621" w:name="_Toc5364949"/>
      <w:r>
        <w:t>Division 2 — Minimum ring fencing requirements</w:t>
      </w:r>
      <w:bookmarkEnd w:id="1610"/>
      <w:bookmarkEnd w:id="1611"/>
      <w:bookmarkEnd w:id="1612"/>
      <w:bookmarkEnd w:id="1613"/>
      <w:bookmarkEnd w:id="1614"/>
      <w:bookmarkEnd w:id="1615"/>
      <w:bookmarkEnd w:id="1616"/>
      <w:bookmarkEnd w:id="1617"/>
      <w:bookmarkEnd w:id="1618"/>
      <w:bookmarkEnd w:id="1619"/>
      <w:bookmarkEnd w:id="1620"/>
      <w:bookmarkEnd w:id="1621"/>
    </w:p>
    <w:p>
      <w:pPr>
        <w:pStyle w:val="Heading5"/>
      </w:pPr>
      <w:bookmarkStart w:id="1622" w:name="_Toc53046110"/>
      <w:bookmarkStart w:id="1623" w:name="_Toc5364950"/>
      <w:r>
        <w:rPr>
          <w:rStyle w:val="CharSectno"/>
        </w:rPr>
        <w:t>139</w:t>
      </w:r>
      <w:r>
        <w:t>.</w:t>
      </w:r>
      <w:r>
        <w:tab/>
        <w:t>Carrying on of related businesses prohibited</w:t>
      </w:r>
      <w:bookmarkEnd w:id="1622"/>
      <w:bookmarkEnd w:id="1623"/>
    </w:p>
    <w:p>
      <w:pPr>
        <w:keepLines/>
        <w:autoSpaceDE w:val="0"/>
        <w:autoSpaceDN w:val="0"/>
        <w:adjustRightInd w:val="0"/>
        <w:spacing w:before="120"/>
        <w:ind w:left="1588"/>
        <w:rPr>
          <w:color w:val="000000"/>
          <w:sz w:val="23"/>
          <w:szCs w:val="23"/>
        </w:rPr>
      </w:pPr>
      <w:r>
        <w:rPr>
          <w:color w:val="000000"/>
          <w:sz w:val="23"/>
          <w:szCs w:val="23"/>
        </w:rPr>
        <w:t>On and after the compliance date, a covered pipeline service provider must not carry on a related business.</w:t>
      </w:r>
    </w:p>
    <w:p>
      <w:pPr>
        <w:pStyle w:val="Heading5"/>
      </w:pPr>
      <w:bookmarkStart w:id="1624" w:name="_Toc53046111"/>
      <w:bookmarkStart w:id="1625" w:name="_Toc5364951"/>
      <w:r>
        <w:rPr>
          <w:rStyle w:val="CharSectno"/>
        </w:rPr>
        <w:t>140</w:t>
      </w:r>
      <w:r>
        <w:t>.</w:t>
      </w:r>
      <w:r>
        <w:tab/>
        <w:t>Marketing staff and the taking part in related businesses</w:t>
      </w:r>
      <w:bookmarkEnd w:id="1624"/>
      <w:bookmarkEnd w:id="162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and after the compliance date, a covered pipeline service provider must ensure that none of its marketing staff are officers, employees, consultants, independent contractors or agents of an associate of the covered pipeline service provider that takes part in a related business.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compliance date, a covered pipeline service provider must ensure that none of its officers, employees, consultants, independent contractors or agents are marketing staff of an associate of the covered pipeline service provider that takes part in a related business.</w:t>
      </w:r>
    </w:p>
    <w:p>
      <w:pPr>
        <w:pStyle w:val="Heading5"/>
      </w:pPr>
      <w:bookmarkStart w:id="1626" w:name="_Toc53046112"/>
      <w:bookmarkStart w:id="1627" w:name="_Toc5364952"/>
      <w:r>
        <w:rPr>
          <w:rStyle w:val="CharSectno"/>
        </w:rPr>
        <w:t>141</w:t>
      </w:r>
      <w:r>
        <w:t>.</w:t>
      </w:r>
      <w:r>
        <w:tab/>
        <w:t>Accounts that must be prepared, maintained and kept</w:t>
      </w:r>
      <w:bookmarkEnd w:id="1626"/>
      <w:bookmarkEnd w:id="1627"/>
    </w:p>
    <w:p>
      <w:pPr>
        <w:keepNext/>
        <w:keepLines/>
        <w:autoSpaceDE w:val="0"/>
        <w:autoSpaceDN w:val="0"/>
        <w:adjustRightInd w:val="0"/>
        <w:spacing w:before="120"/>
        <w:ind w:left="1588"/>
        <w:rPr>
          <w:color w:val="000000"/>
          <w:sz w:val="23"/>
          <w:szCs w:val="23"/>
        </w:rPr>
      </w:pPr>
      <w:r>
        <w:rPr>
          <w:color w:val="000000"/>
          <w:sz w:val="23"/>
          <w:szCs w:val="23"/>
        </w:rPr>
        <w:t>On and after the compliance date, a covered pipeline service provider must prepare, maintain and keep—</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separate accounts in respect of pipeline services provided by means of every covered pipeline owned, operated or controlled by the covered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consolidated set of accounts in respect of the whole of the business of the covered pipeline service provider.</w:t>
      </w:r>
    </w:p>
    <w:p>
      <w:pPr>
        <w:pStyle w:val="Heading4"/>
      </w:pPr>
      <w:bookmarkStart w:id="1628" w:name="_Toc52954419"/>
      <w:bookmarkStart w:id="1629" w:name="_Toc52955715"/>
      <w:bookmarkStart w:id="1630" w:name="_Toc52957214"/>
      <w:bookmarkStart w:id="1631" w:name="_Toc52957997"/>
      <w:bookmarkStart w:id="1632" w:name="_Toc53045330"/>
      <w:bookmarkStart w:id="1633" w:name="_Toc53046113"/>
      <w:bookmarkStart w:id="1634" w:name="_Toc501634030"/>
      <w:bookmarkStart w:id="1635" w:name="_Toc501712926"/>
      <w:bookmarkStart w:id="1636" w:name="_Toc536782121"/>
      <w:bookmarkStart w:id="1637" w:name="_Toc5347179"/>
      <w:bookmarkStart w:id="1638" w:name="_Toc5363732"/>
      <w:bookmarkStart w:id="1639" w:name="_Toc5364953"/>
      <w:r>
        <w:t>Division 3 — Additional ring fencing requirements</w:t>
      </w:r>
      <w:bookmarkEnd w:id="1628"/>
      <w:bookmarkEnd w:id="1629"/>
      <w:bookmarkEnd w:id="1630"/>
      <w:bookmarkEnd w:id="1631"/>
      <w:bookmarkEnd w:id="1632"/>
      <w:bookmarkEnd w:id="1633"/>
      <w:bookmarkEnd w:id="1634"/>
      <w:bookmarkEnd w:id="1635"/>
      <w:bookmarkEnd w:id="1636"/>
      <w:bookmarkEnd w:id="1637"/>
      <w:bookmarkEnd w:id="1638"/>
      <w:bookmarkEnd w:id="1639"/>
    </w:p>
    <w:p>
      <w:pPr>
        <w:pStyle w:val="Heading5"/>
      </w:pPr>
      <w:bookmarkStart w:id="1640" w:name="_Toc53046114"/>
      <w:bookmarkStart w:id="1641" w:name="_Toc5364954"/>
      <w:r>
        <w:rPr>
          <w:rStyle w:val="CharSectno"/>
        </w:rPr>
        <w:t>142</w:t>
      </w:r>
      <w:r>
        <w:t>.</w:t>
      </w:r>
      <w:r>
        <w:tab/>
        <w:t>Division does not limit operation of Division 2</w:t>
      </w:r>
      <w:bookmarkEnd w:id="1640"/>
      <w:bookmarkEnd w:id="1641"/>
    </w:p>
    <w:p>
      <w:pPr>
        <w:keepLines/>
        <w:autoSpaceDE w:val="0"/>
        <w:autoSpaceDN w:val="0"/>
        <w:adjustRightInd w:val="0"/>
        <w:spacing w:before="120"/>
        <w:ind w:left="1588"/>
        <w:rPr>
          <w:color w:val="000000"/>
          <w:sz w:val="23"/>
          <w:szCs w:val="23"/>
        </w:rPr>
      </w:pPr>
      <w:r>
        <w:rPr>
          <w:color w:val="000000"/>
          <w:sz w:val="23"/>
          <w:szCs w:val="23"/>
        </w:rPr>
        <w:t>This Division does not limit Division 2.</w:t>
      </w:r>
    </w:p>
    <w:p>
      <w:pPr>
        <w:pStyle w:val="Heading5"/>
      </w:pPr>
      <w:bookmarkStart w:id="1642" w:name="_Toc53046115"/>
      <w:bookmarkStart w:id="1643" w:name="_Toc5364955"/>
      <w:r>
        <w:t>143.</w:t>
      </w:r>
      <w:r>
        <w:tab/>
        <w:t>AER ring fencing determinations</w:t>
      </w:r>
      <w:bookmarkEnd w:id="1642"/>
      <w:bookmarkEnd w:id="164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Division and subject to and in accordance with the Rules, the AER may make a determination requiring a covered pipeline service provider or associate of a covered pipeline service provider named in the determination to do, or refrain from doing, a thing specified in the determination (an </w:t>
      </w:r>
      <w:r>
        <w:rPr>
          <w:rStyle w:val="CharDefText"/>
          <w:bCs/>
          <w:sz w:val="23"/>
        </w:rPr>
        <w:t>additional ring fencing requirement</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specifying an additional ring fencing requirement the AER must have regard to the following principles: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where 1 part of the business of a covered pipeline service provider (</w:t>
      </w:r>
      <w:r>
        <w:rPr>
          <w:rStyle w:val="CharDefText"/>
          <w:sz w:val="23"/>
        </w:rPr>
        <w:t>business unit A</w:t>
      </w:r>
      <w:r>
        <w:rPr>
          <w:color w:val="000000"/>
          <w:sz w:val="23"/>
          <w:szCs w:val="23"/>
        </w:rPr>
        <w:t>) is providing pipeline services to another part of the business of the covered pipeline service provider (</w:t>
      </w:r>
      <w:r>
        <w:rPr>
          <w:rStyle w:val="CharDefText"/>
          <w:bCs/>
          <w:sz w:val="23"/>
        </w:rPr>
        <w:t>business unit B</w:t>
      </w:r>
      <w:r>
        <w:rPr>
          <w:color w:val="000000"/>
          <w:sz w:val="23"/>
          <w:szCs w:val="23"/>
        </w:rPr>
        <w:t>), the covered pipeline service provider must ensure that business unit A provides the pipeline services to business unit B as if business unit B were a separate unrelated entity;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where a covered pipeline service provider is providing pipeline services to an associate of the service provider, the covered pipeline service provider must ensure that those services are provided as if the associate of the covered pipeline service provider were a separate unrelated entity;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users and prospective users should have sufficient information in order to understand whether a covered pipeline service provider is complying with paragraph (a) or (b).</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notify, in writing, the covered pipeline service provider or associate named in the AER ring fencing determination of the making of that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covered pipeline service provider or associate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An AER ring fencing determination must specify the date on and after which the covered pipeline service provider or associate of a covered pipeline service provider must do, or refrain from doing, a thing specified in the determination (a </w:t>
      </w:r>
      <w:r>
        <w:rPr>
          <w:rStyle w:val="CharDefText"/>
          <w:bCs/>
          <w:sz w:val="23"/>
        </w:rPr>
        <w:t>notified compliance date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notified compliance date must not be a date that is earlier than 10 business days after the date the covered pipeline service provider or associate of a covered pipeline service provider is given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covered pipeline service provider or associate of a covered pipeline service provider must comply with every additional ring fencing requirement specified in an AER ring fencing determination on and after the notified compliance date.</w:t>
      </w:r>
    </w:p>
    <w:p>
      <w:pPr>
        <w:pStyle w:val="Heading5"/>
        <w:spacing w:before="120"/>
      </w:pPr>
      <w:bookmarkStart w:id="1644" w:name="_Toc53046116"/>
      <w:bookmarkStart w:id="1645" w:name="_Toc5364956"/>
      <w:r>
        <w:rPr>
          <w:rStyle w:val="CharSectno"/>
        </w:rPr>
        <w:t>144</w:t>
      </w:r>
      <w:r>
        <w:t>.</w:t>
      </w:r>
      <w:r>
        <w:tab/>
        <w:t>AER to have regard to likely compliance costs of additional ring fencing requirements</w:t>
      </w:r>
      <w:bookmarkEnd w:id="1644"/>
      <w:bookmarkEnd w:id="1645"/>
    </w:p>
    <w:p>
      <w:pPr>
        <w:keepNext/>
        <w:keepLines/>
        <w:autoSpaceDE w:val="0"/>
        <w:autoSpaceDN w:val="0"/>
        <w:adjustRightInd w:val="0"/>
        <w:spacing w:before="120"/>
        <w:ind w:left="1588"/>
        <w:rPr>
          <w:color w:val="000000"/>
          <w:sz w:val="23"/>
          <w:szCs w:val="23"/>
        </w:rPr>
      </w:pPr>
      <w:r>
        <w:rPr>
          <w:color w:val="000000"/>
          <w:sz w:val="23"/>
          <w:szCs w:val="23"/>
        </w:rPr>
        <w:t>In making an AER ring fencing determination the AER must have regard to the likely costs that may be incurred by,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efficient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efficient associate of a covered pipeline service provider,</w:t>
      </w:r>
    </w:p>
    <w:p>
      <w:pPr>
        <w:keepLines/>
        <w:autoSpaceDE w:val="0"/>
        <w:autoSpaceDN w:val="0"/>
        <w:adjustRightInd w:val="0"/>
        <w:spacing w:before="120"/>
        <w:ind w:left="1588"/>
        <w:rPr>
          <w:color w:val="000000"/>
          <w:sz w:val="23"/>
          <w:szCs w:val="23"/>
        </w:rPr>
      </w:pPr>
      <w:r>
        <w:rPr>
          <w:color w:val="000000"/>
          <w:sz w:val="23"/>
          <w:szCs w:val="23"/>
        </w:rPr>
        <w:t>in complying with an additional ring fencing requirement specified in the determination.</w:t>
      </w:r>
    </w:p>
    <w:p>
      <w:pPr>
        <w:pStyle w:val="Heading5"/>
      </w:pPr>
      <w:bookmarkStart w:id="1646" w:name="_Toc53046117"/>
      <w:bookmarkStart w:id="1647" w:name="_Toc5364957"/>
      <w:r>
        <w:rPr>
          <w:rStyle w:val="CharSectno"/>
        </w:rPr>
        <w:t>145</w:t>
      </w:r>
      <w:r>
        <w:t>.</w:t>
      </w:r>
      <w:r>
        <w:tab/>
        <w:t>Types of ring fencing requirements that may be specified in an AER ring fencing determination</w:t>
      </w:r>
      <w:bookmarkEnd w:id="1646"/>
      <w:bookmarkEnd w:id="1647"/>
    </w:p>
    <w:p>
      <w:pPr>
        <w:keepNext/>
        <w:keepLines/>
        <w:autoSpaceDE w:val="0"/>
        <w:autoSpaceDN w:val="0"/>
        <w:adjustRightInd w:val="0"/>
        <w:spacing w:before="120"/>
        <w:ind w:left="1588"/>
        <w:rPr>
          <w:color w:val="000000"/>
          <w:sz w:val="23"/>
          <w:szCs w:val="23"/>
        </w:rPr>
      </w:pPr>
      <w:r>
        <w:rPr>
          <w:color w:val="000000"/>
          <w:sz w:val="23"/>
          <w:szCs w:val="23"/>
        </w:rPr>
        <w:t>Without limiting what may be specified as an additional ring fencing requirement, the AER, in an AER ring fencing determination, may require a covered pipeline service provider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ensure that its business and business activities are conducted, structured and arranged in the particular manner specified;</w:t>
      </w:r>
    </w:p>
    <w:p>
      <w:pPr>
        <w:keepNext/>
        <w:keepLines/>
        <w:autoSpaceDE w:val="0"/>
        <w:autoSpaceDN w:val="0"/>
        <w:adjustRightInd w:val="0"/>
        <w:spacing w:before="120"/>
        <w:ind w:left="3176" w:hanging="794"/>
        <w:rPr>
          <w:b/>
          <w:bCs/>
          <w:color w:val="000000"/>
          <w:sz w:val="20"/>
        </w:rPr>
      </w:pPr>
      <w:r>
        <w:rPr>
          <w:b/>
          <w:bCs/>
          <w:color w:val="000000"/>
          <w:sz w:val="20"/>
        </w:rPr>
        <w:t>Example 1—</w:t>
      </w:r>
    </w:p>
    <w:p>
      <w:pPr>
        <w:keepLines/>
        <w:autoSpaceDE w:val="0"/>
        <w:autoSpaceDN w:val="0"/>
        <w:adjustRightInd w:val="0"/>
        <w:spacing w:before="120"/>
        <w:ind w:left="3176"/>
        <w:rPr>
          <w:color w:val="000000"/>
          <w:sz w:val="20"/>
        </w:rPr>
      </w:pPr>
      <w:r>
        <w:rPr>
          <w:color w:val="000000"/>
          <w:sz w:val="20"/>
        </w:rPr>
        <w:t>An AER ring fencing determination may require the covered pipeline service provider to ensure that persons employed or engaged by the covered pipeline service provider in relation to the provision of pipeline services are not also associates, or employed by associates, of the covered pipeline service provider that take part in a related business and how this must be effected.</w:t>
      </w:r>
    </w:p>
    <w:p>
      <w:pPr>
        <w:keepNext/>
        <w:keepLines/>
        <w:autoSpaceDE w:val="0"/>
        <w:autoSpaceDN w:val="0"/>
        <w:adjustRightInd w:val="0"/>
        <w:spacing w:before="120"/>
        <w:ind w:left="3176" w:hanging="794"/>
        <w:rPr>
          <w:b/>
          <w:bCs/>
          <w:color w:val="000000"/>
          <w:sz w:val="20"/>
        </w:rPr>
      </w:pPr>
      <w:r>
        <w:rPr>
          <w:b/>
          <w:bCs/>
          <w:color w:val="000000"/>
          <w:sz w:val="20"/>
        </w:rPr>
        <w:t>Example 2—</w:t>
      </w:r>
    </w:p>
    <w:p>
      <w:pPr>
        <w:keepLines/>
        <w:autoSpaceDE w:val="0"/>
        <w:autoSpaceDN w:val="0"/>
        <w:adjustRightInd w:val="0"/>
        <w:spacing w:before="120"/>
        <w:ind w:left="3176"/>
        <w:rPr>
          <w:color w:val="000000"/>
          <w:sz w:val="20"/>
        </w:rPr>
      </w:pPr>
      <w:r>
        <w:rPr>
          <w:color w:val="000000"/>
          <w:sz w:val="20"/>
        </w:rPr>
        <w:t>An AER ring fencing determination may require the covered pipeline service provider to put in place electronic, physical and procedural security measures in respect of the offices and computer systems of the covered pipeline service provider, and of the offices and computer systems of its associates, so that certain specified employees or persons engaged by the covered pipeline service provider do not have access to certain specified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 specified manner, disclose, to the AER and to the public, specified information in a specified manner about its business operations, structure and arrangements, and its business activities.</w:t>
      </w:r>
    </w:p>
    <w:p>
      <w:pPr>
        <w:pStyle w:val="Heading4"/>
      </w:pPr>
      <w:bookmarkStart w:id="1648" w:name="_Toc52954424"/>
      <w:bookmarkStart w:id="1649" w:name="_Toc52955720"/>
      <w:bookmarkStart w:id="1650" w:name="_Toc52957219"/>
      <w:bookmarkStart w:id="1651" w:name="_Toc52958002"/>
      <w:bookmarkStart w:id="1652" w:name="_Toc53045335"/>
      <w:bookmarkStart w:id="1653" w:name="_Toc53046118"/>
      <w:bookmarkStart w:id="1654" w:name="_Toc501634035"/>
      <w:bookmarkStart w:id="1655" w:name="_Toc501712931"/>
      <w:bookmarkStart w:id="1656" w:name="_Toc536782126"/>
      <w:bookmarkStart w:id="1657" w:name="_Toc5347184"/>
      <w:bookmarkStart w:id="1658" w:name="_Toc5363737"/>
      <w:bookmarkStart w:id="1659" w:name="_Toc5364958"/>
      <w:r>
        <w:t>Division 4 — AER ring fencing exemptions</w:t>
      </w:r>
      <w:bookmarkEnd w:id="1648"/>
      <w:bookmarkEnd w:id="1649"/>
      <w:bookmarkEnd w:id="1650"/>
      <w:bookmarkEnd w:id="1651"/>
      <w:bookmarkEnd w:id="1652"/>
      <w:bookmarkEnd w:id="1653"/>
      <w:bookmarkEnd w:id="1654"/>
      <w:bookmarkEnd w:id="1655"/>
      <w:bookmarkEnd w:id="1656"/>
      <w:bookmarkEnd w:id="1657"/>
      <w:bookmarkEnd w:id="1658"/>
      <w:bookmarkEnd w:id="1659"/>
    </w:p>
    <w:p>
      <w:pPr>
        <w:pStyle w:val="Heading5"/>
      </w:pPr>
      <w:bookmarkStart w:id="1660" w:name="_Toc53046119"/>
      <w:bookmarkStart w:id="1661" w:name="_Toc5364959"/>
      <w:r>
        <w:rPr>
          <w:rStyle w:val="CharSectno"/>
        </w:rPr>
        <w:t>146</w:t>
      </w:r>
      <w:r>
        <w:t>.</w:t>
      </w:r>
      <w:r>
        <w:tab/>
        <w:t>Exemptions from minimum ring fencing requirements</w:t>
      </w:r>
      <w:bookmarkEnd w:id="1660"/>
      <w:bookmarkEnd w:id="166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may, in accordance with the Rules, apply to the AER for an exemption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under section 141.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receiving an application under subsection (1), the AER, subject to and in accordance with the Rules, may exempt a covered pipeline service provider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under section 141.</w:t>
      </w:r>
    </w:p>
    <w:p>
      <w:pPr>
        <w:pStyle w:val="Heading4"/>
      </w:pPr>
      <w:bookmarkStart w:id="1662" w:name="_Toc52954426"/>
      <w:bookmarkStart w:id="1663" w:name="_Toc52955722"/>
      <w:bookmarkStart w:id="1664" w:name="_Toc52957221"/>
      <w:bookmarkStart w:id="1665" w:name="_Toc52958004"/>
      <w:bookmarkStart w:id="1666" w:name="_Toc53045337"/>
      <w:bookmarkStart w:id="1667" w:name="_Toc53046120"/>
      <w:bookmarkStart w:id="1668" w:name="_Toc501634037"/>
      <w:bookmarkStart w:id="1669" w:name="_Toc501712933"/>
      <w:bookmarkStart w:id="1670" w:name="_Toc536782128"/>
      <w:bookmarkStart w:id="1671" w:name="_Toc5347186"/>
      <w:bookmarkStart w:id="1672" w:name="_Toc5363739"/>
      <w:bookmarkStart w:id="1673" w:name="_Toc5364960"/>
      <w:r>
        <w:t>Division 5 — Associate contracts</w:t>
      </w:r>
      <w:bookmarkEnd w:id="1662"/>
      <w:bookmarkEnd w:id="1663"/>
      <w:bookmarkEnd w:id="1664"/>
      <w:bookmarkEnd w:id="1665"/>
      <w:bookmarkEnd w:id="1666"/>
      <w:bookmarkEnd w:id="1667"/>
      <w:bookmarkEnd w:id="1668"/>
      <w:bookmarkEnd w:id="1669"/>
      <w:bookmarkEnd w:id="1670"/>
      <w:bookmarkEnd w:id="1671"/>
      <w:bookmarkEnd w:id="1672"/>
      <w:bookmarkEnd w:id="1673"/>
    </w:p>
    <w:p>
      <w:pPr>
        <w:pStyle w:val="Heading5"/>
      </w:pPr>
      <w:bookmarkStart w:id="1674" w:name="_Toc53046121"/>
      <w:bookmarkStart w:id="1675" w:name="_Toc5364961"/>
      <w:r>
        <w:rPr>
          <w:rStyle w:val="CharSectno"/>
        </w:rPr>
        <w:t>147</w:t>
      </w:r>
      <w:r>
        <w:t>.</w:t>
      </w:r>
      <w:r>
        <w:tab/>
        <w:t>Service provider must not enter into or give effect to associate contracts that have anti</w:t>
      </w:r>
      <w:r>
        <w:noBreakHyphen/>
        <w:t>competitive effect</w:t>
      </w:r>
      <w:bookmarkEnd w:id="1674"/>
      <w:bookmarkEnd w:id="1675"/>
    </w:p>
    <w:p>
      <w:pPr>
        <w:keepNext/>
        <w:keepLines/>
        <w:autoSpaceDE w:val="0"/>
        <w:autoSpaceDN w:val="0"/>
        <w:adjustRightInd w:val="0"/>
        <w:spacing w:before="120"/>
        <w:ind w:left="1588"/>
        <w:rPr>
          <w:color w:val="000000"/>
          <w:sz w:val="23"/>
          <w:szCs w:val="23"/>
        </w:rPr>
      </w:pPr>
      <w:r>
        <w:rPr>
          <w:color w:val="000000"/>
          <w:sz w:val="23"/>
          <w:szCs w:val="23"/>
        </w:rPr>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enter into an associate contract that has;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an associate contract so that contract, as varied, has;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effect to a provision of an associate contract that has,</w:t>
      </w:r>
    </w:p>
    <w:p>
      <w:pPr>
        <w:keepLines/>
        <w:autoSpaceDE w:val="0"/>
        <w:autoSpaceDN w:val="0"/>
        <w:adjustRightInd w:val="0"/>
        <w:spacing w:before="120"/>
        <w:ind w:left="1588"/>
        <w:rPr>
          <w:color w:val="000000"/>
          <w:sz w:val="23"/>
          <w:szCs w:val="23"/>
        </w:rPr>
      </w:pPr>
      <w:r>
        <w:rPr>
          <w:color w:val="000000"/>
          <w:sz w:val="23"/>
          <w:szCs w:val="23"/>
        </w:rPr>
        <w:t>the purpose, or would have or be likely to have the effect, of substantially lessening competition in a market for natural gas services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associate contract is an approved associate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that provision is contained in an approved associate contract.</w:t>
      </w:r>
    </w:p>
    <w:p>
      <w:pPr>
        <w:pStyle w:val="Heading5"/>
      </w:pPr>
      <w:bookmarkStart w:id="1676" w:name="_Toc53046122"/>
      <w:bookmarkStart w:id="1677" w:name="_Toc5364962"/>
      <w:r>
        <w:rPr>
          <w:rStyle w:val="CharSectno"/>
        </w:rPr>
        <w:t>148</w:t>
      </w:r>
      <w:r>
        <w:t>.</w:t>
      </w:r>
      <w:r>
        <w:tab/>
        <w:t>Service provider must not enter into or give effect to associate contracts inconsistent with competitive parity rule</w:t>
      </w:r>
      <w:bookmarkEnd w:id="1676"/>
      <w:bookmarkEnd w:id="167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enter into an associate contract that 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an associate contract so that contract, as varied, 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effect to a provision of an associate contract that is,</w:t>
      </w:r>
    </w:p>
    <w:p>
      <w:pPr>
        <w:keepLines/>
        <w:autoSpaceDE w:val="0"/>
        <w:autoSpaceDN w:val="0"/>
        <w:adjustRightInd w:val="0"/>
        <w:spacing w:before="120"/>
        <w:ind w:left="1588"/>
        <w:rPr>
          <w:color w:val="000000"/>
          <w:sz w:val="23"/>
          <w:szCs w:val="23"/>
        </w:rPr>
      </w:pPr>
      <w:r>
        <w:rPr>
          <w:color w:val="000000"/>
          <w:sz w:val="23"/>
          <w:szCs w:val="23"/>
        </w:rPr>
        <w:t>inconsistent with the competitive parity rule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associate contract is an approved associated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that provision is contained in an approved associate contract.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and any Rules made for the purposes of that subsection, the competitive parity rule is the rule that a covered pipeline service provider must ensure that any pipeline services that the covered pipeline service provider provides to an associate of the covered pipeline service provider are provided to that associate as if that associate were a separate unrelated entity.</w:t>
      </w:r>
    </w:p>
    <w:p>
      <w:pPr>
        <w:pStyle w:val="Heading2"/>
      </w:pPr>
      <w:bookmarkStart w:id="1678" w:name="_Toc52954429"/>
      <w:bookmarkStart w:id="1679" w:name="_Toc52955725"/>
      <w:bookmarkStart w:id="1680" w:name="_Toc52957224"/>
      <w:bookmarkStart w:id="1681" w:name="_Toc52958007"/>
      <w:bookmarkStart w:id="1682" w:name="_Toc53045340"/>
      <w:bookmarkStart w:id="1683" w:name="_Toc53046123"/>
      <w:bookmarkStart w:id="1684" w:name="_Toc501634040"/>
      <w:bookmarkStart w:id="1685" w:name="_Toc501712936"/>
      <w:bookmarkStart w:id="1686" w:name="_Toc536782131"/>
      <w:bookmarkStart w:id="1687" w:name="_Toc5347189"/>
      <w:bookmarkStart w:id="1688" w:name="_Toc5363742"/>
      <w:bookmarkStart w:id="1689" w:name="_Toc5364963"/>
      <w:r>
        <w:rPr>
          <w:rStyle w:val="CharPartNo"/>
        </w:rPr>
        <w:t>Chapter 5</w:t>
      </w:r>
      <w:r>
        <w:t xml:space="preserve"> — </w:t>
      </w:r>
      <w:r>
        <w:rPr>
          <w:rStyle w:val="CharPartText"/>
        </w:rPr>
        <w:t>Greenfields pipeline incentives</w:t>
      </w:r>
      <w:bookmarkEnd w:id="1678"/>
      <w:bookmarkEnd w:id="1679"/>
      <w:bookmarkEnd w:id="1680"/>
      <w:bookmarkEnd w:id="1681"/>
      <w:bookmarkEnd w:id="1682"/>
      <w:bookmarkEnd w:id="1683"/>
      <w:bookmarkEnd w:id="1684"/>
      <w:bookmarkEnd w:id="1685"/>
      <w:bookmarkEnd w:id="1686"/>
      <w:bookmarkEnd w:id="1687"/>
      <w:bookmarkEnd w:id="1688"/>
      <w:bookmarkEnd w:id="1689"/>
    </w:p>
    <w:p>
      <w:pPr>
        <w:pStyle w:val="Heading3"/>
      </w:pPr>
      <w:bookmarkStart w:id="1690" w:name="_Toc52954430"/>
      <w:bookmarkStart w:id="1691" w:name="_Toc52955726"/>
      <w:bookmarkStart w:id="1692" w:name="_Toc52957225"/>
      <w:bookmarkStart w:id="1693" w:name="_Toc52958008"/>
      <w:bookmarkStart w:id="1694" w:name="_Toc53045341"/>
      <w:bookmarkStart w:id="1695" w:name="_Toc53046124"/>
      <w:bookmarkStart w:id="1696" w:name="_Toc501634041"/>
      <w:bookmarkStart w:id="1697" w:name="_Toc501712937"/>
      <w:bookmarkStart w:id="1698" w:name="_Toc536782132"/>
      <w:bookmarkStart w:id="1699" w:name="_Toc5347190"/>
      <w:bookmarkStart w:id="1700" w:name="_Toc5363743"/>
      <w:bookmarkStart w:id="1701" w:name="_Toc5364964"/>
      <w:r>
        <w:rPr>
          <w:rStyle w:val="CharDivNo"/>
        </w:rPr>
        <w:t>Part 1</w:t>
      </w:r>
      <w:r>
        <w:t xml:space="preserve"> — </w:t>
      </w:r>
      <w:r>
        <w:rPr>
          <w:rStyle w:val="CharDivText"/>
        </w:rPr>
        <w:t>Interpretation</w:t>
      </w:r>
      <w:bookmarkEnd w:id="1690"/>
      <w:bookmarkEnd w:id="1691"/>
      <w:bookmarkEnd w:id="1692"/>
      <w:bookmarkEnd w:id="1693"/>
      <w:bookmarkEnd w:id="1694"/>
      <w:bookmarkEnd w:id="1695"/>
      <w:bookmarkEnd w:id="1696"/>
      <w:bookmarkEnd w:id="1697"/>
      <w:bookmarkEnd w:id="1698"/>
      <w:bookmarkEnd w:id="1699"/>
      <w:bookmarkEnd w:id="1700"/>
      <w:bookmarkEnd w:id="1701"/>
    </w:p>
    <w:p>
      <w:pPr>
        <w:pStyle w:val="Heading5"/>
      </w:pPr>
      <w:bookmarkStart w:id="1702" w:name="_Toc53046125"/>
      <w:bookmarkStart w:id="1703" w:name="_Toc5364965"/>
      <w:r>
        <w:rPr>
          <w:rStyle w:val="CharSectno"/>
        </w:rPr>
        <w:t>149</w:t>
      </w:r>
      <w:r>
        <w:t>.</w:t>
      </w:r>
      <w:r>
        <w:tab/>
        <w:t>Definitions</w:t>
      </w:r>
      <w:bookmarkEnd w:id="1702"/>
      <w:bookmarkEnd w:id="1703"/>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excluded infrastructure</w:t>
      </w:r>
      <w:r>
        <w:rPr>
          <w:color w:val="000000"/>
          <w:sz w:val="23"/>
          <w:szCs w:val="23"/>
        </w:rPr>
        <w:t>, in relation to a pipeline, means tanks, reservoirs, machinery, equipment or other infrastructure that forms part of the pipeline but is classified by the Rules as excluded infrastructure for the purposes of this Law;</w:t>
      </w:r>
    </w:p>
    <w:p>
      <w:pPr>
        <w:keepNext/>
        <w:keepLines/>
        <w:autoSpaceDE w:val="0"/>
        <w:autoSpaceDN w:val="0"/>
        <w:adjustRightInd w:val="0"/>
        <w:spacing w:before="120"/>
        <w:ind w:left="1588"/>
        <w:rPr>
          <w:color w:val="000000"/>
          <w:sz w:val="23"/>
          <w:szCs w:val="23"/>
        </w:rPr>
      </w:pPr>
      <w:r>
        <w:rPr>
          <w:rStyle w:val="CharDefText"/>
          <w:bCs/>
          <w:sz w:val="23"/>
        </w:rPr>
        <w:t>greenfields pipeline project</w:t>
      </w:r>
      <w:r>
        <w:rPr>
          <w:bCs/>
          <w:i/>
          <w:iCs/>
          <w:color w:val="000000"/>
          <w:sz w:val="23"/>
          <w:szCs w:val="23"/>
        </w:rPr>
        <w:t xml:space="preserve"> </w:t>
      </w:r>
      <w:r>
        <w:rPr>
          <w:color w:val="000000"/>
          <w:sz w:val="23"/>
          <w:szCs w:val="23"/>
        </w:rPr>
        <w:t>means a project for the construction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that is to be structurally separate from any existing pipeline (whether or not it is to traverse a route different from the route of an existing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major extension to an existing pipeline that is not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major extension to a covered pipeline by means of which light regulation services are provided if that extension is exempted by the AER under section 19.</w:t>
      </w:r>
    </w:p>
    <w:p>
      <w:pPr>
        <w:pStyle w:val="Heading5"/>
      </w:pPr>
      <w:bookmarkStart w:id="1704" w:name="_Toc53046126"/>
      <w:bookmarkStart w:id="1705" w:name="_Toc5364966"/>
      <w:r>
        <w:rPr>
          <w:rStyle w:val="CharSectno"/>
        </w:rPr>
        <w:t>150</w:t>
      </w:r>
      <w:r>
        <w:t>.</w:t>
      </w:r>
      <w:r>
        <w:tab/>
        <w:t>International pipeline to be a transmission pipeline for purposes of Chapter</w:t>
      </w:r>
      <w:bookmarkEnd w:id="1704"/>
      <w:bookmarkEnd w:id="1705"/>
    </w:p>
    <w:p>
      <w:pPr>
        <w:keepLines/>
        <w:autoSpaceDE w:val="0"/>
        <w:autoSpaceDN w:val="0"/>
        <w:adjustRightInd w:val="0"/>
        <w:spacing w:before="120"/>
        <w:ind w:left="1588"/>
        <w:rPr>
          <w:color w:val="000000"/>
          <w:sz w:val="23"/>
          <w:szCs w:val="23"/>
        </w:rPr>
      </w:pPr>
      <w:r>
        <w:rPr>
          <w:color w:val="000000"/>
          <w:sz w:val="23"/>
          <w:szCs w:val="23"/>
        </w:rPr>
        <w:t>An international pipeline is, for the purposes of this Chapter, a transmission pipeline.</w:t>
      </w:r>
    </w:p>
    <w:p>
      <w:pPr>
        <w:pStyle w:val="Heading3"/>
      </w:pPr>
      <w:bookmarkStart w:id="1706" w:name="_Toc52954433"/>
      <w:bookmarkStart w:id="1707" w:name="_Toc52955729"/>
      <w:bookmarkStart w:id="1708" w:name="_Toc52957228"/>
      <w:bookmarkStart w:id="1709" w:name="_Toc52958011"/>
      <w:bookmarkStart w:id="1710" w:name="_Toc53045344"/>
      <w:bookmarkStart w:id="1711" w:name="_Toc53046127"/>
      <w:bookmarkStart w:id="1712" w:name="_Toc501634044"/>
      <w:bookmarkStart w:id="1713" w:name="_Toc501712940"/>
      <w:bookmarkStart w:id="1714" w:name="_Toc536782135"/>
      <w:bookmarkStart w:id="1715" w:name="_Toc5347193"/>
      <w:bookmarkStart w:id="1716" w:name="_Toc5363746"/>
      <w:bookmarkStart w:id="1717" w:name="_Toc5364967"/>
      <w:r>
        <w:rPr>
          <w:rStyle w:val="CharDivNo"/>
        </w:rPr>
        <w:t>Part 2</w:t>
      </w:r>
      <w:r>
        <w:t xml:space="preserve"> — </w:t>
      </w:r>
      <w:r>
        <w:rPr>
          <w:rStyle w:val="CharDivText"/>
        </w:rPr>
        <w:t>15</w:t>
      </w:r>
      <w:r>
        <w:rPr>
          <w:rStyle w:val="CharDivText"/>
        </w:rPr>
        <w:noBreakHyphen/>
        <w:t>year no</w:t>
      </w:r>
      <w:r>
        <w:rPr>
          <w:rStyle w:val="CharDivText"/>
        </w:rPr>
        <w:noBreakHyphen/>
        <w:t>coverage determinations</w:t>
      </w:r>
      <w:bookmarkEnd w:id="1706"/>
      <w:bookmarkEnd w:id="1707"/>
      <w:bookmarkEnd w:id="1708"/>
      <w:bookmarkEnd w:id="1709"/>
      <w:bookmarkEnd w:id="1710"/>
      <w:bookmarkEnd w:id="1711"/>
      <w:bookmarkEnd w:id="1712"/>
      <w:bookmarkEnd w:id="1713"/>
      <w:bookmarkEnd w:id="1714"/>
      <w:bookmarkEnd w:id="1715"/>
      <w:bookmarkEnd w:id="1716"/>
      <w:bookmarkEnd w:id="1717"/>
    </w:p>
    <w:p>
      <w:pPr>
        <w:pStyle w:val="Heading5"/>
      </w:pPr>
      <w:bookmarkStart w:id="1718" w:name="_Toc53046128"/>
      <w:bookmarkStart w:id="1719" w:name="_Toc5364968"/>
      <w:r>
        <w:rPr>
          <w:rStyle w:val="CharSectno"/>
        </w:rPr>
        <w:t>151</w:t>
      </w:r>
      <w:r>
        <w:t>.</w:t>
      </w:r>
      <w:r>
        <w:tab/>
        <w:t>Application for 15</w:t>
      </w:r>
      <w:r>
        <w:noBreakHyphen/>
        <w:t>year no</w:t>
      </w:r>
      <w:r>
        <w:noBreakHyphen/>
        <w:t>coverage determination for proposed pipeline</w:t>
      </w:r>
      <w:bookmarkEnd w:id="1718"/>
      <w:bookmarkEnd w:id="171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a greenfields pipeline project is proposed, or has commenced, the service provider may, before the pipeline is commissioned, apply for a determination (a </w:t>
      </w:r>
      <w:r>
        <w:rPr>
          <w:rStyle w:val="CharDefText"/>
          <w:bCs/>
          <w:sz w:val="23"/>
        </w:rPr>
        <w:t>15</w:t>
      </w:r>
      <w:r>
        <w:rPr>
          <w:rStyle w:val="CharDefText"/>
          <w:bCs/>
          <w:sz w:val="23"/>
        </w:rPr>
        <w:noBreakHyphen/>
        <w:t>year no</w:t>
      </w:r>
      <w:r>
        <w:rPr>
          <w:rStyle w:val="CharDefText"/>
          <w:bCs/>
          <w:sz w:val="23"/>
        </w:rPr>
        <w:noBreakHyphen/>
        <w:t>coverage determination</w:t>
      </w:r>
      <w:r>
        <w:rPr>
          <w:color w:val="000000"/>
          <w:sz w:val="23"/>
          <w:szCs w:val="23"/>
        </w:rPr>
        <w:t>) exempting the pipeline from being a covered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price regulation exemption has been granted for an international pipeline, an application for a 15</w:t>
      </w:r>
      <w:r>
        <w:rPr>
          <w:color w:val="000000"/>
          <w:sz w:val="23"/>
          <w:szCs w:val="23"/>
        </w:rPr>
        <w:noBreakHyphen/>
        <w:t>year no</w:t>
      </w:r>
      <w:r>
        <w:rPr>
          <w:color w:val="000000"/>
          <w:sz w:val="23"/>
          <w:szCs w:val="23"/>
        </w:rPr>
        <w:noBreakHyphen/>
        <w:t>coverage determination for the pipeline may be made by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before the pipeline is commissioned;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after the pipeline is commissioned but before the term of the price regulation exemption comes to an end.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for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includes a person that intends to be a service provider.</w:t>
      </w:r>
    </w:p>
    <w:p>
      <w:pPr>
        <w:pStyle w:val="Heading5"/>
      </w:pPr>
      <w:bookmarkStart w:id="1720" w:name="_Toc53046129"/>
      <w:bookmarkStart w:id="1721" w:name="_Toc5364969"/>
      <w:r>
        <w:rPr>
          <w:rStyle w:val="CharSectno"/>
        </w:rPr>
        <w:t>152</w:t>
      </w:r>
      <w:r>
        <w:t>.</w:t>
      </w:r>
      <w:r>
        <w:tab/>
        <w:t>Application to be dealt with in accordance with the Rules</w:t>
      </w:r>
      <w:bookmarkEnd w:id="1720"/>
      <w:bookmarkEnd w:id="1721"/>
    </w:p>
    <w:p>
      <w:pPr>
        <w:keepLines/>
        <w:autoSpaceDE w:val="0"/>
        <w:autoSpaceDN w:val="0"/>
        <w:adjustRightInd w:val="0"/>
        <w:spacing w:before="120"/>
        <w:ind w:left="1588"/>
        <w:rPr>
          <w:color w:val="000000"/>
          <w:sz w:val="23"/>
          <w:szCs w:val="23"/>
        </w:rPr>
      </w:pPr>
      <w:r>
        <w:rPr>
          <w:color w:val="000000"/>
          <w:sz w:val="23"/>
          <w:szCs w:val="23"/>
        </w:rPr>
        <w:t>On receiving an application under section 151, the NCC must deal with it in accordance with the Rules.</w:t>
      </w:r>
    </w:p>
    <w:p>
      <w:pPr>
        <w:pStyle w:val="Heading5"/>
      </w:pPr>
      <w:bookmarkStart w:id="1722" w:name="_Toc53046130"/>
      <w:bookmarkStart w:id="1723" w:name="_Toc5364970"/>
      <w:r>
        <w:rPr>
          <w:rStyle w:val="CharSectno"/>
        </w:rPr>
        <w:t>153</w:t>
      </w:r>
      <w:r>
        <w:t>.</w:t>
      </w:r>
      <w:r>
        <w:tab/>
        <w:t>No</w:t>
      </w:r>
      <w:r>
        <w:noBreakHyphen/>
        <w:t>coverage recommendation</w:t>
      </w:r>
      <w:bookmarkEnd w:id="1722"/>
      <w:bookmarkEnd w:id="172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recommending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exempted from being a covered pipeline for a period of 15 years;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 be exempted from being a covered pipeline for a period of 15 years.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to the outcome sought in the application under section 151.</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15</w:t>
      </w:r>
      <w:r>
        <w:rPr>
          <w:color w:val="000000"/>
          <w:sz w:val="20"/>
        </w:rPr>
        <w:noBreakHyphen/>
        <w:t>year no</w:t>
      </w:r>
      <w:r>
        <w:rPr>
          <w:color w:val="000000"/>
          <w:sz w:val="20"/>
        </w:rPr>
        <w:noBreakHyphen/>
        <w:t>coverage determination in relation to the whole pipeline. The NCC may recommend that only a part of the pipeline the subject of the application be subject to a 15</w:t>
      </w:r>
      <w:r>
        <w:rPr>
          <w:color w:val="000000"/>
          <w:sz w:val="20"/>
        </w:rPr>
        <w:noBreakHyphen/>
        <w:t>year no</w:t>
      </w:r>
      <w:r>
        <w:rPr>
          <w:color w:val="000000"/>
          <w:sz w:val="20"/>
        </w:rPr>
        <w:noBreakHyphen/>
        <w:t>coverage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1724" w:name="_Toc53046131"/>
      <w:bookmarkStart w:id="1725" w:name="_Toc5364971"/>
      <w:r>
        <w:rPr>
          <w:rStyle w:val="CharSectno"/>
        </w:rPr>
        <w:t>154</w:t>
      </w:r>
      <w:r>
        <w:t>.</w:t>
      </w:r>
      <w:r>
        <w:tab/>
        <w:t>Principles governing the making of a no</w:t>
      </w:r>
      <w:r>
        <w:noBreakHyphen/>
        <w:t>coverage recommendation</w:t>
      </w:r>
      <w:bookmarkEnd w:id="1724"/>
      <w:bookmarkEnd w:id="172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no</w:t>
      </w:r>
      <w:r>
        <w:rPr>
          <w:color w:val="000000"/>
          <w:sz w:val="23"/>
          <w:szCs w:val="23"/>
        </w:rPr>
        <w:noBreakHyphen/>
        <w:t>coverage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must give effect to the pipeline coverage criteria; and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 the recommendation must be against making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 the recommendation must be in favour of making a 15</w:t>
      </w:r>
      <w:r>
        <w:rPr>
          <w:color w:val="000000"/>
          <w:sz w:val="23"/>
          <w:szCs w:val="23"/>
        </w:rPr>
        <w:noBreakHyphen/>
        <w:t>year no coverage determination.</w:t>
      </w:r>
    </w:p>
    <w:p>
      <w:pPr>
        <w:pStyle w:val="Heading5"/>
      </w:pPr>
      <w:bookmarkStart w:id="1726" w:name="_Toc53046132"/>
      <w:bookmarkStart w:id="1727" w:name="_Toc5364972"/>
      <w:r>
        <w:rPr>
          <w:rStyle w:val="CharSectno"/>
        </w:rPr>
        <w:t>155</w:t>
      </w:r>
      <w:r>
        <w:t>.</w:t>
      </w:r>
      <w:r>
        <w:tab/>
        <w:t>Initial classification decision to be made as part of recommendation</w:t>
      </w:r>
      <w:bookmarkEnd w:id="1726"/>
      <w:bookmarkEnd w:id="172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pipeline the subject of an application under section 151 is not an international pipeline, the NCC must, as part of a no</w:t>
      </w:r>
      <w:r>
        <w:rPr>
          <w:color w:val="000000"/>
          <w:sz w:val="23"/>
          <w:szCs w:val="23"/>
        </w:rPr>
        <w:noBreakHyphen/>
        <w:t xml:space="preserve">coverage recommendation, classify the pipeline as a transmission pipeline or a distribution pipeline (an </w:t>
      </w:r>
      <w:r>
        <w:rPr>
          <w:rStyle w:val="CharDefText"/>
          <w:bCs/>
          <w:sz w:val="23"/>
        </w:rPr>
        <w:t>initial classification decision</w:t>
      </w:r>
      <w:r>
        <w:rPr>
          <w:color w:val="000000"/>
          <w:sz w:val="23"/>
          <w:szCs w:val="23"/>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classifies the pipeline the subject of the application as a transmission pipeline—determine whether the transmission pipeline is also a cross boundary transmission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also determine, as part of an initial classification decision, the participating jurisdiction with which the pipeline the subject of the application under section 151 is most closely connected if the NCC determines the pipeline is also a cross boundary distribution pipeline. In doing so, the NCC must have regard to the jurisdictional determination criteria.</w:t>
      </w:r>
    </w:p>
    <w:p>
      <w:pPr>
        <w:pStyle w:val="Heading5"/>
      </w:pPr>
      <w:bookmarkStart w:id="1728" w:name="_Toc53046133"/>
      <w:bookmarkStart w:id="1729" w:name="_Toc5364973"/>
      <w:r>
        <w:rPr>
          <w:rStyle w:val="CharSectno"/>
        </w:rPr>
        <w:t>156</w:t>
      </w:r>
      <w:r>
        <w:t>.</w:t>
      </w:r>
      <w:r>
        <w:tab/>
        <w:t>Relevant Minister’s determination on application</w:t>
      </w:r>
      <w:bookmarkEnd w:id="1728"/>
      <w:bookmarkEnd w:id="172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no</w:t>
      </w:r>
      <w:r>
        <w:rPr>
          <w:color w:val="000000"/>
          <w:sz w:val="23"/>
          <w:szCs w:val="23"/>
        </w:rPr>
        <w:noBreakHyphen/>
        <w:t>coverage recommendation the relevant Minister must decide whether or not to make a 15</w:t>
      </w:r>
      <w:r>
        <w:rPr>
          <w:color w:val="000000"/>
          <w:sz w:val="23"/>
          <w:szCs w:val="23"/>
        </w:rPr>
        <w:noBreakHyphen/>
        <w:t>year no</w:t>
      </w:r>
      <w:r>
        <w:rPr>
          <w:color w:val="000000"/>
          <w:sz w:val="23"/>
          <w:szCs w:val="23"/>
        </w:rPr>
        <w:noBreakHyphen/>
        <w:t>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30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151.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15</w:t>
      </w:r>
      <w:r>
        <w:rPr>
          <w:color w:val="000000"/>
          <w:sz w:val="23"/>
          <w:szCs w:val="23"/>
        </w:rPr>
        <w:noBreakHyphen/>
        <w:t>year no</w:t>
      </w:r>
      <w:r>
        <w:rPr>
          <w:color w:val="000000"/>
          <w:sz w:val="23"/>
          <w:szCs w:val="23"/>
        </w:rPr>
        <w:noBreakHyphen/>
        <w:t>coverage determination or a decision not to make a 15</w:t>
      </w:r>
      <w:r>
        <w:rPr>
          <w:color w:val="000000"/>
          <w:sz w:val="23"/>
          <w:szCs w:val="23"/>
        </w:rPr>
        <w:noBreakHyphen/>
        <w:t>year no</w:t>
      </w:r>
      <w:r>
        <w:rPr>
          <w:color w:val="000000"/>
          <w:sz w:val="23"/>
          <w:szCs w:val="23"/>
        </w:rPr>
        <w:noBreakHyphen/>
        <w:t>coverage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15</w:t>
      </w:r>
      <w:r>
        <w:rPr>
          <w:color w:val="000000"/>
          <w:sz w:val="23"/>
          <w:szCs w:val="23"/>
        </w:rPr>
        <w:noBreakHyphen/>
        <w:t>year no</w:t>
      </w:r>
      <w:r>
        <w:rPr>
          <w:color w:val="000000"/>
          <w:sz w:val="23"/>
          <w:szCs w:val="23"/>
        </w:rPr>
        <w:noBreakHyphen/>
        <w:t>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151;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no</w:t>
      </w:r>
      <w:r>
        <w:rPr>
          <w:color w:val="000000"/>
          <w:sz w:val="23"/>
          <w:szCs w:val="23"/>
        </w:rPr>
        <w:noBreakHyphen/>
        <w:t>coverage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15</w:t>
      </w:r>
      <w:r>
        <w:rPr>
          <w:color w:val="000000"/>
          <w:sz w:val="20"/>
        </w:rPr>
        <w:noBreakHyphen/>
        <w:t>year no</w:t>
      </w:r>
      <w:r>
        <w:rPr>
          <w:color w:val="000000"/>
          <w:sz w:val="20"/>
        </w:rPr>
        <w:noBreakHyphen/>
        <w:t>coverage determination in relation to the whole pipeline. The NCC may recommend that only a part of the pipeline the subject of the application be subject to a 15</w:t>
      </w:r>
      <w:r>
        <w:rPr>
          <w:color w:val="000000"/>
          <w:sz w:val="20"/>
        </w:rPr>
        <w:noBreakHyphen/>
        <w:t>year no</w:t>
      </w:r>
      <w:r>
        <w:rPr>
          <w:color w:val="000000"/>
          <w:sz w:val="20"/>
        </w:rPr>
        <w:noBreakHyphen/>
        <w:t>coverage determination. The relevant Minister may make a 15</w:t>
      </w:r>
      <w:r>
        <w:rPr>
          <w:color w:val="000000"/>
          <w:sz w:val="20"/>
        </w:rPr>
        <w:noBreakHyphen/>
        <w:t>year no</w:t>
      </w:r>
      <w:r>
        <w:rPr>
          <w:color w:val="000000"/>
          <w:sz w:val="20"/>
        </w:rPr>
        <w:noBreakHyphen/>
        <w:t>coverage determination that applies to different parts of the pipeline to those recommended by the NCC be subject to the determination.</w:t>
      </w:r>
    </w:p>
    <w:p>
      <w:pPr>
        <w:pStyle w:val="Heading5"/>
      </w:pPr>
      <w:bookmarkStart w:id="1730" w:name="_Toc53046134"/>
      <w:bookmarkStart w:id="1731" w:name="_Toc5364974"/>
      <w:r>
        <w:rPr>
          <w:rStyle w:val="CharSectno"/>
        </w:rPr>
        <w:t>157</w:t>
      </w:r>
      <w:r>
        <w:t>.</w:t>
      </w:r>
      <w:r>
        <w:tab/>
        <w:t>Principles governing the making of a 15</w:t>
      </w:r>
      <w:r>
        <w:noBreakHyphen/>
        <w:t>year no</w:t>
      </w:r>
      <w:r>
        <w:noBreakHyphen/>
        <w:t>coverage determination or decision not to do so</w:t>
      </w:r>
      <w:bookmarkEnd w:id="1730"/>
      <w:bookmarkEnd w:id="173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15</w:t>
      </w:r>
      <w:r>
        <w:rPr>
          <w:color w:val="000000"/>
          <w:sz w:val="23"/>
          <w:szCs w:val="23"/>
        </w:rPr>
        <w:noBreakHyphen/>
        <w:t>year no</w:t>
      </w:r>
      <w:r>
        <w:rPr>
          <w:color w:val="000000"/>
          <w:sz w:val="23"/>
          <w:szCs w:val="23"/>
        </w:rPr>
        <w:noBreakHyphen/>
        <w:t>coverage determination under this Part,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no</w:t>
      </w:r>
      <w:r>
        <w:rPr>
          <w:color w:val="000000"/>
          <w:sz w:val="23"/>
          <w:szCs w:val="23"/>
        </w:rPr>
        <w:noBreakHyphen/>
        <w:t>coverage recommendation;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156(4);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Minister is satisfied that all the pipeline coverage criteria are satisfied in relation to the pipeline the Minister must not make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Minister is not satisfied that all the pipeline coverage criteria are satisfied in relation to the pipeline the Minister must make a 15</w:t>
      </w:r>
      <w:r>
        <w:rPr>
          <w:color w:val="000000"/>
          <w:sz w:val="23"/>
          <w:szCs w:val="23"/>
        </w:rPr>
        <w:noBreakHyphen/>
        <w:t>year no</w:t>
      </w:r>
      <w:r>
        <w:rPr>
          <w:color w:val="000000"/>
          <w:sz w:val="23"/>
          <w:szCs w:val="23"/>
        </w:rPr>
        <w:noBreakHyphen/>
        <w:t>coverage determination.</w:t>
      </w:r>
    </w:p>
    <w:p>
      <w:pPr>
        <w:pStyle w:val="Heading5"/>
        <w:spacing w:before="120"/>
      </w:pPr>
      <w:bookmarkStart w:id="1732" w:name="_Toc53046135"/>
      <w:bookmarkStart w:id="1733" w:name="_Toc5364975"/>
      <w:r>
        <w:rPr>
          <w:rStyle w:val="CharSectno"/>
        </w:rPr>
        <w:t>158</w:t>
      </w:r>
      <w:r>
        <w:t>.</w:t>
      </w:r>
      <w:r>
        <w:tab/>
        <w:t>Effect of 15</w:t>
      </w:r>
      <w:r>
        <w:noBreakHyphen/>
        <w:t>year no</w:t>
      </w:r>
      <w:r>
        <w:noBreakHyphen/>
        <w:t>coverage determination</w:t>
      </w:r>
      <w:bookmarkEnd w:id="1732"/>
      <w:bookmarkEnd w:id="1733"/>
    </w:p>
    <w:p>
      <w:pPr>
        <w:keepNext/>
        <w:keepLines/>
        <w:tabs>
          <w:tab w:val="center" w:pos="1191"/>
          <w:tab w:val="left" w:pos="1588"/>
        </w:tabs>
        <w:autoSpaceDE w:val="0"/>
        <w:autoSpaceDN w:val="0"/>
        <w:adjustRightInd w:val="0"/>
        <w:spacing w:before="80"/>
        <w:ind w:left="1588" w:hanging="794"/>
        <w:rPr>
          <w:color w:val="000000"/>
          <w:sz w:val="23"/>
          <w:szCs w:val="23"/>
        </w:rPr>
      </w:pPr>
      <w:r>
        <w:rPr>
          <w:color w:val="000000"/>
          <w:sz w:val="23"/>
          <w:szCs w:val="23"/>
        </w:rPr>
        <w:tab/>
        <w:t>(1)</w:t>
      </w:r>
      <w:r>
        <w:rPr>
          <w:color w:val="000000"/>
          <w:sz w:val="23"/>
          <w:szCs w:val="23"/>
        </w:rPr>
        <w:tab/>
        <w:t>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takes effect on and from the date specified in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continues in operation for a period of 15 years from the commissioning of the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coverage of a pipeline to which a 15</w:t>
      </w:r>
      <w:r>
        <w:rPr>
          <w:color w:val="000000"/>
          <w:sz w:val="23"/>
          <w:szCs w:val="23"/>
        </w:rPr>
        <w:noBreakHyphen/>
        <w:t>year no</w:t>
      </w:r>
      <w:r>
        <w:rPr>
          <w:color w:val="000000"/>
          <w:sz w:val="23"/>
          <w:szCs w:val="23"/>
        </w:rPr>
        <w:noBreakHyphen/>
        <w:t>coverage determination applies can be made before the end of the period for which the determination remains in operation only if the coverage sought in the application is to commence from, or after, the end of that period.</w:t>
      </w:r>
    </w:p>
    <w:p>
      <w:pPr>
        <w:pStyle w:val="Heading5"/>
        <w:spacing w:before="120"/>
      </w:pPr>
      <w:bookmarkStart w:id="1734" w:name="_Toc53046136"/>
      <w:bookmarkStart w:id="1735" w:name="_Toc5364976"/>
      <w:r>
        <w:rPr>
          <w:rStyle w:val="CharSectno"/>
        </w:rPr>
        <w:t>159</w:t>
      </w:r>
      <w:r>
        <w:t>.</w:t>
      </w:r>
      <w:r>
        <w:tab/>
        <w:t>Consequences of Minister deciding against making 15</w:t>
      </w:r>
      <w:r>
        <w:noBreakHyphen/>
        <w:t>year no</w:t>
      </w:r>
      <w:r>
        <w:noBreakHyphen/>
        <w:t>coverage determination for international pipeline</w:t>
      </w:r>
      <w:bookmarkEnd w:id="1734"/>
      <w:bookmarkEnd w:id="173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Commonwealth Minister decides against making a 15</w:t>
      </w:r>
      <w:r>
        <w:rPr>
          <w:color w:val="000000"/>
          <w:sz w:val="23"/>
          <w:szCs w:val="23"/>
        </w:rPr>
        <w:noBreakHyphen/>
        <w:t>year no</w:t>
      </w:r>
      <w:r>
        <w:rPr>
          <w:color w:val="000000"/>
          <w:sz w:val="23"/>
          <w:szCs w:val="23"/>
        </w:rPr>
        <w:noBreakHyphen/>
        <w:t>coverage determination for an international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applicant asks the Commonwealth Minister to treat the application as an application for a price regulation exemption,</w:t>
      </w:r>
    </w:p>
    <w:p>
      <w:pPr>
        <w:autoSpaceDE w:val="0"/>
        <w:autoSpaceDN w:val="0"/>
        <w:adjustRightInd w:val="0"/>
        <w:spacing w:before="80"/>
        <w:ind w:left="1588"/>
        <w:rPr>
          <w:color w:val="000000"/>
          <w:sz w:val="23"/>
          <w:szCs w:val="23"/>
        </w:rPr>
      </w:pPr>
      <w:r>
        <w:rPr>
          <w:color w:val="000000"/>
          <w:sz w:val="23"/>
          <w:szCs w:val="23"/>
        </w:rPr>
        <w:t>the Commonwealth Minister may treat the application as an application for a price regulation exemption under Chapter 5 Part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Commonwealth Minister decides to treat an application for a 15</w:t>
      </w:r>
      <w:r>
        <w:rPr>
          <w:color w:val="000000"/>
          <w:sz w:val="23"/>
          <w:szCs w:val="23"/>
        </w:rPr>
        <w:noBreakHyphen/>
        <w:t>year no</w:t>
      </w:r>
      <w:r>
        <w:rPr>
          <w:color w:val="000000"/>
          <w:sz w:val="23"/>
          <w:szCs w:val="23"/>
        </w:rPr>
        <w:noBreakHyphen/>
        <w:t>coverage determination as an application for a price regulation exemption, the Commonwealth Minister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refer the application to the NCC for a recommendation under Chapter 5 Part 3;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proceed to determine the application without a recommendation under Chapter 5 Part 3.</w:t>
      </w:r>
    </w:p>
    <w:p>
      <w:pPr>
        <w:pStyle w:val="Heading3"/>
      </w:pPr>
      <w:bookmarkStart w:id="1736" w:name="_Toc52954443"/>
      <w:bookmarkStart w:id="1737" w:name="_Toc52955739"/>
      <w:bookmarkStart w:id="1738" w:name="_Toc52957238"/>
      <w:bookmarkStart w:id="1739" w:name="_Toc52958021"/>
      <w:bookmarkStart w:id="1740" w:name="_Toc53045354"/>
      <w:bookmarkStart w:id="1741" w:name="_Toc53046137"/>
      <w:bookmarkStart w:id="1742" w:name="_Toc501634054"/>
      <w:bookmarkStart w:id="1743" w:name="_Toc501712950"/>
      <w:bookmarkStart w:id="1744" w:name="_Toc536782145"/>
      <w:bookmarkStart w:id="1745" w:name="_Toc5347203"/>
      <w:bookmarkStart w:id="1746" w:name="_Toc5363756"/>
      <w:bookmarkStart w:id="1747" w:name="_Toc5364977"/>
      <w:r>
        <w:rPr>
          <w:rStyle w:val="CharDivNo"/>
        </w:rPr>
        <w:t>Part 3</w:t>
      </w:r>
      <w:r>
        <w:t xml:space="preserve"> — </w:t>
      </w:r>
      <w:r>
        <w:rPr>
          <w:rStyle w:val="CharDivText"/>
        </w:rPr>
        <w:t>Price regulation exemptions</w:t>
      </w:r>
      <w:bookmarkEnd w:id="1736"/>
      <w:bookmarkEnd w:id="1737"/>
      <w:bookmarkEnd w:id="1738"/>
      <w:bookmarkEnd w:id="1739"/>
      <w:bookmarkEnd w:id="1740"/>
      <w:bookmarkEnd w:id="1741"/>
      <w:bookmarkEnd w:id="1742"/>
      <w:bookmarkEnd w:id="1743"/>
      <w:bookmarkEnd w:id="1744"/>
      <w:bookmarkEnd w:id="1745"/>
      <w:bookmarkEnd w:id="1746"/>
      <w:bookmarkEnd w:id="1747"/>
    </w:p>
    <w:p>
      <w:pPr>
        <w:pStyle w:val="Heading4"/>
      </w:pPr>
      <w:bookmarkStart w:id="1748" w:name="_Toc52954444"/>
      <w:bookmarkStart w:id="1749" w:name="_Toc52955740"/>
      <w:bookmarkStart w:id="1750" w:name="_Toc52957239"/>
      <w:bookmarkStart w:id="1751" w:name="_Toc52958022"/>
      <w:bookmarkStart w:id="1752" w:name="_Toc53045355"/>
      <w:bookmarkStart w:id="1753" w:name="_Toc53046138"/>
      <w:bookmarkStart w:id="1754" w:name="_Toc501634055"/>
      <w:bookmarkStart w:id="1755" w:name="_Toc501712951"/>
      <w:bookmarkStart w:id="1756" w:name="_Toc536782146"/>
      <w:bookmarkStart w:id="1757" w:name="_Toc5347204"/>
      <w:bookmarkStart w:id="1758" w:name="_Toc5363757"/>
      <w:bookmarkStart w:id="1759" w:name="_Toc5364978"/>
      <w:r>
        <w:t>Division 1 — Application for price regulation exemption</w:t>
      </w:r>
      <w:bookmarkEnd w:id="1748"/>
      <w:bookmarkEnd w:id="1749"/>
      <w:bookmarkEnd w:id="1750"/>
      <w:bookmarkEnd w:id="1751"/>
      <w:bookmarkEnd w:id="1752"/>
      <w:bookmarkEnd w:id="1753"/>
      <w:bookmarkEnd w:id="1754"/>
      <w:bookmarkEnd w:id="1755"/>
      <w:bookmarkEnd w:id="1756"/>
      <w:bookmarkEnd w:id="1757"/>
      <w:bookmarkEnd w:id="1758"/>
      <w:bookmarkEnd w:id="1759"/>
    </w:p>
    <w:p>
      <w:pPr>
        <w:pStyle w:val="Heading5"/>
      </w:pPr>
      <w:bookmarkStart w:id="1760" w:name="_Toc53046139"/>
      <w:bookmarkStart w:id="1761" w:name="_Toc5364979"/>
      <w:r>
        <w:rPr>
          <w:rStyle w:val="CharSectno"/>
        </w:rPr>
        <w:t>160</w:t>
      </w:r>
      <w:r>
        <w:t>.</w:t>
      </w:r>
      <w:r>
        <w:tab/>
        <w:t>Application for price regulation exemption</w:t>
      </w:r>
      <w:bookmarkEnd w:id="1760"/>
      <w:bookmarkEnd w:id="176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greenfields pipeline project for construction of an international pipeline is proposed, or has commenced, the service provider may, before the pipeline is commissioned, apply for a price regulation exemption for the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price regulation exemption—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includes a person that intends to be a service provider.</w:t>
      </w:r>
    </w:p>
    <w:p>
      <w:pPr>
        <w:pStyle w:val="Heading4"/>
      </w:pPr>
      <w:bookmarkStart w:id="1762" w:name="_Toc52954446"/>
      <w:bookmarkStart w:id="1763" w:name="_Toc52955742"/>
      <w:bookmarkStart w:id="1764" w:name="_Toc52957241"/>
      <w:bookmarkStart w:id="1765" w:name="_Toc52958024"/>
      <w:bookmarkStart w:id="1766" w:name="_Toc53045357"/>
      <w:bookmarkStart w:id="1767" w:name="_Toc53046140"/>
      <w:bookmarkStart w:id="1768" w:name="_Toc501634057"/>
      <w:bookmarkStart w:id="1769" w:name="_Toc501712953"/>
      <w:bookmarkStart w:id="1770" w:name="_Toc536782148"/>
      <w:bookmarkStart w:id="1771" w:name="_Toc5347206"/>
      <w:bookmarkStart w:id="1772" w:name="_Toc5363759"/>
      <w:bookmarkStart w:id="1773" w:name="_Toc5364980"/>
      <w:r>
        <w:t>Division 2 — Recommendations by NCC</w:t>
      </w:r>
      <w:bookmarkEnd w:id="1762"/>
      <w:bookmarkEnd w:id="1763"/>
      <w:bookmarkEnd w:id="1764"/>
      <w:bookmarkEnd w:id="1765"/>
      <w:bookmarkEnd w:id="1766"/>
      <w:bookmarkEnd w:id="1767"/>
      <w:bookmarkEnd w:id="1768"/>
      <w:bookmarkEnd w:id="1769"/>
      <w:bookmarkEnd w:id="1770"/>
      <w:bookmarkEnd w:id="1771"/>
      <w:bookmarkEnd w:id="1772"/>
      <w:bookmarkEnd w:id="1773"/>
    </w:p>
    <w:p>
      <w:pPr>
        <w:pStyle w:val="Heading5"/>
        <w:spacing w:before="120"/>
      </w:pPr>
      <w:bookmarkStart w:id="1774" w:name="_Toc53046141"/>
      <w:bookmarkStart w:id="1775" w:name="_Toc5364981"/>
      <w:r>
        <w:rPr>
          <w:rStyle w:val="CharSectno"/>
        </w:rPr>
        <w:t>161</w:t>
      </w:r>
      <w:r>
        <w:t>.</w:t>
      </w:r>
      <w:r>
        <w:tab/>
        <w:t>Application to be dealt with in accordance with the Rules</w:t>
      </w:r>
      <w:bookmarkEnd w:id="1774"/>
      <w:bookmarkEnd w:id="1775"/>
    </w:p>
    <w:p>
      <w:pPr>
        <w:keepLines/>
        <w:autoSpaceDE w:val="0"/>
        <w:autoSpaceDN w:val="0"/>
        <w:adjustRightInd w:val="0"/>
        <w:spacing w:before="120"/>
        <w:ind w:left="1588"/>
        <w:rPr>
          <w:color w:val="000000"/>
          <w:sz w:val="23"/>
          <w:szCs w:val="23"/>
        </w:rPr>
      </w:pPr>
      <w:r>
        <w:rPr>
          <w:color w:val="000000"/>
          <w:sz w:val="23"/>
          <w:szCs w:val="23"/>
        </w:rPr>
        <w:t>On receiving an application under section 160, the NCC must deal with it in accordance with the Rules.</w:t>
      </w:r>
    </w:p>
    <w:p>
      <w:pPr>
        <w:pStyle w:val="Heading5"/>
      </w:pPr>
      <w:bookmarkStart w:id="1776" w:name="_Toc53046142"/>
      <w:bookmarkStart w:id="1777" w:name="_Toc5364982"/>
      <w:r>
        <w:rPr>
          <w:rStyle w:val="CharSectno"/>
        </w:rPr>
        <w:t>162</w:t>
      </w:r>
      <w:r>
        <w:t>.</w:t>
      </w:r>
      <w:r>
        <w:tab/>
        <w:t>NCC’s recommendation</w:t>
      </w:r>
      <w:bookmarkEnd w:id="1776"/>
      <w:bookmarkEnd w:id="177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to the Commonwealth Minister as to whether the Minister should grant a price regulation exemption for the pipeline the subject of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must be delivered to the Commonwealth Minister without delay.</w:t>
      </w:r>
    </w:p>
    <w:p>
      <w:pPr>
        <w:pStyle w:val="Heading5"/>
      </w:pPr>
      <w:bookmarkStart w:id="1778" w:name="_Toc53046143"/>
      <w:bookmarkStart w:id="1779" w:name="_Toc5364983"/>
      <w:r>
        <w:rPr>
          <w:rStyle w:val="CharSectno"/>
        </w:rPr>
        <w:t>163</w:t>
      </w:r>
      <w:r>
        <w:t>.</w:t>
      </w:r>
      <w:r>
        <w:tab/>
        <w:t>General principle governing NCC’s recommendation</w:t>
      </w:r>
      <w:bookmarkEnd w:id="1778"/>
      <w:bookmarkEnd w:id="177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its recommendation on an application for a price regulation exemption, the NCC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with particular reference to—</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other possible effects on the public interest;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have regard to any other relevant matter.</w:t>
      </w:r>
    </w:p>
    <w:p>
      <w:pPr>
        <w:pStyle w:val="Heading4"/>
      </w:pPr>
      <w:bookmarkStart w:id="1780" w:name="_Toc52954450"/>
      <w:bookmarkStart w:id="1781" w:name="_Toc52955746"/>
      <w:bookmarkStart w:id="1782" w:name="_Toc52957245"/>
      <w:bookmarkStart w:id="1783" w:name="_Toc52958028"/>
      <w:bookmarkStart w:id="1784" w:name="_Toc53045361"/>
      <w:bookmarkStart w:id="1785" w:name="_Toc53046144"/>
      <w:bookmarkStart w:id="1786" w:name="_Toc501634061"/>
      <w:bookmarkStart w:id="1787" w:name="_Toc501712957"/>
      <w:bookmarkStart w:id="1788" w:name="_Toc536782152"/>
      <w:bookmarkStart w:id="1789" w:name="_Toc5347210"/>
      <w:bookmarkStart w:id="1790" w:name="_Toc5363763"/>
      <w:bookmarkStart w:id="1791" w:name="_Toc5364984"/>
      <w:r>
        <w:t>Division 3 — Making and effect of price regulation exemption</w:t>
      </w:r>
      <w:bookmarkEnd w:id="1780"/>
      <w:bookmarkEnd w:id="1781"/>
      <w:bookmarkEnd w:id="1782"/>
      <w:bookmarkEnd w:id="1783"/>
      <w:bookmarkEnd w:id="1784"/>
      <w:bookmarkEnd w:id="1785"/>
      <w:bookmarkEnd w:id="1786"/>
      <w:bookmarkEnd w:id="1787"/>
      <w:bookmarkEnd w:id="1788"/>
      <w:bookmarkEnd w:id="1789"/>
      <w:bookmarkEnd w:id="1790"/>
      <w:bookmarkEnd w:id="1791"/>
    </w:p>
    <w:p>
      <w:pPr>
        <w:pStyle w:val="Heading5"/>
      </w:pPr>
      <w:bookmarkStart w:id="1792" w:name="_Toc53046145"/>
      <w:bookmarkStart w:id="1793" w:name="_Toc5364985"/>
      <w:r>
        <w:rPr>
          <w:rStyle w:val="CharSectno"/>
        </w:rPr>
        <w:t>164</w:t>
      </w:r>
      <w:r>
        <w:t>.</w:t>
      </w:r>
      <w:r>
        <w:tab/>
        <w:t>Making of price regulation exemption</w:t>
      </w:r>
      <w:bookmarkEnd w:id="1792"/>
      <w:bookmarkEnd w:id="179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the NCC’s recommendation under section 162, the Commonwealth Minister must decide whether to grant a price regulation exemption.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Commonwealth Minister must use his or her best endeavours to make the decision within 10 business days after receiving the NCC’s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Commonwealth Minister is unable to make the decision within the period specified under subsection (2), he or she must make the decision as soon as reasonably practicable after the end of the specified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pStyle w:val="Heading5"/>
      </w:pPr>
      <w:bookmarkStart w:id="1794" w:name="_Toc53046146"/>
      <w:bookmarkStart w:id="1795" w:name="_Toc5364986"/>
      <w:r>
        <w:rPr>
          <w:rStyle w:val="CharSectno"/>
        </w:rPr>
        <w:t>165</w:t>
      </w:r>
      <w:r>
        <w:t>.</w:t>
      </w:r>
      <w:r>
        <w:tab/>
        <w:t>Principles governing the making of a price regulation exemption</w:t>
      </w:r>
      <w:bookmarkEnd w:id="1794"/>
      <w:bookmarkEnd w:id="179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decision to grant a price regulation exemption, the Commonwealth Minister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Commonwealth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with particular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other possible effects of the exemption on the public interest;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have regard to the NCC’s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take into account any relevant submissions and comments made to the NCC by the public under the Rules in relation to the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may have regard to any other relevant matter.</w:t>
      </w:r>
    </w:p>
    <w:p>
      <w:pPr>
        <w:pStyle w:val="Heading5"/>
      </w:pPr>
      <w:bookmarkStart w:id="1796" w:name="_Toc53046147"/>
      <w:bookmarkStart w:id="1797" w:name="_Toc5364987"/>
      <w:r>
        <w:rPr>
          <w:rStyle w:val="CharSectno"/>
        </w:rPr>
        <w:t>166</w:t>
      </w:r>
      <w:r>
        <w:t>.</w:t>
      </w:r>
      <w:r>
        <w:tab/>
        <w:t>Conditions applying to a price regulation exemption</w:t>
      </w:r>
      <w:bookmarkEnd w:id="1796"/>
      <w:bookmarkEnd w:id="1797"/>
    </w:p>
    <w:p>
      <w:pPr>
        <w:keepNext/>
        <w:keepLines/>
        <w:autoSpaceDE w:val="0"/>
        <w:autoSpaceDN w:val="0"/>
        <w:adjustRightInd w:val="0"/>
        <w:spacing w:before="120"/>
        <w:ind w:left="1588"/>
        <w:rPr>
          <w:color w:val="000000"/>
          <w:sz w:val="23"/>
          <w:szCs w:val="23"/>
        </w:rPr>
      </w:pPr>
      <w:r>
        <w:rPr>
          <w:color w:val="000000"/>
          <w:sz w:val="23"/>
          <w:szCs w:val="23"/>
        </w:rPr>
        <w:t>A price regulation exemption granted under this Part is subject to the following conditions: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service provider must publish on its website prices for the provision of pipeline services by means of the international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service provider’s limited access arrangement and the register of spare capacity are to be accessible on the service provider’s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as and when required by the AER or the Commonwealth Minister, provide information requested by the AER or the Commonwealth Minister (in a manner and form determined or approved by the AER or the Commonwealth Minister) on access negotiations and the result of access negotiations; and</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report annually to the AER and the Commonwealth Minister (in a manner and form approved by the AER or the Commonwealth Minister) on access negotiations and the result of access negotiations.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sections 168 and 169(3).</w:t>
      </w:r>
    </w:p>
    <w:p>
      <w:pPr>
        <w:pStyle w:val="Heading5"/>
      </w:pPr>
      <w:bookmarkStart w:id="1798" w:name="_Toc53046148"/>
      <w:bookmarkStart w:id="1799" w:name="_Toc5364988"/>
      <w:r>
        <w:rPr>
          <w:rStyle w:val="CharSectno"/>
        </w:rPr>
        <w:t>167</w:t>
      </w:r>
      <w:r>
        <w:t>.</w:t>
      </w:r>
      <w:r>
        <w:tab/>
        <w:t>Effect of price regulation exemption</w:t>
      </w:r>
      <w:bookmarkEnd w:id="1798"/>
      <w:bookmarkEnd w:id="179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price regulation exemption is granted, then for a period of 15 years from the commissioning of the pipeline, the services provided by means of the pipeline are not subject to price or revenue regulation under this Law or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price regulation exemption is, however, ineffective unless a limited access arrangement, approved by the AER, is in force in relation to the relevant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168.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while a price regulation exemption remains in force, the Commonwealth Minister makes a 15</w:t>
      </w:r>
      <w:r>
        <w:rPr>
          <w:color w:val="000000"/>
          <w:sz w:val="23"/>
          <w:szCs w:val="23"/>
        </w:rPr>
        <w:noBreakHyphen/>
        <w:t>year no</w:t>
      </w:r>
      <w:r>
        <w:rPr>
          <w:color w:val="000000"/>
          <w:sz w:val="23"/>
          <w:szCs w:val="23"/>
        </w:rPr>
        <w:noBreakHyphen/>
        <w:t>coverage determination for the pipeline, the 15</w:t>
      </w:r>
      <w:r>
        <w:rPr>
          <w:color w:val="000000"/>
          <w:sz w:val="23"/>
          <w:szCs w:val="23"/>
        </w:rPr>
        <w:noBreakHyphen/>
        <w:t>year no</w:t>
      </w:r>
      <w:r>
        <w:rPr>
          <w:color w:val="000000"/>
          <w:sz w:val="23"/>
          <w:szCs w:val="23"/>
        </w:rPr>
        <w:noBreakHyphen/>
        <w:t>coverage determination supersedes the price regulation exemption (which is then terminated) and remains in force for the balance of the period for which the exemption was granted.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application for coverage of a pipeline to which a price regulation exemption applies can only be made before the end of the period of exemption if the coverage sought in the application is to commence from, or after, the end of that period.</w:t>
      </w:r>
    </w:p>
    <w:p>
      <w:pPr>
        <w:pStyle w:val="Heading4"/>
        <w:keepNext w:val="0"/>
      </w:pPr>
      <w:bookmarkStart w:id="1800" w:name="_Toc52954455"/>
      <w:bookmarkStart w:id="1801" w:name="_Toc52955751"/>
      <w:bookmarkStart w:id="1802" w:name="_Toc52957250"/>
      <w:bookmarkStart w:id="1803" w:name="_Toc52958033"/>
      <w:bookmarkStart w:id="1804" w:name="_Toc53045366"/>
      <w:bookmarkStart w:id="1805" w:name="_Toc53046149"/>
      <w:bookmarkStart w:id="1806" w:name="_Toc501634066"/>
      <w:bookmarkStart w:id="1807" w:name="_Toc501712962"/>
      <w:bookmarkStart w:id="1808" w:name="_Toc536782157"/>
      <w:bookmarkStart w:id="1809" w:name="_Toc5347215"/>
      <w:bookmarkStart w:id="1810" w:name="_Toc5363768"/>
      <w:bookmarkStart w:id="1811" w:name="_Toc5364989"/>
      <w:r>
        <w:t>Division 4 — Limited access arrangements</w:t>
      </w:r>
      <w:bookmarkEnd w:id="1800"/>
      <w:bookmarkEnd w:id="1801"/>
      <w:bookmarkEnd w:id="1802"/>
      <w:bookmarkEnd w:id="1803"/>
      <w:bookmarkEnd w:id="1804"/>
      <w:bookmarkEnd w:id="1805"/>
      <w:bookmarkEnd w:id="1806"/>
      <w:bookmarkEnd w:id="1807"/>
      <w:bookmarkEnd w:id="1808"/>
      <w:bookmarkEnd w:id="1809"/>
      <w:bookmarkEnd w:id="1810"/>
      <w:bookmarkEnd w:id="1811"/>
    </w:p>
    <w:p>
      <w:pPr>
        <w:pStyle w:val="Heading5"/>
        <w:keepNext w:val="0"/>
        <w:keepLines w:val="0"/>
      </w:pPr>
      <w:bookmarkStart w:id="1812" w:name="_Toc53046150"/>
      <w:bookmarkStart w:id="1813" w:name="_Toc5364990"/>
      <w:r>
        <w:rPr>
          <w:rStyle w:val="CharSectno"/>
        </w:rPr>
        <w:t>168</w:t>
      </w:r>
      <w:r>
        <w:t>.</w:t>
      </w:r>
      <w:r>
        <w:tab/>
        <w:t>Limited access arrangements for pipeline services provided by international pipeline to which a price regulation exemption applies</w:t>
      </w:r>
      <w:bookmarkEnd w:id="1812"/>
      <w:bookmarkEnd w:id="1813"/>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must, within 60 business days after the grant of a price regulation exemption,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limited access arrangement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submit to the AER, for approval by the AER under the Rules, revisions to an applicable access arrangement that is a limited access arrangement and that applies to the pipeline service to which that arrangement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specified by the Rules.</w:t>
      </w:r>
    </w:p>
    <w:p>
      <w:pPr>
        <w:pStyle w:val="Heading4"/>
      </w:pPr>
      <w:bookmarkStart w:id="1814" w:name="_Toc52954457"/>
      <w:bookmarkStart w:id="1815" w:name="_Toc52955753"/>
      <w:bookmarkStart w:id="1816" w:name="_Toc52957252"/>
      <w:bookmarkStart w:id="1817" w:name="_Toc52958035"/>
      <w:bookmarkStart w:id="1818" w:name="_Toc53045368"/>
      <w:bookmarkStart w:id="1819" w:name="_Toc53046151"/>
      <w:bookmarkStart w:id="1820" w:name="_Toc501634068"/>
      <w:bookmarkStart w:id="1821" w:name="_Toc501712964"/>
      <w:bookmarkStart w:id="1822" w:name="_Toc536782159"/>
      <w:bookmarkStart w:id="1823" w:name="_Toc5347217"/>
      <w:bookmarkStart w:id="1824" w:name="_Toc5363770"/>
      <w:bookmarkStart w:id="1825" w:name="_Toc5364991"/>
      <w:r>
        <w:t>Division 5 — Other matters</w:t>
      </w:r>
      <w:bookmarkEnd w:id="1814"/>
      <w:bookmarkEnd w:id="1815"/>
      <w:bookmarkEnd w:id="1816"/>
      <w:bookmarkEnd w:id="1817"/>
      <w:bookmarkEnd w:id="1818"/>
      <w:bookmarkEnd w:id="1819"/>
      <w:bookmarkEnd w:id="1820"/>
      <w:bookmarkEnd w:id="1821"/>
      <w:bookmarkEnd w:id="1822"/>
      <w:bookmarkEnd w:id="1823"/>
      <w:bookmarkEnd w:id="1824"/>
      <w:bookmarkEnd w:id="1825"/>
    </w:p>
    <w:p>
      <w:pPr>
        <w:pStyle w:val="Heading5"/>
      </w:pPr>
      <w:bookmarkStart w:id="1826" w:name="_Toc53046152"/>
      <w:bookmarkStart w:id="1827" w:name="_Toc5364992"/>
      <w:r>
        <w:rPr>
          <w:rStyle w:val="CharSectno"/>
        </w:rPr>
        <w:t>169</w:t>
      </w:r>
      <w:r>
        <w:t>.</w:t>
      </w:r>
      <w:r>
        <w:tab/>
        <w:t>Other obligations to which service provider is subject</w:t>
      </w:r>
      <w:bookmarkEnd w:id="1826"/>
      <w:bookmarkEnd w:id="182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service provider for a pipeline to which a price regulation exemption applies is subject to the following provisions as if the pipeline were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Chapter 4 Part 1 (except sections 132 and 136);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Chapter 4 Part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service provider for a pipeline to which a price regulation exemption applies must comply with any Rules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relate to the facilitation of, and request for access to, pipeline services provided by means of that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apply to the service provider or a class of person of which the service provider is a member.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ensure compliance with conditions to which the price regulation exemption is subject.</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160.</w:t>
      </w:r>
    </w:p>
    <w:p>
      <w:pPr>
        <w:pStyle w:val="Heading5"/>
      </w:pPr>
      <w:bookmarkStart w:id="1828" w:name="_Toc53046153"/>
      <w:bookmarkStart w:id="1829" w:name="_Toc5364993"/>
      <w:r>
        <w:rPr>
          <w:rStyle w:val="CharSectno"/>
        </w:rPr>
        <w:t>170</w:t>
      </w:r>
      <w:r>
        <w:t>.</w:t>
      </w:r>
      <w:r>
        <w:tab/>
        <w:t>Service provider must not price discriminate in providing international pipeline services</w:t>
      </w:r>
      <w:bookmarkEnd w:id="1828"/>
      <w:bookmarkEnd w:id="182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must not, when providing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an international pipeline to which a price regulation exemption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a limited access arrangement applies,</w:t>
      </w:r>
    </w:p>
    <w:p>
      <w:pPr>
        <w:keepLines/>
        <w:autoSpaceDE w:val="0"/>
        <w:autoSpaceDN w:val="0"/>
        <w:adjustRightInd w:val="0"/>
        <w:spacing w:before="120"/>
        <w:ind w:left="1588"/>
        <w:rPr>
          <w:color w:val="000000"/>
          <w:sz w:val="23"/>
          <w:szCs w:val="23"/>
        </w:rPr>
      </w:pPr>
      <w:r>
        <w:rPr>
          <w:color w:val="000000"/>
          <w:sz w:val="23"/>
          <w:szCs w:val="23"/>
        </w:rPr>
        <w:t>engage in price discrimination.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if the service provider engages in price discrimination that is conducive to efficient service provision.</w:t>
      </w:r>
    </w:p>
    <w:p>
      <w:pPr>
        <w:pStyle w:val="Heading3"/>
      </w:pPr>
      <w:bookmarkStart w:id="1830" w:name="_Toc52954460"/>
      <w:bookmarkStart w:id="1831" w:name="_Toc52955756"/>
      <w:bookmarkStart w:id="1832" w:name="_Toc52957255"/>
      <w:bookmarkStart w:id="1833" w:name="_Toc52958038"/>
      <w:bookmarkStart w:id="1834" w:name="_Toc53045371"/>
      <w:bookmarkStart w:id="1835" w:name="_Toc53046154"/>
      <w:bookmarkStart w:id="1836" w:name="_Toc501634071"/>
      <w:bookmarkStart w:id="1837" w:name="_Toc501712967"/>
      <w:bookmarkStart w:id="1838" w:name="_Toc536782162"/>
      <w:bookmarkStart w:id="1839" w:name="_Toc5347220"/>
      <w:bookmarkStart w:id="1840" w:name="_Toc5363773"/>
      <w:bookmarkStart w:id="1841" w:name="_Toc5364994"/>
      <w:r>
        <w:rPr>
          <w:rStyle w:val="CharDivNo"/>
        </w:rPr>
        <w:t>Part 4</w:t>
      </w:r>
      <w:r>
        <w:t xml:space="preserve"> — </w:t>
      </w:r>
      <w:r>
        <w:rPr>
          <w:rStyle w:val="CharDivText"/>
        </w:rPr>
        <w:t>Extended or modified application of greenfields pipeline incentive</w:t>
      </w:r>
      <w:bookmarkEnd w:id="1830"/>
      <w:bookmarkEnd w:id="1831"/>
      <w:bookmarkEnd w:id="1832"/>
      <w:bookmarkEnd w:id="1833"/>
      <w:bookmarkEnd w:id="1834"/>
      <w:bookmarkEnd w:id="1835"/>
      <w:bookmarkEnd w:id="1836"/>
      <w:bookmarkEnd w:id="1837"/>
      <w:bookmarkEnd w:id="1838"/>
      <w:bookmarkEnd w:id="1839"/>
      <w:bookmarkEnd w:id="1840"/>
      <w:bookmarkEnd w:id="1841"/>
    </w:p>
    <w:p>
      <w:pPr>
        <w:pStyle w:val="Heading5"/>
      </w:pPr>
      <w:bookmarkStart w:id="1842" w:name="_Toc53046155"/>
      <w:bookmarkStart w:id="1843" w:name="_Toc5364995"/>
      <w:r>
        <w:rPr>
          <w:rStyle w:val="CharSectno"/>
        </w:rPr>
        <w:t>171</w:t>
      </w:r>
      <w:r>
        <w:t>.</w:t>
      </w:r>
      <w:r>
        <w:tab/>
        <w:t>Requirement for conformity between pipeline description and pipeline as constructed</w:t>
      </w:r>
      <w:bookmarkEnd w:id="1842"/>
      <w:bookmarkEnd w:id="184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Part—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greenfields pipeline incentive applies to the pipeline as described in the relevant pipeline description;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pipeline, as constructed, materially differs from the pipeline as described in the relevant pipeline description, the incentive does not attach to the pipeline and the service provider is not entitled to its benefit.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determining whether a pipeline, as constructed, materially differs from the relevant pipeline description, excluded infrastructure is not to be taken into account.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relevant pipeline description</w:t>
      </w:r>
      <w:r>
        <w:rPr>
          <w:bCs/>
          <w:i/>
          <w:iCs/>
          <w:color w:val="000000"/>
          <w:sz w:val="23"/>
          <w:szCs w:val="23"/>
        </w:rPr>
        <w:t xml:space="preserve"> </w:t>
      </w:r>
      <w:r>
        <w:rPr>
          <w:color w:val="000000"/>
          <w:sz w:val="23"/>
          <w:szCs w:val="23"/>
        </w:rPr>
        <w:t>means a description of a pipeline required to be included in an application under section 151 or 160.</w:t>
      </w:r>
    </w:p>
    <w:p>
      <w:pPr>
        <w:pStyle w:val="Heading5"/>
      </w:pPr>
      <w:bookmarkStart w:id="1844" w:name="_Toc53046156"/>
      <w:bookmarkStart w:id="1845" w:name="_Toc5364996"/>
      <w:r>
        <w:rPr>
          <w:rStyle w:val="CharSectno"/>
        </w:rPr>
        <w:t>172</w:t>
      </w:r>
      <w:r>
        <w:t>.</w:t>
      </w:r>
      <w:r>
        <w:tab/>
        <w:t>Power of relevant Minister to amend pipeline description</w:t>
      </w:r>
      <w:bookmarkEnd w:id="1844"/>
      <w:bookmarkEnd w:id="184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relevant Minister may, on application by the service provider for a pipeline for which a greenfields pipeline incentive has been granted, amend the relevant pipeline description.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amendment cannot, however, be made under this section after the pipeline has been commissioned.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refer an application for amendment to a pipeline description to the NCC for advice;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amendment sought involves a substantial change to the pipeline description as it currently exists must refer the application to the NCC for advice.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giving its advice to the relevant Minister, the NCC must have regard to the criteria that were relevant to the grant of the greenfields pipeline incentive.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deciding whether to make the amendment sought,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criteria that were relevant to the grant of the greenfields pipeline incentive;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application has been referred to the NCC for advice must consider the NCC’s advice.</w:t>
      </w:r>
    </w:p>
    <w:p>
      <w:pPr>
        <w:pStyle w:val="Heading3"/>
      </w:pPr>
      <w:bookmarkStart w:id="1846" w:name="_Toc52954463"/>
      <w:bookmarkStart w:id="1847" w:name="_Toc52955759"/>
      <w:bookmarkStart w:id="1848" w:name="_Toc52957258"/>
      <w:bookmarkStart w:id="1849" w:name="_Toc52958041"/>
      <w:bookmarkStart w:id="1850" w:name="_Toc53045374"/>
      <w:bookmarkStart w:id="1851" w:name="_Toc53046157"/>
      <w:bookmarkStart w:id="1852" w:name="_Toc501634074"/>
      <w:bookmarkStart w:id="1853" w:name="_Toc501712970"/>
      <w:bookmarkStart w:id="1854" w:name="_Toc536782165"/>
      <w:bookmarkStart w:id="1855" w:name="_Toc5347223"/>
      <w:bookmarkStart w:id="1856" w:name="_Toc5363776"/>
      <w:bookmarkStart w:id="1857" w:name="_Toc5364997"/>
      <w:r>
        <w:rPr>
          <w:rStyle w:val="CharDivNo"/>
        </w:rPr>
        <w:t>Part 5</w:t>
      </w:r>
      <w:r>
        <w:t xml:space="preserve"> — </w:t>
      </w:r>
      <w:r>
        <w:rPr>
          <w:rStyle w:val="CharDivText"/>
        </w:rPr>
        <w:t>Early termination of greenfields pipeline incentive</w:t>
      </w:r>
      <w:bookmarkEnd w:id="1846"/>
      <w:bookmarkEnd w:id="1847"/>
      <w:bookmarkEnd w:id="1848"/>
      <w:bookmarkEnd w:id="1849"/>
      <w:bookmarkEnd w:id="1850"/>
      <w:bookmarkEnd w:id="1851"/>
      <w:bookmarkEnd w:id="1852"/>
      <w:bookmarkEnd w:id="1853"/>
      <w:bookmarkEnd w:id="1854"/>
      <w:bookmarkEnd w:id="1855"/>
      <w:bookmarkEnd w:id="1856"/>
      <w:bookmarkEnd w:id="1857"/>
    </w:p>
    <w:p>
      <w:pPr>
        <w:pStyle w:val="Heading5"/>
      </w:pPr>
      <w:bookmarkStart w:id="1858" w:name="_Toc53046158"/>
      <w:bookmarkStart w:id="1859" w:name="_Toc5364998"/>
      <w:r>
        <w:rPr>
          <w:rStyle w:val="CharSectno"/>
        </w:rPr>
        <w:t>173</w:t>
      </w:r>
      <w:r>
        <w:t>.</w:t>
      </w:r>
      <w:r>
        <w:tab/>
        <w:t>Greenfields pipeline incentive may lapse</w:t>
      </w:r>
      <w:bookmarkEnd w:id="1858"/>
      <w:bookmarkEnd w:id="185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greenfields pipeline incentive lapses if the pipeline for which it was granted is not commissioned within 3 years after the incentive was granted.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Regulations may, in a particular case, extend the period of 3 years referred to in subsection (1).</w:t>
      </w:r>
    </w:p>
    <w:p>
      <w:pPr>
        <w:pStyle w:val="Heading5"/>
      </w:pPr>
      <w:bookmarkStart w:id="1860" w:name="_Toc53046159"/>
      <w:bookmarkStart w:id="1861" w:name="_Toc5364999"/>
      <w:r>
        <w:rPr>
          <w:rStyle w:val="CharSectno"/>
        </w:rPr>
        <w:t>174</w:t>
      </w:r>
      <w:r>
        <w:t>.</w:t>
      </w:r>
      <w:r>
        <w:tab/>
        <w:t>Revocation by consent</w:t>
      </w:r>
      <w:bookmarkEnd w:id="1860"/>
      <w:bookmarkEnd w:id="1861"/>
    </w:p>
    <w:p>
      <w:pPr>
        <w:keepLines/>
        <w:autoSpaceDE w:val="0"/>
        <w:autoSpaceDN w:val="0"/>
        <w:adjustRightInd w:val="0"/>
        <w:spacing w:before="120"/>
        <w:ind w:left="1588"/>
        <w:rPr>
          <w:color w:val="000000"/>
          <w:sz w:val="23"/>
          <w:szCs w:val="23"/>
        </w:rPr>
      </w:pPr>
      <w:r>
        <w:rPr>
          <w:color w:val="000000"/>
          <w:sz w:val="23"/>
          <w:szCs w:val="23"/>
        </w:rPr>
        <w:t>The relevant Minister may, at the request of the service provider, revoke a greenfields pipeline incentive.</w:t>
      </w:r>
    </w:p>
    <w:p>
      <w:pPr>
        <w:pStyle w:val="Heading5"/>
      </w:pPr>
      <w:bookmarkStart w:id="1862" w:name="_Toc53046160"/>
      <w:bookmarkStart w:id="1863" w:name="_Toc5365000"/>
      <w:r>
        <w:rPr>
          <w:rStyle w:val="CharSectno"/>
        </w:rPr>
        <w:t>175</w:t>
      </w:r>
      <w:r>
        <w:t>.</w:t>
      </w:r>
      <w:r>
        <w:tab/>
        <w:t>Revocation for misrepresentation</w:t>
      </w:r>
      <w:bookmarkEnd w:id="1862"/>
      <w:bookmarkEnd w:id="1863"/>
    </w:p>
    <w:p>
      <w:pPr>
        <w:keepNext/>
        <w:keepLines/>
        <w:autoSpaceDE w:val="0"/>
        <w:autoSpaceDN w:val="0"/>
        <w:adjustRightInd w:val="0"/>
        <w:spacing w:before="120"/>
        <w:ind w:left="1588"/>
        <w:rPr>
          <w:color w:val="000000"/>
          <w:sz w:val="23"/>
          <w:szCs w:val="23"/>
        </w:rPr>
      </w:pPr>
      <w:r>
        <w:rPr>
          <w:color w:val="000000"/>
          <w:sz w:val="23"/>
          <w:szCs w:val="23"/>
        </w:rPr>
        <w:t>The relevant Minister may, on application by the AER, revoke a greenfields pipeline incentive on the ground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misrepresented a material fact on the basis of which the application was granted;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applicant failed to disclose material information that the applicant was required to disclose under this Chapter.</w:t>
      </w:r>
    </w:p>
    <w:p>
      <w:pPr>
        <w:pStyle w:val="Heading5"/>
      </w:pPr>
      <w:bookmarkStart w:id="1864" w:name="_Toc53046161"/>
      <w:bookmarkStart w:id="1865" w:name="_Toc5365001"/>
      <w:r>
        <w:rPr>
          <w:rStyle w:val="CharSectno"/>
        </w:rPr>
        <w:t>176</w:t>
      </w:r>
      <w:r>
        <w:t>.</w:t>
      </w:r>
      <w:r>
        <w:tab/>
        <w:t>Revocation for breach of condition to which a price regulation exemption is subject</w:t>
      </w:r>
      <w:bookmarkEnd w:id="1864"/>
      <w:bookmarkEnd w:id="1865"/>
    </w:p>
    <w:p>
      <w:pPr>
        <w:keepLines/>
        <w:autoSpaceDE w:val="0"/>
        <w:autoSpaceDN w:val="0"/>
        <w:adjustRightInd w:val="0"/>
        <w:spacing w:before="120"/>
        <w:ind w:left="1588"/>
        <w:rPr>
          <w:color w:val="000000"/>
          <w:sz w:val="23"/>
          <w:szCs w:val="23"/>
        </w:rPr>
      </w:pPr>
      <w:r>
        <w:rPr>
          <w:color w:val="000000"/>
          <w:sz w:val="23"/>
          <w:szCs w:val="23"/>
        </w:rPr>
        <w:t>The Commonwealth Minister, on application by the AER, may revoke a price regulation exemption on the ground that the service provider has breached a condition to which the price regulation exemption is subject.</w:t>
      </w:r>
    </w:p>
    <w:p>
      <w:pPr>
        <w:pStyle w:val="Heading5"/>
      </w:pPr>
      <w:bookmarkStart w:id="1866" w:name="_Toc53046162"/>
      <w:bookmarkStart w:id="1867" w:name="_Toc5365002"/>
      <w:r>
        <w:rPr>
          <w:rStyle w:val="CharSectno"/>
        </w:rPr>
        <w:t>177</w:t>
      </w:r>
      <w:r>
        <w:t>.</w:t>
      </w:r>
      <w:r>
        <w:tab/>
        <w:t>Exhaustive provision for termination of greenfields pipeline incentive</w:t>
      </w:r>
      <w:bookmarkEnd w:id="1866"/>
      <w:bookmarkEnd w:id="1867"/>
    </w:p>
    <w:p>
      <w:pPr>
        <w:keepLines/>
        <w:autoSpaceDE w:val="0"/>
        <w:autoSpaceDN w:val="0"/>
        <w:adjustRightInd w:val="0"/>
        <w:spacing w:before="120"/>
        <w:ind w:left="1588"/>
        <w:rPr>
          <w:color w:val="000000"/>
          <w:sz w:val="23"/>
          <w:szCs w:val="23"/>
        </w:rPr>
      </w:pPr>
      <w:r>
        <w:rPr>
          <w:color w:val="000000"/>
          <w:sz w:val="23"/>
          <w:szCs w:val="23"/>
        </w:rPr>
        <w:t>A greenfields pipeline incentive does not terminate, and cannot be revoked, before the end of its term except as provided in this Part.</w:t>
      </w:r>
    </w:p>
    <w:p>
      <w:pPr>
        <w:pStyle w:val="Heading2"/>
      </w:pPr>
      <w:bookmarkStart w:id="1868" w:name="_Toc501634080"/>
      <w:bookmarkStart w:id="1869" w:name="_Toc501712976"/>
      <w:bookmarkStart w:id="1870" w:name="_Toc52954469"/>
      <w:bookmarkStart w:id="1871" w:name="_Toc52955765"/>
      <w:bookmarkStart w:id="1872" w:name="_Toc52957264"/>
      <w:bookmarkStart w:id="1873" w:name="_Toc52958047"/>
      <w:bookmarkStart w:id="1874" w:name="_Toc53045380"/>
      <w:bookmarkStart w:id="1875" w:name="_Toc53046163"/>
      <w:bookmarkStart w:id="1876" w:name="_Toc536782171"/>
      <w:bookmarkStart w:id="1877" w:name="_Toc5347229"/>
      <w:bookmarkStart w:id="1878" w:name="_Toc5363782"/>
      <w:bookmarkStart w:id="1879" w:name="_Toc5365003"/>
      <w:r>
        <w:rPr>
          <w:rStyle w:val="CharPartNo"/>
        </w:rPr>
        <w:t>Chapter 6</w:t>
      </w:r>
      <w:r>
        <w:t xml:space="preserve"> — </w:t>
      </w:r>
      <w:r>
        <w:rPr>
          <w:rStyle w:val="CharPartText"/>
        </w:rPr>
        <w:t>Access disputes</w:t>
      </w:r>
      <w:bookmarkEnd w:id="1868"/>
      <w:bookmarkEnd w:id="1869"/>
      <w:r>
        <w:rPr>
          <w:rStyle w:val="CharPartText"/>
        </w:rPr>
        <w:t>—scheme pipelines</w:t>
      </w:r>
      <w:bookmarkEnd w:id="1870"/>
      <w:bookmarkEnd w:id="1871"/>
      <w:bookmarkEnd w:id="1872"/>
      <w:bookmarkEnd w:id="1873"/>
      <w:bookmarkEnd w:id="1874"/>
      <w:bookmarkEnd w:id="1875"/>
      <w:bookmarkEnd w:id="1876"/>
      <w:bookmarkEnd w:id="1877"/>
      <w:bookmarkEnd w:id="1878"/>
      <w:bookmarkEnd w:id="1879"/>
    </w:p>
    <w:p>
      <w:pPr>
        <w:pStyle w:val="Footnoteheading"/>
      </w:pPr>
      <w:bookmarkStart w:id="1880" w:name="_Toc501634081"/>
      <w:bookmarkStart w:id="1881" w:name="_Toc501712977"/>
      <w:r>
        <w:tab/>
        <w:t>[Heading inserted: see SA Act No. 23 of 2017 s. 5 and WA Gazette 22 Dec 2017 p. 5984.]</w:t>
      </w:r>
    </w:p>
    <w:p>
      <w:pPr>
        <w:pStyle w:val="Heading3"/>
      </w:pPr>
      <w:bookmarkStart w:id="1882" w:name="_Toc52954470"/>
      <w:bookmarkStart w:id="1883" w:name="_Toc52955766"/>
      <w:bookmarkStart w:id="1884" w:name="_Toc52957265"/>
      <w:bookmarkStart w:id="1885" w:name="_Toc52958048"/>
      <w:bookmarkStart w:id="1886" w:name="_Toc53045381"/>
      <w:bookmarkStart w:id="1887" w:name="_Toc53046164"/>
      <w:bookmarkStart w:id="1888" w:name="_Toc536782172"/>
      <w:bookmarkStart w:id="1889" w:name="_Toc5347230"/>
      <w:bookmarkStart w:id="1890" w:name="_Toc5363783"/>
      <w:bookmarkStart w:id="1891" w:name="_Toc5365004"/>
      <w:r>
        <w:rPr>
          <w:rStyle w:val="CharDivNo"/>
        </w:rPr>
        <w:t>Part 1</w:t>
      </w:r>
      <w:r>
        <w:t xml:space="preserve"> — </w:t>
      </w:r>
      <w:r>
        <w:rPr>
          <w:rStyle w:val="CharDivText"/>
        </w:rPr>
        <w:t>Interpretation and application</w:t>
      </w:r>
      <w:bookmarkEnd w:id="1882"/>
      <w:bookmarkEnd w:id="1883"/>
      <w:bookmarkEnd w:id="1884"/>
      <w:bookmarkEnd w:id="1885"/>
      <w:bookmarkEnd w:id="1886"/>
      <w:bookmarkEnd w:id="1887"/>
      <w:bookmarkEnd w:id="1880"/>
      <w:bookmarkEnd w:id="1881"/>
      <w:bookmarkEnd w:id="1888"/>
      <w:bookmarkEnd w:id="1889"/>
      <w:bookmarkEnd w:id="1890"/>
      <w:bookmarkEnd w:id="1891"/>
    </w:p>
    <w:p>
      <w:pPr>
        <w:pStyle w:val="Heading5"/>
      </w:pPr>
      <w:bookmarkStart w:id="1892" w:name="_Toc53046165"/>
      <w:bookmarkStart w:id="1893" w:name="_Toc5365005"/>
      <w:r>
        <w:rPr>
          <w:rStyle w:val="CharSectno"/>
        </w:rPr>
        <w:t>178</w:t>
      </w:r>
      <w:r>
        <w:t>.</w:t>
      </w:r>
      <w:r>
        <w:tab/>
        <w:t>Definitions</w:t>
      </w:r>
      <w:bookmarkEnd w:id="1892"/>
      <w:bookmarkEnd w:id="1893"/>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access dispute</w:t>
      </w:r>
      <w:r>
        <w:rPr>
          <w:bCs/>
          <w:i/>
          <w:iCs/>
          <w:color w:val="000000"/>
          <w:sz w:val="23"/>
          <w:szCs w:val="23"/>
        </w:rPr>
        <w:t xml:space="preserve"> </w:t>
      </w:r>
      <w:r>
        <w:rPr>
          <w:color w:val="000000"/>
          <w:sz w:val="23"/>
          <w:szCs w:val="23"/>
        </w:rPr>
        <w:t>means a dispute between a user or prospective user and a service provider about 1 or more aspects of access to a pipeline service provided by means of a scheme pipeline;</w:t>
      </w:r>
    </w:p>
    <w:p>
      <w:pPr>
        <w:keepLines/>
        <w:autoSpaceDE w:val="0"/>
        <w:autoSpaceDN w:val="0"/>
        <w:adjustRightInd w:val="0"/>
        <w:spacing w:before="120"/>
        <w:ind w:left="1588"/>
        <w:rPr>
          <w:color w:val="000000"/>
          <w:sz w:val="23"/>
          <w:szCs w:val="23"/>
        </w:rPr>
      </w:pPr>
      <w:r>
        <w:rPr>
          <w:rStyle w:val="CharDefText"/>
          <w:bCs/>
          <w:sz w:val="23"/>
        </w:rPr>
        <w:t xml:space="preserve">access dispute pipeline </w:t>
      </w:r>
      <w:r>
        <w:rPr>
          <w:color w:val="000000"/>
          <w:sz w:val="23"/>
          <w:szCs w:val="23"/>
        </w:rPr>
        <w:t>means a scheme pipeline used or that could be used to provide a pipeline service that is the subject of an access dispute;</w:t>
      </w:r>
    </w:p>
    <w:p>
      <w:pPr>
        <w:keepLines/>
        <w:autoSpaceDE w:val="0"/>
        <w:autoSpaceDN w:val="0"/>
        <w:adjustRightInd w:val="0"/>
        <w:spacing w:before="120"/>
        <w:ind w:left="1588"/>
        <w:rPr>
          <w:color w:val="000000"/>
          <w:sz w:val="23"/>
          <w:szCs w:val="23"/>
        </w:rPr>
      </w:pPr>
      <w:r>
        <w:rPr>
          <w:rStyle w:val="CharDefText"/>
          <w:bCs/>
          <w:sz w:val="23"/>
        </w:rPr>
        <w:t>dispute hearing</w:t>
      </w:r>
      <w:r>
        <w:rPr>
          <w:bCs/>
          <w:i/>
          <w:iCs/>
          <w:color w:val="000000"/>
          <w:sz w:val="23"/>
          <w:szCs w:val="23"/>
        </w:rPr>
        <w:t xml:space="preserve"> </w:t>
      </w:r>
      <w:r>
        <w:rPr>
          <w:color w:val="000000"/>
          <w:sz w:val="23"/>
          <w:szCs w:val="23"/>
        </w:rPr>
        <w:t>means a hearing conducted by the dispute resolution body for the purpose of making an access determination;</w:t>
      </w:r>
    </w:p>
    <w:p>
      <w:pPr>
        <w:keepLines/>
        <w:autoSpaceDE w:val="0"/>
        <w:autoSpaceDN w:val="0"/>
        <w:adjustRightInd w:val="0"/>
        <w:spacing w:before="120"/>
        <w:ind w:left="1588"/>
        <w:rPr>
          <w:color w:val="000000"/>
          <w:sz w:val="23"/>
          <w:szCs w:val="23"/>
        </w:rPr>
      </w:pPr>
      <w:r>
        <w:rPr>
          <w:rStyle w:val="CharDefText"/>
          <w:bCs/>
          <w:sz w:val="23"/>
        </w:rPr>
        <w:t>party</w:t>
      </w:r>
      <w:r>
        <w:rPr>
          <w:color w:val="000000"/>
          <w:sz w:val="23"/>
          <w:szCs w:val="23"/>
        </w:rPr>
        <w:t>, in relation to an access dispute, has the meaning given by section 183.</w:t>
      </w:r>
    </w:p>
    <w:p>
      <w:pPr>
        <w:pStyle w:val="Heading5"/>
      </w:pPr>
      <w:bookmarkStart w:id="1894" w:name="_Toc53046166"/>
      <w:bookmarkStart w:id="1895" w:name="_Toc5365006"/>
      <w:r>
        <w:rPr>
          <w:rStyle w:val="CharSectno"/>
        </w:rPr>
        <w:t>179</w:t>
      </w:r>
      <w:r>
        <w:t>.</w:t>
      </w:r>
      <w:r>
        <w:tab/>
        <w:t>Chapter does not limit how disputes about access may be raised or dealt with</w:t>
      </w:r>
      <w:bookmarkEnd w:id="1894"/>
      <w:bookmarkEnd w:id="1895"/>
    </w:p>
    <w:p>
      <w:pPr>
        <w:keepLines/>
        <w:autoSpaceDE w:val="0"/>
        <w:autoSpaceDN w:val="0"/>
        <w:adjustRightInd w:val="0"/>
        <w:spacing w:before="120"/>
        <w:ind w:left="1588"/>
        <w:rPr>
          <w:color w:val="000000"/>
          <w:sz w:val="23"/>
          <w:szCs w:val="23"/>
        </w:rPr>
      </w:pPr>
      <w:r>
        <w:rPr>
          <w:color w:val="000000"/>
          <w:sz w:val="23"/>
          <w:szCs w:val="23"/>
        </w:rPr>
        <w:t>This Chapter is not to be taken to limit how a dispute about access to a pipeline service may be raised or dealt with.</w:t>
      </w:r>
    </w:p>
    <w:p>
      <w:pPr>
        <w:pStyle w:val="Heading5"/>
      </w:pPr>
      <w:bookmarkStart w:id="1896" w:name="_Toc53046167"/>
      <w:bookmarkStart w:id="1897" w:name="_Toc5365007"/>
      <w:r>
        <w:rPr>
          <w:rStyle w:val="CharSectno"/>
        </w:rPr>
        <w:t>180</w:t>
      </w:r>
      <w:r>
        <w:t>.</w:t>
      </w:r>
      <w:r>
        <w:tab/>
        <w:t>No price or revenue regulation for access disputes relating to international pipeline services</w:t>
      </w:r>
      <w:bookmarkEnd w:id="1896"/>
      <w:bookmarkEnd w:id="1897"/>
    </w:p>
    <w:p>
      <w:pPr>
        <w:keepNext/>
        <w:keepLines/>
        <w:autoSpaceDE w:val="0"/>
        <w:autoSpaceDN w:val="0"/>
        <w:adjustRightInd w:val="0"/>
        <w:spacing w:before="120"/>
        <w:ind w:left="1588"/>
        <w:rPr>
          <w:color w:val="000000"/>
          <w:sz w:val="23"/>
          <w:szCs w:val="23"/>
        </w:rPr>
      </w:pPr>
      <w:r>
        <w:rPr>
          <w:color w:val="000000"/>
          <w:sz w:val="23"/>
          <w:szCs w:val="23"/>
        </w:rPr>
        <w:t>An access dispute notified under this Chapter in relation to a pipeline service provided by means of an international pipeline to which a price regulation exemption applies must not be resolved under this Chapter on terms—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regulating the price at which a service is to be provided by the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limiting the revenue to be derived by the service provider from the provision of a service.</w:t>
      </w:r>
    </w:p>
    <w:p>
      <w:pPr>
        <w:pStyle w:val="Heading3"/>
      </w:pPr>
      <w:bookmarkStart w:id="1898" w:name="_Toc52954474"/>
      <w:bookmarkStart w:id="1899" w:name="_Toc52955770"/>
      <w:bookmarkStart w:id="1900" w:name="_Toc52957269"/>
      <w:bookmarkStart w:id="1901" w:name="_Toc52958052"/>
      <w:bookmarkStart w:id="1902" w:name="_Toc53045385"/>
      <w:bookmarkStart w:id="1903" w:name="_Toc53046168"/>
      <w:bookmarkStart w:id="1904" w:name="_Toc501634085"/>
      <w:bookmarkStart w:id="1905" w:name="_Toc501712981"/>
      <w:bookmarkStart w:id="1906" w:name="_Toc536782176"/>
      <w:bookmarkStart w:id="1907" w:name="_Toc5347234"/>
      <w:bookmarkStart w:id="1908" w:name="_Toc5363787"/>
      <w:bookmarkStart w:id="1909" w:name="_Toc5365008"/>
      <w:r>
        <w:rPr>
          <w:rStyle w:val="CharDivNo"/>
        </w:rPr>
        <w:t>Part 2</w:t>
      </w:r>
      <w:r>
        <w:t xml:space="preserve"> — </w:t>
      </w:r>
      <w:r>
        <w:rPr>
          <w:rStyle w:val="CharDivText"/>
        </w:rPr>
        <w:t>Notification of access dispute</w:t>
      </w:r>
      <w:bookmarkEnd w:id="1898"/>
      <w:bookmarkEnd w:id="1899"/>
      <w:bookmarkEnd w:id="1900"/>
      <w:bookmarkEnd w:id="1901"/>
      <w:bookmarkEnd w:id="1902"/>
      <w:bookmarkEnd w:id="1903"/>
      <w:bookmarkEnd w:id="1904"/>
      <w:bookmarkEnd w:id="1905"/>
      <w:bookmarkEnd w:id="1906"/>
      <w:bookmarkEnd w:id="1907"/>
      <w:bookmarkEnd w:id="1908"/>
      <w:bookmarkEnd w:id="1909"/>
    </w:p>
    <w:p>
      <w:pPr>
        <w:pStyle w:val="Heading5"/>
      </w:pPr>
      <w:bookmarkStart w:id="1910" w:name="_Toc53046169"/>
      <w:bookmarkStart w:id="1911" w:name="_Toc5365009"/>
      <w:r>
        <w:rPr>
          <w:rStyle w:val="CharSectno"/>
        </w:rPr>
        <w:t>181</w:t>
      </w:r>
      <w:r>
        <w:t>.</w:t>
      </w:r>
      <w:r>
        <w:tab/>
        <w:t>Notification of access dispute</w:t>
      </w:r>
      <w:bookmarkEnd w:id="1910"/>
      <w:bookmarkEnd w:id="191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a prospective user or user is unable to agree with a service provider about 1 or more aspects of access to a pipeline service provided or to be provided by means of a scheme pipeline, the prospective user, user or service provider may notify the dispute resolution body, in writing, that an access dispute exists.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dispute about access to a light regulation service may be notified under this section because light regulation services are pipeline services provided by means of a covered pipeline (which is a scheme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notification 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a notification under subsection (1), the dispute resolution body must notify, in writing, of the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service provider, if a prospective user or user (as the case requires) notified the dispute resolution body of the access dispute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prospective user or user (as the case requires), if the service provider notified the dispute resolution body of the access dispute under subsection (1).</w:t>
      </w:r>
    </w:p>
    <w:p>
      <w:pPr>
        <w:pStyle w:val="Heading5"/>
      </w:pPr>
      <w:bookmarkStart w:id="1912" w:name="_Toc53046170"/>
      <w:bookmarkStart w:id="1913" w:name="_Toc5365010"/>
      <w:r>
        <w:rPr>
          <w:rStyle w:val="CharSectno"/>
        </w:rPr>
        <w:t>181A</w:t>
      </w:r>
      <w:r>
        <w:t>.</w:t>
      </w:r>
      <w:r>
        <w:tab/>
        <w:t>Providing information for certain disputes</w:t>
      </w:r>
      <w:bookmarkEnd w:id="1912"/>
      <w:bookmarkEnd w:id="191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sz w:val="23"/>
        </w:rPr>
        <w:tab/>
        <w:t>If the dispute resolution body for a dispute notified under section 181(1) is the WA arbitrator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sz w:val="23"/>
        </w:rPr>
        <w:tab/>
        <w:t>the WA arbitrator is to inform the ERA that notification of the dispute has been received;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sz w:val="23"/>
        </w:rPr>
        <w:tab/>
        <w:t>the WA arbitrator may request the ERA to give the WA arbitrator any information in the ERA’s possession that is relevant to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sz w:val="23"/>
        </w:rPr>
        <w:tab/>
        <w:t>The ERA is to give the WA arbitrator the information requested, whether or not it is confidential and whether or not it came into the ERA’s possession for the purposes of resolving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sz w:val="23"/>
        </w:rPr>
        <w:tab/>
        <w:t>If the ERA gives the WA arbitrator information that is confidential, the ERA is to identify the nature and extent of the confidentiality and the WA arbitrator is to treat the information accordingly.</w:t>
      </w:r>
    </w:p>
    <w:p>
      <w:pPr>
        <w:pStyle w:val="Footnotesection"/>
      </w:pPr>
      <w:r>
        <w:tab/>
        <w:t>[Section 181A inserted: WA Act Sch. 1 cl. 9.]</w:t>
      </w:r>
    </w:p>
    <w:p>
      <w:pPr>
        <w:pStyle w:val="Heading5"/>
      </w:pPr>
      <w:bookmarkStart w:id="1914" w:name="_Toc53046171"/>
      <w:bookmarkStart w:id="1915" w:name="_Toc5365011"/>
      <w:r>
        <w:rPr>
          <w:rStyle w:val="CharSectno"/>
        </w:rPr>
        <w:t>182</w:t>
      </w:r>
      <w:r>
        <w:t>.</w:t>
      </w:r>
      <w:r>
        <w:tab/>
        <w:t>Withdrawal of notification</w:t>
      </w:r>
      <w:bookmarkEnd w:id="1914"/>
      <w:bookmarkEnd w:id="191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person who notified the dispute resolution body of an access dispute under section 181(1) may withdraw that notification at any time before the dispute resolution body makes an access determination in respect of that access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notification must be withdrawn by notice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notification is withdrawn, it must be taken, for the purposes of this Chapter, never to have been given.</w:t>
      </w:r>
    </w:p>
    <w:p>
      <w:pPr>
        <w:pStyle w:val="Heading5"/>
      </w:pPr>
      <w:bookmarkStart w:id="1916" w:name="_Toc53046172"/>
      <w:bookmarkStart w:id="1917" w:name="_Toc5365012"/>
      <w:r>
        <w:rPr>
          <w:rStyle w:val="CharSectno"/>
        </w:rPr>
        <w:t>183</w:t>
      </w:r>
      <w:r>
        <w:t>.</w:t>
      </w:r>
      <w:r>
        <w:tab/>
        <w:t>Parties to an access dispute</w:t>
      </w:r>
      <w:bookmarkEnd w:id="1916"/>
      <w:bookmarkEnd w:id="1917"/>
    </w:p>
    <w:p>
      <w:pPr>
        <w:keepNext/>
        <w:keepLines/>
        <w:autoSpaceDE w:val="0"/>
        <w:autoSpaceDN w:val="0"/>
        <w:adjustRightInd w:val="0"/>
        <w:spacing w:before="120"/>
        <w:ind w:left="1588"/>
        <w:rPr>
          <w:color w:val="000000"/>
          <w:sz w:val="23"/>
          <w:szCs w:val="23"/>
        </w:rPr>
      </w:pPr>
      <w:r>
        <w:rPr>
          <w:color w:val="000000"/>
          <w:sz w:val="23"/>
          <w:szCs w:val="23"/>
        </w:rPr>
        <w:t>The parties to an access dispute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notifying the dispute resolution body of an access dispute under section 181(1);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notified by the dispute resolution body under section 181(3);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the dispute resolution body is of the opinion that the resolution of the access dispute may involve requiring another person to do something—that other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other person who applies in writing to be made a party and is accepted by the dispute resolution body as having a sufficient interest.</w:t>
      </w:r>
    </w:p>
    <w:p>
      <w:pPr>
        <w:pStyle w:val="Heading3"/>
      </w:pPr>
      <w:bookmarkStart w:id="1918" w:name="_Toc52954479"/>
      <w:bookmarkStart w:id="1919" w:name="_Toc52955775"/>
      <w:bookmarkStart w:id="1920" w:name="_Toc52957274"/>
      <w:bookmarkStart w:id="1921" w:name="_Toc52958057"/>
      <w:bookmarkStart w:id="1922" w:name="_Toc53045390"/>
      <w:bookmarkStart w:id="1923" w:name="_Toc53046173"/>
      <w:bookmarkStart w:id="1924" w:name="_Toc501634090"/>
      <w:bookmarkStart w:id="1925" w:name="_Toc501712986"/>
      <w:bookmarkStart w:id="1926" w:name="_Toc536782181"/>
      <w:bookmarkStart w:id="1927" w:name="_Toc5347239"/>
      <w:bookmarkStart w:id="1928" w:name="_Toc5363792"/>
      <w:bookmarkStart w:id="1929" w:name="_Toc5365013"/>
      <w:r>
        <w:rPr>
          <w:rStyle w:val="CharDivNo"/>
        </w:rPr>
        <w:t>Part 3</w:t>
      </w:r>
      <w:r>
        <w:t xml:space="preserve"> — </w:t>
      </w:r>
      <w:r>
        <w:rPr>
          <w:rStyle w:val="CharDivText"/>
        </w:rPr>
        <w:t>Access determinations</w:t>
      </w:r>
      <w:bookmarkEnd w:id="1918"/>
      <w:bookmarkEnd w:id="1919"/>
      <w:bookmarkEnd w:id="1920"/>
      <w:bookmarkEnd w:id="1921"/>
      <w:bookmarkEnd w:id="1922"/>
      <w:bookmarkEnd w:id="1923"/>
      <w:bookmarkEnd w:id="1924"/>
      <w:bookmarkEnd w:id="1925"/>
      <w:bookmarkEnd w:id="1926"/>
      <w:bookmarkEnd w:id="1927"/>
      <w:bookmarkEnd w:id="1928"/>
      <w:bookmarkEnd w:id="1929"/>
    </w:p>
    <w:p>
      <w:pPr>
        <w:pStyle w:val="Heading5"/>
      </w:pPr>
      <w:bookmarkStart w:id="1930" w:name="_Toc53046174"/>
      <w:bookmarkStart w:id="1931" w:name="_Toc5365014"/>
      <w:r>
        <w:rPr>
          <w:rStyle w:val="CharSectno"/>
        </w:rPr>
        <w:t>184</w:t>
      </w:r>
      <w:r>
        <w:t>.</w:t>
      </w:r>
      <w:r>
        <w:tab/>
        <w:t>Determination of access dispute</w:t>
      </w:r>
      <w:bookmarkEnd w:id="1930"/>
      <w:bookmarkEnd w:id="193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Unless the dispute resolution body terminates an access dispute under section 186, the dispute resolution body must make a determination on access by the prospective user or user, as the case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making an access determination the dispute resolution body must comply with this Chapter and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writing;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include a statement of reasons for making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parties without delay.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access determination has effect on and after the date specified in the determination.</w:t>
      </w:r>
    </w:p>
    <w:p>
      <w:pPr>
        <w:pStyle w:val="Heading5"/>
      </w:pPr>
      <w:bookmarkStart w:id="1932" w:name="_Toc53046175"/>
      <w:bookmarkStart w:id="1933" w:name="_Toc5365015"/>
      <w:r>
        <w:rPr>
          <w:rStyle w:val="CharSectno"/>
        </w:rPr>
        <w:t>185</w:t>
      </w:r>
      <w:r>
        <w:t>.</w:t>
      </w:r>
      <w:r>
        <w:tab/>
        <w:t>Dispute resolution body may require parties to mediate, conciliate or engage in an alternative dispute resolution process</w:t>
      </w:r>
      <w:bookmarkEnd w:id="1932"/>
      <w:bookmarkEnd w:id="193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require the parties, in accordance with the Rules, to mediate, conciliate or engage in another alternative dispute resolution process for the purpose of resolving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party must comply with a requirement under subsection (1).</w:t>
      </w:r>
    </w:p>
    <w:p>
      <w:pPr>
        <w:pStyle w:val="Heading5"/>
      </w:pPr>
      <w:bookmarkStart w:id="1934" w:name="_Toc53046176"/>
      <w:bookmarkStart w:id="1935" w:name="_Toc5365016"/>
      <w:r>
        <w:rPr>
          <w:rStyle w:val="CharSectno"/>
        </w:rPr>
        <w:t>186</w:t>
      </w:r>
      <w:r>
        <w:t>.</w:t>
      </w:r>
      <w:r>
        <w:tab/>
        <w:t>Dispute resolution body may terminate access dispute in certain cases</w:t>
      </w:r>
      <w:bookmarkEnd w:id="1934"/>
      <w:bookmarkEnd w:id="193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at any time terminate an access dispute (without making an access determination) if the dispute resolution body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notification of the access dispute was vexatious;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dispute is trivial, misconceived or lacking in substance;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party who notified the access dispute had, but did not avail itself of, an opportunity to engage in negotiations in good faith with the other party before that notification;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specified dispute termination circumstance has occurred.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section 188, the dispute resolution body may also terminate an access dispute (without making an access determination) if the dispute resolution body considers that the aspect of access about which there is a dispute is expressly or impliedly dealt with under a contract between,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prospective user and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user and service provider.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 xml:space="preserve">specified dispute termination circumstance </w:t>
      </w:r>
      <w:r>
        <w:rPr>
          <w:color w:val="000000"/>
          <w:sz w:val="23"/>
          <w:szCs w:val="23"/>
        </w:rPr>
        <w:t>means a circumstance specified by the Rules as being a circumstance, the occurrence of which, entitles the dispute resolution body to terminate an access dispute (without making an access determination).</w:t>
      </w:r>
    </w:p>
    <w:p>
      <w:pPr>
        <w:pStyle w:val="Heading5"/>
      </w:pPr>
      <w:bookmarkStart w:id="1936" w:name="_Toc53046177"/>
      <w:bookmarkStart w:id="1937" w:name="_Toc5365017"/>
      <w:r>
        <w:rPr>
          <w:rStyle w:val="CharSectno"/>
        </w:rPr>
        <w:t>187</w:t>
      </w:r>
      <w:r>
        <w:t>.</w:t>
      </w:r>
      <w:r>
        <w:tab/>
        <w:t>No access determination if dispute resolution body considers there is genuine competition</w:t>
      </w:r>
      <w:bookmarkEnd w:id="1936"/>
      <w:bookmarkEnd w:id="1937"/>
    </w:p>
    <w:p>
      <w:pPr>
        <w:keepLines/>
        <w:autoSpaceDE w:val="0"/>
        <w:autoSpaceDN w:val="0"/>
        <w:adjustRightInd w:val="0"/>
        <w:spacing w:before="120"/>
        <w:ind w:left="1588"/>
        <w:rPr>
          <w:color w:val="000000"/>
          <w:sz w:val="23"/>
          <w:szCs w:val="23"/>
        </w:rPr>
      </w:pPr>
      <w:r>
        <w:rPr>
          <w:color w:val="000000"/>
          <w:sz w:val="23"/>
          <w:szCs w:val="23"/>
        </w:rPr>
        <w:t>Despite anything to the contrary in this Chapter, the dispute resolution body may refuse to make an access determination that requires the service provider to provide a particular pipeline service to a prospective user or user if the dispute resolution body considers that the pipeline service the subject of the access dispute could be provided on a genuinely competitive basis by a person other than the service provider or an associate of the service provider.</w:t>
      </w:r>
    </w:p>
    <w:p>
      <w:pPr>
        <w:pStyle w:val="Heading5"/>
      </w:pPr>
      <w:bookmarkStart w:id="1938" w:name="_Toc53046178"/>
      <w:bookmarkStart w:id="1939" w:name="_Toc5365018"/>
      <w:r>
        <w:rPr>
          <w:rStyle w:val="CharSectno"/>
        </w:rPr>
        <w:t>188</w:t>
      </w:r>
      <w:r>
        <w:t>.</w:t>
      </w:r>
      <w:r>
        <w:tab/>
        <w:t>Restrictions on access determinations</w:t>
      </w:r>
      <w:bookmarkEnd w:id="1938"/>
      <w:bookmarkEnd w:id="193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must not make an access determination that would have any of the following effects: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preventing a user obtaining a sufficient amount of a pipeline service under a contract or previous access determination to be able to meet the user’s reasonably anticipated requirements, measured at the time the access dispute was notified;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preventing a prospective user or user from obtaining, by the exercise of a pre</w:t>
      </w:r>
      <w:r>
        <w:rPr>
          <w:color w:val="000000"/>
          <w:sz w:val="23"/>
          <w:szCs w:val="23"/>
        </w:rPr>
        <w:noBreakHyphen/>
        <w:t>notification right, a sufficient amount of a pipeline service to be able to meet the prospective user’s or user’s actual requirements;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pre</w:t>
      </w:r>
      <w:r>
        <w:rPr>
          <w:rStyle w:val="CharDefText"/>
          <w:bCs/>
          <w:sz w:val="23"/>
        </w:rPr>
        <w:noBreakHyphen/>
        <w:t>notification right</w:t>
      </w:r>
      <w:r>
        <w:rPr>
          <w:bCs/>
          <w:i/>
          <w:iCs/>
          <w:color w:val="000000"/>
          <w:sz w:val="23"/>
          <w:szCs w:val="23"/>
        </w:rPr>
        <w:t xml:space="preserve"> </w:t>
      </w:r>
      <w:r>
        <w:rPr>
          <w:color w:val="000000"/>
          <w:sz w:val="23"/>
          <w:szCs w:val="23"/>
        </w:rPr>
        <w:t>means a right under a contract, or under an access determination, that was in force at the time when the access dispute was notified under section 181;</w:t>
      </w:r>
    </w:p>
    <w:p>
      <w:pPr>
        <w:keepNext/>
        <w:keepLines/>
        <w:autoSpaceDE w:val="0"/>
        <w:autoSpaceDN w:val="0"/>
        <w:adjustRightInd w:val="0"/>
        <w:spacing w:before="120"/>
        <w:ind w:left="1588"/>
        <w:rPr>
          <w:color w:val="000000"/>
          <w:sz w:val="23"/>
          <w:szCs w:val="23"/>
        </w:rPr>
      </w:pPr>
      <w:r>
        <w:rPr>
          <w:rStyle w:val="CharDefText"/>
          <w:bCs/>
          <w:sz w:val="23"/>
        </w:rPr>
        <w:t>relevant exclusivity right</w:t>
      </w:r>
      <w:r>
        <w:rPr>
          <w:bCs/>
          <w:i/>
          <w:iCs/>
          <w:color w:val="000000"/>
          <w:sz w:val="23"/>
          <w:szCs w:val="23"/>
        </w:rPr>
        <w:t xml:space="preserve"> </w:t>
      </w:r>
      <w:r>
        <w:rPr>
          <w:color w:val="000000"/>
          <w:sz w:val="23"/>
          <w:szCs w:val="23"/>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Lines/>
        <w:autoSpaceDE w:val="0"/>
        <w:autoSpaceDN w:val="0"/>
        <w:adjustRightInd w:val="0"/>
        <w:spacing w:before="120"/>
        <w:ind w:left="1588"/>
        <w:rPr>
          <w:color w:val="000000"/>
          <w:sz w:val="23"/>
          <w:szCs w:val="23"/>
        </w:rPr>
      </w:pPr>
      <w:r>
        <w:rPr>
          <w:rStyle w:val="CharDefText"/>
          <w:bCs/>
          <w:sz w:val="23"/>
        </w:rPr>
        <w:t>relevant protected contractual right</w:t>
      </w:r>
      <w:r>
        <w:rPr>
          <w:bCs/>
          <w:i/>
          <w:iCs/>
          <w:color w:val="000000"/>
          <w:sz w:val="23"/>
          <w:szCs w:val="23"/>
        </w:rPr>
        <w:t xml:space="preserve"> </w:t>
      </w:r>
      <w:r>
        <w:rPr>
          <w:color w:val="000000"/>
          <w:sz w:val="23"/>
          <w:szCs w:val="23"/>
        </w:rPr>
        <w:t>means a right under a contract (other than a relevant exclusivity right) that was in force immediately before the notification of an access dispute under section 181.</w:t>
      </w:r>
    </w:p>
    <w:p>
      <w:pPr>
        <w:pStyle w:val="Heading5"/>
      </w:pPr>
      <w:bookmarkStart w:id="1940" w:name="_Toc53046179"/>
      <w:bookmarkStart w:id="1941" w:name="_Toc5365019"/>
      <w:r>
        <w:rPr>
          <w:rStyle w:val="CharSectno"/>
        </w:rPr>
        <w:t>189</w:t>
      </w:r>
      <w:r>
        <w:t>.</w:t>
      </w:r>
      <w:r>
        <w:tab/>
        <w:t>Access determination must give effect to applicable access arrangement</w:t>
      </w:r>
      <w:bookmarkEnd w:id="1940"/>
      <w:bookmarkEnd w:id="1941"/>
    </w:p>
    <w:p>
      <w:pPr>
        <w:keepNext/>
        <w:keepLines/>
        <w:autoSpaceDE w:val="0"/>
        <w:autoSpaceDN w:val="0"/>
        <w:adjustRightInd w:val="0"/>
        <w:spacing w:before="120"/>
        <w:ind w:left="1588"/>
        <w:rPr>
          <w:color w:val="000000"/>
          <w:sz w:val="23"/>
          <w:szCs w:val="23"/>
        </w:rPr>
      </w:pPr>
      <w:r>
        <w:rPr>
          <w:color w:val="000000"/>
          <w:sz w:val="23"/>
          <w:szCs w:val="23"/>
        </w:rPr>
        <w:t>Subject to sections 190 and 191 and any Rules made for the purposes of this Part, the dispute resolution body must, in making an access determination, give effect to the applicable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applying to the pipeline services provided, or to be provided, by means of the access dispute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effect at the time the determination is made,</w:t>
      </w:r>
    </w:p>
    <w:p>
      <w:pPr>
        <w:keepLines/>
        <w:autoSpaceDE w:val="0"/>
        <w:autoSpaceDN w:val="0"/>
        <w:adjustRightInd w:val="0"/>
        <w:spacing w:before="120"/>
        <w:ind w:left="1588"/>
        <w:rPr>
          <w:color w:val="000000"/>
          <w:sz w:val="23"/>
          <w:szCs w:val="23"/>
        </w:rPr>
      </w:pPr>
      <w:r>
        <w:rPr>
          <w:color w:val="000000"/>
          <w:sz w:val="23"/>
          <w:szCs w:val="23"/>
        </w:rPr>
        <w:t>(even though that arrangement may not have been in force when notification of the access dispute was given).</w:t>
      </w:r>
    </w:p>
    <w:p>
      <w:pPr>
        <w:pStyle w:val="Heading5"/>
      </w:pPr>
      <w:bookmarkStart w:id="1942" w:name="_Toc53046180"/>
      <w:bookmarkStart w:id="1943" w:name="_Toc5365020"/>
      <w:r>
        <w:rPr>
          <w:rStyle w:val="CharSectno"/>
        </w:rPr>
        <w:t>190</w:t>
      </w:r>
      <w:r>
        <w:t>.</w:t>
      </w:r>
      <w:r>
        <w:tab/>
        <w:t>Access determinations and past contributions of capital to fund installations or the construction of new facilities</w:t>
      </w:r>
      <w:bookmarkEnd w:id="1942"/>
      <w:bookmarkEnd w:id="194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an access determination, the dispute resolution body may (where relevant) take into account past contributions of capital to fund installations or the construction of new facilities.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specify the matters that the dispute resolution body must address in making that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content of that access determination.</w:t>
      </w:r>
    </w:p>
    <w:p>
      <w:pPr>
        <w:pStyle w:val="Heading5"/>
      </w:pPr>
      <w:bookmarkStart w:id="1944" w:name="_Toc53046181"/>
      <w:bookmarkStart w:id="1945" w:name="_Toc5365021"/>
      <w:r>
        <w:rPr>
          <w:rStyle w:val="CharSectno"/>
        </w:rPr>
        <w:t>191</w:t>
      </w:r>
      <w:r>
        <w:t>.</w:t>
      </w:r>
      <w:r>
        <w:tab/>
        <w:t>Rules may allow determination that varies applicable access arrangement for installation of a new facility</w:t>
      </w:r>
      <w:bookmarkEnd w:id="1944"/>
      <w:bookmarkEnd w:id="194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dispute resolution body is proposing to make an access determination that will require—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install or construct a new facility to expand the capacity of the access dispute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prospective user or user who is a party to the access dispute to contribute some or all of the capital to fund the installation or construction of the new facility.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confer a function or power on the dispute resolution body to, when making the access determination, vary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matters that the dispute resolution body must address in making that access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the kinds of variations that may be made to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specify the content of that access determination.</w:t>
      </w:r>
    </w:p>
    <w:p>
      <w:pPr>
        <w:pStyle w:val="Heading5"/>
      </w:pPr>
      <w:bookmarkStart w:id="1946" w:name="_Toc53046182"/>
      <w:bookmarkStart w:id="1947" w:name="_Toc5365022"/>
      <w:r>
        <w:rPr>
          <w:rStyle w:val="CharSectno"/>
        </w:rPr>
        <w:t>192</w:t>
      </w:r>
      <w:r>
        <w:t>.</w:t>
      </w:r>
      <w:r>
        <w:tab/>
        <w:t>Access determinations need not require the provision of a pipeline service</w:t>
      </w:r>
      <w:bookmarkEnd w:id="1946"/>
      <w:bookmarkEnd w:id="1947"/>
    </w:p>
    <w:p>
      <w:pPr>
        <w:keepLines/>
        <w:autoSpaceDE w:val="0"/>
        <w:autoSpaceDN w:val="0"/>
        <w:adjustRightInd w:val="0"/>
        <w:spacing w:before="120"/>
        <w:ind w:left="1588"/>
        <w:rPr>
          <w:color w:val="000000"/>
          <w:sz w:val="23"/>
          <w:szCs w:val="23"/>
        </w:rPr>
      </w:pPr>
      <w:r>
        <w:rPr>
          <w:color w:val="000000"/>
          <w:sz w:val="23"/>
          <w:szCs w:val="23"/>
        </w:rPr>
        <w:t>An access determination may, but need not, require a service provider to provide a pipeline service to a prospective user.</w:t>
      </w:r>
    </w:p>
    <w:p>
      <w:pPr>
        <w:pStyle w:val="Heading5"/>
      </w:pPr>
      <w:bookmarkStart w:id="1948" w:name="_Toc53046183"/>
      <w:bookmarkStart w:id="1949" w:name="_Toc5365023"/>
      <w:r>
        <w:rPr>
          <w:rStyle w:val="CharSectno"/>
        </w:rPr>
        <w:t>193</w:t>
      </w:r>
      <w:r>
        <w:t>.</w:t>
      </w:r>
      <w:r>
        <w:tab/>
        <w:t>Content of access determinations</w:t>
      </w:r>
      <w:bookmarkEnd w:id="1948"/>
      <w:bookmarkEnd w:id="1949"/>
    </w:p>
    <w:p>
      <w:pPr>
        <w:keepNext/>
        <w:keepLines/>
        <w:autoSpaceDE w:val="0"/>
        <w:autoSpaceDN w:val="0"/>
        <w:adjustRightInd w:val="0"/>
        <w:spacing w:before="120"/>
        <w:ind w:left="1588"/>
        <w:rPr>
          <w:color w:val="000000"/>
          <w:sz w:val="23"/>
          <w:szCs w:val="23"/>
        </w:rPr>
      </w:pPr>
      <w:r>
        <w:rPr>
          <w:color w:val="000000"/>
          <w:sz w:val="23"/>
          <w:szCs w:val="23"/>
        </w:rPr>
        <w:t>Subject to this Chapter, an access determination may deal with any matter relating to the provision of a pipeline service to a prospective user or user.</w:t>
      </w:r>
    </w:p>
    <w:p>
      <w:pPr>
        <w:keepNext/>
        <w:keepLines/>
        <w:autoSpaceDE w:val="0"/>
        <w:autoSpaceDN w:val="0"/>
        <w:adjustRightInd w:val="0"/>
        <w:spacing w:before="120"/>
        <w:ind w:left="2382" w:hanging="794"/>
        <w:rPr>
          <w:b/>
          <w:bCs/>
          <w:color w:val="000000"/>
          <w:sz w:val="20"/>
        </w:rPr>
      </w:pPr>
      <w:r>
        <w:rPr>
          <w:b/>
          <w:bCs/>
          <w:color w:val="000000"/>
          <w:sz w:val="20"/>
        </w:rPr>
        <w:t>Example—</w:t>
      </w:r>
    </w:p>
    <w:p>
      <w:pPr>
        <w:keepNext/>
        <w:keepLines/>
        <w:autoSpaceDE w:val="0"/>
        <w:autoSpaceDN w:val="0"/>
        <w:adjustRightInd w:val="0"/>
        <w:spacing w:before="120"/>
        <w:ind w:left="2382"/>
        <w:rPr>
          <w:color w:val="000000"/>
          <w:sz w:val="20"/>
        </w:rPr>
      </w:pPr>
      <w:r>
        <w:rPr>
          <w:color w:val="000000"/>
          <w:sz w:val="20"/>
        </w:rPr>
        <w:t>An access determination may require the service provider to provide a pipeline service to the prospective user or user at—</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a specified tariff, rate or charge; and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on specified terms and conditions.</w:t>
      </w:r>
    </w:p>
    <w:p>
      <w:pPr>
        <w:pStyle w:val="Heading3"/>
      </w:pPr>
      <w:bookmarkStart w:id="1950" w:name="_Toc52954490"/>
      <w:bookmarkStart w:id="1951" w:name="_Toc52955786"/>
      <w:bookmarkStart w:id="1952" w:name="_Toc52957285"/>
      <w:bookmarkStart w:id="1953" w:name="_Toc52958068"/>
      <w:bookmarkStart w:id="1954" w:name="_Toc53045401"/>
      <w:bookmarkStart w:id="1955" w:name="_Toc53046184"/>
      <w:bookmarkStart w:id="1956" w:name="_Toc501634101"/>
      <w:bookmarkStart w:id="1957" w:name="_Toc501712997"/>
      <w:bookmarkStart w:id="1958" w:name="_Toc536782192"/>
      <w:bookmarkStart w:id="1959" w:name="_Toc5347250"/>
      <w:bookmarkStart w:id="1960" w:name="_Toc5363803"/>
      <w:bookmarkStart w:id="1961" w:name="_Toc5365024"/>
      <w:r>
        <w:rPr>
          <w:rStyle w:val="CharDivNo"/>
        </w:rPr>
        <w:t>Part 4</w:t>
      </w:r>
      <w:r>
        <w:t xml:space="preserve"> — </w:t>
      </w:r>
      <w:r>
        <w:rPr>
          <w:rStyle w:val="CharDivText"/>
        </w:rPr>
        <w:t>Variation of access determinations</w:t>
      </w:r>
      <w:bookmarkEnd w:id="1950"/>
      <w:bookmarkEnd w:id="1951"/>
      <w:bookmarkEnd w:id="1952"/>
      <w:bookmarkEnd w:id="1953"/>
      <w:bookmarkEnd w:id="1954"/>
      <w:bookmarkEnd w:id="1955"/>
      <w:bookmarkEnd w:id="1956"/>
      <w:bookmarkEnd w:id="1957"/>
      <w:bookmarkEnd w:id="1958"/>
      <w:bookmarkEnd w:id="1959"/>
      <w:bookmarkEnd w:id="1960"/>
      <w:bookmarkEnd w:id="1961"/>
    </w:p>
    <w:p>
      <w:pPr>
        <w:pStyle w:val="Heading5"/>
      </w:pPr>
      <w:bookmarkStart w:id="1962" w:name="_Toc53046185"/>
      <w:bookmarkStart w:id="1963" w:name="_Toc5365025"/>
      <w:r>
        <w:rPr>
          <w:rStyle w:val="CharSectno"/>
        </w:rPr>
        <w:t>194</w:t>
      </w:r>
      <w:r>
        <w:t>.</w:t>
      </w:r>
      <w:r>
        <w:tab/>
        <w:t>Variation of access determination</w:t>
      </w:r>
      <w:bookmarkEnd w:id="1962"/>
      <w:bookmarkEnd w:id="196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vary an access determination on the application of any party to the determination. However, it cannot vary the final determination if any other party objects.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If the parties cannot agree on a variation, a new access dispute can be notified under section 181.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Section 188 applies to a variation under this section as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access dispute arising out of the access determination had been notified when the application was made to the dispute resolution body for the variation of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variation were the making of an access determination in the terms of the varied determination.</w:t>
      </w:r>
    </w:p>
    <w:p>
      <w:pPr>
        <w:pStyle w:val="Heading3"/>
      </w:pPr>
      <w:bookmarkStart w:id="1964" w:name="_Toc52954492"/>
      <w:bookmarkStart w:id="1965" w:name="_Toc52955788"/>
      <w:bookmarkStart w:id="1966" w:name="_Toc52957287"/>
      <w:bookmarkStart w:id="1967" w:name="_Toc52958070"/>
      <w:bookmarkStart w:id="1968" w:name="_Toc53045403"/>
      <w:bookmarkStart w:id="1969" w:name="_Toc53046186"/>
      <w:bookmarkStart w:id="1970" w:name="_Toc501634103"/>
      <w:bookmarkStart w:id="1971" w:name="_Toc501712999"/>
      <w:bookmarkStart w:id="1972" w:name="_Toc536782194"/>
      <w:bookmarkStart w:id="1973" w:name="_Toc5347252"/>
      <w:bookmarkStart w:id="1974" w:name="_Toc5363805"/>
      <w:bookmarkStart w:id="1975" w:name="_Toc5365026"/>
      <w:r>
        <w:rPr>
          <w:rStyle w:val="CharDivNo"/>
        </w:rPr>
        <w:t>Part 5</w:t>
      </w:r>
      <w:r>
        <w:t xml:space="preserve"> — </w:t>
      </w:r>
      <w:r>
        <w:rPr>
          <w:rStyle w:val="CharDivText"/>
        </w:rPr>
        <w:t>Compliance with access determinations</w:t>
      </w:r>
      <w:bookmarkEnd w:id="1964"/>
      <w:bookmarkEnd w:id="1965"/>
      <w:bookmarkEnd w:id="1966"/>
      <w:bookmarkEnd w:id="1967"/>
      <w:bookmarkEnd w:id="1968"/>
      <w:bookmarkEnd w:id="1969"/>
      <w:bookmarkEnd w:id="1970"/>
      <w:bookmarkEnd w:id="1971"/>
      <w:bookmarkEnd w:id="1972"/>
      <w:bookmarkEnd w:id="1973"/>
      <w:bookmarkEnd w:id="1974"/>
      <w:bookmarkEnd w:id="1975"/>
    </w:p>
    <w:p>
      <w:pPr>
        <w:pStyle w:val="Heading5"/>
      </w:pPr>
      <w:bookmarkStart w:id="1976" w:name="_Toc53046187"/>
      <w:bookmarkStart w:id="1977" w:name="_Toc5365027"/>
      <w:r>
        <w:rPr>
          <w:rStyle w:val="CharSectno"/>
        </w:rPr>
        <w:t>195</w:t>
      </w:r>
      <w:r>
        <w:t>.</w:t>
      </w:r>
      <w:r>
        <w:tab/>
        <w:t>Compliance with access determination</w:t>
      </w:r>
      <w:bookmarkEnd w:id="1976"/>
      <w:bookmarkEnd w:id="1977"/>
    </w:p>
    <w:p>
      <w:pPr>
        <w:keepLines/>
        <w:autoSpaceDE w:val="0"/>
        <w:autoSpaceDN w:val="0"/>
        <w:adjustRightInd w:val="0"/>
        <w:spacing w:before="120"/>
        <w:ind w:left="1588"/>
        <w:rPr>
          <w:color w:val="000000"/>
          <w:sz w:val="23"/>
          <w:szCs w:val="23"/>
        </w:rPr>
      </w:pPr>
      <w:r>
        <w:rPr>
          <w:color w:val="000000"/>
          <w:sz w:val="23"/>
          <w:szCs w:val="23"/>
        </w:rPr>
        <w:t>A party to an access dispute in respect of which an access determination is made must comply with the access determination.</w:t>
      </w:r>
    </w:p>
    <w:p>
      <w:pPr>
        <w:pStyle w:val="Heading3"/>
      </w:pPr>
      <w:bookmarkStart w:id="1978" w:name="_Toc52954494"/>
      <w:bookmarkStart w:id="1979" w:name="_Toc52955790"/>
      <w:bookmarkStart w:id="1980" w:name="_Toc52957289"/>
      <w:bookmarkStart w:id="1981" w:name="_Toc52958072"/>
      <w:bookmarkStart w:id="1982" w:name="_Toc53045405"/>
      <w:bookmarkStart w:id="1983" w:name="_Toc53046188"/>
      <w:bookmarkStart w:id="1984" w:name="_Toc501634105"/>
      <w:bookmarkStart w:id="1985" w:name="_Toc501713001"/>
      <w:bookmarkStart w:id="1986" w:name="_Toc536782196"/>
      <w:bookmarkStart w:id="1987" w:name="_Toc5347254"/>
      <w:bookmarkStart w:id="1988" w:name="_Toc5363807"/>
      <w:bookmarkStart w:id="1989" w:name="_Toc5365028"/>
      <w:r>
        <w:rPr>
          <w:rStyle w:val="CharDivNo"/>
        </w:rPr>
        <w:t>Part 6</w:t>
      </w:r>
      <w:r>
        <w:t xml:space="preserve"> — </w:t>
      </w:r>
      <w:r>
        <w:rPr>
          <w:rStyle w:val="CharDivText"/>
        </w:rPr>
        <w:t>Access dispute hearing procedure</w:t>
      </w:r>
      <w:bookmarkEnd w:id="1978"/>
      <w:bookmarkEnd w:id="1979"/>
      <w:bookmarkEnd w:id="1980"/>
      <w:bookmarkEnd w:id="1981"/>
      <w:bookmarkEnd w:id="1982"/>
      <w:bookmarkEnd w:id="1983"/>
      <w:bookmarkEnd w:id="1984"/>
      <w:bookmarkEnd w:id="1985"/>
      <w:bookmarkEnd w:id="1986"/>
      <w:bookmarkEnd w:id="1987"/>
      <w:bookmarkEnd w:id="1988"/>
      <w:bookmarkEnd w:id="1989"/>
    </w:p>
    <w:p>
      <w:pPr>
        <w:pStyle w:val="Heading5"/>
      </w:pPr>
      <w:bookmarkStart w:id="1990" w:name="_Toc53046189"/>
      <w:bookmarkStart w:id="1991" w:name="_Toc5365029"/>
      <w:r>
        <w:rPr>
          <w:rStyle w:val="CharSectno"/>
        </w:rPr>
        <w:t>196</w:t>
      </w:r>
      <w:r>
        <w:t>.</w:t>
      </w:r>
      <w:r>
        <w:tab/>
        <w:t>Hearing to be in private</w:t>
      </w:r>
      <w:bookmarkEnd w:id="1990"/>
      <w:bookmarkEnd w:id="199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subsection (2), a dispute hearing is to be in private.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parties agree, a dispute hearing or part of a dispute hearing may be conducted in public.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give written directions as to the persons who may be present at a dispute hearing that is conducted in private.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giving directions under subsection (3), the dispute resolution body must have regard to the wishes of the parties and the need for commercial confidentiality.</w:t>
      </w:r>
    </w:p>
    <w:p>
      <w:pPr>
        <w:pStyle w:val="Heading5"/>
      </w:pPr>
      <w:bookmarkStart w:id="1992" w:name="_Toc53046190"/>
      <w:bookmarkStart w:id="1993" w:name="_Toc5365030"/>
      <w:r>
        <w:rPr>
          <w:rStyle w:val="CharSectno"/>
        </w:rPr>
        <w:t>197</w:t>
      </w:r>
      <w:r>
        <w:t>.</w:t>
      </w:r>
      <w:r>
        <w:tab/>
        <w:t>Right to representation</w:t>
      </w:r>
      <w:bookmarkEnd w:id="1992"/>
      <w:bookmarkEnd w:id="1993"/>
    </w:p>
    <w:p>
      <w:pPr>
        <w:keepLines/>
        <w:autoSpaceDE w:val="0"/>
        <w:autoSpaceDN w:val="0"/>
        <w:adjustRightInd w:val="0"/>
        <w:spacing w:before="120"/>
        <w:ind w:left="1588"/>
        <w:rPr>
          <w:color w:val="000000"/>
          <w:sz w:val="23"/>
          <w:szCs w:val="23"/>
        </w:rPr>
      </w:pPr>
      <w:r>
        <w:rPr>
          <w:color w:val="000000"/>
          <w:sz w:val="23"/>
          <w:szCs w:val="23"/>
        </w:rPr>
        <w:t>In a dispute hearing a party may appear in person or be represented by another person.</w:t>
      </w:r>
    </w:p>
    <w:p>
      <w:pPr>
        <w:pStyle w:val="Heading5"/>
      </w:pPr>
      <w:bookmarkStart w:id="1994" w:name="_Toc53046191"/>
      <w:bookmarkStart w:id="1995" w:name="_Toc5365031"/>
      <w:r>
        <w:rPr>
          <w:rStyle w:val="CharSectno"/>
        </w:rPr>
        <w:t>198</w:t>
      </w:r>
      <w:r>
        <w:t>.</w:t>
      </w:r>
      <w:r>
        <w:tab/>
        <w:t>Procedure of dispute resolution body</w:t>
      </w:r>
      <w:bookmarkEnd w:id="1994"/>
      <w:bookmarkEnd w:id="199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a dispute hearing the dispute resolution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not bound by technicalities, legal forms or rules of evidence;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act as speedily as a proper consideration of the access dispute allows, having regard to the need to carefully and quickly inquire into and investigate the access dispute and all matters affecting the merits, and fair settlement, of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inform itself about any matter relevant to the access dispute in any way it thinks appropriate.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determine the periods that are reasonably necessary for the fair and adequate presentation of the respective cases of the parties in the dispute hearing, and may require that the cases be presented within those periods.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require evidence or argument to be presented in writing, and may decide the matters on which the dispute resolution body will hear oral evidence or argument.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dispute resolution body may determine that a dispute hearing is to be conducted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telephone;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closed circuit television;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means of communication.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Rules may make further provision about the procedure for the conduct of dispute hearings.</w:t>
      </w:r>
    </w:p>
    <w:p>
      <w:pPr>
        <w:pStyle w:val="Heading5"/>
      </w:pPr>
      <w:bookmarkStart w:id="1996" w:name="_Toc53046192"/>
      <w:bookmarkStart w:id="1997" w:name="_Toc5365032"/>
      <w:r>
        <w:rPr>
          <w:rStyle w:val="CharSectno"/>
        </w:rPr>
        <w:t>199</w:t>
      </w:r>
      <w:r>
        <w:t>.</w:t>
      </w:r>
      <w:r>
        <w:tab/>
        <w:t>Particular powers of dispute resolution body in a hearing</w:t>
      </w:r>
      <w:bookmarkEnd w:id="1996"/>
      <w:bookmarkEnd w:id="199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do any of the following things for the purpose of determining an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a direction in the course of, or for the purpose of, a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hear and determine the access dispute in the absence of a party who has been given notice of the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sit at any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adjourn to any time and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refer any matter to an independent expert and accept the expert’s report as evidence.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make an interim determination.</w:t>
      </w:r>
    </w:p>
    <w:p>
      <w:pPr>
        <w:pStyle w:val="Heading5"/>
      </w:pPr>
      <w:bookmarkStart w:id="1998" w:name="_Toc53046193"/>
      <w:bookmarkStart w:id="1999" w:name="_Toc5365033"/>
      <w:r>
        <w:rPr>
          <w:rStyle w:val="CharSectno"/>
        </w:rPr>
        <w:t>200</w:t>
      </w:r>
      <w:r>
        <w:t>.</w:t>
      </w:r>
      <w:r>
        <w:tab/>
        <w:t>Disclosure of information</w:t>
      </w:r>
      <w:bookmarkEnd w:id="1998"/>
      <w:bookmarkEnd w:id="199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give an oral or written order to a person not to divulge or communicate to anyone else specified information that was given to the person in the course of an access dispute unless the person has the dispute resolution body’s permission.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must not, without reasonable excuse, refuse or fail to comply with an order under subsection (1).</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5"/>
      </w:pPr>
      <w:bookmarkStart w:id="2000" w:name="_Toc53046194"/>
      <w:bookmarkStart w:id="2001" w:name="_Toc5365034"/>
      <w:r>
        <w:rPr>
          <w:rStyle w:val="CharSectno"/>
        </w:rPr>
        <w:t>201</w:t>
      </w:r>
      <w:r>
        <w:t>.</w:t>
      </w:r>
      <w:r>
        <w:tab/>
        <w:t>Power to take evidence on oath or affirmation</w:t>
      </w:r>
      <w:bookmarkEnd w:id="2000"/>
      <w:bookmarkEnd w:id="200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take evidence on oath or affirmation and for that purpose the dispute resolution body may administer an oath or affirmation.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summon a person to appear before the dispute resolution body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evidence;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such documents (if any) as are referred to in the summons;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evidence and produce such documents (if any) as are referred to in the summons.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powers in this section may be exercised only for the purposes of hearing and determining an access dispute.</w:t>
      </w:r>
    </w:p>
    <w:p>
      <w:pPr>
        <w:pStyle w:val="Heading5"/>
      </w:pPr>
      <w:bookmarkStart w:id="2002" w:name="_Toc53046195"/>
      <w:bookmarkStart w:id="2003" w:name="_Toc5365035"/>
      <w:r>
        <w:rPr>
          <w:rStyle w:val="CharSectno"/>
        </w:rPr>
        <w:t>202</w:t>
      </w:r>
      <w:r>
        <w:t>.</w:t>
      </w:r>
      <w:r>
        <w:tab/>
        <w:t>Failing to attend as a witness</w:t>
      </w:r>
      <w:bookmarkEnd w:id="2002"/>
      <w:bookmarkEnd w:id="2003"/>
    </w:p>
    <w:p>
      <w:pPr>
        <w:keepNext/>
        <w:keepLines/>
        <w:autoSpaceDE w:val="0"/>
        <w:autoSpaceDN w:val="0"/>
        <w:adjustRightInd w:val="0"/>
        <w:spacing w:before="120"/>
        <w:ind w:left="1588"/>
        <w:rPr>
          <w:color w:val="000000"/>
          <w:sz w:val="23"/>
          <w:szCs w:val="23"/>
        </w:rPr>
      </w:pPr>
      <w:r>
        <w:rPr>
          <w:color w:val="000000"/>
          <w:sz w:val="23"/>
          <w:szCs w:val="23"/>
        </w:rPr>
        <w:t>A person who is served, as prescribed by the Regulations, with a summons to appear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attend as required by the summons;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appear and report himself or herself from day to day unless excused, or released from further attendance, by the dispute resolution body.</w:t>
      </w:r>
    </w:p>
    <w:p>
      <w:pPr>
        <w:keepLines/>
        <w:autoSpaceDE w:val="0"/>
        <w:autoSpaceDN w:val="0"/>
        <w:adjustRightInd w:val="0"/>
        <w:spacing w:before="80"/>
        <w:ind w:left="1588"/>
        <w:rPr>
          <w:color w:val="000000"/>
          <w:sz w:val="23"/>
          <w:szCs w:val="23"/>
        </w:rPr>
      </w:pPr>
      <w:r>
        <w:rPr>
          <w:color w:val="000000"/>
          <w:sz w:val="23"/>
          <w:szCs w:val="23"/>
        </w:rPr>
        <w:t>Maximum penalty: $2 000.</w:t>
      </w:r>
    </w:p>
    <w:p>
      <w:pPr>
        <w:pStyle w:val="Heading5"/>
      </w:pPr>
      <w:bookmarkStart w:id="2004" w:name="_Toc53046196"/>
      <w:bookmarkStart w:id="2005" w:name="_Toc5365036"/>
      <w:r>
        <w:rPr>
          <w:rStyle w:val="CharSectno"/>
        </w:rPr>
        <w:t>203</w:t>
      </w:r>
      <w:r>
        <w:t>.</w:t>
      </w:r>
      <w:r>
        <w:tab/>
        <w:t>Failing to answer questions etc</w:t>
      </w:r>
      <w:bookmarkEnd w:id="2004"/>
      <w:bookmarkEnd w:id="200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appearing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refuse or fail to be sworn or to make an affirmation;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refuse or fail to answer a question that the person is required to answer by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refuse or fail to produce a document that he or she is required to produce by a summons under this Chapter served on him or her as prescribed by the Regulations.</w:t>
      </w:r>
    </w:p>
    <w:p>
      <w:pPr>
        <w:keepLines/>
        <w:autoSpaceDE w:val="0"/>
        <w:autoSpaceDN w:val="0"/>
        <w:adjustRightInd w:val="0"/>
        <w:spacing w:before="80"/>
        <w:ind w:left="1588"/>
        <w:rPr>
          <w:color w:val="000000"/>
          <w:sz w:val="23"/>
          <w:szCs w:val="23"/>
        </w:rPr>
      </w:pPr>
      <w:r>
        <w:rPr>
          <w:color w:val="000000"/>
          <w:sz w:val="23"/>
          <w:szCs w:val="23"/>
        </w:rPr>
        <w:t>Maximum penalty: $2 000.</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a reasonable excuse for the purposes of subsection (1) for a natural person to refuse or fail to answer a question or produce a document on the ground that the answer or the production of the document might—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tend to incriminate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expose the person to a criminal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(2) does not limit what is a reasonable excuse for the purposes of subsection (1).</w:t>
      </w:r>
    </w:p>
    <w:p>
      <w:pPr>
        <w:pStyle w:val="Heading5"/>
      </w:pPr>
      <w:bookmarkStart w:id="2006" w:name="_Toc53046197"/>
      <w:bookmarkStart w:id="2007" w:name="_Toc5365037"/>
      <w:r>
        <w:rPr>
          <w:rStyle w:val="CharSectno"/>
        </w:rPr>
        <w:t>204</w:t>
      </w:r>
      <w:r>
        <w:t>.</w:t>
      </w:r>
      <w:r>
        <w:tab/>
        <w:t>Intimidation etc</w:t>
      </w:r>
      <w:bookmarkEnd w:id="2006"/>
      <w:bookmarkEnd w:id="2007"/>
    </w:p>
    <w:p>
      <w:pPr>
        <w:keepNext/>
        <w:keepLines/>
        <w:autoSpaceDE w:val="0"/>
        <w:autoSpaceDN w:val="0"/>
        <w:adjustRightInd w:val="0"/>
        <w:spacing w:before="120"/>
        <w:ind w:left="1588"/>
        <w:rPr>
          <w:color w:val="000000"/>
          <w:sz w:val="23"/>
          <w:szCs w:val="23"/>
        </w:rPr>
      </w:pPr>
      <w:r>
        <w:rPr>
          <w:color w:val="000000"/>
          <w:sz w:val="23"/>
          <w:szCs w:val="23"/>
        </w:rPr>
        <w:t>A person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threaten, intimidate or coerce another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cause or procure damage, loss or disadvantage to another person,</w:t>
      </w:r>
    </w:p>
    <w:p>
      <w:pPr>
        <w:keepNext/>
        <w:keepLines/>
        <w:autoSpaceDE w:val="0"/>
        <w:autoSpaceDN w:val="0"/>
        <w:adjustRightInd w:val="0"/>
        <w:spacing w:before="120"/>
        <w:ind w:left="1588"/>
        <w:rPr>
          <w:color w:val="000000"/>
          <w:sz w:val="23"/>
          <w:szCs w:val="23"/>
        </w:rPr>
      </w:pPr>
      <w:r>
        <w:rPr>
          <w:color w:val="000000"/>
          <w:sz w:val="23"/>
          <w:szCs w:val="23"/>
        </w:rPr>
        <w:t>because that other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proposes to produce, or has produced, documents to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proposes to appear, or has appeared, as a witness before the dispute resolution body.</w:t>
      </w:r>
    </w:p>
    <w:p>
      <w:pPr>
        <w:keepLines/>
        <w:autoSpaceDE w:val="0"/>
        <w:autoSpaceDN w:val="0"/>
        <w:adjustRightInd w:val="0"/>
        <w:spacing w:before="80"/>
        <w:ind w:left="1588"/>
        <w:rPr>
          <w:color w:val="000000"/>
          <w:sz w:val="23"/>
          <w:szCs w:val="23"/>
        </w:rPr>
      </w:pPr>
      <w:r>
        <w:rPr>
          <w:color w:val="000000"/>
          <w:sz w:val="23"/>
          <w:szCs w:val="23"/>
        </w:rPr>
        <w:t>Maximum penalty: $2 000.</w:t>
      </w:r>
    </w:p>
    <w:p>
      <w:pPr>
        <w:pStyle w:val="Heading5"/>
      </w:pPr>
      <w:bookmarkStart w:id="2008" w:name="_Toc53046198"/>
      <w:bookmarkStart w:id="2009" w:name="_Toc5365038"/>
      <w:r>
        <w:rPr>
          <w:rStyle w:val="CharSectno"/>
        </w:rPr>
        <w:t>205</w:t>
      </w:r>
      <w:r>
        <w:t>.</w:t>
      </w:r>
      <w:r>
        <w:tab/>
        <w:t>Party may request dispute resolution body to treat material as confidential</w:t>
      </w:r>
      <w:bookmarkEnd w:id="2008"/>
      <w:bookmarkEnd w:id="200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party in a dispute hearing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 the dispute resolution body that, in the party’s opinion, a specified part of a document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request the dispute resolution body not to give a copy of that part to another party.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receiving a request, the dispute resolution body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 the other party or parties that the request has been made and of the general nature of the matters to which the relevant part of the document relates;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ask the other party or parties whether there is any objection to the dispute resolution body complying with the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there is an objection to the dispute resolution body complying with the request, the party objecting may inform the dispute resolution body of the objection and of the reasons for it.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After considering—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request;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objection;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further submissions that any party has made in relation to the request,</w:t>
      </w:r>
    </w:p>
    <w:p>
      <w:pPr>
        <w:keepLines/>
        <w:autoSpaceDE w:val="0"/>
        <w:autoSpaceDN w:val="0"/>
        <w:adjustRightInd w:val="0"/>
        <w:spacing w:before="120"/>
        <w:ind w:left="1588"/>
        <w:rPr>
          <w:color w:val="000000"/>
          <w:sz w:val="23"/>
          <w:szCs w:val="23"/>
        </w:rPr>
      </w:pPr>
      <w:r>
        <w:rPr>
          <w:color w:val="000000"/>
          <w:sz w:val="23"/>
          <w:szCs w:val="23"/>
        </w:rPr>
        <w:t>the dispute resolution body may decide—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not to give the other party or parties a copy of so much of the document as contains confidential information that the dispute resolution body thinks should not be given;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give the other party or another specified party a copy of the whole, or part, of the part of the document that contains confidential information subject to a condition that the party give an undertaking not to disclose the information to another person except to the extent specified by the dispute resolution body and subject to such other conditions as the dispute resolution body determines.</w:t>
      </w:r>
    </w:p>
    <w:p>
      <w:pPr>
        <w:pStyle w:val="Heading5"/>
      </w:pPr>
      <w:bookmarkStart w:id="2010" w:name="_Toc53046199"/>
      <w:bookmarkStart w:id="2011" w:name="_Toc5365039"/>
      <w:r>
        <w:rPr>
          <w:rStyle w:val="CharSectno"/>
        </w:rPr>
        <w:t>206</w:t>
      </w:r>
      <w:r>
        <w:t>.</w:t>
      </w:r>
      <w:r>
        <w:tab/>
        <w:t>Costs</w:t>
      </w:r>
      <w:bookmarkEnd w:id="2010"/>
      <w:bookmarkEnd w:id="201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Each party is to bear its own costs in a dispute hearing except to the extent that an order under this section specifies otherwise.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At any time, the dispute resolution body may order that a party pay all or a specified part of the costs of another party in a dispute hearing.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make an order under subsection (2) only if satisfied that it is fair to do so, having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a party has conducted the dispute hearing in a way that unnecessarily disadvantaged another party by conduct such 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failing to comply with an order or direction of the dispute resolution body without reasonable excuse;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failing to comply with this Law, the Regulations or the Rules;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asking for an adjournment as a result of subparagraph (i) or (ii);</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causing an adjournment;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attempting to deceive another party or the dispute resolution body;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w:t>
      </w:r>
      <w:r>
        <w:rPr>
          <w:color w:val="000000"/>
          <w:sz w:val="23"/>
          <w:szCs w:val="23"/>
        </w:rPr>
        <w:tab/>
        <w:t>vexatiously conducting an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a party has been responsible for prolonging unreasonably the time taken to complete the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relative strengths of the claims made by each of the parties, including whether a party has made a claim that has no tenable basis in fact or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nature and complexity of the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other matter the dispute resolution body considers relevant.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party to whom an order made under subsection (2)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dispute resolution body considers that the representative of a party, rather than the party, is responsible for conduct described in subsection (3)(a) or (b), the dispute resolution body may order that the representative in his or her own capacity compensate another party for any costs incurred unnecessarily.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Before making an order under subsection (5), the dispute resolution body must give the representative a reasonable opportunity to be heard.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representative of a party to whom an order made under subsection (5)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If the dispute resolution body makes an order for costs before the end of an access dispute, the dispute resolution body may require that the order be complied with before it continues with the proceeding.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 xml:space="preserve">If the dispute resolution body makes an order for costs, the dispute resolution body may fix the amount of costs itself. </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This section applies to costs incurred by the parties in a dispute hearing even if the notification of the access dispute to which the dispute hearing relates is withdrawn.</w:t>
      </w:r>
    </w:p>
    <w:p>
      <w:pPr>
        <w:pStyle w:val="Heading5"/>
      </w:pPr>
      <w:bookmarkStart w:id="2012" w:name="_Toc53046200"/>
      <w:bookmarkStart w:id="2013" w:name="_Toc5365040"/>
      <w:r>
        <w:t>207.</w:t>
      </w:r>
      <w:r>
        <w:tab/>
        <w:t>Outstanding costs are a debt due to party awarded the costs</w:t>
      </w:r>
      <w:bookmarkEnd w:id="2012"/>
      <w:bookmarkEnd w:id="2013"/>
    </w:p>
    <w:p>
      <w:pPr>
        <w:keepNext/>
        <w:keepLines/>
        <w:autoSpaceDE w:val="0"/>
        <w:autoSpaceDN w:val="0"/>
        <w:adjustRightInd w:val="0"/>
        <w:spacing w:before="120"/>
        <w:ind w:left="1588"/>
        <w:rPr>
          <w:color w:val="000000"/>
          <w:sz w:val="23"/>
          <w:szCs w:val="23"/>
        </w:rPr>
      </w:pPr>
      <w:r>
        <w:rPr>
          <w:color w:val="000000"/>
          <w:sz w:val="23"/>
          <w:szCs w:val="23"/>
        </w:rPr>
        <w:t>Costs that are payable under section 206(4) or (7)—</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are a debt due to the party to whom the dispute resolution body has ordered that they be paid;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be recovered by that party in a court of competent jurisdiction.</w:t>
      </w:r>
    </w:p>
    <w:p>
      <w:pPr>
        <w:pStyle w:val="Heading3"/>
      </w:pPr>
      <w:bookmarkStart w:id="2014" w:name="_Toc52954507"/>
      <w:bookmarkStart w:id="2015" w:name="_Toc52955803"/>
      <w:bookmarkStart w:id="2016" w:name="_Toc52957302"/>
      <w:bookmarkStart w:id="2017" w:name="_Toc52958085"/>
      <w:bookmarkStart w:id="2018" w:name="_Toc53045418"/>
      <w:bookmarkStart w:id="2019" w:name="_Toc53046201"/>
      <w:bookmarkStart w:id="2020" w:name="_Toc501634118"/>
      <w:bookmarkStart w:id="2021" w:name="_Toc501713014"/>
      <w:bookmarkStart w:id="2022" w:name="_Toc536782209"/>
      <w:bookmarkStart w:id="2023" w:name="_Toc5347267"/>
      <w:bookmarkStart w:id="2024" w:name="_Toc5363820"/>
      <w:bookmarkStart w:id="2025" w:name="_Toc5365041"/>
      <w:r>
        <w:rPr>
          <w:rStyle w:val="CharDivNo"/>
        </w:rPr>
        <w:t>Part 7</w:t>
      </w:r>
      <w:r>
        <w:t xml:space="preserve"> — </w:t>
      </w:r>
      <w:r>
        <w:rPr>
          <w:rStyle w:val="CharDivText"/>
        </w:rPr>
        <w:t>Joint access dispute hearings</w:t>
      </w:r>
      <w:bookmarkEnd w:id="2014"/>
      <w:bookmarkEnd w:id="2015"/>
      <w:bookmarkEnd w:id="2016"/>
      <w:bookmarkEnd w:id="2017"/>
      <w:bookmarkEnd w:id="2018"/>
      <w:bookmarkEnd w:id="2019"/>
      <w:bookmarkEnd w:id="2020"/>
      <w:bookmarkEnd w:id="2021"/>
      <w:bookmarkEnd w:id="2022"/>
      <w:bookmarkEnd w:id="2023"/>
      <w:bookmarkEnd w:id="2024"/>
      <w:bookmarkEnd w:id="2025"/>
    </w:p>
    <w:p>
      <w:pPr>
        <w:pStyle w:val="Heading5"/>
      </w:pPr>
      <w:bookmarkStart w:id="2026" w:name="_Toc53046202"/>
      <w:bookmarkStart w:id="2027" w:name="_Toc5365042"/>
      <w:r>
        <w:rPr>
          <w:rStyle w:val="CharSectno"/>
        </w:rPr>
        <w:t>208</w:t>
      </w:r>
      <w:r>
        <w:t>.</w:t>
      </w:r>
      <w:r>
        <w:tab/>
        <w:t>Definition</w:t>
      </w:r>
      <w:bookmarkEnd w:id="2026"/>
      <w:bookmarkEnd w:id="2027"/>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nominated disputes</w:t>
      </w:r>
      <w:r>
        <w:rPr>
          <w:bCs/>
          <w:i/>
          <w:iCs/>
          <w:color w:val="000000"/>
          <w:sz w:val="23"/>
          <w:szCs w:val="23"/>
        </w:rPr>
        <w:t xml:space="preserve"> </w:t>
      </w:r>
      <w:r>
        <w:rPr>
          <w:color w:val="000000"/>
          <w:sz w:val="23"/>
          <w:szCs w:val="23"/>
        </w:rPr>
        <w:t>has the meaning given by section 209(2).</w:t>
      </w:r>
    </w:p>
    <w:p>
      <w:pPr>
        <w:pStyle w:val="Heading5"/>
      </w:pPr>
      <w:bookmarkStart w:id="2028" w:name="_Toc53046203"/>
      <w:bookmarkStart w:id="2029" w:name="_Toc5365043"/>
      <w:r>
        <w:rPr>
          <w:rStyle w:val="CharSectno"/>
        </w:rPr>
        <w:t>209</w:t>
      </w:r>
      <w:r>
        <w:t>.</w:t>
      </w:r>
      <w:r>
        <w:tab/>
        <w:t>Joint dispute hearing</w:t>
      </w:r>
      <w:bookmarkEnd w:id="2028"/>
      <w:bookmarkEnd w:id="202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dispute resolution body is conducting 2 or more dispute hearings at a particular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1 or more matters are common to the access disputes in relation to which the dispute hearings are being conducted.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dispute resolution body may, by notice in writing, decide that it will hold a joint dispute hearing in respect of such of those access disputes (the </w:t>
      </w:r>
      <w:r>
        <w:rPr>
          <w:rStyle w:val="CharDefText"/>
          <w:bCs/>
          <w:sz w:val="23"/>
        </w:rPr>
        <w:t>nominated disputes</w:t>
      </w:r>
      <w:r>
        <w:rPr>
          <w:color w:val="000000"/>
          <w:sz w:val="23"/>
          <w:szCs w:val="23"/>
        </w:rPr>
        <w:t>) as are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do so only if it considers this would be likely to result in the nominated disputes being resolved in a more efficient and timely manner.</w:t>
      </w:r>
    </w:p>
    <w:p>
      <w:pPr>
        <w:pStyle w:val="Heading5"/>
      </w:pPr>
      <w:bookmarkStart w:id="2030" w:name="_Toc53046204"/>
      <w:bookmarkStart w:id="2031" w:name="_Toc5365044"/>
      <w:r>
        <w:rPr>
          <w:rStyle w:val="CharSectno"/>
        </w:rPr>
        <w:t>210</w:t>
      </w:r>
      <w:r>
        <w:t>.</w:t>
      </w:r>
      <w:r>
        <w:tab/>
        <w:t>Consulting the parties</w:t>
      </w:r>
      <w:bookmarkEnd w:id="2030"/>
      <w:bookmarkEnd w:id="203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Before making a decision under section 209(2), the dispute resolution body must give each party to each of the nominated disputes a notice in writing—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specifying what the dispute resolution body is proposing to do;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inviting the party to make a written submission on the proposal to the dispute resolution body within 10 business days after the notice is given.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must have regard to any submission so made in deciding whether to do so. The dispute resolution body may have regard to any other matter it considers relevant.</w:t>
      </w:r>
    </w:p>
    <w:p>
      <w:pPr>
        <w:pStyle w:val="Heading5"/>
      </w:pPr>
      <w:bookmarkStart w:id="2032" w:name="_Toc53046205"/>
      <w:bookmarkStart w:id="2033" w:name="_Toc5365045"/>
      <w:r>
        <w:rPr>
          <w:rStyle w:val="CharSectno"/>
        </w:rPr>
        <w:t>211</w:t>
      </w:r>
      <w:r>
        <w:t>.</w:t>
      </w:r>
      <w:r>
        <w:tab/>
        <w:t>Constitution and procedure of dispute resolution body for joint dispute hearings</w:t>
      </w:r>
      <w:bookmarkEnd w:id="2032"/>
      <w:bookmarkEnd w:id="2033"/>
    </w:p>
    <w:p>
      <w:pPr>
        <w:keepLines/>
        <w:autoSpaceDE w:val="0"/>
        <w:autoSpaceDN w:val="0"/>
        <w:adjustRightInd w:val="0"/>
        <w:spacing w:before="120"/>
        <w:ind w:left="1588"/>
        <w:rPr>
          <w:color w:val="000000"/>
          <w:sz w:val="23"/>
          <w:szCs w:val="23"/>
        </w:rPr>
      </w:pPr>
      <w:r>
        <w:rPr>
          <w:color w:val="000000"/>
          <w:sz w:val="23"/>
          <w:szCs w:val="23"/>
        </w:rPr>
        <w:t>Chapter 6 Part 6 applies to the joint dispute hearing in a corresponding way to the way in which it applies to a particular dispute hearing.</w:t>
      </w:r>
    </w:p>
    <w:p>
      <w:pPr>
        <w:pStyle w:val="Heading5"/>
      </w:pPr>
      <w:bookmarkStart w:id="2034" w:name="_Toc53046206"/>
      <w:bookmarkStart w:id="2035" w:name="_Toc5365046"/>
      <w:r>
        <w:rPr>
          <w:rStyle w:val="CharSectno"/>
        </w:rPr>
        <w:t>212</w:t>
      </w:r>
      <w:r>
        <w:t>.</w:t>
      </w:r>
      <w:r>
        <w:tab/>
        <w:t>Record of proceedings etc</w:t>
      </w:r>
      <w:bookmarkEnd w:id="2034"/>
      <w:bookmarkEnd w:id="203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as constituted for the purposes of the joint dispute hearing may have regard to any record of the proceedings of the dispute of any of the nominated disputes.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as constituted for the purposes of the dispute hearing of each of the nominated disputes may, for the purposes of making an access determination in relation to the access dispute to which that hearing relates—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have regard to any record of the proceedings of the joint dispute hearing;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adopt any findings of fact made by the dispute resolution body as constituted for the purposes of the joint dispute hearing.</w:t>
      </w:r>
    </w:p>
    <w:p>
      <w:pPr>
        <w:pStyle w:val="Heading3"/>
      </w:pPr>
      <w:bookmarkStart w:id="2036" w:name="_Toc52954513"/>
      <w:bookmarkStart w:id="2037" w:name="_Toc52955809"/>
      <w:bookmarkStart w:id="2038" w:name="_Toc52957308"/>
      <w:bookmarkStart w:id="2039" w:name="_Toc52958091"/>
      <w:bookmarkStart w:id="2040" w:name="_Toc53045424"/>
      <w:bookmarkStart w:id="2041" w:name="_Toc53046207"/>
      <w:bookmarkStart w:id="2042" w:name="_Toc501634124"/>
      <w:bookmarkStart w:id="2043" w:name="_Toc501713020"/>
      <w:bookmarkStart w:id="2044" w:name="_Toc536782215"/>
      <w:bookmarkStart w:id="2045" w:name="_Toc5347273"/>
      <w:bookmarkStart w:id="2046" w:name="_Toc5363826"/>
      <w:bookmarkStart w:id="2047" w:name="_Toc5365047"/>
      <w:r>
        <w:rPr>
          <w:rStyle w:val="CharDivNo"/>
        </w:rPr>
        <w:t>Part 8</w:t>
      </w:r>
      <w:r>
        <w:t> — </w:t>
      </w:r>
      <w:r>
        <w:rPr>
          <w:rStyle w:val="CharDivText"/>
        </w:rPr>
        <w:t>Miscellaneous matters</w:t>
      </w:r>
      <w:bookmarkEnd w:id="2036"/>
      <w:bookmarkEnd w:id="2037"/>
      <w:bookmarkEnd w:id="2038"/>
      <w:bookmarkEnd w:id="2039"/>
      <w:bookmarkEnd w:id="2040"/>
      <w:bookmarkEnd w:id="2041"/>
      <w:bookmarkEnd w:id="2042"/>
      <w:bookmarkEnd w:id="2043"/>
      <w:bookmarkEnd w:id="2044"/>
      <w:bookmarkEnd w:id="2045"/>
      <w:bookmarkEnd w:id="2046"/>
      <w:bookmarkEnd w:id="2047"/>
    </w:p>
    <w:p>
      <w:pPr>
        <w:pStyle w:val="Heading5"/>
      </w:pPr>
      <w:bookmarkStart w:id="2048" w:name="_Toc53046208"/>
      <w:bookmarkStart w:id="2049" w:name="_Toc5365048"/>
      <w:r>
        <w:rPr>
          <w:rStyle w:val="CharSectno"/>
        </w:rPr>
        <w:t>213</w:t>
      </w:r>
      <w:r>
        <w:t>.</w:t>
      </w:r>
      <w:r>
        <w:tab/>
        <w:t>Correction of access determinations for clerical mistakes etc</w:t>
      </w:r>
      <w:bookmarkEnd w:id="2048"/>
      <w:bookmarkEnd w:id="2049"/>
    </w:p>
    <w:p>
      <w:pPr>
        <w:keepNext/>
        <w:keepLines/>
        <w:autoSpaceDE w:val="0"/>
        <w:autoSpaceDN w:val="0"/>
        <w:adjustRightInd w:val="0"/>
        <w:spacing w:before="120"/>
        <w:ind w:left="1588"/>
        <w:rPr>
          <w:color w:val="000000"/>
          <w:sz w:val="23"/>
          <w:szCs w:val="23"/>
        </w:rPr>
      </w:pPr>
      <w:r>
        <w:rPr>
          <w:color w:val="000000"/>
          <w:sz w:val="23"/>
          <w:szCs w:val="23"/>
        </w:rPr>
        <w:t>If an access determination contains—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clerical mistake;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error arising from an accidental slip or omission;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material miscalculation of figures or a material mistake in the description of any person, thing or matter referred to in the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defect in form,</w:t>
      </w:r>
    </w:p>
    <w:p>
      <w:pPr>
        <w:keepLines/>
        <w:autoSpaceDE w:val="0"/>
        <w:autoSpaceDN w:val="0"/>
        <w:adjustRightInd w:val="0"/>
        <w:spacing w:before="120"/>
        <w:ind w:left="1588"/>
        <w:rPr>
          <w:color w:val="000000"/>
          <w:sz w:val="23"/>
          <w:szCs w:val="23"/>
        </w:rPr>
      </w:pPr>
      <w:r>
        <w:rPr>
          <w:color w:val="000000"/>
          <w:sz w:val="23"/>
          <w:szCs w:val="23"/>
        </w:rPr>
        <w:t>the dispute resolution body may correct the access determination.</w:t>
      </w:r>
    </w:p>
    <w:p>
      <w:pPr>
        <w:pStyle w:val="Heading5"/>
      </w:pPr>
      <w:bookmarkStart w:id="2050" w:name="_Toc53046209"/>
      <w:bookmarkStart w:id="2051" w:name="_Toc5365049"/>
      <w:r>
        <w:rPr>
          <w:rStyle w:val="CharSectno"/>
        </w:rPr>
        <w:t>214</w:t>
      </w:r>
      <w:r>
        <w:t>.</w:t>
      </w:r>
      <w:r>
        <w:tab/>
        <w:t>Reservation of capacity during an access dispute</w:t>
      </w:r>
      <w:bookmarkEnd w:id="2050"/>
      <w:bookmarkEnd w:id="2051"/>
    </w:p>
    <w:p>
      <w:pPr>
        <w:keepLines/>
        <w:autoSpaceDE w:val="0"/>
        <w:autoSpaceDN w:val="0"/>
        <w:adjustRightInd w:val="0"/>
        <w:spacing w:before="120"/>
        <w:ind w:left="1588"/>
        <w:rPr>
          <w:color w:val="000000"/>
          <w:sz w:val="23"/>
          <w:szCs w:val="23"/>
        </w:rPr>
      </w:pPr>
      <w:r>
        <w:rPr>
          <w:color w:val="000000"/>
          <w:sz w:val="23"/>
          <w:szCs w:val="23"/>
        </w:rPr>
        <w:t>A service provider who is in an access dispute with a user must not, without the consent of the user, alter the rights that the user has to use the capacity of the access dispute pipeline during the period of the dispute.</w:t>
      </w:r>
    </w:p>
    <w:p>
      <w:pPr>
        <w:pStyle w:val="Heading5"/>
      </w:pPr>
      <w:bookmarkStart w:id="2052" w:name="_Toc53046210"/>
      <w:bookmarkStart w:id="2053" w:name="_Toc5365050"/>
      <w:r>
        <w:rPr>
          <w:rStyle w:val="CharSectno"/>
        </w:rPr>
        <w:t>215</w:t>
      </w:r>
      <w:r>
        <w:t>.</w:t>
      </w:r>
      <w:r>
        <w:tab/>
        <w:t>Subsequent service providers bound by access determinations</w:t>
      </w:r>
      <w:bookmarkEnd w:id="2052"/>
      <w:bookmarkEnd w:id="205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access determination applies to every subsequent service provider as if that subsequent service provider were a party to the access dispute in respect of which the access determination was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subsequent service provider</w:t>
      </w:r>
      <w:r>
        <w:rPr>
          <w:bCs/>
          <w:i/>
          <w:iCs/>
          <w:color w:val="000000"/>
          <w:sz w:val="23"/>
          <w:szCs w:val="23"/>
        </w:rPr>
        <w:t xml:space="preserve"> </w:t>
      </w:r>
      <w:r>
        <w:rPr>
          <w:color w:val="000000"/>
          <w:sz w:val="23"/>
          <w:szCs w:val="23"/>
        </w:rPr>
        <w:t>means a service provider (other than the service provider to whom the access determination applies) who provides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subject of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respect of which the access determination was made.</w:t>
      </w:r>
    </w:p>
    <w:p>
      <w:pPr>
        <w:pStyle w:val="Heading5"/>
      </w:pPr>
      <w:bookmarkStart w:id="2054" w:name="_Toc53046211"/>
      <w:bookmarkStart w:id="2055" w:name="_Toc5365051"/>
      <w:r>
        <w:rPr>
          <w:rStyle w:val="CharSectno"/>
        </w:rPr>
        <w:t>216</w:t>
      </w:r>
      <w:r>
        <w:t>.</w:t>
      </w:r>
      <w:r>
        <w:tab/>
        <w:t>Regulations about the costs to be paid by parties to access dispute</w:t>
      </w:r>
      <w:bookmarkEnd w:id="2054"/>
      <w:bookmarkEnd w:id="2055"/>
    </w:p>
    <w:p>
      <w:pPr>
        <w:keepNext/>
        <w:keepLines/>
        <w:autoSpaceDE w:val="0"/>
        <w:autoSpaceDN w:val="0"/>
        <w:adjustRightInd w:val="0"/>
        <w:spacing w:before="120"/>
        <w:ind w:left="1588"/>
        <w:rPr>
          <w:color w:val="000000"/>
          <w:sz w:val="23"/>
          <w:szCs w:val="23"/>
        </w:rPr>
      </w:pPr>
      <w:r>
        <w:rPr>
          <w:color w:val="000000"/>
          <w:sz w:val="23"/>
          <w:szCs w:val="23"/>
        </w:rPr>
        <w:t>The Regulations may provide for the dispute resolution body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charge the parties to an access dispute for its costs in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apportion those costs between the parties.</w:t>
      </w:r>
    </w:p>
    <w:p>
      <w:pPr>
        <w:pStyle w:val="Heading2"/>
      </w:pPr>
      <w:bookmarkStart w:id="2056" w:name="_Toc52954518"/>
      <w:bookmarkStart w:id="2057" w:name="_Toc52955814"/>
      <w:bookmarkStart w:id="2058" w:name="_Toc52957313"/>
      <w:bookmarkStart w:id="2059" w:name="_Toc52958096"/>
      <w:bookmarkStart w:id="2060" w:name="_Toc53045429"/>
      <w:bookmarkStart w:id="2061" w:name="_Toc53046212"/>
      <w:bookmarkStart w:id="2062" w:name="_Toc536782220"/>
      <w:bookmarkStart w:id="2063" w:name="_Toc5347278"/>
      <w:bookmarkStart w:id="2064" w:name="_Toc5363831"/>
      <w:bookmarkStart w:id="2065" w:name="_Toc5365052"/>
      <w:bookmarkStart w:id="2066" w:name="_Toc501634129"/>
      <w:bookmarkStart w:id="2067" w:name="_Toc501713025"/>
      <w:r>
        <w:rPr>
          <w:rStyle w:val="CharPartNo"/>
        </w:rPr>
        <w:t>Chapter 6A</w:t>
      </w:r>
      <w:r>
        <w:t>—</w:t>
      </w:r>
      <w:r>
        <w:rPr>
          <w:rStyle w:val="CharPartText"/>
        </w:rPr>
        <w:t>Access disputes—non-scheme pipelines</w:t>
      </w:r>
      <w:bookmarkEnd w:id="2056"/>
      <w:bookmarkEnd w:id="2057"/>
      <w:bookmarkEnd w:id="2058"/>
      <w:bookmarkEnd w:id="2059"/>
      <w:bookmarkEnd w:id="2060"/>
      <w:bookmarkEnd w:id="2061"/>
      <w:bookmarkEnd w:id="2062"/>
      <w:bookmarkEnd w:id="2063"/>
      <w:bookmarkEnd w:id="2064"/>
      <w:bookmarkEnd w:id="2065"/>
    </w:p>
    <w:p>
      <w:pPr>
        <w:pStyle w:val="Footnoteheading"/>
      </w:pPr>
      <w:r>
        <w:tab/>
        <w:t>[Heading inserted: see SA Act No. 23 of 2017 s. 6 and WA Gazette 22 Dec 2017 p. 5984.]</w:t>
      </w:r>
    </w:p>
    <w:p>
      <w:pPr>
        <w:pStyle w:val="Heading3"/>
      </w:pPr>
      <w:bookmarkStart w:id="2068" w:name="_Toc52954519"/>
      <w:bookmarkStart w:id="2069" w:name="_Toc52955815"/>
      <w:bookmarkStart w:id="2070" w:name="_Toc52957314"/>
      <w:bookmarkStart w:id="2071" w:name="_Toc52958097"/>
      <w:bookmarkStart w:id="2072" w:name="_Toc53045430"/>
      <w:bookmarkStart w:id="2073" w:name="_Toc53046213"/>
      <w:bookmarkStart w:id="2074" w:name="_Toc536782221"/>
      <w:bookmarkStart w:id="2075" w:name="_Toc5347279"/>
      <w:bookmarkStart w:id="2076" w:name="_Toc5363832"/>
      <w:bookmarkStart w:id="2077" w:name="_Toc5365053"/>
      <w:r>
        <w:rPr>
          <w:rStyle w:val="CharDivNo"/>
        </w:rPr>
        <w:t>Part 1</w:t>
      </w:r>
      <w:r>
        <w:t>—</w:t>
      </w:r>
      <w:r>
        <w:rPr>
          <w:rStyle w:val="CharDivText"/>
        </w:rPr>
        <w:t>Interpretation and application</w:t>
      </w:r>
      <w:bookmarkEnd w:id="2068"/>
      <w:bookmarkEnd w:id="2069"/>
      <w:bookmarkEnd w:id="2070"/>
      <w:bookmarkEnd w:id="2071"/>
      <w:bookmarkEnd w:id="2072"/>
      <w:bookmarkEnd w:id="2073"/>
      <w:bookmarkEnd w:id="2074"/>
      <w:bookmarkEnd w:id="2075"/>
      <w:bookmarkEnd w:id="2076"/>
      <w:bookmarkEnd w:id="2077"/>
    </w:p>
    <w:p>
      <w:pPr>
        <w:pStyle w:val="Footnoteheading"/>
      </w:pPr>
      <w:r>
        <w:tab/>
        <w:t>[Heading inserted: see SA Act No. 23 of 2017 s. 6 and WA Gazette 22 Dec 2017 p. 5984.]</w:t>
      </w:r>
    </w:p>
    <w:p>
      <w:pPr>
        <w:pStyle w:val="Heading5"/>
      </w:pPr>
      <w:bookmarkStart w:id="2078" w:name="_Toc53046214"/>
      <w:bookmarkStart w:id="2079" w:name="_Toc5365054"/>
      <w:r>
        <w:rPr>
          <w:rStyle w:val="CharSectno"/>
        </w:rPr>
        <w:t>216A</w:t>
      </w:r>
      <w:r>
        <w:t>.</w:t>
      </w:r>
      <w:r>
        <w:tab/>
        <w:t>Definitions</w:t>
      </w:r>
      <w:bookmarkEnd w:id="2078"/>
      <w:bookmarkEnd w:id="207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In this Chapter—</w:t>
      </w:r>
    </w:p>
    <w:p>
      <w:pPr>
        <w:keepLines/>
        <w:autoSpaceDE w:val="0"/>
        <w:autoSpaceDN w:val="0"/>
        <w:adjustRightInd w:val="0"/>
        <w:spacing w:before="120"/>
        <w:ind w:left="1588"/>
        <w:rPr>
          <w:color w:val="000000"/>
          <w:sz w:val="23"/>
          <w:szCs w:val="23"/>
        </w:rPr>
      </w:pPr>
      <w:r>
        <w:rPr>
          <w:rStyle w:val="CharDefText"/>
          <w:sz w:val="23"/>
          <w:szCs w:val="23"/>
        </w:rPr>
        <w:t>access determination</w:t>
      </w:r>
      <w:r>
        <w:rPr>
          <w:color w:val="000000"/>
          <w:sz w:val="23"/>
          <w:szCs w:val="23"/>
        </w:rPr>
        <w:t xml:space="preserve"> means a determination of an arbitrator under Part 3 and includes a variation under Part 5;</w:t>
      </w:r>
    </w:p>
    <w:p>
      <w:pPr>
        <w:keepLines/>
        <w:autoSpaceDE w:val="0"/>
        <w:autoSpaceDN w:val="0"/>
        <w:adjustRightInd w:val="0"/>
        <w:spacing w:before="120"/>
        <w:ind w:left="1588"/>
        <w:rPr>
          <w:color w:val="000000"/>
          <w:sz w:val="23"/>
          <w:szCs w:val="23"/>
        </w:rPr>
      </w:pPr>
      <w:r>
        <w:rPr>
          <w:rStyle w:val="CharDefText"/>
          <w:sz w:val="23"/>
          <w:szCs w:val="23"/>
        </w:rPr>
        <w:t>access dispute</w:t>
      </w:r>
      <w:r>
        <w:t xml:space="preserve"> </w:t>
      </w:r>
      <w:r>
        <w:rPr>
          <w:color w:val="000000"/>
          <w:sz w:val="23"/>
          <w:szCs w:val="23"/>
        </w:rPr>
        <w:t>means a dispute between a user or prospective user and a service provider about 1 or more aspects of access to a pipeline service provided by means of a non</w:t>
      </w:r>
      <w:r>
        <w:rPr>
          <w:color w:val="000000"/>
          <w:sz w:val="23"/>
          <w:szCs w:val="23"/>
        </w:rPr>
        <w:noBreakHyphen/>
        <w:t>scheme pipeline (subject to the operation of section 216C(2));</w:t>
      </w:r>
    </w:p>
    <w:p>
      <w:pPr>
        <w:keepLines/>
        <w:autoSpaceDE w:val="0"/>
        <w:autoSpaceDN w:val="0"/>
        <w:adjustRightInd w:val="0"/>
        <w:spacing w:before="120"/>
        <w:ind w:left="1588"/>
        <w:rPr>
          <w:color w:val="000000"/>
          <w:sz w:val="23"/>
          <w:szCs w:val="23"/>
        </w:rPr>
      </w:pPr>
      <w:r>
        <w:rPr>
          <w:rStyle w:val="CharDefText"/>
          <w:sz w:val="23"/>
          <w:szCs w:val="23"/>
        </w:rPr>
        <w:t>dispute hearing</w:t>
      </w:r>
      <w:r>
        <w:rPr>
          <w:color w:val="000000"/>
          <w:sz w:val="23"/>
          <w:szCs w:val="23"/>
        </w:rPr>
        <w:t xml:space="preserve"> means a hearing conducted by an arbitrator under this Chapter for the purpose of making an access determination;</w:t>
      </w:r>
    </w:p>
    <w:p>
      <w:pPr>
        <w:keepLines/>
        <w:autoSpaceDE w:val="0"/>
        <w:autoSpaceDN w:val="0"/>
        <w:adjustRightInd w:val="0"/>
        <w:spacing w:before="120"/>
        <w:ind w:left="1588"/>
        <w:rPr>
          <w:color w:val="000000"/>
          <w:sz w:val="23"/>
          <w:szCs w:val="23"/>
        </w:rPr>
      </w:pPr>
      <w:r>
        <w:rPr>
          <w:rStyle w:val="CharDefText"/>
          <w:sz w:val="23"/>
          <w:szCs w:val="23"/>
        </w:rPr>
        <w:t>distribution pipeline</w:t>
      </w:r>
      <w:r>
        <w:rPr>
          <w:color w:val="000000"/>
          <w:sz w:val="23"/>
          <w:szCs w:val="23"/>
        </w:rPr>
        <w:t xml:space="preserve"> means a pipeline that is classified in accordance with this Law or the Rules as a distribution pipeline and includes any extension to, or expansion of the capacity of, such a pipeline that, by operation of an access arrangement or access determination, is to be treated as part of the pipeline;</w:t>
      </w:r>
    </w:p>
    <w:p>
      <w:pPr>
        <w:keepLines/>
        <w:autoSpaceDE w:val="0"/>
        <w:autoSpaceDN w:val="0"/>
        <w:adjustRightInd w:val="0"/>
        <w:spacing w:before="120"/>
        <w:ind w:left="1588"/>
        <w:rPr>
          <w:color w:val="000000"/>
          <w:sz w:val="23"/>
          <w:szCs w:val="23"/>
        </w:rPr>
      </w:pPr>
      <w:r>
        <w:rPr>
          <w:rStyle w:val="CharDefText"/>
          <w:sz w:val="23"/>
          <w:szCs w:val="23"/>
        </w:rPr>
        <w:t>non</w:t>
      </w:r>
      <w:r>
        <w:rPr>
          <w:rStyle w:val="CharDefText"/>
          <w:sz w:val="23"/>
          <w:szCs w:val="23"/>
        </w:rPr>
        <w:noBreakHyphen/>
        <w:t>scheme pipeline</w:t>
      </w:r>
      <w:r>
        <w:rPr>
          <w:color w:val="000000"/>
          <w:sz w:val="23"/>
          <w:szCs w:val="23"/>
        </w:rPr>
        <w:t xml:space="preserve"> means a pipeline to which this Chapter applies by operation of section 216C;</w:t>
      </w:r>
    </w:p>
    <w:p>
      <w:pPr>
        <w:keepLines/>
        <w:autoSpaceDE w:val="0"/>
        <w:autoSpaceDN w:val="0"/>
        <w:adjustRightInd w:val="0"/>
        <w:spacing w:before="120"/>
        <w:ind w:left="1588"/>
        <w:rPr>
          <w:color w:val="000000"/>
          <w:sz w:val="23"/>
          <w:szCs w:val="23"/>
        </w:rPr>
      </w:pPr>
      <w:r>
        <w:rPr>
          <w:rStyle w:val="CharDefText"/>
          <w:sz w:val="23"/>
          <w:szCs w:val="23"/>
        </w:rPr>
        <w:t>party</w:t>
      </w:r>
      <w:r>
        <w:rPr>
          <w:color w:val="000000"/>
          <w:sz w:val="23"/>
          <w:szCs w:val="23"/>
        </w:rPr>
        <w:t>, in relation to an access dispute, has the meaning given by section 216I;</w:t>
      </w:r>
    </w:p>
    <w:p>
      <w:pPr>
        <w:keepLines/>
        <w:autoSpaceDE w:val="0"/>
        <w:autoSpaceDN w:val="0"/>
        <w:adjustRightInd w:val="0"/>
        <w:spacing w:before="120"/>
        <w:ind w:left="1588"/>
        <w:rPr>
          <w:color w:val="000000"/>
          <w:sz w:val="23"/>
          <w:szCs w:val="23"/>
        </w:rPr>
      </w:pPr>
      <w:r>
        <w:rPr>
          <w:rStyle w:val="CharDefText"/>
          <w:sz w:val="23"/>
          <w:szCs w:val="23"/>
        </w:rPr>
        <w:t>prospective user</w:t>
      </w:r>
      <w:r>
        <w:t xml:space="preserve"> </w:t>
      </w:r>
      <w:r>
        <w:rPr>
          <w:color w:val="000000"/>
          <w:sz w:val="23"/>
          <w:szCs w:val="23"/>
        </w:rPr>
        <w:t>has the meaning given by section 216B;</w:t>
      </w:r>
    </w:p>
    <w:p>
      <w:pPr>
        <w:keepLines/>
        <w:autoSpaceDE w:val="0"/>
        <w:autoSpaceDN w:val="0"/>
        <w:adjustRightInd w:val="0"/>
        <w:spacing w:before="120"/>
        <w:ind w:left="1588"/>
        <w:rPr>
          <w:color w:val="000000"/>
          <w:sz w:val="23"/>
          <w:szCs w:val="23"/>
        </w:rPr>
      </w:pPr>
      <w:r>
        <w:rPr>
          <w:rStyle w:val="CharDefText"/>
          <w:sz w:val="23"/>
          <w:szCs w:val="23"/>
        </w:rPr>
        <w:t>scheme administrator</w:t>
      </w:r>
      <w:r>
        <w:rPr>
          <w:color w:val="000000"/>
          <w:sz w:val="23"/>
          <w:szCs w:val="23"/>
        </w:rPr>
        <w:t xml:space="preserve"> means the AER;</w:t>
      </w:r>
    </w:p>
    <w:p>
      <w:pPr>
        <w:keepLines/>
        <w:autoSpaceDE w:val="0"/>
        <w:autoSpaceDN w:val="0"/>
        <w:adjustRightInd w:val="0"/>
        <w:spacing w:before="120"/>
        <w:ind w:left="1588"/>
        <w:rPr>
          <w:color w:val="000000"/>
          <w:sz w:val="23"/>
          <w:szCs w:val="23"/>
        </w:rPr>
      </w:pPr>
      <w:r>
        <w:rPr>
          <w:rStyle w:val="CharDefText"/>
          <w:sz w:val="23"/>
          <w:szCs w:val="23"/>
        </w:rPr>
        <w:t>transmission pipeline</w:t>
      </w:r>
      <w:r>
        <w:rPr>
          <w:color w:val="000000"/>
          <w:sz w:val="23"/>
          <w:szCs w:val="23"/>
        </w:rPr>
        <w:t xml:space="preserve"> means a pipeline that is classified in accordance with this Law or the Rules as a transmission pipeline and includes any extension to, or expansion of the capacity of, such a pipeline that, by operation of an access arrangement or access determination, is to be treated as part of the pipeline;</w:t>
      </w:r>
    </w:p>
    <w:p>
      <w:pPr>
        <w:keepLines/>
        <w:autoSpaceDE w:val="0"/>
        <w:autoSpaceDN w:val="0"/>
        <w:adjustRightInd w:val="0"/>
        <w:spacing w:before="120"/>
        <w:ind w:left="1588"/>
        <w:rPr>
          <w:color w:val="000000"/>
          <w:sz w:val="23"/>
          <w:szCs w:val="23"/>
        </w:rPr>
      </w:pPr>
      <w:r>
        <w:rPr>
          <w:rStyle w:val="CharDefText"/>
          <w:sz w:val="23"/>
          <w:szCs w:val="23"/>
        </w:rPr>
        <w:t>user</w:t>
      </w:r>
      <w:r>
        <w:rPr>
          <w:color w:val="000000"/>
          <w:sz w:val="23"/>
          <w:szCs w:val="23"/>
        </w:rPr>
        <w:t xml:space="preserve"> means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non</w:t>
      </w:r>
      <w:r>
        <w:rPr>
          <w:color w:val="000000"/>
          <w:sz w:val="23"/>
          <w:szCs w:val="23"/>
        </w:rPr>
        <w:noBreakHyphen/>
        <w:t>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non</w:t>
      </w:r>
      <w:r>
        <w:rPr>
          <w:color w:val="000000"/>
          <w:sz w:val="23"/>
          <w:szCs w:val="23"/>
        </w:rPr>
        <w:noBreakHyphen/>
        <w:t>scheme pipeline.</w:t>
      </w:r>
    </w:p>
    <w:p>
      <w:pPr>
        <w:pStyle w:val="Footnotesection"/>
      </w:pPr>
      <w:r>
        <w:tab/>
        <w:t>[Section 216A inserted: see SA Act No. 23 of 2017 s. 6 and WA Gazette 22 Dec 2017 p. 5984.]</w:t>
      </w:r>
    </w:p>
    <w:p>
      <w:pPr>
        <w:pStyle w:val="Heading5"/>
      </w:pPr>
      <w:bookmarkStart w:id="2080" w:name="_Toc53046215"/>
      <w:bookmarkStart w:id="2081" w:name="_Toc5365055"/>
      <w:r>
        <w:rPr>
          <w:rStyle w:val="CharSectno"/>
        </w:rPr>
        <w:t>216B</w:t>
      </w:r>
      <w:r>
        <w:t>.</w:t>
      </w:r>
      <w:r>
        <w:tab/>
        <w:t>Meaning of prospective user</w:t>
      </w:r>
      <w:bookmarkEnd w:id="2080"/>
      <w:bookmarkEnd w:id="208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For the purposes of this Chapter, a prospective user is a person who seeks or wishes to be provided with a pipeline service by means of a non</w:t>
      </w:r>
      <w:r>
        <w:rPr>
          <w:color w:val="000000"/>
          <w:sz w:val="23"/>
          <w:szCs w:val="23"/>
        </w:rPr>
        <w:noBreakHyphen/>
        <w:t>scheme pipeline.</w:t>
      </w:r>
    </w:p>
    <w:p>
      <w:pPr>
        <w:keepLines/>
        <w:tabs>
          <w:tab w:val="center" w:pos="1191"/>
          <w:tab w:val="left" w:pos="1588"/>
        </w:tabs>
        <w:autoSpaceDE w:val="0"/>
        <w:autoSpaceDN w:val="0"/>
        <w:adjustRightInd w:val="0"/>
        <w:spacing w:before="120"/>
        <w:ind w:left="1588" w:hanging="794"/>
        <w:rPr>
          <w:color w:val="000000"/>
          <w:sz w:val="23"/>
          <w:szCs w:val="23"/>
        </w:rPr>
      </w:pPr>
      <w:bookmarkStart w:id="2082" w:name="id5acd68d1_0864_4e4d_a80e_5f04c21cf9"/>
      <w:r>
        <w:rPr>
          <w:color w:val="000000"/>
          <w:sz w:val="23"/>
          <w:szCs w:val="23"/>
        </w:rPr>
        <w:tab/>
        <w:t>(2)</w:t>
      </w:r>
      <w:r>
        <w:rPr>
          <w:color w:val="000000"/>
          <w:sz w:val="23"/>
          <w:szCs w:val="23"/>
        </w:rPr>
        <w:tab/>
        <w:t>To avoid doubt, a user is also a prospective user for the purposes of this Chapter if the user seeks or wishes to be provided with a pipeline service by means of a non</w:t>
      </w:r>
      <w:r>
        <w:rPr>
          <w:color w:val="000000"/>
          <w:sz w:val="23"/>
          <w:szCs w:val="23"/>
        </w:rPr>
        <w:noBreakHyphen/>
        <w:t>scheme pipeline other than a pipeline service already provided to them under—</w:t>
      </w:r>
      <w:bookmarkEnd w:id="2082"/>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or</w:t>
      </w:r>
    </w:p>
    <w:p>
      <w:pPr>
        <w:keepLines/>
        <w:tabs>
          <w:tab w:val="center" w:pos="1985"/>
          <w:tab w:val="left" w:pos="2382"/>
        </w:tabs>
        <w:autoSpaceDE w:val="0"/>
        <w:autoSpaceDN w:val="0"/>
        <w:adjustRightInd w:val="0"/>
        <w:spacing w:before="120"/>
        <w:ind w:left="2382" w:hanging="794"/>
        <w:rPr>
          <w:color w:val="000000"/>
          <w:sz w:val="23"/>
          <w:szCs w:val="23"/>
        </w:rPr>
      </w:pPr>
      <w:bookmarkStart w:id="2083" w:name="id4d2e09fa_9ebd_4b6e_a77c_6881a24ff6"/>
      <w:r>
        <w:rPr>
          <w:color w:val="000000"/>
          <w:sz w:val="23"/>
          <w:szCs w:val="23"/>
        </w:rPr>
        <w:tab/>
        <w:t>(b)</w:t>
      </w:r>
      <w:r>
        <w:rPr>
          <w:color w:val="000000"/>
          <w:sz w:val="23"/>
          <w:szCs w:val="23"/>
        </w:rPr>
        <w:tab/>
        <w:t>an access determination.</w:t>
      </w:r>
      <w:bookmarkEnd w:id="208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(2)(b) does not limit the operation of Part 5.</w:t>
      </w:r>
    </w:p>
    <w:p>
      <w:pPr>
        <w:pStyle w:val="Footnotesection"/>
      </w:pPr>
      <w:r>
        <w:tab/>
        <w:t>[Section 216B inserted: see SA Act No. 23 of 2017 s. 6 and WA Gazette 22 Dec 2017 p. 5984.]</w:t>
      </w:r>
    </w:p>
    <w:p>
      <w:pPr>
        <w:pStyle w:val="Heading5"/>
      </w:pPr>
      <w:bookmarkStart w:id="2084" w:name="_Toc53046216"/>
      <w:bookmarkStart w:id="2085" w:name="_Toc5365056"/>
      <w:r>
        <w:rPr>
          <w:rStyle w:val="CharSectno"/>
        </w:rPr>
        <w:t>216C</w:t>
      </w:r>
      <w:r>
        <w:t>.</w:t>
      </w:r>
      <w:r>
        <w:tab/>
        <w:t>Application of Chapter</w:t>
      </w:r>
      <w:bookmarkEnd w:id="2084"/>
      <w:bookmarkEnd w:id="208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subsection (2), this Chapter applies to and in relation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that is not a scheme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distribution pipeline that is not a scheme pipeline.</w:t>
      </w:r>
    </w:p>
    <w:p>
      <w:pPr>
        <w:keepLines/>
        <w:tabs>
          <w:tab w:val="center" w:pos="1191"/>
          <w:tab w:val="left" w:pos="1588"/>
        </w:tabs>
        <w:autoSpaceDE w:val="0"/>
        <w:autoSpaceDN w:val="0"/>
        <w:adjustRightInd w:val="0"/>
        <w:spacing w:before="120"/>
        <w:ind w:left="1588" w:hanging="794"/>
        <w:rPr>
          <w:color w:val="000000"/>
          <w:sz w:val="23"/>
          <w:szCs w:val="23"/>
        </w:rPr>
      </w:pPr>
      <w:bookmarkStart w:id="2086" w:name="idca11615c_5180_4211_b24e_974f7b7973"/>
      <w:r>
        <w:rPr>
          <w:color w:val="000000"/>
          <w:sz w:val="23"/>
          <w:szCs w:val="23"/>
        </w:rPr>
        <w:tab/>
        <w:t>(2)</w:t>
      </w:r>
      <w:r>
        <w:rPr>
          <w:color w:val="000000"/>
          <w:sz w:val="23"/>
          <w:szCs w:val="23"/>
        </w:rPr>
        <w:tab/>
        <w:t>This Chapter does not apply to or in relation to—</w:t>
      </w:r>
      <w:bookmarkEnd w:id="2086"/>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or part of a pipeline, excluded from the operation of this Chapter by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 within a class or group of pipelines excluded from the operation of this Chapter by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pipeline service (including in relation to a specific pipeline, or part of a specific pipeline) excluded from the operation of this Chapter by the Rules.</w:t>
      </w:r>
    </w:p>
    <w:p>
      <w:pPr>
        <w:pStyle w:val="Footnotesection"/>
      </w:pPr>
      <w:r>
        <w:tab/>
        <w:t>[Section 216C inserted: see SA Act No. 23 of 2017 s. 6 and WA Gazette 22 Dec 2017 p. 5984.]</w:t>
      </w:r>
    </w:p>
    <w:p>
      <w:pPr>
        <w:pStyle w:val="Heading5"/>
      </w:pPr>
      <w:bookmarkStart w:id="2087" w:name="_Toc53046217"/>
      <w:bookmarkStart w:id="2088" w:name="_Toc5365057"/>
      <w:r>
        <w:rPr>
          <w:rStyle w:val="CharSectno"/>
        </w:rPr>
        <w:t>216D</w:t>
      </w:r>
      <w:r>
        <w:t>.</w:t>
      </w:r>
      <w:r>
        <w:tab/>
        <w:t>Application of this Chapter to disputes arising under Rules</w:t>
      </w:r>
      <w:bookmarkEnd w:id="2087"/>
      <w:bookmarkEnd w:id="208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provisions of this Chapter applicable to the determination of an access dispute apply, subject to such modifications as may be prescribed by the Rules, to the determination of any dispute arising under any provision of the Rules specified in the Rules for the purposes of this section.</w:t>
      </w:r>
    </w:p>
    <w:p>
      <w:pPr>
        <w:pStyle w:val="Footnotesection"/>
      </w:pPr>
      <w:r>
        <w:tab/>
        <w:t>[Section 216D inserted: see SA Act No. 23 of 2017 s. 6 and WA Gazette 22 Dec 2017 p. 5984.]</w:t>
      </w:r>
    </w:p>
    <w:p>
      <w:pPr>
        <w:pStyle w:val="Heading5"/>
      </w:pPr>
      <w:bookmarkStart w:id="2089" w:name="_Toc53046218"/>
      <w:bookmarkStart w:id="2090" w:name="_Toc5365058"/>
      <w:r>
        <w:rPr>
          <w:rStyle w:val="CharSectno"/>
        </w:rPr>
        <w:t>216E</w:t>
      </w:r>
      <w:r>
        <w:t>.</w:t>
      </w:r>
      <w:r>
        <w:tab/>
        <w:t>Chapter does not limit how disputes about access may be raised or dealt with</w:t>
      </w:r>
      <w:bookmarkEnd w:id="2089"/>
      <w:bookmarkEnd w:id="209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This Chapter is not to be taken to limit how a dispute about access to a pipeline service may be raised or dealt with.</w:t>
      </w:r>
    </w:p>
    <w:p>
      <w:pPr>
        <w:pStyle w:val="Footnotesection"/>
      </w:pPr>
      <w:r>
        <w:tab/>
        <w:t>[Section 216E inserted: see SA Act No. 23 of 2017 s. 6 and WA Gazette 22 Dec 2017 p. 5984.]</w:t>
      </w:r>
    </w:p>
    <w:p>
      <w:pPr>
        <w:pStyle w:val="Heading3"/>
      </w:pPr>
      <w:bookmarkStart w:id="2091" w:name="_Toc52954525"/>
      <w:bookmarkStart w:id="2092" w:name="_Toc52955821"/>
      <w:bookmarkStart w:id="2093" w:name="_Toc52957320"/>
      <w:bookmarkStart w:id="2094" w:name="_Toc52958103"/>
      <w:bookmarkStart w:id="2095" w:name="_Toc53045436"/>
      <w:bookmarkStart w:id="2096" w:name="_Toc53046219"/>
      <w:bookmarkStart w:id="2097" w:name="_Toc536782227"/>
      <w:bookmarkStart w:id="2098" w:name="_Toc5347285"/>
      <w:bookmarkStart w:id="2099" w:name="_Toc5363838"/>
      <w:bookmarkStart w:id="2100" w:name="_Toc5365059"/>
      <w:r>
        <w:rPr>
          <w:rStyle w:val="CharDivNo"/>
        </w:rPr>
        <w:t>Part 2</w:t>
      </w:r>
      <w:r>
        <w:t>—</w:t>
      </w:r>
      <w:r>
        <w:rPr>
          <w:rStyle w:val="CharDivText"/>
        </w:rPr>
        <w:t>Negotiation of access</w:t>
      </w:r>
      <w:bookmarkEnd w:id="2091"/>
      <w:bookmarkEnd w:id="2092"/>
      <w:bookmarkEnd w:id="2093"/>
      <w:bookmarkEnd w:id="2094"/>
      <w:bookmarkEnd w:id="2095"/>
      <w:bookmarkEnd w:id="2096"/>
      <w:bookmarkEnd w:id="2097"/>
      <w:bookmarkEnd w:id="2098"/>
      <w:bookmarkEnd w:id="2099"/>
      <w:bookmarkEnd w:id="2100"/>
    </w:p>
    <w:p>
      <w:pPr>
        <w:pStyle w:val="Footnoteheading"/>
      </w:pPr>
      <w:r>
        <w:tab/>
        <w:t>[Heading inserted: see SA Act No. 23 of 2017 s. 6 and WA Gazette 22 Dec 2017 p. 5984.]</w:t>
      </w:r>
    </w:p>
    <w:p>
      <w:pPr>
        <w:pStyle w:val="Heading5"/>
      </w:pPr>
      <w:bookmarkStart w:id="2101" w:name="_Toc53046220"/>
      <w:bookmarkStart w:id="2102" w:name="_Toc5365060"/>
      <w:r>
        <w:rPr>
          <w:rStyle w:val="CharSectno"/>
        </w:rPr>
        <w:t>216F</w:t>
      </w:r>
      <w:r>
        <w:t>.</w:t>
      </w:r>
      <w:r>
        <w:tab/>
        <w:t>Access proposals</w:t>
      </w:r>
      <w:bookmarkEnd w:id="2101"/>
      <w:bookmarkEnd w:id="210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Rules may contain provisions for or with respect to seeking access to a pipeline service provided or to be provided by means of a non</w:t>
      </w:r>
      <w:r>
        <w:rPr>
          <w:color w:val="000000"/>
          <w:sz w:val="23"/>
          <w:szCs w:val="23"/>
        </w:rPr>
        <w:noBreakHyphen/>
        <w:t>scheme pipeline (or by part of a non</w:t>
      </w:r>
      <w:r>
        <w:rPr>
          <w:color w:val="000000"/>
          <w:sz w:val="23"/>
          <w:szCs w:val="23"/>
        </w:rPr>
        <w:noBreakHyphen/>
        <w:t>scheme pipeline or by an extension to, or expansion of the capacity of, a non</w:t>
      </w:r>
      <w:r>
        <w:rPr>
          <w:color w:val="000000"/>
          <w:sz w:val="23"/>
          <w:szCs w:val="23"/>
        </w:rPr>
        <w:noBreakHyphen/>
        <w:t>scheme pipeline).</w:t>
      </w:r>
    </w:p>
    <w:p>
      <w:pPr>
        <w:pStyle w:val="Footnotesection"/>
      </w:pPr>
      <w:r>
        <w:tab/>
        <w:t>[Section 216F inserted: see SA Act No. 23 of 2017 s. 6 and WA Gazette 22 Dec 2017 p. 5984.]</w:t>
      </w:r>
    </w:p>
    <w:p>
      <w:pPr>
        <w:pStyle w:val="Heading5"/>
      </w:pPr>
      <w:bookmarkStart w:id="2103" w:name="_Toc53046221"/>
      <w:bookmarkStart w:id="2104" w:name="_Toc5365061"/>
      <w:r>
        <w:rPr>
          <w:rStyle w:val="CharSectno"/>
        </w:rPr>
        <w:t>216G</w:t>
      </w:r>
      <w:r>
        <w:t>.</w:t>
      </w:r>
      <w:r>
        <w:tab/>
        <w:t>Duty to negotiate in good faith</w:t>
      </w:r>
      <w:bookmarkEnd w:id="2103"/>
      <w:bookmarkEnd w:id="210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 prospective user or user seeking access to a pipeline service provided or to be provided by means of a non</w:t>
      </w:r>
      <w:r>
        <w:rPr>
          <w:color w:val="000000"/>
          <w:sz w:val="23"/>
          <w:szCs w:val="23"/>
        </w:rPr>
        <w:noBreakHyphen/>
        <w:t>scheme pipeline (or by part of a non</w:t>
      </w:r>
      <w:r>
        <w:rPr>
          <w:color w:val="000000"/>
          <w:sz w:val="23"/>
          <w:szCs w:val="23"/>
        </w:rPr>
        <w:noBreakHyphen/>
        <w:t>scheme pipeline or by an extension to, or expansion of the capacity of, a non</w:t>
      </w:r>
      <w:r>
        <w:rPr>
          <w:color w:val="000000"/>
          <w:sz w:val="23"/>
          <w:szCs w:val="23"/>
        </w:rPr>
        <w:noBreakHyphen/>
        <w:t>scheme pipeline), and the service provider for the relevant non</w:t>
      </w:r>
      <w:r>
        <w:rPr>
          <w:color w:val="000000"/>
          <w:sz w:val="23"/>
          <w:szCs w:val="23"/>
        </w:rPr>
        <w:noBreakHyphen/>
        <w:t>scheme pipeline, must negotiate in good faith with each other about whether access can be granted and, if so, the terms and conditions for the provision of access to the prospective user or user (as the case requires).</w:t>
      </w:r>
    </w:p>
    <w:p>
      <w:pPr>
        <w:pStyle w:val="Footnotesection"/>
      </w:pPr>
      <w:r>
        <w:tab/>
        <w:t>[Section 216G inserted: see SA Act No. 23 of 2017 s. 6 and WA Gazette 22 Dec 2017 p. 5984.]</w:t>
      </w:r>
    </w:p>
    <w:p>
      <w:pPr>
        <w:pStyle w:val="Heading5"/>
      </w:pPr>
      <w:bookmarkStart w:id="2105" w:name="_Toc53046222"/>
      <w:bookmarkStart w:id="2106" w:name="_Toc5365062"/>
      <w:r>
        <w:rPr>
          <w:rStyle w:val="CharSectno"/>
        </w:rPr>
        <w:t>216H</w:t>
      </w:r>
      <w:r>
        <w:t>.</w:t>
      </w:r>
      <w:r>
        <w:tab/>
        <w:t>Notification of access dispute</w:t>
      </w:r>
      <w:bookmarkEnd w:id="2105"/>
      <w:bookmarkEnd w:id="2106"/>
    </w:p>
    <w:p>
      <w:pPr>
        <w:tabs>
          <w:tab w:val="center" w:pos="1191"/>
          <w:tab w:val="left" w:pos="1588"/>
        </w:tabs>
        <w:autoSpaceDE w:val="0"/>
        <w:autoSpaceDN w:val="0"/>
        <w:adjustRightInd w:val="0"/>
        <w:spacing w:before="120"/>
        <w:ind w:left="1588" w:hanging="794"/>
        <w:rPr>
          <w:color w:val="000000"/>
          <w:sz w:val="23"/>
          <w:szCs w:val="23"/>
        </w:rPr>
      </w:pPr>
      <w:bookmarkStart w:id="2107" w:name="id1252043a_7393_493f_a585_47e04b32aa"/>
      <w:r>
        <w:rPr>
          <w:color w:val="000000"/>
          <w:sz w:val="23"/>
          <w:szCs w:val="23"/>
        </w:rPr>
        <w:tab/>
        <w:t>(1)</w:t>
      </w:r>
      <w:r>
        <w:rPr>
          <w:color w:val="000000"/>
          <w:sz w:val="23"/>
          <w:szCs w:val="23"/>
        </w:rPr>
        <w:tab/>
        <w:t>Subject to this section, if a prospective user or user (as the case requires) and a service provider cannot agree about 1 or more aspects of access to a pipeline service after a request has been made in accordance with the Rules, the prospective user or user, or the service provider, may notify the scheme administrator, in writing, that an access dispute exists.</w:t>
      </w:r>
      <w:bookmarkEnd w:id="2107"/>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notification must include, in accordance with the Rules, information about—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matters (if any) on which agreement has been reached;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matters that are in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matter specified by the Rules.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notification must be accompanied by the fee set by the Rules (if any).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notification cannot be made under this section if the access dispute relates to a matter excluded from arbitration under this Chapter by the Rules.</w:t>
      </w:r>
    </w:p>
    <w:p>
      <w:pPr>
        <w:pStyle w:val="Footnotesection"/>
      </w:pPr>
      <w:r>
        <w:tab/>
        <w:t>[Section 216H inserted: see SA Act No. 23 of 2017 s. 6 and WA Gazette 22 Dec 2017 p. 5984.]</w:t>
      </w:r>
    </w:p>
    <w:p>
      <w:pPr>
        <w:pStyle w:val="Heading5"/>
      </w:pPr>
      <w:bookmarkStart w:id="2108" w:name="_Toc53046223"/>
      <w:bookmarkStart w:id="2109" w:name="_Toc5365063"/>
      <w:r>
        <w:rPr>
          <w:rStyle w:val="CharSectno"/>
        </w:rPr>
        <w:t>216I</w:t>
      </w:r>
      <w:r>
        <w:t>.</w:t>
      </w:r>
      <w:r>
        <w:tab/>
        <w:t>Parties to an access dispute</w:t>
      </w:r>
      <w:bookmarkEnd w:id="2108"/>
      <w:bookmarkEnd w:id="210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parties to an access dispute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parties to the negotiations that gave rise to the access dispute under section 216H(1);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scheme administrator is of the opinion that the resolution of the access dispute may involve requiring another person to do something and that it is appropriate that the person be joined as a party—that other person.</w:t>
      </w:r>
    </w:p>
    <w:p>
      <w:pPr>
        <w:pStyle w:val="Footnotesection"/>
      </w:pPr>
      <w:r>
        <w:tab/>
        <w:t>[Section 216I inserted: see SA Act No. 23 of 2017 s. 6 and WA Gazette 22 Dec 2017 p. 5984.]</w:t>
      </w:r>
    </w:p>
    <w:p>
      <w:pPr>
        <w:pStyle w:val="Heading3"/>
      </w:pPr>
      <w:bookmarkStart w:id="2110" w:name="_Toc52954530"/>
      <w:bookmarkStart w:id="2111" w:name="_Toc52955826"/>
      <w:bookmarkStart w:id="2112" w:name="_Toc52957325"/>
      <w:bookmarkStart w:id="2113" w:name="_Toc52958108"/>
      <w:bookmarkStart w:id="2114" w:name="_Toc53045441"/>
      <w:bookmarkStart w:id="2115" w:name="_Toc53046224"/>
      <w:bookmarkStart w:id="2116" w:name="_Toc536782232"/>
      <w:bookmarkStart w:id="2117" w:name="_Toc5347290"/>
      <w:bookmarkStart w:id="2118" w:name="_Toc5363843"/>
      <w:bookmarkStart w:id="2119" w:name="_Toc5365064"/>
      <w:r>
        <w:rPr>
          <w:rStyle w:val="CharDivNo"/>
        </w:rPr>
        <w:t>Part 3</w:t>
      </w:r>
      <w:r>
        <w:t>—</w:t>
      </w:r>
      <w:r>
        <w:rPr>
          <w:rStyle w:val="CharDivText"/>
        </w:rPr>
        <w:t>Reference of dispute to arbitration</w:t>
      </w:r>
      <w:bookmarkEnd w:id="2110"/>
      <w:bookmarkEnd w:id="2111"/>
      <w:bookmarkEnd w:id="2112"/>
      <w:bookmarkEnd w:id="2113"/>
      <w:bookmarkEnd w:id="2114"/>
      <w:bookmarkEnd w:id="2115"/>
      <w:bookmarkEnd w:id="2116"/>
      <w:bookmarkEnd w:id="2117"/>
      <w:bookmarkEnd w:id="2118"/>
      <w:bookmarkEnd w:id="2119"/>
    </w:p>
    <w:p>
      <w:pPr>
        <w:pStyle w:val="Footnoteheading"/>
        <w:keepNext/>
      </w:pPr>
      <w:r>
        <w:tab/>
        <w:t>[Heading inserted: see SA Act No. 23 of 2017 s. 6 and WA Gazette 22 Dec 2017 p. 5984.]</w:t>
      </w:r>
    </w:p>
    <w:p>
      <w:pPr>
        <w:pStyle w:val="Heading5"/>
      </w:pPr>
      <w:bookmarkStart w:id="2120" w:name="_Toc53046225"/>
      <w:bookmarkStart w:id="2121" w:name="_Toc5365065"/>
      <w:r>
        <w:rPr>
          <w:rStyle w:val="CharSectno"/>
        </w:rPr>
        <w:t>216J</w:t>
      </w:r>
      <w:r>
        <w:t>.</w:t>
      </w:r>
      <w:r>
        <w:tab/>
        <w:t>Reference of dispute</w:t>
      </w:r>
      <w:bookmarkEnd w:id="2120"/>
      <w:bookmarkEnd w:id="212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scheme administrator receives notification of an access dispute under Part 2, the dispute must be referred to arbitration.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scheme administrator must give notice of the referral of an access dispute to arbitration to the parties to the negotiations that gave rise to the access dispute and, if relevant, to any other person who will be a party to the access dispute.</w:t>
      </w:r>
    </w:p>
    <w:p>
      <w:pPr>
        <w:pStyle w:val="Footnotesection"/>
      </w:pPr>
      <w:r>
        <w:tab/>
        <w:t>[Section 216J inserted: see SA Act No. 23 of 2017 s. 6 and WA Gazette 22 Dec 2017 p. 5984.]</w:t>
      </w:r>
    </w:p>
    <w:p>
      <w:pPr>
        <w:pStyle w:val="Heading5"/>
      </w:pPr>
      <w:bookmarkStart w:id="2122" w:name="_Toc53046226"/>
      <w:bookmarkStart w:id="2123" w:name="_Toc5365066"/>
      <w:r>
        <w:rPr>
          <w:rStyle w:val="CharSectno"/>
        </w:rPr>
        <w:t>216K</w:t>
      </w:r>
      <w:r>
        <w:t>.</w:t>
      </w:r>
      <w:r>
        <w:tab/>
        <w:t>Selection of arbitrator</w:t>
      </w:r>
      <w:bookmarkEnd w:id="2122"/>
      <w:bookmarkEnd w:id="212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parties to an access dispute may agree to appoint, in accordance with the Rules, the arbitrator for the purposes of an access dispute that is to be referred to arbitration under this Part.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parties do not agree to the appointment of an arbitrator within a period specified by the Rules, the arbitrator will be a person selected by the scheme administrator after consultation with the parties to the access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arbitrator must be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independent of the parties to the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properly qualified to act in the resolution of the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has no direct or indirect interest in the outcome of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for some reason an arbitrator does not complete an arbitration, the parties may agree, in accordance with the Rules, to make a fresh appointment and, in default of agreement within a period specified by the Rules, the scheme administrator may, after consultation with the parties, make the appointment.</w:t>
      </w:r>
    </w:p>
    <w:p>
      <w:pPr>
        <w:pStyle w:val="Footnotesection"/>
      </w:pPr>
      <w:r>
        <w:tab/>
        <w:t>[Section 216K inserted: see SA Act No. 23 of 2017 s. 6 and WA Gazette 22 Dec 2017 p. 5984.]</w:t>
      </w:r>
    </w:p>
    <w:p>
      <w:pPr>
        <w:pStyle w:val="Heading5"/>
      </w:pPr>
      <w:bookmarkStart w:id="2124" w:name="_Toc53046227"/>
      <w:bookmarkStart w:id="2125" w:name="_Toc5365067"/>
      <w:r>
        <w:rPr>
          <w:rStyle w:val="CharSectno"/>
        </w:rPr>
        <w:t>216L</w:t>
      </w:r>
      <w:r>
        <w:t>.</w:t>
      </w:r>
      <w:r>
        <w:tab/>
        <w:t>Determination of access dispute</w:t>
      </w:r>
      <w:bookmarkEnd w:id="2124"/>
      <w:bookmarkEnd w:id="212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Unless an arbitration is terminated under another provision of this Chapter, the arbitrator must make a determination on access by the prospective user or user (as the case requires) (including a determination that does not require a service provider to provide access to any pipeline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determination may deal with any matter relating to access by the prospective user or user to the pipeline services specified by the Rules for the purposes of this subsection (and the arbitrator must not make a determination that is inconsistent with the Rules or goes beyond the matters specified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Rules may also, in connection with the making of an access determination, contain provisions for or with respect to such things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form of any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content of any determination, including as to the giving of reasons;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time within which a determination must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process for making a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when a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giving of notice of the making of a determination.</w:t>
      </w:r>
    </w:p>
    <w:p>
      <w:pPr>
        <w:pStyle w:val="Footnotesection"/>
      </w:pPr>
      <w:r>
        <w:tab/>
        <w:t>[Section 216L inserted: see SA Act No. 23 of 2017 s. 6 and WA Gazette 22 Dec 2017 p. 5984.]</w:t>
      </w:r>
    </w:p>
    <w:p>
      <w:pPr>
        <w:pStyle w:val="Heading5"/>
      </w:pPr>
      <w:bookmarkStart w:id="2126" w:name="_Toc53046228"/>
      <w:bookmarkStart w:id="2127" w:name="_Toc5365068"/>
      <w:r>
        <w:rPr>
          <w:rStyle w:val="CharSectno"/>
        </w:rPr>
        <w:t>216M</w:t>
      </w:r>
      <w:r>
        <w:t>.</w:t>
      </w:r>
      <w:r>
        <w:tab/>
        <w:t>Principles to be taken into account</w:t>
      </w:r>
      <w:bookmarkEnd w:id="2126"/>
      <w:bookmarkEnd w:id="212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arbitrator must, when making a determination on access, take into account any pricing or other principle specified in the Rules.</w:t>
      </w:r>
    </w:p>
    <w:p>
      <w:pPr>
        <w:pStyle w:val="Footnotesection"/>
      </w:pPr>
      <w:r>
        <w:tab/>
        <w:t>[Section 216M inserted: see SA Act No. 23 of 2017 s. 6 and WA Gazette 22 Dec 2017 p. 5984.]</w:t>
      </w:r>
    </w:p>
    <w:p>
      <w:pPr>
        <w:pStyle w:val="Heading5"/>
      </w:pPr>
      <w:bookmarkStart w:id="2128" w:name="_Toc53046229"/>
      <w:bookmarkStart w:id="2129" w:name="_Toc5365069"/>
      <w:r>
        <w:rPr>
          <w:rStyle w:val="CharSectno"/>
        </w:rPr>
        <w:t>216N</w:t>
      </w:r>
      <w:r>
        <w:t>.</w:t>
      </w:r>
      <w:r>
        <w:tab/>
        <w:t>Restrictions on access determinations</w:t>
      </w:r>
      <w:bookmarkEnd w:id="2128"/>
      <w:bookmarkEnd w:id="212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arbitrator must not make an access determination that would have any of the following effects: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preventing a user obtaining a sufficient amount of a pipeline service under a contract or previous access determination to be able to meet the user's reasonably anticipated requirements, measured at the time that the access dispute was notified;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preventing a prospective user or user from obtaining, by the exercise of a pre</w:t>
      </w:r>
      <w:r>
        <w:rPr>
          <w:color w:val="000000"/>
          <w:sz w:val="23"/>
          <w:szCs w:val="23"/>
        </w:rPr>
        <w:noBreakHyphen/>
        <w:t>notification right, a sufficient amount of a pipeline service to be able to meet the prospective user's or user's actual requirements;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depriving a person of a relevant protected contractual right.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iCs/>
          <w:sz w:val="23"/>
        </w:rPr>
        <w:t>pre-notification right</w:t>
      </w:r>
      <w:r>
        <w:rPr>
          <w:color w:val="000000"/>
          <w:sz w:val="23"/>
          <w:szCs w:val="23"/>
        </w:rPr>
        <w:t xml:space="preserve"> means a right under a contract, or under an access determination, that was in force at the time when the access dispute was notified under section 216H;</w:t>
      </w:r>
    </w:p>
    <w:p>
      <w:pPr>
        <w:keepLines/>
        <w:autoSpaceDE w:val="0"/>
        <w:autoSpaceDN w:val="0"/>
        <w:adjustRightInd w:val="0"/>
        <w:spacing w:before="120"/>
        <w:ind w:left="1588"/>
        <w:rPr>
          <w:color w:val="000000"/>
          <w:sz w:val="23"/>
          <w:szCs w:val="23"/>
        </w:rPr>
      </w:pPr>
      <w:r>
        <w:rPr>
          <w:rStyle w:val="CharDefText"/>
          <w:bCs/>
          <w:iCs/>
          <w:sz w:val="23"/>
        </w:rPr>
        <w:t>relevant exclusivity right</w:t>
      </w:r>
      <w:r>
        <w:rPr>
          <w:color w:val="000000"/>
          <w:sz w:val="23"/>
          <w:szCs w:val="23"/>
        </w:rPr>
        <w:t xml:space="preserve"> means an express contractual right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Lines/>
        <w:autoSpaceDE w:val="0"/>
        <w:autoSpaceDN w:val="0"/>
        <w:adjustRightInd w:val="0"/>
        <w:spacing w:before="120"/>
        <w:ind w:left="1588"/>
        <w:rPr>
          <w:color w:val="000000"/>
          <w:sz w:val="23"/>
          <w:szCs w:val="23"/>
        </w:rPr>
      </w:pPr>
      <w:r>
        <w:rPr>
          <w:rStyle w:val="CharDefText"/>
          <w:bCs/>
          <w:iCs/>
          <w:sz w:val="23"/>
        </w:rPr>
        <w:t xml:space="preserve">relevant protected contractual right </w:t>
      </w:r>
      <w:r>
        <w:rPr>
          <w:color w:val="000000"/>
          <w:sz w:val="23"/>
          <w:szCs w:val="23"/>
        </w:rPr>
        <w:t>means a right under a contract (other than a relevant exclusivity right) that was in force immediately before notification of an access dispute under section 216H.</w:t>
      </w:r>
    </w:p>
    <w:p>
      <w:pPr>
        <w:pStyle w:val="Footnotesection"/>
      </w:pPr>
      <w:r>
        <w:tab/>
        <w:t>[Section 216N inserted: see SA Act No. 23 of 2017 s. 6 and WA Gazette 22 Dec 2017 p. 5984.]</w:t>
      </w:r>
    </w:p>
    <w:p>
      <w:pPr>
        <w:pStyle w:val="Heading5"/>
      </w:pPr>
      <w:bookmarkStart w:id="2130" w:name="_Toc53046230"/>
      <w:bookmarkStart w:id="2131" w:name="_Toc5365070"/>
      <w:r>
        <w:rPr>
          <w:rStyle w:val="CharSectno"/>
        </w:rPr>
        <w:t>216O</w:t>
      </w:r>
      <w:r>
        <w:t>.</w:t>
      </w:r>
      <w:r>
        <w:tab/>
        <w:t>Arbitrator's power to terminate arbitration</w:t>
      </w:r>
      <w:bookmarkEnd w:id="2130"/>
      <w:bookmarkEnd w:id="213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arbitrator may determine not to proceed with an arbitration (and terminate the proceedings under this Chapter) if the arbitrator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notification of the dispute was vexatious;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dispute is trivial, misconceived or lacking in substance;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party who notified the access dispute did not negotiate in good faith;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there is some other good reason why the arbitration should not proceed.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Furthermore, the arbitrator may at any time terminate an arbitration without making an access determination if the arbitrator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prospective user or user seeking access is not engaging in the arbitration in good faith;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terms and conditions on which access is to be granted should be governed by an existing contract or determination.</w:t>
      </w:r>
    </w:p>
    <w:p>
      <w:pPr>
        <w:keepLines/>
        <w:tabs>
          <w:tab w:val="center" w:pos="1191"/>
          <w:tab w:val="left" w:pos="1588"/>
        </w:tabs>
        <w:autoSpaceDE w:val="0"/>
        <w:autoSpaceDN w:val="0"/>
        <w:adjustRightInd w:val="0"/>
        <w:spacing w:before="120"/>
        <w:ind w:left="1588" w:hanging="794"/>
        <w:rPr>
          <w:color w:val="000000"/>
          <w:sz w:val="23"/>
          <w:szCs w:val="23"/>
        </w:rPr>
      </w:pPr>
      <w:bookmarkStart w:id="2132" w:name="id2e84f1b4_b9d4_4b7b_9037_edad614264"/>
      <w:r>
        <w:rPr>
          <w:color w:val="000000"/>
          <w:sz w:val="23"/>
          <w:szCs w:val="23"/>
        </w:rPr>
        <w:tab/>
        <w:t>(3)</w:t>
      </w:r>
      <w:r>
        <w:rPr>
          <w:color w:val="000000"/>
          <w:sz w:val="23"/>
          <w:szCs w:val="23"/>
        </w:rPr>
        <w:tab/>
        <w:t>The arbitrator may also at any time terminate an arbitration if the arbitrator considers that a specified dispute termination circumstance has occurred.</w:t>
      </w:r>
      <w:bookmarkEnd w:id="213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In subsection (3), a </w:t>
      </w:r>
      <w:r>
        <w:rPr>
          <w:b/>
          <w:bCs/>
          <w:i/>
          <w:iCs/>
          <w:color w:val="000000"/>
          <w:sz w:val="23"/>
          <w:szCs w:val="23"/>
        </w:rPr>
        <w:t>specified dispute termination circumstance</w:t>
      </w:r>
      <w:r>
        <w:rPr>
          <w:color w:val="000000"/>
          <w:sz w:val="23"/>
          <w:szCs w:val="23"/>
        </w:rPr>
        <w:t xml:space="preserve"> is a circumstance specified by the Rules as being a circumstance, the occurrence of which, entitles the arbitrator to terminate an access dispute without any further step being taken.</w:t>
      </w:r>
    </w:p>
    <w:p>
      <w:pPr>
        <w:pStyle w:val="Footnotesection"/>
      </w:pPr>
      <w:r>
        <w:tab/>
        <w:t>[Section 216O inserted: see SA Act No. 23 of 2017 s. 6 and WA Gazette 22 Dec 2017 p. 5984.]</w:t>
      </w:r>
    </w:p>
    <w:p>
      <w:pPr>
        <w:pStyle w:val="Heading5"/>
      </w:pPr>
      <w:bookmarkStart w:id="2133" w:name="_Toc53046231"/>
      <w:bookmarkStart w:id="2134" w:name="_Toc5365071"/>
      <w:r>
        <w:rPr>
          <w:rStyle w:val="CharSectno"/>
        </w:rPr>
        <w:t>216P</w:t>
      </w:r>
      <w:r>
        <w:t>.</w:t>
      </w:r>
      <w:r>
        <w:tab/>
        <w:t>Access seeker's right to terminate arbitration</w:t>
      </w:r>
      <w:bookmarkEnd w:id="2133"/>
      <w:bookmarkEnd w:id="213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prospective user or user seeking access to pipelines services under this Chapter may terminate the arbitration before an access determination is made by the arbitrator.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arbitration is terminated under this section by giving notice of termination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arbitrator;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other parties to the arbitration;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scheme administrator.</w:t>
      </w:r>
    </w:p>
    <w:p>
      <w:pPr>
        <w:pStyle w:val="Footnotesection"/>
      </w:pPr>
      <w:r>
        <w:tab/>
        <w:t>[Section 216P inserted: see SA Act No. 23 of 2017 s. 6 and WA Gazette 22 Dec 2017 p. 5984.]</w:t>
      </w:r>
    </w:p>
    <w:p>
      <w:pPr>
        <w:pStyle w:val="Heading3"/>
      </w:pPr>
      <w:bookmarkStart w:id="2135" w:name="_Toc52954538"/>
      <w:bookmarkStart w:id="2136" w:name="_Toc52955834"/>
      <w:bookmarkStart w:id="2137" w:name="_Toc52957333"/>
      <w:bookmarkStart w:id="2138" w:name="_Toc52958116"/>
      <w:bookmarkStart w:id="2139" w:name="_Toc53045449"/>
      <w:bookmarkStart w:id="2140" w:name="_Toc53046232"/>
      <w:bookmarkStart w:id="2141" w:name="_Toc536782240"/>
      <w:bookmarkStart w:id="2142" w:name="_Toc5347298"/>
      <w:bookmarkStart w:id="2143" w:name="_Toc5363851"/>
      <w:bookmarkStart w:id="2144" w:name="_Toc5365072"/>
      <w:r>
        <w:rPr>
          <w:rStyle w:val="CharDivNo"/>
        </w:rPr>
        <w:t>Part 4</w:t>
      </w:r>
      <w:r>
        <w:t>—</w:t>
      </w:r>
      <w:r>
        <w:rPr>
          <w:rStyle w:val="CharDivText"/>
        </w:rPr>
        <w:t>Compliance with access determinations</w:t>
      </w:r>
      <w:bookmarkEnd w:id="2135"/>
      <w:bookmarkEnd w:id="2136"/>
      <w:bookmarkEnd w:id="2137"/>
      <w:bookmarkEnd w:id="2138"/>
      <w:bookmarkEnd w:id="2139"/>
      <w:bookmarkEnd w:id="2140"/>
      <w:bookmarkEnd w:id="2141"/>
      <w:bookmarkEnd w:id="2142"/>
      <w:bookmarkEnd w:id="2143"/>
      <w:bookmarkEnd w:id="2144"/>
    </w:p>
    <w:p>
      <w:pPr>
        <w:pStyle w:val="Footnoteheading"/>
      </w:pPr>
      <w:r>
        <w:tab/>
        <w:t>[Heading inserted: see SA Act No. 23 of 2017 s. 6 and WA Gazette 22 Dec 2017 p. 5984.]</w:t>
      </w:r>
    </w:p>
    <w:p>
      <w:pPr>
        <w:pStyle w:val="Heading5"/>
      </w:pPr>
      <w:bookmarkStart w:id="2145" w:name="_Toc53046233"/>
      <w:bookmarkStart w:id="2146" w:name="_Toc5365073"/>
      <w:r>
        <w:rPr>
          <w:rStyle w:val="CharSectno"/>
        </w:rPr>
        <w:t>216Q</w:t>
      </w:r>
      <w:r>
        <w:t>.</w:t>
      </w:r>
      <w:r>
        <w:tab/>
        <w:t>Compliance with access determinations</w:t>
      </w:r>
      <w:bookmarkEnd w:id="2145"/>
      <w:bookmarkEnd w:id="214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the Rules and to subsection (2), an access determination is enforceable as if it were a contract between the parties to the access determination.</w:t>
      </w:r>
    </w:p>
    <w:p>
      <w:pPr>
        <w:keepLines/>
        <w:tabs>
          <w:tab w:val="center" w:pos="1191"/>
          <w:tab w:val="left" w:pos="1588"/>
        </w:tabs>
        <w:autoSpaceDE w:val="0"/>
        <w:autoSpaceDN w:val="0"/>
        <w:adjustRightInd w:val="0"/>
        <w:spacing w:before="120"/>
        <w:ind w:left="1588" w:hanging="794"/>
        <w:rPr>
          <w:color w:val="000000"/>
          <w:sz w:val="23"/>
          <w:szCs w:val="23"/>
        </w:rPr>
      </w:pPr>
      <w:bookmarkStart w:id="2147" w:name="ida8dd6fe7_9b1d_4302_b895_0e06afdd64"/>
      <w:r>
        <w:rPr>
          <w:color w:val="000000"/>
          <w:sz w:val="23"/>
          <w:szCs w:val="23"/>
        </w:rPr>
        <w:tab/>
        <w:t>(2)</w:t>
      </w:r>
      <w:r>
        <w:rPr>
          <w:color w:val="000000"/>
          <w:sz w:val="23"/>
          <w:szCs w:val="23"/>
        </w:rPr>
        <w:tab/>
        <w:t>A prospective user or user of a pipeline service to which an access determination relates is not bound to seek access to the service (but if access is sought or obtained then the prospective user or user (as the case requires) is bound by any relevant provision of the access determination).</w:t>
      </w:r>
      <w:bookmarkEnd w:id="2147"/>
    </w:p>
    <w:p>
      <w:pPr>
        <w:pStyle w:val="Footnotesection"/>
      </w:pPr>
      <w:r>
        <w:tab/>
        <w:t>[Section 216Q inserted: see SA Act No. 23 of 2017 s. 6 and WA Gazette 22 Dec 2017 p. 5984.]</w:t>
      </w:r>
    </w:p>
    <w:p>
      <w:pPr>
        <w:pStyle w:val="Heading3"/>
      </w:pPr>
      <w:bookmarkStart w:id="2148" w:name="_Toc52954540"/>
      <w:bookmarkStart w:id="2149" w:name="_Toc52955836"/>
      <w:bookmarkStart w:id="2150" w:name="_Toc52957335"/>
      <w:bookmarkStart w:id="2151" w:name="_Toc52958118"/>
      <w:bookmarkStart w:id="2152" w:name="_Toc53045451"/>
      <w:bookmarkStart w:id="2153" w:name="_Toc53046234"/>
      <w:bookmarkStart w:id="2154" w:name="_Toc536782242"/>
      <w:bookmarkStart w:id="2155" w:name="_Toc5347300"/>
      <w:bookmarkStart w:id="2156" w:name="_Toc5363853"/>
      <w:bookmarkStart w:id="2157" w:name="_Toc5365074"/>
      <w:r>
        <w:rPr>
          <w:rStyle w:val="CharDivNo"/>
        </w:rPr>
        <w:t>Part 5</w:t>
      </w:r>
      <w:r>
        <w:t>—</w:t>
      </w:r>
      <w:r>
        <w:rPr>
          <w:rStyle w:val="CharDivText"/>
        </w:rPr>
        <w:t>Variation of access determinations</w:t>
      </w:r>
      <w:bookmarkEnd w:id="2148"/>
      <w:bookmarkEnd w:id="2149"/>
      <w:bookmarkEnd w:id="2150"/>
      <w:bookmarkEnd w:id="2151"/>
      <w:bookmarkEnd w:id="2152"/>
      <w:bookmarkEnd w:id="2153"/>
      <w:bookmarkEnd w:id="2154"/>
      <w:bookmarkEnd w:id="2155"/>
      <w:bookmarkEnd w:id="2156"/>
      <w:bookmarkEnd w:id="2157"/>
    </w:p>
    <w:p>
      <w:pPr>
        <w:pStyle w:val="Footnoteheading"/>
      </w:pPr>
      <w:r>
        <w:tab/>
        <w:t>[Heading inserted: see SA Act No. 23 of 2017 s. 6 and WA Gazette 22 Dec 2017 p. 5984.]</w:t>
      </w:r>
    </w:p>
    <w:p>
      <w:pPr>
        <w:pStyle w:val="Heading5"/>
      </w:pPr>
      <w:bookmarkStart w:id="2158" w:name="_Toc53046235"/>
      <w:bookmarkStart w:id="2159" w:name="_Toc5365075"/>
      <w:r>
        <w:rPr>
          <w:rStyle w:val="CharSectno"/>
        </w:rPr>
        <w:t>216R</w:t>
      </w:r>
      <w:r>
        <w:t>.</w:t>
      </w:r>
      <w:r>
        <w:tab/>
        <w:t>Variation of access determinations</w:t>
      </w:r>
      <w:bookmarkEnd w:id="2158"/>
      <w:bookmarkEnd w:id="215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access determination may be varied by agreement between all parties to the access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Rules may also contain provisions with respect to seeking variations to an access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provisions of this Chapter about the arbitration of an access dispute apply with necessary modifications to a proposal under the Rules to vary an access determination or to a dispute arising out of such a proposal.</w:t>
      </w:r>
    </w:p>
    <w:p>
      <w:pPr>
        <w:pStyle w:val="Footnotesection"/>
      </w:pPr>
      <w:r>
        <w:tab/>
        <w:t>[Section 216R inserted: see SA Act No. 23 of 2017 s. 6 and WA Gazette 22 Dec 2017 p. 5984.]</w:t>
      </w:r>
    </w:p>
    <w:p>
      <w:pPr>
        <w:pStyle w:val="Heading3"/>
      </w:pPr>
      <w:bookmarkStart w:id="2160" w:name="_Toc52954542"/>
      <w:bookmarkStart w:id="2161" w:name="_Toc52955838"/>
      <w:bookmarkStart w:id="2162" w:name="_Toc52957337"/>
      <w:bookmarkStart w:id="2163" w:name="_Toc52958120"/>
      <w:bookmarkStart w:id="2164" w:name="_Toc53045453"/>
      <w:bookmarkStart w:id="2165" w:name="_Toc53046236"/>
      <w:bookmarkStart w:id="2166" w:name="_Toc536782244"/>
      <w:bookmarkStart w:id="2167" w:name="_Toc5347302"/>
      <w:bookmarkStart w:id="2168" w:name="_Toc5363855"/>
      <w:bookmarkStart w:id="2169" w:name="_Toc5365076"/>
      <w:r>
        <w:rPr>
          <w:rStyle w:val="CharDivNo"/>
        </w:rPr>
        <w:t>Part 6</w:t>
      </w:r>
      <w:r>
        <w:t>—</w:t>
      </w:r>
      <w:r>
        <w:rPr>
          <w:rStyle w:val="CharDivText"/>
        </w:rPr>
        <w:t>Hearing procedures</w:t>
      </w:r>
      <w:bookmarkEnd w:id="2160"/>
      <w:bookmarkEnd w:id="2161"/>
      <w:bookmarkEnd w:id="2162"/>
      <w:bookmarkEnd w:id="2163"/>
      <w:bookmarkEnd w:id="2164"/>
      <w:bookmarkEnd w:id="2165"/>
      <w:bookmarkEnd w:id="2166"/>
      <w:bookmarkEnd w:id="2167"/>
      <w:bookmarkEnd w:id="2168"/>
      <w:bookmarkEnd w:id="2169"/>
    </w:p>
    <w:p>
      <w:pPr>
        <w:pStyle w:val="Footnoteheading"/>
      </w:pPr>
      <w:r>
        <w:tab/>
        <w:t>[Heading inserted: see SA Act No. 23 of 2017 s. 6 and WA Gazette 22 Dec 2017 p. 5984.]</w:t>
      </w:r>
    </w:p>
    <w:p>
      <w:pPr>
        <w:pStyle w:val="Heading5"/>
      </w:pPr>
      <w:bookmarkStart w:id="2170" w:name="_Toc53046237"/>
      <w:bookmarkStart w:id="2171" w:name="_Toc5365077"/>
      <w:r>
        <w:rPr>
          <w:rStyle w:val="CharSectno"/>
        </w:rPr>
        <w:t>216S</w:t>
      </w:r>
      <w:r>
        <w:t>.</w:t>
      </w:r>
      <w:r>
        <w:tab/>
        <w:t>Hearing procedures</w:t>
      </w:r>
      <w:bookmarkEnd w:id="2170"/>
      <w:bookmarkEnd w:id="217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Chapter 6 Part 6 applies to an arbitration under this Chapter—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as if—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reference in that Part to a dispute hearing were a reference to a hearing conducted by an arbitrator for the purposes of making an access determination under this Chapter;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reference in that Part to a party or parties were a reference to a party or the parties to an arbitration under this Chapter;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reference in that Part to the dispute resolution body were a reference to an arbitrator under this Chapter;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reference in that Part to an access dispute were a reference to an access dispute under this Chapter;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subject to the exclusion of sections 206 and 207, and subject to any other exclusion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subject to any modifications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with such other necessary alterations and modifications.</w:t>
      </w:r>
    </w:p>
    <w:p>
      <w:pPr>
        <w:pStyle w:val="Footnotesection"/>
      </w:pPr>
      <w:r>
        <w:tab/>
        <w:t>[Section 216S inserted: see SA Act No. 23 of 2017 s. 6 and WA Gazette 22 Dec 2017 p. 5984.]</w:t>
      </w:r>
    </w:p>
    <w:p>
      <w:pPr>
        <w:pStyle w:val="Heading3"/>
      </w:pPr>
      <w:bookmarkStart w:id="2172" w:name="_Toc52954544"/>
      <w:bookmarkStart w:id="2173" w:name="_Toc52955840"/>
      <w:bookmarkStart w:id="2174" w:name="_Toc52957339"/>
      <w:bookmarkStart w:id="2175" w:name="_Toc52958122"/>
      <w:bookmarkStart w:id="2176" w:name="_Toc53045455"/>
      <w:bookmarkStart w:id="2177" w:name="_Toc53046238"/>
      <w:bookmarkStart w:id="2178" w:name="_Toc536782246"/>
      <w:bookmarkStart w:id="2179" w:name="_Toc5347304"/>
      <w:bookmarkStart w:id="2180" w:name="_Toc5363857"/>
      <w:bookmarkStart w:id="2181" w:name="_Toc5365078"/>
      <w:r>
        <w:rPr>
          <w:rStyle w:val="CharDivNo"/>
        </w:rPr>
        <w:t>Part 7</w:t>
      </w:r>
      <w:r>
        <w:t>—</w:t>
      </w:r>
      <w:r>
        <w:rPr>
          <w:rStyle w:val="CharDivText"/>
        </w:rPr>
        <w:t>Miscellaneous matters</w:t>
      </w:r>
      <w:bookmarkEnd w:id="2172"/>
      <w:bookmarkEnd w:id="2173"/>
      <w:bookmarkEnd w:id="2174"/>
      <w:bookmarkEnd w:id="2175"/>
      <w:bookmarkEnd w:id="2176"/>
      <w:bookmarkEnd w:id="2177"/>
      <w:bookmarkEnd w:id="2178"/>
      <w:bookmarkEnd w:id="2179"/>
      <w:bookmarkEnd w:id="2180"/>
      <w:bookmarkEnd w:id="2181"/>
    </w:p>
    <w:p>
      <w:pPr>
        <w:pStyle w:val="Footnoteheading"/>
      </w:pPr>
      <w:r>
        <w:tab/>
        <w:t>[Heading inserted: see SA Act No. 23 of 2017 s. 6 and WA Gazette 22 Dec 2017 p. 5984.]</w:t>
      </w:r>
    </w:p>
    <w:p>
      <w:pPr>
        <w:pStyle w:val="Heading5"/>
      </w:pPr>
      <w:bookmarkStart w:id="2182" w:name="_Toc53046239"/>
      <w:bookmarkStart w:id="2183" w:name="_Toc5365079"/>
      <w:r>
        <w:rPr>
          <w:rStyle w:val="CharSectno"/>
        </w:rPr>
        <w:t>216T</w:t>
      </w:r>
      <w:r>
        <w:t>.</w:t>
      </w:r>
      <w:r>
        <w:tab/>
        <w:t>Correction of access determinations for clerical mistakes etc</w:t>
      </w:r>
      <w:bookmarkEnd w:id="2182"/>
      <w:bookmarkEnd w:id="218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Rules may make provision with respect to correcting the following in an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clerical mistake;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error arising from an accidental slip or omission;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material miscalculation of figures or a material mistake in the description of any person, thing or matter referred to in an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defect in form.</w:t>
      </w:r>
    </w:p>
    <w:p>
      <w:pPr>
        <w:pStyle w:val="Footnotesection"/>
      </w:pPr>
      <w:r>
        <w:tab/>
        <w:t>[Section 216T inserted: see SA Act No. 23 of 2017 s. 6 and WA Gazette 22 Dec 2017 p. 5984.]</w:t>
      </w:r>
    </w:p>
    <w:p>
      <w:pPr>
        <w:pStyle w:val="Heading5"/>
      </w:pPr>
      <w:bookmarkStart w:id="2184" w:name="_Toc53046240"/>
      <w:bookmarkStart w:id="2185" w:name="_Toc5365080"/>
      <w:r>
        <w:rPr>
          <w:rStyle w:val="CharSectno"/>
        </w:rPr>
        <w:t>216U</w:t>
      </w:r>
      <w:r>
        <w:t>.</w:t>
      </w:r>
      <w:r>
        <w:tab/>
        <w:t>Reservation of capacity during an access dispute</w:t>
      </w:r>
      <w:bookmarkEnd w:id="2184"/>
      <w:bookmarkEnd w:id="218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 service provider who is in an access dispute with a user must not, without the consent of the user, alter the rights that the user has to use the capacity of the non</w:t>
      </w:r>
      <w:r>
        <w:rPr>
          <w:color w:val="000000"/>
          <w:sz w:val="23"/>
          <w:szCs w:val="23"/>
        </w:rPr>
        <w:noBreakHyphen/>
        <w:t>scheme pipeline during the period of the dispute.</w:t>
      </w:r>
    </w:p>
    <w:p>
      <w:pPr>
        <w:pStyle w:val="Footnotesection"/>
      </w:pPr>
      <w:r>
        <w:tab/>
        <w:t>[Section 216U inserted: see SA Act No. 23 of 2017 s. 6 and WA Gazette 22 Dec 2017 p. 5984.]</w:t>
      </w:r>
    </w:p>
    <w:p>
      <w:pPr>
        <w:pStyle w:val="Heading5"/>
      </w:pPr>
      <w:bookmarkStart w:id="2186" w:name="_Toc53046241"/>
      <w:bookmarkStart w:id="2187" w:name="_Toc5365081"/>
      <w:r>
        <w:rPr>
          <w:rStyle w:val="CharSectno"/>
        </w:rPr>
        <w:t>216V</w:t>
      </w:r>
      <w:r>
        <w:t>.</w:t>
      </w:r>
      <w:r>
        <w:tab/>
        <w:t>Costs of arbitration</w:t>
      </w:r>
      <w:bookmarkEnd w:id="2186"/>
      <w:bookmarkEnd w:id="2187"/>
    </w:p>
    <w:p>
      <w:pPr>
        <w:keepLines/>
        <w:tabs>
          <w:tab w:val="center" w:pos="1191"/>
          <w:tab w:val="left" w:pos="1588"/>
        </w:tabs>
        <w:autoSpaceDE w:val="0"/>
        <w:autoSpaceDN w:val="0"/>
        <w:adjustRightInd w:val="0"/>
        <w:spacing w:before="120"/>
        <w:ind w:left="1588" w:hanging="794"/>
        <w:rPr>
          <w:color w:val="000000"/>
          <w:sz w:val="23"/>
          <w:szCs w:val="23"/>
        </w:rPr>
      </w:pPr>
      <w:bookmarkStart w:id="2188" w:name="id22e4cd07_6925_454f_94c4_72f206e63a"/>
      <w:r>
        <w:rPr>
          <w:color w:val="000000"/>
          <w:sz w:val="23"/>
          <w:szCs w:val="23"/>
        </w:rPr>
        <w:tab/>
        <w:t>(1)</w:t>
      </w:r>
      <w:r>
        <w:rPr>
          <w:color w:val="000000"/>
          <w:sz w:val="23"/>
          <w:szCs w:val="23"/>
        </w:rPr>
        <w:tab/>
        <w:t>Subject to this section, the costs of an arbitration under this Chapter (including costs associated with the arbitration process and the cost of the arbitrator) will be shared equally between the parties to the arbitration.</w:t>
      </w:r>
      <w:bookmarkEnd w:id="218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Rules may make provision with respect to the costs of an arbitration under this Chapter, including rules that provide for a different approach to allocating costs under subsection (1) in specified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Costs payable to an arbitrator are a debt due to the arbitrator and may be recovered by the arbitrator in a court of competent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in a preceding subsection, the parties to an arbitration will bear their own costs.</w:t>
      </w:r>
    </w:p>
    <w:p>
      <w:pPr>
        <w:pStyle w:val="Footnotesection"/>
      </w:pPr>
      <w:r>
        <w:tab/>
        <w:t>[Section 216V inserted: see SA Act No. 23 of 2017 s. 6 and WA Gazette 22 Dec 2017 p. 5984.]</w:t>
      </w:r>
    </w:p>
    <w:p>
      <w:pPr>
        <w:pStyle w:val="Heading2"/>
      </w:pPr>
      <w:bookmarkStart w:id="2189" w:name="_Toc52954548"/>
      <w:bookmarkStart w:id="2190" w:name="_Toc52955844"/>
      <w:bookmarkStart w:id="2191" w:name="_Toc52957343"/>
      <w:bookmarkStart w:id="2192" w:name="_Toc52958126"/>
      <w:bookmarkStart w:id="2193" w:name="_Toc53045459"/>
      <w:bookmarkStart w:id="2194" w:name="_Toc53046242"/>
      <w:bookmarkStart w:id="2195" w:name="_Toc536782250"/>
      <w:bookmarkStart w:id="2196" w:name="_Toc5347308"/>
      <w:bookmarkStart w:id="2197" w:name="_Toc5363861"/>
      <w:bookmarkStart w:id="2198" w:name="_Toc5365082"/>
      <w:r>
        <w:rPr>
          <w:rStyle w:val="CharPartNo"/>
        </w:rPr>
        <w:t>Chapter 7</w:t>
      </w:r>
      <w:r>
        <w:t xml:space="preserve"> — </w:t>
      </w:r>
      <w:r>
        <w:rPr>
          <w:rStyle w:val="CharPartText"/>
        </w:rPr>
        <w:t>The Natural Gas Services Bulletin Board</w:t>
      </w:r>
      <w:bookmarkEnd w:id="2189"/>
      <w:bookmarkEnd w:id="2190"/>
      <w:bookmarkEnd w:id="2191"/>
      <w:bookmarkEnd w:id="2192"/>
      <w:bookmarkEnd w:id="2193"/>
      <w:bookmarkEnd w:id="2194"/>
      <w:bookmarkEnd w:id="2066"/>
      <w:bookmarkEnd w:id="2067"/>
      <w:bookmarkEnd w:id="2195"/>
      <w:bookmarkEnd w:id="2196"/>
      <w:bookmarkEnd w:id="2197"/>
      <w:bookmarkEnd w:id="2198"/>
    </w:p>
    <w:p>
      <w:pPr>
        <w:pStyle w:val="Heading3"/>
      </w:pPr>
      <w:bookmarkStart w:id="2199" w:name="_Toc52954549"/>
      <w:bookmarkStart w:id="2200" w:name="_Toc52955845"/>
      <w:bookmarkStart w:id="2201" w:name="_Toc52957344"/>
      <w:bookmarkStart w:id="2202" w:name="_Toc52958127"/>
      <w:bookmarkStart w:id="2203" w:name="_Toc53045460"/>
      <w:bookmarkStart w:id="2204" w:name="_Toc53046243"/>
      <w:bookmarkStart w:id="2205" w:name="_Toc501634130"/>
      <w:bookmarkStart w:id="2206" w:name="_Toc501713026"/>
      <w:bookmarkStart w:id="2207" w:name="_Toc536782251"/>
      <w:bookmarkStart w:id="2208" w:name="_Toc5347309"/>
      <w:bookmarkStart w:id="2209" w:name="_Toc5363862"/>
      <w:bookmarkStart w:id="2210" w:name="_Toc5365083"/>
      <w:r>
        <w:rPr>
          <w:rStyle w:val="CharDivNo"/>
        </w:rPr>
        <w:t>Part 1</w:t>
      </w:r>
      <w:r>
        <w:t xml:space="preserve"> — </w:t>
      </w:r>
      <w:r>
        <w:rPr>
          <w:rStyle w:val="CharDivText"/>
        </w:rPr>
        <w:t>The Bulletin Board Operator</w:t>
      </w:r>
      <w:bookmarkEnd w:id="2199"/>
      <w:bookmarkEnd w:id="2200"/>
      <w:bookmarkEnd w:id="2201"/>
      <w:bookmarkEnd w:id="2202"/>
      <w:bookmarkEnd w:id="2203"/>
      <w:bookmarkEnd w:id="2204"/>
      <w:bookmarkEnd w:id="2205"/>
      <w:bookmarkEnd w:id="2206"/>
      <w:bookmarkEnd w:id="2207"/>
      <w:bookmarkEnd w:id="2208"/>
      <w:bookmarkEnd w:id="2209"/>
      <w:bookmarkEnd w:id="2210"/>
    </w:p>
    <w:p>
      <w:pPr>
        <w:pStyle w:val="Heading5"/>
      </w:pPr>
      <w:bookmarkStart w:id="2211" w:name="_Toc53046244"/>
      <w:bookmarkStart w:id="2212" w:name="_Toc5365084"/>
      <w:r>
        <w:rPr>
          <w:rStyle w:val="CharSectno"/>
        </w:rPr>
        <w:t>217</w:t>
      </w:r>
      <w:r>
        <w:t>.</w:t>
      </w:r>
      <w:r>
        <w:tab/>
        <w:t>The Bulletin Board operator</w:t>
      </w:r>
      <w:bookmarkEnd w:id="2211"/>
      <w:bookmarkEnd w:id="2212"/>
    </w:p>
    <w:p>
      <w:pPr>
        <w:keepLines/>
        <w:autoSpaceDE w:val="0"/>
        <w:autoSpaceDN w:val="0"/>
        <w:adjustRightInd w:val="0"/>
        <w:spacing w:before="120"/>
        <w:ind w:left="1588"/>
        <w:rPr>
          <w:color w:val="000000"/>
          <w:sz w:val="23"/>
          <w:szCs w:val="23"/>
        </w:rPr>
      </w:pPr>
      <w:r>
        <w:rPr>
          <w:color w:val="000000"/>
          <w:sz w:val="23"/>
          <w:szCs w:val="23"/>
        </w:rPr>
        <w:t>The Bulletin Board operator is the person prescribed by the Regulations as the Bulletin Board operator.</w:t>
      </w:r>
    </w:p>
    <w:p>
      <w:pPr>
        <w:pStyle w:val="Heading5"/>
      </w:pPr>
      <w:bookmarkStart w:id="2213" w:name="_Toc53046245"/>
      <w:bookmarkStart w:id="2214" w:name="_Toc5365085"/>
      <w:r>
        <w:rPr>
          <w:rStyle w:val="CharSectno"/>
        </w:rPr>
        <w:t>218</w:t>
      </w:r>
      <w:r>
        <w:t>.</w:t>
      </w:r>
      <w:r>
        <w:tab/>
        <w:t>Obligation to establish and maintain the Natural Gas Services Bulletin Board</w:t>
      </w:r>
      <w:bookmarkEnd w:id="2213"/>
      <w:bookmarkEnd w:id="221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first prescribed under section 217 must establish a website, to be known as the Natural Gas Services Bulletin Board, containing information of the kind specified in the Rules in relation to natural gas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Bulletin Board operator must maintain the Natural Gas Services Bulletin Board.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Bulletin Board operator may replace the website with another website containing information of the kind specified in the Rules in relation to natural gas services.</w:t>
      </w:r>
    </w:p>
    <w:p>
      <w:pPr>
        <w:pStyle w:val="Heading5"/>
      </w:pPr>
      <w:bookmarkStart w:id="2215" w:name="_Toc53046246"/>
      <w:bookmarkStart w:id="2216" w:name="_Toc5365086"/>
      <w:r>
        <w:rPr>
          <w:rStyle w:val="CharSectno"/>
        </w:rPr>
        <w:t>219</w:t>
      </w:r>
      <w:r>
        <w:t>.</w:t>
      </w:r>
      <w:r>
        <w:tab/>
        <w:t>Other functions of the Bulletin Board operator</w:t>
      </w:r>
      <w:bookmarkEnd w:id="2215"/>
      <w:bookmarkEnd w:id="2216"/>
    </w:p>
    <w:p>
      <w:pPr>
        <w:keepNext/>
        <w:keepLines/>
        <w:autoSpaceDE w:val="0"/>
        <w:autoSpaceDN w:val="0"/>
        <w:adjustRightInd w:val="0"/>
        <w:spacing w:before="120"/>
        <w:ind w:left="1588"/>
        <w:rPr>
          <w:color w:val="000000"/>
          <w:sz w:val="23"/>
          <w:szCs w:val="23"/>
        </w:rPr>
      </w:pPr>
      <w:r>
        <w:rPr>
          <w:color w:val="000000"/>
          <w:sz w:val="23"/>
          <w:szCs w:val="23"/>
        </w:rPr>
        <w:t>The Bulletin Board operator also has the following functions: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collect and collate Bulletin Board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collect and collate other information in relation to natural gas services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derive from information of the type mentioned in paragraphs (a) and (b) information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publish information on the Natural Gas Services Bulletin Board of the kinds that may or must be included on the Natural Gas Services Bulletin Board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manage information of the type mentioned in paragraphs (a), (b) and (c);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such other functions as are conferred on the Bulletin Board operator by this Law, the Rules or any other law prescribed by the Regulations for the purposes of this paragraph.</w:t>
      </w:r>
    </w:p>
    <w:p>
      <w:pPr>
        <w:pStyle w:val="Heading5"/>
      </w:pPr>
      <w:bookmarkStart w:id="2217" w:name="_Toc53046247"/>
      <w:bookmarkStart w:id="2218" w:name="_Toc5365087"/>
      <w:r>
        <w:rPr>
          <w:rStyle w:val="CharSectno"/>
        </w:rPr>
        <w:t>220</w:t>
      </w:r>
      <w:r>
        <w:t>.</w:t>
      </w:r>
      <w:r>
        <w:tab/>
        <w:t>Powers of the Bulletin Board operator</w:t>
      </w:r>
      <w:bookmarkEnd w:id="2217"/>
      <w:bookmarkEnd w:id="2218"/>
    </w:p>
    <w:p>
      <w:pPr>
        <w:keepLines/>
        <w:autoSpaceDE w:val="0"/>
        <w:autoSpaceDN w:val="0"/>
        <w:adjustRightInd w:val="0"/>
        <w:spacing w:before="120"/>
        <w:ind w:left="1588"/>
        <w:rPr>
          <w:color w:val="000000"/>
          <w:sz w:val="23"/>
          <w:szCs w:val="23"/>
        </w:rPr>
      </w:pPr>
      <w:r>
        <w:rPr>
          <w:color w:val="000000"/>
          <w:sz w:val="23"/>
          <w:szCs w:val="23"/>
        </w:rPr>
        <w:t>The Bulletin Board operator has the power to do all things necessary or convenient to be done for or in connection with the performance of its functions.</w:t>
      </w:r>
    </w:p>
    <w:p>
      <w:pPr>
        <w:pStyle w:val="Heading5"/>
      </w:pPr>
      <w:bookmarkStart w:id="2219" w:name="_Toc53046248"/>
      <w:bookmarkStart w:id="2220" w:name="_Toc5365088"/>
      <w:r>
        <w:rPr>
          <w:rStyle w:val="CharSectno"/>
        </w:rPr>
        <w:t>221</w:t>
      </w:r>
      <w:r>
        <w:t>.</w:t>
      </w:r>
      <w:r>
        <w:tab/>
        <w:t>Immunity of the Bulletin Board operator</w:t>
      </w:r>
      <w:bookmarkEnd w:id="2219"/>
      <w:bookmarkEnd w:id="222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or an officer or employee of the Bulletin Board operator does not incur any civil monetary liability for an act or omission in the performance or exercise, or purported performance or exercise, of a function or power of the Bulletin Board operator under this Law or the Rules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Bulletin Board operator may enter into an agreement with a person varying or excluding the operation of a provision of this section and, to the extent of that agreement, that provision does not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section does not apply to any liability of an officer or employee of a body corporate to the body corporate.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civil monetary liability</w:t>
      </w:r>
      <w:r>
        <w:rPr>
          <w:bCs/>
          <w:i/>
          <w:iCs/>
          <w:color w:val="000000"/>
          <w:sz w:val="23"/>
          <w:szCs w:val="23"/>
        </w:rPr>
        <w:t xml:space="preserve"> </w:t>
      </w:r>
      <w:r>
        <w:rPr>
          <w:color w:val="000000"/>
          <w:sz w:val="23"/>
          <w:szCs w:val="23"/>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5"/>
      </w:pPr>
      <w:bookmarkStart w:id="2221" w:name="_Toc53046249"/>
      <w:bookmarkStart w:id="2222" w:name="_Toc5365089"/>
      <w:r>
        <w:rPr>
          <w:rStyle w:val="CharSectno"/>
        </w:rPr>
        <w:t>222</w:t>
      </w:r>
      <w:r>
        <w:t>.</w:t>
      </w:r>
      <w:r>
        <w:tab/>
        <w:t>Fees for services provided</w:t>
      </w:r>
      <w:bookmarkEnd w:id="2221"/>
      <w:bookmarkEnd w:id="222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may charge a fee specified, or a fee calculated in accordance with a formula or methodology specified, in the Rules for access by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Natural Gas Services Bulletin Board;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Bulletin Board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fee must not be such as to amount to taxation.</w:t>
      </w:r>
    </w:p>
    <w:p>
      <w:pPr>
        <w:pStyle w:val="Heading3"/>
      </w:pPr>
      <w:bookmarkStart w:id="2223" w:name="_Toc52954556"/>
      <w:bookmarkStart w:id="2224" w:name="_Toc52955852"/>
      <w:bookmarkStart w:id="2225" w:name="_Toc52957351"/>
      <w:bookmarkStart w:id="2226" w:name="_Toc52958134"/>
      <w:bookmarkStart w:id="2227" w:name="_Toc53045467"/>
      <w:bookmarkStart w:id="2228" w:name="_Toc53046250"/>
      <w:bookmarkStart w:id="2229" w:name="_Toc501634137"/>
      <w:bookmarkStart w:id="2230" w:name="_Toc501713033"/>
      <w:bookmarkStart w:id="2231" w:name="_Toc536782258"/>
      <w:bookmarkStart w:id="2232" w:name="_Toc5347316"/>
      <w:bookmarkStart w:id="2233" w:name="_Toc5363869"/>
      <w:bookmarkStart w:id="2234" w:name="_Toc5365090"/>
      <w:r>
        <w:rPr>
          <w:rStyle w:val="CharDivNo"/>
        </w:rPr>
        <w:t>Part 2</w:t>
      </w:r>
      <w:r>
        <w:t xml:space="preserve"> — </w:t>
      </w:r>
      <w:r>
        <w:rPr>
          <w:rStyle w:val="CharDivText"/>
        </w:rPr>
        <w:t>Bulletin Board information</w:t>
      </w:r>
      <w:bookmarkEnd w:id="2223"/>
      <w:bookmarkEnd w:id="2224"/>
      <w:bookmarkEnd w:id="2225"/>
      <w:bookmarkEnd w:id="2226"/>
      <w:bookmarkEnd w:id="2227"/>
      <w:bookmarkEnd w:id="2228"/>
      <w:bookmarkEnd w:id="2229"/>
      <w:bookmarkEnd w:id="2230"/>
      <w:bookmarkEnd w:id="2231"/>
      <w:bookmarkEnd w:id="2232"/>
      <w:bookmarkEnd w:id="2233"/>
      <w:bookmarkEnd w:id="2234"/>
    </w:p>
    <w:p>
      <w:pPr>
        <w:pStyle w:val="Heading5"/>
      </w:pPr>
      <w:bookmarkStart w:id="2235" w:name="_Toc53046251"/>
      <w:bookmarkStart w:id="2236" w:name="_Toc5365091"/>
      <w:r>
        <w:rPr>
          <w:rStyle w:val="CharSectno"/>
        </w:rPr>
        <w:t>223</w:t>
      </w:r>
      <w:r>
        <w:t>.</w:t>
      </w:r>
      <w:r>
        <w:tab/>
        <w:t>Obligation to give information to the Bulletin Board operator</w:t>
      </w:r>
      <w:bookmarkEnd w:id="2235"/>
      <w:bookmarkEnd w:id="2236"/>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of the following kind who has possession or control of information in relation to natural gas services must give the Bulletin Board operator the information if the person is required to do so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gas market operator;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non scheme pipeline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producer;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storage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another person who is prescribed by the Regulations for the purposes of this paragraph.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information must be given to the Bulletin Board operator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(1) does not apply if the person is exempt under the Rules from giving the information.</w:t>
      </w:r>
    </w:p>
    <w:p>
      <w:pPr>
        <w:pStyle w:val="Heading5"/>
      </w:pPr>
      <w:bookmarkStart w:id="2237" w:name="_Toc53046252"/>
      <w:bookmarkStart w:id="2238" w:name="_Toc5365092"/>
      <w:r>
        <w:rPr>
          <w:rStyle w:val="CharSectno"/>
        </w:rPr>
        <w:t>224</w:t>
      </w:r>
      <w:r>
        <w:t>.</w:t>
      </w:r>
      <w:r>
        <w:tab/>
        <w:t>Person cannot rely on duty of confidence to avoid compliance with obligation</w:t>
      </w:r>
      <w:bookmarkEnd w:id="2237"/>
      <w:bookmarkEnd w:id="2238"/>
    </w:p>
    <w:p>
      <w:pPr>
        <w:keepLines/>
        <w:autoSpaceDE w:val="0"/>
        <w:autoSpaceDN w:val="0"/>
        <w:adjustRightInd w:val="0"/>
        <w:spacing w:before="120"/>
        <w:ind w:left="1588"/>
        <w:rPr>
          <w:color w:val="000000"/>
          <w:sz w:val="23"/>
          <w:szCs w:val="23"/>
        </w:rPr>
      </w:pPr>
      <w:r>
        <w:rPr>
          <w:color w:val="000000"/>
          <w:sz w:val="23"/>
          <w:szCs w:val="23"/>
        </w:rPr>
        <w:t>A person must not refuse to comply with the requirement in section 223(1) on the ground of any duty of confidence.</w:t>
      </w:r>
    </w:p>
    <w:p>
      <w:pPr>
        <w:pStyle w:val="Heading5"/>
      </w:pPr>
      <w:bookmarkStart w:id="2239" w:name="_Toc53046253"/>
      <w:bookmarkStart w:id="2240" w:name="_Toc5365093"/>
      <w:r>
        <w:rPr>
          <w:rStyle w:val="CharSectno"/>
        </w:rPr>
        <w:t>225</w:t>
      </w:r>
      <w:r>
        <w:t>.</w:t>
      </w:r>
      <w:r>
        <w:tab/>
        <w:t>Giving to Bulletin Board operator false and misleading information</w:t>
      </w:r>
      <w:bookmarkEnd w:id="2239"/>
      <w:bookmarkEnd w:id="2240"/>
    </w:p>
    <w:p>
      <w:pPr>
        <w:keepLines/>
        <w:autoSpaceDE w:val="0"/>
        <w:autoSpaceDN w:val="0"/>
        <w:adjustRightInd w:val="0"/>
        <w:spacing w:before="120"/>
        <w:ind w:left="1588"/>
        <w:rPr>
          <w:color w:val="000000"/>
          <w:sz w:val="23"/>
          <w:szCs w:val="23"/>
        </w:rPr>
      </w:pPr>
      <w:r>
        <w:rPr>
          <w:color w:val="000000"/>
          <w:sz w:val="23"/>
          <w:szCs w:val="23"/>
        </w:rPr>
        <w:t>A person must not give Bulletin Board information to the Bulletin Board operator that the person knows is false or misleading in a material particular.</w:t>
      </w:r>
    </w:p>
    <w:p>
      <w:pPr>
        <w:pStyle w:val="Heading5"/>
      </w:pPr>
      <w:bookmarkStart w:id="2241" w:name="_Toc53046254"/>
      <w:bookmarkStart w:id="2242" w:name="_Toc5365094"/>
      <w:r>
        <w:rPr>
          <w:rStyle w:val="CharSectno"/>
        </w:rPr>
        <w:t>226</w:t>
      </w:r>
      <w:r>
        <w:t>.</w:t>
      </w:r>
      <w:r>
        <w:tab/>
        <w:t>Immunity of persons giving information to the Bulletin Board operator</w:t>
      </w:r>
      <w:bookmarkEnd w:id="2241"/>
      <w:bookmarkEnd w:id="224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gives Bulletin Board information to the Bulletin Board operator does not incur any civil monetary liability for an act or omission in giving that information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mentioned in subsection (1) may enter into an agreement with another person varying or excluding the operation of a provision of this section and, to the extent of that agreement, that provision does not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civil monetary liability</w:t>
      </w:r>
      <w:r>
        <w:rPr>
          <w:bCs/>
          <w:i/>
          <w:iCs/>
          <w:color w:val="000000"/>
          <w:sz w:val="23"/>
          <w:szCs w:val="23"/>
        </w:rPr>
        <w:t xml:space="preserve"> </w:t>
      </w:r>
      <w:r>
        <w:rPr>
          <w:color w:val="000000"/>
          <w:sz w:val="23"/>
          <w:szCs w:val="23"/>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3"/>
      </w:pPr>
      <w:bookmarkStart w:id="2243" w:name="_Toc52954561"/>
      <w:bookmarkStart w:id="2244" w:name="_Toc52955857"/>
      <w:bookmarkStart w:id="2245" w:name="_Toc52957356"/>
      <w:bookmarkStart w:id="2246" w:name="_Toc52958139"/>
      <w:bookmarkStart w:id="2247" w:name="_Toc53045472"/>
      <w:bookmarkStart w:id="2248" w:name="_Toc53046255"/>
      <w:bookmarkStart w:id="2249" w:name="_Toc501634142"/>
      <w:bookmarkStart w:id="2250" w:name="_Toc501713038"/>
      <w:bookmarkStart w:id="2251" w:name="_Toc536782263"/>
      <w:bookmarkStart w:id="2252" w:name="_Toc5347321"/>
      <w:bookmarkStart w:id="2253" w:name="_Toc5363874"/>
      <w:bookmarkStart w:id="2254" w:name="_Toc5365095"/>
      <w:r>
        <w:rPr>
          <w:rStyle w:val="CharDivNo"/>
        </w:rPr>
        <w:t>Part 3</w:t>
      </w:r>
      <w:r>
        <w:t xml:space="preserve"> — </w:t>
      </w:r>
      <w:r>
        <w:rPr>
          <w:rStyle w:val="CharDivText"/>
        </w:rPr>
        <w:t>Protection of information</w:t>
      </w:r>
      <w:bookmarkEnd w:id="2243"/>
      <w:bookmarkEnd w:id="2244"/>
      <w:bookmarkEnd w:id="2245"/>
      <w:bookmarkEnd w:id="2246"/>
      <w:bookmarkEnd w:id="2247"/>
      <w:bookmarkEnd w:id="2248"/>
      <w:bookmarkEnd w:id="2249"/>
      <w:bookmarkEnd w:id="2250"/>
      <w:bookmarkEnd w:id="2251"/>
      <w:bookmarkEnd w:id="2252"/>
      <w:bookmarkEnd w:id="2253"/>
      <w:bookmarkEnd w:id="2254"/>
    </w:p>
    <w:p>
      <w:pPr>
        <w:pStyle w:val="Heading5"/>
      </w:pPr>
      <w:bookmarkStart w:id="2255" w:name="_Toc53046256"/>
      <w:bookmarkStart w:id="2256" w:name="_Toc5365096"/>
      <w:r>
        <w:rPr>
          <w:rStyle w:val="CharSectno"/>
        </w:rPr>
        <w:t>227</w:t>
      </w:r>
      <w:r>
        <w:t>.</w:t>
      </w:r>
      <w:r>
        <w:tab/>
        <w:t>Protection of information by the Bulletin Board operator</w:t>
      </w:r>
      <w:bookmarkEnd w:id="2255"/>
      <w:bookmarkEnd w:id="225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must not copy, record, use or disclose information that is Bulletin Board information, except for the purposes of exercising powers or performing functions as the Bulletin Board operator.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person ceases to be the Bulletin Board operator, the person must not afterwards copy, record, use or disclose information that is Bulletin Board information and that was disclosed to the person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(1) does not apply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Bulletin Board operator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information is also disclosed to the Bulletin Board operator—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circumstances other than those expressly permitted by the Rules.</w:t>
      </w:r>
    </w:p>
    <w:p>
      <w:pPr>
        <w:pStyle w:val="Heading5"/>
      </w:pPr>
      <w:bookmarkStart w:id="2257" w:name="_Toc53046257"/>
      <w:bookmarkStart w:id="2258" w:name="_Toc5365097"/>
      <w:r>
        <w:rPr>
          <w:rStyle w:val="CharSectno"/>
        </w:rPr>
        <w:t>228</w:t>
      </w:r>
      <w:r>
        <w:t>.</w:t>
      </w:r>
      <w:r>
        <w:tab/>
        <w:t>Protection of information by employees etc of the Bulletin Board operator</w:t>
      </w:r>
      <w:bookmarkEnd w:id="2257"/>
      <w:bookmarkEnd w:id="225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officer of the Bulletin Board operator;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employee of the Bulletin Board operator;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person performing work for or rendering services to the Bulletin Board operator otherwise than as an officer or employee,</w:t>
      </w:r>
    </w:p>
    <w:p>
      <w:pPr>
        <w:keepLines/>
        <w:autoSpaceDE w:val="0"/>
        <w:autoSpaceDN w:val="0"/>
        <w:adjustRightInd w:val="0"/>
        <w:spacing w:before="120"/>
        <w:ind w:left="1588"/>
        <w:rPr>
          <w:color w:val="000000"/>
          <w:sz w:val="23"/>
          <w:szCs w:val="23"/>
        </w:rPr>
      </w:pPr>
      <w:r>
        <w:rPr>
          <w:color w:val="000000"/>
          <w:sz w:val="23"/>
          <w:szCs w:val="23"/>
        </w:rPr>
        <w:t>must not copy, record, use or disclose information that is Bulletin Board information, except in that person’s capacity as a person who is exercising powers or performing functions, or assisting in the exercise of powers or performance of functions, for the Bulletin Board operator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information is Bulletin Board information; and</w:t>
      </w:r>
    </w:p>
    <w:p>
      <w:pPr>
        <w:keepLines/>
        <w:tabs>
          <w:tab w:val="center" w:pos="1985"/>
          <w:tab w:val="left" w:pos="2382"/>
        </w:tabs>
        <w:autoSpaceDE w:val="0"/>
        <w:autoSpaceDN w:val="0"/>
        <w:adjustRightInd w:val="0"/>
        <w:spacing w:before="80"/>
        <w:ind w:left="2382" w:hanging="794"/>
        <w:rPr>
          <w:color w:val="000000"/>
          <w:sz w:val="23"/>
          <w:szCs w:val="23"/>
        </w:rPr>
      </w:pPr>
      <w:r>
        <w:rPr>
          <w:color w:val="000000"/>
          <w:sz w:val="23"/>
          <w:szCs w:val="23"/>
        </w:rPr>
        <w:tab/>
        <w:t>(b)</w:t>
      </w:r>
      <w:r>
        <w:rPr>
          <w:color w:val="000000"/>
          <w:sz w:val="23"/>
          <w:szCs w:val="23"/>
        </w:rPr>
        <w:tab/>
        <w:t>the information is disclosed to a person in the person’s capacity 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officer of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employee of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person performing work for or rendering services to the Bulletin Board operator otherwise than as an officer or employee,</w:t>
      </w:r>
    </w:p>
    <w:p>
      <w:pPr>
        <w:keepLines/>
        <w:autoSpaceDE w:val="0"/>
        <w:autoSpaceDN w:val="0"/>
        <w:adjustRightInd w:val="0"/>
        <w:spacing w:before="120"/>
        <w:ind w:left="2382"/>
        <w:rPr>
          <w:color w:val="000000"/>
          <w:sz w:val="23"/>
          <w:szCs w:val="23"/>
        </w:rPr>
      </w:pPr>
      <w:r>
        <w:rPr>
          <w:color w:val="000000"/>
          <w:sz w:val="23"/>
          <w:szCs w:val="23"/>
        </w:rPr>
        <w:t>exercising powers or performing functions, or assisting in the exercise of powers or performance of functions, for the Bulletin Board operator;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1 of the following applies: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of an officer of the Bulletin Board operator—the person ceases to be an officer acting in that capacity;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an employee of the Bulletin Board operator—the person ceases to be an employee acting in that capacity;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in the case of a person performing work for or rendering services to the Bulletin Board operator otherwise than as an officer or employee—the person ceases to be a person of that kind acting in that capacity,</w:t>
      </w:r>
    </w:p>
    <w:p>
      <w:pPr>
        <w:keepLines/>
        <w:autoSpaceDE w:val="0"/>
        <w:autoSpaceDN w:val="0"/>
        <w:adjustRightInd w:val="0"/>
        <w:spacing w:before="120"/>
        <w:ind w:left="2382"/>
        <w:rPr>
          <w:color w:val="000000"/>
          <w:sz w:val="23"/>
          <w:szCs w:val="23"/>
        </w:rPr>
      </w:pPr>
      <w:r>
        <w:rPr>
          <w:color w:val="000000"/>
          <w:sz w:val="23"/>
          <w:szCs w:val="23"/>
        </w:rPr>
        <w:t>the person must not afterwards copy, record, use or disclose the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Subsections (1) and (2) do not apply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information is also disclosed to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circumstances other than those expressly permitted by the Rules.</w:t>
      </w:r>
    </w:p>
    <w:p>
      <w:pPr>
        <w:pStyle w:val="Heading2"/>
      </w:pPr>
      <w:bookmarkStart w:id="2259" w:name="_Toc52954564"/>
      <w:bookmarkStart w:id="2260" w:name="_Toc52955860"/>
      <w:bookmarkStart w:id="2261" w:name="_Toc52957359"/>
      <w:bookmarkStart w:id="2262" w:name="_Toc52958142"/>
      <w:bookmarkStart w:id="2263" w:name="_Toc53045475"/>
      <w:bookmarkStart w:id="2264" w:name="_Toc53046258"/>
      <w:bookmarkStart w:id="2265" w:name="_Toc501634145"/>
      <w:bookmarkStart w:id="2266" w:name="_Toc501713041"/>
      <w:bookmarkStart w:id="2267" w:name="_Toc536782266"/>
      <w:bookmarkStart w:id="2268" w:name="_Toc5347324"/>
      <w:bookmarkStart w:id="2269" w:name="_Toc5363877"/>
      <w:bookmarkStart w:id="2270" w:name="_Toc5365098"/>
      <w:r>
        <w:rPr>
          <w:rStyle w:val="CharPartNo"/>
        </w:rPr>
        <w:t>Chapter 8</w:t>
      </w:r>
      <w:r>
        <w:t xml:space="preserve"> — </w:t>
      </w:r>
      <w:r>
        <w:rPr>
          <w:rStyle w:val="CharPartText"/>
        </w:rPr>
        <w:t>Proceedings under the National Gas Law</w:t>
      </w:r>
      <w:bookmarkEnd w:id="2259"/>
      <w:bookmarkEnd w:id="2260"/>
      <w:bookmarkEnd w:id="2261"/>
      <w:bookmarkEnd w:id="2262"/>
      <w:bookmarkEnd w:id="2263"/>
      <w:bookmarkEnd w:id="2264"/>
      <w:bookmarkEnd w:id="2265"/>
      <w:bookmarkEnd w:id="2266"/>
      <w:bookmarkEnd w:id="2267"/>
      <w:bookmarkEnd w:id="2268"/>
      <w:bookmarkEnd w:id="2269"/>
      <w:bookmarkEnd w:id="2270"/>
    </w:p>
    <w:p>
      <w:pPr>
        <w:pStyle w:val="Heading3"/>
      </w:pPr>
      <w:bookmarkStart w:id="2271" w:name="_Toc52954565"/>
      <w:bookmarkStart w:id="2272" w:name="_Toc52955861"/>
      <w:bookmarkStart w:id="2273" w:name="_Toc52957360"/>
      <w:bookmarkStart w:id="2274" w:name="_Toc52958143"/>
      <w:bookmarkStart w:id="2275" w:name="_Toc53045476"/>
      <w:bookmarkStart w:id="2276" w:name="_Toc53046259"/>
      <w:bookmarkStart w:id="2277" w:name="_Toc501634146"/>
      <w:bookmarkStart w:id="2278" w:name="_Toc501713042"/>
      <w:bookmarkStart w:id="2279" w:name="_Toc536782267"/>
      <w:bookmarkStart w:id="2280" w:name="_Toc5347325"/>
      <w:bookmarkStart w:id="2281" w:name="_Toc5363878"/>
      <w:bookmarkStart w:id="2282" w:name="_Toc5365099"/>
      <w:r>
        <w:rPr>
          <w:rStyle w:val="CharDivNo"/>
        </w:rPr>
        <w:t>Part 1</w:t>
      </w:r>
      <w:r>
        <w:t xml:space="preserve"> — </w:t>
      </w:r>
      <w:r>
        <w:rPr>
          <w:rStyle w:val="CharDivText"/>
        </w:rPr>
        <w:t>Proceedings generally</w:t>
      </w:r>
      <w:bookmarkEnd w:id="2271"/>
      <w:bookmarkEnd w:id="2272"/>
      <w:bookmarkEnd w:id="2273"/>
      <w:bookmarkEnd w:id="2274"/>
      <w:bookmarkEnd w:id="2275"/>
      <w:bookmarkEnd w:id="2276"/>
      <w:bookmarkEnd w:id="2277"/>
      <w:bookmarkEnd w:id="2278"/>
      <w:bookmarkEnd w:id="2279"/>
      <w:bookmarkEnd w:id="2280"/>
      <w:bookmarkEnd w:id="2281"/>
      <w:bookmarkEnd w:id="2282"/>
    </w:p>
    <w:p>
      <w:pPr>
        <w:pStyle w:val="Heading5"/>
      </w:pPr>
      <w:bookmarkStart w:id="2283" w:name="_Toc53046260"/>
      <w:bookmarkStart w:id="2284" w:name="_Toc5365100"/>
      <w:r>
        <w:rPr>
          <w:rStyle w:val="CharSectno"/>
        </w:rPr>
        <w:t>229</w:t>
      </w:r>
      <w:r>
        <w:t>.</w:t>
      </w:r>
      <w:r>
        <w:tab/>
        <w:t>Instituting civil proceedings under this Law</w:t>
      </w:r>
      <w:bookmarkEnd w:id="2283"/>
      <w:bookmarkEnd w:id="228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Proceedings may not be instituted in a court in respect of a breach of a provision of this Law, the Regulations or Rules that is not an offence provision by any person except as provided for in this Chapter.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in accordance with Chapter 8 Part 2, institute civil proceedings in respect of a breach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the Regulations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provision of the Rules (including a provision that is a civil penalty provision or a conduct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other than the AER may, in accordance with Chapter 8 Part 2, institute civil proceedings in respect of a breach of a conduct provision.</w:t>
      </w:r>
    </w:p>
    <w:p>
      <w:pPr>
        <w:pStyle w:val="Heading5"/>
      </w:pPr>
      <w:bookmarkStart w:id="2285" w:name="_Toc53046261"/>
      <w:bookmarkStart w:id="2286" w:name="_Toc5365101"/>
      <w:r>
        <w:rPr>
          <w:rStyle w:val="CharSectno"/>
        </w:rPr>
        <w:t>230</w:t>
      </w:r>
      <w:r>
        <w:t>.</w:t>
      </w:r>
      <w:r>
        <w:tab/>
        <w:t>Time limit within which proceedings may be instituted</w:t>
      </w:r>
      <w:bookmarkEnd w:id="2285"/>
      <w:bookmarkEnd w:id="228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only institute a proceeding for a breach, by a person, of a provision of this Law, the Regulations or the Rules that is not an offence provision within 6 years after the date on which the breach occurred.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other than the AER, may only institute a proceeding for a breach of a conduct provision by another person within 6 years after the date on which the breach occurred.</w:t>
      </w:r>
    </w:p>
    <w:p>
      <w:pPr>
        <w:pStyle w:val="Heading3"/>
      </w:pPr>
      <w:bookmarkStart w:id="2287" w:name="_Toc52954568"/>
      <w:bookmarkStart w:id="2288" w:name="_Toc52955864"/>
      <w:bookmarkStart w:id="2289" w:name="_Toc52957363"/>
      <w:bookmarkStart w:id="2290" w:name="_Toc52958146"/>
      <w:bookmarkStart w:id="2291" w:name="_Toc53045479"/>
      <w:bookmarkStart w:id="2292" w:name="_Toc53046262"/>
      <w:bookmarkStart w:id="2293" w:name="_Toc501634149"/>
      <w:bookmarkStart w:id="2294" w:name="_Toc501713045"/>
      <w:bookmarkStart w:id="2295" w:name="_Toc536782270"/>
      <w:bookmarkStart w:id="2296" w:name="_Toc5347328"/>
      <w:bookmarkStart w:id="2297" w:name="_Toc5363881"/>
      <w:bookmarkStart w:id="2298" w:name="_Toc5365102"/>
      <w:r>
        <w:rPr>
          <w:rStyle w:val="CharDivNo"/>
        </w:rPr>
        <w:t>Part 2</w:t>
      </w:r>
      <w:r>
        <w:t xml:space="preserve"> — </w:t>
      </w:r>
      <w:r>
        <w:rPr>
          <w:rStyle w:val="CharDivText"/>
        </w:rPr>
        <w:t>Proceedings for breaches of this Law, Regulations or the Rules</w:t>
      </w:r>
      <w:bookmarkEnd w:id="2287"/>
      <w:bookmarkEnd w:id="2288"/>
      <w:bookmarkEnd w:id="2289"/>
      <w:bookmarkEnd w:id="2290"/>
      <w:bookmarkEnd w:id="2291"/>
      <w:bookmarkEnd w:id="2292"/>
      <w:bookmarkEnd w:id="2293"/>
      <w:bookmarkEnd w:id="2294"/>
      <w:bookmarkEnd w:id="2295"/>
      <w:bookmarkEnd w:id="2296"/>
      <w:bookmarkEnd w:id="2297"/>
      <w:bookmarkEnd w:id="2298"/>
    </w:p>
    <w:p>
      <w:pPr>
        <w:pStyle w:val="Heading5"/>
      </w:pPr>
      <w:bookmarkStart w:id="2299" w:name="_Toc53046263"/>
      <w:bookmarkStart w:id="2300" w:name="_Toc5365103"/>
      <w:r>
        <w:rPr>
          <w:rStyle w:val="CharSectno"/>
        </w:rPr>
        <w:t>231</w:t>
      </w:r>
      <w:r>
        <w:t>.</w:t>
      </w:r>
      <w:r>
        <w:tab/>
        <w:t>AER proceedings for breaches of this Law, Regulations or the Rules that are not offences</w:t>
      </w:r>
      <w:bookmarkEnd w:id="2299"/>
      <w:bookmarkEnd w:id="230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Court may make an order, on application by the AER on behalf of the Commonwealth, declaring that a person is in breach of a provision of this Law, the Regulations or the Rules that is not an offence provision.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A Supreme Court of a participating jurisdiction that is a State may hear an application by the AER under subsection (1) by operation of section 39(2) of the </w:t>
      </w:r>
      <w:r>
        <w:rPr>
          <w:i/>
          <w:iCs/>
          <w:color w:val="000000"/>
          <w:sz w:val="20"/>
        </w:rPr>
        <w:t>Judiciary Act 1903</w:t>
      </w:r>
      <w:r>
        <w:rPr>
          <w:color w:val="000000"/>
          <w:sz w:val="20"/>
        </w:rPr>
        <w:t xml:space="preserve"> of the Commonwealth.</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When subsection (1)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order declares a person to be in breach of a provision of this Law the Regulations or the Rules that is not an offence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that the person pay a civil penalty determined in accordance with this Law, the Regulations and the Rules if the breach is a breach of a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that the person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order that the person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 order that the person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person has engaged, is engaging or is proposing to engage in any conduct in breach of a provision of this Law, the Regulations or the Rules that is not an offence provision, the Court may, on application by the AER on behalf of the Commonwealth, grant an injunction—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restraining the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in the Court’s opinion, it is desirable to do so—requiring the person to do something.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(3A)</w:t>
      </w:r>
      <w:r>
        <w:rPr>
          <w:color w:val="000000"/>
          <w:sz w:val="23"/>
          <w:szCs w:val="23"/>
        </w:rPr>
        <w:tab/>
        <w:t>When subsection (3)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engages in conduct of that kind.</w:t>
      </w:r>
    </w:p>
    <w:p>
      <w:pPr>
        <w:pStyle w:val="Footnotesection"/>
      </w:pPr>
      <w:r>
        <w:tab/>
        <w:t>[Section 231 modified: WA Act Sch. 1 cl. 10.]</w:t>
      </w:r>
    </w:p>
    <w:p>
      <w:pPr>
        <w:pStyle w:val="Heading5"/>
      </w:pPr>
      <w:bookmarkStart w:id="2301" w:name="_Toc53046264"/>
      <w:bookmarkStart w:id="2302" w:name="_Toc5365104"/>
      <w:r>
        <w:rPr>
          <w:rStyle w:val="CharSectno"/>
        </w:rPr>
        <w:t>232</w:t>
      </w:r>
      <w:r>
        <w:t>.</w:t>
      </w:r>
      <w:r>
        <w:tab/>
        <w:t>Proceedings for declaration that a person is in breach of a conduct provision</w:t>
      </w:r>
      <w:bookmarkEnd w:id="2301"/>
      <w:bookmarkEnd w:id="230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Court may make an order, on application by a person other than the AER, declaring that another person is in breach of a conduct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order declares a person to be in breach of a conduct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that the person in breach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that the person in breach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order that the person in breach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person has engaged, is engaging or is proposing to engage in any conduct in breach of a conduct provision, the Court may, on application by another person (other than the AER), grant an injunction—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restraining the first mentioned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in the Court’s opinion, it is desirable to do so—requiring the first mentioned person to do something.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in conduct of that kind.</w:t>
      </w:r>
    </w:p>
    <w:p>
      <w:pPr>
        <w:pStyle w:val="Heading5"/>
      </w:pPr>
      <w:bookmarkStart w:id="2303" w:name="_Toc53046265"/>
      <w:bookmarkStart w:id="2304" w:name="_Toc5365105"/>
      <w:r>
        <w:rPr>
          <w:rStyle w:val="CharSectno"/>
        </w:rPr>
        <w:t>233</w:t>
      </w:r>
      <w:r>
        <w:t>.</w:t>
      </w:r>
      <w:r>
        <w:tab/>
        <w:t>Actions for damages by persons for breach of conduct provision</w:t>
      </w:r>
      <w:bookmarkEnd w:id="2303"/>
      <w:bookmarkEnd w:id="2304"/>
    </w:p>
    <w:p>
      <w:pPr>
        <w:keepLines/>
        <w:autoSpaceDE w:val="0"/>
        <w:autoSpaceDN w:val="0"/>
        <w:adjustRightInd w:val="0"/>
        <w:spacing w:before="120"/>
        <w:ind w:left="1588"/>
        <w:rPr>
          <w:color w:val="000000"/>
          <w:sz w:val="23"/>
          <w:szCs w:val="23"/>
        </w:rPr>
      </w:pPr>
      <w:r>
        <w:rPr>
          <w:color w:val="000000"/>
          <w:sz w:val="23"/>
          <w:szCs w:val="23"/>
        </w:rPr>
        <w:t>A person other than the AER who suffers loss or damage by conduct of another person that was done in breach of a conduct provision may recover the amount of the loss or damage by action against that other person in a court of competent jurisdiction.</w:t>
      </w:r>
    </w:p>
    <w:p>
      <w:pPr>
        <w:pStyle w:val="Heading3"/>
      </w:pPr>
      <w:bookmarkStart w:id="2305" w:name="_Toc52954572"/>
      <w:bookmarkStart w:id="2306" w:name="_Toc52955868"/>
      <w:bookmarkStart w:id="2307" w:name="_Toc52957367"/>
      <w:bookmarkStart w:id="2308" w:name="_Toc52958150"/>
      <w:bookmarkStart w:id="2309" w:name="_Toc53045483"/>
      <w:bookmarkStart w:id="2310" w:name="_Toc53046266"/>
      <w:bookmarkStart w:id="2311" w:name="_Toc501634153"/>
      <w:bookmarkStart w:id="2312" w:name="_Toc501713049"/>
      <w:bookmarkStart w:id="2313" w:name="_Toc536782274"/>
      <w:bookmarkStart w:id="2314" w:name="_Toc5347332"/>
      <w:bookmarkStart w:id="2315" w:name="_Toc5363885"/>
      <w:bookmarkStart w:id="2316" w:name="_Toc5365106"/>
      <w:r>
        <w:rPr>
          <w:rStyle w:val="CharDivNo"/>
        </w:rPr>
        <w:t>Part 3</w:t>
      </w:r>
      <w:r>
        <w:t xml:space="preserve"> — </w:t>
      </w:r>
      <w:r>
        <w:rPr>
          <w:rStyle w:val="CharDivText"/>
        </w:rPr>
        <w:t>Matters relating to breaches of this Law, the Regulations or the Rules</w:t>
      </w:r>
      <w:bookmarkEnd w:id="2305"/>
      <w:bookmarkEnd w:id="2306"/>
      <w:bookmarkEnd w:id="2307"/>
      <w:bookmarkEnd w:id="2308"/>
      <w:bookmarkEnd w:id="2309"/>
      <w:bookmarkEnd w:id="2310"/>
      <w:bookmarkEnd w:id="2311"/>
      <w:bookmarkEnd w:id="2312"/>
      <w:bookmarkEnd w:id="2313"/>
      <w:bookmarkEnd w:id="2314"/>
      <w:bookmarkEnd w:id="2315"/>
      <w:bookmarkEnd w:id="2316"/>
    </w:p>
    <w:p>
      <w:pPr>
        <w:pStyle w:val="Heading5"/>
        <w:keepNext w:val="0"/>
        <w:keepLines w:val="0"/>
      </w:pPr>
      <w:bookmarkStart w:id="2317" w:name="_Toc53046267"/>
      <w:bookmarkStart w:id="2318" w:name="_Toc5365107"/>
      <w:r>
        <w:rPr>
          <w:rStyle w:val="CharSectno"/>
        </w:rPr>
        <w:t>234</w:t>
      </w:r>
      <w:r>
        <w:t>.</w:t>
      </w:r>
      <w:r>
        <w:tab/>
        <w:t>Matters for which there must be regard in determining amount of civil penalty</w:t>
      </w:r>
      <w:bookmarkEnd w:id="2317"/>
      <w:bookmarkEnd w:id="2318"/>
    </w:p>
    <w:p>
      <w:pPr>
        <w:autoSpaceDE w:val="0"/>
        <w:autoSpaceDN w:val="0"/>
        <w:adjustRightInd w:val="0"/>
        <w:spacing w:before="120"/>
        <w:ind w:left="1588"/>
        <w:rPr>
          <w:color w:val="000000"/>
          <w:sz w:val="23"/>
          <w:szCs w:val="23"/>
        </w:rPr>
      </w:pPr>
      <w:r>
        <w:rPr>
          <w:color w:val="000000"/>
          <w:sz w:val="23"/>
          <w:szCs w:val="23"/>
        </w:rPr>
        <w:t>Every civil penalty ordered to be paid by a person declared to be in breach of a provision of this Law, the Regulations or the Rules must be determined having regard to all relevant matters, including—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nature and extent of the breach;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nature and extent of any loss or damage suffered as a result of the breach;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circumstances in which the breach took place;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the person has engaged in any similar conduct and been found to be in breach of a provision of this Law, the Regulations or the Rules in respect of that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service provider had in place a compliance program approved by the AER or required under the Rules, and if so, whether the service provider has been complying with that program.</w:t>
      </w:r>
    </w:p>
    <w:p>
      <w:pPr>
        <w:pStyle w:val="Heading5"/>
      </w:pPr>
      <w:bookmarkStart w:id="2319" w:name="_Toc53046268"/>
      <w:bookmarkStart w:id="2320" w:name="_Toc5365108"/>
      <w:r>
        <w:rPr>
          <w:rStyle w:val="CharSectno"/>
        </w:rPr>
        <w:t>235</w:t>
      </w:r>
      <w:r>
        <w:t>.</w:t>
      </w:r>
      <w:r>
        <w:tab/>
        <w:t>Breach of a civil penalty provision is not an offence</w:t>
      </w:r>
      <w:bookmarkEnd w:id="2319"/>
      <w:bookmarkEnd w:id="2320"/>
    </w:p>
    <w:p>
      <w:pPr>
        <w:keepLines/>
        <w:autoSpaceDE w:val="0"/>
        <w:autoSpaceDN w:val="0"/>
        <w:adjustRightInd w:val="0"/>
        <w:spacing w:before="120"/>
        <w:ind w:left="1588"/>
        <w:rPr>
          <w:color w:val="000000"/>
          <w:sz w:val="23"/>
          <w:szCs w:val="23"/>
        </w:rPr>
      </w:pPr>
      <w:r>
        <w:rPr>
          <w:color w:val="000000"/>
          <w:sz w:val="23"/>
          <w:szCs w:val="23"/>
        </w:rPr>
        <w:t>A breach of a civil penalty provision is not an offence.</w:t>
      </w:r>
    </w:p>
    <w:p>
      <w:pPr>
        <w:pStyle w:val="Heading5"/>
      </w:pPr>
      <w:bookmarkStart w:id="2321" w:name="_Toc53046269"/>
      <w:bookmarkStart w:id="2322" w:name="_Toc5365109"/>
      <w:r>
        <w:rPr>
          <w:rStyle w:val="CharSectno"/>
        </w:rPr>
        <w:t>236</w:t>
      </w:r>
      <w:r>
        <w:t>.</w:t>
      </w:r>
      <w:r>
        <w:tab/>
        <w:t>Breaches of civil penalty provisions involving continuing failure</w:t>
      </w:r>
      <w:bookmarkEnd w:id="2321"/>
      <w:bookmarkEnd w:id="2322"/>
    </w:p>
    <w:p>
      <w:pPr>
        <w:keepLines/>
        <w:autoSpaceDE w:val="0"/>
        <w:autoSpaceDN w:val="0"/>
        <w:adjustRightInd w:val="0"/>
        <w:spacing w:before="120"/>
        <w:ind w:left="1588"/>
        <w:rPr>
          <w:color w:val="000000"/>
          <w:sz w:val="23"/>
          <w:szCs w:val="23"/>
        </w:rPr>
      </w:pPr>
      <w:r>
        <w:rPr>
          <w:color w:val="000000"/>
          <w:sz w:val="23"/>
          <w:szCs w:val="23"/>
        </w:rPr>
        <w:t>For the purpose of determining the civil penalty for a breach of a civil penalty provision, if the breach consists of a failure to do something that is required to be done, the breach is to be regarded as continuing until the act is done despite the fact that any period within which, or time before which, the act is required to be done has expired or passed.</w:t>
      </w:r>
    </w:p>
    <w:p>
      <w:pPr>
        <w:pStyle w:val="Heading5"/>
      </w:pPr>
      <w:bookmarkStart w:id="2323" w:name="_Toc53046270"/>
      <w:bookmarkStart w:id="2324" w:name="_Toc5365110"/>
      <w:r>
        <w:rPr>
          <w:rStyle w:val="CharSectno"/>
        </w:rPr>
        <w:t>237</w:t>
      </w:r>
      <w:r>
        <w:t>.</w:t>
      </w:r>
      <w:r>
        <w:tab/>
        <w:t>Conduct in breach of more than 1 civil penalty provision</w:t>
      </w:r>
      <w:bookmarkEnd w:id="2323"/>
      <w:bookmarkEnd w:id="232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conduct of a person constitutes a breach of 2 or more civil penalty provisions, proceedings may be instituted under this Law against the person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person is not liable to more than 1 civil penalty under this Law in respect of the same conduct.</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Clause 49 of Schedule 2 to this Law sets out further provisions in relation to double jeopardy.</w:t>
      </w:r>
    </w:p>
    <w:p>
      <w:pPr>
        <w:pStyle w:val="Heading5"/>
      </w:pPr>
      <w:bookmarkStart w:id="2325" w:name="_Toc53046271"/>
      <w:bookmarkStart w:id="2326" w:name="_Toc5365111"/>
      <w:r>
        <w:rPr>
          <w:rStyle w:val="CharSectno"/>
        </w:rPr>
        <w:t>238</w:t>
      </w:r>
      <w:r>
        <w:t>.</w:t>
      </w:r>
      <w:r>
        <w:tab/>
        <w:t>Persons involved in breach of civil penalty provision or conduct provision</w:t>
      </w:r>
      <w:bookmarkEnd w:id="2325"/>
      <w:bookmarkEnd w:id="232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aid, abet, counsel or procure a breach of a civil penalty provision or conduct provision by another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in any way directly or indirectly knowingly concerned in, or party to, a breach of a civil penalty provision or conduct provision by another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Law applies to a person who breaches subsection (1) in relation to a civil penalty provision or conduct provision as if the person were a person who has breached the civil penalty provision or conduct provision.</w:t>
      </w:r>
    </w:p>
    <w:p>
      <w:pPr>
        <w:pStyle w:val="Heading5"/>
      </w:pPr>
      <w:bookmarkStart w:id="2327" w:name="_Toc53046272"/>
      <w:bookmarkStart w:id="2328" w:name="_Toc5365112"/>
      <w:r>
        <w:rPr>
          <w:rStyle w:val="CharSectno"/>
        </w:rPr>
        <w:t>239</w:t>
      </w:r>
      <w:r>
        <w:t>.</w:t>
      </w:r>
      <w:r>
        <w:tab/>
        <w:t>Attempt to breach a civil penalty provision</w:t>
      </w:r>
      <w:bookmarkEnd w:id="2327"/>
      <w:bookmarkEnd w:id="2328"/>
    </w:p>
    <w:p>
      <w:pPr>
        <w:keepLines/>
        <w:autoSpaceDE w:val="0"/>
        <w:autoSpaceDN w:val="0"/>
        <w:adjustRightInd w:val="0"/>
        <w:spacing w:before="120"/>
        <w:ind w:left="1588"/>
        <w:rPr>
          <w:color w:val="000000"/>
          <w:sz w:val="23"/>
          <w:szCs w:val="23"/>
        </w:rPr>
      </w:pPr>
      <w:r>
        <w:rPr>
          <w:color w:val="000000"/>
          <w:sz w:val="23"/>
          <w:szCs w:val="23"/>
        </w:rPr>
        <w:t>A person who attempts to commit a breach of a civil penalty provision commits a breach of that provision.</w:t>
      </w:r>
    </w:p>
    <w:p>
      <w:pPr>
        <w:pStyle w:val="Heading5"/>
      </w:pPr>
      <w:bookmarkStart w:id="2329" w:name="_Toc53046273"/>
      <w:bookmarkStart w:id="2330" w:name="_Toc5365113"/>
      <w:r>
        <w:rPr>
          <w:rStyle w:val="CharSectno"/>
        </w:rPr>
        <w:t>240</w:t>
      </w:r>
      <w:r>
        <w:t>.</w:t>
      </w:r>
      <w:r>
        <w:tab/>
        <w:t>Civil penalties payable to the Commonwealth</w:t>
      </w:r>
      <w:bookmarkEnd w:id="2329"/>
      <w:bookmarkEnd w:id="2330"/>
    </w:p>
    <w:p>
      <w:pPr>
        <w:keepLines/>
        <w:autoSpaceDE w:val="0"/>
        <w:autoSpaceDN w:val="0"/>
        <w:adjustRightInd w:val="0"/>
        <w:spacing w:before="120"/>
        <w:ind w:left="1588"/>
        <w:rPr>
          <w:color w:val="000000"/>
          <w:sz w:val="23"/>
          <w:szCs w:val="23"/>
        </w:rPr>
      </w:pPr>
      <w:r>
        <w:rPr>
          <w:color w:val="000000"/>
          <w:sz w:val="23"/>
          <w:szCs w:val="23"/>
        </w:rPr>
        <w:t>If a person is ordered to pay a civil penalty, the penalty is payable to the State of Western Australia except if the order is made on an application by the AER on behalf of the Commonwealth, in which case it is payable to the Commonwealth.</w:t>
      </w:r>
    </w:p>
    <w:p>
      <w:pPr>
        <w:pStyle w:val="Footnotesection"/>
      </w:pPr>
      <w:r>
        <w:tab/>
        <w:t>[Section 240 modified: WA Act Sch. 1 cl. 11.]</w:t>
      </w:r>
    </w:p>
    <w:p>
      <w:pPr>
        <w:pStyle w:val="Heading3"/>
      </w:pPr>
      <w:bookmarkStart w:id="2331" w:name="_Toc52954580"/>
      <w:bookmarkStart w:id="2332" w:name="_Toc52955876"/>
      <w:bookmarkStart w:id="2333" w:name="_Toc52957375"/>
      <w:bookmarkStart w:id="2334" w:name="_Toc52958158"/>
      <w:bookmarkStart w:id="2335" w:name="_Toc53045491"/>
      <w:bookmarkStart w:id="2336" w:name="_Toc53046274"/>
      <w:bookmarkStart w:id="2337" w:name="_Toc501634161"/>
      <w:bookmarkStart w:id="2338" w:name="_Toc501713057"/>
      <w:bookmarkStart w:id="2339" w:name="_Toc536782282"/>
      <w:bookmarkStart w:id="2340" w:name="_Toc5347340"/>
      <w:bookmarkStart w:id="2341" w:name="_Toc5363893"/>
      <w:bookmarkStart w:id="2342" w:name="_Toc5365114"/>
      <w:r>
        <w:rPr>
          <w:rStyle w:val="CharDivNo"/>
        </w:rPr>
        <w:t>Part 4</w:t>
      </w:r>
      <w:r>
        <w:t xml:space="preserve"> — </w:t>
      </w:r>
      <w:r>
        <w:rPr>
          <w:rStyle w:val="CharDivText"/>
        </w:rPr>
        <w:t>Judicial review of decisions under this Law, the Regulations and the Rules</w:t>
      </w:r>
      <w:bookmarkEnd w:id="2331"/>
      <w:bookmarkEnd w:id="2332"/>
      <w:bookmarkEnd w:id="2333"/>
      <w:bookmarkEnd w:id="2334"/>
      <w:bookmarkEnd w:id="2335"/>
      <w:bookmarkEnd w:id="2336"/>
      <w:bookmarkEnd w:id="2337"/>
      <w:bookmarkEnd w:id="2338"/>
      <w:bookmarkEnd w:id="2339"/>
      <w:bookmarkEnd w:id="2340"/>
      <w:bookmarkEnd w:id="2341"/>
      <w:bookmarkEnd w:id="2342"/>
    </w:p>
    <w:p>
      <w:pPr>
        <w:pStyle w:val="Heading5"/>
      </w:pPr>
      <w:bookmarkStart w:id="2343" w:name="_Toc53046275"/>
      <w:bookmarkStart w:id="2344" w:name="_Toc5365115"/>
      <w:r>
        <w:rPr>
          <w:rStyle w:val="CharSectno"/>
        </w:rPr>
        <w:t>241</w:t>
      </w:r>
      <w:r>
        <w:t>.</w:t>
      </w:r>
      <w:r>
        <w:tab/>
        <w:t>Definition</w:t>
      </w:r>
      <w:bookmarkEnd w:id="2343"/>
      <w:bookmarkEnd w:id="2344"/>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person aggrieved</w:t>
      </w:r>
      <w:r>
        <w:rPr>
          <w:bCs/>
          <w:i/>
          <w:iCs/>
          <w:color w:val="000000"/>
          <w:sz w:val="23"/>
          <w:szCs w:val="23"/>
        </w:rPr>
        <w:t xml:space="preserve"> </w:t>
      </w:r>
      <w:r>
        <w:rPr>
          <w:color w:val="000000"/>
          <w:sz w:val="23"/>
          <w:szCs w:val="23"/>
        </w:rPr>
        <w:t>includes a person whose interests are adversely affected.</w:t>
      </w:r>
    </w:p>
    <w:p>
      <w:pPr>
        <w:pStyle w:val="Heading5"/>
      </w:pPr>
      <w:bookmarkStart w:id="2345" w:name="_Toc53046276"/>
      <w:bookmarkStart w:id="2346" w:name="_Toc5365116"/>
      <w:r>
        <w:rPr>
          <w:rStyle w:val="CharSectno"/>
        </w:rPr>
        <w:t>242</w:t>
      </w:r>
      <w:r>
        <w:t>.</w:t>
      </w:r>
      <w:r>
        <w:tab/>
        <w:t>Applications for judicial review of decisions of the AEMC</w:t>
      </w:r>
      <w:bookmarkEnd w:id="2345"/>
      <w:bookmarkEnd w:id="234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aggrieved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or determination of the AEMC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failure by the AEMC to make a decision or determination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conduct engaged in, or proposed to be engaged in, by the AEMC for the purpose of making a decision or determination under this Law, the Regulations or the Rules,</w:t>
      </w:r>
    </w:p>
    <w:p>
      <w:pPr>
        <w:keepLines/>
        <w:autoSpaceDE w:val="0"/>
        <w:autoSpaceDN w:val="0"/>
        <w:adjustRightInd w:val="0"/>
        <w:spacing w:before="120"/>
        <w:ind w:left="1588"/>
        <w:rPr>
          <w:color w:val="000000"/>
          <w:sz w:val="23"/>
          <w:szCs w:val="23"/>
        </w:rPr>
      </w:pPr>
      <w:r>
        <w:rPr>
          <w:color w:val="000000"/>
          <w:sz w:val="23"/>
          <w:szCs w:val="23"/>
        </w:rPr>
        <w:t>may apply to the Court for judicial review of the decision or determination, failure or conduct or proposed conduct.</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Commonwealth Minister, NCC and AER are subject to judicial review under the </w:t>
      </w:r>
      <w:r>
        <w:rPr>
          <w:i/>
          <w:iCs/>
          <w:color w:val="000000"/>
          <w:sz w:val="20"/>
        </w:rPr>
        <w:t>Administrative Decisions (Judicial Review) Act 1977</w:t>
      </w:r>
      <w:r>
        <w:rPr>
          <w:color w:val="000000"/>
          <w:sz w:val="20"/>
        </w:rPr>
        <w:t xml:space="preserve"> of the Commonwealth.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5"/>
      </w:pPr>
      <w:bookmarkStart w:id="2347" w:name="_Toc53046277"/>
      <w:bookmarkStart w:id="2348" w:name="_Toc5365117"/>
      <w:r>
        <w:rPr>
          <w:rStyle w:val="CharSectno"/>
        </w:rPr>
        <w:t>243</w:t>
      </w:r>
      <w:r>
        <w:t>.</w:t>
      </w:r>
      <w:r>
        <w:tab/>
        <w:t>Applications for judicial review of decisions of the Bulletin Board operator</w:t>
      </w:r>
      <w:bookmarkEnd w:id="2347"/>
      <w:bookmarkEnd w:id="234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aggrieved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or determination of the Bulletin Board operator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failure by the Bulletin Board operator to make a decision or determination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conduct engaged in, or proposed to be engaged in, by the Bulletin Board operator for the purpose of making a decision or determination under this Law or the Rules,</w:t>
      </w:r>
    </w:p>
    <w:p>
      <w:pPr>
        <w:keepLines/>
        <w:autoSpaceDE w:val="0"/>
        <w:autoSpaceDN w:val="0"/>
        <w:adjustRightInd w:val="0"/>
        <w:spacing w:before="120"/>
        <w:ind w:left="1588"/>
        <w:rPr>
          <w:color w:val="000000"/>
          <w:sz w:val="23"/>
          <w:szCs w:val="23"/>
        </w:rPr>
      </w:pPr>
      <w:r>
        <w:rPr>
          <w:color w:val="000000"/>
          <w:sz w:val="23"/>
          <w:szCs w:val="23"/>
        </w:rPr>
        <w:t>may apply to the Court for judicial review of the decision or determination, failure or conduct or proposed conduct.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3"/>
      </w:pPr>
      <w:bookmarkStart w:id="2349" w:name="_Toc52954584"/>
      <w:bookmarkStart w:id="2350" w:name="_Toc52955880"/>
      <w:bookmarkStart w:id="2351" w:name="_Toc52957379"/>
      <w:bookmarkStart w:id="2352" w:name="_Toc52958162"/>
      <w:bookmarkStart w:id="2353" w:name="_Toc53045495"/>
      <w:bookmarkStart w:id="2354" w:name="_Toc53046278"/>
      <w:bookmarkStart w:id="2355" w:name="_Toc501634165"/>
      <w:bookmarkStart w:id="2356" w:name="_Toc501713061"/>
      <w:bookmarkStart w:id="2357" w:name="_Toc536782286"/>
      <w:bookmarkStart w:id="2358" w:name="_Toc5347344"/>
      <w:bookmarkStart w:id="2359" w:name="_Toc5363897"/>
      <w:bookmarkStart w:id="2360" w:name="_Toc5365118"/>
      <w:r>
        <w:rPr>
          <w:rStyle w:val="CharDivNo"/>
        </w:rPr>
        <w:t>Part 5</w:t>
      </w:r>
      <w:r>
        <w:t xml:space="preserve"> — </w:t>
      </w:r>
      <w:r>
        <w:rPr>
          <w:rStyle w:val="CharDivText"/>
        </w:rPr>
        <w:t>Merits review and other non</w:t>
      </w:r>
      <w:r>
        <w:rPr>
          <w:rStyle w:val="CharDivText"/>
        </w:rPr>
        <w:noBreakHyphen/>
        <w:t>judicial review</w:t>
      </w:r>
      <w:bookmarkEnd w:id="2349"/>
      <w:bookmarkEnd w:id="2350"/>
      <w:bookmarkEnd w:id="2351"/>
      <w:bookmarkEnd w:id="2352"/>
      <w:bookmarkEnd w:id="2353"/>
      <w:bookmarkEnd w:id="2354"/>
      <w:bookmarkEnd w:id="2355"/>
      <w:bookmarkEnd w:id="2356"/>
      <w:bookmarkEnd w:id="2357"/>
      <w:bookmarkEnd w:id="2358"/>
      <w:bookmarkEnd w:id="2359"/>
      <w:bookmarkEnd w:id="2360"/>
    </w:p>
    <w:p>
      <w:pPr>
        <w:pStyle w:val="Heading4"/>
        <w:keepNext w:val="0"/>
      </w:pPr>
      <w:bookmarkStart w:id="2361" w:name="_Toc52954585"/>
      <w:bookmarkStart w:id="2362" w:name="_Toc52955881"/>
      <w:bookmarkStart w:id="2363" w:name="_Toc52957380"/>
      <w:bookmarkStart w:id="2364" w:name="_Toc52958163"/>
      <w:bookmarkStart w:id="2365" w:name="_Toc53045496"/>
      <w:bookmarkStart w:id="2366" w:name="_Toc53046279"/>
      <w:bookmarkStart w:id="2367" w:name="_Toc501634166"/>
      <w:bookmarkStart w:id="2368" w:name="_Toc501713062"/>
      <w:bookmarkStart w:id="2369" w:name="_Toc536782287"/>
      <w:bookmarkStart w:id="2370" w:name="_Toc5347345"/>
      <w:bookmarkStart w:id="2371" w:name="_Toc5363898"/>
      <w:bookmarkStart w:id="2372" w:name="_Toc5365119"/>
      <w:r>
        <w:t>Division 1 — Interpretation</w:t>
      </w:r>
      <w:bookmarkEnd w:id="2361"/>
      <w:bookmarkEnd w:id="2362"/>
      <w:bookmarkEnd w:id="2363"/>
      <w:bookmarkEnd w:id="2364"/>
      <w:bookmarkEnd w:id="2365"/>
      <w:bookmarkEnd w:id="2366"/>
      <w:bookmarkEnd w:id="2367"/>
      <w:bookmarkEnd w:id="2368"/>
      <w:bookmarkEnd w:id="2369"/>
      <w:bookmarkEnd w:id="2370"/>
      <w:bookmarkEnd w:id="2371"/>
      <w:bookmarkEnd w:id="2372"/>
    </w:p>
    <w:p>
      <w:pPr>
        <w:pStyle w:val="Heading5"/>
        <w:keepNext w:val="0"/>
        <w:keepLines w:val="0"/>
      </w:pPr>
      <w:bookmarkStart w:id="2373" w:name="_Toc53046280"/>
      <w:bookmarkStart w:id="2374" w:name="_Toc5365120"/>
      <w:r>
        <w:rPr>
          <w:rStyle w:val="CharSectno"/>
        </w:rPr>
        <w:t>244</w:t>
      </w:r>
      <w:r>
        <w:t>.</w:t>
      </w:r>
      <w:r>
        <w:tab/>
        <w:t>Definitions</w:t>
      </w:r>
      <w:bookmarkEnd w:id="2373"/>
      <w:bookmarkEnd w:id="2374"/>
    </w:p>
    <w:p>
      <w:pPr>
        <w:autoSpaceDE w:val="0"/>
        <w:autoSpaceDN w:val="0"/>
        <w:adjustRightInd w:val="0"/>
        <w:spacing w:before="120"/>
        <w:ind w:left="1588"/>
        <w:rPr>
          <w:color w:val="000000"/>
          <w:sz w:val="23"/>
          <w:szCs w:val="23"/>
        </w:rPr>
      </w:pPr>
      <w:r>
        <w:rPr>
          <w:color w:val="000000"/>
          <w:sz w:val="23"/>
          <w:szCs w:val="23"/>
        </w:rPr>
        <w:t>In this Part—</w:t>
      </w:r>
    </w:p>
    <w:p>
      <w:pPr>
        <w:autoSpaceDE w:val="0"/>
        <w:autoSpaceDN w:val="0"/>
        <w:adjustRightInd w:val="0"/>
        <w:spacing w:before="120"/>
        <w:ind w:left="1588"/>
        <w:rPr>
          <w:color w:val="000000"/>
          <w:sz w:val="23"/>
          <w:szCs w:val="23"/>
        </w:rPr>
      </w:pPr>
      <w:r>
        <w:rPr>
          <w:rStyle w:val="CharDefText"/>
          <w:bCs/>
          <w:sz w:val="23"/>
        </w:rPr>
        <w:t>AER information disclosure decision</w:t>
      </w:r>
      <w:r>
        <w:rPr>
          <w:bCs/>
          <w:i/>
          <w:iCs/>
          <w:color w:val="000000"/>
          <w:sz w:val="23"/>
          <w:szCs w:val="23"/>
        </w:rPr>
        <w:t xml:space="preserve"> </w:t>
      </w:r>
      <w:r>
        <w:rPr>
          <w:color w:val="000000"/>
          <w:sz w:val="23"/>
          <w:szCs w:val="23"/>
        </w:rPr>
        <w:t>means a decision of the AER under section 329 to disclose information, or the contents of a document;</w:t>
      </w:r>
    </w:p>
    <w:p>
      <w:pPr>
        <w:keepNext/>
        <w:keepLines/>
        <w:autoSpaceDE w:val="0"/>
        <w:autoSpaceDN w:val="0"/>
        <w:adjustRightInd w:val="0"/>
        <w:spacing w:before="120"/>
        <w:ind w:left="1588"/>
        <w:rPr>
          <w:color w:val="000000"/>
          <w:sz w:val="23"/>
          <w:szCs w:val="23"/>
        </w:rPr>
      </w:pPr>
      <w:r>
        <w:rPr>
          <w:rStyle w:val="CharDefText"/>
          <w:bCs/>
          <w:sz w:val="23"/>
        </w:rPr>
        <w:t>affected or interested person or body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whom a reviewable regulatory decision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user, prospective user or end user whose commercial interests are materially affected by a reviewable regulatory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user or consumer association;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(ca)</w:t>
      </w:r>
      <w:r>
        <w:rPr>
          <w:color w:val="000000"/>
          <w:sz w:val="23"/>
          <w:szCs w:val="23"/>
        </w:rPr>
        <w:tab/>
        <w:t>a reviewable regulatory decision process participant;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person whose interests are affected by a reviewable regulatory decision that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coverage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coverage revocation determination;</w:t>
      </w:r>
    </w:p>
    <w:p>
      <w:pPr>
        <w:keepNext/>
        <w:keepLines/>
        <w:autoSpaceDE w:val="0"/>
        <w:autoSpaceDN w:val="0"/>
        <w:adjustRightInd w:val="0"/>
        <w:spacing w:before="120"/>
        <w:ind w:left="1588"/>
        <w:rPr>
          <w:color w:val="000000"/>
          <w:sz w:val="23"/>
          <w:szCs w:val="23"/>
        </w:rPr>
      </w:pPr>
      <w:r>
        <w:rPr>
          <w:rStyle w:val="CharDefText"/>
          <w:bCs/>
          <w:sz w:val="23"/>
        </w:rPr>
        <w:t>applicant</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affected or interested person or body who has been granted leave to apply for review by the Tribunal under Division 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 makes an application under section 263;</w:t>
      </w:r>
    </w:p>
    <w:p>
      <w:pPr>
        <w:keepLines/>
        <w:autoSpaceDE w:val="0"/>
        <w:autoSpaceDN w:val="0"/>
        <w:adjustRightInd w:val="0"/>
        <w:spacing w:before="120"/>
        <w:ind w:left="1588"/>
        <w:rPr>
          <w:color w:val="000000"/>
          <w:sz w:val="23"/>
          <w:szCs w:val="23"/>
        </w:rPr>
      </w:pPr>
      <w:r>
        <w:rPr>
          <w:rStyle w:val="CharDefText"/>
          <w:bCs/>
          <w:sz w:val="23"/>
        </w:rPr>
        <w:t>average annual regulated revenue</w:t>
      </w:r>
      <w:r>
        <w:rPr>
          <w:bCs/>
          <w:i/>
          <w:iCs/>
          <w:color w:val="000000"/>
          <w:sz w:val="23"/>
          <w:szCs w:val="23"/>
        </w:rPr>
        <w:t xml:space="preserve"> </w:t>
      </w:r>
      <w:r>
        <w:rPr>
          <w:color w:val="000000"/>
          <w:sz w:val="23"/>
          <w:szCs w:val="23"/>
        </w:rPr>
        <w:t>means the annual average of regulated revenue calculated for the regulatory period of an applicable access arrangement;</w:t>
      </w:r>
    </w:p>
    <w:p>
      <w:pPr>
        <w:keepNext/>
        <w:keepLines/>
        <w:autoSpaceDE w:val="0"/>
        <w:autoSpaceDN w:val="0"/>
        <w:adjustRightInd w:val="0"/>
        <w:spacing w:before="120"/>
        <w:ind w:left="1588"/>
        <w:rPr>
          <w:color w:val="000000"/>
          <w:sz w:val="23"/>
          <w:szCs w:val="23"/>
        </w:rPr>
      </w:pPr>
      <w:r>
        <w:rPr>
          <w:rStyle w:val="CharDefText"/>
          <w:bCs/>
          <w:sz w:val="23"/>
        </w:rPr>
        <w:t>coverage related light regulation decision</w:t>
      </w:r>
      <w:r>
        <w:rPr>
          <w:bCs/>
          <w:i/>
          <w:iCs/>
          <w:color w:val="000000"/>
          <w:sz w:val="23"/>
          <w:szCs w:val="23"/>
        </w:rPr>
        <w:t xml:space="preserve"> </w:t>
      </w:r>
      <w:r>
        <w:rPr>
          <w:color w:val="000000"/>
          <w:sz w:val="23"/>
          <w:szCs w:val="23"/>
        </w:rPr>
        <w:t>means either of the following reviewable regulatory decisions: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the NCC under section 110(1);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NCC under section 119(3);</w:t>
      </w:r>
    </w:p>
    <w:p>
      <w:pPr>
        <w:keepLines/>
        <w:autoSpaceDE w:val="0"/>
        <w:autoSpaceDN w:val="0"/>
        <w:adjustRightInd w:val="0"/>
        <w:spacing w:before="120"/>
        <w:ind w:left="1588"/>
        <w:rPr>
          <w:color w:val="000000"/>
          <w:sz w:val="23"/>
          <w:szCs w:val="23"/>
        </w:rPr>
      </w:pPr>
      <w:r>
        <w:rPr>
          <w:rStyle w:val="CharDefText"/>
          <w:bCs/>
          <w:sz w:val="23"/>
        </w:rPr>
        <w:t>end user</w:t>
      </w:r>
      <w:r>
        <w:rPr>
          <w:bCs/>
          <w:i/>
          <w:iCs/>
          <w:color w:val="000000"/>
          <w:sz w:val="23"/>
          <w:szCs w:val="23"/>
        </w:rPr>
        <w:t xml:space="preserve"> </w:t>
      </w:r>
      <w:r>
        <w:rPr>
          <w:color w:val="000000"/>
          <w:sz w:val="23"/>
          <w:szCs w:val="23"/>
        </w:rPr>
        <w:t>includes a person who acquires, or proposes to acquire, natural gas for the purpose of on</w:t>
      </w:r>
      <w:r>
        <w:rPr>
          <w:color w:val="000000"/>
          <w:sz w:val="23"/>
          <w:szCs w:val="23"/>
        </w:rPr>
        <w:noBreakHyphen/>
        <w:t>selling that gas to a person who intends to consume that gas;</w:t>
      </w:r>
    </w:p>
    <w:p>
      <w:pPr>
        <w:keepLines/>
        <w:autoSpaceDE w:val="0"/>
        <w:autoSpaceDN w:val="0"/>
        <w:adjustRightInd w:val="0"/>
        <w:spacing w:before="120"/>
        <w:ind w:left="1588"/>
        <w:rPr>
          <w:color w:val="000000"/>
          <w:sz w:val="23"/>
          <w:szCs w:val="23"/>
        </w:rPr>
      </w:pPr>
      <w:r>
        <w:rPr>
          <w:rStyle w:val="CharDefText"/>
          <w:bCs/>
          <w:sz w:val="23"/>
        </w:rPr>
        <w:t>intervener</w:t>
      </w:r>
      <w:r>
        <w:rPr>
          <w:color w:val="000000"/>
          <w:sz w:val="23"/>
          <w:szCs w:val="23"/>
        </w:rPr>
        <w:t xml:space="preserve"> means a person or body referred to in section 253, 254 or 255 who has intervened in a review under Division 2 with the leave of the Tribunal or otherwise;</w:t>
      </w:r>
    </w:p>
    <w:p>
      <w:pPr>
        <w:keepLines/>
        <w:autoSpaceDE w:val="0"/>
        <w:autoSpaceDN w:val="0"/>
        <w:adjustRightInd w:val="0"/>
        <w:spacing w:before="120"/>
        <w:ind w:left="1588"/>
        <w:rPr>
          <w:color w:val="000000"/>
          <w:sz w:val="23"/>
          <w:szCs w:val="23"/>
        </w:rPr>
      </w:pPr>
      <w:r>
        <w:rPr>
          <w:rStyle w:val="CharDefText"/>
          <w:bCs/>
          <w:sz w:val="23"/>
          <w:szCs w:val="23"/>
        </w:rPr>
        <w:t>materially preferable designated NGO decision</w:t>
      </w:r>
      <w:r>
        <w:rPr>
          <w:color w:val="000000"/>
          <w:sz w:val="23"/>
          <w:szCs w:val="23"/>
        </w:rPr>
        <w:t>—see section 259(4a)(c);</w:t>
      </w:r>
    </w:p>
    <w:p>
      <w:pPr>
        <w:keepNext/>
        <w:keepLines/>
        <w:autoSpaceDE w:val="0"/>
        <w:autoSpaceDN w:val="0"/>
        <w:adjustRightInd w:val="0"/>
        <w:spacing w:before="120"/>
        <w:ind w:left="1588"/>
        <w:rPr>
          <w:color w:val="000000"/>
          <w:sz w:val="23"/>
          <w:szCs w:val="23"/>
        </w:rPr>
      </w:pPr>
      <w:r>
        <w:rPr>
          <w:rStyle w:val="CharDefText"/>
          <w:bCs/>
          <w:sz w:val="23"/>
        </w:rPr>
        <w:t>NCC recommendation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no</w:t>
      </w:r>
      <w:r>
        <w:rPr>
          <w:color w:val="000000"/>
          <w:sz w:val="23"/>
          <w:szCs w:val="23"/>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price regulation exemption recommendation;</w:t>
      </w:r>
    </w:p>
    <w:p>
      <w:pPr>
        <w:keepLines/>
        <w:autoSpaceDE w:val="0"/>
        <w:autoSpaceDN w:val="0"/>
        <w:adjustRightInd w:val="0"/>
        <w:spacing w:before="120"/>
        <w:ind w:left="1588"/>
        <w:rPr>
          <w:color w:val="000000"/>
          <w:sz w:val="23"/>
          <w:szCs w:val="23"/>
        </w:rPr>
      </w:pPr>
      <w:r>
        <w:rPr>
          <w:rStyle w:val="CharDefText"/>
          <w:bCs/>
          <w:sz w:val="23"/>
        </w:rPr>
        <w:t>original decision maker</w:t>
      </w:r>
      <w:r>
        <w:rPr>
          <w:bCs/>
          <w:i/>
          <w:iCs/>
          <w:color w:val="000000"/>
          <w:sz w:val="23"/>
          <w:szCs w:val="23"/>
        </w:rPr>
        <w:t xml:space="preserve"> </w:t>
      </w:r>
      <w:r>
        <w:rPr>
          <w:color w:val="000000"/>
          <w:sz w:val="23"/>
          <w:szCs w:val="23"/>
        </w:rPr>
        <w:t>means a relevant Minister, the Commonwealth Minister, the AER or the NCC;</w:t>
      </w:r>
    </w:p>
    <w:p>
      <w:pPr>
        <w:keepNext/>
        <w:keepLines/>
        <w:autoSpaceDE w:val="0"/>
        <w:autoSpaceDN w:val="0"/>
        <w:adjustRightInd w:val="0"/>
        <w:spacing w:before="120"/>
        <w:ind w:left="1588"/>
        <w:rPr>
          <w:color w:val="000000"/>
          <w:sz w:val="23"/>
          <w:szCs w:val="23"/>
        </w:rPr>
      </w:pPr>
      <w:r>
        <w:rPr>
          <w:rStyle w:val="CharDefText"/>
          <w:bCs/>
          <w:sz w:val="23"/>
        </w:rPr>
        <w:t>regulated revenue</w:t>
      </w:r>
      <w:r>
        <w:rPr>
          <w:bCs/>
          <w:i/>
          <w:iCs/>
          <w:color w:val="000000"/>
          <w:sz w:val="23"/>
          <w:szCs w:val="23"/>
        </w:rPr>
        <w:t xml:space="preserve"> </w:t>
      </w:r>
      <w:r>
        <w:rPr>
          <w:color w:val="000000"/>
          <w:sz w:val="23"/>
          <w:szCs w:val="23"/>
        </w:rPr>
        <w:t>means the total revenue earned or to be earned by a covered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during the regulatory period of,</w:t>
      </w:r>
    </w:p>
    <w:p>
      <w:pPr>
        <w:keepLines/>
        <w:autoSpaceDE w:val="0"/>
        <w:autoSpaceDN w:val="0"/>
        <w:adjustRightInd w:val="0"/>
        <w:spacing w:before="120"/>
        <w:ind w:left="1588"/>
        <w:rPr>
          <w:color w:val="000000"/>
          <w:sz w:val="23"/>
          <w:szCs w:val="23"/>
        </w:rPr>
      </w:pPr>
      <w:r>
        <w:rPr>
          <w:color w:val="000000"/>
          <w:sz w:val="23"/>
          <w:szCs w:val="23"/>
        </w:rPr>
        <w:t>an applicable access arrangement through the provision of reference services to which that arrangement applies;</w:t>
      </w:r>
    </w:p>
    <w:p>
      <w:pPr>
        <w:keepLines/>
        <w:autoSpaceDE w:val="0"/>
        <w:autoSpaceDN w:val="0"/>
        <w:adjustRightInd w:val="0"/>
        <w:spacing w:before="120"/>
        <w:ind w:left="1588"/>
        <w:rPr>
          <w:color w:val="000000"/>
          <w:sz w:val="23"/>
          <w:szCs w:val="23"/>
        </w:rPr>
      </w:pPr>
      <w:r>
        <w:rPr>
          <w:rStyle w:val="CharDefText"/>
          <w:bCs/>
          <w:sz w:val="23"/>
        </w:rPr>
        <w:t>regulatory period</w:t>
      </w:r>
      <w:r>
        <w:rPr>
          <w:bCs/>
          <w:i/>
          <w:iCs/>
          <w:color w:val="000000"/>
          <w:sz w:val="23"/>
          <w:szCs w:val="23"/>
        </w:rPr>
        <w:t xml:space="preserve"> </w:t>
      </w:r>
      <w:r>
        <w:rPr>
          <w:color w:val="000000"/>
          <w:sz w:val="23"/>
          <w:szCs w:val="23"/>
        </w:rPr>
        <w:t>means the period specified in an applicable access arrangement to be the regulatory period;</w:t>
      </w:r>
    </w:p>
    <w:p>
      <w:pPr>
        <w:keepLines/>
        <w:autoSpaceDE w:val="0"/>
        <w:autoSpaceDN w:val="0"/>
        <w:adjustRightInd w:val="0"/>
        <w:spacing w:before="120"/>
        <w:ind w:left="1588"/>
        <w:rPr>
          <w:color w:val="000000"/>
          <w:sz w:val="23"/>
          <w:szCs w:val="23"/>
        </w:rPr>
      </w:pPr>
      <w:r>
        <w:rPr>
          <w:rStyle w:val="CharDefText"/>
          <w:bCs/>
          <w:sz w:val="23"/>
        </w:rPr>
        <w:t>review under this Part</w:t>
      </w:r>
      <w:r>
        <w:rPr>
          <w:bCs/>
          <w:i/>
          <w:iCs/>
          <w:color w:val="000000"/>
          <w:sz w:val="23"/>
          <w:szCs w:val="23"/>
        </w:rPr>
        <w:t xml:space="preserve"> </w:t>
      </w:r>
      <w:r>
        <w:rPr>
          <w:color w:val="000000"/>
          <w:sz w:val="23"/>
          <w:szCs w:val="23"/>
        </w:rPr>
        <w:t>means a review under Division 2 or Division 3;</w:t>
      </w:r>
    </w:p>
    <w:p>
      <w:pPr>
        <w:keepNext/>
        <w:keepLines/>
        <w:autoSpaceDE w:val="0"/>
        <w:autoSpaceDN w:val="0"/>
        <w:adjustRightInd w:val="0"/>
        <w:spacing w:before="120"/>
        <w:ind w:left="1588"/>
        <w:rPr>
          <w:color w:val="000000"/>
          <w:sz w:val="23"/>
          <w:szCs w:val="23"/>
        </w:rPr>
      </w:pPr>
      <w:r>
        <w:rPr>
          <w:rStyle w:val="CharDefText"/>
          <w:bCs/>
          <w:sz w:val="23"/>
        </w:rPr>
        <w:t>reviewable regulatory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Ministerial coverage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light regulation determination or a decision of the NCC under Chapter 3 Part 2 not to make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decision of the NCC under Chapter 3 Part 2 to revoke or not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designated reviewable regulatory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decision of the AER under section 146 to give an exemption;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 associate contract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 decision of an original decision maker that is prescribed by the Regulations to be a reviewable regulatory decision,</w:t>
      </w:r>
    </w:p>
    <w:p>
      <w:pPr>
        <w:keepLines/>
        <w:autoSpaceDE w:val="0"/>
        <w:autoSpaceDN w:val="0"/>
        <w:adjustRightInd w:val="0"/>
        <w:spacing w:before="120"/>
        <w:ind w:left="1588"/>
        <w:rPr>
          <w:color w:val="000000"/>
          <w:sz w:val="23"/>
          <w:szCs w:val="23"/>
        </w:rPr>
      </w:pPr>
      <w:r>
        <w:rPr>
          <w:color w:val="000000"/>
          <w:sz w:val="23"/>
          <w:szCs w:val="23"/>
        </w:rPr>
        <w:t>but does not include a decision of the AER made under Chapter 10 Part 2;</w:t>
      </w:r>
    </w:p>
    <w:p>
      <w:pPr>
        <w:keepLines/>
        <w:autoSpaceDE w:val="0"/>
        <w:autoSpaceDN w:val="0"/>
        <w:adjustRightInd w:val="0"/>
        <w:spacing w:before="120"/>
        <w:ind w:left="1588"/>
        <w:rPr>
          <w:color w:val="000000"/>
          <w:sz w:val="23"/>
          <w:szCs w:val="23"/>
        </w:rPr>
      </w:pPr>
      <w:r>
        <w:rPr>
          <w:rStyle w:val="CharDefText"/>
          <w:bCs/>
          <w:sz w:val="23"/>
          <w:szCs w:val="23"/>
        </w:rPr>
        <w:t>reviewable regulatory decision process participant</w:t>
      </w:r>
      <w:r>
        <w:rPr>
          <w:color w:val="000000"/>
          <w:sz w:val="23"/>
          <w:szCs w:val="23"/>
        </w:rPr>
        <w:t xml:space="preserve"> means a person or body who, in relation to a reviewable regulatory decision that is being reviewed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made a submission or comment in relation to the making of that decision within the time required under this Law or the Rules following an invitation to do so by the original decision maker;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made a submission or comment in relation to the making of that decision outside the time required under this Law or the Rules following an invitation to do so by the original decision maker but which the original decision maker chose to take into account in the making of that decision,</w:t>
      </w:r>
    </w:p>
    <w:p>
      <w:pPr>
        <w:keepLines/>
        <w:autoSpaceDE w:val="0"/>
        <w:autoSpaceDN w:val="0"/>
        <w:adjustRightInd w:val="0"/>
        <w:spacing w:before="120"/>
        <w:ind w:left="1588"/>
        <w:rPr>
          <w:color w:val="000000"/>
          <w:sz w:val="23"/>
          <w:szCs w:val="23"/>
        </w:rPr>
      </w:pPr>
      <w:r>
        <w:rPr>
          <w:color w:val="000000"/>
          <w:sz w:val="23"/>
          <w:szCs w:val="23"/>
        </w:rPr>
        <w:t>and includes, in relation to a designated reviewable regulatory decision, a Minister of a participating jurisdiction;</w:t>
      </w:r>
    </w:p>
    <w:p>
      <w:pPr>
        <w:keepNext/>
        <w:keepLines/>
        <w:autoSpaceDE w:val="0"/>
        <w:autoSpaceDN w:val="0"/>
        <w:adjustRightInd w:val="0"/>
        <w:spacing w:before="120"/>
        <w:ind w:left="1588"/>
        <w:rPr>
          <w:color w:val="000000"/>
          <w:sz w:val="23"/>
          <w:szCs w:val="23"/>
        </w:rPr>
      </w:pPr>
      <w:r>
        <w:rPr>
          <w:rStyle w:val="CharDefText"/>
          <w:bCs/>
          <w:sz w:val="23"/>
        </w:rPr>
        <w:t>small/medium user or consumer intervener</w:t>
      </w:r>
      <w:r>
        <w:rPr>
          <w:bCs/>
          <w:i/>
          <w:iCs/>
          <w:color w:val="000000"/>
          <w:sz w:val="23"/>
          <w:szCs w:val="23"/>
        </w:rPr>
        <w:t xml:space="preserve"> </w:t>
      </w:r>
      <w:r>
        <w:rPr>
          <w:color w:val="000000"/>
          <w:sz w:val="23"/>
          <w:szCs w:val="23"/>
        </w:rPr>
        <w:t>means a user or consumer intervener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members of which are only small to medium users or end users;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does not have any such members, has, as an object or purpose, the object or purpose of representing and promoting the interests of small to medium users or end users;</w:t>
      </w:r>
    </w:p>
    <w:p>
      <w:pPr>
        <w:keepLines/>
        <w:autoSpaceDE w:val="0"/>
        <w:autoSpaceDN w:val="0"/>
        <w:adjustRightInd w:val="0"/>
        <w:spacing w:before="120"/>
        <w:ind w:left="1588"/>
        <w:rPr>
          <w:color w:val="000000"/>
          <w:sz w:val="23"/>
          <w:szCs w:val="23"/>
        </w:rPr>
      </w:pPr>
      <w:r>
        <w:rPr>
          <w:rStyle w:val="CharDefText"/>
          <w:bCs/>
          <w:sz w:val="23"/>
        </w:rPr>
        <w:t>small to medium user or end user</w:t>
      </w:r>
      <w:r>
        <w:rPr>
          <w:bCs/>
          <w:i/>
          <w:iCs/>
          <w:color w:val="000000"/>
          <w:sz w:val="23"/>
          <w:szCs w:val="23"/>
        </w:rPr>
        <w:t xml:space="preserve"> </w:t>
      </w:r>
      <w:r>
        <w:rPr>
          <w:color w:val="000000"/>
          <w:sz w:val="23"/>
          <w:szCs w:val="23"/>
        </w:rPr>
        <w:t>means a user or end user whose annual consumption of natural gas does not exceed a level (expressed in terajoules) fixed by Regulation for the purposes of this definition;</w:t>
      </w:r>
    </w:p>
    <w:p>
      <w:pPr>
        <w:keepNext/>
        <w:keepLines/>
        <w:autoSpaceDE w:val="0"/>
        <w:autoSpaceDN w:val="0"/>
        <w:adjustRightInd w:val="0"/>
        <w:spacing w:before="120"/>
        <w:ind w:left="1588"/>
        <w:rPr>
          <w:color w:val="000000"/>
          <w:sz w:val="23"/>
          <w:szCs w:val="23"/>
        </w:rPr>
      </w:pPr>
      <w:r>
        <w:rPr>
          <w:rStyle w:val="CharDefText"/>
          <w:bCs/>
          <w:sz w:val="23"/>
        </w:rPr>
        <w:t>user or consumer association</w:t>
      </w:r>
      <w:r>
        <w:rPr>
          <w:bCs/>
          <w:i/>
          <w:iCs/>
          <w:color w:val="000000"/>
          <w:sz w:val="23"/>
          <w:szCs w:val="23"/>
        </w:rPr>
        <w:t xml:space="preserve"> </w:t>
      </w:r>
      <w:r>
        <w:rPr>
          <w:color w:val="000000"/>
          <w:sz w:val="23"/>
          <w:szCs w:val="23"/>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members of which include more than 1 user, prospective user or end user;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represents and promotes the interests of those members in relation to the provision of natural gas services;</w:t>
      </w:r>
    </w:p>
    <w:p>
      <w:pPr>
        <w:keepNext/>
        <w:keepLines/>
        <w:autoSpaceDE w:val="0"/>
        <w:autoSpaceDN w:val="0"/>
        <w:adjustRightInd w:val="0"/>
        <w:spacing w:before="120"/>
        <w:ind w:left="1588"/>
        <w:rPr>
          <w:color w:val="000000"/>
          <w:sz w:val="23"/>
          <w:szCs w:val="23"/>
        </w:rPr>
      </w:pPr>
      <w:r>
        <w:rPr>
          <w:rStyle w:val="CharDefText"/>
          <w:bCs/>
          <w:sz w:val="23"/>
        </w:rPr>
        <w:t>user or consumer interest group</w:t>
      </w:r>
      <w:r>
        <w:rPr>
          <w:bCs/>
          <w:i/>
          <w:iCs/>
          <w:color w:val="000000"/>
          <w:sz w:val="23"/>
          <w:szCs w:val="23"/>
        </w:rPr>
        <w:t xml:space="preserve"> </w:t>
      </w:r>
      <w:r>
        <w:rPr>
          <w:color w:val="000000"/>
          <w:sz w:val="23"/>
          <w:szCs w:val="23"/>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has, as an object or purpose, the object or purpose of representing and promoting the interests of users or prospective users or end users of natural gas services;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members of which need not include a user, prospective user or end user;</w:t>
      </w:r>
    </w:p>
    <w:p>
      <w:pPr>
        <w:keepNext/>
        <w:keepLines/>
        <w:autoSpaceDE w:val="0"/>
        <w:autoSpaceDN w:val="0"/>
        <w:adjustRightInd w:val="0"/>
        <w:spacing w:before="120"/>
        <w:ind w:left="1588"/>
        <w:rPr>
          <w:color w:val="000000"/>
          <w:sz w:val="23"/>
          <w:szCs w:val="23"/>
        </w:rPr>
      </w:pPr>
      <w:r>
        <w:rPr>
          <w:rStyle w:val="CharDefText"/>
          <w:bCs/>
          <w:sz w:val="23"/>
        </w:rPr>
        <w:t xml:space="preserve">user or consumer intervener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user or consumer association;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user or consumer interest group,</w:t>
      </w:r>
    </w:p>
    <w:p>
      <w:pPr>
        <w:keepLines/>
        <w:autoSpaceDE w:val="0"/>
        <w:autoSpaceDN w:val="0"/>
        <w:adjustRightInd w:val="0"/>
        <w:spacing w:before="120"/>
        <w:ind w:left="1588"/>
        <w:rPr>
          <w:color w:val="000000"/>
          <w:sz w:val="23"/>
          <w:szCs w:val="23"/>
        </w:rPr>
      </w:pPr>
      <w:r>
        <w:rPr>
          <w:color w:val="000000"/>
          <w:sz w:val="23"/>
          <w:szCs w:val="23"/>
        </w:rPr>
        <w:t>that has made a submission or comment in relation to the making of a reviewable regulatory decision following an invitation to do so under this Law or the Rules.</w:t>
      </w:r>
    </w:p>
    <w:p>
      <w:pPr>
        <w:pStyle w:val="Footnotesection"/>
        <w:rPr>
          <w:szCs w:val="23"/>
        </w:rPr>
      </w:pPr>
      <w:r>
        <w:tab/>
        <w:t>[Section 244 amended see SA Act No. 79 of 2013 s. 22 and WA Gazette 14 Mar 2014 p. 632.]</w:t>
      </w:r>
    </w:p>
    <w:p>
      <w:pPr>
        <w:pStyle w:val="Heading4"/>
      </w:pPr>
      <w:bookmarkStart w:id="2375" w:name="_Toc52954587"/>
      <w:bookmarkStart w:id="2376" w:name="_Toc52955883"/>
      <w:bookmarkStart w:id="2377" w:name="_Toc52957382"/>
      <w:bookmarkStart w:id="2378" w:name="_Toc52958165"/>
      <w:bookmarkStart w:id="2379" w:name="_Toc53045498"/>
      <w:bookmarkStart w:id="2380" w:name="_Toc53046281"/>
      <w:bookmarkStart w:id="2381" w:name="_Toc501634168"/>
      <w:bookmarkStart w:id="2382" w:name="_Toc501713064"/>
      <w:bookmarkStart w:id="2383" w:name="_Toc536782289"/>
      <w:bookmarkStart w:id="2384" w:name="_Toc5347347"/>
      <w:bookmarkStart w:id="2385" w:name="_Toc5363900"/>
      <w:bookmarkStart w:id="2386" w:name="_Toc5365121"/>
      <w:r>
        <w:t>Division 2 — Merits review for reviewable regulatory decisions</w:t>
      </w:r>
      <w:bookmarkEnd w:id="2375"/>
      <w:bookmarkEnd w:id="2376"/>
      <w:bookmarkEnd w:id="2377"/>
      <w:bookmarkEnd w:id="2378"/>
      <w:bookmarkEnd w:id="2379"/>
      <w:bookmarkEnd w:id="2380"/>
      <w:bookmarkEnd w:id="2381"/>
      <w:bookmarkEnd w:id="2382"/>
      <w:bookmarkEnd w:id="2383"/>
      <w:bookmarkEnd w:id="2384"/>
      <w:bookmarkEnd w:id="2385"/>
      <w:bookmarkEnd w:id="2386"/>
    </w:p>
    <w:p>
      <w:pPr>
        <w:pStyle w:val="Heading5"/>
      </w:pPr>
      <w:bookmarkStart w:id="2387" w:name="_Toc53046282"/>
      <w:bookmarkStart w:id="2388" w:name="_Toc5365122"/>
      <w:r>
        <w:rPr>
          <w:rStyle w:val="CharSectno"/>
        </w:rPr>
        <w:t>245</w:t>
      </w:r>
      <w:r>
        <w:t>.</w:t>
      </w:r>
      <w:r>
        <w:tab/>
        <w:t>Applications for review</w:t>
      </w:r>
      <w:bookmarkEnd w:id="2387"/>
      <w:bookmarkEnd w:id="238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an affected or interested person or body, with the leave of the Tribunal, may apply to the Tribunal for a review of a reviewable regulatory decision.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the form and manner determined by the Tribunal;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grounds for review being relied on.</w:t>
      </w:r>
    </w:p>
    <w:p>
      <w:pPr>
        <w:pStyle w:val="Heading5"/>
      </w:pPr>
      <w:bookmarkStart w:id="2389" w:name="_Toc53046283"/>
      <w:bookmarkStart w:id="2390" w:name="_Toc5365123"/>
      <w:r>
        <w:rPr>
          <w:rStyle w:val="CharSectno"/>
        </w:rPr>
        <w:t>246</w:t>
      </w:r>
      <w:r>
        <w:t>.</w:t>
      </w:r>
      <w:r>
        <w:tab/>
        <w:t>Grounds for review</w:t>
      </w:r>
      <w:bookmarkEnd w:id="2389"/>
      <w:bookmarkEnd w:id="239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application under section 245(1) may be made only on 1 or more of the following grounds: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original decision maker made an error of fact in the decision maker’s findings of facts, and that error of fact was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original decision maker made more than 1 error of fact in the decision maker’s findings of facts, and those errors of fact, in combination, were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exercise of the original decision maker’s discretion was incorrect, having regard to all the circumstances;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original decision maker’s decision was unreasonable, having regard to all the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An application under section 245(1) that relates to a designated reviewable regulatory decision must also specify the manner in which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application, either separately or collectively, would, or would be likely to, result in a materially preferable designated NGO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for the applicant to establish a ground listed in subsection (1) and the matter referred to in subsection (1a).</w:t>
      </w:r>
    </w:p>
    <w:p>
      <w:pPr>
        <w:pStyle w:val="Footnotesection"/>
        <w:rPr>
          <w:szCs w:val="23"/>
        </w:rPr>
      </w:pPr>
      <w:r>
        <w:tab/>
        <w:t>[Section 246 amended see SA Act No. 79 of 2013 s. 23 and WA Gazette 14 Mar 2014 p. 632.]</w:t>
      </w:r>
    </w:p>
    <w:p>
      <w:pPr>
        <w:pStyle w:val="Heading5"/>
      </w:pPr>
      <w:bookmarkStart w:id="2391" w:name="_Toc53046284"/>
      <w:bookmarkStart w:id="2392" w:name="_Toc5365124"/>
      <w:r>
        <w:rPr>
          <w:rStyle w:val="CharSectno"/>
        </w:rPr>
        <w:t>247</w:t>
      </w:r>
      <w:r>
        <w:t>.</w:t>
      </w:r>
      <w:r>
        <w:tab/>
        <w:t>By when an application must be made</w:t>
      </w:r>
      <w:bookmarkEnd w:id="2391"/>
      <w:bookmarkEnd w:id="239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application under section 245(1) in respect of a reviewable regulatory decision (other than a coverage related light regulation decision) must be made no later than 15 business days after the reviewable regulatory decision is published in accordance with this Law or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under section 245(1) in respect of a coverage related light regulation decision must be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decision of the NCC under section 110(1), no later than 15 business days after the making of the coverage determination relating to the coverage recommendation to which the decision under section 110(1) is attached;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decision of the NCC under section 119(3), no later than 15 business days after the making of the coverage revocation determination relating to the coverage revocation recommendation to which the decision under section 119(3) is attached.</w:t>
      </w:r>
    </w:p>
    <w:p>
      <w:pPr>
        <w:pStyle w:val="Heading5"/>
      </w:pPr>
      <w:bookmarkStart w:id="2393" w:name="_Toc53046285"/>
      <w:bookmarkStart w:id="2394" w:name="_Toc5365125"/>
      <w:r>
        <w:rPr>
          <w:rStyle w:val="CharSectno"/>
        </w:rPr>
        <w:t>248</w:t>
      </w:r>
      <w:r>
        <w:t>.</w:t>
      </w:r>
      <w:r>
        <w:tab/>
        <w:t>Tribunal must not grant leave unless serious issue to be heard and determined</w:t>
      </w:r>
      <w:bookmarkEnd w:id="2393"/>
      <w:bookmarkEnd w:id="2394"/>
    </w:p>
    <w:p>
      <w:pPr>
        <w:keepLines/>
        <w:autoSpaceDE w:val="0"/>
        <w:autoSpaceDN w:val="0"/>
        <w:adjustRightInd w:val="0"/>
        <w:spacing w:before="120"/>
        <w:ind w:left="1588"/>
        <w:rPr>
          <w:color w:val="000000"/>
          <w:sz w:val="23"/>
          <w:szCs w:val="23"/>
        </w:rPr>
      </w:pPr>
      <w:r>
        <w:rPr>
          <w:color w:val="000000"/>
          <w:sz w:val="23"/>
          <w:szCs w:val="23"/>
        </w:rPr>
        <w:t xml:space="preserve">Subject to this Division, the Tribunal must not grant leave to apply under section 245(1) unless it appears to the Tribunal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there is a serious issue to be heard and determined as to whether a ground for review set out in section 246(1) exists;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designated reviewable regulatory decision—that the applicant has established a prima facie case that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application, either separately or collectively, would, or would be likely to, result in a materially preferable designated NGO decision.</w:t>
      </w:r>
    </w:p>
    <w:p>
      <w:pPr>
        <w:pStyle w:val="Footnotesection"/>
        <w:rPr>
          <w:szCs w:val="23"/>
        </w:rPr>
      </w:pPr>
      <w:r>
        <w:tab/>
        <w:t>[Section 248 amended see SA Act No. 79 of 2013 s. 24 and WA Gazette 14 Mar 2014 p. 632.]</w:t>
      </w:r>
    </w:p>
    <w:p>
      <w:pPr>
        <w:pStyle w:val="Heading5"/>
      </w:pPr>
      <w:bookmarkStart w:id="2395" w:name="_Toc53046286"/>
      <w:bookmarkStart w:id="2396" w:name="_Toc5365126"/>
      <w:r>
        <w:rPr>
          <w:rStyle w:val="CharSectno"/>
        </w:rPr>
        <w:t>249</w:t>
      </w:r>
      <w:r>
        <w:t>.</w:t>
      </w:r>
      <w:r>
        <w:tab/>
        <w:t>Leave must be refused if application is about an error relating to revenue amounts below specified threshold</w:t>
      </w:r>
      <w:bookmarkEnd w:id="2395"/>
      <w:bookmarkEnd w:id="239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leave to apply under section 245(1) is about an error in a designated reviewable regulatory decision that is a full access arrangement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ground for review relied on by the applicant relates to the amount of revenue that may be earned by a covered pipeline service provider that is specified in or derived from that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section 248, the Tribunal must not grant leave to apply under section 245(1) even if there is a serious issue to be heard and determined as to whether a ground for review set out in section 246(1) exists unless the amount that is specified in or derived from the decision exceeds the lesser of $5 000 000 or 2% of the average annual regulated revenue of the covered pipeline service provider.</w:t>
      </w:r>
    </w:p>
    <w:p>
      <w:pPr>
        <w:pStyle w:val="Footnotesection"/>
        <w:rPr>
          <w:szCs w:val="23"/>
        </w:rPr>
      </w:pPr>
      <w:r>
        <w:tab/>
        <w:t>[Section 249 amended see SA Act No. 79 of 2013 s. 25 and WA Gazette 14 Mar 2014 p. 632.]</w:t>
      </w:r>
    </w:p>
    <w:p>
      <w:pPr>
        <w:pStyle w:val="Heading5"/>
        <w:keepNext w:val="0"/>
        <w:keepLines w:val="0"/>
        <w:spacing w:before="120"/>
      </w:pPr>
      <w:bookmarkStart w:id="2397" w:name="_Toc53046287"/>
      <w:bookmarkStart w:id="2398" w:name="_Toc5365127"/>
      <w:r>
        <w:rPr>
          <w:rStyle w:val="CharSectno"/>
        </w:rPr>
        <w:t>250</w:t>
      </w:r>
      <w:r>
        <w:t>.</w:t>
      </w:r>
      <w:r>
        <w:tab/>
        <w:t>Tribunal must refuse to grant leave if submission not made or is made late</w:t>
      </w:r>
      <w:bookmarkEnd w:id="2397"/>
      <w:bookmarkEnd w:id="2398"/>
    </w:p>
    <w:p>
      <w:pPr>
        <w:autoSpaceDE w:val="0"/>
        <w:autoSpaceDN w:val="0"/>
        <w:adjustRightInd w:val="0"/>
        <w:spacing w:before="120"/>
        <w:ind w:left="1588"/>
        <w:rPr>
          <w:color w:val="000000"/>
          <w:sz w:val="23"/>
          <w:szCs w:val="23"/>
        </w:rPr>
      </w:pPr>
      <w:r>
        <w:rPr>
          <w:color w:val="000000"/>
          <w:sz w:val="23"/>
          <w:szCs w:val="23"/>
        </w:rPr>
        <w:t xml:space="preserve">The Tribunal must not grant leave to apply under section 245(1) to a person or body referred to in paragraph (b), (c) or (d) of the definition of </w:t>
      </w:r>
      <w:r>
        <w:rPr>
          <w:rStyle w:val="CharDefText"/>
          <w:bCs/>
          <w:sz w:val="23"/>
        </w:rPr>
        <w:t>affected or interested person or body</w:t>
      </w:r>
      <w:r>
        <w:rPr>
          <w:bCs/>
          <w:i/>
          <w:iCs/>
          <w:color w:val="000000"/>
          <w:sz w:val="23"/>
          <w:szCs w:val="23"/>
        </w:rPr>
        <w:t xml:space="preserve"> </w:t>
      </w:r>
      <w:r>
        <w:rPr>
          <w:color w:val="000000"/>
          <w:sz w:val="23"/>
          <w:szCs w:val="23"/>
        </w:rPr>
        <w:t>in section 244 if that person or body—</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did not make a submission or comment in relation to the making of the reviewable regulatory decision under review following an invitation to do so under this Law or the Rules;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did make a submission or comment in relation to the making of the reviewable regulatory decision under review following an invitation to do so under this Law or the Rules but that submission—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was not made within the time required under this Law or the Rules following that invitation;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was not taken into account in the making of the decision.</w:t>
      </w:r>
    </w:p>
    <w:p>
      <w:pPr>
        <w:pStyle w:val="Heading5"/>
      </w:pPr>
      <w:bookmarkStart w:id="2399" w:name="_Toc53046288"/>
      <w:bookmarkStart w:id="2400" w:name="_Toc5365128"/>
      <w:r>
        <w:rPr>
          <w:rStyle w:val="CharSectno"/>
        </w:rPr>
        <w:t>251</w:t>
      </w:r>
      <w:r>
        <w:t>.</w:t>
      </w:r>
      <w:r>
        <w:tab/>
        <w:t>Tribunal may refuse to grant leave to service provider in certain cases</w:t>
      </w:r>
      <w:bookmarkEnd w:id="2399"/>
      <w:bookmarkEnd w:id="240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an application under section 245(1) by a service provider for a review of a reviewable regulatory decision that applies to the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Tribunal is satisfied of the matters set out in section 248 or 249 to grant leave to apply under section 245(1).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being satisfied of the matters set out in section 248 or 249 to grant leave to apply under section 245(1), the Tribunal may refuse to grant leave to the service provider if the Tribunal is satisfied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without reasonable excuse—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failed to comply with a request (including a request for relevant information), or a direction made under this Law or the Rules for the purpose of making the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conducted itself in a manner that resulted in the making of the decision being delayed;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misled, or attempted to mislead—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all cases, the original decision maker on a matter relevant to the original decision maker’s decision;</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reviewable regulatory decision that is a Ministerial coverage decision, the NCC on a matter relevant to the making of an NCC recommendation relating to the decision.</w:t>
      </w:r>
    </w:p>
    <w:p>
      <w:pPr>
        <w:pStyle w:val="Heading5"/>
      </w:pPr>
      <w:bookmarkStart w:id="2401" w:name="_Toc53046289"/>
      <w:bookmarkStart w:id="2402" w:name="_Toc5365129"/>
      <w:r>
        <w:rPr>
          <w:rStyle w:val="CharSectno"/>
        </w:rPr>
        <w:t>252</w:t>
      </w:r>
      <w:r>
        <w:t>.</w:t>
      </w:r>
      <w:r>
        <w:tab/>
        <w:t>Effect of application on operation of reviewable regulatory decisions</w:t>
      </w:r>
      <w:bookmarkEnd w:id="2401"/>
      <w:bookmarkEnd w:id="2402"/>
    </w:p>
    <w:p>
      <w:pPr>
        <w:keepNext/>
        <w:keepLines/>
        <w:autoSpaceDE w:val="0"/>
        <w:autoSpaceDN w:val="0"/>
        <w:adjustRightInd w:val="0"/>
        <w:spacing w:before="120"/>
        <w:ind w:left="1588"/>
        <w:rPr>
          <w:color w:val="000000"/>
          <w:sz w:val="23"/>
          <w:szCs w:val="23"/>
        </w:rPr>
      </w:pPr>
      <w:r>
        <w:rPr>
          <w:color w:val="000000"/>
          <w:sz w:val="23"/>
          <w:szCs w:val="23"/>
        </w:rPr>
        <w:t>An application under section 245(1)—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does not the stay the operation of the following reviewable regulatory decisions: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applicable access arrangement decision approving or making an applicable access arrangement;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associate contract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stays the operation of any other reviewable regulatory decision on the granting of leave to apply by the Tribunal, unless the Tribunal otherwise orders.</w:t>
      </w:r>
    </w:p>
    <w:p>
      <w:pPr>
        <w:pStyle w:val="Heading5"/>
      </w:pPr>
      <w:bookmarkStart w:id="2403" w:name="_Toc53046290"/>
      <w:bookmarkStart w:id="2404" w:name="_Toc5365130"/>
      <w:r>
        <w:rPr>
          <w:rStyle w:val="CharSectno"/>
        </w:rPr>
        <w:t>253</w:t>
      </w:r>
      <w:r>
        <w:t>.</w:t>
      </w:r>
      <w:r>
        <w:tab/>
        <w:t>Intervention by others in a review without leave</w:t>
      </w:r>
      <w:bookmarkEnd w:id="2403"/>
      <w:bookmarkEnd w:id="2404"/>
    </w:p>
    <w:p>
      <w:pPr>
        <w:keepNext/>
        <w:keepLines/>
        <w:autoSpaceDE w:val="0"/>
        <w:autoSpaceDN w:val="0"/>
        <w:adjustRightInd w:val="0"/>
        <w:spacing w:before="120"/>
        <w:ind w:left="1588"/>
        <w:rPr>
          <w:color w:val="000000"/>
          <w:sz w:val="23"/>
          <w:szCs w:val="23"/>
        </w:rPr>
      </w:pPr>
      <w:r>
        <w:rPr>
          <w:color w:val="000000"/>
          <w:sz w:val="23"/>
          <w:szCs w:val="23"/>
        </w:rPr>
        <w:t>Only the following persons may intervene in a review under this Division without leave of the Tribunal: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whom the reviewable regulatory decision being reviewed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Minister of a participating jurisdiction.</w:t>
      </w:r>
    </w:p>
    <w:p>
      <w:pPr>
        <w:pStyle w:val="Heading5"/>
      </w:pPr>
      <w:bookmarkStart w:id="2405" w:name="_Toc53046291"/>
      <w:bookmarkStart w:id="2406" w:name="_Toc5365131"/>
      <w:r>
        <w:rPr>
          <w:rStyle w:val="CharSectno"/>
        </w:rPr>
        <w:t>254</w:t>
      </w:r>
      <w:r>
        <w:t>.</w:t>
      </w:r>
      <w:r>
        <w:tab/>
        <w:t>Leave for reviewable regulatory decision process participants</w:t>
      </w:r>
      <w:bookmarkEnd w:id="2405"/>
      <w:bookmarkEnd w:id="240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must grant leave to a person or body to intervene in a review under this Division if that person or body is a reviewable regulatory decision process participant (other than a user or consumer intervener).</w:t>
      </w:r>
    </w:p>
    <w:p>
      <w:pPr>
        <w:tabs>
          <w:tab w:val="center" w:pos="1191"/>
          <w:tab w:val="left" w:pos="1588"/>
        </w:tabs>
        <w:autoSpaceDE w:val="0"/>
        <w:autoSpaceDN w:val="0"/>
        <w:adjustRightInd w:val="0"/>
        <w:spacing w:before="120"/>
        <w:ind w:left="1588" w:hanging="794"/>
        <w:rPr>
          <w:i/>
          <w:color w:val="000000"/>
          <w:sz w:val="23"/>
          <w:szCs w:val="23"/>
        </w:rPr>
      </w:pPr>
      <w:r>
        <w:rPr>
          <w:color w:val="000000"/>
          <w:sz w:val="23"/>
          <w:szCs w:val="23"/>
        </w:rPr>
        <w:tab/>
      </w:r>
      <w:r>
        <w:rPr>
          <w:i/>
          <w:color w:val="000000"/>
          <w:sz w:val="23"/>
          <w:szCs w:val="23"/>
        </w:rPr>
        <w:t>[(2)</w:t>
      </w:r>
      <w:r>
        <w:rPr>
          <w:i/>
          <w:color w:val="000000"/>
          <w:sz w:val="23"/>
          <w:szCs w:val="23"/>
        </w:rPr>
        <w:tab/>
        <w:t>deleted]</w:t>
      </w:r>
    </w:p>
    <w:p>
      <w:pPr>
        <w:pStyle w:val="Footnotesection"/>
        <w:rPr>
          <w:szCs w:val="23"/>
        </w:rPr>
      </w:pPr>
      <w:r>
        <w:tab/>
        <w:t>[Section 254 amended see SA Act No. 79 of 2013 s. 26 and WA Gazette 14 Mar 2014 p. 632.]</w:t>
      </w:r>
    </w:p>
    <w:p>
      <w:pPr>
        <w:pStyle w:val="Heading5"/>
      </w:pPr>
      <w:bookmarkStart w:id="2407" w:name="_Toc53046292"/>
      <w:bookmarkStart w:id="2408" w:name="_Toc5365132"/>
      <w:r>
        <w:rPr>
          <w:rStyle w:val="CharSectno"/>
        </w:rPr>
        <w:t>255</w:t>
      </w:r>
      <w:r>
        <w:t>.</w:t>
      </w:r>
      <w:r>
        <w:tab/>
        <w:t>Leave for user or consumer intervener</w:t>
      </w:r>
      <w:bookmarkEnd w:id="2407"/>
      <w:bookmarkEnd w:id="240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user or consumer intervener may apply to the Tribunal for leave to intervene in a review of a reviewable regulatory decision under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may grant leave to a user or consumer intervener to intervene in a review under this Division.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subsection (2), the Tribunal may grant leave to a user or consumer intervener to intervene in a review under this Division if the Tribunal is satisfied—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user or consumer intervener, in its application for leave to intervene, raises a matter that will not be raised by the original decision maker or the applicant;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or material the user or consumer intervener wishes to present, or the submissions the user or consumer intervener wishes to make, in the review are likely to be better presented or made by the user or consumer intervener rather than another party to the review;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interests of the user or consumer intervener or its members are affected by the decision being reviewed.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For the purposes of subsection (3)(c)—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interests of a user or consumer intervener are to be taken to be affected if the reviewable regulatory decision being reviewed relates to an object or purpose of the user or consumer intervener;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interests of a user or consumer intervener are not to be taken to not be affected only because those interests do not coincide with the interests of the applicant.</w:t>
      </w:r>
    </w:p>
    <w:p>
      <w:pPr>
        <w:pStyle w:val="Heading5"/>
      </w:pPr>
      <w:bookmarkStart w:id="2409" w:name="_Toc53046293"/>
      <w:bookmarkStart w:id="2410" w:name="_Toc5365133"/>
      <w:r>
        <w:rPr>
          <w:rStyle w:val="CharSectno"/>
        </w:rPr>
        <w:t>256</w:t>
      </w:r>
      <w:r>
        <w:t>.</w:t>
      </w:r>
      <w:r>
        <w:tab/>
        <w:t>Interveners may raise new grounds for review</w:t>
      </w:r>
      <w:bookmarkEnd w:id="2409"/>
      <w:bookmarkEnd w:id="241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intervener may raise in a review under this Division any of the grounds specified in section 246 even if the ground that is raised by the intervener is not raised by the applicant.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If an intervener raises a new ground for review under subsection (1) in relation to a designated reviewable regulatory decision, the intervener must also specify the manner in which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notice of intervention or in the application for review, either separately or collectively, would, or would be likely to, result in a materially preferable designated NGO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it is for the intervener to establish the ground referred to in subsection (1)</w:t>
      </w:r>
      <w:r>
        <w:t xml:space="preserve"> </w:t>
      </w:r>
      <w:r>
        <w:rPr>
          <w:color w:val="000000"/>
          <w:sz w:val="23"/>
          <w:szCs w:val="23"/>
        </w:rPr>
        <w:t>and the matter referred to in subsection (1a).</w:t>
      </w:r>
    </w:p>
    <w:p>
      <w:pPr>
        <w:pStyle w:val="Footnotesection"/>
        <w:rPr>
          <w:szCs w:val="23"/>
        </w:rPr>
      </w:pPr>
      <w:r>
        <w:tab/>
        <w:t>[Section 256 amended see SA Act No. 79 of 2013 s. 27 and WA Gazette 14 Mar 2014 p. 632.]</w:t>
      </w:r>
    </w:p>
    <w:p>
      <w:pPr>
        <w:pStyle w:val="Heading5"/>
      </w:pPr>
      <w:bookmarkStart w:id="2411" w:name="_Toc53046294"/>
      <w:bookmarkStart w:id="2412" w:name="_Toc5365134"/>
      <w:r>
        <w:rPr>
          <w:rStyle w:val="CharSectno"/>
        </w:rPr>
        <w:t>257</w:t>
      </w:r>
      <w:r>
        <w:t>.</w:t>
      </w:r>
      <w:r>
        <w:tab/>
        <w:t>Parties to a review under this Division</w:t>
      </w:r>
      <w:bookmarkEnd w:id="2411"/>
      <w:bookmarkEnd w:id="2412"/>
    </w:p>
    <w:p>
      <w:pPr>
        <w:keepNext/>
        <w:keepLines/>
        <w:autoSpaceDE w:val="0"/>
        <w:autoSpaceDN w:val="0"/>
        <w:adjustRightInd w:val="0"/>
        <w:spacing w:before="120"/>
        <w:ind w:left="1588"/>
        <w:rPr>
          <w:color w:val="000000"/>
          <w:sz w:val="23"/>
          <w:szCs w:val="23"/>
        </w:rPr>
      </w:pPr>
      <w:r>
        <w:rPr>
          <w:color w:val="000000"/>
          <w:sz w:val="23"/>
          <w:szCs w:val="23"/>
        </w:rPr>
        <w:t>The parties to a review under this Division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original decision maker whose decision is the reviewable regulatory decision being reviewed under this Division;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intervener.</w:t>
      </w:r>
    </w:p>
    <w:p>
      <w:pPr>
        <w:pStyle w:val="Heading5"/>
        <w:keepLines w:val="0"/>
      </w:pPr>
      <w:bookmarkStart w:id="2413" w:name="_Toc53046295"/>
      <w:bookmarkStart w:id="2414" w:name="_Toc5365135"/>
      <w:r>
        <w:rPr>
          <w:rStyle w:val="CharSectno"/>
        </w:rPr>
        <w:t>258</w:t>
      </w:r>
      <w:r>
        <w:t>.</w:t>
      </w:r>
      <w:r>
        <w:tab/>
        <w:t>Matters that parties to a review may and may not raise in a review</w:t>
      </w:r>
      <w:bookmarkEnd w:id="2413"/>
      <w:bookmarkEnd w:id="2414"/>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(a1)</w:t>
      </w:r>
      <w:r>
        <w:rPr>
          <w:color w:val="000000"/>
          <w:sz w:val="23"/>
          <w:szCs w:val="23"/>
        </w:rPr>
        <w:tab/>
        <w:t>This section does not apply to a designated reviewable regulatory decision (see section 258A).</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original decision maker whose decision is the reviewable regulatory decision being reviewed under this Division may, in the review, raise—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matter not raised by the applicant or an intervener that relates to a ground for review, or a matter raised in support of a ground for review, raised by the applicant or an intervener;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possible outcome or effect on the reviewable regulatory decision being reviewed that the original decision maker considers may occur as a consequence of the Tribunal making a determination setting aside or varying the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party (other than the original decision maker) to a review under this Division may not raise any matter that was not raised in submissions in relation to the reviewable regulatory decision before that decision was made.</w:t>
      </w:r>
    </w:p>
    <w:p>
      <w:pPr>
        <w:pStyle w:val="Footnotesection"/>
      </w:pPr>
      <w:r>
        <w:tab/>
        <w:t>[Section 258 amended see SA Act No. 79 of 2013 s. 28 and WA Gazette 14 Mar 2014 p. 632.]</w:t>
      </w:r>
    </w:p>
    <w:p>
      <w:pPr>
        <w:pStyle w:val="Heading5"/>
        <w:keepLines w:val="0"/>
      </w:pPr>
      <w:bookmarkStart w:id="2415" w:name="_Toc53046296"/>
      <w:bookmarkStart w:id="2416" w:name="_Toc5365136"/>
      <w:r>
        <w:rPr>
          <w:rStyle w:val="CharSectno"/>
        </w:rPr>
        <w:t>258A</w:t>
      </w:r>
      <w:r>
        <w:t>.</w:t>
      </w:r>
      <w:r>
        <w:tab/>
        <w:t>Matters that may and may not be raised in a review (designated reviewable regulatory decisions)</w:t>
      </w:r>
      <w:bookmarkEnd w:id="2415"/>
      <w:bookmarkEnd w:id="2416"/>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 designated reviewable regulatory decision.</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AER, in a review of a decision to which this section applies, may — </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respond to any matter raised by the applicant or an intervener;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raise any other matter that relates to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ground for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matter raised in support of a ground for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matter relevant to the issues to be considered under section 259(4a) and (4b).</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a review of a decision to which this section applies, the following provisions apply in relation to a person or body, other than the AER (and so apply at all stages of the proceedings before the Tribunal):</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that provides the pipeline services to which the decision being reviewed applies may not raise in relation to the issue of whether a ground for review exists or has been made out any matter that was not raised and maintained by the provider in submissions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service provider whose commercial interests are materially affected by the decision being reviewed may not raise in relation to the issue of whether a ground for review exists or has been made out any matter that was not raised and maintained by the provider in submissions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affected or interested person or body (other than a provider under paragraph (a) or (b)) may not raise in relation to the issue of whether a ground for review exists or has been made out any matter that was not raised by the person or body in a submission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subject to paragraphs (a), (b) and (c)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applicant, or an intervener who has raised a new ground for review under section 256, may raise any matter relevant to the issues to be considered under section 259(4a) and (4b);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any person or body, other than the applicant or an intervener who has raised a new ground for review under section 256, may not raise any matter relevant to the issues to be considered under section 259(4a) and (4b) unless it is in response to a matter raised by — </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(A)</w:t>
      </w:r>
      <w:r>
        <w:rPr>
          <w:color w:val="000000"/>
          <w:sz w:val="23"/>
          <w:szCs w:val="23"/>
        </w:rPr>
        <w:tab/>
        <w:t>the AER under subsection (2)(b)(iii); or</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(B)</w:t>
      </w:r>
      <w:r>
        <w:rPr>
          <w:color w:val="000000"/>
          <w:sz w:val="23"/>
          <w:szCs w:val="23"/>
        </w:rPr>
        <w:tab/>
        <w:t>the applicant under subparagraph (i); or</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(C)</w:t>
      </w:r>
      <w:r>
        <w:rPr>
          <w:color w:val="000000"/>
          <w:sz w:val="23"/>
          <w:szCs w:val="23"/>
        </w:rPr>
        <w:tab/>
        <w:t>an intervener under subparagraph (i).</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For the purposes of subsection (3)(d) — </w:t>
      </w:r>
    </w:p>
    <w:p>
      <w:pPr>
        <w:tabs>
          <w:tab w:val="center" w:pos="1985"/>
          <w:tab w:val="left" w:pos="2382"/>
        </w:tabs>
        <w:autoSpaceDE w:val="0"/>
        <w:autoSpaceDN w:val="0"/>
        <w:adjustRightInd w:val="0"/>
        <w:spacing w:before="120"/>
        <w:ind w:left="2382" w:hanging="794"/>
        <w:rPr>
          <w:b/>
          <w:color w:val="000000"/>
          <w:sz w:val="23"/>
          <w:szCs w:val="23"/>
        </w:rPr>
      </w:pPr>
      <w:r>
        <w:rPr>
          <w:color w:val="000000"/>
          <w:sz w:val="23"/>
          <w:szCs w:val="23"/>
        </w:rPr>
        <w:tab/>
        <w:t>(a)</w:t>
      </w:r>
      <w:r>
        <w:rPr>
          <w:color w:val="000000"/>
          <w:sz w:val="23"/>
          <w:szCs w:val="23"/>
        </w:rPr>
        <w:tab/>
        <w:t>a reference to an applicant includes a reference to a person or body who has applied to the Tribunal for leave to apply for a review under this Division; and</w:t>
      </w:r>
    </w:p>
    <w:p>
      <w:pPr>
        <w:tabs>
          <w:tab w:val="center" w:pos="1985"/>
          <w:tab w:val="left" w:pos="2382"/>
        </w:tabs>
        <w:autoSpaceDE w:val="0"/>
        <w:autoSpaceDN w:val="0"/>
        <w:adjustRightInd w:val="0"/>
        <w:spacing w:before="120"/>
        <w:ind w:left="2382" w:hanging="794"/>
        <w:rPr>
          <w:b/>
          <w:color w:val="000000"/>
          <w:sz w:val="23"/>
          <w:szCs w:val="23"/>
        </w:rPr>
      </w:pPr>
      <w:r>
        <w:rPr>
          <w:color w:val="000000"/>
          <w:sz w:val="23"/>
          <w:szCs w:val="23"/>
        </w:rPr>
        <w:tab/>
        <w:t>(b)</w:t>
      </w:r>
      <w:r>
        <w:rPr>
          <w:color w:val="000000"/>
          <w:sz w:val="23"/>
          <w:szCs w:val="23"/>
        </w:rPr>
        <w:tab/>
        <w:t>a reference to an intervener includes a reference to a person or body who has applied to the Tribunal for leave to intervene in a review under this Division.</w:t>
      </w:r>
    </w:p>
    <w:p>
      <w:pPr>
        <w:pStyle w:val="Footnotesection"/>
      </w:pPr>
      <w:r>
        <w:tab/>
        <w:t>[Section 258A inserted see SA Act No. 79 of 2013 s. 29 and WA Gazette 14 Mar 2014 p. 632.]</w:t>
      </w:r>
    </w:p>
    <w:p>
      <w:pPr>
        <w:pStyle w:val="Heading5"/>
      </w:pPr>
      <w:bookmarkStart w:id="2417" w:name="_Toc53046297"/>
      <w:bookmarkStart w:id="2418" w:name="_Toc5365137"/>
      <w:r>
        <w:rPr>
          <w:rStyle w:val="CharSectno"/>
        </w:rPr>
        <w:t>259</w:t>
      </w:r>
      <w:r>
        <w:t>.</w:t>
      </w:r>
      <w:r>
        <w:tab/>
        <w:t>Tribunal must make determination</w:t>
      </w:r>
      <w:bookmarkEnd w:id="2417"/>
      <w:bookmarkEnd w:id="241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following an application, the Tribunal grants leave in accordance with section 245, the Tribunal must make a determination in respect of the application.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section 260 for the time limit within which the Tribunal must make its determination.</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 xml:space="preserve">Subject to subsections (4) and (4a), a determination under this section may — </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affirm the reviewable regulatory decision;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the reviewable regulatory decision;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set aside the reviewable regulatory decision and remit the matter back to the original decision maker to make the decision again in accordance with any direction or recommendation of the Tribunal.</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For the purposes of making a determination of the kind in subsection (2)(a)</w:t>
      </w:r>
      <w:r>
        <w:t xml:space="preserve"> </w:t>
      </w:r>
      <w:r>
        <w:rPr>
          <w:color w:val="000000"/>
          <w:sz w:val="23"/>
          <w:szCs w:val="23"/>
        </w:rPr>
        <w:t>or (b), the Tribunal may perform all the functions and exercise all the powers of the original decision maker under this Law or the Rules.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deciding whether to remit a matter back to the original decision maker to make the decision again, other than in a case where the decision is a designated reviewable regulatory decision, the Tribunal must have regard to the nature and relative complexities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reviewable regulatory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matter the subject of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(4a)</w:t>
      </w:r>
      <w:r>
        <w:rPr>
          <w:color w:val="000000"/>
          <w:sz w:val="23"/>
          <w:szCs w:val="23"/>
        </w:rPr>
        <w:tab/>
        <w:t xml:space="preserve">In a case where the decision is a designated reviewable regulatory decision, the Tribunal may only make a determination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vary the designated reviewable regulatory decision under subsection (2)(b);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set aside the designated reviewable regulatory decision and remit the matter back to the AER under subsection (2)(c),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 xml:space="preserve">if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Tribunal is satisfied that to do so will, or is likely to, result in a decision that is materially preferable to the designated reviewable regulatory decision in making a contribution to the achievement of the national gas objective (a </w:t>
      </w:r>
      <w:r>
        <w:rPr>
          <w:rStyle w:val="CharDefText"/>
          <w:sz w:val="23"/>
          <w:szCs w:val="23"/>
        </w:rPr>
        <w:t>materially preferable designated NGO decision</w:t>
      </w:r>
      <w:r>
        <w:rPr>
          <w:color w:val="000000"/>
          <w:sz w:val="23"/>
          <w:szCs w:val="23"/>
        </w:rPr>
        <w:t>) (and if the Tribunal is not so satisfied the Tribunal must affirm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the case of a determination to vary the designated reviewable regulatory decision—the Tribunal is satisfied that to do so will not require the Tribunal to undertake an assessment of such complexity that the preferable course of action would be to set aside the decision and remit the matter to the AER to make the decision again.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(4b)</w:t>
      </w:r>
      <w:r>
        <w:rPr>
          <w:color w:val="000000"/>
          <w:sz w:val="23"/>
          <w:szCs w:val="23"/>
        </w:rPr>
        <w:tab/>
        <w:t xml:space="preserve">In connection with the operation of subsection (4a) (and without limiting any other matter that may be relevant under this Law)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Tribunal must consider how the constituent components of the designated reviewable regulatory decision interrelate with each other and with the matters raised as a ground for review;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without limiting paragraph (a), the Tribunal must take into account the revenue and pricing principles (in the same manner in which the AER is to take into account these principles under section 28);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Tribunal must, in assessing the extent of contribution to the achievement of the national gas objective, consider the designated reviewable regulatory decision as a whole; and (d) the following matters must not, in themselves, determine the question about whether a materially preferable designated NGO decision exists: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establishment of a ground for review under section 246(1);</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consequences for, or impacts on, the average annual regulated revenue of a covered pipeline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amount that is specified in or derived from the designated reviewable regulatory decision exceeds the amount specified in section 249(2).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(4c)</w:t>
      </w:r>
      <w:r>
        <w:rPr>
          <w:color w:val="000000"/>
          <w:sz w:val="23"/>
          <w:szCs w:val="23"/>
        </w:rPr>
        <w:tab/>
        <w:t xml:space="preserve">If the Tribunal makes a determination under subsection (2)(b) or (c), the Tribunal must specify in its determination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manner in which it has taken into account the interrelationship between the constituent components of the designated reviewable regulatory decision and how they relate to the matters raised as a ground for review as contemplated by subsection (4b)(a);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determination to vary the designated reviewable regulatory decision—the reasons why it is proceeding to make the variation in view of the requirements of subsection (4a)(d).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determination by the Tribunal affirming, varying or setting aside the reviewable regulatory decision is, for the purposes of this Law (other than this Part), to be taken to be a decision of the original decision maker.</w:t>
      </w:r>
    </w:p>
    <w:p>
      <w:pPr>
        <w:pStyle w:val="Footnotesection"/>
      </w:pPr>
      <w:r>
        <w:tab/>
        <w:t>[Section 259 amended see SA Act No. 79 of 2013 s. 30 and WA Gazette 14 Mar 2014 p. 632.]</w:t>
      </w:r>
    </w:p>
    <w:p>
      <w:pPr>
        <w:pStyle w:val="Heading5"/>
      </w:pPr>
      <w:bookmarkStart w:id="2419" w:name="_Toc53046298"/>
      <w:bookmarkStart w:id="2420" w:name="_Toc5365138"/>
      <w:r>
        <w:rPr>
          <w:rStyle w:val="CharSectno"/>
        </w:rPr>
        <w:t>260</w:t>
      </w:r>
      <w:r>
        <w:t>.</w:t>
      </w:r>
      <w:r>
        <w:tab/>
        <w:t>Target time limit for Tribunal for making a determination under this Division</w:t>
      </w:r>
      <w:bookmarkEnd w:id="2419"/>
      <w:bookmarkEnd w:id="242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must use its best endeavours to make a determination in respect of the application for review under this Division—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within 3 months after the Tribunal grants leave in accordance with section 245 (the </w:t>
      </w:r>
      <w:r>
        <w:rPr>
          <w:rStyle w:val="CharDefText"/>
          <w:bCs/>
          <w:sz w:val="23"/>
        </w:rPr>
        <w:t>standard period</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standard period is extended under this section—that period as extended.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Tribunal is unable to make a determination in respect of the application within the standard period, or that period as extended, the Tribunal must, by notice in writing, extend the standard period or that period by a specified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Tribunal must give a copy of the notice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every other party to the application.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Tribunal may extend the standard period, or that period as extended, more than once.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Tribunal extends a period, it must publish a notice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stating that it has done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specifying a date by which it must now use its best endeavours to make the determination.</w:t>
      </w:r>
    </w:p>
    <w:p>
      <w:pPr>
        <w:pStyle w:val="Heading5"/>
      </w:pPr>
      <w:bookmarkStart w:id="2421" w:name="_Toc53046299"/>
      <w:bookmarkStart w:id="2422" w:name="_Toc5365139"/>
      <w:r>
        <w:rPr>
          <w:rStyle w:val="CharSectno"/>
        </w:rPr>
        <w:t>261</w:t>
      </w:r>
      <w:r>
        <w:t>.</w:t>
      </w:r>
      <w:r>
        <w:tab/>
        <w:t>Matters to be considered by Tribunal in making determination</w:t>
      </w:r>
      <w:bookmarkEnd w:id="2421"/>
      <w:bookmarkEnd w:id="242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section, the Tribunal, in acting under this Division in relation to a reviewable regulatory decision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consider any matter other than review related matter (and any matter arising as a result of consultation under paragraph (b));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must, before making a determination that relates to a designated reviewable regulatory decision, take reasonable steps to consult with (in such manner as the Tribunal thinks appropriate)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users and prospective users of the pipeline services;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user or consumer associations or user or consumer interest groups,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r>
      <w:r>
        <w:rPr>
          <w:color w:val="000000"/>
          <w:sz w:val="23"/>
          <w:szCs w:val="23"/>
        </w:rPr>
        <w:tab/>
        <w:t>that the Tribunal considers have an interest in the determination, other than a user or consumer association or a user or consumer interest group that is a party to the review.</w:t>
      </w:r>
    </w:p>
    <w:p>
      <w:pPr>
        <w:keepNext/>
        <w:keepLines/>
        <w:tabs>
          <w:tab w:val="center" w:pos="1191"/>
          <w:tab w:val="left" w:pos="1588"/>
        </w:tabs>
        <w:autoSpaceDE w:val="0"/>
        <w:autoSpaceDN w:val="0"/>
        <w:adjustRightInd w:val="0"/>
        <w:spacing w:before="120"/>
        <w:ind w:left="1588" w:hanging="794"/>
        <w:rPr>
          <w:i/>
          <w:color w:val="000000"/>
          <w:sz w:val="23"/>
          <w:szCs w:val="23"/>
        </w:rPr>
      </w:pPr>
      <w:r>
        <w:rPr>
          <w:i/>
          <w:color w:val="000000"/>
          <w:sz w:val="23"/>
          <w:szCs w:val="23"/>
        </w:rPr>
        <w:tab/>
        <w:t>[(2)</w:t>
      </w:r>
      <w:r>
        <w:rPr>
          <w:i/>
          <w:color w:val="000000"/>
          <w:sz w:val="23"/>
          <w:szCs w:val="23"/>
        </w:rPr>
        <w:tab/>
        <w:t>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in a review, other than a review that relates to a designated reviewable regulatory decision, the Tribunal is of the view that a ground of review has been made out, the Tribunal may allow new information or material to be submitted if the new information or material—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would assist it on any aspect of the determination to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was not unreasonably withheld from—</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all cases, the original decision maker when the decision maker was making the reviewable regulatory decision;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reviewable regulatory decision that is a Ministerial coverage decision, the NCC when it was it making the NCC recommendation related to Ministerial coverage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(3a)</w:t>
      </w:r>
      <w:r>
        <w:rPr>
          <w:color w:val="000000"/>
          <w:sz w:val="23"/>
          <w:szCs w:val="23"/>
        </w:rPr>
        <w:tab/>
        <w:t xml:space="preserve">If in a review that relates to a designated reviewable regulatory decision the Tribunal is of the view that a ground for review has been made out, the Tribunal may, on application by a party to the review, allow new information or material to be submitted if the party can establish to the satisfaction of the Tribunal that the information or material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was publicly available or known to be publicly available to the AER when it was making the designated reviewable regulatory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would assist the Tribunal on any aspect of the determination to be made and was not unreasonably withheld from the AER when it was making the designated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and was (in the opinion of the Tribunal) information or material that the AER would reasonably have been expected to have considered when it was making the designated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(3b)</w:t>
      </w:r>
      <w:r>
        <w:rPr>
          <w:color w:val="000000"/>
          <w:sz w:val="23"/>
          <w:szCs w:val="23"/>
        </w:rPr>
        <w:tab/>
        <w:t xml:space="preserve">In addition, if in a review of a designated reviewable regulatory decision the Tribunal is of the view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 ground for review has been made out;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it would assist the Tribunal to obtain information or material under this subsection in order to determine whether a materially preferable designated NGO decision exists,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Tribunal may, on its own initiative, take steps to obtain that information or material (including by seeking evidence from such persons as it thinks fit).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(3c)</w:t>
      </w:r>
      <w:r>
        <w:rPr>
          <w:color w:val="000000"/>
          <w:sz w:val="23"/>
          <w:szCs w:val="23"/>
        </w:rPr>
        <w:tab/>
        <w:t>The action taken by a person acting in response to steps taken by the Tribunal under subsection (3b) must be limited to considering decision related matter under section 68C.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(3d)</w:t>
      </w:r>
      <w:r>
        <w:rPr>
          <w:color w:val="000000"/>
          <w:sz w:val="23"/>
          <w:szCs w:val="23"/>
        </w:rPr>
        <w:tab/>
        <w:t>In addition, in the case of a review of a designated reviewable regulatory decision that is a decision to make a full access arrangement decision in place of an access arrangement that the AER did not approve, the Tribunal may consider the reasons of the AER for its decision not to approve the access arrangement or proposed revisions to the applicable access arrangement (as the case may be).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Subject to this Law, for the purpose of subsection (3)(b)</w:t>
      </w:r>
      <w:r>
        <w:t xml:space="preserve"> </w:t>
      </w:r>
      <w:r>
        <w:rPr>
          <w:color w:val="000000"/>
          <w:sz w:val="23"/>
          <w:szCs w:val="23"/>
        </w:rPr>
        <w:t>and (3a)(b), information or material not provided to the original decision maker, the NCC or the AER (as the case requires) following a request for that information or material by the original decision maker, the NCC or the AER under this Law or the Rules is to be taken to have been unreasonably withheld.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Subsection (4) does not limit what may constitute an unreasonable withholding of information or material.</w:t>
      </w:r>
    </w:p>
    <w:p>
      <w:pPr>
        <w:tabs>
          <w:tab w:val="center" w:pos="1191"/>
          <w:tab w:val="left" w:pos="1588"/>
        </w:tabs>
        <w:autoSpaceDE w:val="0"/>
        <w:autoSpaceDN w:val="0"/>
        <w:adjustRightInd w:val="0"/>
        <w:spacing w:before="120"/>
        <w:ind w:left="1588" w:hanging="794"/>
        <w:rPr>
          <w:i/>
          <w:color w:val="000000"/>
          <w:sz w:val="23"/>
          <w:szCs w:val="23"/>
        </w:rPr>
      </w:pPr>
      <w:r>
        <w:rPr>
          <w:i/>
          <w:color w:val="000000"/>
          <w:sz w:val="23"/>
          <w:szCs w:val="23"/>
        </w:rPr>
        <w:tab/>
        <w:t>[(6)</w:t>
      </w:r>
      <w:r>
        <w:rPr>
          <w:i/>
          <w:color w:val="000000"/>
          <w:sz w:val="23"/>
          <w:szCs w:val="23"/>
        </w:rPr>
        <w:tab/>
        <w:t>deleted]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In this section—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r>
      <w:r>
        <w:rPr>
          <w:rStyle w:val="CharDefText"/>
          <w:sz w:val="23"/>
          <w:szCs w:val="23"/>
        </w:rPr>
        <w:t>review related matter</w:t>
      </w:r>
      <w:r>
        <w:rPr>
          <w:color w:val="000000"/>
          <w:sz w:val="23"/>
          <w:szCs w:val="23"/>
        </w:rPr>
        <w:t xml:space="preserve"> means — </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(a)</w:t>
      </w:r>
      <w:r>
        <w:rPr>
          <w:color w:val="000000"/>
          <w:sz w:val="23"/>
          <w:szCs w:val="23"/>
        </w:rPr>
        <w:tab/>
        <w:t>the application for review;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(b)</w:t>
      </w:r>
      <w:r>
        <w:rPr>
          <w:color w:val="000000"/>
          <w:sz w:val="23"/>
          <w:szCs w:val="23"/>
        </w:rPr>
        <w:tab/>
        <w:t>a notice raising new grounds for review filed by an intervener;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(c)</w:t>
      </w:r>
      <w:r>
        <w:rPr>
          <w:color w:val="000000"/>
          <w:sz w:val="23"/>
          <w:szCs w:val="23"/>
        </w:rPr>
        <w:tab/>
        <w:t>the submissions made to the Tribunal by the parties to the review;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(d)</w:t>
      </w:r>
      <w:r>
        <w:rPr>
          <w:color w:val="000000"/>
          <w:sz w:val="23"/>
          <w:szCs w:val="23"/>
        </w:rPr>
        <w:tab/>
        <w:t xml:space="preserve"> — </w:t>
      </w:r>
    </w:p>
    <w:p>
      <w:pPr>
        <w:tabs>
          <w:tab w:val="center" w:pos="2338"/>
          <w:tab w:val="left" w:pos="2694"/>
        </w:tabs>
        <w:autoSpaceDE w:val="0"/>
        <w:autoSpaceDN w:val="0"/>
        <w:adjustRightInd w:val="0"/>
        <w:spacing w:before="120"/>
        <w:ind w:left="2694" w:hanging="1900"/>
        <w:rPr>
          <w:color w:val="000000"/>
          <w:sz w:val="23"/>
          <w:szCs w:val="23"/>
        </w:rPr>
      </w:pPr>
      <w:r>
        <w:rPr>
          <w:color w:val="000000"/>
          <w:sz w:val="23"/>
          <w:szCs w:val="23"/>
        </w:rPr>
        <w:tab/>
        <w:t>(i)</w:t>
      </w:r>
      <w:r>
        <w:rPr>
          <w:color w:val="000000"/>
          <w:sz w:val="23"/>
          <w:szCs w:val="23"/>
        </w:rPr>
        <w:tab/>
        <w:t>in the case of a designated reviewable regulatory decision — decision related matter under section 68C; or</w:t>
      </w:r>
    </w:p>
    <w:p>
      <w:pPr>
        <w:tabs>
          <w:tab w:val="center" w:pos="2338"/>
          <w:tab w:val="left" w:pos="2694"/>
        </w:tabs>
        <w:autoSpaceDE w:val="0"/>
        <w:autoSpaceDN w:val="0"/>
        <w:adjustRightInd w:val="0"/>
        <w:spacing w:before="120"/>
        <w:ind w:left="2694" w:hanging="1900"/>
        <w:rPr>
          <w:color w:val="000000"/>
          <w:sz w:val="23"/>
          <w:szCs w:val="23"/>
        </w:rPr>
      </w:pPr>
      <w:r>
        <w:rPr>
          <w:color w:val="000000"/>
          <w:sz w:val="23"/>
          <w:szCs w:val="23"/>
        </w:rPr>
        <w:tab/>
        <w:t>(ii)</w:t>
      </w:r>
      <w:r>
        <w:rPr>
          <w:color w:val="000000"/>
          <w:sz w:val="23"/>
          <w:szCs w:val="23"/>
        </w:rPr>
        <w:tab/>
        <w:t xml:space="preserve">in any other case — </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(A)</w:t>
      </w:r>
      <w:r>
        <w:rPr>
          <w:color w:val="000000"/>
          <w:sz w:val="23"/>
          <w:szCs w:val="23"/>
        </w:rPr>
        <w:tab/>
        <w:t>the reviewable regulatory decision and the written record of it and any written reasons for it; and</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(B)</w:t>
      </w:r>
      <w:r>
        <w:rPr>
          <w:color w:val="000000"/>
          <w:sz w:val="23"/>
          <w:szCs w:val="23"/>
        </w:rPr>
        <w:tab/>
        <w:t>any written submissions made to the original decision maker before the reviewable regulatory decision was made or the NCC before the making of an NCC recommendation; and</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(C)</w:t>
      </w:r>
      <w:r>
        <w:rPr>
          <w:color w:val="000000"/>
          <w:sz w:val="23"/>
          <w:szCs w:val="23"/>
        </w:rPr>
        <w:tab/>
        <w:t>any reports and materials relied on by the original decision maker in making the reviewable regulatory decision or the NCC in making an NCC recommendation;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(D)</w:t>
      </w:r>
      <w:r>
        <w:rPr>
          <w:color w:val="000000"/>
          <w:sz w:val="23"/>
          <w:szCs w:val="23"/>
        </w:rPr>
        <w:tab/>
        <w:t>any draft of the reviewable regulatory decision or NCC recommendation;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(E)</w:t>
      </w:r>
      <w:r>
        <w:rPr>
          <w:color w:val="000000"/>
          <w:sz w:val="23"/>
          <w:szCs w:val="23"/>
        </w:rPr>
        <w:tab/>
        <w:t xml:space="preserve">any submissions on — </w:t>
      </w:r>
    </w:p>
    <w:p>
      <w:pPr>
        <w:keepLines/>
        <w:tabs>
          <w:tab w:val="center" w:pos="3430"/>
          <w:tab w:val="left" w:pos="3878"/>
        </w:tabs>
        <w:autoSpaceDE w:val="0"/>
        <w:autoSpaceDN w:val="0"/>
        <w:adjustRightInd w:val="0"/>
        <w:spacing w:before="120"/>
        <w:ind w:left="3878" w:hanging="3084"/>
        <w:rPr>
          <w:color w:val="000000"/>
          <w:sz w:val="23"/>
          <w:szCs w:val="23"/>
        </w:rPr>
      </w:pPr>
      <w:r>
        <w:rPr>
          <w:color w:val="000000"/>
          <w:sz w:val="23"/>
          <w:szCs w:val="23"/>
        </w:rPr>
        <w:tab/>
        <w:t>•</w:t>
      </w:r>
      <w:r>
        <w:rPr>
          <w:color w:val="000000"/>
          <w:sz w:val="23"/>
          <w:szCs w:val="23"/>
        </w:rPr>
        <w:tab/>
        <w:t>the draft of the reviewable regulatory decision or the reviewable regulatory decision itself considered by the original decision maker; or</w:t>
      </w:r>
    </w:p>
    <w:p>
      <w:pPr>
        <w:keepLines/>
        <w:tabs>
          <w:tab w:val="center" w:pos="3430"/>
          <w:tab w:val="left" w:pos="3878"/>
        </w:tabs>
        <w:autoSpaceDE w:val="0"/>
        <w:autoSpaceDN w:val="0"/>
        <w:adjustRightInd w:val="0"/>
        <w:spacing w:before="120"/>
        <w:ind w:left="3878" w:hanging="3084"/>
        <w:rPr>
          <w:color w:val="000000"/>
          <w:sz w:val="23"/>
          <w:szCs w:val="23"/>
        </w:rPr>
      </w:pPr>
      <w:r>
        <w:rPr>
          <w:color w:val="000000"/>
          <w:sz w:val="23"/>
          <w:szCs w:val="23"/>
        </w:rPr>
        <w:tab/>
        <w:t>•</w:t>
      </w:r>
      <w:r>
        <w:rPr>
          <w:color w:val="000000"/>
          <w:sz w:val="23"/>
          <w:szCs w:val="23"/>
        </w:rPr>
        <w:tab/>
        <w:t>the draft of an NCC recommendation or the NCC recommendation itself considered by the NCC;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(F)</w:t>
      </w:r>
      <w:r>
        <w:rPr>
          <w:color w:val="000000"/>
          <w:sz w:val="23"/>
          <w:szCs w:val="23"/>
        </w:rPr>
        <w:tab/>
        <w:t>the transcript of any hearing (if any) conducted by the original decision maker for the purpose of making the reviewable regulatory decision; and</w:t>
      </w:r>
    </w:p>
    <w:p>
      <w:pPr>
        <w:keepLines/>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(e)</w:t>
      </w:r>
      <w:r>
        <w:rPr>
          <w:color w:val="000000"/>
          <w:sz w:val="23"/>
          <w:szCs w:val="23"/>
        </w:rPr>
        <w:tab/>
        <w:t>any other matter properly before the Tribunal in connection with the relevant proceedings.</w:t>
      </w:r>
    </w:p>
    <w:p>
      <w:pPr>
        <w:pStyle w:val="Footnotesection"/>
        <w:rPr>
          <w:sz w:val="23"/>
          <w:szCs w:val="23"/>
        </w:rPr>
      </w:pPr>
      <w:r>
        <w:tab/>
      </w:r>
      <w:r>
        <w:rPr>
          <w:sz w:val="23"/>
          <w:szCs w:val="23"/>
        </w:rPr>
        <w:t>[Section 261 amended see SA Act No. 79 of 2013 s. 31</w:t>
      </w:r>
      <w:r>
        <w:t xml:space="preserve"> and WA Gazette 14 Mar 2014 p. 632</w:t>
      </w:r>
      <w:r>
        <w:rPr>
          <w:sz w:val="23"/>
          <w:szCs w:val="23"/>
        </w:rPr>
        <w:t>.]</w:t>
      </w:r>
    </w:p>
    <w:p>
      <w:pPr>
        <w:pStyle w:val="Heading5"/>
      </w:pPr>
      <w:bookmarkStart w:id="2423" w:name="_Toc53046300"/>
      <w:bookmarkStart w:id="2424" w:name="_Toc5365140"/>
      <w:r>
        <w:rPr>
          <w:rStyle w:val="CharSectno"/>
        </w:rPr>
        <w:t>262</w:t>
      </w:r>
      <w:r>
        <w:t>.</w:t>
      </w:r>
      <w:r>
        <w:tab/>
        <w:t>Assistance from NCC in certain cases</w:t>
      </w:r>
      <w:bookmarkEnd w:id="2423"/>
      <w:bookmarkEnd w:id="242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reviewable regulatory decision being reviewed under this Division is a Ministerial coverage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member of the Tribunal presiding in the review may require the NCC to give information and other assistance and to make reports, as specified, by the member for the purposes of the review.</w:t>
      </w:r>
    </w:p>
    <w:p>
      <w:pPr>
        <w:pStyle w:val="Heading4"/>
      </w:pPr>
      <w:bookmarkStart w:id="2425" w:name="_Toc52954607"/>
      <w:bookmarkStart w:id="2426" w:name="_Toc52955903"/>
      <w:bookmarkStart w:id="2427" w:name="_Toc52957402"/>
      <w:bookmarkStart w:id="2428" w:name="_Toc52958185"/>
      <w:bookmarkStart w:id="2429" w:name="_Toc53045518"/>
      <w:bookmarkStart w:id="2430" w:name="_Toc53046301"/>
      <w:bookmarkStart w:id="2431" w:name="_Toc501634188"/>
      <w:bookmarkStart w:id="2432" w:name="_Toc501713084"/>
      <w:bookmarkStart w:id="2433" w:name="_Toc536782309"/>
      <w:bookmarkStart w:id="2434" w:name="_Toc5347367"/>
      <w:bookmarkStart w:id="2435" w:name="_Toc5363920"/>
      <w:bookmarkStart w:id="2436" w:name="_Toc5365141"/>
      <w:r>
        <w:t>Division 3 — Tribunal review of AER information disclosure decisions under section 329</w:t>
      </w:r>
      <w:bookmarkEnd w:id="2425"/>
      <w:bookmarkEnd w:id="2426"/>
      <w:bookmarkEnd w:id="2427"/>
      <w:bookmarkEnd w:id="2428"/>
      <w:bookmarkEnd w:id="2429"/>
      <w:bookmarkEnd w:id="2430"/>
      <w:bookmarkEnd w:id="2431"/>
      <w:bookmarkEnd w:id="2432"/>
      <w:bookmarkEnd w:id="2433"/>
      <w:bookmarkEnd w:id="2434"/>
      <w:bookmarkEnd w:id="2435"/>
      <w:bookmarkEnd w:id="2436"/>
    </w:p>
    <w:p>
      <w:pPr>
        <w:pStyle w:val="Heading5"/>
      </w:pPr>
      <w:bookmarkStart w:id="2437" w:name="_Toc53046302"/>
      <w:bookmarkStart w:id="2438" w:name="_Toc5365142"/>
      <w:r>
        <w:rPr>
          <w:rStyle w:val="CharSectno"/>
        </w:rPr>
        <w:t>263</w:t>
      </w:r>
      <w:r>
        <w:t>.</w:t>
      </w:r>
      <w:r>
        <w:tab/>
        <w:t>Application for review</w:t>
      </w:r>
      <w:bookmarkEnd w:id="2437"/>
      <w:bookmarkEnd w:id="243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whose interests are adversely affected by an AER information disclosure decision may apply to the Tribunal for a review of the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 be made in the form and manner determined by the Tribunal.</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may only be made on the ground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was not made in accordance with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decision is unreasonable having regard to all relevant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person must lodge the application with the Tribunal no later than 5 business days after the date of the notice given under section 329(2), (3) or (6) to which the AER information disclosure decision relates (whichever is the later).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An application under this section stays the operation of the decision until the earlier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20 business days;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making of a determination by the Tribunal in respect of the application.</w:t>
      </w:r>
    </w:p>
    <w:p>
      <w:pPr>
        <w:pStyle w:val="Heading5"/>
      </w:pPr>
      <w:bookmarkStart w:id="2439" w:name="_Toc53046303"/>
      <w:bookmarkStart w:id="2440" w:name="_Toc5365143"/>
      <w:r>
        <w:rPr>
          <w:rStyle w:val="CharSectno"/>
        </w:rPr>
        <w:t>264</w:t>
      </w:r>
      <w:r>
        <w:t>.</w:t>
      </w:r>
      <w:r>
        <w:tab/>
        <w:t>Exclusion of public in certain cases</w:t>
      </w:r>
      <w:bookmarkEnd w:id="2439"/>
      <w:bookmarkEnd w:id="2440"/>
    </w:p>
    <w:p>
      <w:pPr>
        <w:keepLines/>
        <w:autoSpaceDE w:val="0"/>
        <w:autoSpaceDN w:val="0"/>
        <w:adjustRightInd w:val="0"/>
        <w:spacing w:before="120"/>
        <w:ind w:left="1588"/>
        <w:rPr>
          <w:color w:val="000000"/>
          <w:sz w:val="23"/>
          <w:szCs w:val="23"/>
        </w:rPr>
      </w:pPr>
      <w:r>
        <w:rPr>
          <w:color w:val="000000"/>
          <w:sz w:val="23"/>
          <w:szCs w:val="23"/>
        </w:rPr>
        <w:t>On the application of a party to a review under this Division, the Tribunal may conduct the review in the absence of the public.</w:t>
      </w:r>
    </w:p>
    <w:p>
      <w:pPr>
        <w:pStyle w:val="Heading5"/>
      </w:pPr>
      <w:bookmarkStart w:id="2441" w:name="_Toc53046304"/>
      <w:bookmarkStart w:id="2442" w:name="_Toc5365144"/>
      <w:r>
        <w:rPr>
          <w:rStyle w:val="CharSectno"/>
        </w:rPr>
        <w:t>265</w:t>
      </w:r>
      <w:r>
        <w:t>.</w:t>
      </w:r>
      <w:r>
        <w:tab/>
        <w:t>Determination in the review</w:t>
      </w:r>
      <w:bookmarkEnd w:id="2441"/>
      <w:bookmarkEnd w:id="244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Part, on receipt of an application under section 263, the Tribunal must make a determination in respect of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determination under this section must only—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affirm the AER information disclosure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forbid disclosure by the AER of the information or document to which the AER information disclosure decision the subject of the review relates;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restrict, as specified in the determination, the intended disclosure by the AER of the information or document to which the AER information disclosure decision the subject of the review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making a determination of the kind in subsection (2)(a), the Tribunal may perform all the functions and exercise all the powers of the AER under this Law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determination by the Tribunal affirming, forbidding or restricting the AER information disclosure decision is, for the purposes of this Law (other than this Part), to be taken to be a decision of the AER.</w:t>
      </w:r>
    </w:p>
    <w:p>
      <w:pPr>
        <w:pStyle w:val="Heading5"/>
      </w:pPr>
      <w:bookmarkStart w:id="2443" w:name="_Toc53046305"/>
      <w:bookmarkStart w:id="2444" w:name="_Toc5365145"/>
      <w:r>
        <w:rPr>
          <w:rStyle w:val="CharSectno"/>
        </w:rPr>
        <w:t>266</w:t>
      </w:r>
      <w:r>
        <w:t>.</w:t>
      </w:r>
      <w:r>
        <w:tab/>
        <w:t>Tribunal must be taken to have affirmed decision if decision not made within time</w:t>
      </w:r>
      <w:bookmarkEnd w:id="2443"/>
      <w:bookmarkEnd w:id="244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Tribunal does not make a determination under section 265 within 20 business days after an application is lodged under section 263.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must be taken to have made a determination under section 265 affirming the AER information disclosure decision to which the application relates.</w:t>
      </w:r>
    </w:p>
    <w:p>
      <w:pPr>
        <w:pStyle w:val="Heading5"/>
      </w:pPr>
      <w:bookmarkStart w:id="2445" w:name="_Toc53046306"/>
      <w:bookmarkStart w:id="2446" w:name="_Toc5365146"/>
      <w:r>
        <w:rPr>
          <w:rStyle w:val="CharSectno"/>
        </w:rPr>
        <w:t>267</w:t>
      </w:r>
      <w:r>
        <w:t>.</w:t>
      </w:r>
      <w:r>
        <w:tab/>
        <w:t>Assistance from the AER in certain cases</w:t>
      </w:r>
      <w:bookmarkEnd w:id="2445"/>
      <w:bookmarkEnd w:id="2446"/>
    </w:p>
    <w:p>
      <w:pPr>
        <w:keepLines/>
        <w:autoSpaceDE w:val="0"/>
        <w:autoSpaceDN w:val="0"/>
        <w:adjustRightInd w:val="0"/>
        <w:spacing w:before="120"/>
        <w:ind w:left="1588"/>
        <w:rPr>
          <w:color w:val="000000"/>
          <w:sz w:val="23"/>
          <w:szCs w:val="23"/>
        </w:rPr>
      </w:pPr>
      <w:r>
        <w:rPr>
          <w:color w:val="000000"/>
          <w:sz w:val="23"/>
          <w:szCs w:val="23"/>
        </w:rPr>
        <w:t>The member of the Tribunal presiding in the review may require the AER to give information and other assistance and to make reports, as specified, by the member for the purposes of the review.</w:t>
      </w:r>
    </w:p>
    <w:p>
      <w:pPr>
        <w:pStyle w:val="Heading4"/>
      </w:pPr>
      <w:bookmarkStart w:id="2447" w:name="_Toc52954613"/>
      <w:bookmarkStart w:id="2448" w:name="_Toc52955909"/>
      <w:bookmarkStart w:id="2449" w:name="_Toc52957408"/>
      <w:bookmarkStart w:id="2450" w:name="_Toc52958191"/>
      <w:bookmarkStart w:id="2451" w:name="_Toc53045524"/>
      <w:bookmarkStart w:id="2452" w:name="_Toc53046307"/>
      <w:bookmarkStart w:id="2453" w:name="_Toc501634194"/>
      <w:bookmarkStart w:id="2454" w:name="_Toc501713090"/>
      <w:bookmarkStart w:id="2455" w:name="_Toc536782315"/>
      <w:bookmarkStart w:id="2456" w:name="_Toc5347373"/>
      <w:bookmarkStart w:id="2457" w:name="_Toc5363926"/>
      <w:bookmarkStart w:id="2458" w:name="_Toc5365147"/>
      <w:r>
        <w:t>Division 4 — General</w:t>
      </w:r>
      <w:bookmarkEnd w:id="2447"/>
      <w:bookmarkEnd w:id="2448"/>
      <w:bookmarkEnd w:id="2449"/>
      <w:bookmarkEnd w:id="2450"/>
      <w:bookmarkEnd w:id="2451"/>
      <w:bookmarkEnd w:id="2452"/>
      <w:bookmarkEnd w:id="2453"/>
      <w:bookmarkEnd w:id="2454"/>
      <w:bookmarkEnd w:id="2455"/>
      <w:bookmarkEnd w:id="2456"/>
      <w:bookmarkEnd w:id="2457"/>
      <w:bookmarkEnd w:id="2458"/>
    </w:p>
    <w:p>
      <w:pPr>
        <w:pStyle w:val="Heading5"/>
      </w:pPr>
      <w:bookmarkStart w:id="2459" w:name="_Toc53046308"/>
      <w:bookmarkStart w:id="2460" w:name="_Toc5365148"/>
      <w:r>
        <w:rPr>
          <w:rStyle w:val="CharSectno"/>
        </w:rPr>
        <w:t>268</w:t>
      </w:r>
      <w:r>
        <w:t>.</w:t>
      </w:r>
      <w:r>
        <w:tab/>
        <w:t>Costs in a review</w:t>
      </w:r>
      <w:bookmarkEnd w:id="2459"/>
      <w:bookmarkEnd w:id="246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Tribunal may order that a party to a review under this Part pay all or a specified part of the costs of another party to the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must not make an order requiring an original decision maker or small/medium user or consumer intervener to pay the costs of another party to the review unless the Tribunal considers that the original decision maker or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required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of the AER in a review of a designated reviewable regulatory decision — the submissions or arguments made to the Tribunal by another party.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Tribunal may make an order requiring a user or consumer intervener (that is not a small/medium user or consumer intervener) that has intervened in the review to pay all or part of the costs of another party to the review if the Tribunal considers that the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required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submissions or arguments made to the Tribunal by another party.</w:t>
      </w:r>
    </w:p>
    <w:p>
      <w:pPr>
        <w:pStyle w:val="Footnotesection"/>
      </w:pPr>
      <w:r>
        <w:tab/>
        <w:t>[Section 268 amended see SA Act No. 79 of 2013 s. 32 and WA Gazette 14 Mar 2014 p. 632.]</w:t>
      </w:r>
    </w:p>
    <w:p>
      <w:pPr>
        <w:pStyle w:val="Heading5"/>
      </w:pPr>
      <w:bookmarkStart w:id="2461" w:name="_Toc53046309"/>
      <w:bookmarkStart w:id="2462" w:name="_Toc5365149"/>
      <w:r>
        <w:rPr>
          <w:rStyle w:val="CharSectno"/>
        </w:rPr>
        <w:t>269</w:t>
      </w:r>
      <w:r>
        <w:t>.</w:t>
      </w:r>
      <w:r>
        <w:tab/>
        <w:t>Amount of costs</w:t>
      </w:r>
      <w:bookmarkEnd w:id="2461"/>
      <w:bookmarkEnd w:id="246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Tribunal makes an order for costs in a review under this Part, the Tribunal may in that order fix the amount of costs payable by a party to the review 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party and party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solicitor and client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indemnity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other basis as the Tribunal may decide.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However, in the case of a review that relates to a designated reviewable regulatory decision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subsection (1) does not apply in relation to an order for costs against a small/medium user or consumer intervener;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Tribunal makes an order for costs against a small/medium user or consumer intervener in favour of another party, the costs must be limited to the payment of reasonable administrative costs (as determined by the Tribunal) of that other party.</w:t>
      </w:r>
    </w:p>
    <w:p>
      <w:pPr>
        <w:pStyle w:val="Footnotesection"/>
      </w:pPr>
      <w:r>
        <w:tab/>
        <w:t>[Section 269 amended see SA Act No. 79 of 2013 s. 33 and WA Gazette 14 Mar 2014 p. 632.]</w:t>
      </w:r>
    </w:p>
    <w:p>
      <w:pPr>
        <w:pStyle w:val="Heading5"/>
      </w:pPr>
      <w:bookmarkStart w:id="2463" w:name="_Toc53046310"/>
      <w:bookmarkStart w:id="2464" w:name="_Toc5365150"/>
      <w:r>
        <w:rPr>
          <w:rStyle w:val="CharSectno"/>
        </w:rPr>
        <w:t>269A</w:t>
      </w:r>
      <w:r>
        <w:t>.</w:t>
      </w:r>
      <w:r>
        <w:tab/>
        <w:t>Costs not to be passed on</w:t>
      </w:r>
      <w:bookmarkEnd w:id="2463"/>
      <w:bookmarkEnd w:id="246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any expenditure or cost that a service provider incurs, or is forecast to incur, as a result of or incidental to a review that relates to a designated reviewable regulatory decision under this Part, including costs awarded under section 268.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A service provider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for the purposes of an applicable access arrangement decision, include as part of its capital expenditure or operating expenditure any expenditure or cost to which this section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not recover from end users or seek a pass through of any expenditure or cost to which this section applies.</w:t>
      </w:r>
    </w:p>
    <w:p>
      <w:pPr>
        <w:keepLines/>
        <w:tabs>
          <w:tab w:val="center" w:pos="1191"/>
          <w:tab w:val="left" w:pos="1588"/>
        </w:tabs>
        <w:autoSpaceDE w:val="0"/>
        <w:autoSpaceDN w:val="0"/>
        <w:adjustRightInd w:val="0"/>
        <w:spacing w:before="120"/>
        <w:ind w:left="1588" w:hanging="794"/>
        <w:rPr>
          <w:b/>
          <w:color w:val="000000"/>
          <w:sz w:val="23"/>
          <w:szCs w:val="23"/>
        </w:rPr>
      </w:pPr>
      <w:r>
        <w:rPr>
          <w:color w:val="000000"/>
          <w:sz w:val="23"/>
          <w:szCs w:val="23"/>
        </w:rPr>
        <w:tab/>
        <w:t>(3)</w:t>
      </w:r>
      <w:r>
        <w:rPr>
          <w:color w:val="000000"/>
          <w:sz w:val="23"/>
          <w:szCs w:val="23"/>
        </w:rPr>
        <w:tab/>
        <w:t>This section applies despite any provision to the contrary in this Law, the Rules, an applicable access arrangement or an applicable access arrangement decision (and this section prevails to the extent of any inconsistency between such a provision and this section).</w:t>
      </w:r>
    </w:p>
    <w:p>
      <w:pPr>
        <w:pStyle w:val="Footnotesection"/>
      </w:pPr>
      <w:r>
        <w:tab/>
        <w:t>[Section 269A inserted see SA Act No. 79 of 2013 s. 34 and WA Gazette 14 Mar 2014 p. 632.]</w:t>
      </w:r>
    </w:p>
    <w:p>
      <w:pPr>
        <w:pStyle w:val="Heading5"/>
        <w:spacing w:before="120"/>
      </w:pPr>
      <w:bookmarkStart w:id="2465" w:name="_Toc53046311"/>
      <w:bookmarkStart w:id="2466" w:name="_Toc5365151"/>
      <w:r>
        <w:rPr>
          <w:rStyle w:val="CharSectno"/>
        </w:rPr>
        <w:t>270</w:t>
      </w:r>
      <w:r>
        <w:t>.</w:t>
      </w:r>
      <w:r>
        <w:tab/>
        <w:t>Review of Part</w:t>
      </w:r>
      <w:bookmarkEnd w:id="2465"/>
      <w:bookmarkEnd w:id="246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must initiate a review of the Tribunal's role under this Part by 1 December 2016.</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The review will be undertaken by a person nominated by the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MCE must specify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person undertaking the review must, during the review, invite public comment and submissions about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person undertaking the review must report, in writing, to the MCE on the outcome of the review by the date specified by the MCE.</w:t>
      </w:r>
    </w:p>
    <w:p>
      <w:pPr>
        <w:pStyle w:val="Footnotesection"/>
      </w:pPr>
      <w:r>
        <w:tab/>
        <w:t>[Section 270 amended see SA Act No. 79 of 2013 s. 35 and WA Gazette 14 Mar 2014 p. 632.]</w:t>
      </w:r>
    </w:p>
    <w:p>
      <w:pPr>
        <w:pStyle w:val="Heading3"/>
        <w:spacing w:before="120"/>
      </w:pPr>
      <w:bookmarkStart w:id="2467" w:name="_Toc52954618"/>
      <w:bookmarkStart w:id="2468" w:name="_Toc52955914"/>
      <w:bookmarkStart w:id="2469" w:name="_Toc52957413"/>
      <w:bookmarkStart w:id="2470" w:name="_Toc52958196"/>
      <w:bookmarkStart w:id="2471" w:name="_Toc53045529"/>
      <w:bookmarkStart w:id="2472" w:name="_Toc53046312"/>
      <w:bookmarkStart w:id="2473" w:name="_Toc501634199"/>
      <w:bookmarkStart w:id="2474" w:name="_Toc501713095"/>
      <w:bookmarkStart w:id="2475" w:name="_Toc536782320"/>
      <w:bookmarkStart w:id="2476" w:name="_Toc5347378"/>
      <w:bookmarkStart w:id="2477" w:name="_Toc5363931"/>
      <w:bookmarkStart w:id="2478" w:name="_Toc5365152"/>
      <w:r>
        <w:rPr>
          <w:rStyle w:val="CharDivNo"/>
        </w:rPr>
        <w:t>Part 6</w:t>
      </w:r>
      <w:r>
        <w:t xml:space="preserve"> — </w:t>
      </w:r>
      <w:r>
        <w:rPr>
          <w:rStyle w:val="CharDivText"/>
        </w:rPr>
        <w:t>Enforcement of access determinations</w:t>
      </w:r>
      <w:bookmarkEnd w:id="2467"/>
      <w:bookmarkEnd w:id="2468"/>
      <w:bookmarkEnd w:id="2469"/>
      <w:bookmarkEnd w:id="2470"/>
      <w:bookmarkEnd w:id="2471"/>
      <w:bookmarkEnd w:id="2472"/>
      <w:bookmarkEnd w:id="2473"/>
      <w:bookmarkEnd w:id="2474"/>
      <w:bookmarkEnd w:id="2475"/>
      <w:bookmarkEnd w:id="2476"/>
      <w:bookmarkEnd w:id="2477"/>
      <w:bookmarkEnd w:id="2478"/>
    </w:p>
    <w:p>
      <w:pPr>
        <w:pStyle w:val="Heading5"/>
        <w:spacing w:before="120"/>
      </w:pPr>
      <w:bookmarkStart w:id="2479" w:name="_Toc53046313"/>
      <w:bookmarkStart w:id="2480" w:name="_Toc5365153"/>
      <w:r>
        <w:rPr>
          <w:rStyle w:val="CharSectno"/>
        </w:rPr>
        <w:t>271</w:t>
      </w:r>
      <w:r>
        <w:t>.</w:t>
      </w:r>
      <w:r>
        <w:tab/>
        <w:t>Enforcement of access determinations</w:t>
      </w:r>
      <w:bookmarkEnd w:id="2479"/>
      <w:bookmarkEnd w:id="248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Court is satisfied, on the application of a party to an access determination, that another party to the determination has engaged, is engaging, or is proposing to engage in conduct that constitutes a contravention of the determination, the Court may make all or any of the following orders: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granting an injunction on such terms as the Court thinks appropriate—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restraining the other party from engaging in the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if the conduct involves refusing or failing to do something—requiring the other party to do that thing;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directing the other party to compensate the applicant for loss or damage suffered as a result of the contravention;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order that the Court thinks appropriate.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revocation of an access determination does not affect any remedy under subsection (1) in respect of a contravention of the determination that occurred when the determination was in force.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Court has power under subsection (1) to grant an injunction restraining a person from engaging in particular conduct, or requiring a person to do anything, the Court may make any other orders (including granting an injunction) that it thinks appropriate against any other person who was involved in the contravention concerned.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reference in this section to a person involved in the contravention is a reference to a person who has—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aided, abetted, counselled or procured the contravention;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induced the contravention, whether through threats or promises or otherwise;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been in any way (directly or indirectly) knowingly concerned in or a party to the contravention;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conspired with others to effect the contravention.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reference in this section to an access determination includes a reference to an access determination under Chapter 6A.</w:t>
      </w:r>
    </w:p>
    <w:p>
      <w:pPr>
        <w:pStyle w:val="Footnotesection"/>
      </w:pPr>
      <w:r>
        <w:tab/>
        <w:t>[Section 271 amended: see SA Act No. 23 of 2017 s. 7 and WA Gazette 22 Dec 2017 p. 5984.]</w:t>
      </w:r>
    </w:p>
    <w:p>
      <w:pPr>
        <w:pStyle w:val="Heading5"/>
      </w:pPr>
      <w:bookmarkStart w:id="2481" w:name="_Toc53046314"/>
      <w:bookmarkStart w:id="2482" w:name="_Toc5365154"/>
      <w:r>
        <w:rPr>
          <w:rStyle w:val="CharSectno"/>
        </w:rPr>
        <w:t>272</w:t>
      </w:r>
      <w:r>
        <w:t>.</w:t>
      </w:r>
      <w:r>
        <w:tab/>
        <w:t>Consent injunctions</w:t>
      </w:r>
      <w:bookmarkEnd w:id="2481"/>
      <w:bookmarkEnd w:id="2482"/>
    </w:p>
    <w:p>
      <w:pPr>
        <w:keepLines/>
        <w:autoSpaceDE w:val="0"/>
        <w:autoSpaceDN w:val="0"/>
        <w:adjustRightInd w:val="0"/>
        <w:spacing w:before="120"/>
        <w:ind w:left="1588"/>
        <w:rPr>
          <w:color w:val="000000"/>
          <w:sz w:val="23"/>
          <w:szCs w:val="23"/>
        </w:rPr>
      </w:pPr>
      <w:r>
        <w:rPr>
          <w:color w:val="000000"/>
          <w:sz w:val="23"/>
          <w:szCs w:val="23"/>
        </w:rPr>
        <w:t>On an application for an injunction under section 271, the Court may grant an injunction by consent of all of the parties to the proceedings, whether or not the Court is satisfied that the section applies.</w:t>
      </w:r>
    </w:p>
    <w:p>
      <w:pPr>
        <w:pStyle w:val="Heading5"/>
      </w:pPr>
      <w:bookmarkStart w:id="2483" w:name="_Toc53046315"/>
      <w:bookmarkStart w:id="2484" w:name="_Toc5365155"/>
      <w:r>
        <w:rPr>
          <w:rStyle w:val="CharSectno"/>
        </w:rPr>
        <w:t>273</w:t>
      </w:r>
      <w:r>
        <w:t>.</w:t>
      </w:r>
      <w:r>
        <w:tab/>
        <w:t>Interim injunctions</w:t>
      </w:r>
      <w:bookmarkEnd w:id="2483"/>
      <w:bookmarkEnd w:id="2484"/>
    </w:p>
    <w:p>
      <w:pPr>
        <w:keepLines/>
        <w:autoSpaceDE w:val="0"/>
        <w:autoSpaceDN w:val="0"/>
        <w:adjustRightInd w:val="0"/>
        <w:spacing w:before="120"/>
        <w:ind w:left="1588"/>
        <w:rPr>
          <w:color w:val="000000"/>
          <w:sz w:val="23"/>
          <w:szCs w:val="23"/>
        </w:rPr>
      </w:pPr>
      <w:r>
        <w:rPr>
          <w:color w:val="000000"/>
          <w:sz w:val="23"/>
          <w:szCs w:val="23"/>
        </w:rPr>
        <w:t>The Court may grant an interim injunction pending determination of an application under section 271.</w:t>
      </w:r>
    </w:p>
    <w:p>
      <w:pPr>
        <w:pStyle w:val="Heading5"/>
      </w:pPr>
      <w:bookmarkStart w:id="2485" w:name="_Toc53046316"/>
      <w:bookmarkStart w:id="2486" w:name="_Toc5365156"/>
      <w:r>
        <w:rPr>
          <w:rStyle w:val="CharSectno"/>
        </w:rPr>
        <w:t>274</w:t>
      </w:r>
      <w:r>
        <w:t>.</w:t>
      </w:r>
      <w:r>
        <w:tab/>
        <w:t>Factors relevant to granting a restraining injunction</w:t>
      </w:r>
      <w:bookmarkEnd w:id="2485"/>
      <w:bookmarkEnd w:id="2486"/>
    </w:p>
    <w:p>
      <w:pPr>
        <w:keepNext/>
        <w:keepLines/>
        <w:autoSpaceDE w:val="0"/>
        <w:autoSpaceDN w:val="0"/>
        <w:adjustRightInd w:val="0"/>
        <w:spacing w:before="120"/>
        <w:ind w:left="1588"/>
        <w:rPr>
          <w:color w:val="000000"/>
          <w:sz w:val="23"/>
          <w:szCs w:val="23"/>
        </w:rPr>
      </w:pPr>
      <w:r>
        <w:rPr>
          <w:color w:val="000000"/>
          <w:sz w:val="23"/>
          <w:szCs w:val="23"/>
        </w:rPr>
        <w:t>The power of the Court to grant an injunction under section 271 restraining a person from engaging in conduct may be exercised whether or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has previously engaged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there is an imminent danger of substantial damage to any person if the first mentioned person engages in conduct of that kind.</w:t>
      </w:r>
    </w:p>
    <w:p>
      <w:pPr>
        <w:pStyle w:val="Heading5"/>
      </w:pPr>
      <w:bookmarkStart w:id="2487" w:name="_Toc53046317"/>
      <w:bookmarkStart w:id="2488" w:name="_Toc5365157"/>
      <w:r>
        <w:rPr>
          <w:rStyle w:val="CharSectno"/>
        </w:rPr>
        <w:t>275</w:t>
      </w:r>
      <w:r>
        <w:t>.</w:t>
      </w:r>
      <w:r>
        <w:tab/>
        <w:t>Factors relevant to granting a mandatory injunction</w:t>
      </w:r>
      <w:bookmarkEnd w:id="2487"/>
      <w:bookmarkEnd w:id="2488"/>
    </w:p>
    <w:p>
      <w:pPr>
        <w:keepNext/>
        <w:keepLines/>
        <w:autoSpaceDE w:val="0"/>
        <w:autoSpaceDN w:val="0"/>
        <w:adjustRightInd w:val="0"/>
        <w:spacing w:before="120"/>
        <w:ind w:left="1588"/>
        <w:rPr>
          <w:color w:val="000000"/>
          <w:sz w:val="23"/>
          <w:szCs w:val="23"/>
        </w:rPr>
      </w:pPr>
      <w:r>
        <w:rPr>
          <w:color w:val="000000"/>
          <w:sz w:val="23"/>
          <w:szCs w:val="23"/>
        </w:rPr>
        <w:t>The power of the Court to grant an injunction under section 271 requiring a person to do a thing may be exercised whether or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appears to the Court that the person intends to refuse or fail again, or to continue to refuse or fail, to do that thing;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has previously refused or failed to do that thing;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there is an imminent danger of substantial damage to any person if the first mentioned person refuses or fails to do that thing.</w:t>
      </w:r>
    </w:p>
    <w:p>
      <w:pPr>
        <w:pStyle w:val="Heading5"/>
      </w:pPr>
      <w:bookmarkStart w:id="2489" w:name="_Toc53046318"/>
      <w:bookmarkStart w:id="2490" w:name="_Toc5365158"/>
      <w:r>
        <w:rPr>
          <w:rStyle w:val="CharSectno"/>
        </w:rPr>
        <w:t>276</w:t>
      </w:r>
      <w:r>
        <w:t>.</w:t>
      </w:r>
      <w:r>
        <w:tab/>
        <w:t>Discharge or variation of injunction or other order</w:t>
      </w:r>
      <w:bookmarkEnd w:id="2489"/>
      <w:bookmarkEnd w:id="2490"/>
    </w:p>
    <w:p>
      <w:pPr>
        <w:keepLines/>
        <w:autoSpaceDE w:val="0"/>
        <w:autoSpaceDN w:val="0"/>
        <w:adjustRightInd w:val="0"/>
        <w:spacing w:before="120"/>
        <w:ind w:left="1588"/>
        <w:rPr>
          <w:color w:val="000000"/>
          <w:sz w:val="23"/>
          <w:szCs w:val="23"/>
        </w:rPr>
      </w:pPr>
      <w:r>
        <w:rPr>
          <w:color w:val="000000"/>
          <w:sz w:val="23"/>
          <w:szCs w:val="23"/>
        </w:rPr>
        <w:t>The Court may discharge or vary an injunction or order granted under this Part.</w:t>
      </w:r>
    </w:p>
    <w:p>
      <w:pPr>
        <w:pStyle w:val="Heading3"/>
      </w:pPr>
      <w:bookmarkStart w:id="2491" w:name="_Toc52954625"/>
      <w:bookmarkStart w:id="2492" w:name="_Toc52955921"/>
      <w:bookmarkStart w:id="2493" w:name="_Toc52957420"/>
      <w:bookmarkStart w:id="2494" w:name="_Toc52958203"/>
      <w:bookmarkStart w:id="2495" w:name="_Toc53045536"/>
      <w:bookmarkStart w:id="2496" w:name="_Toc53046319"/>
      <w:bookmarkStart w:id="2497" w:name="_Toc501634206"/>
      <w:bookmarkStart w:id="2498" w:name="_Toc501713102"/>
      <w:bookmarkStart w:id="2499" w:name="_Toc536782327"/>
      <w:bookmarkStart w:id="2500" w:name="_Toc5347385"/>
      <w:bookmarkStart w:id="2501" w:name="_Toc5363938"/>
      <w:bookmarkStart w:id="2502" w:name="_Toc5365159"/>
      <w:r>
        <w:rPr>
          <w:rStyle w:val="CharDivNo"/>
        </w:rPr>
        <w:t>Part 7</w:t>
      </w:r>
      <w:r>
        <w:t xml:space="preserve"> — </w:t>
      </w:r>
      <w:r>
        <w:rPr>
          <w:rStyle w:val="CharDivText"/>
        </w:rPr>
        <w:t>Infringement notices</w:t>
      </w:r>
      <w:bookmarkEnd w:id="2491"/>
      <w:bookmarkEnd w:id="2492"/>
      <w:bookmarkEnd w:id="2493"/>
      <w:bookmarkEnd w:id="2494"/>
      <w:bookmarkEnd w:id="2495"/>
      <w:bookmarkEnd w:id="2496"/>
      <w:bookmarkEnd w:id="2497"/>
      <w:bookmarkEnd w:id="2498"/>
      <w:bookmarkEnd w:id="2499"/>
      <w:bookmarkEnd w:id="2500"/>
      <w:bookmarkEnd w:id="2501"/>
      <w:bookmarkEnd w:id="2502"/>
    </w:p>
    <w:p>
      <w:pPr>
        <w:pStyle w:val="Heading5"/>
        <w:spacing w:before="120"/>
      </w:pPr>
      <w:bookmarkStart w:id="2503" w:name="_Toc53046320"/>
      <w:bookmarkStart w:id="2504" w:name="_Toc5365160"/>
      <w:r>
        <w:rPr>
          <w:rStyle w:val="CharSectno"/>
        </w:rPr>
        <w:t>277</w:t>
      </w:r>
      <w:r>
        <w:t>.</w:t>
      </w:r>
      <w:r>
        <w:tab/>
        <w:t>Power to serve notice</w:t>
      </w:r>
      <w:bookmarkEnd w:id="2503"/>
      <w:bookmarkEnd w:id="250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serve an infringement notice on a person that the AER has reason to believe has breached a civil penalty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however, serve an infringement notice not later than 12 months after the date on which the AER forms a belief that there has been a breach of a civil penalty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infringement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person to their usual or last known place of residence or business.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infringement notice may be served on a person that is a body corporate—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body corporate to its registered office or usual or last known place of business.</w:t>
      </w:r>
    </w:p>
    <w:p>
      <w:pPr>
        <w:pStyle w:val="Heading5"/>
        <w:spacing w:before="120"/>
      </w:pPr>
      <w:bookmarkStart w:id="2505" w:name="_Toc53046321"/>
      <w:bookmarkStart w:id="2506" w:name="_Toc5365161"/>
      <w:r>
        <w:rPr>
          <w:rStyle w:val="CharSectno"/>
        </w:rPr>
        <w:t>278</w:t>
      </w:r>
      <w:r>
        <w:t>.</w:t>
      </w:r>
      <w:r>
        <w:tab/>
        <w:t>Form of notice</w:t>
      </w:r>
      <w:bookmarkEnd w:id="2505"/>
      <w:bookmarkEnd w:id="2506"/>
    </w:p>
    <w:p>
      <w:pPr>
        <w:keepNext/>
        <w:keepLines/>
        <w:autoSpaceDE w:val="0"/>
        <w:autoSpaceDN w:val="0"/>
        <w:adjustRightInd w:val="0"/>
        <w:spacing w:before="120"/>
        <w:ind w:left="1588"/>
        <w:rPr>
          <w:color w:val="000000"/>
          <w:sz w:val="23"/>
          <w:szCs w:val="23"/>
        </w:rPr>
      </w:pPr>
      <w:r>
        <w:rPr>
          <w:color w:val="000000"/>
          <w:sz w:val="23"/>
          <w:szCs w:val="23"/>
        </w:rPr>
        <w:t>An infringement notice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date of the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the alleged breach is a breach of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and a brief description, of the alleged breach;</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date, time and place of the alleged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infringement penalty for the alleged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manner in which the infringement penalty may be paid;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time (being not less than 28 days after the date on which the notice is served) within which the infringement penalty must be paid;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that, if the amount of the infringement penalty is paid before the end of the time specified in the notice, proceedings will not be instituted in respect of the alleged breach by the AER unless the notice is withdrawn before the end of that time in accordance with section 282;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that the person is entitled to disregard the notice and defend any proceedings in respect of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(j)</w:t>
      </w:r>
      <w:r>
        <w:rPr>
          <w:color w:val="000000"/>
          <w:sz w:val="23"/>
          <w:szCs w:val="23"/>
        </w:rPr>
        <w:tab/>
        <w:t>any other particulars prescribed by the Regulations.</w:t>
      </w:r>
    </w:p>
    <w:p>
      <w:pPr>
        <w:pStyle w:val="Heading5"/>
      </w:pPr>
      <w:bookmarkStart w:id="2507" w:name="_Toc53046322"/>
      <w:bookmarkStart w:id="2508" w:name="_Toc5365162"/>
      <w:r>
        <w:rPr>
          <w:rStyle w:val="CharSectno"/>
        </w:rPr>
        <w:t>279</w:t>
      </w:r>
      <w:r>
        <w:t>.</w:t>
      </w:r>
      <w:r>
        <w:tab/>
        <w:t>Infringement penalty</w:t>
      </w:r>
      <w:bookmarkEnd w:id="2507"/>
      <w:bookmarkEnd w:id="2508"/>
    </w:p>
    <w:p>
      <w:pPr>
        <w:keepNext/>
        <w:keepLines/>
        <w:autoSpaceDE w:val="0"/>
        <w:autoSpaceDN w:val="0"/>
        <w:adjustRightInd w:val="0"/>
        <w:spacing w:before="120"/>
        <w:ind w:left="1588"/>
        <w:rPr>
          <w:color w:val="000000"/>
          <w:sz w:val="23"/>
          <w:szCs w:val="23"/>
        </w:rPr>
      </w:pPr>
      <w:r>
        <w:rPr>
          <w:color w:val="000000"/>
          <w:sz w:val="23"/>
          <w:szCs w:val="23"/>
        </w:rPr>
        <w:t>The infringement penalty for a breach of a civil penalty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breach is alleged to have been committed by a natural person—$4 000 or any lesser amount that is prescribed by the Regulations in relation to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breach is alleged to have been committed by a body corporate—$20 000 or any lesser amount that is prescribed by the Regulations in relation to the civil penalty provision.</w:t>
      </w:r>
    </w:p>
    <w:p>
      <w:pPr>
        <w:pStyle w:val="Heading5"/>
        <w:keepLines w:val="0"/>
      </w:pPr>
      <w:bookmarkStart w:id="2509" w:name="_Toc53046323"/>
      <w:bookmarkStart w:id="2510" w:name="_Toc5365163"/>
      <w:r>
        <w:rPr>
          <w:rStyle w:val="CharSectno"/>
        </w:rPr>
        <w:t>280</w:t>
      </w:r>
      <w:r>
        <w:t>.</w:t>
      </w:r>
      <w:r>
        <w:tab/>
        <w:t>AER cannot institute proceedings while infringement notice on foot</w:t>
      </w:r>
      <w:bookmarkEnd w:id="2509"/>
      <w:bookmarkEnd w:id="2510"/>
    </w:p>
    <w:p>
      <w:pPr>
        <w:keepLines/>
        <w:autoSpaceDE w:val="0"/>
        <w:autoSpaceDN w:val="0"/>
        <w:adjustRightInd w:val="0"/>
        <w:spacing w:before="160"/>
        <w:ind w:left="1588"/>
        <w:rPr>
          <w:color w:val="000000"/>
          <w:sz w:val="23"/>
          <w:szCs w:val="23"/>
        </w:rPr>
      </w:pPr>
      <w:r>
        <w:rPr>
          <w:color w:val="000000"/>
          <w:sz w:val="23"/>
          <w:szCs w:val="23"/>
        </w:rPr>
        <w:t>On serving an infringement notice under this Part, the AER must not institute a proceeding in respect of the breach for which the infringement notice was served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time for payment stated in the infringement notice has not expired;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notice has not been withdrawn by the AER in accordance with section 282.</w:t>
      </w:r>
    </w:p>
    <w:p>
      <w:pPr>
        <w:pStyle w:val="Heading5"/>
      </w:pPr>
      <w:bookmarkStart w:id="2511" w:name="_Toc53046324"/>
      <w:bookmarkStart w:id="2512" w:name="_Toc5365164"/>
      <w:r>
        <w:rPr>
          <w:rStyle w:val="CharSectno"/>
        </w:rPr>
        <w:t>281</w:t>
      </w:r>
      <w:r>
        <w:t>.</w:t>
      </w:r>
      <w:r>
        <w:tab/>
        <w:t>Late payment of penalty</w:t>
      </w:r>
      <w:bookmarkEnd w:id="2511"/>
      <w:bookmarkEnd w:id="2512"/>
    </w:p>
    <w:p>
      <w:pPr>
        <w:keepNext/>
        <w:keepLines/>
        <w:autoSpaceDE w:val="0"/>
        <w:autoSpaceDN w:val="0"/>
        <w:adjustRightInd w:val="0"/>
        <w:spacing w:before="160"/>
        <w:ind w:left="1588"/>
        <w:rPr>
          <w:color w:val="000000"/>
          <w:sz w:val="23"/>
          <w:szCs w:val="23"/>
        </w:rPr>
      </w:pPr>
      <w:r>
        <w:rPr>
          <w:color w:val="000000"/>
          <w:sz w:val="23"/>
          <w:szCs w:val="23"/>
        </w:rPr>
        <w:t>The AER may accept payment of the infringement penalty even after the expiration of the time for payment stated in the infringement notice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proceeding has not been instituted in respect of the breach to which the infringement penalty relates;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notice has not been withdrawn by the AER in accordance with section 282.</w:t>
      </w:r>
    </w:p>
    <w:p>
      <w:pPr>
        <w:pStyle w:val="Heading5"/>
      </w:pPr>
      <w:bookmarkStart w:id="2513" w:name="_Toc53046325"/>
      <w:bookmarkStart w:id="2514" w:name="_Toc5365165"/>
      <w:r>
        <w:rPr>
          <w:rStyle w:val="CharSectno"/>
        </w:rPr>
        <w:t>282</w:t>
      </w:r>
      <w:r>
        <w:t>.</w:t>
      </w:r>
      <w:r>
        <w:tab/>
        <w:t>Withdrawal of notice</w:t>
      </w:r>
      <w:bookmarkEnd w:id="2513"/>
      <w:bookmarkEnd w:id="2514"/>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The AER may withdraw an infringement notice at any time before the end of the time for payment specified in the notice by serving a withdrawal notice on the person served with the infringement notice.</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A withdrawal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person to their usual or last known place of residence or business.</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withdrawal notice may be served on a person that is a body corporate—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body corporate to its registered office or usual or last known place of business.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infringement notice may be withdrawn even if the infringement penalty has been paid.</w:t>
      </w:r>
    </w:p>
    <w:p>
      <w:pPr>
        <w:pStyle w:val="Heading5"/>
      </w:pPr>
      <w:bookmarkStart w:id="2515" w:name="_Toc53046326"/>
      <w:bookmarkStart w:id="2516" w:name="_Toc5365166"/>
      <w:r>
        <w:rPr>
          <w:rStyle w:val="CharSectno"/>
        </w:rPr>
        <w:t>283</w:t>
      </w:r>
      <w:r>
        <w:t>.</w:t>
      </w:r>
      <w:r>
        <w:tab/>
        <w:t>Refund of infringement penalty</w:t>
      </w:r>
      <w:bookmarkEnd w:id="2515"/>
      <w:bookmarkEnd w:id="2516"/>
    </w:p>
    <w:p>
      <w:pPr>
        <w:keepLines/>
        <w:autoSpaceDE w:val="0"/>
        <w:autoSpaceDN w:val="0"/>
        <w:adjustRightInd w:val="0"/>
        <w:spacing w:before="120"/>
        <w:ind w:left="1588"/>
        <w:rPr>
          <w:color w:val="000000"/>
          <w:sz w:val="23"/>
          <w:szCs w:val="23"/>
        </w:rPr>
      </w:pPr>
      <w:r>
        <w:rPr>
          <w:color w:val="000000"/>
          <w:sz w:val="23"/>
          <w:szCs w:val="23"/>
        </w:rPr>
        <w:t>If an infringement notice is withdrawn in accordance with section 282, the amount of any infringement penalty paid must be refunded by the AER.</w:t>
      </w:r>
    </w:p>
    <w:p>
      <w:pPr>
        <w:pStyle w:val="Heading5"/>
      </w:pPr>
      <w:bookmarkStart w:id="2517" w:name="_Toc53046327"/>
      <w:bookmarkStart w:id="2518" w:name="_Toc5365167"/>
      <w:r>
        <w:rPr>
          <w:rStyle w:val="CharSectno"/>
        </w:rPr>
        <w:t>284</w:t>
      </w:r>
      <w:r>
        <w:t>.</w:t>
      </w:r>
      <w:r>
        <w:tab/>
        <w:t>Payment expiates breach of civil penalty provision</w:t>
      </w:r>
      <w:bookmarkEnd w:id="2517"/>
      <w:bookmarkEnd w:id="2518"/>
    </w:p>
    <w:p>
      <w:pPr>
        <w:keepNext/>
        <w:keepLines/>
        <w:autoSpaceDE w:val="0"/>
        <w:autoSpaceDN w:val="0"/>
        <w:adjustRightInd w:val="0"/>
        <w:spacing w:before="120"/>
        <w:ind w:left="1588"/>
        <w:rPr>
          <w:color w:val="000000"/>
          <w:sz w:val="23"/>
          <w:szCs w:val="23"/>
        </w:rPr>
      </w:pPr>
      <w:r>
        <w:rPr>
          <w:color w:val="000000"/>
          <w:sz w:val="23"/>
          <w:szCs w:val="23"/>
        </w:rPr>
        <w:t>No proceedings may be taken by the AER against a person on whom an infringement notice was served in respect of an alleged breach of a civil penalty provision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infringement penalty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paid within the time for payment stated in the notice;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not withdrawn by the AER within the time for payment stated in the notice in accordance with section 282;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penalty is accepted in accordance with section 281.</w:t>
      </w:r>
    </w:p>
    <w:p>
      <w:pPr>
        <w:pStyle w:val="Heading5"/>
      </w:pPr>
      <w:bookmarkStart w:id="2519" w:name="_Toc53046328"/>
      <w:bookmarkStart w:id="2520" w:name="_Toc5365168"/>
      <w:r>
        <w:rPr>
          <w:rStyle w:val="CharSectno"/>
        </w:rPr>
        <w:t>285</w:t>
      </w:r>
      <w:r>
        <w:t>.</w:t>
      </w:r>
      <w:r>
        <w:tab/>
        <w:t>Payment not to have certain consequences</w:t>
      </w:r>
      <w:bookmarkEnd w:id="2519"/>
      <w:bookmarkEnd w:id="2520"/>
    </w:p>
    <w:p>
      <w:pPr>
        <w:keepLines/>
        <w:autoSpaceDE w:val="0"/>
        <w:autoSpaceDN w:val="0"/>
        <w:adjustRightInd w:val="0"/>
        <w:spacing w:before="120"/>
        <w:ind w:left="1588"/>
        <w:rPr>
          <w:color w:val="000000"/>
          <w:sz w:val="23"/>
          <w:szCs w:val="23"/>
        </w:rPr>
      </w:pPr>
      <w:r>
        <w:rPr>
          <w:color w:val="000000"/>
          <w:sz w:val="23"/>
          <w:szCs w:val="23"/>
        </w:rPr>
        <w:t>The payment of an infringement penalty under this Part is not and must not be taken to be an admission of a breach of a civil penalty provision or an admission of liability for the purpose of any proceeding instituted in respect of the breach.</w:t>
      </w:r>
    </w:p>
    <w:p>
      <w:pPr>
        <w:pStyle w:val="Heading5"/>
      </w:pPr>
      <w:bookmarkStart w:id="2521" w:name="_Toc53046329"/>
      <w:bookmarkStart w:id="2522" w:name="_Toc5365169"/>
      <w:r>
        <w:rPr>
          <w:rStyle w:val="CharSectno"/>
        </w:rPr>
        <w:t>286</w:t>
      </w:r>
      <w:r>
        <w:t>.</w:t>
      </w:r>
      <w:r>
        <w:tab/>
        <w:t>Conduct in breach of more than 1 civil penalty provision</w:t>
      </w:r>
      <w:bookmarkEnd w:id="2521"/>
      <w:bookmarkEnd w:id="252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conduct of a person constitutes a breach of 2 or more civil penalty provisions, an infringement notice may be served on the person under this Part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person is not liable to pay more than 1 infringement penalty in respect of the same conduct.</w:t>
      </w:r>
    </w:p>
    <w:p>
      <w:pPr>
        <w:pStyle w:val="Heading3"/>
        <w:rPr>
          <w:szCs w:val="32"/>
        </w:rPr>
      </w:pPr>
      <w:bookmarkStart w:id="2523" w:name="_Toc52954636"/>
      <w:bookmarkStart w:id="2524" w:name="_Toc52955932"/>
      <w:bookmarkStart w:id="2525" w:name="_Toc52957431"/>
      <w:bookmarkStart w:id="2526" w:name="_Toc52958214"/>
      <w:bookmarkStart w:id="2527" w:name="_Toc53045547"/>
      <w:bookmarkStart w:id="2528" w:name="_Toc53046330"/>
      <w:bookmarkStart w:id="2529" w:name="_Toc501634217"/>
      <w:bookmarkStart w:id="2530" w:name="_Toc501713113"/>
      <w:bookmarkStart w:id="2531" w:name="_Toc536782338"/>
      <w:bookmarkStart w:id="2532" w:name="_Toc5347396"/>
      <w:bookmarkStart w:id="2533" w:name="_Toc5363949"/>
      <w:bookmarkStart w:id="2534" w:name="_Toc5365170"/>
      <w:r>
        <w:rPr>
          <w:rStyle w:val="CharDivNo"/>
        </w:rPr>
        <w:t>Part 8</w:t>
      </w:r>
      <w:r>
        <w:t xml:space="preserve"> </w:t>
      </w:r>
      <w:r>
        <w:rPr>
          <w:szCs w:val="32"/>
        </w:rPr>
        <w:t>—</w:t>
      </w:r>
      <w:r>
        <w:t xml:space="preserve"> </w:t>
      </w:r>
      <w:r>
        <w:rPr>
          <w:rStyle w:val="CharDivText"/>
        </w:rPr>
        <w:t>Further provision for corporate liability for breaches of this Law etc</w:t>
      </w:r>
      <w:bookmarkEnd w:id="2523"/>
      <w:bookmarkEnd w:id="2524"/>
      <w:bookmarkEnd w:id="2525"/>
      <w:bookmarkEnd w:id="2526"/>
      <w:bookmarkEnd w:id="2527"/>
      <w:bookmarkEnd w:id="2528"/>
      <w:bookmarkEnd w:id="2529"/>
      <w:bookmarkEnd w:id="2530"/>
      <w:bookmarkEnd w:id="2531"/>
      <w:bookmarkEnd w:id="2532"/>
      <w:bookmarkEnd w:id="2533"/>
      <w:bookmarkEnd w:id="2534"/>
    </w:p>
    <w:p>
      <w:pPr>
        <w:pStyle w:val="Heading5"/>
      </w:pPr>
      <w:bookmarkStart w:id="2535" w:name="_Toc53046331"/>
      <w:bookmarkStart w:id="2536" w:name="_Toc5365171"/>
      <w:r>
        <w:rPr>
          <w:rStyle w:val="CharSectno"/>
        </w:rPr>
        <w:t>287</w:t>
      </w:r>
      <w:r>
        <w:t>.</w:t>
      </w:r>
      <w:r>
        <w:tab/>
        <w:t>Definition</w:t>
      </w:r>
      <w:bookmarkEnd w:id="2535"/>
      <w:bookmarkEnd w:id="2536"/>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breach provision</w:t>
      </w:r>
      <w:r>
        <w:rPr>
          <w:bCs/>
          <w:i/>
          <w:iCs/>
          <w:color w:val="000000"/>
          <w:sz w:val="23"/>
          <w:szCs w:val="23"/>
        </w:rPr>
        <w:t xml:space="preserve"> </w:t>
      </w:r>
      <w:r>
        <w:rPr>
          <w:color w:val="000000"/>
          <w:sz w:val="23"/>
          <w:szCs w:val="23"/>
        </w:rPr>
        <w:t>means an offence provision, a civil penalty provision or a conduct provision.</w:t>
      </w:r>
    </w:p>
    <w:p>
      <w:pPr>
        <w:pStyle w:val="Heading5"/>
      </w:pPr>
      <w:bookmarkStart w:id="2537" w:name="_Toc53046332"/>
      <w:bookmarkStart w:id="2538" w:name="_Toc5365172"/>
      <w:r>
        <w:rPr>
          <w:rStyle w:val="CharSectno"/>
        </w:rPr>
        <w:t>288</w:t>
      </w:r>
      <w:r>
        <w:t>.</w:t>
      </w:r>
      <w:r>
        <w:tab/>
        <w:t>Offences and breaches by corporations</w:t>
      </w:r>
      <w:bookmarkEnd w:id="2537"/>
      <w:bookmarkEnd w:id="253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corporation contravenes a breach provision, each officer of the corporation is to be taken to have contravened the breach provision if the officer knowingly authorised or permitted the contravention or breach.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officer of a corporation may be proceeded against under a breach provision pursuant to this section whether or not the corporation has been proceeded against under the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Nothing in this section affects the liability of a corporation for a contravention of a breach provision.</w:t>
      </w:r>
    </w:p>
    <w:p>
      <w:pPr>
        <w:pStyle w:val="Heading5"/>
        <w:keepNext w:val="0"/>
        <w:keepLines w:val="0"/>
      </w:pPr>
      <w:bookmarkStart w:id="2539" w:name="_Toc53046333"/>
      <w:bookmarkStart w:id="2540" w:name="_Toc5365173"/>
      <w:r>
        <w:rPr>
          <w:rStyle w:val="CharSectno"/>
        </w:rPr>
        <w:t>289</w:t>
      </w:r>
      <w:r>
        <w:t>.</w:t>
      </w:r>
      <w:r>
        <w:tab/>
        <w:t>Corporations also in breach if officers and employees are in breach</w:t>
      </w:r>
      <w:bookmarkEnd w:id="2539"/>
      <w:bookmarkEnd w:id="2540"/>
    </w:p>
    <w:p>
      <w:pPr>
        <w:autoSpaceDE w:val="0"/>
        <w:autoSpaceDN w:val="0"/>
        <w:adjustRightInd w:val="0"/>
        <w:spacing w:before="120"/>
        <w:ind w:left="1588"/>
        <w:rPr>
          <w:color w:val="000000"/>
          <w:sz w:val="23"/>
          <w:szCs w:val="23"/>
        </w:rPr>
      </w:pPr>
      <w:r>
        <w:rPr>
          <w:color w:val="000000"/>
          <w:sz w:val="23"/>
          <w:szCs w:val="23"/>
        </w:rPr>
        <w:t>If an officer or employee of a corporation commits an act in their capacity as officer or employee of the corporation that would, if that act were committed by the corporation, constitute a breach of a provision of this Law, the Regulations or the Rules, that corporation is to be taken to have contravened that provision.</w:t>
      </w:r>
    </w:p>
    <w:p>
      <w:pPr>
        <w:pStyle w:val="Heading2"/>
      </w:pPr>
      <w:bookmarkStart w:id="2541" w:name="_Toc52954640"/>
      <w:bookmarkStart w:id="2542" w:name="_Toc52955936"/>
      <w:bookmarkStart w:id="2543" w:name="_Toc52957435"/>
      <w:bookmarkStart w:id="2544" w:name="_Toc52958218"/>
      <w:bookmarkStart w:id="2545" w:name="_Toc53045551"/>
      <w:bookmarkStart w:id="2546" w:name="_Toc53046334"/>
      <w:bookmarkStart w:id="2547" w:name="_Toc501634221"/>
      <w:bookmarkStart w:id="2548" w:name="_Toc501713117"/>
      <w:bookmarkStart w:id="2549" w:name="_Toc536782342"/>
      <w:bookmarkStart w:id="2550" w:name="_Toc5347400"/>
      <w:bookmarkStart w:id="2551" w:name="_Toc5363953"/>
      <w:bookmarkStart w:id="2552" w:name="_Toc5365174"/>
      <w:r>
        <w:rPr>
          <w:rStyle w:val="CharPartNo"/>
        </w:rPr>
        <w:t>Chapter 9</w:t>
      </w:r>
      <w:r>
        <w:t xml:space="preserve"> — </w:t>
      </w:r>
      <w:r>
        <w:rPr>
          <w:rStyle w:val="CharPartText"/>
        </w:rPr>
        <w:t>The making of the National Gas Rules</w:t>
      </w:r>
      <w:bookmarkEnd w:id="2541"/>
      <w:bookmarkEnd w:id="2542"/>
      <w:bookmarkEnd w:id="2543"/>
      <w:bookmarkEnd w:id="2544"/>
      <w:bookmarkEnd w:id="2545"/>
      <w:bookmarkEnd w:id="2546"/>
      <w:bookmarkEnd w:id="2547"/>
      <w:bookmarkEnd w:id="2548"/>
      <w:bookmarkEnd w:id="2549"/>
      <w:bookmarkEnd w:id="2550"/>
      <w:bookmarkEnd w:id="2551"/>
      <w:bookmarkEnd w:id="2552"/>
    </w:p>
    <w:p>
      <w:pPr>
        <w:pStyle w:val="Heading3"/>
      </w:pPr>
      <w:bookmarkStart w:id="2553" w:name="_Toc52954641"/>
      <w:bookmarkStart w:id="2554" w:name="_Toc52955937"/>
      <w:bookmarkStart w:id="2555" w:name="_Toc52957436"/>
      <w:bookmarkStart w:id="2556" w:name="_Toc52958219"/>
      <w:bookmarkStart w:id="2557" w:name="_Toc53045552"/>
      <w:bookmarkStart w:id="2558" w:name="_Toc53046335"/>
      <w:bookmarkStart w:id="2559" w:name="_Toc501634222"/>
      <w:bookmarkStart w:id="2560" w:name="_Toc501713118"/>
      <w:bookmarkStart w:id="2561" w:name="_Toc536782343"/>
      <w:bookmarkStart w:id="2562" w:name="_Toc5347401"/>
      <w:bookmarkStart w:id="2563" w:name="_Toc5363954"/>
      <w:bookmarkStart w:id="2564" w:name="_Toc5365175"/>
      <w:r>
        <w:rPr>
          <w:rStyle w:val="CharDivNo"/>
        </w:rPr>
        <w:t>Part 1</w:t>
      </w:r>
      <w:r>
        <w:t xml:space="preserve"> — </w:t>
      </w:r>
      <w:r>
        <w:rPr>
          <w:rStyle w:val="CharDivText"/>
        </w:rPr>
        <w:t>General</w:t>
      </w:r>
      <w:bookmarkEnd w:id="2553"/>
      <w:bookmarkEnd w:id="2554"/>
      <w:bookmarkEnd w:id="2555"/>
      <w:bookmarkEnd w:id="2556"/>
      <w:bookmarkEnd w:id="2557"/>
      <w:bookmarkEnd w:id="2558"/>
      <w:bookmarkEnd w:id="2559"/>
      <w:bookmarkEnd w:id="2560"/>
      <w:bookmarkEnd w:id="2561"/>
      <w:bookmarkEnd w:id="2562"/>
      <w:bookmarkEnd w:id="2563"/>
      <w:bookmarkEnd w:id="2564"/>
    </w:p>
    <w:p>
      <w:pPr>
        <w:pStyle w:val="Heading4"/>
      </w:pPr>
      <w:bookmarkStart w:id="2565" w:name="_Toc52954642"/>
      <w:bookmarkStart w:id="2566" w:name="_Toc52955938"/>
      <w:bookmarkStart w:id="2567" w:name="_Toc52957437"/>
      <w:bookmarkStart w:id="2568" w:name="_Toc52958220"/>
      <w:bookmarkStart w:id="2569" w:name="_Toc53045553"/>
      <w:bookmarkStart w:id="2570" w:name="_Toc53046336"/>
      <w:bookmarkStart w:id="2571" w:name="_Toc501634223"/>
      <w:bookmarkStart w:id="2572" w:name="_Toc501713119"/>
      <w:bookmarkStart w:id="2573" w:name="_Toc536782344"/>
      <w:bookmarkStart w:id="2574" w:name="_Toc5347402"/>
      <w:bookmarkStart w:id="2575" w:name="_Toc5363955"/>
      <w:bookmarkStart w:id="2576" w:name="_Toc5365176"/>
      <w:r>
        <w:t>Division 1 — Interpretation</w:t>
      </w:r>
      <w:bookmarkEnd w:id="2565"/>
      <w:bookmarkEnd w:id="2566"/>
      <w:bookmarkEnd w:id="2567"/>
      <w:bookmarkEnd w:id="2568"/>
      <w:bookmarkEnd w:id="2569"/>
      <w:bookmarkEnd w:id="2570"/>
      <w:bookmarkEnd w:id="2571"/>
      <w:bookmarkEnd w:id="2572"/>
      <w:bookmarkEnd w:id="2573"/>
      <w:bookmarkEnd w:id="2574"/>
      <w:bookmarkEnd w:id="2575"/>
      <w:bookmarkEnd w:id="2576"/>
    </w:p>
    <w:p>
      <w:pPr>
        <w:pStyle w:val="Heading5"/>
      </w:pPr>
      <w:bookmarkStart w:id="2577" w:name="_Toc53046337"/>
      <w:bookmarkStart w:id="2578" w:name="_Toc5365177"/>
      <w:r>
        <w:rPr>
          <w:rStyle w:val="CharSectno"/>
        </w:rPr>
        <w:t>290</w:t>
      </w:r>
      <w:r>
        <w:t>.</w:t>
      </w:r>
      <w:r>
        <w:tab/>
        <w:t>Definitions</w:t>
      </w:r>
      <w:bookmarkEnd w:id="2577"/>
      <w:bookmarkEnd w:id="2578"/>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AEMC initiated Rule</w:t>
      </w:r>
      <w:r>
        <w:rPr>
          <w:bCs/>
          <w:i/>
          <w:iCs/>
          <w:color w:val="000000"/>
          <w:sz w:val="23"/>
          <w:szCs w:val="23"/>
        </w:rPr>
        <w:t xml:space="preserve"> </w:t>
      </w:r>
      <w:r>
        <w:rPr>
          <w:color w:val="000000"/>
          <w:sz w:val="23"/>
          <w:szCs w:val="23"/>
        </w:rPr>
        <w:t>means a Rule of the kind referred to in section 295(2);</w:t>
      </w:r>
    </w:p>
    <w:p>
      <w:pPr>
        <w:keepLines/>
        <w:autoSpaceDE w:val="0"/>
        <w:autoSpaceDN w:val="0"/>
        <w:adjustRightInd w:val="0"/>
        <w:spacing w:before="120"/>
        <w:ind w:left="1588"/>
        <w:rPr>
          <w:color w:val="000000"/>
          <w:sz w:val="23"/>
          <w:szCs w:val="23"/>
        </w:rPr>
      </w:pPr>
      <w:r>
        <w:rPr>
          <w:rStyle w:val="CharDefText"/>
          <w:bCs/>
          <w:sz w:val="23"/>
        </w:rPr>
        <w:t>AEMC Rule review</w:t>
      </w:r>
      <w:r>
        <w:rPr>
          <w:bCs/>
          <w:i/>
          <w:iCs/>
          <w:color w:val="000000"/>
          <w:sz w:val="23"/>
          <w:szCs w:val="23"/>
        </w:rPr>
        <w:t xml:space="preserve"> </w:t>
      </w:r>
      <w:r>
        <w:rPr>
          <w:color w:val="000000"/>
          <w:sz w:val="23"/>
          <w:szCs w:val="23"/>
        </w:rPr>
        <w:t>means a review conducted by the AEMC under Chapter 2 Part 2 Division 5;</w:t>
      </w:r>
    </w:p>
    <w:p>
      <w:pPr>
        <w:keepNext/>
        <w:keepLines/>
        <w:autoSpaceDE w:val="0"/>
        <w:autoSpaceDN w:val="0"/>
        <w:adjustRightInd w:val="0"/>
        <w:spacing w:before="120"/>
        <w:ind w:left="1588"/>
        <w:rPr>
          <w:color w:val="000000"/>
          <w:sz w:val="23"/>
          <w:szCs w:val="23"/>
        </w:rPr>
      </w:pPr>
      <w:r>
        <w:rPr>
          <w:rStyle w:val="CharDefText"/>
          <w:bCs/>
          <w:sz w:val="23"/>
        </w:rPr>
        <w:t>gas market regulatory body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ERA;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VENCorp;</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GMCo;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REMCo;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person or body prescribed by Regulation to be a gas market regulatory body;</w:t>
      </w:r>
    </w:p>
    <w:p>
      <w:pPr>
        <w:keepLines/>
        <w:autoSpaceDE w:val="0"/>
        <w:autoSpaceDN w:val="0"/>
        <w:adjustRightInd w:val="0"/>
        <w:spacing w:before="120"/>
        <w:ind w:left="1588"/>
        <w:rPr>
          <w:color w:val="000000"/>
          <w:sz w:val="23"/>
          <w:szCs w:val="23"/>
        </w:rPr>
      </w:pPr>
      <w:r>
        <w:rPr>
          <w:rStyle w:val="CharDefText"/>
          <w:bCs/>
          <w:sz w:val="23"/>
        </w:rPr>
        <w:t>GMCo</w:t>
      </w:r>
      <w:r>
        <w:rPr>
          <w:color w:val="000000"/>
          <w:sz w:val="23"/>
          <w:szCs w:val="23"/>
        </w:rPr>
        <w:t xml:space="preserve"> means the Gas Market Company Ltd (ACN 095 400 258);</w:t>
      </w:r>
    </w:p>
    <w:p>
      <w:pPr>
        <w:keepLines/>
        <w:autoSpaceDE w:val="0"/>
        <w:autoSpaceDN w:val="0"/>
        <w:adjustRightInd w:val="0"/>
        <w:spacing w:before="120"/>
        <w:ind w:left="1588"/>
        <w:rPr>
          <w:color w:val="000000"/>
          <w:sz w:val="23"/>
          <w:szCs w:val="23"/>
        </w:rPr>
      </w:pPr>
      <w:r>
        <w:rPr>
          <w:rStyle w:val="CharDefText"/>
          <w:bCs/>
          <w:sz w:val="23"/>
        </w:rPr>
        <w:t>market initiated proposed Rule</w:t>
      </w:r>
      <w:r>
        <w:rPr>
          <w:bCs/>
          <w:i/>
          <w:iCs/>
          <w:color w:val="000000"/>
          <w:sz w:val="23"/>
          <w:szCs w:val="23"/>
        </w:rPr>
        <w:t xml:space="preserve"> </w:t>
      </w:r>
      <w:r>
        <w:rPr>
          <w:color w:val="000000"/>
          <w:sz w:val="23"/>
          <w:szCs w:val="23"/>
        </w:rPr>
        <w:t>means a request for a Rule made under section 295(1) in respect of which the AEMC publishes a notice under section 303;</w:t>
      </w:r>
    </w:p>
    <w:p>
      <w:pPr>
        <w:keepLines/>
        <w:autoSpaceDE w:val="0"/>
        <w:autoSpaceDN w:val="0"/>
        <w:adjustRightInd w:val="0"/>
        <w:spacing w:before="120"/>
        <w:ind w:left="1588"/>
        <w:rPr>
          <w:color w:val="000000"/>
          <w:sz w:val="23"/>
          <w:szCs w:val="23"/>
        </w:rPr>
      </w:pPr>
      <w:r>
        <w:rPr>
          <w:rStyle w:val="CharDefText"/>
          <w:bCs/>
          <w:sz w:val="23"/>
        </w:rPr>
        <w:t>more preferable Rule</w:t>
      </w:r>
      <w:r>
        <w:rPr>
          <w:bCs/>
          <w:i/>
          <w:iCs/>
          <w:color w:val="000000"/>
          <w:sz w:val="23"/>
          <w:szCs w:val="23"/>
        </w:rPr>
        <w:t xml:space="preserve"> </w:t>
      </w:r>
      <w:r>
        <w:rPr>
          <w:color w:val="000000"/>
          <w:sz w:val="23"/>
          <w:szCs w:val="23"/>
        </w:rPr>
        <w:t>has the meaning given by section 296;</w:t>
      </w:r>
    </w:p>
    <w:p>
      <w:pPr>
        <w:keepLines/>
        <w:autoSpaceDE w:val="0"/>
        <w:autoSpaceDN w:val="0"/>
        <w:adjustRightInd w:val="0"/>
        <w:spacing w:before="120"/>
        <w:ind w:left="1588"/>
        <w:rPr>
          <w:color w:val="000000"/>
          <w:sz w:val="23"/>
          <w:szCs w:val="23"/>
        </w:rPr>
      </w:pPr>
      <w:r>
        <w:rPr>
          <w:rStyle w:val="CharDefText"/>
          <w:sz w:val="23"/>
        </w:rPr>
        <w:t>non</w:t>
      </w:r>
      <w:r>
        <w:rPr>
          <w:rStyle w:val="CharDefText"/>
          <w:sz w:val="23"/>
        </w:rPr>
        <w:noBreakHyphen/>
        <w:t>controversial Rule</w:t>
      </w:r>
      <w:r>
        <w:rPr>
          <w:color w:val="000000"/>
          <w:sz w:val="23"/>
          <w:szCs w:val="23"/>
        </w:rPr>
        <w:t xml:space="preserve"> means a Rule that is unlikely to have a significant effect on a market for gas or the regulation of pipeline services;</w:t>
      </w:r>
    </w:p>
    <w:p>
      <w:pPr>
        <w:keepNext/>
        <w:keepLines/>
        <w:autoSpaceDE w:val="0"/>
        <w:autoSpaceDN w:val="0"/>
        <w:adjustRightInd w:val="0"/>
        <w:spacing w:before="120"/>
        <w:ind w:left="1588"/>
        <w:rPr>
          <w:color w:val="000000"/>
          <w:sz w:val="23"/>
          <w:szCs w:val="23"/>
        </w:rPr>
      </w:pPr>
      <w:r>
        <w:rPr>
          <w:rStyle w:val="CharDefText"/>
          <w:bCs/>
          <w:sz w:val="23"/>
        </w:rPr>
        <w:t>proposed Rule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market initiated proposed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proposal for an AEMC initiated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proposed more preferable Rule;</w:t>
      </w:r>
    </w:p>
    <w:p>
      <w:pPr>
        <w:keepNext/>
        <w:keepLines/>
        <w:autoSpaceDE w:val="0"/>
        <w:autoSpaceDN w:val="0"/>
        <w:adjustRightInd w:val="0"/>
        <w:spacing w:before="120"/>
        <w:ind w:left="1588"/>
        <w:rPr>
          <w:color w:val="000000"/>
          <w:sz w:val="23"/>
          <w:szCs w:val="23"/>
        </w:rPr>
      </w:pPr>
      <w:r>
        <w:rPr>
          <w:rStyle w:val="CharDefText"/>
          <w:bCs/>
          <w:sz w:val="23"/>
        </w:rPr>
        <w:t>publish</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 notice required to be published under this Chapter (except section 315)—publish in the South Australian Government Gazette, on the AEMC’s website and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a decision under section 301(2)—publish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relation to a proposed Rule referred to in section 303 and any other documents prescribed by the Regulations in relation to a proposed Rule referred to in section 303—publish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relation to a draft Rule determination or final Rule determination—publish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in relation to any submissions or comments received by the AEMC under this Chapter—subject to section 319, 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in relation to a report prepared under section 320—publish on the AEMC’s website and make available at the offices of the AEMC;</w:t>
      </w:r>
    </w:p>
    <w:p>
      <w:pPr>
        <w:keepLines/>
        <w:autoSpaceDE w:val="0"/>
        <w:autoSpaceDN w:val="0"/>
        <w:adjustRightInd w:val="0"/>
        <w:spacing w:before="120"/>
        <w:ind w:left="1588"/>
        <w:rPr>
          <w:color w:val="000000"/>
          <w:sz w:val="23"/>
          <w:szCs w:val="23"/>
        </w:rPr>
      </w:pPr>
      <w:r>
        <w:rPr>
          <w:rStyle w:val="CharDefText"/>
          <w:bCs/>
          <w:sz w:val="23"/>
        </w:rPr>
        <w:t>REMCo</w:t>
      </w:r>
      <w:r>
        <w:rPr>
          <w:color w:val="000000"/>
          <w:sz w:val="23"/>
          <w:szCs w:val="23"/>
        </w:rPr>
        <w:t xml:space="preserve"> means the Retail Energy Market Company Ltd (ACN 103 318 556);</w:t>
      </w:r>
    </w:p>
    <w:p>
      <w:pPr>
        <w:keepLines/>
        <w:autoSpaceDE w:val="0"/>
        <w:autoSpaceDN w:val="0"/>
        <w:adjustRightInd w:val="0"/>
        <w:spacing w:before="120"/>
        <w:ind w:left="1588"/>
        <w:rPr>
          <w:color w:val="000000"/>
          <w:sz w:val="23"/>
          <w:szCs w:val="23"/>
        </w:rPr>
      </w:pPr>
      <w:r>
        <w:rPr>
          <w:rStyle w:val="CharDefText"/>
          <w:bCs/>
          <w:sz w:val="23"/>
        </w:rPr>
        <w:t>urgent Rule</w:t>
      </w:r>
      <w:r>
        <w:rPr>
          <w:bCs/>
          <w:color w:val="000000"/>
          <w:sz w:val="23"/>
          <w:szCs w:val="23"/>
        </w:rPr>
        <w:t xml:space="preserve"> </w:t>
      </w:r>
      <w:r>
        <w:rPr>
          <w:color w:val="000000"/>
          <w:sz w:val="23"/>
          <w:szCs w:val="23"/>
        </w:rPr>
        <w:t>means a Rule relating to any matter or thing that, if not made as a matter of urgency, will result in that matter or thing imminently prejudicing or threatening the supply of gas.</w:t>
      </w:r>
    </w:p>
    <w:p>
      <w:pPr>
        <w:pStyle w:val="Footnotesection"/>
      </w:pPr>
      <w:r>
        <w:tab/>
        <w:t>[Section 290 modified: WA Act Sch. 1 cl. 12.]</w:t>
      </w:r>
    </w:p>
    <w:p>
      <w:pPr>
        <w:pStyle w:val="Heading4"/>
      </w:pPr>
      <w:bookmarkStart w:id="2579" w:name="_Toc52954644"/>
      <w:bookmarkStart w:id="2580" w:name="_Toc52955940"/>
      <w:bookmarkStart w:id="2581" w:name="_Toc52957439"/>
      <w:bookmarkStart w:id="2582" w:name="_Toc52958222"/>
      <w:bookmarkStart w:id="2583" w:name="_Toc53045555"/>
      <w:bookmarkStart w:id="2584" w:name="_Toc53046338"/>
      <w:bookmarkStart w:id="2585" w:name="_Toc501634225"/>
      <w:bookmarkStart w:id="2586" w:name="_Toc501713121"/>
      <w:bookmarkStart w:id="2587" w:name="_Toc536782346"/>
      <w:bookmarkStart w:id="2588" w:name="_Toc5347404"/>
      <w:bookmarkStart w:id="2589" w:name="_Toc5363957"/>
      <w:bookmarkStart w:id="2590" w:name="_Toc5365178"/>
      <w:r>
        <w:t>Division 2 — Rule making tests</w:t>
      </w:r>
      <w:bookmarkEnd w:id="2579"/>
      <w:bookmarkEnd w:id="2580"/>
      <w:bookmarkEnd w:id="2581"/>
      <w:bookmarkEnd w:id="2582"/>
      <w:bookmarkEnd w:id="2583"/>
      <w:bookmarkEnd w:id="2584"/>
      <w:bookmarkEnd w:id="2585"/>
      <w:bookmarkEnd w:id="2586"/>
      <w:bookmarkEnd w:id="2587"/>
      <w:bookmarkEnd w:id="2588"/>
      <w:bookmarkEnd w:id="2589"/>
      <w:bookmarkEnd w:id="2590"/>
    </w:p>
    <w:p>
      <w:pPr>
        <w:pStyle w:val="Heading5"/>
        <w:spacing w:before="120"/>
      </w:pPr>
      <w:bookmarkStart w:id="2591" w:name="_Toc53046339"/>
      <w:bookmarkStart w:id="2592" w:name="_Toc5365179"/>
      <w:r>
        <w:rPr>
          <w:rStyle w:val="CharSectno"/>
        </w:rPr>
        <w:t>291</w:t>
      </w:r>
      <w:r>
        <w:t>.</w:t>
      </w:r>
      <w:r>
        <w:tab/>
        <w:t>Application of national gas objective</w:t>
      </w:r>
      <w:bookmarkEnd w:id="2591"/>
      <w:bookmarkEnd w:id="259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only make a Rule if it is satisfied that the Rule will or is likely to contribute to the achievement of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AEMC may give such weight to any aspect of the national gas objective as it considers appropriate in all the circumstances, having regard to any relevant MCE statement of policy principles.</w:t>
      </w:r>
    </w:p>
    <w:p>
      <w:pPr>
        <w:pStyle w:val="Heading5"/>
      </w:pPr>
      <w:bookmarkStart w:id="2593" w:name="_Toc53046340"/>
      <w:bookmarkStart w:id="2594" w:name="_Toc5365180"/>
      <w:r>
        <w:t>292.</w:t>
      </w:r>
      <w:r>
        <w:tab/>
        <w:t>AEMC must take into account form of regulation factors in certain cases</w:t>
      </w:r>
      <w:bookmarkEnd w:id="2593"/>
      <w:bookmarkEnd w:id="2594"/>
    </w:p>
    <w:p>
      <w:pPr>
        <w:keepNext/>
        <w:keepLines/>
        <w:autoSpaceDE w:val="0"/>
        <w:autoSpaceDN w:val="0"/>
        <w:adjustRightInd w:val="0"/>
        <w:spacing w:before="120"/>
        <w:ind w:left="1588"/>
        <w:rPr>
          <w:color w:val="000000"/>
          <w:sz w:val="23"/>
          <w:szCs w:val="23"/>
        </w:rPr>
      </w:pPr>
      <w:r>
        <w:rPr>
          <w:color w:val="000000"/>
          <w:sz w:val="23"/>
          <w:szCs w:val="23"/>
        </w:rPr>
        <w:t>In addition to complying with sections 291 and 293, the AEMC must take into account the form of regulation factors and any other matter the AEMC considers relevant—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making a Rule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confers a function or power on the AER to specify under a full access arrangement decision approving or making an access arrangement a pipeline service (to which the relevant applicable access arrangement applies) as a reference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revoking a Rule that has been made or is in force that—</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confers a function or power on the AER to specify under a full access arrangement decision approving or making an access arrangement a pipeline service (to which the relevant applicable access arrangement applies) as a reference service.</w:t>
      </w:r>
    </w:p>
    <w:p>
      <w:pPr>
        <w:pStyle w:val="Heading5"/>
      </w:pPr>
      <w:bookmarkStart w:id="2595" w:name="_Toc53046341"/>
      <w:bookmarkStart w:id="2596" w:name="_Toc5365181"/>
      <w:r>
        <w:rPr>
          <w:rStyle w:val="CharSectno"/>
        </w:rPr>
        <w:t>293</w:t>
      </w:r>
      <w:r>
        <w:t>.</w:t>
      </w:r>
      <w:r>
        <w:tab/>
        <w:t>AEMC must take into account revenue and pricing principles in certain cases</w:t>
      </w:r>
      <w:bookmarkEnd w:id="2595"/>
      <w:bookmarkEnd w:id="2596"/>
    </w:p>
    <w:p>
      <w:pPr>
        <w:keepLines/>
        <w:autoSpaceDE w:val="0"/>
        <w:autoSpaceDN w:val="0"/>
        <w:adjustRightInd w:val="0"/>
        <w:spacing w:before="120"/>
        <w:ind w:left="1588"/>
        <w:rPr>
          <w:color w:val="000000"/>
          <w:sz w:val="23"/>
          <w:szCs w:val="23"/>
        </w:rPr>
      </w:pPr>
      <w:r>
        <w:rPr>
          <w:color w:val="000000"/>
          <w:sz w:val="23"/>
          <w:szCs w:val="23"/>
        </w:rPr>
        <w:t>In addition to complying with sections 291 and 292, the AEMC must take into account the revenue and pricing principles in making a Rule for or with respect to any matter or thing specified in items 40 to 48 of Schedule 1 to this Law.</w:t>
      </w:r>
    </w:p>
    <w:p>
      <w:pPr>
        <w:pStyle w:val="Heading3"/>
      </w:pPr>
      <w:bookmarkStart w:id="2597" w:name="_Toc52954648"/>
      <w:bookmarkStart w:id="2598" w:name="_Toc52955944"/>
      <w:bookmarkStart w:id="2599" w:name="_Toc52957443"/>
      <w:bookmarkStart w:id="2600" w:name="_Toc52958226"/>
      <w:bookmarkStart w:id="2601" w:name="_Toc53045559"/>
      <w:bookmarkStart w:id="2602" w:name="_Toc53046342"/>
      <w:bookmarkStart w:id="2603" w:name="_Toc501634229"/>
      <w:bookmarkStart w:id="2604" w:name="_Toc501713125"/>
      <w:bookmarkStart w:id="2605" w:name="_Toc536782350"/>
      <w:bookmarkStart w:id="2606" w:name="_Toc5347408"/>
      <w:bookmarkStart w:id="2607" w:name="_Toc5363961"/>
      <w:bookmarkStart w:id="2608" w:name="_Toc5365182"/>
      <w:r>
        <w:rPr>
          <w:rStyle w:val="CharDivNo"/>
        </w:rPr>
        <w:t>Part 2</w:t>
      </w:r>
      <w:r>
        <w:t xml:space="preserve"> — </w:t>
      </w:r>
      <w:r>
        <w:rPr>
          <w:rStyle w:val="CharDivText"/>
        </w:rPr>
        <w:t>Initial National Gas Rules</w:t>
      </w:r>
      <w:bookmarkEnd w:id="2597"/>
      <w:bookmarkEnd w:id="2598"/>
      <w:bookmarkEnd w:id="2599"/>
      <w:bookmarkEnd w:id="2600"/>
      <w:bookmarkEnd w:id="2601"/>
      <w:bookmarkEnd w:id="2602"/>
      <w:bookmarkEnd w:id="2603"/>
      <w:bookmarkEnd w:id="2604"/>
      <w:bookmarkEnd w:id="2605"/>
      <w:bookmarkEnd w:id="2606"/>
      <w:bookmarkEnd w:id="2607"/>
      <w:bookmarkEnd w:id="2608"/>
    </w:p>
    <w:p>
      <w:pPr>
        <w:pStyle w:val="Heading5"/>
        <w:keepNext w:val="0"/>
      </w:pPr>
      <w:bookmarkStart w:id="2609" w:name="_Toc53046343"/>
      <w:bookmarkStart w:id="2610" w:name="_Toc5365183"/>
      <w:r>
        <w:rPr>
          <w:rStyle w:val="CharSectno"/>
        </w:rPr>
        <w:t>294</w:t>
      </w:r>
      <w:r>
        <w:t>.</w:t>
      </w:r>
      <w:r>
        <w:tab/>
        <w:t>Initial National Gas Rules for WA</w:t>
      </w:r>
      <w:bookmarkEnd w:id="2609"/>
      <w:bookmarkEnd w:id="261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National Gas Rules that apply upon </w:t>
      </w:r>
      <w:r>
        <w:rPr>
          <w:sz w:val="23"/>
        </w:rPr>
        <w:t xml:space="preserve">section 30 of the </w:t>
      </w:r>
      <w:r>
        <w:rPr>
          <w:i/>
          <w:iCs/>
          <w:sz w:val="23"/>
        </w:rPr>
        <w:t>National Gas Access (WA) Act 2009</w:t>
      </w:r>
      <w:r>
        <w:rPr>
          <w:sz w:val="23"/>
        </w:rPr>
        <w:t xml:space="preserve"> coming into operation are as set out in the document called the </w:t>
      </w:r>
      <w:r>
        <w:rPr>
          <w:i/>
          <w:iCs/>
          <w:sz w:val="23"/>
        </w:rPr>
        <w:t>National Gas Rules 2008,</w:t>
      </w:r>
      <w:r>
        <w:rPr>
          <w:sz w:val="23"/>
        </w:rPr>
        <w:t xml:space="preserve"> signed on 1 July 2008 by the </w:t>
      </w:r>
      <w:r>
        <w:rPr>
          <w:color w:val="000000"/>
          <w:sz w:val="23"/>
          <w:szCs w:val="23"/>
        </w:rPr>
        <w:t>Minister for Energy of South Australia, as affected, if applicable, by any amendments made by the AEMC under national gas legislation before the coming into operation of that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prevent the AEMC from making Rules under this Chapter that amend or revoke the rules referred to in it.</w:t>
      </w:r>
    </w:p>
    <w:p>
      <w:pPr>
        <w:pStyle w:val="Footnotesection"/>
      </w:pPr>
      <w:r>
        <w:tab/>
        <w:t>[Section 294 inserted and modified: WA Act Sch. 1 cl. 13.]</w:t>
      </w:r>
    </w:p>
    <w:p>
      <w:pPr>
        <w:pStyle w:val="Heading5"/>
        <w:rPr>
          <w:b w:val="0"/>
        </w:rPr>
      </w:pPr>
      <w:bookmarkStart w:id="2611" w:name="_Toc53046344"/>
      <w:bookmarkStart w:id="2612" w:name="_Toc182797"/>
      <w:bookmarkStart w:id="2613" w:name="_Toc5365184"/>
      <w:bookmarkStart w:id="2614" w:name="_Toc501634231"/>
      <w:bookmarkStart w:id="2615" w:name="_Toc501713127"/>
      <w:r>
        <w:rPr>
          <w:rStyle w:val="CharSectno"/>
        </w:rPr>
        <w:t>294CA</w:t>
      </w:r>
      <w:r>
        <w:t>.</w:t>
      </w:r>
      <w:r>
        <w:tab/>
        <w:t>South Australian Minister may make consequential Rules relating to rate of return instrument</w:t>
      </w:r>
      <w:bookmarkEnd w:id="2611"/>
      <w:bookmarkEnd w:id="2612"/>
      <w:bookmarkEnd w:id="2613"/>
    </w:p>
    <w:p>
      <w:pPr>
        <w:keepLines/>
        <w:tabs>
          <w:tab w:val="center" w:pos="1191"/>
          <w:tab w:val="left" w:pos="1588"/>
        </w:tabs>
        <w:autoSpaceDE w:val="0"/>
        <w:autoSpaceDN w:val="0"/>
        <w:adjustRightInd w:val="0"/>
        <w:spacing w:before="120"/>
        <w:ind w:left="1588" w:hanging="794"/>
        <w:rPr>
          <w:color w:val="000000"/>
          <w:sz w:val="23"/>
          <w:szCs w:val="23"/>
        </w:rPr>
      </w:pPr>
      <w:bookmarkStart w:id="2616" w:name="id19134fd8_2b55_4fcc_b292_40888d6508"/>
      <w:r>
        <w:rPr>
          <w:color w:val="000000"/>
          <w:sz w:val="23"/>
          <w:szCs w:val="23"/>
        </w:rPr>
        <w:tab/>
        <w:t>(1)</w:t>
      </w:r>
      <w:r>
        <w:rPr>
          <w:color w:val="000000"/>
          <w:sz w:val="23"/>
          <w:szCs w:val="23"/>
        </w:rPr>
        <w:tab/>
        <w:t xml:space="preserve">The South Australian Minister may make Rules that revoke or amend a Rule if the revocation or amendment is consequential on the enactment of the </w:t>
      </w:r>
      <w:r>
        <w:rPr>
          <w:i/>
          <w:iCs/>
          <w:color w:val="000000"/>
          <w:sz w:val="23"/>
          <w:szCs w:val="23"/>
        </w:rPr>
        <w:t>Statutes Amendment (National Energy Laws) (Binding Rate of Return Instrument) Act 2018</w:t>
      </w:r>
      <w:r>
        <w:rPr>
          <w:color w:val="000000"/>
          <w:sz w:val="23"/>
          <w:szCs w:val="23"/>
        </w:rPr>
        <w:t>.</w:t>
      </w:r>
      <w:bookmarkEnd w:id="261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South Australian Minister may make a rule providing that the rate of return on capital under a rate of return instrument in force at the start of a regulatory period applies throughout the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 74(3) applies to Rules made under this section in the same way it applies to Rules made by the AEMC.</w:t>
      </w:r>
    </w:p>
    <w:p>
      <w:pPr>
        <w:keepLines/>
        <w:tabs>
          <w:tab w:val="center" w:pos="1191"/>
          <w:tab w:val="left" w:pos="1588"/>
        </w:tabs>
        <w:autoSpaceDE w:val="0"/>
        <w:autoSpaceDN w:val="0"/>
        <w:adjustRightInd w:val="0"/>
        <w:spacing w:before="120"/>
        <w:ind w:left="1588" w:hanging="794"/>
        <w:rPr>
          <w:color w:val="000000"/>
          <w:sz w:val="23"/>
          <w:szCs w:val="23"/>
        </w:rPr>
      </w:pPr>
      <w:bookmarkStart w:id="2617" w:name="idc8067be0_a852_404f_8a44_0d575f5fed"/>
      <w:r>
        <w:rPr>
          <w:color w:val="000000"/>
          <w:sz w:val="23"/>
          <w:szCs w:val="23"/>
        </w:rPr>
        <w:tab/>
        <w:t>(4)</w:t>
      </w:r>
      <w:r>
        <w:rPr>
          <w:color w:val="000000"/>
          <w:sz w:val="23"/>
          <w:szCs w:val="23"/>
        </w:rPr>
        <w:tab/>
        <w:t>As soon as practicable after making Rules under this section, the South Australian Minister must—</w:t>
      </w:r>
      <w:bookmarkEnd w:id="2617"/>
    </w:p>
    <w:p>
      <w:pPr>
        <w:keepLines/>
        <w:tabs>
          <w:tab w:val="center" w:pos="1985"/>
          <w:tab w:val="left" w:pos="2382"/>
        </w:tabs>
        <w:autoSpaceDE w:val="0"/>
        <w:autoSpaceDN w:val="0"/>
        <w:adjustRightInd w:val="0"/>
        <w:spacing w:before="120"/>
        <w:ind w:left="2382" w:hanging="794"/>
        <w:rPr>
          <w:color w:val="000000"/>
          <w:sz w:val="23"/>
          <w:szCs w:val="23"/>
        </w:rPr>
      </w:pPr>
      <w:bookmarkStart w:id="2618" w:name="idaef1949e_641b_49ba_a619_1b6db51246"/>
      <w:r>
        <w:rPr>
          <w:color w:val="000000"/>
          <w:sz w:val="23"/>
          <w:szCs w:val="23"/>
        </w:rPr>
        <w:tab/>
        <w:t>(a)</w:t>
      </w:r>
      <w:r>
        <w:rPr>
          <w:color w:val="000000"/>
          <w:sz w:val="23"/>
          <w:szCs w:val="23"/>
        </w:rPr>
        <w:tab/>
        <w:t>publish notice of the making of the Rules in the South Australian Government Gazette; and</w:t>
      </w:r>
      <w:bookmarkEnd w:id="2618"/>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the Rules publicly available.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notice referred to in subsection (4)(a)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date on which the Rules commence operation;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different Rules will commence operation on different dates, those dates.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Rules may only be made under this section on the recommendation of the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Once the first Rules have been made under subsection (1), no further Rules can be made under that subsection.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sz w:val="23"/>
          <w:szCs w:val="23"/>
        </w:rPr>
        <w:t>regulatory period</w:t>
      </w:r>
      <w:r>
        <w:rPr>
          <w:color w:val="000000"/>
          <w:sz w:val="23"/>
          <w:szCs w:val="23"/>
        </w:rPr>
        <w:t xml:space="preserve"> means the period specified in an applicable access arrangement to be the regulatory period;</w:t>
      </w:r>
    </w:p>
    <w:p>
      <w:pPr>
        <w:keepLines/>
        <w:autoSpaceDE w:val="0"/>
        <w:autoSpaceDN w:val="0"/>
        <w:adjustRightInd w:val="0"/>
        <w:spacing w:before="120"/>
        <w:ind w:left="1588"/>
        <w:rPr>
          <w:color w:val="000000"/>
          <w:sz w:val="23"/>
          <w:szCs w:val="23"/>
        </w:rPr>
      </w:pPr>
      <w:r>
        <w:rPr>
          <w:rStyle w:val="CharDefText"/>
          <w:sz w:val="23"/>
          <w:szCs w:val="23"/>
        </w:rPr>
        <w:t>South Australian Minister</w:t>
      </w:r>
      <w:r>
        <w:rPr>
          <w:color w:val="000000"/>
          <w:sz w:val="23"/>
          <w:szCs w:val="23"/>
        </w:rPr>
        <w:t xml:space="preserve"> means the Minister in right of the Crown of South Australia administering Part 2 of the </w:t>
      </w:r>
      <w:r>
        <w:rPr>
          <w:i/>
          <w:iCs/>
          <w:color w:val="000000"/>
          <w:sz w:val="23"/>
          <w:szCs w:val="23"/>
        </w:rPr>
        <w:t>National Gas (South Australia) Act 2008</w:t>
      </w:r>
      <w:r>
        <w:rPr>
          <w:color w:val="000000"/>
          <w:sz w:val="23"/>
          <w:szCs w:val="23"/>
        </w:rPr>
        <w:t xml:space="preserve"> of South Australia.</w:t>
      </w:r>
    </w:p>
    <w:p>
      <w:pPr>
        <w:pStyle w:val="Footnotesection"/>
      </w:pPr>
      <w:r>
        <w:tab/>
        <w:t>[Section 294CA inserted: see SA Act No. 33 of 2018 s. 18 and WA Gazette 5 Apr 2019 p. 1007</w:t>
      </w:r>
      <w:r>
        <w:noBreakHyphen/>
        <w:t>8.]</w:t>
      </w:r>
    </w:p>
    <w:p>
      <w:pPr>
        <w:pStyle w:val="Heading5"/>
      </w:pPr>
      <w:bookmarkStart w:id="2619" w:name="_Toc53046345"/>
      <w:bookmarkStart w:id="2620" w:name="_Toc5365185"/>
      <w:r>
        <w:rPr>
          <w:rStyle w:val="CharSectno"/>
        </w:rPr>
        <w:t>294F</w:t>
      </w:r>
      <w:r>
        <w:t>.</w:t>
      </w:r>
      <w:r>
        <w:tab/>
        <w:t>South Australian Minister to make initial Rules relating to access to non</w:t>
      </w:r>
      <w:r>
        <w:noBreakHyphen/>
        <w:t>scheme pipelines</w:t>
      </w:r>
      <w:bookmarkEnd w:id="2619"/>
      <w:bookmarkEnd w:id="2620"/>
    </w:p>
    <w:p>
      <w:pPr>
        <w:keepLines/>
        <w:tabs>
          <w:tab w:val="center" w:pos="1191"/>
          <w:tab w:val="left" w:pos="1588"/>
        </w:tabs>
        <w:autoSpaceDE w:val="0"/>
        <w:autoSpaceDN w:val="0"/>
        <w:adjustRightInd w:val="0"/>
        <w:spacing w:before="120"/>
        <w:ind w:left="1588" w:hanging="794"/>
        <w:rPr>
          <w:color w:val="000000"/>
          <w:sz w:val="23"/>
          <w:szCs w:val="23"/>
        </w:rPr>
      </w:pPr>
      <w:bookmarkStart w:id="2621" w:name="id2a8d962a_bad0_42dd_9386_54821ec565"/>
      <w:r>
        <w:rPr>
          <w:color w:val="000000"/>
          <w:sz w:val="23"/>
          <w:szCs w:val="23"/>
        </w:rPr>
        <w:tab/>
        <w:t>(1)</w:t>
      </w:r>
      <w:r>
        <w:rPr>
          <w:color w:val="000000"/>
          <w:sz w:val="23"/>
          <w:szCs w:val="23"/>
        </w:rPr>
        <w:tab/>
        <w:t xml:space="preserve">The Minister in right of the Crown of South Australia administering Part 2 of the </w:t>
      </w:r>
      <w:r>
        <w:rPr>
          <w:i/>
          <w:iCs/>
          <w:color w:val="000000"/>
          <w:sz w:val="23"/>
          <w:szCs w:val="23"/>
        </w:rPr>
        <w:t>National Gas (South Australia) Act 2008</w:t>
      </w:r>
      <w:r>
        <w:rPr>
          <w:color w:val="000000"/>
          <w:sz w:val="23"/>
          <w:szCs w:val="23"/>
        </w:rPr>
        <w:t xml:space="preserve"> of South Australia (the </w:t>
      </w:r>
      <w:r>
        <w:rPr>
          <w:b/>
          <w:bCs/>
          <w:i/>
          <w:iCs/>
          <w:color w:val="000000"/>
          <w:sz w:val="23"/>
          <w:szCs w:val="23"/>
        </w:rPr>
        <w:t>South Australian Minister</w:t>
      </w:r>
      <w:r>
        <w:rPr>
          <w:color w:val="000000"/>
          <w:sz w:val="23"/>
          <w:szCs w:val="23"/>
        </w:rPr>
        <w:t>) may make Rules on any 1 or more of the following subjects:</w:t>
      </w:r>
      <w:bookmarkEnd w:id="2621"/>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access proposals, access disputes and arbitrations under Chapter 6A;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a new head power added to Schedule 1 by the Pipelines Access/Arbitration amendments;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subject contemplated by, or consequential on, the Pipelines Access/Arbitration amendments.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Rules may only be made under subsection (1) on the recommendation of the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 74(3) applies to Rules made under subsection (1) in the same way as it applies to Rules made by the AEMC.</w:t>
      </w:r>
    </w:p>
    <w:p>
      <w:pPr>
        <w:keepLines/>
        <w:tabs>
          <w:tab w:val="center" w:pos="1191"/>
          <w:tab w:val="left" w:pos="1588"/>
        </w:tabs>
        <w:autoSpaceDE w:val="0"/>
        <w:autoSpaceDN w:val="0"/>
        <w:adjustRightInd w:val="0"/>
        <w:spacing w:before="120"/>
        <w:ind w:left="1588" w:hanging="794"/>
        <w:rPr>
          <w:color w:val="000000"/>
          <w:sz w:val="23"/>
          <w:szCs w:val="23"/>
        </w:rPr>
      </w:pPr>
      <w:bookmarkStart w:id="2622" w:name="idb626c5e9_5e85_4a57_9b3c_bc5fd5331d"/>
      <w:r>
        <w:rPr>
          <w:color w:val="000000"/>
          <w:sz w:val="23"/>
          <w:szCs w:val="23"/>
        </w:rPr>
        <w:tab/>
        <w:t>(4)</w:t>
      </w:r>
      <w:r>
        <w:rPr>
          <w:color w:val="000000"/>
          <w:sz w:val="23"/>
          <w:szCs w:val="23"/>
        </w:rPr>
        <w:tab/>
        <w:t>As soon as practicable after making Rules under subsection (1), the South Australian Minister must—</w:t>
      </w:r>
      <w:bookmarkEnd w:id="2622"/>
    </w:p>
    <w:p>
      <w:pPr>
        <w:keepLines/>
        <w:tabs>
          <w:tab w:val="center" w:pos="1985"/>
          <w:tab w:val="left" w:pos="2382"/>
        </w:tabs>
        <w:autoSpaceDE w:val="0"/>
        <w:autoSpaceDN w:val="0"/>
        <w:adjustRightInd w:val="0"/>
        <w:spacing w:before="120"/>
        <w:ind w:left="2382" w:hanging="794"/>
        <w:rPr>
          <w:color w:val="000000"/>
          <w:sz w:val="23"/>
          <w:szCs w:val="23"/>
        </w:rPr>
      </w:pPr>
      <w:bookmarkStart w:id="2623" w:name="id0a8503f4_0144_4ab9_bb7b_b3c8df7780"/>
      <w:r>
        <w:rPr>
          <w:color w:val="000000"/>
          <w:sz w:val="23"/>
          <w:szCs w:val="23"/>
        </w:rPr>
        <w:tab/>
        <w:t>(a)</w:t>
      </w:r>
      <w:r>
        <w:rPr>
          <w:color w:val="000000"/>
          <w:sz w:val="23"/>
          <w:szCs w:val="23"/>
        </w:rPr>
        <w:tab/>
        <w:t>publish notice of the making of the Rules in the South Australian Government Gazette stating the date of commencement or, if they commence at different times, various dates of commencement; and</w:t>
      </w:r>
      <w:bookmarkEnd w:id="2623"/>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making the Rules publicly available.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South Australian Minister may, by a later notice published in the South Australian Government Gazette, vary a commencement date fixed under subsection (4)(a) or this subsection.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Once the first Rules have been made under subsection (1), no further Rules can be made under that subsection.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Rules in the nature of a derogation may be made under this section even though no request has been made for the derogation.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iCs/>
          <w:sz w:val="23"/>
        </w:rPr>
        <w:t>Pipelines Access/Arbitration amendments</w:t>
      </w:r>
      <w:r>
        <w:rPr>
          <w:color w:val="000000"/>
          <w:sz w:val="23"/>
          <w:szCs w:val="23"/>
        </w:rPr>
        <w:t xml:space="preserve"> means the amendments made to this Law by the </w:t>
      </w:r>
      <w:r>
        <w:rPr>
          <w:i/>
          <w:iCs/>
          <w:color w:val="000000"/>
          <w:sz w:val="23"/>
          <w:szCs w:val="23"/>
        </w:rPr>
        <w:t>National Gas (South Australia) (Pipelines Access—Arbitration) Amendment Act 2017</w:t>
      </w:r>
      <w:r>
        <w:rPr>
          <w:color w:val="000000"/>
          <w:sz w:val="23"/>
          <w:szCs w:val="23"/>
        </w:rPr>
        <w:t>.</w:t>
      </w:r>
    </w:p>
    <w:p>
      <w:pPr>
        <w:pStyle w:val="Footnotesection"/>
      </w:pPr>
      <w:r>
        <w:tab/>
        <w:t>[Section 294F inserted: see SA Act No. 23 of 2017 s. 8 and WA Gazette 22 Dec 2017 p. 5984.]</w:t>
      </w:r>
    </w:p>
    <w:p>
      <w:pPr>
        <w:pStyle w:val="Heading3"/>
      </w:pPr>
      <w:bookmarkStart w:id="2624" w:name="_Toc52954652"/>
      <w:bookmarkStart w:id="2625" w:name="_Toc52955948"/>
      <w:bookmarkStart w:id="2626" w:name="_Toc52957447"/>
      <w:bookmarkStart w:id="2627" w:name="_Toc52958230"/>
      <w:bookmarkStart w:id="2628" w:name="_Toc53045563"/>
      <w:bookmarkStart w:id="2629" w:name="_Toc53046346"/>
      <w:bookmarkStart w:id="2630" w:name="_Toc536782353"/>
      <w:bookmarkStart w:id="2631" w:name="_Toc5347412"/>
      <w:bookmarkStart w:id="2632" w:name="_Toc5363965"/>
      <w:bookmarkStart w:id="2633" w:name="_Toc5365186"/>
      <w:r>
        <w:rPr>
          <w:rStyle w:val="CharDivNo"/>
        </w:rPr>
        <w:t>Part 3</w:t>
      </w:r>
      <w:r>
        <w:t> — </w:t>
      </w:r>
      <w:r>
        <w:rPr>
          <w:rStyle w:val="CharDivText"/>
        </w:rPr>
        <w:t>Procedure for the making of a Rule by the AEMC</w:t>
      </w:r>
      <w:bookmarkEnd w:id="2624"/>
      <w:bookmarkEnd w:id="2625"/>
      <w:bookmarkEnd w:id="2626"/>
      <w:bookmarkEnd w:id="2627"/>
      <w:bookmarkEnd w:id="2628"/>
      <w:bookmarkEnd w:id="2629"/>
      <w:bookmarkEnd w:id="2614"/>
      <w:bookmarkEnd w:id="2615"/>
      <w:bookmarkEnd w:id="2630"/>
      <w:bookmarkEnd w:id="2631"/>
      <w:bookmarkEnd w:id="2632"/>
      <w:bookmarkEnd w:id="2633"/>
    </w:p>
    <w:p>
      <w:pPr>
        <w:pStyle w:val="Heading5"/>
      </w:pPr>
      <w:bookmarkStart w:id="2634" w:name="_Toc53046347"/>
      <w:bookmarkStart w:id="2635" w:name="_Toc5365187"/>
      <w:r>
        <w:rPr>
          <w:rStyle w:val="CharSectno"/>
        </w:rPr>
        <w:t>295</w:t>
      </w:r>
      <w:r>
        <w:t>.</w:t>
      </w:r>
      <w:r>
        <w:tab/>
        <w:t>Initiation of making of a Rule</w:t>
      </w:r>
      <w:bookmarkEnd w:id="2634"/>
      <w:bookmarkEnd w:id="263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make a Rule at the request of any person or the MCE.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Section 74 and Schedule 1 to this Law specify the subject matter for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not make a Rule without a request under subsection (1)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considers the Rule corrects a minor error in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it considers the Rule involves a non</w:t>
      </w:r>
      <w:r>
        <w:rPr>
          <w:color w:val="000000"/>
          <w:sz w:val="23"/>
          <w:szCs w:val="23"/>
        </w:rPr>
        <w:noBreakHyphen/>
        <w:t>material change to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Rule is in respect of any matter that is prescribed by the Regulations as a matter on which it may make a Rule on its own initiative.</w:t>
      </w:r>
    </w:p>
    <w:p>
      <w:pPr>
        <w:pStyle w:val="Heading5"/>
      </w:pPr>
      <w:bookmarkStart w:id="2636" w:name="_Toc53046348"/>
      <w:bookmarkStart w:id="2637" w:name="_Toc5365188"/>
      <w:r>
        <w:rPr>
          <w:rStyle w:val="CharSectno"/>
        </w:rPr>
        <w:t>296</w:t>
      </w:r>
      <w:r>
        <w:t>.</w:t>
      </w:r>
      <w:r>
        <w:tab/>
        <w:t>AEMC may make more preferable Rule in certain cases</w:t>
      </w:r>
      <w:bookmarkEnd w:id="2636"/>
      <w:bookmarkEnd w:id="2637"/>
    </w:p>
    <w:p>
      <w:pPr>
        <w:keepLines/>
        <w:autoSpaceDE w:val="0"/>
        <w:autoSpaceDN w:val="0"/>
        <w:adjustRightInd w:val="0"/>
        <w:spacing w:before="120"/>
        <w:ind w:left="1588"/>
        <w:rPr>
          <w:color w:val="000000"/>
          <w:sz w:val="23"/>
          <w:szCs w:val="23"/>
        </w:rPr>
      </w:pPr>
      <w:r>
        <w:rPr>
          <w:color w:val="000000"/>
          <w:sz w:val="23"/>
          <w:szCs w:val="23"/>
        </w:rPr>
        <w:t xml:space="preserve">The AEMC may make a Rule that is different (including materially different) from a market initiated proposed Rule (a </w:t>
      </w:r>
      <w:r>
        <w:rPr>
          <w:rStyle w:val="CharDefText"/>
          <w:bCs/>
          <w:sz w:val="23"/>
        </w:rPr>
        <w:t>more preferable Rule</w:t>
      </w:r>
      <w:r>
        <w:rPr>
          <w:color w:val="000000"/>
          <w:sz w:val="23"/>
          <w:szCs w:val="23"/>
        </w:rPr>
        <w:t>) if the AEMC is satisfied that, having regard to the issue or issues that were raised by the market initiated proposed Rule (to which the more preferable Rule relates), the more preferable Rule will or is likely to better contribute to the achievement of the national gas objective.</w:t>
      </w:r>
    </w:p>
    <w:p>
      <w:pPr>
        <w:pStyle w:val="Heading5"/>
      </w:pPr>
      <w:bookmarkStart w:id="2638" w:name="_Toc53046349"/>
      <w:bookmarkStart w:id="2639" w:name="_Toc5365189"/>
      <w:r>
        <w:rPr>
          <w:rStyle w:val="CharSectno"/>
        </w:rPr>
        <w:t>297</w:t>
      </w:r>
      <w:r>
        <w:t>.</w:t>
      </w:r>
      <w:r>
        <w:tab/>
        <w:t>AEMC may make Rules that are consequential to a Rule request</w:t>
      </w:r>
      <w:bookmarkEnd w:id="2638"/>
      <w:bookmarkEnd w:id="263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section 295(2), the AEMC may, having regard to a request to make a Rule under section 295(1), make a Rule that is necessary or consequential to the Rule that is to be made on that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this Chapter, the AEMC must treat a Rule it may make under subsection (1) as if it were part of the Rule to be made on that request.</w:t>
      </w:r>
    </w:p>
    <w:p>
      <w:pPr>
        <w:pStyle w:val="Heading5"/>
      </w:pPr>
      <w:bookmarkStart w:id="2640" w:name="_Toc53046350"/>
      <w:bookmarkStart w:id="2641" w:name="_Toc5365190"/>
      <w:r>
        <w:rPr>
          <w:rStyle w:val="CharSectno"/>
        </w:rPr>
        <w:t>298</w:t>
      </w:r>
      <w:r>
        <w:t>.</w:t>
      </w:r>
      <w:r>
        <w:tab/>
        <w:t>Content of requests for a Rule</w:t>
      </w:r>
      <w:bookmarkEnd w:id="2640"/>
      <w:bookmarkEnd w:id="2641"/>
    </w:p>
    <w:p>
      <w:pPr>
        <w:keepNext/>
        <w:keepLines/>
        <w:autoSpaceDE w:val="0"/>
        <w:autoSpaceDN w:val="0"/>
        <w:adjustRightInd w:val="0"/>
        <w:spacing w:before="120"/>
        <w:ind w:left="1588"/>
        <w:rPr>
          <w:color w:val="000000"/>
          <w:sz w:val="23"/>
          <w:szCs w:val="23"/>
        </w:rPr>
      </w:pPr>
      <w:r>
        <w:rPr>
          <w:color w:val="000000"/>
          <w:sz w:val="23"/>
          <w:szCs w:val="23"/>
        </w:rPr>
        <w:t>A request for the making of a Rule—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contain the information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subject to section 299, be accompanied by the fee prescribed by the Regulations (if any);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be accompanied by a draft of the Rule to be made.</w:t>
      </w:r>
    </w:p>
    <w:p>
      <w:pPr>
        <w:pStyle w:val="Heading5"/>
      </w:pPr>
      <w:bookmarkStart w:id="2642" w:name="_Toc53046351"/>
      <w:bookmarkStart w:id="2643" w:name="_Toc5365191"/>
      <w:r>
        <w:rPr>
          <w:rStyle w:val="CharSectno"/>
        </w:rPr>
        <w:t>299</w:t>
      </w:r>
      <w:r>
        <w:t>.</w:t>
      </w:r>
      <w:r>
        <w:tab/>
        <w:t>Waiver of fee for Rule requests</w:t>
      </w:r>
      <w:bookmarkEnd w:id="2642"/>
      <w:bookmarkEnd w:id="2643"/>
    </w:p>
    <w:p>
      <w:pPr>
        <w:keepLines/>
        <w:autoSpaceDE w:val="0"/>
        <w:autoSpaceDN w:val="0"/>
        <w:adjustRightInd w:val="0"/>
        <w:spacing w:before="120"/>
        <w:ind w:left="1588"/>
        <w:rPr>
          <w:color w:val="000000"/>
          <w:sz w:val="23"/>
          <w:szCs w:val="23"/>
        </w:rPr>
      </w:pPr>
      <w:r>
        <w:rPr>
          <w:color w:val="000000"/>
          <w:sz w:val="23"/>
          <w:szCs w:val="23"/>
        </w:rPr>
        <w:t>The AEMC may waive the payment of any fee prescribed by the Regulations for the purposes of section 298.</w:t>
      </w:r>
    </w:p>
    <w:p>
      <w:pPr>
        <w:pStyle w:val="Heading5"/>
      </w:pPr>
      <w:bookmarkStart w:id="2644" w:name="_Toc53046352"/>
      <w:bookmarkStart w:id="2645" w:name="_Toc5365192"/>
      <w:r>
        <w:rPr>
          <w:rStyle w:val="CharSectno"/>
        </w:rPr>
        <w:t>300</w:t>
      </w:r>
      <w:r>
        <w:t>.</w:t>
      </w:r>
      <w:r>
        <w:tab/>
        <w:t>Consolidation of 2 or more Rule requests</w:t>
      </w:r>
      <w:bookmarkEnd w:id="2644"/>
      <w:bookmarkEnd w:id="264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AEMC considers it necessary or desirable that 2 or more requests for the making of a Rule should be dealt with together, the AEMC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treat those requests as 1 request for the purposes of this Chapter (a </w:t>
      </w:r>
      <w:r>
        <w:rPr>
          <w:rStyle w:val="CharDefText"/>
          <w:bCs/>
          <w:sz w:val="23"/>
        </w:rPr>
        <w:t>consolidated Rule request</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treat any later request as a submission in relation to the earliest Rule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this Chapter, the AEMC may treat a consolidated Rule request as being received by it on the day it receives either the first or last of the Rule requests forming part of the consolidated Rule request.</w:t>
      </w:r>
    </w:p>
    <w:p>
      <w:pPr>
        <w:pStyle w:val="Heading5"/>
      </w:pPr>
      <w:bookmarkStart w:id="2646" w:name="_Toc53046353"/>
      <w:bookmarkStart w:id="2647" w:name="_Toc5365193"/>
      <w:r>
        <w:rPr>
          <w:rStyle w:val="CharSectno"/>
        </w:rPr>
        <w:t>301</w:t>
      </w:r>
      <w:r>
        <w:t>.</w:t>
      </w:r>
      <w:r>
        <w:tab/>
        <w:t>Initial consideration of request for Rule</w:t>
      </w:r>
      <w:bookmarkEnd w:id="2646"/>
      <w:bookmarkEnd w:id="264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Chapter, as soon as practicable after receiving a request for the making of a Rule (an </w:t>
      </w:r>
      <w:r>
        <w:rPr>
          <w:rStyle w:val="CharDefText"/>
          <w:bCs/>
          <w:sz w:val="23"/>
        </w:rPr>
        <w:t>active request</w:t>
      </w:r>
      <w:r>
        <w:rPr>
          <w:color w:val="000000"/>
          <w:sz w:val="23"/>
          <w:szCs w:val="23"/>
        </w:rPr>
        <w:t>), the AEMC must consider whether—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active request appears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contain the information prescribed by the Regulations;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not be misconceived or lacking in substance;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active request appears to be for or with respect to a matter in respect of which the AEMC may make a Rule under this Law;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Section 74 and Schedule 1 to this Law specify the subject matter for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subject matter of the active request appears to relate to the subject matter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Rule made, or a request for the making of a Rule under section 295(1) not proceeded with, in the 12 months immediately before the date of receipt of the active request;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request for the making of a Rule under section 295(1) in respect of which the AEMC is taking action under this Part.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AEMC considers that, having regard to the matters set out in subsection (1), it should not take any action under this Part in respect of the active request, the AEMC must make a decision to that effect and inform the person or body, in writing, that requested the Rule of that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subsection (1) or (2), the AEMC may make a decision to the effect that it should not take any action under this Part in respect of the active request if the person or body that made the active request has not complied with a notice in accordance with section 302.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making a decision under subsection (3), the AEMC must have regard to any representation it receives under section 302(4).</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decision under subsection (2) or (3)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set out the reasons for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given to the person or body that made the active request without delay;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where the decision was made only because of the matters set out in subsection (1)(c)—be published.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Subject to this Chapter, if the AEMC considers that, having regard to the matters set out in subsection (1), it should take action under this Part in respect of an active request the AEMC must publish notice of that active request in accordance with section 303.</w:t>
      </w:r>
    </w:p>
    <w:p>
      <w:pPr>
        <w:pStyle w:val="Heading5"/>
      </w:pPr>
      <w:bookmarkStart w:id="2648" w:name="_Toc53046354"/>
      <w:bookmarkStart w:id="2649" w:name="_Toc5365194"/>
      <w:r>
        <w:rPr>
          <w:rStyle w:val="CharSectno"/>
        </w:rPr>
        <w:t>302</w:t>
      </w:r>
      <w:r>
        <w:t>.</w:t>
      </w:r>
      <w:r>
        <w:tab/>
        <w:t>AEMC may request further information from Rule proponent in certain cases</w:t>
      </w:r>
      <w:bookmarkEnd w:id="2648"/>
      <w:bookmarkEnd w:id="264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receives a request for the making of a Rule under section 295(1);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considers, having regard to the nature and content of the request, that further information is required from the person or body that has made the request to assist it to understand the request’s purpose or content.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may, by notice in writing, request the person or body that made the request under section 295(1) to provide the AEMC further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(2) must specify—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kind of information the AEMC requires from the person or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within which that information must be provided to the AEMC.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or body given a notice under this section may make a written representation to the AEMC as to why it cannot provide the information specified in the notice within the time specified in the notice.</w:t>
      </w:r>
    </w:p>
    <w:p>
      <w:pPr>
        <w:pStyle w:val="Heading5"/>
      </w:pPr>
      <w:bookmarkStart w:id="2650" w:name="_Toc53046355"/>
      <w:bookmarkStart w:id="2651" w:name="_Toc5365195"/>
      <w:r>
        <w:rPr>
          <w:rStyle w:val="CharSectno"/>
        </w:rPr>
        <w:t>303</w:t>
      </w:r>
      <w:r>
        <w:t>.</w:t>
      </w:r>
      <w:r>
        <w:tab/>
        <w:t>Notice of proposed Rule</w:t>
      </w:r>
      <w:bookmarkEnd w:id="2650"/>
      <w:bookmarkEnd w:id="265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forms an intention to make an AEMC initiated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notice of the request or intention (as the case requires);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draft of the proposed Rule;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document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published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written submissions and comments from any person or body in relation to the proposed Rule by the date specified in the notice by the AEMC, being a date that is not less than 4 weeks from the date the notice is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any other information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Nothing in this Part is to be taken as requiring the AEMC to publish notices under this section in the same order as it—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forms an intention to make an AEMC initiated Rule.</w:t>
      </w:r>
    </w:p>
    <w:p>
      <w:pPr>
        <w:pStyle w:val="Heading5"/>
      </w:pPr>
      <w:bookmarkStart w:id="2652" w:name="_Toc53046356"/>
      <w:bookmarkStart w:id="2653" w:name="_Toc5365196"/>
      <w:r>
        <w:rPr>
          <w:rStyle w:val="CharSectno"/>
        </w:rPr>
        <w:t>304</w:t>
      </w:r>
      <w:r>
        <w:t>.</w:t>
      </w:r>
      <w:r>
        <w:tab/>
        <w:t>Publication of non</w:t>
      </w:r>
      <w:r>
        <w:noBreakHyphen/>
        <w:t>controversial or urgent final Rule determination</w:t>
      </w:r>
      <w:bookmarkEnd w:id="2652"/>
      <w:bookmarkEnd w:id="265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the AEMC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AEMC initiated Rule is a non</w:t>
      </w:r>
      <w:r>
        <w:rPr>
          <w:color w:val="000000"/>
          <w:sz w:val="23"/>
          <w:szCs w:val="23"/>
        </w:rPr>
        <w:noBreakHyphen/>
        <w:t xml:space="preserve">controversial Rule; or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request for a Rule is a request for a non</w:t>
      </w:r>
      <w:r>
        <w:rPr>
          <w:color w:val="000000"/>
          <w:sz w:val="23"/>
          <w:szCs w:val="23"/>
        </w:rPr>
        <w:noBreakHyphen/>
        <w:t>controversial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request for a Rule is a request for an urgent Rule,</w:t>
      </w:r>
    </w:p>
    <w:p>
      <w:pPr>
        <w:autoSpaceDE w:val="0"/>
        <w:autoSpaceDN w:val="0"/>
        <w:adjustRightInd w:val="0"/>
        <w:spacing w:before="120"/>
        <w:ind w:left="1588"/>
        <w:rPr>
          <w:color w:val="000000"/>
          <w:sz w:val="23"/>
          <w:szCs w:val="23"/>
        </w:rPr>
      </w:pPr>
      <w:r>
        <w:rPr>
          <w:color w:val="000000"/>
          <w:sz w:val="23"/>
          <w:szCs w:val="23"/>
        </w:rPr>
        <w:t xml:space="preserve">the AEMC may make the relevant Rule in accordance with this Part (except sections 307 to 310) and as if the period of time within which the final Rule determination in respect of the relevant Rule must be published were </w:t>
      </w:r>
      <w:del w:id="2654" w:author="svcMRProcess" w:date="2020-10-08T16:23:00Z">
        <w:r>
          <w:rPr>
            <w:color w:val="000000"/>
            <w:sz w:val="23"/>
            <w:szCs w:val="23"/>
          </w:rPr>
          <w:delText xml:space="preserve">6 </w:delText>
        </w:r>
      </w:del>
      <w:ins w:id="2655" w:author="svcMRProcess" w:date="2020-10-08T16:23:00Z">
        <w:r>
          <w:rPr>
            <w:color w:val="000000"/>
            <w:sz w:val="23"/>
            <w:szCs w:val="23"/>
          </w:rPr>
          <w:t>8 </w:t>
        </w:r>
      </w:ins>
      <w:r>
        <w:rPr>
          <w:color w:val="000000"/>
          <w:sz w:val="23"/>
          <w:szCs w:val="23"/>
        </w:rPr>
        <w:t>weeks from the date of publication of the notice under section 303.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making a Rule as set out in subsection (1), the AEMC must include in a notice under section 303 a statement to the effect that the AEMC may make the relevant Rule if the AEMC does not receive a written request, and reasons, not to do so from any person or body within 2 weeks of publication of that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AEMC must not make a Rule in accordance with this section if, following publication of a notice under section 303 containing a statement to the effect set out in subsection (2)—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AEMC receives a written request not to do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reasons set out in that request are not, in its opinion, misconceived or lacking in substance.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AEMC is of the opinion that the reasons given by a person or body in a written request for it not to make the non</w:t>
      </w:r>
      <w:r>
        <w:rPr>
          <w:color w:val="000000"/>
          <w:sz w:val="23"/>
          <w:szCs w:val="23"/>
        </w:rPr>
        <w:noBreakHyphen/>
        <w:t>controversial Rule or urgent Rule are misconceived or lacking in substance,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make a decision to that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person or body its reasons, in writing, for that decision without delay.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AEMC is of the opinion that the reasons given by a person or body in a written request for it not to make the non</w:t>
      </w:r>
      <w:r>
        <w:rPr>
          <w:color w:val="000000"/>
          <w:sz w:val="23"/>
          <w:szCs w:val="23"/>
        </w:rPr>
        <w:noBreakHyphen/>
        <w:t>controversial Rule or urgent Rule, are not misconceived or lacking in substance, the AEMC must publish a notice to the effect that it will make the relevant Rule in accordance with this Part (other than this section).</w:t>
      </w:r>
    </w:p>
    <w:p>
      <w:pPr>
        <w:pStyle w:val="Footnotesection"/>
        <w:rPr>
          <w:ins w:id="2656" w:author="svcMRProcess" w:date="2020-10-08T16:23:00Z"/>
        </w:rPr>
      </w:pPr>
      <w:ins w:id="2657" w:author="svcMRProcess" w:date="2020-10-08T16:23:00Z">
        <w:r>
          <w:tab/>
          <w:t>[Section 304 amended: see SA Act No. 12 of 2018 s. 26 and WA SL 2020/195 cl. 3.]</w:t>
        </w:r>
      </w:ins>
    </w:p>
    <w:p>
      <w:pPr>
        <w:pStyle w:val="Heading5"/>
      </w:pPr>
      <w:bookmarkStart w:id="2658" w:name="_Toc53046357"/>
      <w:bookmarkStart w:id="2659" w:name="_Toc5365197"/>
      <w:r>
        <w:rPr>
          <w:rStyle w:val="CharSectno"/>
        </w:rPr>
        <w:t>305</w:t>
      </w:r>
      <w:r>
        <w:t>.</w:t>
      </w:r>
      <w:r>
        <w:tab/>
        <w:t>“Fast track” Rules where previous public consultation by gas market regulatory body or an AEMC review</w:t>
      </w:r>
      <w:bookmarkEnd w:id="2658"/>
      <w:bookmarkEnd w:id="265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gas market regulatory body has—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made a request for the making of a Rule under section 295(1);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consulted with the public on the nature and content of the request before making that request;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or the MCE has made a request for the making of a Rule under section 295(1) on the basis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recommendation for the making of a Rule contained in a MCE directed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conclusion for the making of a Rule contained in an AEMC Rule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may take action under this Part in respect of the request without complying with section 303(3)(a) or 307 if it is of the opinion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where the request has been made by a gas market regulatory body in the circumstances described in subsection (1)(a)—the consultation conducted by the gas market regulatory body was adequate, having regard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nature and content of that request;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kind of consultation conducted by the gas market regulatory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where a request has been made by a person or the MCE in the circumstances described in subsection (1)(b)—</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request reflects, or is consistent with, the relevant recommendation contained in the MCE directed review or relevant conclusion in the AEMC Rule review (as the case requires);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was adequate consultation with the public by it on the content of the relevant recommendation or relevant conclusion during the MCE directed review or AEMC Rule review (as the case requires).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To avoid doubt—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section 301 applies to a request for the making of a Rule to which this section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section 306 does not apply to a request for the making of a Rule to which this section applies.</w:t>
      </w:r>
    </w:p>
    <w:p>
      <w:pPr>
        <w:pStyle w:val="Heading5"/>
      </w:pPr>
      <w:bookmarkStart w:id="2660" w:name="_Toc53046358"/>
      <w:bookmarkStart w:id="2661" w:name="_Toc5365198"/>
      <w:r>
        <w:rPr>
          <w:rStyle w:val="CharSectno"/>
        </w:rPr>
        <w:t>306</w:t>
      </w:r>
      <w:r>
        <w:t>.</w:t>
      </w:r>
      <w:r>
        <w:tab/>
        <w:t>Right to make written submissions and comments</w:t>
      </w:r>
      <w:bookmarkEnd w:id="2660"/>
      <w:bookmarkEnd w:id="2661"/>
    </w:p>
    <w:p>
      <w:pPr>
        <w:keepLines/>
        <w:autoSpaceDE w:val="0"/>
        <w:autoSpaceDN w:val="0"/>
        <w:adjustRightInd w:val="0"/>
        <w:spacing w:before="120"/>
        <w:ind w:left="1588"/>
        <w:rPr>
          <w:color w:val="000000"/>
          <w:sz w:val="23"/>
          <w:szCs w:val="23"/>
        </w:rPr>
      </w:pPr>
      <w:r>
        <w:rPr>
          <w:color w:val="000000"/>
          <w:sz w:val="23"/>
          <w:szCs w:val="23"/>
        </w:rPr>
        <w:t>Any person or body, within the period specified in a notice under section 303, may make a written submission or comment in relation to the proposed Rule to which the notice relates.</w:t>
      </w:r>
    </w:p>
    <w:p>
      <w:pPr>
        <w:pStyle w:val="Heading5"/>
      </w:pPr>
      <w:bookmarkStart w:id="2662" w:name="_Toc53046359"/>
      <w:bookmarkStart w:id="2663" w:name="_Toc5365199"/>
      <w:r>
        <w:rPr>
          <w:rStyle w:val="CharSectno"/>
        </w:rPr>
        <w:t>307</w:t>
      </w:r>
      <w:r>
        <w:t>.</w:t>
      </w:r>
      <w:r>
        <w:tab/>
        <w:t>AEMC may hold public hearings before draft Rule determination</w:t>
      </w:r>
      <w:bookmarkEnd w:id="2662"/>
      <w:bookmarkEnd w:id="266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(but need not), at any time after publication of a notice under section 303 and before making a draft Rule determination, hold a hearing in relation to any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a hearing held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prescribed by the Regulations (if any).</w:t>
      </w:r>
    </w:p>
    <w:p>
      <w:pPr>
        <w:pStyle w:val="Heading5"/>
      </w:pPr>
      <w:bookmarkStart w:id="2664" w:name="_Toc53046360"/>
      <w:bookmarkStart w:id="2665" w:name="_Toc5365200"/>
      <w:r>
        <w:rPr>
          <w:rStyle w:val="CharSectno"/>
        </w:rPr>
        <w:t>308</w:t>
      </w:r>
      <w:r>
        <w:t>.</w:t>
      </w:r>
      <w:r>
        <w:tab/>
        <w:t>Draft Rule determination</w:t>
      </w:r>
      <w:bookmarkEnd w:id="2664"/>
      <w:bookmarkEnd w:id="266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make a draft Rule determination before making a final Rule determination in relation to the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Chapter, the AEMC must, within 10 weeks after the date specified in a notice under section 303,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draft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of the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a proposed Rule to which section 305 applies, the AEMC must publish the draft Rule determination and notice of the making of the draft Rule determination within 5 weeks after the date notice under section 303(2) is published.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draft Rule determination must contain—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of the AEMC as to whether or not it should make the proposed Rule,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where the proposed Rule is not a proposed more preferable Rule, the reasons of the AEMC as to whether it is satisfied the proposed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proposed more preferable Rule, the reasons of the AEMC as to whether it is satisfied the proposed more preferable Rule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AEMC determines to make a Rule, a draft of the Rule to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matters that are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notice referred to in subsection (2)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written submissions and comments from any person or body in relation to the determination within a period specified by the AEMC, being a period not less than 6 weeks from the date of publication of the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include a statement to the effect that any person or body may request, in writing within 1 week after the publication of the notice, the AEMC to hold a hearing in accordance with section 310;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any other information prescribed by the Regulations.</w:t>
      </w:r>
    </w:p>
    <w:p>
      <w:pPr>
        <w:pStyle w:val="Heading5"/>
      </w:pPr>
      <w:bookmarkStart w:id="2666" w:name="_Toc53046361"/>
      <w:bookmarkStart w:id="2667" w:name="_Toc5365201"/>
      <w:r>
        <w:rPr>
          <w:rStyle w:val="CharSectno"/>
        </w:rPr>
        <w:t>309</w:t>
      </w:r>
      <w:r>
        <w:t>.</w:t>
      </w:r>
      <w:r>
        <w:tab/>
        <w:t>Right to make written submissions and comments in relation to draft Rule determination</w:t>
      </w:r>
      <w:bookmarkEnd w:id="2666"/>
      <w:bookmarkEnd w:id="2667"/>
    </w:p>
    <w:p>
      <w:pPr>
        <w:keepLines/>
        <w:autoSpaceDE w:val="0"/>
        <w:autoSpaceDN w:val="0"/>
        <w:adjustRightInd w:val="0"/>
        <w:spacing w:before="120"/>
        <w:ind w:left="1588"/>
        <w:rPr>
          <w:color w:val="000000"/>
          <w:sz w:val="23"/>
          <w:szCs w:val="23"/>
        </w:rPr>
      </w:pPr>
      <w:r>
        <w:rPr>
          <w:color w:val="000000"/>
          <w:sz w:val="23"/>
          <w:szCs w:val="23"/>
        </w:rPr>
        <w:t>Any person or body, within the period specified in a notice under section 308(1), may make a written submission or comment in relation to a draft Rule determination to which the notice relates.</w:t>
      </w:r>
    </w:p>
    <w:p>
      <w:pPr>
        <w:pStyle w:val="Heading5"/>
      </w:pPr>
      <w:bookmarkStart w:id="2668" w:name="_Toc53046362"/>
      <w:bookmarkStart w:id="2669" w:name="_Toc5365202"/>
      <w:r>
        <w:rPr>
          <w:rStyle w:val="CharSectno"/>
        </w:rPr>
        <w:t>310</w:t>
      </w:r>
      <w:r>
        <w:t>.</w:t>
      </w:r>
      <w:r>
        <w:tab/>
        <w:t>Pre</w:t>
      </w:r>
      <w:r>
        <w:noBreakHyphen/>
        <w:t>final Rule determination hearing may be held</w:t>
      </w:r>
      <w:bookmarkEnd w:id="2668"/>
      <w:bookmarkEnd w:id="266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(but need not), at any time after publication of a notice under section 308(2) and before making a final Rule determination,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any person or body may request, in writing, within 1 week after the publication of a notice under section 308(2), the AEMC to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subsection (2), the AEMC may decide not to a hold a hearing in relation to a draft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Without limiting the reasons why the AEMC may decide not to a hold a hearing following a request under subsection (2) in relation to a draft Rule determination, the AEMC may decide not to hold a hearing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or body that requests the AEMC to hold a hearing does not make a written submission or comment in accordance with section 309;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 other person or body requests the AEMC to hold a hearing.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AEMC decides not to hold a hearing after a request under subsection (2), it must give the person or body that requested the hearing its reasons, in writing, for declining that person’s or body’s request.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the AEMC decides to hold a hearing, or agrees to hold a hearing after a request under subsection (2),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appoint a date (being not later than 3 weeks after the date of publication of the notice under section 308), time and place for the holding of the hearing;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notice of that date, time and place.</w:t>
      </w:r>
    </w:p>
    <w:p>
      <w:pPr>
        <w:pStyle w:val="Heading5"/>
      </w:pPr>
      <w:bookmarkStart w:id="2670" w:name="_Toc53046363"/>
      <w:bookmarkStart w:id="2671" w:name="_Toc5365203"/>
      <w:r>
        <w:rPr>
          <w:rStyle w:val="CharSectno"/>
        </w:rPr>
        <w:t>311</w:t>
      </w:r>
      <w:r>
        <w:t>.</w:t>
      </w:r>
      <w:r>
        <w:tab/>
        <w:t>Final Rule determination</w:t>
      </w:r>
      <w:bookmarkEnd w:id="2670"/>
      <w:bookmarkEnd w:id="267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 312, the AEMC must make a final Rule determination as to whether to make a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Chapter, the AEMC must, within 6 weeks after the period for written submissions or comments in relation to the draft Rule determination ends,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final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of the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final Rule determination must contain—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of the AEMC as to whether or not it should make a Rule,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where the Rule to be made is not a more preferable Rule, the reasons of the AEMC as to whether it is satisfied the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where the Rule to be made is a more preferable Rule, the reasons of the AEMC as to whether it is satisfied the more preferable Rule to be made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other matters that are prescribed by the Regulations.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notice referred to in subsection (2) must contain the information prescribed by the Regulations.</w:t>
      </w:r>
    </w:p>
    <w:p>
      <w:pPr>
        <w:pStyle w:val="Heading5"/>
      </w:pPr>
      <w:bookmarkStart w:id="2672" w:name="_Toc53046364"/>
      <w:bookmarkStart w:id="2673" w:name="_Toc5365204"/>
      <w:r>
        <w:rPr>
          <w:rStyle w:val="CharSectno"/>
        </w:rPr>
        <w:t>312</w:t>
      </w:r>
      <w:r>
        <w:t>.</w:t>
      </w:r>
      <w:r>
        <w:tab/>
        <w:t>Further draft Rule determination may be made where proposed Rule is a proposed more preferable Rule</w:t>
      </w:r>
      <w:bookmarkEnd w:id="2672"/>
      <w:bookmarkEnd w:id="267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 proposes to make a more preferable Rule.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this Chapter, the AEMC may take action again under sections 308 to 310 in respect of the proposed more preferable Rule before making a final Rule determination in respect of that Rule.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Sections 308 to 310 apply as if, in section 308(2), for “the date specified in a notice under section 303” there were substituted “the date of the previous draft Rule determination”.</w:t>
      </w:r>
    </w:p>
    <w:p>
      <w:pPr>
        <w:pStyle w:val="Heading5"/>
      </w:pPr>
      <w:bookmarkStart w:id="2674" w:name="_Toc53046365"/>
      <w:bookmarkStart w:id="2675" w:name="_Toc5365205"/>
      <w:r>
        <w:rPr>
          <w:rStyle w:val="CharSectno"/>
        </w:rPr>
        <w:t>313</w:t>
      </w:r>
      <w:r>
        <w:t>.</w:t>
      </w:r>
      <w:r>
        <w:tab/>
        <w:t>Making of Rule</w:t>
      </w:r>
      <w:bookmarkEnd w:id="2674"/>
      <w:bookmarkEnd w:id="267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the AEMC, in its final Rule determination, determines to make a Rule, the AEMC must make the relevant Rule as soon as practicable after the publication of the final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the making of the Rule must be published in the South Australian Government Gazette as soon as practicable after the making of the Rule.</w:t>
      </w:r>
    </w:p>
    <w:p>
      <w:pPr>
        <w:pStyle w:val="Heading5"/>
      </w:pPr>
      <w:bookmarkStart w:id="2676" w:name="_Toc53046366"/>
      <w:bookmarkStart w:id="2677" w:name="_Toc5365206"/>
      <w:r>
        <w:rPr>
          <w:rStyle w:val="CharSectno"/>
        </w:rPr>
        <w:t>314</w:t>
      </w:r>
      <w:r>
        <w:t>.</w:t>
      </w:r>
      <w:r>
        <w:tab/>
        <w:t>Operation and commencement of Rule</w:t>
      </w:r>
      <w:bookmarkEnd w:id="2676"/>
      <w:bookmarkEnd w:id="2677"/>
    </w:p>
    <w:p>
      <w:pPr>
        <w:keepLines/>
        <w:autoSpaceDE w:val="0"/>
        <w:autoSpaceDN w:val="0"/>
        <w:adjustRightInd w:val="0"/>
        <w:spacing w:before="120"/>
        <w:ind w:left="1588"/>
        <w:rPr>
          <w:color w:val="000000"/>
          <w:sz w:val="23"/>
          <w:szCs w:val="23"/>
        </w:rPr>
      </w:pPr>
      <w:r>
        <w:rPr>
          <w:color w:val="000000"/>
          <w:sz w:val="23"/>
          <w:szCs w:val="23"/>
        </w:rPr>
        <w:t>A Rule made under section 313 commences operation on the day the relevant notice is published in the South Australian Government Gazette or on any day after that day that is provided for in the relevant notice or the Rule.</w:t>
      </w:r>
    </w:p>
    <w:p>
      <w:pPr>
        <w:pStyle w:val="Heading5"/>
      </w:pPr>
      <w:bookmarkStart w:id="2678" w:name="_Toc53046367"/>
      <w:bookmarkStart w:id="2679" w:name="_Toc5365207"/>
      <w:r>
        <w:rPr>
          <w:rStyle w:val="CharSectno"/>
        </w:rPr>
        <w:t>315</w:t>
      </w:r>
      <w:r>
        <w:t>.</w:t>
      </w:r>
      <w:r>
        <w:tab/>
        <w:t>Rule that is made to be published on website and made available to the public</w:t>
      </w:r>
      <w:bookmarkEnd w:id="2678"/>
      <w:bookmarkEnd w:id="2679"/>
    </w:p>
    <w:p>
      <w:pPr>
        <w:keepNext/>
        <w:keepLines/>
        <w:autoSpaceDE w:val="0"/>
        <w:autoSpaceDN w:val="0"/>
        <w:adjustRightInd w:val="0"/>
        <w:spacing w:before="120"/>
        <w:ind w:left="1588"/>
        <w:rPr>
          <w:color w:val="000000"/>
          <w:sz w:val="23"/>
          <w:szCs w:val="23"/>
        </w:rPr>
      </w:pPr>
      <w:r>
        <w:rPr>
          <w:color w:val="000000"/>
          <w:sz w:val="23"/>
          <w:szCs w:val="23"/>
        </w:rPr>
        <w:t>On publication of a notice in accordance with section 313(2), the AEMC must, without delay—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 the Rule on its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copies of the Rule available to the public at its offices.</w:t>
      </w:r>
    </w:p>
    <w:p>
      <w:pPr>
        <w:pStyle w:val="Heading5"/>
      </w:pPr>
      <w:bookmarkStart w:id="2680" w:name="_Toc53046368"/>
      <w:bookmarkStart w:id="2681" w:name="_Toc5365208"/>
      <w:r>
        <w:rPr>
          <w:rStyle w:val="CharSectno"/>
        </w:rPr>
        <w:t>316</w:t>
      </w:r>
      <w:r>
        <w:t>.</w:t>
      </w:r>
      <w:r>
        <w:tab/>
        <w:t>Evidence of the National Gas Rules</w:t>
      </w:r>
      <w:bookmarkEnd w:id="2680"/>
      <w:bookmarkEnd w:id="2681"/>
    </w:p>
    <w:p>
      <w:pPr>
        <w:keepNext/>
        <w:keepLines/>
        <w:autoSpaceDE w:val="0"/>
        <w:autoSpaceDN w:val="0"/>
        <w:adjustRightInd w:val="0"/>
        <w:spacing w:before="120"/>
        <w:ind w:left="1588"/>
        <w:rPr>
          <w:color w:val="000000"/>
          <w:sz w:val="23"/>
          <w:szCs w:val="23"/>
        </w:rPr>
      </w:pPr>
      <w:r>
        <w:rPr>
          <w:color w:val="000000"/>
          <w:sz w:val="23"/>
          <w:szCs w:val="23"/>
        </w:rPr>
        <w:t>A document purporting to be a copy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National Gas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initial National Gas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amendment to the initial National Gas Rules or the National Gas Rules,</w:t>
      </w:r>
    </w:p>
    <w:p>
      <w:pPr>
        <w:keepLines/>
        <w:autoSpaceDE w:val="0"/>
        <w:autoSpaceDN w:val="0"/>
        <w:adjustRightInd w:val="0"/>
        <w:spacing w:before="120"/>
        <w:ind w:left="1588"/>
        <w:rPr>
          <w:color w:val="000000"/>
          <w:sz w:val="23"/>
          <w:szCs w:val="23"/>
        </w:rPr>
      </w:pPr>
      <w:r>
        <w:rPr>
          <w:color w:val="000000"/>
          <w:sz w:val="23"/>
          <w:szCs w:val="23"/>
        </w:rPr>
        <w:t>endorsed with a certificate to which the seal of the AEMC has been duly affixed certifying the document is such a copy, is evidence that the document is such a copy.</w:t>
      </w:r>
    </w:p>
    <w:p>
      <w:pPr>
        <w:pStyle w:val="Heading3"/>
      </w:pPr>
      <w:bookmarkStart w:id="2682" w:name="_Toc52954675"/>
      <w:bookmarkStart w:id="2683" w:name="_Toc52955971"/>
      <w:bookmarkStart w:id="2684" w:name="_Toc52957470"/>
      <w:bookmarkStart w:id="2685" w:name="_Toc52958253"/>
      <w:bookmarkStart w:id="2686" w:name="_Toc53045586"/>
      <w:bookmarkStart w:id="2687" w:name="_Toc53046369"/>
      <w:bookmarkStart w:id="2688" w:name="_Toc501634254"/>
      <w:bookmarkStart w:id="2689" w:name="_Toc501713150"/>
      <w:bookmarkStart w:id="2690" w:name="_Toc536782376"/>
      <w:bookmarkStart w:id="2691" w:name="_Toc5347435"/>
      <w:bookmarkStart w:id="2692" w:name="_Toc5363988"/>
      <w:bookmarkStart w:id="2693" w:name="_Toc5365209"/>
      <w:r>
        <w:rPr>
          <w:rStyle w:val="CharDivNo"/>
        </w:rPr>
        <w:t>Part 4</w:t>
      </w:r>
      <w:r>
        <w:t> — </w:t>
      </w:r>
      <w:r>
        <w:rPr>
          <w:rStyle w:val="CharDivText"/>
        </w:rPr>
        <w:t>Miscellaneous provisions relating to rule making by the AEMC</w:t>
      </w:r>
      <w:bookmarkEnd w:id="2682"/>
      <w:bookmarkEnd w:id="2683"/>
      <w:bookmarkEnd w:id="2684"/>
      <w:bookmarkEnd w:id="2685"/>
      <w:bookmarkEnd w:id="2686"/>
      <w:bookmarkEnd w:id="2687"/>
      <w:bookmarkEnd w:id="2688"/>
      <w:bookmarkEnd w:id="2689"/>
      <w:bookmarkEnd w:id="2690"/>
      <w:bookmarkEnd w:id="2691"/>
      <w:bookmarkEnd w:id="2692"/>
      <w:bookmarkEnd w:id="2693"/>
    </w:p>
    <w:p>
      <w:pPr>
        <w:pStyle w:val="Heading5"/>
      </w:pPr>
      <w:bookmarkStart w:id="2694" w:name="_Toc53046370"/>
      <w:bookmarkStart w:id="2695" w:name="_Toc5365210"/>
      <w:r>
        <w:rPr>
          <w:rStyle w:val="CharSectno"/>
        </w:rPr>
        <w:t>317</w:t>
      </w:r>
      <w:r>
        <w:t>.</w:t>
      </w:r>
      <w:r>
        <w:tab/>
        <w:t>Extension of periods of time in Rule making procedure</w:t>
      </w:r>
      <w:bookmarkEnd w:id="2694"/>
      <w:bookmarkEnd w:id="269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Chapter and without limiting section 318, the AEMC may, by notice, extend a period of time specified in Chapter 9 Part 3 if the AEMC considers that a request for a Rule raises issues of sufficient complexity or difficulty or there is a material change in circumstances such that it is necessary that the relevant period of time specified in Chapter 9 Part 3 be extended.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notice under subsection (1)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set out the period of time specified in Chapter 9 Part 3 to be extended;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a new period of time to apply in the place of the period of time specified in Chapter 9 Part 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(1) may be published at the same time as a notice under section 303.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may only extend a period of time under this section before the expiry of that time.</w:t>
      </w:r>
    </w:p>
    <w:p>
      <w:pPr>
        <w:pStyle w:val="Heading5"/>
      </w:pPr>
      <w:bookmarkStart w:id="2696" w:name="_Toc53046371"/>
      <w:bookmarkStart w:id="2697" w:name="_Toc5365211"/>
      <w:r>
        <w:rPr>
          <w:rStyle w:val="CharSectno"/>
        </w:rPr>
        <w:t>318</w:t>
      </w:r>
      <w:r>
        <w:t>.</w:t>
      </w:r>
      <w:r>
        <w:tab/>
        <w:t>AEMC may extend period of time for making of final Rule determination for further consultation</w:t>
      </w:r>
      <w:bookmarkEnd w:id="2696"/>
      <w:bookmarkEnd w:id="269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or body raises an issue in—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submission or comment in relation to a draft Rule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hearing held under section 307 or 310;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AEMC considers the issue raised by the person or body requires further public consultation in relation to the proposed Rule or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anything to the contrary in this Chapter and without limiting section 317, the AEMC may, by notice, extend the period of time specified in section 311 within which it must make a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(2)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a new period of time to apply in the place of the period of time specified in section 311;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the issue on which the AEMC requires further public submissions and comments;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invite written submissions and comments from any person or body by the date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new period of time must not have the effect of extending the relevant period of the time specified in section 311 by more than 4 weeks.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AEMC may only extend the period of time under this section before the expiry of time specified in section 311.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Any person or body, within the period specified in a notice under subsection (2), may make a written submission or comment in relation to the issue specified in the notice.</w:t>
      </w:r>
    </w:p>
    <w:p>
      <w:pPr>
        <w:pStyle w:val="Heading5"/>
      </w:pPr>
      <w:bookmarkStart w:id="2698" w:name="_Toc53046372"/>
      <w:bookmarkStart w:id="2699" w:name="_Toc5365212"/>
      <w:r>
        <w:rPr>
          <w:rStyle w:val="CharSectno"/>
        </w:rPr>
        <w:t>319</w:t>
      </w:r>
      <w:r>
        <w:t>.</w:t>
      </w:r>
      <w:r>
        <w:tab/>
        <w:t>AEMC may publish written submissions and comments unless confidential</w:t>
      </w:r>
      <w:bookmarkEnd w:id="2698"/>
      <w:bookmarkEnd w:id="269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AEMC may publish any information in any written submission or comment given to it under this Chapter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or body who gave the information, claims, when giving it to the AEMC, that it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AEMC decides that the written submission or comment contains confidential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written submission or comment given to the AEMC under this Chapter that has been claimed under this section to contain confidential information, and that the AEMC has decided contains confidential information, may be published if that information is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information is omitted from a published written submission or comment given to the AEMC under this Chapter as being confidential information, a note to that effect must be included in the submission or comment at the place in the submission or comment from which the information is omitted.</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See also section 71 of this Law and section 24 of the </w:t>
      </w:r>
      <w:r>
        <w:rPr>
          <w:i/>
          <w:iCs/>
          <w:color w:val="000000"/>
          <w:sz w:val="20"/>
        </w:rPr>
        <w:t>Australian Energy Market Commission Establishment Act 2004</w:t>
      </w:r>
      <w:r>
        <w:rPr>
          <w:color w:val="000000"/>
          <w:sz w:val="20"/>
        </w:rPr>
        <w:t xml:space="preserve"> of South Australia.</w:t>
      </w:r>
    </w:p>
    <w:p>
      <w:pPr>
        <w:pStyle w:val="Heading5"/>
      </w:pPr>
      <w:bookmarkStart w:id="2700" w:name="_Toc53046373"/>
      <w:bookmarkStart w:id="2701" w:name="_Toc5365213"/>
      <w:r>
        <w:rPr>
          <w:rStyle w:val="CharSectno"/>
        </w:rPr>
        <w:t>320</w:t>
      </w:r>
      <w:r>
        <w:t>.</w:t>
      </w:r>
      <w:r>
        <w:tab/>
        <w:t>AEMC must publicly report on Rules not made within 12 months of public notification of requests</w:t>
      </w:r>
      <w:bookmarkEnd w:id="2700"/>
      <w:bookmarkEnd w:id="270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publishes a notice under section 303 in respect of a request for the making of a Rule;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does not make a final Rule determination in respect of that request within 12 months after the publication of that notice (the </w:t>
      </w:r>
      <w:r>
        <w:rPr>
          <w:rStyle w:val="CharDefText"/>
          <w:bCs/>
          <w:sz w:val="23"/>
        </w:rPr>
        <w:t>report trigger date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prepare a report on the request as soon as practicable after the report trigger date.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report prepared under this section—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contain the reasons why the final Rule determination has not been made within 12 months after the publication of the notice under section 303;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specify when the AEMC considers it will make the final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published.</w:t>
      </w:r>
    </w:p>
    <w:p>
      <w:pPr>
        <w:pStyle w:val="Heading2"/>
      </w:pPr>
      <w:bookmarkStart w:id="2702" w:name="_Toc52954680"/>
      <w:bookmarkStart w:id="2703" w:name="_Toc52955976"/>
      <w:bookmarkStart w:id="2704" w:name="_Toc52957475"/>
      <w:bookmarkStart w:id="2705" w:name="_Toc52958258"/>
      <w:bookmarkStart w:id="2706" w:name="_Toc53045591"/>
      <w:bookmarkStart w:id="2707" w:name="_Toc53046374"/>
      <w:bookmarkStart w:id="2708" w:name="_Toc501634259"/>
      <w:bookmarkStart w:id="2709" w:name="_Toc501713155"/>
      <w:bookmarkStart w:id="2710" w:name="_Toc536782381"/>
      <w:bookmarkStart w:id="2711" w:name="_Toc5347440"/>
      <w:bookmarkStart w:id="2712" w:name="_Toc5363993"/>
      <w:bookmarkStart w:id="2713" w:name="_Toc5365214"/>
      <w:r>
        <w:rPr>
          <w:rStyle w:val="CharPartNo"/>
        </w:rPr>
        <w:t>Chapter 10</w:t>
      </w:r>
      <w:r>
        <w:t xml:space="preserve"> — </w:t>
      </w:r>
      <w:r>
        <w:rPr>
          <w:rStyle w:val="CharPartText"/>
        </w:rPr>
        <w:t>General</w:t>
      </w:r>
      <w:bookmarkEnd w:id="2702"/>
      <w:bookmarkEnd w:id="2703"/>
      <w:bookmarkEnd w:id="2704"/>
      <w:bookmarkEnd w:id="2705"/>
      <w:bookmarkEnd w:id="2706"/>
      <w:bookmarkEnd w:id="2707"/>
      <w:bookmarkEnd w:id="2708"/>
      <w:bookmarkEnd w:id="2709"/>
      <w:bookmarkEnd w:id="2710"/>
      <w:bookmarkEnd w:id="2711"/>
      <w:bookmarkEnd w:id="2712"/>
      <w:bookmarkEnd w:id="2713"/>
    </w:p>
    <w:p>
      <w:pPr>
        <w:pStyle w:val="Heading3"/>
      </w:pPr>
      <w:bookmarkStart w:id="2714" w:name="_Toc52954681"/>
      <w:bookmarkStart w:id="2715" w:name="_Toc52955977"/>
      <w:bookmarkStart w:id="2716" w:name="_Toc52957476"/>
      <w:bookmarkStart w:id="2717" w:name="_Toc52958259"/>
      <w:bookmarkStart w:id="2718" w:name="_Toc53045592"/>
      <w:bookmarkStart w:id="2719" w:name="_Toc53046375"/>
      <w:bookmarkStart w:id="2720" w:name="_Toc501634260"/>
      <w:bookmarkStart w:id="2721" w:name="_Toc501713156"/>
      <w:bookmarkStart w:id="2722" w:name="_Toc536782382"/>
      <w:bookmarkStart w:id="2723" w:name="_Toc5347441"/>
      <w:bookmarkStart w:id="2724" w:name="_Toc5363994"/>
      <w:bookmarkStart w:id="2725" w:name="_Toc5365215"/>
      <w:r>
        <w:rPr>
          <w:rStyle w:val="CharDivNo"/>
        </w:rPr>
        <w:t>Part 1</w:t>
      </w:r>
      <w:r>
        <w:t xml:space="preserve"> — </w:t>
      </w:r>
      <w:r>
        <w:rPr>
          <w:rStyle w:val="CharDivText"/>
        </w:rPr>
        <w:t>Provisions relating to applicable access arrangements</w:t>
      </w:r>
      <w:bookmarkEnd w:id="2714"/>
      <w:bookmarkEnd w:id="2715"/>
      <w:bookmarkEnd w:id="2716"/>
      <w:bookmarkEnd w:id="2717"/>
      <w:bookmarkEnd w:id="2718"/>
      <w:bookmarkEnd w:id="2719"/>
      <w:bookmarkEnd w:id="2720"/>
      <w:bookmarkEnd w:id="2721"/>
      <w:bookmarkEnd w:id="2722"/>
      <w:bookmarkEnd w:id="2723"/>
      <w:bookmarkEnd w:id="2724"/>
      <w:bookmarkEnd w:id="2725"/>
    </w:p>
    <w:p>
      <w:pPr>
        <w:pStyle w:val="Heading5"/>
      </w:pPr>
      <w:bookmarkStart w:id="2726" w:name="_Toc53046376"/>
      <w:bookmarkStart w:id="2727" w:name="_Toc5365216"/>
      <w:r>
        <w:rPr>
          <w:rStyle w:val="CharSectno"/>
        </w:rPr>
        <w:t>321</w:t>
      </w:r>
      <w:r>
        <w:t>.</w:t>
      </w:r>
      <w:r>
        <w:tab/>
        <w:t>Protection of certain pre</w:t>
      </w:r>
      <w:r>
        <w:noBreakHyphen/>
        <w:t>existing contractual rights</w:t>
      </w:r>
      <w:bookmarkEnd w:id="2726"/>
      <w:bookmarkEnd w:id="272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applicable access arrangement must not have the effect of 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relevant exclusivity right</w:t>
      </w:r>
      <w:r>
        <w:rPr>
          <w:bCs/>
          <w:i/>
          <w:iCs/>
          <w:color w:val="000000"/>
          <w:sz w:val="23"/>
          <w:szCs w:val="23"/>
        </w:rPr>
        <w:t xml:space="preserve"> </w:t>
      </w:r>
      <w:r>
        <w:rPr>
          <w:color w:val="000000"/>
          <w:sz w:val="23"/>
          <w:szCs w:val="23"/>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Next/>
        <w:keepLines/>
        <w:autoSpaceDE w:val="0"/>
        <w:autoSpaceDN w:val="0"/>
        <w:adjustRightInd w:val="0"/>
        <w:spacing w:before="120"/>
        <w:ind w:left="1588"/>
        <w:rPr>
          <w:color w:val="000000"/>
          <w:sz w:val="23"/>
          <w:szCs w:val="23"/>
        </w:rPr>
      </w:pPr>
      <w:r>
        <w:rPr>
          <w:rStyle w:val="CharDefText"/>
          <w:bCs/>
          <w:sz w:val="23"/>
        </w:rPr>
        <w:t>relevant protected contractual right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applicable access arrangement approved under an applicable arrangement decision—a right under a contract (other than a relevant exclusivity right) in force immediately before that access arrangement was submitted for approval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applicable access arrangement made under an applicable arrangement decision because—</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full access arrangement was not submitted for approval as required under section 132—a right under a contract (other than a relevant exclusivity right) in force immediately before the date on which an access arrangement was required to be submitted for approval;</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access arrangement was not approved under an applicable arrangement decision—a right under a contract (other than a relevant exclusivity right) in force immediately before the date on which that access arrangement was submitted for approval.</w:t>
      </w:r>
    </w:p>
    <w:p>
      <w:pPr>
        <w:pStyle w:val="Heading5"/>
      </w:pPr>
      <w:bookmarkStart w:id="2728" w:name="_Toc53046377"/>
      <w:bookmarkStart w:id="2729" w:name="_Toc5365217"/>
      <w:r>
        <w:rPr>
          <w:rStyle w:val="CharSectno"/>
        </w:rPr>
        <w:t>322</w:t>
      </w:r>
      <w:r>
        <w:t>.</w:t>
      </w:r>
      <w:r>
        <w:tab/>
        <w:t>Service provider may enter into agreement for access different from applicable access arrangement</w:t>
      </w:r>
      <w:bookmarkEnd w:id="2728"/>
      <w:bookmarkEnd w:id="2729"/>
    </w:p>
    <w:p>
      <w:pPr>
        <w:keepLines/>
        <w:autoSpaceDE w:val="0"/>
        <w:autoSpaceDN w:val="0"/>
        <w:adjustRightInd w:val="0"/>
        <w:spacing w:before="120"/>
        <w:ind w:left="1588"/>
        <w:rPr>
          <w:color w:val="000000"/>
          <w:sz w:val="23"/>
          <w:szCs w:val="23"/>
        </w:rPr>
      </w:pPr>
      <w:r>
        <w:rPr>
          <w:color w:val="000000"/>
          <w:sz w:val="23"/>
          <w:szCs w:val="23"/>
        </w:rPr>
        <w:t>Subject to section 135, nothing in this Law is to be taken as preventing a service provider from entering into an agreement with a user or a prospective user about access to a pipeline service provided by means of a scheme pipeline that is different from an applicable access arrangement that applies to that pipeline service.</w:t>
      </w:r>
    </w:p>
    <w:p>
      <w:pPr>
        <w:pStyle w:val="Heading5"/>
      </w:pPr>
      <w:bookmarkStart w:id="2730" w:name="_Toc53046378"/>
      <w:bookmarkStart w:id="2731" w:name="_Toc5365218"/>
      <w:r>
        <w:rPr>
          <w:rStyle w:val="CharSectno"/>
        </w:rPr>
        <w:t>323</w:t>
      </w:r>
      <w:r>
        <w:t>.</w:t>
      </w:r>
      <w:r>
        <w:tab/>
        <w:t>Applicable access arrangements continue to apply regardless of who provides pipeline service</w:t>
      </w:r>
      <w:bookmarkEnd w:id="2730"/>
      <w:bookmarkEnd w:id="2731"/>
    </w:p>
    <w:p>
      <w:pPr>
        <w:keepLines/>
        <w:autoSpaceDE w:val="0"/>
        <w:autoSpaceDN w:val="0"/>
        <w:adjustRightInd w:val="0"/>
        <w:spacing w:before="120"/>
        <w:ind w:left="1588"/>
        <w:rPr>
          <w:color w:val="000000"/>
          <w:sz w:val="23"/>
          <w:szCs w:val="23"/>
        </w:rPr>
      </w:pPr>
      <w:r>
        <w:rPr>
          <w:color w:val="000000"/>
          <w:sz w:val="23"/>
          <w:szCs w:val="23"/>
        </w:rPr>
        <w:t>An applicable access arrangement applies to a pipeline service provided, or to be provided, by means of a pipeline regardless of who provides that pipeline service.</w:t>
      </w:r>
    </w:p>
    <w:p>
      <w:pPr>
        <w:pStyle w:val="Heading3"/>
      </w:pPr>
      <w:bookmarkStart w:id="2732" w:name="_Toc52954685"/>
      <w:bookmarkStart w:id="2733" w:name="_Toc52955981"/>
      <w:bookmarkStart w:id="2734" w:name="_Toc52957480"/>
      <w:bookmarkStart w:id="2735" w:name="_Toc52958263"/>
      <w:bookmarkStart w:id="2736" w:name="_Toc53045596"/>
      <w:bookmarkStart w:id="2737" w:name="_Toc53046379"/>
      <w:bookmarkStart w:id="2738" w:name="_Toc501634264"/>
      <w:bookmarkStart w:id="2739" w:name="_Toc501713160"/>
      <w:bookmarkStart w:id="2740" w:name="_Toc536782386"/>
      <w:bookmarkStart w:id="2741" w:name="_Toc5347445"/>
      <w:bookmarkStart w:id="2742" w:name="_Toc5363998"/>
      <w:bookmarkStart w:id="2743" w:name="_Toc5365219"/>
      <w:r>
        <w:rPr>
          <w:rStyle w:val="CharDivNo"/>
        </w:rPr>
        <w:t>Part 2</w:t>
      </w:r>
      <w:r>
        <w:t xml:space="preserve"> — </w:t>
      </w:r>
      <w:r>
        <w:rPr>
          <w:rStyle w:val="CharDivText"/>
        </w:rPr>
        <w:t>Handling of confidential information</w:t>
      </w:r>
      <w:bookmarkEnd w:id="2732"/>
      <w:bookmarkEnd w:id="2733"/>
      <w:bookmarkEnd w:id="2734"/>
      <w:bookmarkEnd w:id="2735"/>
      <w:bookmarkEnd w:id="2736"/>
      <w:bookmarkEnd w:id="2737"/>
      <w:bookmarkEnd w:id="2738"/>
      <w:bookmarkEnd w:id="2739"/>
      <w:bookmarkEnd w:id="2740"/>
      <w:bookmarkEnd w:id="2741"/>
      <w:bookmarkEnd w:id="2742"/>
      <w:bookmarkEnd w:id="2743"/>
    </w:p>
    <w:p>
      <w:pPr>
        <w:pStyle w:val="Heading4"/>
      </w:pPr>
      <w:bookmarkStart w:id="2744" w:name="_Toc52954686"/>
      <w:bookmarkStart w:id="2745" w:name="_Toc52955982"/>
      <w:bookmarkStart w:id="2746" w:name="_Toc52957481"/>
      <w:bookmarkStart w:id="2747" w:name="_Toc52958264"/>
      <w:bookmarkStart w:id="2748" w:name="_Toc53045597"/>
      <w:bookmarkStart w:id="2749" w:name="_Toc53046380"/>
      <w:bookmarkStart w:id="2750" w:name="_Toc501634265"/>
      <w:bookmarkStart w:id="2751" w:name="_Toc501713161"/>
      <w:bookmarkStart w:id="2752" w:name="_Toc536782387"/>
      <w:bookmarkStart w:id="2753" w:name="_Toc5347446"/>
      <w:bookmarkStart w:id="2754" w:name="_Toc5363999"/>
      <w:bookmarkStart w:id="2755" w:name="_Toc5365220"/>
      <w:r>
        <w:t>Division 1 — Disclosure of confidential information held by AER</w:t>
      </w:r>
      <w:bookmarkEnd w:id="2744"/>
      <w:bookmarkEnd w:id="2745"/>
      <w:bookmarkEnd w:id="2746"/>
      <w:bookmarkEnd w:id="2747"/>
      <w:bookmarkEnd w:id="2748"/>
      <w:bookmarkEnd w:id="2749"/>
      <w:bookmarkEnd w:id="2750"/>
      <w:bookmarkEnd w:id="2751"/>
      <w:bookmarkEnd w:id="2752"/>
      <w:bookmarkEnd w:id="2753"/>
      <w:bookmarkEnd w:id="2754"/>
      <w:bookmarkEnd w:id="2755"/>
    </w:p>
    <w:p>
      <w:pPr>
        <w:pStyle w:val="Heading5"/>
      </w:pPr>
      <w:bookmarkStart w:id="2756" w:name="_Toc53046381"/>
      <w:bookmarkStart w:id="2757" w:name="_Toc5365221"/>
      <w:r>
        <w:rPr>
          <w:rStyle w:val="CharSectno"/>
        </w:rPr>
        <w:t>324</w:t>
      </w:r>
      <w:r>
        <w:t>.</w:t>
      </w:r>
      <w:r>
        <w:tab/>
        <w:t>Authorised disclosure of information given to the AER in confidence</w:t>
      </w:r>
      <w:bookmarkEnd w:id="2756"/>
      <w:bookmarkEnd w:id="2757"/>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in, or in connection with, the performance or exercise of its functions or powers under this Law or the Rules subject to and in accordance with—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this Division;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section 205.</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See also section 30 of this Law and section 44AAF of the </w:t>
      </w:r>
      <w:r>
        <w:rPr>
          <w:i/>
          <w:iCs/>
          <w:color w:val="000000"/>
          <w:sz w:val="20"/>
        </w:rPr>
        <w:t>Trade Practices Act 1974</w:t>
      </w:r>
      <w:r>
        <w:rPr>
          <w:color w:val="000000"/>
          <w:sz w:val="20"/>
        </w:rPr>
        <w:t xml:space="preserve"> of the Commonwealth.</w:t>
      </w:r>
    </w:p>
    <w:p>
      <w:pPr>
        <w:pStyle w:val="Heading5"/>
      </w:pPr>
      <w:bookmarkStart w:id="2758" w:name="_Toc53046382"/>
      <w:bookmarkStart w:id="2759" w:name="_Toc5365222"/>
      <w:r>
        <w:rPr>
          <w:rStyle w:val="CharSectno"/>
        </w:rPr>
        <w:t>325</w:t>
      </w:r>
      <w:r>
        <w:t>.</w:t>
      </w:r>
      <w:r>
        <w:tab/>
        <w:t>Disclosure with prior written consent is authorised</w:t>
      </w:r>
      <w:bookmarkEnd w:id="2758"/>
      <w:bookmarkEnd w:id="2759"/>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if the AER has the written consent to do so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who gave the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from whom the person referred to in paragraph (a) received that information.</w:t>
      </w:r>
    </w:p>
    <w:p>
      <w:pPr>
        <w:pStyle w:val="Heading5"/>
      </w:pPr>
      <w:bookmarkStart w:id="2760" w:name="_Toc53046383"/>
      <w:bookmarkStart w:id="2761" w:name="_Toc5365223"/>
      <w:r>
        <w:rPr>
          <w:rStyle w:val="CharSectno"/>
        </w:rPr>
        <w:t>326</w:t>
      </w:r>
      <w:r>
        <w:t>.</w:t>
      </w:r>
      <w:r>
        <w:tab/>
        <w:t>Disclosure for purposes of court and tribunal proceedings and to accord natural justice</w:t>
      </w:r>
      <w:bookmarkEnd w:id="2760"/>
      <w:bookmarkEnd w:id="2761"/>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the purposes of civil or criminal proceedings;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 the purposes of a proceeding before the Tribunal or a tribunal established by or under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for the purposes of according natural justice to a person affected by a decision (however described) of the AER under this Law or the Rules.</w:t>
      </w:r>
    </w:p>
    <w:p>
      <w:pPr>
        <w:pStyle w:val="Heading5"/>
      </w:pPr>
      <w:bookmarkStart w:id="2762" w:name="_Toc53046384"/>
      <w:bookmarkStart w:id="2763" w:name="_Toc5365224"/>
      <w:r>
        <w:rPr>
          <w:rStyle w:val="CharSectno"/>
        </w:rPr>
        <w:t>327</w:t>
      </w:r>
      <w:r>
        <w:t>.</w:t>
      </w:r>
      <w:r>
        <w:tab/>
        <w:t>Disclosure of information given to the AER with confidential information omitted</w:t>
      </w:r>
      <w:bookmarkEnd w:id="2762"/>
      <w:bookmarkEnd w:id="276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compliance with this Law or the Rules or voluntarily, a person gives the AER information in confidence;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information is contained in a document with other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disclose the document with the information given in confidence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 include a note at the place in the document from which the information given in confidence is omitted to the effect that that information has been omitted from the document.</w:t>
      </w:r>
    </w:p>
    <w:p>
      <w:pPr>
        <w:pStyle w:val="Heading5"/>
      </w:pPr>
      <w:bookmarkStart w:id="2764" w:name="_Toc53046385"/>
      <w:bookmarkStart w:id="2765" w:name="_Toc5365225"/>
      <w:r>
        <w:rPr>
          <w:rStyle w:val="CharSectno"/>
        </w:rPr>
        <w:t>328</w:t>
      </w:r>
      <w:r>
        <w:t>.</w:t>
      </w:r>
      <w:r>
        <w:tab/>
        <w:t>Disclosure of information given in confidence does not identify anyone</w:t>
      </w:r>
      <w:bookmarkEnd w:id="2764"/>
      <w:bookmarkEnd w:id="2765"/>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in compliance with this Law or the Rules or voluntarily,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does not disclose any elements of the information that could lead to the identification of the person to whom that information relates;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manner in which it discloses the information does not identify the person to whom that information relates.</w:t>
      </w:r>
    </w:p>
    <w:p>
      <w:pPr>
        <w:keepNext/>
        <w:keepLines/>
        <w:autoSpaceDE w:val="0"/>
        <w:autoSpaceDN w:val="0"/>
        <w:adjustRightInd w:val="0"/>
        <w:spacing w:before="120"/>
        <w:ind w:left="1588" w:hanging="567"/>
        <w:rPr>
          <w:b/>
          <w:bCs/>
          <w:color w:val="000000"/>
          <w:sz w:val="20"/>
        </w:rPr>
      </w:pPr>
      <w:r>
        <w:rPr>
          <w:b/>
          <w:bCs/>
          <w:color w:val="000000"/>
          <w:sz w:val="20"/>
        </w:rPr>
        <w:t>Example—</w:t>
      </w:r>
    </w:p>
    <w:p>
      <w:pPr>
        <w:keepLines/>
        <w:autoSpaceDE w:val="0"/>
        <w:autoSpaceDN w:val="0"/>
        <w:adjustRightInd w:val="0"/>
        <w:spacing w:before="120"/>
        <w:ind w:left="1588"/>
        <w:rPr>
          <w:color w:val="000000"/>
          <w:sz w:val="20"/>
        </w:rPr>
      </w:pPr>
      <w:r>
        <w:rPr>
          <w:color w:val="000000"/>
          <w:sz w:val="20"/>
        </w:rPr>
        <w:t>Information disclosed under this section may be combined or arranged with other information provided that the manner in which that information is combined or arranged will not lead to the identification of the person to whom the information relates.</w:t>
      </w:r>
    </w:p>
    <w:p>
      <w:pPr>
        <w:pStyle w:val="Heading5"/>
      </w:pPr>
      <w:bookmarkStart w:id="2766" w:name="_Toc53046386"/>
      <w:bookmarkStart w:id="2767" w:name="_Toc5365226"/>
      <w:r>
        <w:rPr>
          <w:rStyle w:val="CharSectno"/>
        </w:rPr>
        <w:t>329</w:t>
      </w:r>
      <w:r>
        <w:t>.</w:t>
      </w:r>
      <w:r>
        <w:tab/>
        <w:t>Disclosure of confidential information authorised if detriment does not outweigh public benefit</w:t>
      </w:r>
      <w:bookmarkEnd w:id="2766"/>
      <w:bookmarkEnd w:id="276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section 327 or 328 but subject to this section, the AER is authorised to disclose information given to it in confidence after the restricted period if the AER is of the opinion—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the disclosure of the information would not cause detriment to the person who has given it or to the person from whom that person received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although the disclosure of the information would cause detriment to such a person, the public benefit in disclosing it outweighs that detriment.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disclosing the information, the AER must give the person who gave the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(an </w:t>
      </w:r>
      <w:r>
        <w:rPr>
          <w:rStyle w:val="CharDefText"/>
          <w:bCs/>
          <w:sz w:val="23"/>
        </w:rPr>
        <w:t>initial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AER is aware that the person who gave the information in turn received the information from another person and is aware of that other person’s identity and address, the AER must, before disclosing the information give that other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(an </w:t>
      </w:r>
      <w:r>
        <w:rPr>
          <w:rStyle w:val="CharDefText"/>
          <w:sz w:val="23"/>
        </w:rPr>
        <w:t>initial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AER must consider every representation made to it by a person given an initial disclosure notice under this section within the time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period of time specified in an initial disclosure notice must not be less than 5 business days after the date the initial disclosure notice is given to the person.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after considering the representations, the AER wishes to disclose the information, the AER must give the person given the initial disclosure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 </w:t>
      </w:r>
      <w:r>
        <w:rPr>
          <w:rStyle w:val="CharDefText"/>
          <w:bCs/>
          <w:sz w:val="23"/>
        </w:rPr>
        <w:t>further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For the purposes of this section, the disclosure of anything that is already in the public domain at the time the AER wishes to disclose it cannot cause detriment to any person referred to in subsection (2) or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restricted period</w:t>
      </w:r>
      <w:r>
        <w:rPr>
          <w:bCs/>
          <w:i/>
          <w:iCs/>
          <w:color w:val="000000"/>
          <w:sz w:val="23"/>
          <w:szCs w:val="23"/>
        </w:rPr>
        <w:t xml:space="preserve"> </w:t>
      </w:r>
      <w:r>
        <w:rPr>
          <w:color w:val="000000"/>
          <w:sz w:val="23"/>
          <w:szCs w:val="23"/>
        </w:rPr>
        <w:t>means a period of 5 business days after—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initial disclosure notice has been given under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further disclosure notice has been given under this section,</w:t>
      </w:r>
    </w:p>
    <w:p>
      <w:pPr>
        <w:keepLines/>
        <w:autoSpaceDE w:val="0"/>
        <w:autoSpaceDN w:val="0"/>
        <w:adjustRightInd w:val="0"/>
        <w:spacing w:before="120"/>
        <w:ind w:left="1588"/>
        <w:rPr>
          <w:color w:val="000000"/>
          <w:sz w:val="23"/>
          <w:szCs w:val="23"/>
        </w:rPr>
      </w:pPr>
      <w:r>
        <w:rPr>
          <w:color w:val="000000"/>
          <w:sz w:val="23"/>
          <w:szCs w:val="23"/>
        </w:rPr>
        <w:t>whichever is the later.</w:t>
      </w:r>
    </w:p>
    <w:p>
      <w:pPr>
        <w:pStyle w:val="Heading4"/>
      </w:pPr>
      <w:bookmarkStart w:id="2768" w:name="_Toc52954693"/>
      <w:bookmarkStart w:id="2769" w:name="_Toc52955989"/>
      <w:bookmarkStart w:id="2770" w:name="_Toc52957488"/>
      <w:bookmarkStart w:id="2771" w:name="_Toc52958271"/>
      <w:bookmarkStart w:id="2772" w:name="_Toc53045604"/>
      <w:bookmarkStart w:id="2773" w:name="_Toc53046387"/>
      <w:bookmarkStart w:id="2774" w:name="_Toc501634272"/>
      <w:bookmarkStart w:id="2775" w:name="_Toc501713168"/>
      <w:bookmarkStart w:id="2776" w:name="_Toc536782394"/>
      <w:bookmarkStart w:id="2777" w:name="_Toc5347453"/>
      <w:bookmarkStart w:id="2778" w:name="_Toc5364006"/>
      <w:bookmarkStart w:id="2779" w:name="_Toc5365227"/>
      <w:r>
        <w:t>Division 2 — Disclosure of confidential information held by relevant Ministers, NCC and AEMC</w:t>
      </w:r>
      <w:bookmarkEnd w:id="2768"/>
      <w:bookmarkEnd w:id="2769"/>
      <w:bookmarkEnd w:id="2770"/>
      <w:bookmarkEnd w:id="2771"/>
      <w:bookmarkEnd w:id="2772"/>
      <w:bookmarkEnd w:id="2773"/>
      <w:bookmarkEnd w:id="2774"/>
      <w:bookmarkEnd w:id="2775"/>
      <w:bookmarkEnd w:id="2776"/>
      <w:bookmarkEnd w:id="2777"/>
      <w:bookmarkEnd w:id="2778"/>
      <w:bookmarkEnd w:id="2779"/>
    </w:p>
    <w:p>
      <w:pPr>
        <w:pStyle w:val="Heading5"/>
      </w:pPr>
      <w:bookmarkStart w:id="2780" w:name="_Toc53046388"/>
      <w:bookmarkStart w:id="2781" w:name="_Toc5365228"/>
      <w:r>
        <w:rPr>
          <w:rStyle w:val="CharSectno"/>
        </w:rPr>
        <w:t>330</w:t>
      </w:r>
      <w:r>
        <w:t>.</w:t>
      </w:r>
      <w:r>
        <w:tab/>
        <w:t>Definitions</w:t>
      </w:r>
      <w:bookmarkEnd w:id="2780"/>
      <w:bookmarkEnd w:id="2781"/>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Next/>
        <w:keepLines/>
        <w:autoSpaceDE w:val="0"/>
        <w:autoSpaceDN w:val="0"/>
        <w:adjustRightInd w:val="0"/>
        <w:spacing w:before="120"/>
        <w:ind w:left="1588"/>
        <w:rPr>
          <w:color w:val="000000"/>
          <w:sz w:val="23"/>
          <w:szCs w:val="23"/>
        </w:rPr>
      </w:pPr>
      <w:r>
        <w:rPr>
          <w:rStyle w:val="CharDefText"/>
          <w:bCs/>
          <w:sz w:val="23"/>
        </w:rPr>
        <w:t>relevant decision maker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in the case of decisions relating to applications for price regulation exemptions;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AEMC;</w:t>
      </w:r>
    </w:p>
    <w:p>
      <w:pPr>
        <w:keepNext/>
        <w:keepLines/>
        <w:autoSpaceDE w:val="0"/>
        <w:autoSpaceDN w:val="0"/>
        <w:adjustRightInd w:val="0"/>
        <w:spacing w:before="120"/>
        <w:ind w:left="1588"/>
        <w:rPr>
          <w:color w:val="000000"/>
          <w:sz w:val="23"/>
          <w:szCs w:val="23"/>
        </w:rPr>
      </w:pPr>
      <w:r>
        <w:rPr>
          <w:rStyle w:val="CharDefText"/>
          <w:bCs/>
          <w:sz w:val="23"/>
        </w:rPr>
        <w:t>scheme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 relevant Minister or the Commonwealth Minister, a Ministerial coverage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the NCC, an NCC recommendation or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relation to the AEMC, a report published under Division 4 or Division 5 of Chapter 2 Part 2;</w:t>
      </w:r>
    </w:p>
    <w:p>
      <w:pPr>
        <w:keepNext/>
        <w:keepLines/>
        <w:autoSpaceDE w:val="0"/>
        <w:autoSpaceDN w:val="0"/>
        <w:adjustRightInd w:val="0"/>
        <w:spacing w:before="120"/>
        <w:ind w:left="1588"/>
        <w:rPr>
          <w:color w:val="000000"/>
          <w:sz w:val="23"/>
          <w:szCs w:val="23"/>
        </w:rPr>
      </w:pPr>
      <w:r>
        <w:rPr>
          <w:rStyle w:val="CharDefText"/>
          <w:bCs/>
          <w:sz w:val="23"/>
        </w:rPr>
        <w:t>scheme procedure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relevant Minister or the Commonwealth Minister, the procedure to be followed by the relevant Minister or Commonwealth Minister under this Law for the purpose of making a Ministerial coverage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the NCC, the procedure to be followed by the NCC under this Law and the Rules for the purpose of making an NCC recommendation or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of the AEMC, an MCE directed review or a review conducted by the AEMC under section 83.</w:t>
      </w:r>
    </w:p>
    <w:p>
      <w:pPr>
        <w:pStyle w:val="Heading5"/>
      </w:pPr>
      <w:bookmarkStart w:id="2782" w:name="_Toc53046389"/>
      <w:bookmarkStart w:id="2783" w:name="_Toc5365229"/>
      <w:r>
        <w:rPr>
          <w:rStyle w:val="CharSectno"/>
        </w:rPr>
        <w:t>331</w:t>
      </w:r>
      <w:r>
        <w:t>.</w:t>
      </w:r>
      <w:r>
        <w:tab/>
        <w:t>Confidentiality of information received for scheme procedure purpose and for making of scheme decision</w:t>
      </w:r>
      <w:bookmarkEnd w:id="2782"/>
      <w:bookmarkEnd w:id="278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Information provided to a relevant decision maker for the purposes of a scheme procedure is confidential information for the purposes of that procedure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who provides it claims, when providing it to the relevant decision maker, that it is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decision maker decides that the information is confidential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However, subject to this section, nothing prevents the disclosure of confidential information by the relevant decision maker (the </w:t>
      </w:r>
      <w:r>
        <w:rPr>
          <w:rStyle w:val="CharDefText"/>
          <w:sz w:val="23"/>
        </w:rPr>
        <w:t>principal decision maker</w:t>
      </w:r>
      <w:r>
        <w:rPr>
          <w:color w:val="000000"/>
          <w:sz w:val="23"/>
          <w:szCs w:val="23"/>
        </w:rPr>
        <w:t>) in a scheme decision or to another relevant decision maker or the MCE, but the principal decision maker must ensure that the information is identified as such—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scheme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the principal decision maker discloses that information to another relevant decision maker or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where the AEMC publishes a report under Division 4 or Division 5 of Chapter 2 Part 2, nothing prevents the disclosure of confidential information in a report to the MCE or a Minister of a participating jurisdiction, but the AEMC must ensure that the information is identified as such in the report.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AEMC decides that information provided to it for the purposes of a MCE directed review or a review conducted by the AEMC under section 83, is confidential information, the AEMC, the MCE or a Minister of a participating jurisdiction may only publish a version of the report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NCC decides that information provided to it for the purposes of an NCC recommendation or decision is confidential information, the NCC and the relevant Minister may only publish a version of (as the case requires) an NCC recommendation or decision or Ministerial coverage decision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information is omitted from a published version of a scheme decision as being confidential information, a note to that effect must be included in the decision at the place in the decision from which the information is omitted.</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In relation to the AEMC, see section 71 of this Law and section 24 of the </w:t>
      </w:r>
      <w:r>
        <w:rPr>
          <w:i/>
          <w:iCs/>
          <w:color w:val="000000"/>
          <w:sz w:val="20"/>
        </w:rPr>
        <w:t>Australian Energy Market Commission Establishment Act 2004</w:t>
      </w:r>
      <w:r>
        <w:rPr>
          <w:color w:val="000000"/>
          <w:sz w:val="20"/>
        </w:rPr>
        <w:t xml:space="preserve"> of South Australia.</w:t>
      </w:r>
    </w:p>
    <w:p>
      <w:pPr>
        <w:pStyle w:val="Heading3"/>
      </w:pPr>
      <w:bookmarkStart w:id="2784" w:name="_Toc52954696"/>
      <w:bookmarkStart w:id="2785" w:name="_Toc52955992"/>
      <w:bookmarkStart w:id="2786" w:name="_Toc52957491"/>
      <w:bookmarkStart w:id="2787" w:name="_Toc52958274"/>
      <w:bookmarkStart w:id="2788" w:name="_Toc53045607"/>
      <w:bookmarkStart w:id="2789" w:name="_Toc53046390"/>
      <w:bookmarkStart w:id="2790" w:name="_Toc501634275"/>
      <w:bookmarkStart w:id="2791" w:name="_Toc501713171"/>
      <w:bookmarkStart w:id="2792" w:name="_Toc536782397"/>
      <w:bookmarkStart w:id="2793" w:name="_Toc5347456"/>
      <w:bookmarkStart w:id="2794" w:name="_Toc5364009"/>
      <w:bookmarkStart w:id="2795" w:name="_Toc5365230"/>
      <w:r>
        <w:rPr>
          <w:rStyle w:val="CharDivNo"/>
        </w:rPr>
        <w:t>Part 3</w:t>
      </w:r>
      <w:r>
        <w:t xml:space="preserve"> — </w:t>
      </w:r>
      <w:r>
        <w:rPr>
          <w:rStyle w:val="CharDivText"/>
        </w:rPr>
        <w:t>Miscellaneous</w:t>
      </w:r>
      <w:bookmarkEnd w:id="2784"/>
      <w:bookmarkEnd w:id="2785"/>
      <w:bookmarkEnd w:id="2786"/>
      <w:bookmarkEnd w:id="2787"/>
      <w:bookmarkEnd w:id="2788"/>
      <w:bookmarkEnd w:id="2789"/>
      <w:bookmarkEnd w:id="2790"/>
      <w:bookmarkEnd w:id="2791"/>
      <w:bookmarkEnd w:id="2792"/>
      <w:bookmarkEnd w:id="2793"/>
      <w:bookmarkEnd w:id="2794"/>
      <w:bookmarkEnd w:id="2795"/>
    </w:p>
    <w:p>
      <w:pPr>
        <w:pStyle w:val="Heading5"/>
      </w:pPr>
      <w:bookmarkStart w:id="2796" w:name="_Toc53046391"/>
      <w:bookmarkStart w:id="2797" w:name="_Toc5365231"/>
      <w:r>
        <w:rPr>
          <w:rStyle w:val="CharSectno"/>
        </w:rPr>
        <w:t>332</w:t>
      </w:r>
      <w:r>
        <w:t>.</w:t>
      </w:r>
      <w:r>
        <w:tab/>
        <w:t>Failure to make a decision under this Law or the Rules within time does not invalidate the decision</w:t>
      </w:r>
      <w:bookmarkEnd w:id="2796"/>
      <w:bookmarkEnd w:id="279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decision (however described) made under this Law or the Rules by a regulatory scheme decision maker after the expiry of the period of time specified by this Law or Rules for the making of that decision is not to be taken to be an invalid decision only because the decision is not made within the specified period of time.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decision to which subsection (1) applies takes effect on and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day it is made;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specifies a date for operation or effect that is after the day it is made, that specified date.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regulatory scheme decision maker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in the case of decisions relating to price regulation exemptions;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Bulletin Board operator.</w:t>
      </w:r>
    </w:p>
    <w:p>
      <w:pPr>
        <w:pStyle w:val="Heading5"/>
      </w:pPr>
      <w:bookmarkStart w:id="2798" w:name="_Toc53046392"/>
      <w:bookmarkStart w:id="2799" w:name="_Toc5365232"/>
      <w:r>
        <w:rPr>
          <w:rStyle w:val="CharSectno"/>
        </w:rPr>
        <w:t>333</w:t>
      </w:r>
      <w:r>
        <w:t>.</w:t>
      </w:r>
      <w:r>
        <w:tab/>
        <w:t>Withdrawal of applications relating to coverage or reclassification</w:t>
      </w:r>
      <w:bookmarkEnd w:id="2798"/>
      <w:bookmarkEnd w:id="279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has made an application for a Ministerial or NCC scheme decision may withdraw the application at any time before the Ministerial or NCC scheme decision is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withdrawal of an application in accordance with this section must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writing;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given to, as the case requires, the relevant Minister, Commonwealth Minister or the NCC.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Ministerial or NCC scheme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Commonwealth Minister under section 164;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decision of the NCC relating to the making or revoking of a light regulation determination under Chapter 3 Part 2.</w:t>
      </w:r>
    </w:p>
    <w:p>
      <w:pPr>
        <w:pStyle w:val="Heading5"/>
      </w:pPr>
      <w:bookmarkStart w:id="2800" w:name="_Toc53046393"/>
      <w:bookmarkStart w:id="2801" w:name="_Toc5365233"/>
      <w:r>
        <w:rPr>
          <w:rStyle w:val="CharSectno"/>
        </w:rPr>
        <w:t>334</w:t>
      </w:r>
      <w:r>
        <w:t>.</w:t>
      </w:r>
      <w:r>
        <w:tab/>
        <w:t>Notification of Ministers of participating jurisdictions of receipt of application</w:t>
      </w:r>
      <w:bookmarkEnd w:id="2800"/>
      <w:bookmarkEnd w:id="2801"/>
    </w:p>
    <w:p>
      <w:pPr>
        <w:keepLines/>
        <w:autoSpaceDE w:val="0"/>
        <w:autoSpaceDN w:val="0"/>
        <w:adjustRightInd w:val="0"/>
        <w:spacing w:before="120"/>
        <w:ind w:left="1588"/>
        <w:rPr>
          <w:color w:val="000000"/>
          <w:sz w:val="23"/>
          <w:szCs w:val="23"/>
        </w:rPr>
      </w:pPr>
      <w:r>
        <w:rPr>
          <w:color w:val="000000"/>
          <w:sz w:val="23"/>
          <w:szCs w:val="23"/>
        </w:rPr>
        <w:t>If the NCC receives an application for a coverage determination, a 15</w:t>
      </w:r>
      <w:r>
        <w:rPr>
          <w:color w:val="000000"/>
          <w:sz w:val="23"/>
          <w:szCs w:val="23"/>
        </w:rPr>
        <w:noBreakHyphen/>
        <w:t>year no</w:t>
      </w:r>
      <w:r>
        <w:rPr>
          <w:color w:val="000000"/>
          <w:sz w:val="23"/>
          <w:szCs w:val="23"/>
        </w:rPr>
        <w:noBreakHyphen/>
        <w:t>coverage determination, a coverage revocation determination or a reclassification decision, it must, without delay, notify the Ministers of the participating jurisdictions of receipt of the application.</w:t>
      </w:r>
    </w:p>
    <w:p>
      <w:pPr>
        <w:pStyle w:val="Heading5"/>
      </w:pPr>
      <w:bookmarkStart w:id="2802" w:name="_Toc53046394"/>
      <w:bookmarkStart w:id="2803" w:name="_Toc5365234"/>
      <w:r>
        <w:rPr>
          <w:rStyle w:val="CharSectno"/>
        </w:rPr>
        <w:t>335</w:t>
      </w:r>
      <w:r>
        <w:t>.</w:t>
      </w:r>
      <w:r>
        <w:tab/>
        <w:t>Relevant Minister may request NCC to give information or assistance</w:t>
      </w:r>
      <w:bookmarkEnd w:id="2802"/>
      <w:bookmarkEnd w:id="280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relevant Minister may request the NCC, in writing, to give to him or her information or assistance that the Minister may require for the purpose of making—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coverage revocation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comply with a request.</w:t>
      </w:r>
    </w:p>
    <w:p>
      <w:pPr>
        <w:pStyle w:val="Heading5"/>
      </w:pPr>
      <w:bookmarkStart w:id="2804" w:name="_Toc53046395"/>
      <w:bookmarkStart w:id="2805" w:name="_Toc5365235"/>
      <w:r>
        <w:rPr>
          <w:rStyle w:val="CharSectno"/>
        </w:rPr>
        <w:t>336</w:t>
      </w:r>
      <w:r>
        <w:t>.</w:t>
      </w:r>
      <w:r>
        <w:tab/>
        <w:t>Savings and transitionals</w:t>
      </w:r>
      <w:bookmarkEnd w:id="2804"/>
      <w:bookmarkEnd w:id="2805"/>
    </w:p>
    <w:p>
      <w:pPr>
        <w:keepLines/>
        <w:autoSpaceDE w:val="0"/>
        <w:autoSpaceDN w:val="0"/>
        <w:adjustRightInd w:val="0"/>
        <w:spacing w:before="120"/>
        <w:ind w:left="1588"/>
        <w:rPr>
          <w:color w:val="000000"/>
          <w:sz w:val="23"/>
          <w:szCs w:val="23"/>
        </w:rPr>
      </w:pPr>
      <w:r>
        <w:rPr>
          <w:color w:val="000000"/>
          <w:sz w:val="23"/>
          <w:szCs w:val="23"/>
        </w:rPr>
        <w:t>Schedule 3 to this Law has effect.</w:t>
      </w:r>
    </w:p>
    <w:p>
      <w:pPr>
        <w:sectPr>
          <w:headerReference w:type="even" r:id="rId30"/>
          <w:headerReference w:type="default" r:id="rId31"/>
          <w:headerReference w:type="first" r:id="rId32"/>
          <w:endnotePr>
            <w:numFmt w:val="decimal"/>
          </w:endnotePr>
          <w:pgSz w:w="11907" w:h="16840" w:code="9"/>
          <w:pgMar w:top="2381" w:right="2410" w:bottom="3544" w:left="2410" w:header="720" w:footer="3380" w:gutter="0"/>
          <w:cols w:space="720"/>
          <w:docGrid w:linePitch="326"/>
        </w:sectPr>
      </w:pPr>
    </w:p>
    <w:p>
      <w:pPr>
        <w:pStyle w:val="Heading2"/>
      </w:pPr>
      <w:bookmarkStart w:id="2806" w:name="_Toc52954702"/>
      <w:bookmarkStart w:id="2807" w:name="_Toc52955998"/>
      <w:bookmarkStart w:id="2808" w:name="_Toc52957497"/>
      <w:bookmarkStart w:id="2809" w:name="_Toc52958280"/>
      <w:bookmarkStart w:id="2810" w:name="_Toc53045613"/>
      <w:bookmarkStart w:id="2811" w:name="_Toc53046396"/>
      <w:bookmarkStart w:id="2812" w:name="_Toc501634281"/>
      <w:bookmarkStart w:id="2813" w:name="_Toc501713177"/>
      <w:bookmarkStart w:id="2814" w:name="_Toc536782403"/>
      <w:bookmarkStart w:id="2815" w:name="_Toc5347462"/>
      <w:bookmarkStart w:id="2816" w:name="_Toc5364015"/>
      <w:bookmarkStart w:id="2817" w:name="_Toc5365236"/>
      <w:r>
        <w:rPr>
          <w:rStyle w:val="CharPartNo"/>
        </w:rPr>
        <w:t>Schedule 1</w:t>
      </w:r>
      <w:r>
        <w:rPr>
          <w:rStyle w:val="CharDivNo"/>
        </w:rPr>
        <w:t> </w:t>
      </w:r>
      <w:r>
        <w:t>—</w:t>
      </w:r>
      <w:r>
        <w:rPr>
          <w:rStyle w:val="CharDivText"/>
        </w:rPr>
        <w:t> </w:t>
      </w:r>
      <w:r>
        <w:rPr>
          <w:rStyle w:val="CharPartText"/>
        </w:rPr>
        <w:t>Subject matter for the National Gas Rules</w:t>
      </w:r>
      <w:bookmarkEnd w:id="2806"/>
      <w:bookmarkEnd w:id="2807"/>
      <w:bookmarkEnd w:id="2808"/>
      <w:bookmarkEnd w:id="2809"/>
      <w:bookmarkEnd w:id="2810"/>
      <w:bookmarkEnd w:id="2811"/>
      <w:bookmarkEnd w:id="2812"/>
      <w:bookmarkEnd w:id="2813"/>
      <w:bookmarkEnd w:id="2814"/>
      <w:bookmarkEnd w:id="2815"/>
      <w:bookmarkEnd w:id="2816"/>
      <w:bookmarkEnd w:id="2817"/>
    </w:p>
    <w:p>
      <w:pPr>
        <w:keepNext/>
        <w:keepLines/>
        <w:autoSpaceDE w:val="0"/>
        <w:autoSpaceDN w:val="0"/>
        <w:adjustRightInd w:val="0"/>
        <w:spacing w:before="120"/>
        <w:ind w:left="794"/>
        <w:rPr>
          <w:color w:val="000000"/>
          <w:sz w:val="23"/>
          <w:szCs w:val="23"/>
        </w:rPr>
      </w:pPr>
      <w:r>
        <w:rPr>
          <w:color w:val="000000"/>
          <w:sz w:val="23"/>
          <w:szCs w:val="23"/>
        </w:rPr>
        <w:t>Section 74</w:t>
      </w:r>
    </w:p>
    <w:p>
      <w:pPr>
        <w:keepNext/>
        <w:keepLines/>
        <w:autoSpaceDE w:val="0"/>
        <w:autoSpaceDN w:val="0"/>
        <w:adjustRightInd w:val="0"/>
        <w:spacing w:before="120"/>
        <w:ind w:left="794"/>
        <w:rPr>
          <w:color w:val="000000"/>
          <w:sz w:val="2"/>
          <w:szCs w:val="2"/>
        </w:rPr>
      </w:pPr>
    </w:p>
    <w:tbl>
      <w:tblPr>
        <w:tblW w:w="7284" w:type="dxa"/>
        <w:tblInd w:w="-24" w:type="dxa"/>
        <w:tblLayout w:type="fixed"/>
        <w:tblCellMar>
          <w:left w:w="60" w:type="dxa"/>
          <w:right w:w="60" w:type="dxa"/>
        </w:tblCellMar>
        <w:tblLook w:val="0000" w:firstRow="0" w:lastRow="0" w:firstColumn="0" w:lastColumn="0" w:noHBand="0" w:noVBand="0"/>
      </w:tblPr>
      <w:tblGrid>
        <w:gridCol w:w="924"/>
        <w:gridCol w:w="6360"/>
      </w:tblGrid>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Classification and coverage of pipelines</w:t>
            </w:r>
          </w:p>
        </w:tc>
      </w:tr>
      <w:tr>
        <w:trPr>
          <w:cantSplit/>
        </w:trPr>
        <w:tc>
          <w:tcPr>
            <w:tcW w:w="924" w:type="dxa"/>
          </w:tcPr>
          <w:p>
            <w:pPr>
              <w:keepLines/>
              <w:autoSpaceDE w:val="0"/>
              <w:autoSpaceDN w:val="0"/>
              <w:adjustRightInd w:val="0"/>
              <w:spacing w:before="120"/>
              <w:rPr>
                <w:color w:val="000000"/>
                <w:sz w:val="20"/>
              </w:rPr>
            </w:pPr>
            <w:r>
              <w:rPr>
                <w:color w:val="000000"/>
                <w:sz w:val="20"/>
              </w:rPr>
              <w:t>1</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coverage determinations, coverage revocation determinations and 15</w:t>
            </w:r>
            <w:r>
              <w:rPr>
                <w:color w:val="000000"/>
                <w:sz w:val="20"/>
              </w:rPr>
              <w:noBreakHyphen/>
              <w:t>year no</w:t>
            </w:r>
            <w:r>
              <w:rPr>
                <w:color w:val="000000"/>
                <w:sz w:val="20"/>
              </w:rPr>
              <w:noBreakHyphen/>
              <w:t>coverage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2</w:t>
            </w:r>
          </w:p>
        </w:tc>
        <w:tc>
          <w:tcPr>
            <w:tcW w:w="6360" w:type="dxa"/>
            <w:vAlign w:val="center"/>
          </w:tcPr>
          <w:p>
            <w:pPr>
              <w:keepLines/>
              <w:autoSpaceDE w:val="0"/>
              <w:autoSpaceDN w:val="0"/>
              <w:adjustRightInd w:val="0"/>
              <w:spacing w:before="120"/>
              <w:rPr>
                <w:color w:val="000000"/>
                <w:sz w:val="20"/>
              </w:rPr>
            </w:pPr>
            <w:r>
              <w:rPr>
                <w:color w:val="000000"/>
                <w:sz w:val="20"/>
              </w:rPr>
              <w:t>The content of coverage recommendations, coverage revocation recommendations and no</w:t>
            </w:r>
            <w:r>
              <w:rPr>
                <w:color w:val="000000"/>
                <w:sz w:val="20"/>
              </w:rPr>
              <w:noBreakHyphen/>
              <w:t>coverage recommendations.</w:t>
            </w:r>
          </w:p>
        </w:tc>
      </w:tr>
      <w:tr>
        <w:trPr>
          <w:cantSplit/>
        </w:trPr>
        <w:tc>
          <w:tcPr>
            <w:tcW w:w="924" w:type="dxa"/>
          </w:tcPr>
          <w:p>
            <w:pPr>
              <w:keepLines/>
              <w:autoSpaceDE w:val="0"/>
              <w:autoSpaceDN w:val="0"/>
              <w:adjustRightInd w:val="0"/>
              <w:spacing w:before="120"/>
              <w:rPr>
                <w:color w:val="000000"/>
                <w:sz w:val="20"/>
              </w:rPr>
            </w:pPr>
            <w:r>
              <w:rPr>
                <w:color w:val="000000"/>
                <w:sz w:val="20"/>
              </w:rPr>
              <w:t>3</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coverage determinations, coverage revocation determinations and 15</w:t>
            </w:r>
            <w:r>
              <w:rPr>
                <w:color w:val="000000"/>
                <w:sz w:val="20"/>
              </w:rPr>
              <w:noBreakHyphen/>
              <w:t>year no</w:t>
            </w:r>
            <w:r>
              <w:rPr>
                <w:color w:val="000000"/>
                <w:sz w:val="20"/>
              </w:rPr>
              <w:noBreakHyphen/>
              <w:t>coverage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4</w:t>
            </w:r>
          </w:p>
        </w:tc>
        <w:tc>
          <w:tcPr>
            <w:tcW w:w="6360" w:type="dxa"/>
            <w:vAlign w:val="center"/>
          </w:tcPr>
          <w:p>
            <w:pPr>
              <w:keepLines/>
              <w:autoSpaceDE w:val="0"/>
              <w:autoSpaceDN w:val="0"/>
              <w:adjustRightInd w:val="0"/>
              <w:spacing w:before="120"/>
              <w:rPr>
                <w:color w:val="000000"/>
                <w:sz w:val="20"/>
              </w:rPr>
            </w:pPr>
            <w:r>
              <w:rPr>
                <w:color w:val="000000"/>
                <w:sz w:val="20"/>
              </w:rPr>
              <w:t>The classification of pipelines by the NCC—</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after a tender approval decision becomes irrevocable;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during the process the approval of a voluntarily submitted access arrangement.</w:t>
            </w:r>
          </w:p>
        </w:tc>
      </w:tr>
      <w:tr>
        <w:trPr>
          <w:cantSplit/>
        </w:trPr>
        <w:tc>
          <w:tcPr>
            <w:tcW w:w="924" w:type="dxa"/>
          </w:tcPr>
          <w:p>
            <w:pPr>
              <w:keepLines/>
              <w:autoSpaceDE w:val="0"/>
              <w:autoSpaceDN w:val="0"/>
              <w:adjustRightInd w:val="0"/>
              <w:spacing w:before="120"/>
              <w:rPr>
                <w:color w:val="000000"/>
                <w:sz w:val="20"/>
              </w:rPr>
            </w:pPr>
            <w:r>
              <w:rPr>
                <w:color w:val="000000"/>
                <w:sz w:val="20"/>
              </w:rPr>
              <w:t>5</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the reclassification of pipelines and reclassification decisions.</w:t>
            </w:r>
          </w:p>
        </w:tc>
      </w:tr>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6</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7</w:t>
            </w:r>
          </w:p>
        </w:tc>
        <w:tc>
          <w:tcPr>
            <w:tcW w:w="6360" w:type="dxa"/>
            <w:vAlign w:val="center"/>
          </w:tcPr>
          <w:p>
            <w:pPr>
              <w:keepLines/>
              <w:autoSpaceDE w:val="0"/>
              <w:autoSpaceDN w:val="0"/>
              <w:adjustRightInd w:val="0"/>
              <w:spacing w:before="120"/>
              <w:rPr>
                <w:color w:val="000000"/>
                <w:sz w:val="20"/>
              </w:rPr>
            </w:pPr>
            <w:r>
              <w:rPr>
                <w:color w:val="000000"/>
                <w:sz w:val="20"/>
              </w:rPr>
              <w:t>The content of recommendations by the NCC in relation to 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8</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price regulation exemptions.</w:t>
            </w:r>
          </w:p>
        </w:tc>
      </w:tr>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9</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10</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11</w:t>
            </w:r>
          </w:p>
        </w:tc>
        <w:tc>
          <w:tcPr>
            <w:tcW w:w="6360" w:type="dxa"/>
            <w:vAlign w:val="center"/>
          </w:tcPr>
          <w:p>
            <w:pPr>
              <w:keepLines/>
              <w:autoSpaceDE w:val="0"/>
              <w:autoSpaceDN w:val="0"/>
              <w:adjustRightInd w:val="0"/>
              <w:spacing w:before="120"/>
              <w:rPr>
                <w:color w:val="000000"/>
                <w:sz w:val="20"/>
              </w:rPr>
            </w:pPr>
            <w:r>
              <w:rPr>
                <w:color w:val="000000"/>
                <w:sz w:val="20"/>
              </w:rPr>
              <w:t>The matters to be addressed by the NCC in making decisions about light regulation determinations or the revocation of light regulation determinations.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Tender approvals for the construction of pipelines</w:t>
            </w:r>
          </w:p>
        </w:tc>
      </w:tr>
      <w:tr>
        <w:trPr>
          <w:cantSplit/>
        </w:trPr>
        <w:tc>
          <w:tcPr>
            <w:tcW w:w="924" w:type="dxa"/>
          </w:tcPr>
          <w:p>
            <w:pPr>
              <w:keepLines/>
              <w:autoSpaceDE w:val="0"/>
              <w:autoSpaceDN w:val="0"/>
              <w:adjustRightInd w:val="0"/>
              <w:spacing w:before="120"/>
              <w:rPr>
                <w:color w:val="000000"/>
                <w:sz w:val="20"/>
              </w:rPr>
            </w:pPr>
            <w:r>
              <w:rPr>
                <w:color w:val="000000"/>
                <w:sz w:val="20"/>
              </w:rPr>
              <w:t>12</w:t>
            </w:r>
          </w:p>
        </w:tc>
        <w:tc>
          <w:tcPr>
            <w:tcW w:w="6360" w:type="dxa"/>
            <w:vAlign w:val="center"/>
          </w:tcPr>
          <w:p>
            <w:pPr>
              <w:keepLines/>
              <w:autoSpaceDE w:val="0"/>
              <w:autoSpaceDN w:val="0"/>
              <w:adjustRightInd w:val="0"/>
              <w:spacing w:before="120"/>
              <w:rPr>
                <w:color w:val="000000"/>
                <w:sz w:val="20"/>
              </w:rPr>
            </w:pPr>
            <w:r>
              <w:rPr>
                <w:color w:val="000000"/>
                <w:sz w:val="20"/>
              </w:rPr>
              <w:t>Applications for and the approval by the AER of a tender for the construction of a pipeline (by means of which pipeline services are intended to be provided) as a competitive tender process.</w:t>
            </w:r>
          </w:p>
        </w:tc>
      </w:tr>
      <w:tr>
        <w:trPr>
          <w:cantSplit/>
        </w:trPr>
        <w:tc>
          <w:tcPr>
            <w:tcW w:w="924" w:type="dxa"/>
          </w:tcPr>
          <w:p>
            <w:pPr>
              <w:keepLines/>
              <w:autoSpaceDE w:val="0"/>
              <w:autoSpaceDN w:val="0"/>
              <w:adjustRightInd w:val="0"/>
              <w:spacing w:before="120"/>
              <w:rPr>
                <w:color w:val="000000"/>
                <w:sz w:val="20"/>
              </w:rPr>
            </w:pPr>
            <w:r>
              <w:rPr>
                <w:color w:val="000000"/>
                <w:sz w:val="20"/>
              </w:rPr>
              <w:t>13</w:t>
            </w:r>
          </w:p>
        </w:tc>
        <w:tc>
          <w:tcPr>
            <w:tcW w:w="6360" w:type="dxa"/>
            <w:vAlign w:val="center"/>
          </w:tcPr>
          <w:p>
            <w:pPr>
              <w:keepLines/>
              <w:autoSpaceDE w:val="0"/>
              <w:autoSpaceDN w:val="0"/>
              <w:adjustRightInd w:val="0"/>
              <w:spacing w:before="120"/>
              <w:rPr>
                <w:color w:val="000000"/>
                <w:sz w:val="20"/>
              </w:rPr>
            </w:pPr>
            <w:r>
              <w:rPr>
                <w:color w:val="000000"/>
                <w:sz w:val="20"/>
              </w:rPr>
              <w:t>The content of tender approval decisions.</w:t>
            </w:r>
          </w:p>
        </w:tc>
      </w:tr>
      <w:tr>
        <w:trPr>
          <w:cantSplit/>
        </w:trPr>
        <w:tc>
          <w:tcPr>
            <w:tcW w:w="924" w:type="dxa"/>
          </w:tcPr>
          <w:p>
            <w:pPr>
              <w:keepLines/>
              <w:autoSpaceDE w:val="0"/>
              <w:autoSpaceDN w:val="0"/>
              <w:adjustRightInd w:val="0"/>
              <w:spacing w:before="120"/>
              <w:rPr>
                <w:color w:val="000000"/>
                <w:sz w:val="20"/>
              </w:rPr>
            </w:pPr>
            <w:r>
              <w:rPr>
                <w:color w:val="000000"/>
                <w:sz w:val="20"/>
              </w:rPr>
              <w:t>14</w:t>
            </w:r>
          </w:p>
        </w:tc>
        <w:tc>
          <w:tcPr>
            <w:tcW w:w="6360" w:type="dxa"/>
            <w:vAlign w:val="center"/>
          </w:tcPr>
          <w:p>
            <w:pPr>
              <w:keepLines/>
              <w:autoSpaceDE w:val="0"/>
              <w:autoSpaceDN w:val="0"/>
              <w:adjustRightInd w:val="0"/>
              <w:spacing w:before="120"/>
              <w:rPr>
                <w:color w:val="000000"/>
                <w:sz w:val="20"/>
              </w:rPr>
            </w:pPr>
            <w:r>
              <w:rPr>
                <w:color w:val="000000"/>
                <w:sz w:val="20"/>
              </w:rPr>
              <w:t>The procedure for the making and the publication of a tender approval decision.</w:t>
            </w:r>
          </w:p>
        </w:tc>
      </w:tr>
      <w:tr>
        <w:trPr>
          <w:cantSplit/>
        </w:trPr>
        <w:tc>
          <w:tcPr>
            <w:tcW w:w="924" w:type="dxa"/>
          </w:tcPr>
          <w:p>
            <w:pPr>
              <w:keepLines/>
              <w:autoSpaceDE w:val="0"/>
              <w:autoSpaceDN w:val="0"/>
              <w:adjustRightInd w:val="0"/>
              <w:spacing w:before="120"/>
              <w:rPr>
                <w:color w:val="000000"/>
                <w:sz w:val="20"/>
              </w:rPr>
            </w:pPr>
            <w:r>
              <w:rPr>
                <w:color w:val="000000"/>
                <w:sz w:val="20"/>
              </w:rPr>
              <w:t>15</w:t>
            </w:r>
          </w:p>
        </w:tc>
        <w:tc>
          <w:tcPr>
            <w:tcW w:w="6360" w:type="dxa"/>
            <w:vAlign w:val="center"/>
          </w:tcPr>
          <w:p>
            <w:pPr>
              <w:keepLines/>
              <w:autoSpaceDE w:val="0"/>
              <w:autoSpaceDN w:val="0"/>
              <w:adjustRightInd w:val="0"/>
              <w:spacing w:before="120"/>
              <w:rPr>
                <w:color w:val="000000"/>
                <w:sz w:val="20"/>
              </w:rPr>
            </w:pPr>
            <w:r>
              <w:rPr>
                <w:color w:val="000000"/>
                <w:sz w:val="20"/>
              </w:rPr>
              <w:t>Reports on the conduct of tender processes approved under tender approval decisions.</w:t>
            </w:r>
          </w:p>
        </w:tc>
      </w:tr>
      <w:tr>
        <w:trPr>
          <w:cantSplit/>
        </w:trPr>
        <w:tc>
          <w:tcPr>
            <w:tcW w:w="924" w:type="dxa"/>
          </w:tcPr>
          <w:p>
            <w:pPr>
              <w:keepLines/>
              <w:autoSpaceDE w:val="0"/>
              <w:autoSpaceDN w:val="0"/>
              <w:adjustRightInd w:val="0"/>
              <w:spacing w:before="120"/>
              <w:rPr>
                <w:color w:val="000000"/>
                <w:sz w:val="20"/>
              </w:rPr>
            </w:pPr>
            <w:r>
              <w:rPr>
                <w:color w:val="000000"/>
                <w:sz w:val="20"/>
              </w:rPr>
              <w:t>16</w:t>
            </w:r>
          </w:p>
        </w:tc>
        <w:tc>
          <w:tcPr>
            <w:tcW w:w="6360" w:type="dxa"/>
            <w:vAlign w:val="center"/>
          </w:tcPr>
          <w:p>
            <w:pPr>
              <w:keepLines/>
              <w:autoSpaceDE w:val="0"/>
              <w:autoSpaceDN w:val="0"/>
              <w:adjustRightInd w:val="0"/>
              <w:spacing w:before="120"/>
              <w:rPr>
                <w:color w:val="000000"/>
                <w:sz w:val="20"/>
              </w:rPr>
            </w:pPr>
            <w:r>
              <w:rPr>
                <w:color w:val="000000"/>
                <w:sz w:val="20"/>
              </w:rPr>
              <w:t>The lapsing or revocation of tender approval decisions.</w:t>
            </w:r>
          </w:p>
        </w:tc>
      </w:tr>
      <w:tr>
        <w:trPr>
          <w:cantSplit/>
        </w:trPr>
        <w:tc>
          <w:tcPr>
            <w:tcW w:w="7284" w:type="dxa"/>
            <w:gridSpan w:val="2"/>
            <w:vAlign w:val="center"/>
          </w:tcPr>
          <w:p>
            <w:pPr>
              <w:keepNext/>
              <w:keepLines/>
              <w:autoSpaceDE w:val="0"/>
              <w:autoSpaceDN w:val="0"/>
              <w:adjustRightInd w:val="0"/>
              <w:spacing w:before="120"/>
              <w:rPr>
                <w:color w:val="000000"/>
                <w:sz w:val="20"/>
              </w:rPr>
            </w:pPr>
            <w:r>
              <w:rPr>
                <w:b/>
                <w:bCs/>
                <w:color w:val="000000"/>
                <w:sz w:val="20"/>
              </w:rPr>
              <w:t>Access to pipeline services</w:t>
            </w:r>
          </w:p>
        </w:tc>
      </w:tr>
      <w:tr>
        <w:trPr>
          <w:cantSplit/>
        </w:trPr>
        <w:tc>
          <w:tcPr>
            <w:tcW w:w="924" w:type="dxa"/>
          </w:tcPr>
          <w:p>
            <w:pPr>
              <w:keepLines/>
              <w:autoSpaceDE w:val="0"/>
              <w:autoSpaceDN w:val="0"/>
              <w:adjustRightInd w:val="0"/>
              <w:spacing w:before="120"/>
              <w:rPr>
                <w:color w:val="000000"/>
                <w:sz w:val="20"/>
              </w:rPr>
            </w:pPr>
            <w:r>
              <w:rPr>
                <w:color w:val="000000"/>
                <w:sz w:val="20"/>
              </w:rPr>
              <w:t>17</w:t>
            </w:r>
          </w:p>
        </w:tc>
        <w:tc>
          <w:tcPr>
            <w:tcW w:w="6360" w:type="dxa"/>
            <w:vAlign w:val="center"/>
          </w:tcPr>
          <w:p>
            <w:pPr>
              <w:keepLines/>
              <w:autoSpaceDE w:val="0"/>
              <w:autoSpaceDN w:val="0"/>
              <w:adjustRightInd w:val="0"/>
              <w:spacing w:before="120"/>
              <w:rPr>
                <w:color w:val="000000"/>
                <w:sz w:val="20"/>
              </w:rPr>
            </w:pPr>
            <w:r>
              <w:rPr>
                <w:color w:val="000000"/>
                <w:sz w:val="20"/>
              </w:rPr>
              <w:t>Access to pipeline services provided or that may be provided by means of a scheme pipeline.</w:t>
            </w:r>
          </w:p>
        </w:tc>
      </w:tr>
      <w:tr>
        <w:trPr>
          <w:cantSplit/>
        </w:trPr>
        <w:tc>
          <w:tcPr>
            <w:tcW w:w="924" w:type="dxa"/>
          </w:tcPr>
          <w:p>
            <w:pPr>
              <w:keepLines/>
              <w:autoSpaceDE w:val="0"/>
              <w:autoSpaceDN w:val="0"/>
              <w:adjustRightInd w:val="0"/>
              <w:spacing w:before="120"/>
              <w:rPr>
                <w:color w:val="000000"/>
                <w:sz w:val="20"/>
              </w:rPr>
            </w:pPr>
            <w:r>
              <w:rPr>
                <w:color w:val="000000"/>
                <w:sz w:val="20"/>
              </w:rPr>
              <w:t>18</w:t>
            </w:r>
          </w:p>
        </w:tc>
        <w:tc>
          <w:tcPr>
            <w:tcW w:w="6360" w:type="dxa"/>
            <w:vAlign w:val="center"/>
          </w:tcPr>
          <w:p>
            <w:pPr>
              <w:keepLines/>
              <w:autoSpaceDE w:val="0"/>
              <w:autoSpaceDN w:val="0"/>
              <w:adjustRightInd w:val="0"/>
              <w:spacing w:before="120"/>
              <w:rPr>
                <w:color w:val="000000"/>
                <w:sz w:val="20"/>
              </w:rPr>
            </w:pPr>
            <w:r>
              <w:rPr>
                <w:color w:val="000000"/>
                <w:sz w:val="20"/>
              </w:rPr>
              <w:t>The facilitation of requests for access to pipeline services provided by means of a scheme pipeline.</w:t>
            </w:r>
          </w:p>
        </w:tc>
      </w:tr>
      <w:tr>
        <w:trPr>
          <w:cantSplit/>
        </w:trPr>
        <w:tc>
          <w:tcPr>
            <w:tcW w:w="924" w:type="dxa"/>
          </w:tcPr>
          <w:p>
            <w:pPr>
              <w:keepLines/>
              <w:autoSpaceDE w:val="0"/>
              <w:autoSpaceDN w:val="0"/>
              <w:adjustRightInd w:val="0"/>
              <w:spacing w:before="120"/>
              <w:rPr>
                <w:color w:val="000000"/>
                <w:sz w:val="20"/>
              </w:rPr>
            </w:pPr>
            <w:r>
              <w:rPr>
                <w:color w:val="000000"/>
                <w:sz w:val="20"/>
              </w:rPr>
              <w:t>19</w:t>
            </w:r>
          </w:p>
        </w:tc>
        <w:tc>
          <w:tcPr>
            <w:tcW w:w="6360" w:type="dxa"/>
            <w:vAlign w:val="center"/>
          </w:tcPr>
          <w:p>
            <w:pPr>
              <w:keepLines/>
              <w:autoSpaceDE w:val="0"/>
              <w:autoSpaceDN w:val="0"/>
              <w:adjustRightInd w:val="0"/>
              <w:spacing w:before="120"/>
              <w:rPr>
                <w:color w:val="000000"/>
                <w:sz w:val="20"/>
              </w:rPr>
            </w:pPr>
            <w:r>
              <w:rPr>
                <w:color w:val="000000"/>
                <w:sz w:val="20"/>
              </w:rPr>
              <w:t>The transfer of capacity of a pipeline to deliver pipeline services, including—</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circumstances when and how it is to happen;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legal consequences of a transfer of that capacity.</w:t>
            </w:r>
          </w:p>
        </w:tc>
      </w:tr>
      <w:tr>
        <w:trPr>
          <w:cantSplit/>
        </w:trPr>
        <w:tc>
          <w:tcPr>
            <w:tcW w:w="924" w:type="dxa"/>
          </w:tcPr>
          <w:p>
            <w:pPr>
              <w:keepLines/>
              <w:autoSpaceDE w:val="0"/>
              <w:autoSpaceDN w:val="0"/>
              <w:adjustRightInd w:val="0"/>
              <w:spacing w:before="120"/>
              <w:rPr>
                <w:color w:val="000000"/>
                <w:sz w:val="20"/>
              </w:rPr>
            </w:pPr>
            <w:r>
              <w:rPr>
                <w:color w:val="000000"/>
                <w:sz w:val="20"/>
              </w:rPr>
              <w:t>20</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registers of unutilised capacity of pipelines to deliver pipeline services, including the information to be included in such registers.</w:t>
            </w:r>
          </w:p>
        </w:tc>
      </w:tr>
      <w:tr>
        <w:trPr>
          <w:cantSplit/>
        </w:trPr>
        <w:tc>
          <w:tcPr>
            <w:tcW w:w="924" w:type="dxa"/>
          </w:tcPr>
          <w:p>
            <w:pPr>
              <w:keepLines/>
              <w:autoSpaceDE w:val="0"/>
              <w:autoSpaceDN w:val="0"/>
              <w:adjustRightInd w:val="0"/>
              <w:spacing w:before="120"/>
              <w:rPr>
                <w:color w:val="000000"/>
                <w:sz w:val="20"/>
              </w:rPr>
            </w:pPr>
            <w:r>
              <w:rPr>
                <w:color w:val="000000"/>
                <w:sz w:val="20"/>
              </w:rPr>
              <w:t>21</w:t>
            </w:r>
          </w:p>
        </w:tc>
        <w:tc>
          <w:tcPr>
            <w:tcW w:w="6360" w:type="dxa"/>
            <w:vAlign w:val="center"/>
          </w:tcPr>
          <w:p>
            <w:pPr>
              <w:keepLines/>
              <w:autoSpaceDE w:val="0"/>
              <w:autoSpaceDN w:val="0"/>
              <w:adjustRightInd w:val="0"/>
              <w:spacing w:before="120"/>
              <w:rPr>
                <w:color w:val="000000"/>
                <w:sz w:val="20"/>
              </w:rPr>
            </w:pPr>
            <w:r>
              <w:rPr>
                <w:color w:val="000000"/>
                <w:sz w:val="20"/>
              </w:rPr>
              <w:t>The public availability of information on registers referred to in item 20.</w:t>
            </w:r>
          </w:p>
        </w:tc>
      </w:tr>
      <w:tr>
        <w:trPr>
          <w:cantSplit/>
        </w:trPr>
        <w:tc>
          <w:tcPr>
            <w:tcW w:w="924" w:type="dxa"/>
          </w:tcPr>
          <w:p>
            <w:pPr>
              <w:keepLines/>
              <w:autoSpaceDE w:val="0"/>
              <w:autoSpaceDN w:val="0"/>
              <w:adjustRightInd w:val="0"/>
              <w:spacing w:before="120"/>
              <w:rPr>
                <w:color w:val="000000"/>
                <w:sz w:val="20"/>
              </w:rPr>
            </w:pPr>
            <w:r>
              <w:rPr>
                <w:color w:val="000000"/>
                <w:sz w:val="20"/>
              </w:rPr>
              <w:t>22</w:t>
            </w:r>
          </w:p>
        </w:tc>
        <w:tc>
          <w:tcPr>
            <w:tcW w:w="6360" w:type="dxa"/>
            <w:vAlign w:val="center"/>
          </w:tcPr>
          <w:p>
            <w:pPr>
              <w:keepLines/>
              <w:autoSpaceDE w:val="0"/>
              <w:autoSpaceDN w:val="0"/>
              <w:adjustRightInd w:val="0"/>
              <w:spacing w:before="120"/>
              <w:rPr>
                <w:color w:val="000000"/>
                <w:sz w:val="20"/>
              </w:rPr>
            </w:pPr>
            <w:r>
              <w:rPr>
                <w:color w:val="000000"/>
                <w:sz w:val="20"/>
              </w:rPr>
              <w:t>The provision of information to users of information about unutilised capacity of pipelines to deliver pipeline services.</w:t>
            </w:r>
          </w:p>
        </w:tc>
      </w:tr>
      <w:tr>
        <w:trPr>
          <w:cantSplit/>
        </w:trPr>
        <w:tc>
          <w:tcPr>
            <w:tcW w:w="924" w:type="dxa"/>
          </w:tcPr>
          <w:p>
            <w:pPr>
              <w:keepLines/>
              <w:autoSpaceDE w:val="0"/>
              <w:autoSpaceDN w:val="0"/>
              <w:adjustRightInd w:val="0"/>
              <w:spacing w:before="120"/>
              <w:rPr>
                <w:color w:val="000000"/>
                <w:sz w:val="20"/>
              </w:rPr>
            </w:pPr>
            <w:r>
              <w:rPr>
                <w:color w:val="000000"/>
                <w:sz w:val="20"/>
              </w:rPr>
              <w:t>23</w:t>
            </w:r>
          </w:p>
        </w:tc>
        <w:tc>
          <w:tcPr>
            <w:tcW w:w="6360" w:type="dxa"/>
            <w:vAlign w:val="center"/>
          </w:tcPr>
          <w:p>
            <w:pPr>
              <w:keepLines/>
              <w:autoSpaceDE w:val="0"/>
              <w:autoSpaceDN w:val="0"/>
              <w:adjustRightInd w:val="0"/>
              <w:spacing w:before="120"/>
              <w:rPr>
                <w:color w:val="000000"/>
                <w:sz w:val="20"/>
              </w:rPr>
            </w:pPr>
            <w:r>
              <w:rPr>
                <w:color w:val="000000"/>
                <w:sz w:val="20"/>
              </w:rPr>
              <w:t>The disclosure to the AER of information relating to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24</w:t>
            </w:r>
          </w:p>
        </w:tc>
        <w:tc>
          <w:tcPr>
            <w:tcW w:w="6360" w:type="dxa"/>
            <w:vAlign w:val="center"/>
          </w:tcPr>
          <w:p>
            <w:pPr>
              <w:keepLines/>
              <w:autoSpaceDE w:val="0"/>
              <w:autoSpaceDN w:val="0"/>
              <w:adjustRightInd w:val="0"/>
              <w:spacing w:before="120"/>
              <w:rPr>
                <w:color w:val="000000"/>
                <w:sz w:val="20"/>
              </w:rPr>
            </w:pPr>
            <w:r>
              <w:rPr>
                <w:color w:val="000000"/>
                <w:sz w:val="20"/>
              </w:rPr>
              <w:t>Reports on negotiations relating to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25</w:t>
            </w:r>
          </w:p>
        </w:tc>
        <w:tc>
          <w:tcPr>
            <w:tcW w:w="6360" w:type="dxa"/>
            <w:vAlign w:val="center"/>
          </w:tcPr>
          <w:p>
            <w:pPr>
              <w:keepLines/>
              <w:autoSpaceDE w:val="0"/>
              <w:autoSpaceDN w:val="0"/>
              <w:adjustRightInd w:val="0"/>
              <w:spacing w:before="120"/>
              <w:rPr>
                <w:color w:val="000000"/>
                <w:sz w:val="20"/>
              </w:rPr>
            </w:pPr>
            <w:r>
              <w:rPr>
                <w:color w:val="000000"/>
                <w:sz w:val="20"/>
              </w:rPr>
              <w:t>The publication of prices and other terms and conditions of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26</w:t>
            </w:r>
          </w:p>
        </w:tc>
        <w:tc>
          <w:tcPr>
            <w:tcW w:w="6360" w:type="dxa"/>
            <w:vAlign w:val="center"/>
          </w:tcPr>
          <w:p>
            <w:pPr>
              <w:keepLines/>
              <w:autoSpaceDE w:val="0"/>
              <w:autoSpaceDN w:val="0"/>
              <w:adjustRightInd w:val="0"/>
              <w:spacing w:before="120"/>
              <w:rPr>
                <w:color w:val="000000"/>
                <w:sz w:val="20"/>
              </w:rPr>
            </w:pPr>
            <w:r>
              <w:rPr>
                <w:color w:val="000000"/>
                <w:sz w:val="20"/>
              </w:rPr>
              <w:t>The conditions a service provider may impose for the provision of pipeline services.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27</w:t>
            </w:r>
          </w:p>
        </w:tc>
        <w:tc>
          <w:tcPr>
            <w:tcW w:w="6360" w:type="dxa"/>
            <w:vAlign w:val="center"/>
          </w:tcPr>
          <w:p>
            <w:pPr>
              <w:keepLines/>
              <w:autoSpaceDE w:val="0"/>
              <w:autoSpaceDN w:val="0"/>
              <w:adjustRightInd w:val="0"/>
              <w:spacing w:before="120"/>
              <w:rPr>
                <w:color w:val="000000"/>
                <w:sz w:val="20"/>
              </w:rPr>
            </w:pPr>
            <w:r>
              <w:rPr>
                <w:color w:val="000000"/>
                <w:sz w:val="20"/>
              </w:rPr>
              <w:t>The submission to the AER, by service providers, of access arrangements or revisions to applicable access arrangements for approval by the AER including requiring service providers to—</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submit full access arrangements for pipeline services (that are not light regulation services) provided by means of covered pipelines;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submit limited access arrangements for pipeline services provided by means of international pipelines to which price regulation exemptions apply;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submit more than 1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to consolidate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28</w:t>
            </w:r>
          </w:p>
        </w:tc>
        <w:tc>
          <w:tcPr>
            <w:tcW w:w="6360" w:type="dxa"/>
            <w:vAlign w:val="center"/>
          </w:tcPr>
          <w:p>
            <w:pPr>
              <w:keepLines/>
              <w:autoSpaceDE w:val="0"/>
              <w:autoSpaceDN w:val="0"/>
              <w:adjustRightInd w:val="0"/>
              <w:spacing w:before="120"/>
              <w:rPr>
                <w:color w:val="000000"/>
                <w:sz w:val="20"/>
              </w:rPr>
            </w:pPr>
            <w:r>
              <w:rPr>
                <w:color w:val="000000"/>
                <w:sz w:val="20"/>
              </w:rPr>
              <w:t>The content of access arrangements and applicable access arrangements including—</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 description of pipeline services provided or that may be provided by means of scheme pipelines, including reference services;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content of expansion and extension requirements;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content of queuing requirements;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review submission dates, expiry dates and dates when revisions to access arrangements and applicable access arrangements are to take effect.</w:t>
            </w:r>
          </w:p>
        </w:tc>
      </w:tr>
      <w:tr>
        <w:trPr>
          <w:cantSplit/>
        </w:trPr>
        <w:tc>
          <w:tcPr>
            <w:tcW w:w="924" w:type="dxa"/>
          </w:tcPr>
          <w:p>
            <w:pPr>
              <w:keepLines/>
              <w:autoSpaceDE w:val="0"/>
              <w:autoSpaceDN w:val="0"/>
              <w:adjustRightInd w:val="0"/>
              <w:spacing w:before="120"/>
              <w:rPr>
                <w:color w:val="000000"/>
                <w:sz w:val="20"/>
              </w:rPr>
            </w:pPr>
            <w:r>
              <w:rPr>
                <w:color w:val="000000"/>
                <w:sz w:val="20"/>
              </w:rPr>
              <w:t>29</w:t>
            </w:r>
          </w:p>
        </w:tc>
        <w:tc>
          <w:tcPr>
            <w:tcW w:w="6360" w:type="dxa"/>
            <w:vAlign w:val="center"/>
          </w:tcPr>
          <w:p>
            <w:pPr>
              <w:keepLines/>
              <w:autoSpaceDE w:val="0"/>
              <w:autoSpaceDN w:val="0"/>
              <w:adjustRightInd w:val="0"/>
              <w:spacing w:before="120"/>
              <w:rPr>
                <w:color w:val="000000"/>
                <w:sz w:val="20"/>
              </w:rPr>
            </w:pPr>
            <w:r>
              <w:rPr>
                <w:color w:val="000000"/>
                <w:sz w:val="20"/>
              </w:rPr>
              <w:t>Variations to applicable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30</w:t>
            </w:r>
          </w:p>
        </w:tc>
        <w:tc>
          <w:tcPr>
            <w:tcW w:w="6360" w:type="dxa"/>
            <w:vAlign w:val="center"/>
          </w:tcPr>
          <w:p>
            <w:pPr>
              <w:keepLines/>
              <w:autoSpaceDE w:val="0"/>
              <w:autoSpaceDN w:val="0"/>
              <w:adjustRightInd w:val="0"/>
              <w:spacing w:before="120"/>
              <w:rPr>
                <w:color w:val="000000"/>
                <w:sz w:val="20"/>
              </w:rPr>
            </w:pPr>
            <w:r>
              <w:rPr>
                <w:color w:val="000000"/>
                <w:sz w:val="20"/>
              </w:rPr>
              <w:t>Information to accompany access arrangements submitted for approval, or proposals for revisions or variations to access arrangements, including information to enable a person to understand the background or basis or derivation of the access arrangement or proposal.</w:t>
            </w:r>
          </w:p>
        </w:tc>
      </w:tr>
      <w:tr>
        <w:trPr>
          <w:cantSplit/>
        </w:trPr>
        <w:tc>
          <w:tcPr>
            <w:tcW w:w="924" w:type="dxa"/>
          </w:tcPr>
          <w:p>
            <w:pPr>
              <w:keepLines/>
              <w:autoSpaceDE w:val="0"/>
              <w:autoSpaceDN w:val="0"/>
              <w:adjustRightInd w:val="0"/>
              <w:spacing w:before="120"/>
              <w:rPr>
                <w:color w:val="000000"/>
                <w:sz w:val="20"/>
              </w:rPr>
            </w:pPr>
            <w:r>
              <w:rPr>
                <w:color w:val="000000"/>
                <w:sz w:val="20"/>
              </w:rPr>
              <w:t>31</w:t>
            </w:r>
          </w:p>
        </w:tc>
        <w:tc>
          <w:tcPr>
            <w:tcW w:w="6360" w:type="dxa"/>
            <w:vAlign w:val="center"/>
          </w:tcPr>
          <w:p>
            <w:pPr>
              <w:keepLines/>
              <w:autoSpaceDE w:val="0"/>
              <w:autoSpaceDN w:val="0"/>
              <w:adjustRightInd w:val="0"/>
              <w:spacing w:before="120"/>
              <w:rPr>
                <w:color w:val="000000"/>
                <w:sz w:val="20"/>
              </w:rPr>
            </w:pPr>
            <w:r>
              <w:rPr>
                <w:color w:val="000000"/>
                <w:sz w:val="20"/>
              </w:rPr>
              <w:t>The provision and publication of information referred to in item 30.</w:t>
            </w:r>
          </w:p>
        </w:tc>
      </w:tr>
      <w:tr>
        <w:trPr>
          <w:cantSplit/>
        </w:trPr>
        <w:tc>
          <w:tcPr>
            <w:tcW w:w="924" w:type="dxa"/>
          </w:tcPr>
          <w:p>
            <w:pPr>
              <w:keepLines/>
              <w:autoSpaceDE w:val="0"/>
              <w:autoSpaceDN w:val="0"/>
              <w:adjustRightInd w:val="0"/>
              <w:spacing w:before="120"/>
              <w:rPr>
                <w:color w:val="000000"/>
                <w:sz w:val="20"/>
              </w:rPr>
            </w:pPr>
            <w:r>
              <w:rPr>
                <w:color w:val="000000"/>
                <w:sz w:val="20"/>
              </w:rPr>
              <w:t>32</w:t>
            </w:r>
          </w:p>
        </w:tc>
        <w:tc>
          <w:tcPr>
            <w:tcW w:w="6360" w:type="dxa"/>
            <w:vAlign w:val="center"/>
          </w:tcPr>
          <w:p>
            <w:pPr>
              <w:keepLines/>
              <w:autoSpaceDE w:val="0"/>
              <w:autoSpaceDN w:val="0"/>
              <w:adjustRightInd w:val="0"/>
              <w:spacing w:before="120"/>
              <w:rPr>
                <w:color w:val="000000"/>
                <w:sz w:val="20"/>
              </w:rPr>
            </w:pPr>
            <w:r>
              <w:rPr>
                <w:color w:val="000000"/>
                <w:sz w:val="20"/>
              </w:rPr>
              <w:t>Decisions of the AER that approve (with or without revisions or modifications) or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33</w:t>
            </w:r>
          </w:p>
        </w:tc>
        <w:tc>
          <w:tcPr>
            <w:tcW w:w="6360" w:type="dxa"/>
            <w:vAlign w:val="center"/>
          </w:tcPr>
          <w:p>
            <w:pPr>
              <w:keepLines/>
              <w:autoSpaceDE w:val="0"/>
              <w:autoSpaceDN w:val="0"/>
              <w:adjustRightInd w:val="0"/>
              <w:spacing w:before="120"/>
              <w:rPr>
                <w:color w:val="000000"/>
                <w:sz w:val="20"/>
              </w:rPr>
            </w:pPr>
            <w:r>
              <w:rPr>
                <w:color w:val="000000"/>
                <w:sz w:val="20"/>
              </w:rPr>
              <w:t>The making of access arrangements by the AER when it does not approve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34</w:t>
            </w:r>
          </w:p>
        </w:tc>
        <w:tc>
          <w:tcPr>
            <w:tcW w:w="6360" w:type="dxa"/>
            <w:vAlign w:val="center"/>
          </w:tcPr>
          <w:p>
            <w:pPr>
              <w:keepLines/>
              <w:autoSpaceDE w:val="0"/>
              <w:autoSpaceDN w:val="0"/>
              <w:adjustRightInd w:val="0"/>
              <w:spacing w:before="120"/>
              <w:rPr>
                <w:color w:val="000000"/>
                <w:sz w:val="20"/>
              </w:rPr>
            </w:pPr>
            <w:r>
              <w:rPr>
                <w:color w:val="000000"/>
                <w:sz w:val="20"/>
              </w:rPr>
              <w:t>The contents of decisions of the AER that—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approve or do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make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35</w:t>
            </w:r>
          </w:p>
        </w:tc>
        <w:tc>
          <w:tcPr>
            <w:tcW w:w="6360" w:type="dxa"/>
            <w:vAlign w:val="center"/>
          </w:tcPr>
          <w:p>
            <w:pPr>
              <w:keepLines/>
              <w:autoSpaceDE w:val="0"/>
              <w:autoSpaceDN w:val="0"/>
              <w:adjustRightInd w:val="0"/>
              <w:spacing w:before="120"/>
              <w:rPr>
                <w:color w:val="000000"/>
                <w:sz w:val="20"/>
              </w:rPr>
            </w:pPr>
            <w:r>
              <w:rPr>
                <w:color w:val="000000"/>
                <w:sz w:val="20"/>
              </w:rPr>
              <w:t>The procedure for the approval or making by the AER of access arrangements, or approval by the AER of proposals for revisions or variations to applicable access arrangements, including the publication and giving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access arrangements and proposals;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decisions of the AER;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applicable access arrangements;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drafts of decisions of access arrangements and proposals and decisions of the AER.</w:t>
            </w:r>
          </w:p>
        </w:tc>
      </w:tr>
      <w:tr>
        <w:trPr>
          <w:cantSplit/>
        </w:trPr>
        <w:tc>
          <w:tcPr>
            <w:tcW w:w="924" w:type="dxa"/>
          </w:tcPr>
          <w:p>
            <w:pPr>
              <w:keepLines/>
              <w:autoSpaceDE w:val="0"/>
              <w:autoSpaceDN w:val="0"/>
              <w:adjustRightInd w:val="0"/>
              <w:spacing w:before="120"/>
              <w:rPr>
                <w:color w:val="000000"/>
                <w:sz w:val="20"/>
              </w:rPr>
            </w:pPr>
            <w:r>
              <w:rPr>
                <w:color w:val="000000"/>
                <w:sz w:val="20"/>
              </w:rPr>
              <w:t>36</w:t>
            </w:r>
          </w:p>
        </w:tc>
        <w:tc>
          <w:tcPr>
            <w:tcW w:w="6360" w:type="dxa"/>
            <w:vAlign w:val="center"/>
          </w:tcPr>
          <w:p>
            <w:pPr>
              <w:keepLines/>
              <w:autoSpaceDE w:val="0"/>
              <w:autoSpaceDN w:val="0"/>
              <w:adjustRightInd w:val="0"/>
              <w:spacing w:before="120"/>
              <w:rPr>
                <w:color w:val="000000"/>
                <w:sz w:val="20"/>
              </w:rPr>
            </w:pPr>
            <w:r>
              <w:rPr>
                <w:color w:val="000000"/>
                <w:sz w:val="20"/>
              </w:rPr>
              <w:t>Matters to be addressed by the AER in approving or not approving an access arrangement, or making an access arrangement, or approving or not approving revisions or variations to an applicable access arrangement.</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Access disputes</w:t>
            </w:r>
          </w:p>
        </w:tc>
      </w:tr>
      <w:tr>
        <w:trPr>
          <w:cantSplit/>
        </w:trPr>
        <w:tc>
          <w:tcPr>
            <w:tcW w:w="924" w:type="dxa"/>
          </w:tcPr>
          <w:p>
            <w:pPr>
              <w:keepLines/>
              <w:autoSpaceDE w:val="0"/>
              <w:autoSpaceDN w:val="0"/>
              <w:adjustRightInd w:val="0"/>
              <w:spacing w:before="120"/>
              <w:rPr>
                <w:color w:val="000000"/>
                <w:sz w:val="20"/>
              </w:rPr>
            </w:pPr>
            <w:r>
              <w:rPr>
                <w:color w:val="000000"/>
                <w:sz w:val="20"/>
              </w:rPr>
              <w:t>37</w:t>
            </w:r>
          </w:p>
        </w:tc>
        <w:tc>
          <w:tcPr>
            <w:tcW w:w="6360" w:type="dxa"/>
            <w:vAlign w:val="center"/>
          </w:tcPr>
          <w:p>
            <w:pPr>
              <w:keepLines/>
              <w:autoSpaceDE w:val="0"/>
              <w:autoSpaceDN w:val="0"/>
              <w:adjustRightInd w:val="0"/>
              <w:spacing w:before="120"/>
              <w:rPr>
                <w:color w:val="000000"/>
                <w:sz w:val="20"/>
              </w:rPr>
            </w:pPr>
            <w:r>
              <w:rPr>
                <w:color w:val="000000"/>
                <w:sz w:val="20"/>
              </w:rPr>
              <w:t>The procedure and time limits for the making of access determinations under Chapter 6 or 6A.</w:t>
            </w:r>
          </w:p>
        </w:tc>
      </w:tr>
      <w:tr>
        <w:trPr>
          <w:cantSplit/>
        </w:trPr>
        <w:tc>
          <w:tcPr>
            <w:tcW w:w="924" w:type="dxa"/>
          </w:tcPr>
          <w:p>
            <w:pPr>
              <w:keepLines/>
              <w:autoSpaceDE w:val="0"/>
              <w:autoSpaceDN w:val="0"/>
              <w:adjustRightInd w:val="0"/>
              <w:spacing w:before="120"/>
              <w:rPr>
                <w:color w:val="000000"/>
                <w:sz w:val="20"/>
              </w:rPr>
            </w:pPr>
            <w:r>
              <w:rPr>
                <w:color w:val="000000"/>
                <w:sz w:val="20"/>
              </w:rPr>
              <w:t>38</w:t>
            </w:r>
          </w:p>
        </w:tc>
        <w:tc>
          <w:tcPr>
            <w:tcW w:w="6360" w:type="dxa"/>
            <w:vAlign w:val="center"/>
          </w:tcPr>
          <w:p>
            <w:pPr>
              <w:keepLines/>
              <w:autoSpaceDE w:val="0"/>
              <w:autoSpaceDN w:val="0"/>
              <w:adjustRightInd w:val="0"/>
              <w:spacing w:before="120"/>
              <w:rPr>
                <w:color w:val="000000"/>
                <w:sz w:val="20"/>
              </w:rPr>
            </w:pPr>
            <w:r>
              <w:rPr>
                <w:color w:val="000000"/>
                <w:sz w:val="20"/>
              </w:rPr>
              <w:t>The appointment of persons to inquire into and report on the safe operation of pipelines for the purpose of enabling the dispute resolution body to make an access determination under Chapter 6 or an arbitrator to make an access determination under Chapter 6A.</w:t>
            </w:r>
          </w:p>
        </w:tc>
      </w:tr>
      <w:tr>
        <w:trPr>
          <w:cantSplit/>
        </w:trPr>
        <w:tc>
          <w:tcPr>
            <w:tcW w:w="924" w:type="dxa"/>
          </w:tcPr>
          <w:p>
            <w:pPr>
              <w:keepLines/>
              <w:autoSpaceDE w:val="0"/>
              <w:autoSpaceDN w:val="0"/>
              <w:adjustRightInd w:val="0"/>
              <w:spacing w:before="120"/>
              <w:rPr>
                <w:color w:val="000000"/>
                <w:sz w:val="20"/>
              </w:rPr>
            </w:pPr>
            <w:r>
              <w:rPr>
                <w:color w:val="000000"/>
                <w:sz w:val="20"/>
              </w:rPr>
              <w:t>39</w:t>
            </w:r>
          </w:p>
        </w:tc>
        <w:tc>
          <w:tcPr>
            <w:tcW w:w="6360" w:type="dxa"/>
            <w:vAlign w:val="center"/>
          </w:tcPr>
          <w:p>
            <w:pPr>
              <w:keepLines/>
              <w:autoSpaceDE w:val="0"/>
              <w:autoSpaceDN w:val="0"/>
              <w:adjustRightInd w:val="0"/>
              <w:spacing w:before="120"/>
              <w:rPr>
                <w:color w:val="000000"/>
                <w:sz w:val="20"/>
              </w:rPr>
            </w:pPr>
            <w:r>
              <w:rPr>
                <w:color w:val="000000"/>
                <w:sz w:val="20"/>
              </w:rPr>
              <w:t>The kinds of access determinations that may be made under Chapter 6 or 6A including determinations—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requiring prospective users or users to make capital contributions towards a service provider’s capital expenditure for the installation or construction of new facilities for the expansion of the capacity of pipelines;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that enable service providers to charge prospective users or users surcharges to recover capital expenditure for the installation or construction of new facilities for the expansion of the capacity of pipelines.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Regulatory economic methodologies</w:t>
            </w:r>
          </w:p>
        </w:tc>
      </w:tr>
      <w:tr>
        <w:trPr>
          <w:cantSplit/>
        </w:trPr>
        <w:tc>
          <w:tcPr>
            <w:tcW w:w="924" w:type="dxa"/>
          </w:tcPr>
          <w:p>
            <w:pPr>
              <w:keepLines/>
              <w:autoSpaceDE w:val="0"/>
              <w:autoSpaceDN w:val="0"/>
              <w:adjustRightInd w:val="0"/>
              <w:spacing w:before="120"/>
              <w:rPr>
                <w:color w:val="000000"/>
                <w:sz w:val="20"/>
              </w:rPr>
            </w:pPr>
            <w:r>
              <w:rPr>
                <w:color w:val="000000"/>
                <w:sz w:val="20"/>
              </w:rPr>
              <w:t>40</w:t>
            </w:r>
          </w:p>
        </w:tc>
        <w:tc>
          <w:tcPr>
            <w:tcW w:w="6360" w:type="dxa"/>
            <w:vAlign w:val="center"/>
          </w:tcPr>
          <w:p>
            <w:pPr>
              <w:keepLines/>
              <w:autoSpaceDE w:val="0"/>
              <w:autoSpaceDN w:val="0"/>
              <w:adjustRightInd w:val="0"/>
              <w:spacing w:before="120"/>
              <w:rPr>
                <w:color w:val="000000"/>
                <w:sz w:val="20"/>
              </w:rPr>
            </w:pPr>
            <w:r>
              <w:rPr>
                <w:color w:val="000000"/>
                <w:sz w:val="20"/>
              </w:rPr>
              <w:t>The regulatory economic methodologies (including the use of the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in approving or making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in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in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41</w:t>
            </w:r>
          </w:p>
        </w:tc>
        <w:tc>
          <w:tcPr>
            <w:tcW w:w="6360" w:type="dxa"/>
            <w:vAlign w:val="center"/>
          </w:tcPr>
          <w:p>
            <w:pPr>
              <w:keepLines/>
              <w:autoSpaceDE w:val="0"/>
              <w:autoSpaceDN w:val="0"/>
              <w:adjustRightInd w:val="0"/>
              <w:spacing w:before="120"/>
              <w:rPr>
                <w:color w:val="000000"/>
                <w:sz w:val="20"/>
              </w:rPr>
            </w:pPr>
            <w:r>
              <w:rPr>
                <w:color w:val="000000"/>
                <w:sz w:val="20"/>
              </w:rPr>
              <w:t>If the Rules provide for the regulatory economic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for the purpose of approving or making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for the purpose of 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for the purpose of making an access determination,</w:t>
            </w:r>
          </w:p>
          <w:p>
            <w:pPr>
              <w:keepLines/>
              <w:autoSpaceDE w:val="0"/>
              <w:autoSpaceDN w:val="0"/>
              <w:adjustRightInd w:val="0"/>
              <w:spacing w:before="120"/>
              <w:rPr>
                <w:color w:val="000000"/>
                <w:sz w:val="20"/>
              </w:rPr>
            </w:pPr>
            <w:r>
              <w:rPr>
                <w:color w:val="000000"/>
                <w:sz w:val="20"/>
              </w:rPr>
              <w:t>the determination by the AER or the dispute resolution body (as the case requires) of allowances for—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depreciation;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the operating costs of a service provider;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if the service provider is a corporation, the income tax payable by corporations;</w:t>
            </w:r>
          </w:p>
        </w:tc>
      </w:tr>
      <w:tr>
        <w:trPr>
          <w:cantSplit/>
        </w:trPr>
        <w:tc>
          <w:tcPr>
            <w:tcW w:w="924" w:type="dxa"/>
          </w:tcPr>
          <w:p>
            <w:pPr>
              <w:keepLines/>
              <w:autoSpaceDE w:val="0"/>
              <w:autoSpaceDN w:val="0"/>
              <w:adjustRightInd w:val="0"/>
              <w:spacing w:before="120"/>
              <w:rPr>
                <w:i/>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i/>
                <w:color w:val="000000"/>
                <w:sz w:val="20"/>
              </w:rPr>
            </w:pPr>
            <w:r>
              <w:rPr>
                <w:i/>
                <w:color w:val="000000"/>
                <w:sz w:val="20"/>
              </w:rPr>
              <w:t>[</w:t>
            </w:r>
            <w:r>
              <w:rPr>
                <w:i/>
                <w:color w:val="000000"/>
                <w:sz w:val="20"/>
              </w:rPr>
              <w:tab/>
              <w:t>(g)</w:t>
            </w:r>
            <w:r>
              <w:rPr>
                <w:i/>
                <w:color w:val="000000"/>
                <w:sz w:val="20"/>
              </w:rPr>
              <w:tab/>
              <w:t>deleted]</w:t>
            </w:r>
          </w:p>
        </w:tc>
      </w:tr>
      <w:tr>
        <w:trPr>
          <w:cantSplit/>
        </w:trPr>
        <w:tc>
          <w:tcPr>
            <w:tcW w:w="924" w:type="dxa"/>
          </w:tcPr>
          <w:p>
            <w:pPr>
              <w:keepLines/>
              <w:autoSpaceDE w:val="0"/>
              <w:autoSpaceDN w:val="0"/>
              <w:adjustRightInd w:val="0"/>
              <w:spacing w:before="120"/>
              <w:rPr>
                <w:color w:val="000000"/>
                <w:sz w:val="20"/>
              </w:rPr>
            </w:pPr>
            <w:r>
              <w:rPr>
                <w:color w:val="000000"/>
                <w:sz w:val="20"/>
              </w:rPr>
              <w:t>42</w:t>
            </w:r>
          </w:p>
        </w:tc>
        <w:tc>
          <w:tcPr>
            <w:tcW w:w="6360" w:type="dxa"/>
            <w:vAlign w:val="center"/>
          </w:tcPr>
          <w:p>
            <w:pPr>
              <w:keepLines/>
              <w:autoSpaceDE w:val="0"/>
              <w:autoSpaceDN w:val="0"/>
              <w:adjustRightInd w:val="0"/>
              <w:spacing w:before="120"/>
              <w:rPr>
                <w:color w:val="000000"/>
                <w:sz w:val="20"/>
              </w:rPr>
            </w:pPr>
            <w:r>
              <w:rPr>
                <w:color w:val="000000"/>
                <w:sz w:val="20"/>
              </w:rPr>
              <w:t>The methodology known as “total factor productivity”—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as a regulatory economic methodology to be applied by—</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w:t>
            </w:r>
            <w:r>
              <w:rPr>
                <w:color w:val="000000"/>
                <w:sz w:val="20"/>
              </w:rPr>
              <w:tab/>
              <w:t>the AER for the purpose of approving or making a full access arrangement;</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w:t>
            </w:r>
            <w:r>
              <w:rPr>
                <w:color w:val="000000"/>
                <w:sz w:val="20"/>
              </w:rPr>
              <w:tab/>
              <w:t>the AER for the purpose of approving revisions or a variation to an applicable access arrangement that is a full access arrangement;</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(iii)</w:t>
            </w:r>
            <w:r>
              <w:rPr>
                <w:color w:val="000000"/>
                <w:sz w:val="20"/>
              </w:rPr>
              <w:tab/>
              <w:t>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as an economic regulatory tool to inform and assist the AER in applying, or analysing the application of, the regulatory economic methodology known as the “building block approach” by the AER for the purpose of—</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w:t>
            </w:r>
            <w:r>
              <w:rPr>
                <w:color w:val="000000"/>
                <w:sz w:val="20"/>
              </w:rPr>
              <w:tab/>
              <w:t>approving or making a full access arrangement; or</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w:t>
            </w:r>
            <w:r>
              <w:rPr>
                <w:color w:val="000000"/>
                <w:sz w:val="20"/>
              </w:rPr>
              <w:tab/>
              <w:t>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as an economic regulatory tool to inform and assist the dispute resolution body in applying, or analysing the application of, the regulatory economic methodology known as the “building block approach” by 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43</w:t>
            </w:r>
          </w:p>
        </w:tc>
        <w:tc>
          <w:tcPr>
            <w:tcW w:w="6360" w:type="dxa"/>
            <w:vAlign w:val="center"/>
          </w:tcPr>
          <w:p>
            <w:pPr>
              <w:keepLines/>
              <w:autoSpaceDE w:val="0"/>
              <w:autoSpaceDN w:val="0"/>
              <w:adjustRightInd w:val="0"/>
              <w:spacing w:before="120"/>
              <w:rPr>
                <w:color w:val="000000"/>
                <w:sz w:val="20"/>
              </w:rPr>
            </w:pPr>
            <w:r>
              <w:rPr>
                <w:color w:val="000000"/>
                <w:sz w:val="20"/>
              </w:rPr>
              <w:t>The capital base with respect to a covered pipeline, and of a new facility for the purposes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approving or making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44</w:t>
            </w:r>
          </w:p>
        </w:tc>
        <w:tc>
          <w:tcPr>
            <w:tcW w:w="6360" w:type="dxa"/>
            <w:vAlign w:val="center"/>
          </w:tcPr>
          <w:p>
            <w:pPr>
              <w:keepLines/>
              <w:autoSpaceDE w:val="0"/>
              <w:autoSpaceDN w:val="0"/>
              <w:adjustRightInd w:val="0"/>
              <w:spacing w:before="120"/>
              <w:rPr>
                <w:color w:val="000000"/>
                <w:sz w:val="20"/>
              </w:rPr>
            </w:pPr>
            <w:r>
              <w:rPr>
                <w:color w:val="000000"/>
                <w:sz w:val="20"/>
              </w:rPr>
              <w:t>The assessment, or treatment of, investment in covered pipelines and new facilities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for the purposes of approving or making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for the purposes of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for the purposes of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45</w:t>
            </w:r>
          </w:p>
        </w:tc>
        <w:tc>
          <w:tcPr>
            <w:tcW w:w="6360" w:type="dxa"/>
            <w:vAlign w:val="center"/>
          </w:tcPr>
          <w:p>
            <w:pPr>
              <w:keepLines/>
              <w:autoSpaceDE w:val="0"/>
              <w:autoSpaceDN w:val="0"/>
              <w:adjustRightInd w:val="0"/>
              <w:spacing w:before="120"/>
              <w:rPr>
                <w:color w:val="000000"/>
                <w:sz w:val="20"/>
              </w:rPr>
            </w:pPr>
            <w:r>
              <w:rPr>
                <w:color w:val="000000"/>
                <w:sz w:val="20"/>
              </w:rPr>
              <w:t>The economic framework and methodologies to be applied by the AER or the dispute resolution body for the purposes of item 44.</w:t>
            </w:r>
          </w:p>
        </w:tc>
      </w:tr>
      <w:tr>
        <w:trPr>
          <w:cantSplit/>
        </w:trPr>
        <w:tc>
          <w:tcPr>
            <w:tcW w:w="924" w:type="dxa"/>
          </w:tcPr>
          <w:p>
            <w:pPr>
              <w:keepLines/>
              <w:autoSpaceDE w:val="0"/>
              <w:autoSpaceDN w:val="0"/>
              <w:adjustRightInd w:val="0"/>
              <w:spacing w:before="120"/>
              <w:rPr>
                <w:color w:val="000000"/>
                <w:sz w:val="20"/>
              </w:rPr>
            </w:pPr>
            <w:r>
              <w:rPr>
                <w:color w:val="000000"/>
                <w:sz w:val="20"/>
              </w:rPr>
              <w:t>46</w:t>
            </w:r>
          </w:p>
        </w:tc>
        <w:tc>
          <w:tcPr>
            <w:tcW w:w="6360" w:type="dxa"/>
            <w:vAlign w:val="center"/>
          </w:tcPr>
          <w:p>
            <w:pPr>
              <w:keepLines/>
              <w:autoSpaceDE w:val="0"/>
              <w:autoSpaceDN w:val="0"/>
              <w:adjustRightInd w:val="0"/>
              <w:spacing w:before="120"/>
              <w:rPr>
                <w:color w:val="000000"/>
                <w:sz w:val="20"/>
              </w:rPr>
            </w:pPr>
            <w:r>
              <w:rPr>
                <w:color w:val="000000"/>
                <w:sz w:val="20"/>
              </w:rPr>
              <w:t>Incentives for service providers to make efficient operating and investment decisions including, where applicable, service performance incentive schemes.</w:t>
            </w:r>
          </w:p>
        </w:tc>
      </w:tr>
      <w:tr>
        <w:trPr>
          <w:cantSplit/>
        </w:trPr>
        <w:tc>
          <w:tcPr>
            <w:tcW w:w="924" w:type="dxa"/>
          </w:tcPr>
          <w:p>
            <w:pPr>
              <w:keepLines/>
              <w:autoSpaceDE w:val="0"/>
              <w:autoSpaceDN w:val="0"/>
              <w:adjustRightInd w:val="0"/>
              <w:spacing w:before="120"/>
              <w:rPr>
                <w:color w:val="000000"/>
                <w:sz w:val="20"/>
              </w:rPr>
            </w:pPr>
            <w:r>
              <w:rPr>
                <w:color w:val="000000"/>
                <w:sz w:val="20"/>
              </w:rPr>
              <w:t>47</w:t>
            </w:r>
          </w:p>
        </w:tc>
        <w:tc>
          <w:tcPr>
            <w:tcW w:w="6360" w:type="dxa"/>
            <w:vAlign w:val="center"/>
          </w:tcPr>
          <w:p>
            <w:pPr>
              <w:keepLines/>
              <w:autoSpaceDE w:val="0"/>
              <w:autoSpaceDN w:val="0"/>
              <w:adjustRightInd w:val="0"/>
              <w:spacing w:before="120"/>
              <w:rPr>
                <w:color w:val="000000"/>
                <w:sz w:val="20"/>
              </w:rPr>
            </w:pPr>
            <w:r>
              <w:rPr>
                <w:color w:val="000000"/>
                <w:sz w:val="20"/>
              </w:rPr>
              <w:t>The treatment of capital contributions referred to in item 39(a) when determining the capital base with respect to a covered pipeline.</w:t>
            </w:r>
          </w:p>
        </w:tc>
      </w:tr>
      <w:tr>
        <w:trPr>
          <w:cantSplit/>
        </w:trPr>
        <w:tc>
          <w:tcPr>
            <w:tcW w:w="924" w:type="dxa"/>
          </w:tcPr>
          <w:p>
            <w:pPr>
              <w:keepLines/>
              <w:autoSpaceDE w:val="0"/>
              <w:autoSpaceDN w:val="0"/>
              <w:adjustRightInd w:val="0"/>
              <w:spacing w:before="120"/>
              <w:rPr>
                <w:color w:val="000000"/>
                <w:sz w:val="20"/>
              </w:rPr>
            </w:pPr>
            <w:r>
              <w:rPr>
                <w:color w:val="000000"/>
                <w:sz w:val="20"/>
              </w:rPr>
              <w:t>48</w:t>
            </w:r>
          </w:p>
        </w:tc>
        <w:tc>
          <w:tcPr>
            <w:tcW w:w="6360" w:type="dxa"/>
            <w:vAlign w:val="center"/>
          </w:tcPr>
          <w:p>
            <w:pPr>
              <w:keepLines/>
              <w:autoSpaceDE w:val="0"/>
              <w:autoSpaceDN w:val="0"/>
              <w:adjustRightInd w:val="0"/>
              <w:spacing w:before="120"/>
              <w:rPr>
                <w:color w:val="000000"/>
                <w:sz w:val="20"/>
              </w:rPr>
            </w:pPr>
            <w:r>
              <w:rPr>
                <w:color w:val="000000"/>
                <w:sz w:val="20"/>
              </w:rPr>
              <w:t>The handling of surcharges referred to in item 39(b).</w:t>
            </w:r>
          </w:p>
        </w:tc>
      </w:tr>
      <w:tr>
        <w:trPr>
          <w:cantSplit/>
        </w:trPr>
        <w:tc>
          <w:tcPr>
            <w:tcW w:w="924" w:type="dxa"/>
          </w:tcPr>
          <w:p>
            <w:pPr>
              <w:keepLines/>
              <w:autoSpaceDE w:val="0"/>
              <w:autoSpaceDN w:val="0"/>
              <w:adjustRightInd w:val="0"/>
              <w:spacing w:before="120"/>
              <w:rPr>
                <w:color w:val="000000"/>
                <w:sz w:val="20"/>
              </w:rPr>
            </w:pPr>
            <w:r>
              <w:rPr>
                <w:color w:val="000000"/>
                <w:sz w:val="20"/>
              </w:rPr>
              <w:t>48A</w:t>
            </w:r>
          </w:p>
        </w:tc>
        <w:tc>
          <w:tcPr>
            <w:tcW w:w="6360" w:type="dxa"/>
            <w:vAlign w:val="center"/>
          </w:tcPr>
          <w:p>
            <w:pPr>
              <w:keepLines/>
              <w:autoSpaceDE w:val="0"/>
              <w:autoSpaceDN w:val="0"/>
              <w:adjustRightInd w:val="0"/>
              <w:spacing w:before="120"/>
              <w:rPr>
                <w:color w:val="000000"/>
                <w:sz w:val="20"/>
              </w:rPr>
            </w:pPr>
            <w:r>
              <w:rPr>
                <w:color w:val="000000"/>
                <w:sz w:val="20"/>
              </w:rPr>
              <w:t>For the purposes of items 40 to 47 (inclusive)—</w:t>
            </w:r>
          </w:p>
          <w:p>
            <w:pPr>
              <w:keepLines/>
              <w:tabs>
                <w:tab w:val="left" w:pos="281"/>
                <w:tab w:val="left" w:pos="716"/>
              </w:tabs>
              <w:autoSpaceDE w:val="0"/>
              <w:autoSpaceDN w:val="0"/>
              <w:adjustRightInd w:val="0"/>
              <w:spacing w:before="120"/>
              <w:ind w:left="716" w:hanging="716"/>
              <w:rPr>
                <w:color w:val="000000"/>
                <w:sz w:val="20"/>
              </w:rPr>
            </w:pPr>
            <w:r>
              <w:rPr>
                <w:color w:val="000000"/>
                <w:sz w:val="20"/>
              </w:rPr>
              <w:tab/>
              <w:t>(a)</w:t>
            </w:r>
            <w:r>
              <w:rPr>
                <w:color w:val="000000"/>
                <w:sz w:val="20"/>
              </w:rPr>
              <w:tab/>
              <w:t>a reference to the dispute resolution body will be taken to include a reference to an arbitrator under Chapter 6A; and</w:t>
            </w:r>
          </w:p>
          <w:p>
            <w:pPr>
              <w:keepLines/>
              <w:tabs>
                <w:tab w:val="left" w:pos="281"/>
                <w:tab w:val="left" w:pos="716"/>
              </w:tabs>
              <w:autoSpaceDE w:val="0"/>
              <w:autoSpaceDN w:val="0"/>
              <w:adjustRightInd w:val="0"/>
              <w:spacing w:before="120"/>
              <w:ind w:left="716" w:hanging="716"/>
              <w:rPr>
                <w:color w:val="000000"/>
                <w:sz w:val="20"/>
              </w:rPr>
            </w:pPr>
            <w:r>
              <w:rPr>
                <w:color w:val="000000"/>
                <w:sz w:val="20"/>
              </w:rPr>
              <w:tab/>
              <w:t>(b)</w:t>
            </w:r>
            <w:r>
              <w:rPr>
                <w:color w:val="000000"/>
                <w:sz w:val="20"/>
              </w:rPr>
              <w:tab/>
              <w:t>a reference to an access determination will be taken to include a reference to an access determination under Chapter 6A; and</w:t>
            </w:r>
          </w:p>
          <w:p>
            <w:pPr>
              <w:keepLines/>
              <w:tabs>
                <w:tab w:val="left" w:pos="281"/>
                <w:tab w:val="left" w:pos="716"/>
              </w:tabs>
              <w:autoSpaceDE w:val="0"/>
              <w:autoSpaceDN w:val="0"/>
              <w:adjustRightInd w:val="0"/>
              <w:spacing w:before="120"/>
              <w:ind w:left="716" w:hanging="716"/>
              <w:rPr>
                <w:color w:val="000000"/>
                <w:sz w:val="20"/>
              </w:rPr>
            </w:pPr>
            <w:r>
              <w:rPr>
                <w:color w:val="000000"/>
                <w:sz w:val="20"/>
              </w:rPr>
              <w:tab/>
              <w:t>(c)</w:t>
            </w:r>
            <w:r>
              <w:rPr>
                <w:color w:val="000000"/>
                <w:sz w:val="20"/>
              </w:rPr>
              <w:tab/>
              <w:t>a reference to a covered pipeline will be taken to include a reference to a non</w:t>
            </w:r>
            <w:r>
              <w:rPr>
                <w:color w:val="000000"/>
                <w:sz w:val="20"/>
              </w:rPr>
              <w:noBreakHyphen/>
              <w:t>scheme pipeline under Chapter 6A.</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AER economic regulatory function or powers</w:t>
            </w:r>
          </w:p>
        </w:tc>
      </w:tr>
      <w:tr>
        <w:trPr>
          <w:cantSplit/>
        </w:trPr>
        <w:tc>
          <w:tcPr>
            <w:tcW w:w="924" w:type="dxa"/>
          </w:tcPr>
          <w:p>
            <w:pPr>
              <w:keepLines/>
              <w:autoSpaceDE w:val="0"/>
              <w:autoSpaceDN w:val="0"/>
              <w:adjustRightInd w:val="0"/>
              <w:spacing w:before="120"/>
              <w:rPr>
                <w:color w:val="000000"/>
                <w:sz w:val="20"/>
              </w:rPr>
            </w:pPr>
            <w:r>
              <w:rPr>
                <w:color w:val="000000"/>
                <w:sz w:val="20"/>
              </w:rPr>
              <w:t>49</w:t>
            </w:r>
          </w:p>
        </w:tc>
        <w:tc>
          <w:tcPr>
            <w:tcW w:w="6360" w:type="dxa"/>
            <w:vAlign w:val="center"/>
          </w:tcPr>
          <w:p>
            <w:pPr>
              <w:keepLines/>
              <w:autoSpaceDE w:val="0"/>
              <w:autoSpaceDN w:val="0"/>
              <w:adjustRightInd w:val="0"/>
              <w:spacing w:before="120"/>
              <w:rPr>
                <w:color w:val="000000"/>
                <w:sz w:val="20"/>
              </w:rPr>
            </w:pPr>
            <w:r>
              <w:rPr>
                <w:color w:val="000000"/>
                <w:sz w:val="20"/>
              </w:rPr>
              <w:t>The way in which the AER performs or exercises an AER economic regulatory function or power, including the basis on which the AER makes an AER economic regulatory decision.</w:t>
            </w:r>
          </w:p>
        </w:tc>
      </w:tr>
      <w:tr>
        <w:trPr>
          <w:cantSplit/>
        </w:trPr>
        <w:tc>
          <w:tcPr>
            <w:tcW w:w="924" w:type="dxa"/>
          </w:tcPr>
          <w:p>
            <w:pPr>
              <w:keepLines/>
              <w:autoSpaceDE w:val="0"/>
              <w:autoSpaceDN w:val="0"/>
              <w:adjustRightInd w:val="0"/>
              <w:spacing w:before="120"/>
              <w:rPr>
                <w:color w:val="000000"/>
                <w:sz w:val="20"/>
              </w:rPr>
            </w:pPr>
            <w:r>
              <w:rPr>
                <w:color w:val="000000"/>
                <w:sz w:val="20"/>
              </w:rPr>
              <w:t>50</w:t>
            </w:r>
          </w:p>
        </w:tc>
        <w:tc>
          <w:tcPr>
            <w:tcW w:w="6360" w:type="dxa"/>
            <w:vAlign w:val="center"/>
          </w:tcPr>
          <w:p>
            <w:pPr>
              <w:keepLines/>
              <w:autoSpaceDE w:val="0"/>
              <w:autoSpaceDN w:val="0"/>
              <w:adjustRightInd w:val="0"/>
              <w:spacing w:before="120"/>
              <w:rPr>
                <w:color w:val="000000"/>
                <w:sz w:val="20"/>
              </w:rPr>
            </w:pPr>
            <w:r>
              <w:rPr>
                <w:color w:val="000000"/>
                <w:sz w:val="20"/>
              </w:rPr>
              <w:t>Principles to be applied, and procedures to be followed, by the AER in exercising or performing an AER economic regulatory function or power.</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Ring fencing requirements</w:t>
            </w:r>
          </w:p>
        </w:tc>
      </w:tr>
      <w:tr>
        <w:trPr>
          <w:cantSplit/>
        </w:trPr>
        <w:tc>
          <w:tcPr>
            <w:tcW w:w="924" w:type="dxa"/>
          </w:tcPr>
          <w:p>
            <w:pPr>
              <w:keepLines/>
              <w:autoSpaceDE w:val="0"/>
              <w:autoSpaceDN w:val="0"/>
              <w:adjustRightInd w:val="0"/>
              <w:spacing w:before="120"/>
              <w:rPr>
                <w:color w:val="000000"/>
                <w:sz w:val="20"/>
              </w:rPr>
            </w:pPr>
            <w:r>
              <w:rPr>
                <w:color w:val="000000"/>
                <w:sz w:val="20"/>
              </w:rPr>
              <w:t>51</w:t>
            </w:r>
          </w:p>
        </w:tc>
        <w:tc>
          <w:tcPr>
            <w:tcW w:w="6360" w:type="dxa"/>
            <w:vAlign w:val="center"/>
          </w:tcPr>
          <w:p>
            <w:pPr>
              <w:keepLines/>
              <w:autoSpaceDE w:val="0"/>
              <w:autoSpaceDN w:val="0"/>
              <w:adjustRightInd w:val="0"/>
              <w:spacing w:before="120"/>
              <w:rPr>
                <w:color w:val="000000"/>
                <w:sz w:val="20"/>
              </w:rPr>
            </w:pPr>
            <w:r>
              <w:rPr>
                <w:color w:val="000000"/>
                <w:sz w:val="20"/>
              </w:rPr>
              <w:t>The content of a minimum ring fencing requirement.</w:t>
            </w:r>
          </w:p>
        </w:tc>
      </w:tr>
      <w:tr>
        <w:trPr>
          <w:cantSplit/>
        </w:trPr>
        <w:tc>
          <w:tcPr>
            <w:tcW w:w="924" w:type="dxa"/>
          </w:tcPr>
          <w:p>
            <w:pPr>
              <w:keepLines/>
              <w:autoSpaceDE w:val="0"/>
              <w:autoSpaceDN w:val="0"/>
              <w:adjustRightInd w:val="0"/>
              <w:spacing w:before="120"/>
              <w:rPr>
                <w:color w:val="000000"/>
                <w:sz w:val="20"/>
              </w:rPr>
            </w:pPr>
            <w:r>
              <w:rPr>
                <w:color w:val="000000"/>
                <w:sz w:val="20"/>
              </w:rPr>
              <w:t>52</w:t>
            </w:r>
          </w:p>
        </w:tc>
        <w:tc>
          <w:tcPr>
            <w:tcW w:w="6360" w:type="dxa"/>
            <w:vAlign w:val="center"/>
          </w:tcPr>
          <w:p>
            <w:pPr>
              <w:keepLines/>
              <w:autoSpaceDE w:val="0"/>
              <w:autoSpaceDN w:val="0"/>
              <w:adjustRightInd w:val="0"/>
              <w:spacing w:before="120"/>
              <w:rPr>
                <w:color w:val="000000"/>
                <w:sz w:val="20"/>
              </w:rPr>
            </w:pPr>
            <w:r>
              <w:rPr>
                <w:color w:val="000000"/>
                <w:sz w:val="20"/>
              </w:rPr>
              <w:t>AER ring fencing determinations and additional ring fencing requirements.</w:t>
            </w:r>
          </w:p>
        </w:tc>
      </w:tr>
      <w:tr>
        <w:trPr>
          <w:cantSplit/>
        </w:trPr>
        <w:tc>
          <w:tcPr>
            <w:tcW w:w="924" w:type="dxa"/>
          </w:tcPr>
          <w:p>
            <w:pPr>
              <w:keepLines/>
              <w:autoSpaceDE w:val="0"/>
              <w:autoSpaceDN w:val="0"/>
              <w:adjustRightInd w:val="0"/>
              <w:spacing w:before="120"/>
              <w:rPr>
                <w:color w:val="000000"/>
                <w:sz w:val="20"/>
              </w:rPr>
            </w:pPr>
            <w:r>
              <w:rPr>
                <w:color w:val="000000"/>
                <w:sz w:val="20"/>
              </w:rPr>
              <w:t>53</w:t>
            </w:r>
          </w:p>
        </w:tc>
        <w:tc>
          <w:tcPr>
            <w:tcW w:w="6360" w:type="dxa"/>
            <w:vAlign w:val="center"/>
          </w:tcPr>
          <w:p>
            <w:pPr>
              <w:keepLines/>
              <w:autoSpaceDE w:val="0"/>
              <w:autoSpaceDN w:val="0"/>
              <w:adjustRightInd w:val="0"/>
              <w:spacing w:before="120"/>
              <w:rPr>
                <w:color w:val="000000"/>
                <w:sz w:val="20"/>
              </w:rPr>
            </w:pPr>
            <w:r>
              <w:rPr>
                <w:color w:val="000000"/>
                <w:sz w:val="20"/>
              </w:rPr>
              <w:t>Exemptions from a minimum ring fencing requirement.</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Associate contracts</w:t>
            </w:r>
          </w:p>
        </w:tc>
      </w:tr>
      <w:tr>
        <w:trPr>
          <w:cantSplit/>
        </w:trPr>
        <w:tc>
          <w:tcPr>
            <w:tcW w:w="924" w:type="dxa"/>
          </w:tcPr>
          <w:p>
            <w:pPr>
              <w:keepLines/>
              <w:autoSpaceDE w:val="0"/>
              <w:autoSpaceDN w:val="0"/>
              <w:adjustRightInd w:val="0"/>
              <w:spacing w:before="120"/>
              <w:rPr>
                <w:color w:val="000000"/>
                <w:sz w:val="20"/>
              </w:rPr>
            </w:pPr>
            <w:r>
              <w:rPr>
                <w:color w:val="000000"/>
                <w:sz w:val="20"/>
              </w:rPr>
              <w:t>54</w:t>
            </w:r>
          </w:p>
        </w:tc>
        <w:tc>
          <w:tcPr>
            <w:tcW w:w="6360" w:type="dxa"/>
            <w:vAlign w:val="center"/>
          </w:tcPr>
          <w:p>
            <w:pPr>
              <w:keepLines/>
              <w:autoSpaceDE w:val="0"/>
              <w:autoSpaceDN w:val="0"/>
              <w:adjustRightInd w:val="0"/>
              <w:spacing w:before="120"/>
              <w:rPr>
                <w:color w:val="000000"/>
                <w:sz w:val="20"/>
              </w:rPr>
            </w:pPr>
            <w:r>
              <w:rPr>
                <w:color w:val="000000"/>
                <w:sz w:val="20"/>
              </w:rPr>
              <w:t>The approval by the AER of associate contracts and variations to associate contracts.</w:t>
            </w:r>
          </w:p>
        </w:tc>
      </w:tr>
      <w:tr>
        <w:trPr>
          <w:cantSplit/>
        </w:trPr>
        <w:tc>
          <w:tcPr>
            <w:tcW w:w="924" w:type="dxa"/>
          </w:tcPr>
          <w:p>
            <w:pPr>
              <w:keepLines/>
              <w:autoSpaceDE w:val="0"/>
              <w:autoSpaceDN w:val="0"/>
              <w:adjustRightInd w:val="0"/>
              <w:spacing w:before="120"/>
              <w:rPr>
                <w:color w:val="000000"/>
                <w:sz w:val="20"/>
              </w:rPr>
            </w:pPr>
            <w:r>
              <w:rPr>
                <w:color w:val="000000"/>
                <w:sz w:val="20"/>
              </w:rPr>
              <w:t>55</w:t>
            </w:r>
          </w:p>
        </w:tc>
        <w:tc>
          <w:tcPr>
            <w:tcW w:w="6360" w:type="dxa"/>
            <w:vAlign w:val="center"/>
          </w:tcPr>
          <w:p>
            <w:pPr>
              <w:keepLines/>
              <w:autoSpaceDE w:val="0"/>
              <w:autoSpaceDN w:val="0"/>
              <w:adjustRightInd w:val="0"/>
              <w:spacing w:before="120"/>
              <w:rPr>
                <w:color w:val="000000"/>
                <w:sz w:val="20"/>
              </w:rPr>
            </w:pPr>
            <w:r>
              <w:rPr>
                <w:color w:val="000000"/>
                <w:sz w:val="20"/>
              </w:rPr>
              <w:t>The grounds on which the AER may approve associate contracts and variations to associate contracts, including grounds different from those specified in section 147 or section 148.</w:t>
            </w:r>
          </w:p>
        </w:tc>
      </w:tr>
      <w:tr>
        <w:trPr>
          <w:cantSplit/>
        </w:trPr>
        <w:tc>
          <w:tcPr>
            <w:tcW w:w="7284" w:type="dxa"/>
            <w:gridSpan w:val="2"/>
            <w:vAlign w:val="center"/>
          </w:tcPr>
          <w:p>
            <w:pPr>
              <w:keepNext/>
              <w:keepLines/>
              <w:autoSpaceDE w:val="0"/>
              <w:autoSpaceDN w:val="0"/>
              <w:adjustRightInd w:val="0"/>
              <w:spacing w:before="120"/>
              <w:rPr>
                <w:color w:val="000000"/>
                <w:sz w:val="20"/>
              </w:rPr>
            </w:pPr>
            <w:r>
              <w:rPr>
                <w:b/>
                <w:bCs/>
                <w:color w:val="000000"/>
                <w:sz w:val="20"/>
              </w:rPr>
              <w:t>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56</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a website that contains information in relation to natural gas services.</w:t>
            </w:r>
          </w:p>
        </w:tc>
      </w:tr>
      <w:tr>
        <w:trPr>
          <w:cantSplit/>
        </w:trPr>
        <w:tc>
          <w:tcPr>
            <w:tcW w:w="924" w:type="dxa"/>
          </w:tcPr>
          <w:p>
            <w:pPr>
              <w:keepLines/>
              <w:autoSpaceDE w:val="0"/>
              <w:autoSpaceDN w:val="0"/>
              <w:adjustRightInd w:val="0"/>
              <w:spacing w:before="120"/>
              <w:rPr>
                <w:color w:val="000000"/>
                <w:sz w:val="20"/>
              </w:rPr>
            </w:pPr>
            <w:r>
              <w:rPr>
                <w:color w:val="000000"/>
                <w:sz w:val="20"/>
              </w:rPr>
              <w:t>57</w:t>
            </w:r>
          </w:p>
        </w:tc>
        <w:tc>
          <w:tcPr>
            <w:tcW w:w="6360" w:type="dxa"/>
            <w:vAlign w:val="center"/>
          </w:tcPr>
          <w:p>
            <w:pPr>
              <w:keepLines/>
              <w:autoSpaceDE w:val="0"/>
              <w:autoSpaceDN w:val="0"/>
              <w:adjustRightInd w:val="0"/>
              <w:spacing w:before="120"/>
              <w:rPr>
                <w:color w:val="000000"/>
                <w:sz w:val="20"/>
              </w:rPr>
            </w:pPr>
            <w:r>
              <w:rPr>
                <w:color w:val="000000"/>
                <w:sz w:val="20"/>
              </w:rPr>
              <w:t>Principles to be applied, and procedures to be followed, by the Bulletin Board operator in exercising a power or performing a function in relation to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58</w:t>
            </w:r>
          </w:p>
        </w:tc>
        <w:tc>
          <w:tcPr>
            <w:tcW w:w="6360" w:type="dxa"/>
            <w:vAlign w:val="center"/>
          </w:tcPr>
          <w:p>
            <w:pPr>
              <w:keepLines/>
              <w:autoSpaceDE w:val="0"/>
              <w:autoSpaceDN w:val="0"/>
              <w:adjustRightInd w:val="0"/>
              <w:spacing w:before="120"/>
              <w:rPr>
                <w:color w:val="000000"/>
                <w:sz w:val="20"/>
              </w:rPr>
            </w:pPr>
            <w:r>
              <w:rPr>
                <w:color w:val="000000"/>
                <w:sz w:val="20"/>
              </w:rPr>
              <w:t>The kinds of information that may or must be given to the Bulletin Board operator, the circumstances in which the information may or must be given, and the procedure for giving the information.</w:t>
            </w:r>
          </w:p>
        </w:tc>
      </w:tr>
      <w:tr>
        <w:trPr>
          <w:cantSplit/>
        </w:trPr>
        <w:tc>
          <w:tcPr>
            <w:tcW w:w="924" w:type="dxa"/>
          </w:tcPr>
          <w:p>
            <w:pPr>
              <w:keepLines/>
              <w:autoSpaceDE w:val="0"/>
              <w:autoSpaceDN w:val="0"/>
              <w:adjustRightInd w:val="0"/>
              <w:spacing w:before="120"/>
              <w:rPr>
                <w:color w:val="000000"/>
                <w:sz w:val="20"/>
              </w:rPr>
            </w:pPr>
            <w:r>
              <w:rPr>
                <w:color w:val="000000"/>
                <w:sz w:val="20"/>
              </w:rPr>
              <w:t>59</w:t>
            </w:r>
          </w:p>
        </w:tc>
        <w:tc>
          <w:tcPr>
            <w:tcW w:w="6360" w:type="dxa"/>
            <w:vAlign w:val="center"/>
          </w:tcPr>
          <w:p>
            <w:pPr>
              <w:keepLines/>
              <w:autoSpaceDE w:val="0"/>
              <w:autoSpaceDN w:val="0"/>
              <w:adjustRightInd w:val="0"/>
              <w:spacing w:before="120"/>
              <w:rPr>
                <w:color w:val="000000"/>
                <w:sz w:val="20"/>
              </w:rPr>
            </w:pPr>
            <w:r>
              <w:rPr>
                <w:color w:val="000000"/>
                <w:sz w:val="20"/>
              </w:rPr>
              <w:t>The kinds of information that may or must be included on the Natural Gas Services Bulletin Board and the manner in which information is to be dealt with before being put on the Natural Gas Services Bulletin Board, including, but not limited to, the removal of information that would identify the person who gave the information.</w:t>
            </w:r>
          </w:p>
        </w:tc>
      </w:tr>
      <w:tr>
        <w:trPr>
          <w:cantSplit/>
        </w:trPr>
        <w:tc>
          <w:tcPr>
            <w:tcW w:w="924" w:type="dxa"/>
          </w:tcPr>
          <w:p>
            <w:pPr>
              <w:keepLines/>
              <w:autoSpaceDE w:val="0"/>
              <w:autoSpaceDN w:val="0"/>
              <w:adjustRightInd w:val="0"/>
              <w:spacing w:before="120"/>
              <w:rPr>
                <w:color w:val="000000"/>
                <w:sz w:val="20"/>
              </w:rPr>
            </w:pPr>
            <w:r>
              <w:rPr>
                <w:color w:val="000000"/>
                <w:sz w:val="20"/>
              </w:rPr>
              <w:t>60</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to whom the requirement to give information does not apply and the circumstances in which the requirement does not apply, including, but not limited to, the grant of power to the Bulletin Board operator to exempt persons, or classes of persons, from that requirement.</w:t>
            </w:r>
          </w:p>
        </w:tc>
      </w:tr>
      <w:tr>
        <w:trPr>
          <w:cantSplit/>
        </w:trPr>
        <w:tc>
          <w:tcPr>
            <w:tcW w:w="924" w:type="dxa"/>
          </w:tcPr>
          <w:p>
            <w:pPr>
              <w:keepLines/>
              <w:autoSpaceDE w:val="0"/>
              <w:autoSpaceDN w:val="0"/>
              <w:adjustRightInd w:val="0"/>
              <w:spacing w:before="120"/>
              <w:rPr>
                <w:color w:val="000000"/>
                <w:sz w:val="20"/>
              </w:rPr>
            </w:pPr>
            <w:r>
              <w:rPr>
                <w:color w:val="000000"/>
                <w:sz w:val="20"/>
              </w:rPr>
              <w:t>61</w:t>
            </w:r>
          </w:p>
        </w:tc>
        <w:tc>
          <w:tcPr>
            <w:tcW w:w="6360" w:type="dxa"/>
            <w:vAlign w:val="center"/>
          </w:tcPr>
          <w:p>
            <w:pPr>
              <w:keepLines/>
              <w:autoSpaceDE w:val="0"/>
              <w:autoSpaceDN w:val="0"/>
              <w:adjustRightInd w:val="0"/>
              <w:spacing w:before="120"/>
              <w:rPr>
                <w:color w:val="000000"/>
                <w:sz w:val="20"/>
              </w:rPr>
            </w:pPr>
            <w:r>
              <w:rPr>
                <w:color w:val="000000"/>
                <w:sz w:val="20"/>
              </w:rPr>
              <w:t>The circumstances in which the requirement to give information may start to apply again to the persons, or classes of persons, mentioned in item 60.</w:t>
            </w:r>
          </w:p>
        </w:tc>
      </w:tr>
      <w:tr>
        <w:trPr>
          <w:cantSplit/>
        </w:trPr>
        <w:tc>
          <w:tcPr>
            <w:tcW w:w="924" w:type="dxa"/>
          </w:tcPr>
          <w:p>
            <w:pPr>
              <w:keepLines/>
              <w:autoSpaceDE w:val="0"/>
              <w:autoSpaceDN w:val="0"/>
              <w:adjustRightInd w:val="0"/>
              <w:spacing w:before="120"/>
              <w:rPr>
                <w:color w:val="000000"/>
                <w:sz w:val="20"/>
              </w:rPr>
            </w:pPr>
            <w:r>
              <w:rPr>
                <w:color w:val="000000"/>
                <w:sz w:val="20"/>
              </w:rPr>
              <w:t>62</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who may access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rPr>
            </w:pPr>
            <w:r>
              <w:rPr>
                <w:color w:val="000000"/>
                <w:sz w:val="20"/>
              </w:rPr>
              <w:t>63</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the persons, or classes of persons, mentioned in item 62 may access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64</w:t>
            </w:r>
          </w:p>
        </w:tc>
        <w:tc>
          <w:tcPr>
            <w:tcW w:w="6360" w:type="dxa"/>
            <w:vAlign w:val="center"/>
          </w:tcPr>
          <w:p>
            <w:pPr>
              <w:keepLines/>
              <w:autoSpaceDE w:val="0"/>
              <w:autoSpaceDN w:val="0"/>
              <w:adjustRightInd w:val="0"/>
              <w:spacing w:before="120"/>
              <w:rPr>
                <w:color w:val="000000"/>
                <w:sz w:val="20"/>
              </w:rPr>
            </w:pPr>
            <w:r>
              <w:rPr>
                <w:color w:val="000000"/>
                <w:sz w:val="20"/>
              </w:rPr>
              <w:t>The procedure for dealing with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65</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who may have access to information that was, but is no longer on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rPr>
            </w:pPr>
            <w:r>
              <w:rPr>
                <w:color w:val="000000"/>
                <w:sz w:val="20"/>
              </w:rPr>
              <w:t>66</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the persons, or classes of persons, mentioned in item 65 may have access to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67</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service providers, or classes of service providers, may recover amounts from the Bulletin Board operator for aggregating Bulletin Board information for the Bulletin Board operator.</w:t>
            </w:r>
          </w:p>
        </w:tc>
      </w:tr>
      <w:tr>
        <w:trPr>
          <w:cantSplit/>
        </w:trPr>
        <w:tc>
          <w:tcPr>
            <w:tcW w:w="924" w:type="dxa"/>
          </w:tcPr>
          <w:p>
            <w:pPr>
              <w:keepLines/>
              <w:autoSpaceDE w:val="0"/>
              <w:autoSpaceDN w:val="0"/>
              <w:adjustRightInd w:val="0"/>
              <w:spacing w:before="120"/>
              <w:rPr>
                <w:color w:val="000000"/>
                <w:sz w:val="20"/>
              </w:rPr>
            </w:pPr>
            <w:r>
              <w:rPr>
                <w:color w:val="000000"/>
                <w:sz w:val="20"/>
              </w:rPr>
              <w:t>68</w:t>
            </w:r>
          </w:p>
        </w:tc>
        <w:tc>
          <w:tcPr>
            <w:tcW w:w="6360" w:type="dxa"/>
            <w:vAlign w:val="center"/>
          </w:tcPr>
          <w:p>
            <w:pPr>
              <w:keepLines/>
              <w:autoSpaceDE w:val="0"/>
              <w:autoSpaceDN w:val="0"/>
              <w:adjustRightInd w:val="0"/>
              <w:spacing w:before="120"/>
              <w:rPr>
                <w:color w:val="000000"/>
                <w:sz w:val="20"/>
              </w:rPr>
            </w:pPr>
            <w:r>
              <w:rPr>
                <w:color w:val="000000"/>
                <w:sz w:val="20"/>
              </w:rPr>
              <w:t>Matters mentioned in items 56 to 67, in so far as they relate to emergency situations.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Miscellaneous</w:t>
            </w:r>
          </w:p>
        </w:tc>
      </w:tr>
      <w:tr>
        <w:trPr>
          <w:cantSplit/>
        </w:trPr>
        <w:tc>
          <w:tcPr>
            <w:tcW w:w="924" w:type="dxa"/>
          </w:tcPr>
          <w:p>
            <w:pPr>
              <w:keepLines/>
              <w:autoSpaceDE w:val="0"/>
              <w:autoSpaceDN w:val="0"/>
              <w:adjustRightInd w:val="0"/>
              <w:spacing w:before="120"/>
              <w:rPr>
                <w:color w:val="000000"/>
                <w:sz w:val="20"/>
              </w:rPr>
            </w:pPr>
            <w:r>
              <w:rPr>
                <w:color w:val="000000"/>
                <w:sz w:val="20"/>
              </w:rPr>
              <w:t>69</w:t>
            </w:r>
          </w:p>
        </w:tc>
        <w:tc>
          <w:tcPr>
            <w:tcW w:w="6360" w:type="dxa"/>
            <w:vAlign w:val="center"/>
          </w:tcPr>
          <w:p>
            <w:pPr>
              <w:keepLines/>
              <w:autoSpaceDE w:val="0"/>
              <w:autoSpaceDN w:val="0"/>
              <w:adjustRightInd w:val="0"/>
              <w:spacing w:before="120"/>
              <w:rPr>
                <w:color w:val="000000"/>
                <w:sz w:val="20"/>
              </w:rPr>
            </w:pPr>
            <w:r>
              <w:rPr>
                <w:color w:val="000000"/>
                <w:sz w:val="20"/>
              </w:rPr>
              <w:t>Specification of pipeline services as reference services.</w:t>
            </w:r>
          </w:p>
        </w:tc>
      </w:tr>
      <w:tr>
        <w:trPr>
          <w:cantSplit/>
        </w:trPr>
        <w:tc>
          <w:tcPr>
            <w:tcW w:w="924" w:type="dxa"/>
          </w:tcPr>
          <w:p>
            <w:pPr>
              <w:keepLines/>
              <w:autoSpaceDE w:val="0"/>
              <w:autoSpaceDN w:val="0"/>
              <w:adjustRightInd w:val="0"/>
              <w:spacing w:before="120"/>
              <w:rPr>
                <w:color w:val="000000"/>
                <w:sz w:val="20"/>
              </w:rPr>
            </w:pPr>
            <w:r>
              <w:rPr>
                <w:color w:val="000000"/>
                <w:sz w:val="20"/>
              </w:rPr>
              <w:t>70</w:t>
            </w:r>
          </w:p>
        </w:tc>
        <w:tc>
          <w:tcPr>
            <w:tcW w:w="6360" w:type="dxa"/>
            <w:vAlign w:val="center"/>
          </w:tcPr>
          <w:p>
            <w:pPr>
              <w:keepLines/>
              <w:autoSpaceDE w:val="0"/>
              <w:autoSpaceDN w:val="0"/>
              <w:adjustRightInd w:val="0"/>
              <w:spacing w:before="120"/>
              <w:rPr>
                <w:color w:val="000000"/>
                <w:sz w:val="20"/>
              </w:rPr>
            </w:pPr>
            <w:r>
              <w:rPr>
                <w:color w:val="000000"/>
                <w:sz w:val="20"/>
              </w:rPr>
              <w:t>The preparation (including public consultation) and publication by the AER of discussion papers relating to the AER’s functions and powers under this Law and the Rules.</w:t>
            </w:r>
          </w:p>
        </w:tc>
      </w:tr>
      <w:tr>
        <w:trPr>
          <w:cantSplit/>
        </w:trPr>
        <w:tc>
          <w:tcPr>
            <w:tcW w:w="924" w:type="dxa"/>
          </w:tcPr>
          <w:p>
            <w:pPr>
              <w:keepLines/>
              <w:autoSpaceDE w:val="0"/>
              <w:autoSpaceDN w:val="0"/>
              <w:adjustRightInd w:val="0"/>
              <w:spacing w:before="120"/>
              <w:rPr>
                <w:color w:val="000000"/>
                <w:sz w:val="20"/>
              </w:rPr>
            </w:pPr>
            <w:r>
              <w:rPr>
                <w:color w:val="000000"/>
                <w:sz w:val="20"/>
              </w:rPr>
              <w:t>71</w:t>
            </w:r>
          </w:p>
        </w:tc>
        <w:tc>
          <w:tcPr>
            <w:tcW w:w="6360" w:type="dxa"/>
            <w:vAlign w:val="center"/>
          </w:tcPr>
          <w:p>
            <w:pPr>
              <w:keepLines/>
              <w:autoSpaceDE w:val="0"/>
              <w:autoSpaceDN w:val="0"/>
              <w:adjustRightInd w:val="0"/>
              <w:spacing w:before="120"/>
              <w:rPr>
                <w:color w:val="000000"/>
                <w:sz w:val="20"/>
              </w:rPr>
            </w:pPr>
            <w:r>
              <w:rPr>
                <w:color w:val="000000"/>
                <w:sz w:val="20"/>
              </w:rPr>
              <w:t>Reviews by or on behalf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or the AEMC;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any other person appointed, in accordance with the Rules.</w:t>
            </w:r>
          </w:p>
        </w:tc>
      </w:tr>
      <w:tr>
        <w:trPr>
          <w:cantSplit/>
        </w:trPr>
        <w:tc>
          <w:tcPr>
            <w:tcW w:w="924" w:type="dxa"/>
          </w:tcPr>
          <w:p>
            <w:pPr>
              <w:keepLines/>
              <w:autoSpaceDE w:val="0"/>
              <w:autoSpaceDN w:val="0"/>
              <w:adjustRightInd w:val="0"/>
              <w:spacing w:before="120"/>
              <w:rPr>
                <w:color w:val="000000"/>
                <w:sz w:val="20"/>
              </w:rPr>
            </w:pPr>
            <w:r>
              <w:rPr>
                <w:color w:val="000000"/>
                <w:sz w:val="20"/>
              </w:rPr>
              <w:t>72</w:t>
            </w:r>
          </w:p>
        </w:tc>
        <w:tc>
          <w:tcPr>
            <w:tcW w:w="6360" w:type="dxa"/>
            <w:vAlign w:val="center"/>
          </w:tcPr>
          <w:p>
            <w:pPr>
              <w:keepLines/>
              <w:autoSpaceDE w:val="0"/>
              <w:autoSpaceDN w:val="0"/>
              <w:adjustRightInd w:val="0"/>
              <w:spacing w:before="120"/>
              <w:rPr>
                <w:color w:val="000000"/>
                <w:sz w:val="20"/>
              </w:rPr>
            </w:pPr>
            <w:r>
              <w:rPr>
                <w:color w:val="000000"/>
                <w:sz w:val="20"/>
              </w:rPr>
              <w:t>Reporting and disclosing information to the AER.</w:t>
            </w:r>
          </w:p>
        </w:tc>
      </w:tr>
      <w:tr>
        <w:trPr>
          <w:cantSplit/>
        </w:trPr>
        <w:tc>
          <w:tcPr>
            <w:tcW w:w="924" w:type="dxa"/>
          </w:tcPr>
          <w:p>
            <w:pPr>
              <w:keepLines/>
              <w:autoSpaceDE w:val="0"/>
              <w:autoSpaceDN w:val="0"/>
              <w:adjustRightInd w:val="0"/>
              <w:spacing w:before="120"/>
              <w:rPr>
                <w:color w:val="000000"/>
                <w:sz w:val="20"/>
              </w:rPr>
            </w:pPr>
            <w:r>
              <w:rPr>
                <w:color w:val="000000"/>
                <w:sz w:val="20"/>
              </w:rPr>
              <w:t>73</w:t>
            </w:r>
          </w:p>
        </w:tc>
        <w:tc>
          <w:tcPr>
            <w:tcW w:w="6360" w:type="dxa"/>
            <w:vAlign w:val="center"/>
          </w:tcPr>
          <w:p>
            <w:pPr>
              <w:keepLines/>
              <w:autoSpaceDE w:val="0"/>
              <w:autoSpaceDN w:val="0"/>
              <w:adjustRightInd w:val="0"/>
              <w:spacing w:before="120"/>
              <w:rPr>
                <w:color w:val="000000"/>
                <w:sz w:val="20"/>
              </w:rPr>
            </w:pPr>
            <w:r>
              <w:rPr>
                <w:color w:val="000000"/>
                <w:sz w:val="20"/>
              </w:rPr>
              <w:t>Procedure to be followed by the NCC or a relevant Minister in dealing with an application for—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 coverage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 coverage revocation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 15</w:t>
            </w:r>
            <w:r>
              <w:rPr>
                <w:color w:val="000000"/>
                <w:sz w:val="20"/>
              </w:rPr>
              <w:noBreakHyphen/>
              <w:t>year no</w:t>
            </w:r>
            <w:r>
              <w:rPr>
                <w:color w:val="000000"/>
                <w:sz w:val="20"/>
              </w:rPr>
              <w:noBreakHyphen/>
              <w:t>coverage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a price regulation exemption;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a reclassification decision;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a light regulation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a determination to revoke a light regulation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74</w:t>
            </w:r>
          </w:p>
        </w:tc>
        <w:tc>
          <w:tcPr>
            <w:tcW w:w="6360" w:type="dxa"/>
            <w:vAlign w:val="center"/>
          </w:tcPr>
          <w:p>
            <w:pPr>
              <w:keepLines/>
              <w:autoSpaceDE w:val="0"/>
              <w:autoSpaceDN w:val="0"/>
              <w:adjustRightInd w:val="0"/>
              <w:spacing w:before="120"/>
              <w:rPr>
                <w:color w:val="000000"/>
                <w:sz w:val="20"/>
              </w:rPr>
            </w:pPr>
            <w:r>
              <w:rPr>
                <w:color w:val="000000"/>
                <w:sz w:val="20"/>
              </w:rPr>
              <w:t>The publication and the giving of NCC recommendations or decisions or Ministerial coverage decisions.</w:t>
            </w:r>
          </w:p>
        </w:tc>
      </w:tr>
      <w:tr>
        <w:trPr>
          <w:cantSplit/>
        </w:trPr>
        <w:tc>
          <w:tcPr>
            <w:tcW w:w="924" w:type="dxa"/>
          </w:tcPr>
          <w:p>
            <w:pPr>
              <w:keepLines/>
              <w:autoSpaceDE w:val="0"/>
              <w:autoSpaceDN w:val="0"/>
              <w:adjustRightInd w:val="0"/>
              <w:spacing w:before="120"/>
              <w:rPr>
                <w:color w:val="000000"/>
                <w:sz w:val="20"/>
              </w:rPr>
            </w:pPr>
            <w:r>
              <w:rPr>
                <w:color w:val="000000"/>
                <w:sz w:val="20"/>
              </w:rPr>
              <w:t>75</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a register by the AEMC of all previous and current—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coverage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coverage revocation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greenfields pipeline incentives;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decisions under section 99 not to make a coverage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decisions under section 106 not to make a coverage revocation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decisions under section 156 not to make a 15</w:t>
            </w:r>
            <w:r>
              <w:rPr>
                <w:color w:val="000000"/>
                <w:sz w:val="20"/>
              </w:rPr>
              <w:noBreakHyphen/>
              <w:t>year no</w:t>
            </w:r>
            <w:r>
              <w:rPr>
                <w:color w:val="000000"/>
                <w:sz w:val="20"/>
              </w:rPr>
              <w:noBreakHyphen/>
              <w:t>coverage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decisions under section 1.13 of the Gas Code that a pipeline is not covered under the old access law and Gas Code;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(h)</w:t>
            </w:r>
            <w:r>
              <w:rPr>
                <w:color w:val="000000"/>
                <w:sz w:val="20"/>
              </w:rPr>
              <w:tab/>
              <w:t>decisions under section 1.34 of the Gas Code that coverage of a covered pipeline under the old access law and Gas Code is not revoked;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(i)</w:t>
            </w:r>
            <w:r>
              <w:rPr>
                <w:color w:val="000000"/>
                <w:sz w:val="20"/>
              </w:rPr>
              <w:tab/>
              <w:t>tender approval decisions;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(j)</w:t>
            </w:r>
            <w:r>
              <w:rPr>
                <w:color w:val="000000"/>
                <w:sz w:val="20"/>
              </w:rPr>
              <w:tab/>
              <w:t>light regulation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(k)</w:t>
            </w:r>
            <w:r>
              <w:rPr>
                <w:color w:val="000000"/>
                <w:sz w:val="20"/>
              </w:rPr>
              <w:tab/>
              <w:t>decisions revoking light regulation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(l)</w:t>
            </w:r>
            <w:r>
              <w:rPr>
                <w:color w:val="000000"/>
                <w:sz w:val="20"/>
              </w:rPr>
              <w:tab/>
              <w:t>covered pipelines, including their description and classification as transmission pipelines or distribution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(m)</w:t>
            </w:r>
            <w:r>
              <w:rPr>
                <w:color w:val="000000"/>
                <w:sz w:val="20"/>
              </w:rPr>
              <w:tab/>
              <w:t>covered pipelines by means of which light regulation services are or intended to be provided;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(n)</w:t>
            </w:r>
            <w:r>
              <w:rPr>
                <w:color w:val="000000"/>
                <w:sz w:val="20"/>
              </w:rPr>
              <w:tab/>
              <w:t>international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(o)</w:t>
            </w:r>
            <w:r>
              <w:rPr>
                <w:color w:val="000000"/>
                <w:sz w:val="20"/>
              </w:rPr>
              <w:tab/>
              <w:t>applicable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76</w:t>
            </w:r>
          </w:p>
        </w:tc>
        <w:tc>
          <w:tcPr>
            <w:tcW w:w="6360" w:type="dxa"/>
            <w:vAlign w:val="center"/>
          </w:tcPr>
          <w:p>
            <w:pPr>
              <w:keepLines/>
              <w:autoSpaceDE w:val="0"/>
              <w:autoSpaceDN w:val="0"/>
              <w:adjustRightInd w:val="0"/>
              <w:spacing w:before="120"/>
              <w:rPr>
                <w:color w:val="000000"/>
                <w:sz w:val="20"/>
              </w:rPr>
            </w:pPr>
            <w:r>
              <w:rPr>
                <w:color w:val="000000"/>
                <w:sz w:val="20"/>
              </w:rPr>
              <w:t>The inclusion on the register referred to in item 75 of descriptions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all old scheme transmission pipelines and old scheme distribution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all old scheme classifications or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77</w:t>
            </w:r>
          </w:p>
        </w:tc>
        <w:tc>
          <w:tcPr>
            <w:tcW w:w="6360" w:type="dxa"/>
            <w:vAlign w:val="center"/>
          </w:tcPr>
          <w:p>
            <w:pPr>
              <w:keepLines/>
              <w:autoSpaceDE w:val="0"/>
              <w:autoSpaceDN w:val="0"/>
              <w:adjustRightInd w:val="0"/>
              <w:spacing w:before="120"/>
              <w:rPr>
                <w:color w:val="000000"/>
                <w:sz w:val="20"/>
              </w:rPr>
            </w:pPr>
            <w:r>
              <w:rPr>
                <w:color w:val="000000"/>
                <w:sz w:val="20"/>
              </w:rPr>
              <w:t>Time periods within which—</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NCC must make an NCC recommendation or decision;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must make a decision (including an AER economic regulatory decision).</w:t>
            </w:r>
          </w:p>
        </w:tc>
      </w:tr>
      <w:tr>
        <w:trPr>
          <w:cantSplit/>
        </w:trPr>
        <w:tc>
          <w:tcPr>
            <w:tcW w:w="924" w:type="dxa"/>
          </w:tcPr>
          <w:p>
            <w:pPr>
              <w:keepLines/>
              <w:autoSpaceDE w:val="0"/>
              <w:autoSpaceDN w:val="0"/>
              <w:adjustRightInd w:val="0"/>
              <w:spacing w:before="120"/>
              <w:rPr>
                <w:color w:val="000000"/>
                <w:sz w:val="20"/>
              </w:rPr>
            </w:pPr>
            <w:r>
              <w:rPr>
                <w:color w:val="000000"/>
                <w:sz w:val="20"/>
              </w:rPr>
              <w:t>78</w:t>
            </w:r>
          </w:p>
        </w:tc>
        <w:tc>
          <w:tcPr>
            <w:tcW w:w="6360" w:type="dxa"/>
            <w:vAlign w:val="center"/>
          </w:tcPr>
          <w:p>
            <w:pPr>
              <w:keepLines/>
              <w:autoSpaceDE w:val="0"/>
              <w:autoSpaceDN w:val="0"/>
              <w:adjustRightInd w:val="0"/>
              <w:spacing w:before="120"/>
              <w:rPr>
                <w:color w:val="000000"/>
                <w:sz w:val="20"/>
              </w:rPr>
            </w:pPr>
            <w:r>
              <w:rPr>
                <w:color w:val="000000"/>
                <w:sz w:val="20"/>
              </w:rPr>
              <w:t>Extensions to periods of time referred to in item 77.</w:t>
            </w:r>
          </w:p>
        </w:tc>
      </w:tr>
      <w:tr>
        <w:trPr>
          <w:cantSplit/>
        </w:trPr>
        <w:tc>
          <w:tcPr>
            <w:tcW w:w="924" w:type="dxa"/>
          </w:tcPr>
          <w:p>
            <w:pPr>
              <w:keepLines/>
              <w:autoSpaceDE w:val="0"/>
              <w:autoSpaceDN w:val="0"/>
              <w:adjustRightInd w:val="0"/>
              <w:spacing w:before="120"/>
              <w:rPr>
                <w:color w:val="000000"/>
                <w:sz w:val="20"/>
              </w:rPr>
            </w:pPr>
            <w:r>
              <w:rPr>
                <w:color w:val="000000"/>
                <w:sz w:val="20"/>
              </w:rPr>
              <w:t>79</w:t>
            </w:r>
          </w:p>
        </w:tc>
        <w:tc>
          <w:tcPr>
            <w:tcW w:w="6360" w:type="dxa"/>
            <w:vAlign w:val="center"/>
          </w:tcPr>
          <w:p>
            <w:pPr>
              <w:keepLines/>
              <w:autoSpaceDE w:val="0"/>
              <w:autoSpaceDN w:val="0"/>
              <w:adjustRightInd w:val="0"/>
              <w:spacing w:before="120"/>
              <w:rPr>
                <w:color w:val="000000"/>
                <w:sz w:val="20"/>
              </w:rPr>
            </w:pPr>
            <w:r>
              <w:rPr>
                <w:color w:val="000000"/>
                <w:sz w:val="20"/>
              </w:rPr>
              <w:t>Reports into failures to make decisions within a specified period of time and the publication of such reports.</w:t>
            </w:r>
          </w:p>
        </w:tc>
      </w:tr>
      <w:tr>
        <w:trPr>
          <w:cantSplit/>
        </w:trPr>
        <w:tc>
          <w:tcPr>
            <w:tcW w:w="924" w:type="dxa"/>
          </w:tcPr>
          <w:p>
            <w:pPr>
              <w:keepLines/>
              <w:autoSpaceDE w:val="0"/>
              <w:autoSpaceDN w:val="0"/>
              <w:adjustRightInd w:val="0"/>
              <w:spacing w:before="120"/>
              <w:rPr>
                <w:color w:val="000000"/>
                <w:sz w:val="20"/>
              </w:rPr>
            </w:pPr>
            <w:r>
              <w:rPr>
                <w:color w:val="000000"/>
                <w:sz w:val="20"/>
              </w:rPr>
              <w:t>80</w:t>
            </w:r>
          </w:p>
        </w:tc>
        <w:tc>
          <w:tcPr>
            <w:tcW w:w="6360" w:type="dxa"/>
            <w:vAlign w:val="center"/>
          </w:tcPr>
          <w:p>
            <w:pPr>
              <w:keepLines/>
              <w:autoSpaceDE w:val="0"/>
              <w:autoSpaceDN w:val="0"/>
              <w:adjustRightInd w:val="0"/>
              <w:spacing w:before="120"/>
              <w:rPr>
                <w:color w:val="000000"/>
                <w:sz w:val="20"/>
              </w:rPr>
            </w:pPr>
            <w:r>
              <w:rPr>
                <w:color w:val="000000"/>
                <w:sz w:val="20"/>
              </w:rPr>
              <w:t>Confidential information held by service providers, users, prospective users, end users, the AER, the AEMC, the NCC, the Bulletin Board operator and other persons or bodies conferred a function, or exercising a power or right, or on whom an obligation is imposed, under the Rules, and the manner and circumstances in which that information may be disclosed.</w:t>
            </w:r>
          </w:p>
        </w:tc>
      </w:tr>
      <w:tr>
        <w:trPr>
          <w:cantSplit/>
        </w:trPr>
        <w:tc>
          <w:tcPr>
            <w:tcW w:w="924" w:type="dxa"/>
          </w:tcPr>
          <w:p>
            <w:pPr>
              <w:keepLines/>
              <w:autoSpaceDE w:val="0"/>
              <w:autoSpaceDN w:val="0"/>
              <w:adjustRightInd w:val="0"/>
              <w:spacing w:before="120"/>
              <w:rPr>
                <w:color w:val="000000"/>
                <w:sz w:val="20"/>
              </w:rPr>
            </w:pPr>
            <w:r>
              <w:rPr>
                <w:color w:val="000000"/>
                <w:sz w:val="20"/>
              </w:rPr>
              <w:t>81</w:t>
            </w:r>
          </w:p>
        </w:tc>
        <w:tc>
          <w:tcPr>
            <w:tcW w:w="6360" w:type="dxa"/>
            <w:vAlign w:val="center"/>
          </w:tcPr>
          <w:p>
            <w:pPr>
              <w:keepLines/>
              <w:autoSpaceDE w:val="0"/>
              <w:autoSpaceDN w:val="0"/>
              <w:adjustRightInd w:val="0"/>
              <w:spacing w:before="120"/>
              <w:rPr>
                <w:color w:val="000000"/>
                <w:sz w:val="20"/>
              </w:rPr>
            </w:pPr>
            <w:r>
              <w:rPr>
                <w:color w:val="000000"/>
                <w:sz w:val="20"/>
              </w:rPr>
              <w:t>The modification of section 3, 8 or 10.8 of the Gas Code as those sections apply to a transitioned access arrangement (as defined in clause 1 of Schedule 3 to this Law).</w:t>
            </w:r>
          </w:p>
          <w:p>
            <w:pPr>
              <w:keepLines/>
              <w:autoSpaceDE w:val="0"/>
              <w:autoSpaceDN w:val="0"/>
              <w:adjustRightInd w:val="0"/>
              <w:spacing w:before="120"/>
              <w:ind w:left="794" w:hanging="794"/>
              <w:rPr>
                <w:b/>
                <w:bCs/>
                <w:color w:val="000000"/>
                <w:sz w:val="20"/>
              </w:rPr>
            </w:pPr>
            <w:r>
              <w:rPr>
                <w:b/>
                <w:bCs/>
                <w:color w:val="000000"/>
                <w:sz w:val="20"/>
              </w:rPr>
              <w:t>Note—</w:t>
            </w:r>
          </w:p>
          <w:p>
            <w:pPr>
              <w:keepLines/>
              <w:autoSpaceDE w:val="0"/>
              <w:autoSpaceDN w:val="0"/>
              <w:adjustRightInd w:val="0"/>
              <w:spacing w:before="120"/>
              <w:ind w:left="794"/>
              <w:rPr>
                <w:color w:val="000000"/>
                <w:sz w:val="20"/>
              </w:rPr>
            </w:pPr>
            <w:r>
              <w:rPr>
                <w:color w:val="000000"/>
                <w:sz w:val="20"/>
              </w:rPr>
              <w:t>See also clause 30 of Schedule 3 to this Law.</w:t>
            </w:r>
          </w:p>
        </w:tc>
      </w:tr>
      <w:tr>
        <w:trPr>
          <w:cantSplit/>
        </w:trPr>
        <w:tc>
          <w:tcPr>
            <w:tcW w:w="924" w:type="dxa"/>
          </w:tcPr>
          <w:p>
            <w:pPr>
              <w:keepNext/>
              <w:keepLines/>
              <w:autoSpaceDE w:val="0"/>
              <w:autoSpaceDN w:val="0"/>
              <w:adjustRightInd w:val="0"/>
              <w:spacing w:before="120"/>
              <w:rPr>
                <w:color w:val="000000"/>
                <w:sz w:val="20"/>
              </w:rPr>
            </w:pPr>
            <w:r>
              <w:rPr>
                <w:color w:val="000000"/>
                <w:sz w:val="20"/>
              </w:rPr>
              <w:t>82</w:t>
            </w:r>
          </w:p>
        </w:tc>
        <w:tc>
          <w:tcPr>
            <w:tcW w:w="6360" w:type="dxa"/>
            <w:vAlign w:val="center"/>
          </w:tcPr>
          <w:p>
            <w:pPr>
              <w:keepNext/>
              <w:keepLines/>
              <w:autoSpaceDE w:val="0"/>
              <w:autoSpaceDN w:val="0"/>
              <w:adjustRightInd w:val="0"/>
              <w:spacing w:before="120"/>
              <w:rPr>
                <w:color w:val="000000"/>
                <w:sz w:val="20"/>
              </w:rPr>
            </w:pPr>
            <w:r>
              <w:rPr>
                <w:color w:val="000000"/>
                <w:sz w:val="20"/>
              </w:rPr>
              <w:t xml:space="preserve">Any other matter or thing that is the subject of, or is of a kind dealt with by, a provision of the Gas Code as in operation and effect immediately before the commencement of </w:t>
            </w:r>
            <w:r>
              <w:rPr>
                <w:sz w:val="20"/>
              </w:rPr>
              <w:t xml:space="preserve">section 30 of the </w:t>
            </w:r>
            <w:r>
              <w:rPr>
                <w:i/>
                <w:iCs/>
                <w:sz w:val="20"/>
              </w:rPr>
              <w:t>National Gas Access (WA) Act 2009</w:t>
            </w:r>
            <w:r>
              <w:rPr>
                <w:sz w:val="20"/>
              </w:rPr>
              <w:t xml:space="preserve"> of Western Australia.</w:t>
            </w:r>
          </w:p>
        </w:tc>
      </w:tr>
      <w:tr>
        <w:trPr>
          <w:cantSplit/>
        </w:trPr>
        <w:tc>
          <w:tcPr>
            <w:tcW w:w="924" w:type="dxa"/>
          </w:tcPr>
          <w:p>
            <w:pPr>
              <w:keepNext/>
              <w:keepLines/>
              <w:autoSpaceDE w:val="0"/>
              <w:autoSpaceDN w:val="0"/>
              <w:adjustRightInd w:val="0"/>
              <w:spacing w:before="120"/>
              <w:rPr>
                <w:color w:val="000000"/>
                <w:sz w:val="20"/>
              </w:rPr>
            </w:pPr>
            <w:r>
              <w:rPr>
                <w:color w:val="000000"/>
                <w:sz w:val="20"/>
              </w:rPr>
              <w:t>83</w:t>
            </w:r>
          </w:p>
        </w:tc>
        <w:tc>
          <w:tcPr>
            <w:tcW w:w="6360" w:type="dxa"/>
            <w:vAlign w:val="center"/>
          </w:tcPr>
          <w:p>
            <w:pPr>
              <w:keepNext/>
              <w:keepLines/>
              <w:autoSpaceDE w:val="0"/>
              <w:autoSpaceDN w:val="0"/>
              <w:adjustRightInd w:val="0"/>
              <w:spacing w:before="120"/>
              <w:rPr>
                <w:color w:val="000000"/>
                <w:sz w:val="20"/>
              </w:rPr>
            </w:pPr>
            <w:r>
              <w:rPr>
                <w:color w:val="000000"/>
                <w:sz w:val="20"/>
              </w:rPr>
              <w:t>Any matter or thing relating to gas prescribed by the Regulations.</w:t>
            </w:r>
          </w:p>
        </w:tc>
      </w:tr>
    </w:tbl>
    <w:p>
      <w:pPr>
        <w:pStyle w:val="Footnotesection"/>
      </w:pPr>
      <w:r>
        <w:tab/>
        <w:t>[Schedule 1 modified: WA Act Sch. 1 cl. 14; amended: see SA Act No. 23 of 2017 s. 9 and WA Gazette 22 Dec 2017 p. 5984; SA Act No. 33 of 2018 s. 19 and WA Gazette 5 Apr 2019 p. 1007.]</w:t>
      </w:r>
    </w:p>
    <w:p>
      <w:pPr>
        <w:keepNext/>
        <w:keepLines/>
        <w:autoSpaceDE w:val="0"/>
        <w:autoSpaceDN w:val="0"/>
        <w:adjustRightInd w:val="0"/>
        <w:spacing w:before="280"/>
        <w:ind w:left="1361" w:hanging="567"/>
        <w:rPr>
          <w:b/>
          <w:bCs/>
          <w:color w:val="000000"/>
          <w:sz w:val="32"/>
          <w:szCs w:val="32"/>
        </w:rPr>
        <w:sectPr>
          <w:headerReference w:type="even" r:id="rId33"/>
          <w:headerReference w:type="default" r:id="rId34"/>
          <w:headerReference w:type="first" r:id="rId35"/>
          <w:endnotePr>
            <w:numFmt w:val="decimal"/>
          </w:endnotePr>
          <w:pgSz w:w="11907" w:h="16840" w:code="9"/>
          <w:pgMar w:top="2381" w:right="2410" w:bottom="3544" w:left="2410" w:header="720" w:footer="3380" w:gutter="0"/>
          <w:cols w:space="720"/>
          <w:docGrid w:linePitch="326"/>
        </w:sectPr>
      </w:pPr>
    </w:p>
    <w:p>
      <w:pPr>
        <w:pStyle w:val="Heading2"/>
      </w:pPr>
      <w:bookmarkStart w:id="2818" w:name="_Toc52954703"/>
      <w:bookmarkStart w:id="2819" w:name="_Toc52955999"/>
      <w:bookmarkStart w:id="2820" w:name="_Toc52957498"/>
      <w:bookmarkStart w:id="2821" w:name="_Toc52958281"/>
      <w:bookmarkStart w:id="2822" w:name="_Toc53045614"/>
      <w:bookmarkStart w:id="2823" w:name="_Toc53046397"/>
      <w:bookmarkStart w:id="2824" w:name="_Toc501634282"/>
      <w:bookmarkStart w:id="2825" w:name="_Toc501713178"/>
      <w:bookmarkStart w:id="2826" w:name="_Toc536782404"/>
      <w:bookmarkStart w:id="2827" w:name="_Toc5347463"/>
      <w:bookmarkStart w:id="2828" w:name="_Toc5364016"/>
      <w:bookmarkStart w:id="2829" w:name="_Toc5365237"/>
      <w:r>
        <w:rPr>
          <w:rStyle w:val="CharPartNo"/>
        </w:rPr>
        <w:t>Schedule 2</w:t>
      </w:r>
      <w:r>
        <w:t xml:space="preserve"> — </w:t>
      </w:r>
      <w:r>
        <w:rPr>
          <w:rStyle w:val="CharPartText"/>
        </w:rPr>
        <w:t>Miscellaneous provisions relating to interpretation</w:t>
      </w:r>
      <w:bookmarkEnd w:id="2818"/>
      <w:bookmarkEnd w:id="2819"/>
      <w:bookmarkEnd w:id="2820"/>
      <w:bookmarkEnd w:id="2821"/>
      <w:bookmarkEnd w:id="2822"/>
      <w:bookmarkEnd w:id="2823"/>
      <w:bookmarkEnd w:id="2824"/>
      <w:bookmarkEnd w:id="2825"/>
      <w:bookmarkEnd w:id="2826"/>
      <w:bookmarkEnd w:id="2827"/>
      <w:bookmarkEnd w:id="2828"/>
      <w:bookmarkEnd w:id="2829"/>
    </w:p>
    <w:p>
      <w:pPr>
        <w:keepNext/>
        <w:keepLines/>
        <w:autoSpaceDE w:val="0"/>
        <w:autoSpaceDN w:val="0"/>
        <w:adjustRightInd w:val="0"/>
        <w:spacing w:before="120"/>
        <w:ind w:left="794"/>
        <w:rPr>
          <w:color w:val="000000"/>
          <w:sz w:val="23"/>
          <w:szCs w:val="23"/>
        </w:rPr>
      </w:pPr>
      <w:r>
        <w:rPr>
          <w:color w:val="000000"/>
          <w:sz w:val="23"/>
          <w:szCs w:val="23"/>
        </w:rPr>
        <w:t>Section 20</w:t>
      </w:r>
    </w:p>
    <w:p>
      <w:pPr>
        <w:pStyle w:val="Heading3"/>
      </w:pPr>
      <w:bookmarkStart w:id="2830" w:name="_Toc52954704"/>
      <w:bookmarkStart w:id="2831" w:name="_Toc52956000"/>
      <w:bookmarkStart w:id="2832" w:name="_Toc52957499"/>
      <w:bookmarkStart w:id="2833" w:name="_Toc52958282"/>
      <w:bookmarkStart w:id="2834" w:name="_Toc53045615"/>
      <w:bookmarkStart w:id="2835" w:name="_Toc53046398"/>
      <w:bookmarkStart w:id="2836" w:name="_Toc501634283"/>
      <w:bookmarkStart w:id="2837" w:name="_Toc501713179"/>
      <w:bookmarkStart w:id="2838" w:name="_Toc536782405"/>
      <w:bookmarkStart w:id="2839" w:name="_Toc5347464"/>
      <w:bookmarkStart w:id="2840" w:name="_Toc5364017"/>
      <w:bookmarkStart w:id="2841" w:name="_Toc5365238"/>
      <w:r>
        <w:rPr>
          <w:rStyle w:val="CharDivNo"/>
        </w:rPr>
        <w:t>Part 1</w:t>
      </w:r>
      <w:r>
        <w:t xml:space="preserve"> — </w:t>
      </w:r>
      <w:r>
        <w:rPr>
          <w:rStyle w:val="CharDivText"/>
        </w:rPr>
        <w:t>Preliminary</w:t>
      </w:r>
      <w:bookmarkEnd w:id="2830"/>
      <w:bookmarkEnd w:id="2831"/>
      <w:bookmarkEnd w:id="2832"/>
      <w:bookmarkEnd w:id="2833"/>
      <w:bookmarkEnd w:id="2834"/>
      <w:bookmarkEnd w:id="2835"/>
      <w:bookmarkEnd w:id="2836"/>
      <w:bookmarkEnd w:id="2837"/>
      <w:bookmarkEnd w:id="2838"/>
      <w:bookmarkEnd w:id="2839"/>
      <w:bookmarkEnd w:id="2840"/>
      <w:bookmarkEnd w:id="2841"/>
    </w:p>
    <w:p>
      <w:pPr>
        <w:pStyle w:val="Heading5"/>
      </w:pPr>
      <w:bookmarkStart w:id="2842" w:name="_Toc53046399"/>
      <w:bookmarkStart w:id="2843" w:name="_Toc5365239"/>
      <w:r>
        <w:rPr>
          <w:rStyle w:val="CharSectno"/>
        </w:rPr>
        <w:t>1</w:t>
      </w:r>
      <w:r>
        <w:t>.</w:t>
      </w:r>
      <w:r>
        <w:tab/>
        <w:t>Displacement of Schedule by contrary intention</w:t>
      </w:r>
      <w:bookmarkEnd w:id="2842"/>
      <w:bookmarkEnd w:id="284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application of this Schedule to this Law, the Regulations or other statutory instrument (other than the National Gas Rules) may be displaced, wholly or partly, by a contrary intention appearing in this Law or the Regulations or that statutory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application of this Schedule to the National Gas Rules (other than clauses 7, 12, 15, 17, 19 and 20, 23 to 26 and 31 to 44, 49, 52 and 53 of this Schedule) may be displaced, wholly or partly, by a contrary intention appearing in the National Gas Rules.</w:t>
      </w:r>
    </w:p>
    <w:p>
      <w:pPr>
        <w:pStyle w:val="Heading3"/>
      </w:pPr>
      <w:bookmarkStart w:id="2844" w:name="_Toc52954706"/>
      <w:bookmarkStart w:id="2845" w:name="_Toc52956002"/>
      <w:bookmarkStart w:id="2846" w:name="_Toc52957501"/>
      <w:bookmarkStart w:id="2847" w:name="_Toc52958284"/>
      <w:bookmarkStart w:id="2848" w:name="_Toc53045617"/>
      <w:bookmarkStart w:id="2849" w:name="_Toc53046400"/>
      <w:bookmarkStart w:id="2850" w:name="_Toc501634285"/>
      <w:bookmarkStart w:id="2851" w:name="_Toc501713181"/>
      <w:bookmarkStart w:id="2852" w:name="_Toc536782407"/>
      <w:bookmarkStart w:id="2853" w:name="_Toc5347466"/>
      <w:bookmarkStart w:id="2854" w:name="_Toc5364019"/>
      <w:bookmarkStart w:id="2855" w:name="_Toc5365240"/>
      <w:r>
        <w:rPr>
          <w:rStyle w:val="CharDivNo"/>
        </w:rPr>
        <w:t>Part 2</w:t>
      </w:r>
      <w:r>
        <w:t xml:space="preserve"> — </w:t>
      </w:r>
      <w:r>
        <w:rPr>
          <w:rStyle w:val="CharDivText"/>
        </w:rPr>
        <w:t>General</w:t>
      </w:r>
      <w:bookmarkEnd w:id="2844"/>
      <w:bookmarkEnd w:id="2845"/>
      <w:bookmarkEnd w:id="2846"/>
      <w:bookmarkEnd w:id="2847"/>
      <w:bookmarkEnd w:id="2848"/>
      <w:bookmarkEnd w:id="2849"/>
      <w:bookmarkEnd w:id="2850"/>
      <w:bookmarkEnd w:id="2851"/>
      <w:bookmarkEnd w:id="2852"/>
      <w:bookmarkEnd w:id="2853"/>
      <w:bookmarkEnd w:id="2854"/>
      <w:bookmarkEnd w:id="2855"/>
    </w:p>
    <w:p>
      <w:pPr>
        <w:pStyle w:val="Heading5"/>
      </w:pPr>
      <w:bookmarkStart w:id="2856" w:name="_Toc53046401"/>
      <w:bookmarkStart w:id="2857" w:name="_Toc5365241"/>
      <w:r>
        <w:rPr>
          <w:rStyle w:val="CharSectno"/>
        </w:rPr>
        <w:t>2</w:t>
      </w:r>
      <w:r>
        <w:t>.</w:t>
      </w:r>
      <w:r>
        <w:tab/>
        <w:t>Law to be construed not to exceed legislative power of Legislature</w:t>
      </w:r>
      <w:bookmarkEnd w:id="2856"/>
      <w:bookmarkEnd w:id="285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Law is to be construed as operating to the full extent of, but so as not to exceed, the legislative power of the Legislature of this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this Law, or the application of a provision of this Law to a person, subject matter or circumstance, would, but for this clause, be construed as being in excess of the legislative power of the Legislature of this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the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this Law,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subclause (2), this Law is not to be construed as imposing any duty on the Commonwealth Minister, the NCC, the Australian Competition Tribunal or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particular, if a provision of this Law appears to impose a duty on the Commonwealth Minister, the NCC, the Australian Competition Tribunal or AER to perform a function or exercise a power in matters or circumstances in which the assumption of the duty cannot be validly authorised under the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acts or omissions of corporations to which section 51(xx) of the </w:t>
      </w:r>
      <w:r>
        <w:rPr>
          <w:i/>
          <w:iCs/>
          <w:color w:val="000000"/>
          <w:sz w:val="23"/>
          <w:szCs w:val="23"/>
        </w:rPr>
        <w:t>Constitution of the Commonwealth</w:t>
      </w:r>
      <w:r>
        <w:rPr>
          <w:color w:val="000000"/>
          <w:sz w:val="23"/>
          <w:szCs w:val="23"/>
        </w:rPr>
        <w:t xml:space="preserve">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clause does not limit the effect that a provision of this Law would validly have apart from this clause.</w:t>
      </w:r>
    </w:p>
    <w:p>
      <w:pPr>
        <w:pStyle w:val="Heading5"/>
      </w:pPr>
      <w:bookmarkStart w:id="2858" w:name="_Toc53046402"/>
      <w:bookmarkStart w:id="2859" w:name="_Toc5365242"/>
      <w:r>
        <w:rPr>
          <w:rStyle w:val="CharSectno"/>
        </w:rPr>
        <w:t>3</w:t>
      </w:r>
      <w:r>
        <w:t>.</w:t>
      </w:r>
      <w:r>
        <w:tab/>
        <w:t>Vacant provision</w:t>
      </w:r>
      <w:bookmarkEnd w:id="2858"/>
      <w:bookmarkEnd w:id="2859"/>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There is no clause 3.</w:t>
      </w:r>
    </w:p>
    <w:p>
      <w:pPr>
        <w:pStyle w:val="Heading5"/>
      </w:pPr>
      <w:bookmarkStart w:id="2860" w:name="_Toc53046403"/>
      <w:bookmarkStart w:id="2861" w:name="_Toc5365243"/>
      <w:r>
        <w:rPr>
          <w:rStyle w:val="CharSectno"/>
        </w:rPr>
        <w:t>4</w:t>
      </w:r>
      <w:r>
        <w:t>.</w:t>
      </w:r>
      <w:r>
        <w:tab/>
        <w:t>Material that is, and is not, part of Law</w:t>
      </w:r>
      <w:bookmarkEnd w:id="2860"/>
      <w:bookmarkEnd w:id="286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heading to a Chapter, Part, Division or Subdivision into which this Law is divided is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Schedule to this Law is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heading to a section or subsection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note at the foot of a provision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An example (being an example at the foot of a provision of this Law under the heading “Example” or “Examples”) does not form part of this Law.</w:t>
      </w:r>
    </w:p>
    <w:p>
      <w:pPr>
        <w:pStyle w:val="Heading5"/>
      </w:pPr>
      <w:bookmarkStart w:id="2862" w:name="_Toc53046404"/>
      <w:bookmarkStart w:id="2863" w:name="_Toc5365244"/>
      <w:r>
        <w:rPr>
          <w:rStyle w:val="CharSectno"/>
        </w:rPr>
        <w:t>5</w:t>
      </w:r>
      <w:r>
        <w:t>.</w:t>
      </w:r>
      <w:r>
        <w:tab/>
        <w:t>References to particular Acts and to enactments</w:t>
      </w:r>
      <w:bookmarkEnd w:id="2862"/>
      <w:bookmarkEnd w:id="2863"/>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Act of this jurisdiction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an Act of this jurisdiction for the citation of such an Act;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Commonwealth Act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 Commonwealth Act for the citation of such an Act,</w:t>
      </w:r>
    </w:p>
    <w:p>
      <w:pPr>
        <w:keepLines/>
        <w:autoSpaceDE w:val="0"/>
        <w:autoSpaceDN w:val="0"/>
        <w:adjustRightInd w:val="0"/>
        <w:spacing w:before="120"/>
        <w:ind w:left="2382"/>
        <w:rPr>
          <w:color w:val="000000"/>
          <w:sz w:val="23"/>
          <w:szCs w:val="23"/>
        </w:rPr>
      </w:pPr>
      <w:r>
        <w:rPr>
          <w:color w:val="000000"/>
          <w:sz w:val="23"/>
          <w:szCs w:val="23"/>
        </w:rPr>
        <w:t>together with a reference to the Commonwealth;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Act of another jurisdiction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an Act of the jurisdiction for the citation of such an Act,</w:t>
      </w:r>
    </w:p>
    <w:p>
      <w:pPr>
        <w:keepLines/>
        <w:autoSpaceDE w:val="0"/>
        <w:autoSpaceDN w:val="0"/>
        <w:adjustRightInd w:val="0"/>
        <w:spacing w:before="120"/>
        <w:ind w:left="2382"/>
        <w:rPr>
          <w:color w:val="000000"/>
          <w:sz w:val="23"/>
          <w:szCs w:val="23"/>
        </w:rPr>
      </w:pPr>
      <w:r>
        <w:rPr>
          <w:color w:val="000000"/>
          <w:sz w:val="23"/>
          <w:szCs w:val="23"/>
        </w:rPr>
        <w:t>together with a reference to the jurisdiction.</w:t>
      </w:r>
    </w:p>
    <w:p>
      <w:pPr>
        <w:pStyle w:val="Heading5"/>
      </w:pPr>
      <w:bookmarkStart w:id="2864" w:name="_Toc53046405"/>
      <w:bookmarkStart w:id="2865" w:name="_Toc5365245"/>
      <w:r>
        <w:rPr>
          <w:rStyle w:val="CharSectno"/>
        </w:rPr>
        <w:t>6</w:t>
      </w:r>
      <w:r>
        <w:t>.</w:t>
      </w:r>
      <w:r>
        <w:tab/>
        <w:t>References taken to be included in Act or Law citation etc</w:t>
      </w:r>
      <w:bookmarkEnd w:id="2864"/>
      <w:bookmarkEnd w:id="286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reference in this Law to an Act includes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Act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Act has been repealed and re</w:t>
      </w:r>
      <w:r>
        <w:rPr>
          <w:color w:val="000000"/>
          <w:sz w:val="23"/>
          <w:szCs w:val="23"/>
        </w:rPr>
        <w:noBreakHyphen/>
        <w:t>enacted (with or without modification) since the enactment of the reference, the Act as re</w:t>
      </w:r>
      <w:r>
        <w:rPr>
          <w:color w:val="000000"/>
          <w:sz w:val="23"/>
          <w:szCs w:val="23"/>
        </w:rPr>
        <w:noBreakHyphen/>
        <w:t>enacted, and as amended from time to time since its re</w:t>
      </w:r>
      <w:r>
        <w:rPr>
          <w:color w:val="000000"/>
          <w:sz w:val="23"/>
          <w:szCs w:val="23"/>
        </w:rPr>
        <w:noBreakHyphen/>
        <w:t>enactment.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reference in this Law to a provision of this Law or of an Act includes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provision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provision has been omitted and re</w:t>
      </w:r>
      <w:r>
        <w:rPr>
          <w:color w:val="000000"/>
          <w:sz w:val="23"/>
          <w:szCs w:val="23"/>
        </w:rPr>
        <w:noBreakHyphen/>
        <w:t>enacted (with or without modification) since the enactment of the reference, the provision as re</w:t>
      </w:r>
      <w:r>
        <w:rPr>
          <w:color w:val="000000"/>
          <w:sz w:val="23"/>
          <w:szCs w:val="23"/>
        </w:rPr>
        <w:noBreakHyphen/>
        <w:t>enacted, and as amended from time to time since its re</w:t>
      </w:r>
      <w:r>
        <w:rPr>
          <w:color w:val="000000"/>
          <w:sz w:val="23"/>
          <w:szCs w:val="23"/>
        </w:rPr>
        <w:noBreakHyphen/>
        <w:t>enactment.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Subclauses (1) and (2) apply to a reference in this Law to a law of the Commonwealth or another jurisdiction as they apply to a reference in this Law to an Act and to a provision of an Act.</w:t>
      </w:r>
    </w:p>
    <w:p>
      <w:pPr>
        <w:pStyle w:val="Heading5"/>
      </w:pPr>
      <w:bookmarkStart w:id="2866" w:name="_Toc53046406"/>
      <w:bookmarkStart w:id="2867" w:name="_Toc5365246"/>
      <w:r>
        <w:rPr>
          <w:rStyle w:val="CharSectno"/>
        </w:rPr>
        <w:t>7</w:t>
      </w:r>
      <w:r>
        <w:t>.</w:t>
      </w:r>
      <w:r>
        <w:tab/>
        <w:t>Interpretation best achieving Law’s purpose</w:t>
      </w:r>
      <w:bookmarkEnd w:id="2866"/>
      <w:bookmarkEnd w:id="286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the interpretation of a provision of this Law, the interpretation that will best achieve the purpose or object of this Law is to be preferred to any other interpretation.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applies whether or not the purpose is expressly stated in this Law.</w:t>
      </w:r>
    </w:p>
    <w:p>
      <w:pPr>
        <w:pStyle w:val="Heading5"/>
      </w:pPr>
      <w:bookmarkStart w:id="2868" w:name="_Toc53046407"/>
      <w:bookmarkStart w:id="2869" w:name="_Toc5365247"/>
      <w:r>
        <w:rPr>
          <w:rStyle w:val="CharSectno"/>
        </w:rPr>
        <w:t>8</w:t>
      </w:r>
      <w:r>
        <w:t>.</w:t>
      </w:r>
      <w:r>
        <w:tab/>
        <w:t>Use of extrinsic material in interpretation</w:t>
      </w:r>
      <w:bookmarkEnd w:id="2868"/>
      <w:bookmarkEnd w:id="286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Law extrinsic material</w:t>
      </w:r>
      <w:r>
        <w:rPr>
          <w:bCs/>
          <w:i/>
          <w:iCs/>
          <w:color w:val="000000"/>
          <w:sz w:val="23"/>
          <w:szCs w:val="23"/>
        </w:rPr>
        <w:t xml:space="preserve"> </w:t>
      </w:r>
      <w:r>
        <w:rPr>
          <w:color w:val="000000"/>
          <w:sz w:val="23"/>
          <w:szCs w:val="23"/>
        </w:rPr>
        <w:t>means relevant material not forming part of this Law, including, for example—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material that is set out in the document containing the text of this Law as printed by authority of the Government Printer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relevant report of a committee of the Legislative Council or House of Assembly of South Australia that was made to the Legislative Council or House of Assembly of South Australia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explanatory note or memorandum relating to the Bill that contained the provision, or any relevant document, that was laid before, or given to the members of, the Legislative Council or House of Assembly of South Australia by the member bringing in the Bill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speech made to the Legislative Council or House of Assembly of South Australia by the member in moving a motion that the Bill be read a second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material in the Votes and Proceedings of the Legislative Council or House of Assembly of South Australia or in any official record of debates in the Legislative Council or House of Assembly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document that is declared by the Regulations to be a relevant document for the purposes of this clause;</w:t>
      </w:r>
    </w:p>
    <w:p>
      <w:pPr>
        <w:keepLines/>
        <w:autoSpaceDE w:val="0"/>
        <w:autoSpaceDN w:val="0"/>
        <w:adjustRightInd w:val="0"/>
        <w:spacing w:before="120"/>
        <w:ind w:left="1588"/>
        <w:rPr>
          <w:color w:val="000000"/>
          <w:sz w:val="23"/>
          <w:szCs w:val="23"/>
        </w:rPr>
      </w:pPr>
      <w:r>
        <w:rPr>
          <w:rStyle w:val="CharDefText"/>
          <w:bCs/>
          <w:sz w:val="23"/>
        </w:rPr>
        <w:t>ordinary meaning</w:t>
      </w:r>
      <w:r>
        <w:rPr>
          <w:bCs/>
          <w:i/>
          <w:iCs/>
          <w:color w:val="000000"/>
          <w:sz w:val="23"/>
          <w:szCs w:val="23"/>
        </w:rPr>
        <w:t xml:space="preserve"> </w:t>
      </w:r>
      <w:r>
        <w:rPr>
          <w:color w:val="000000"/>
          <w:sz w:val="23"/>
          <w:szCs w:val="23"/>
        </w:rPr>
        <w:t>means the ordinary meaning conveyed by a provision having regard to its context in this Law and to the purpose of this Law;</w:t>
      </w:r>
    </w:p>
    <w:p>
      <w:pPr>
        <w:keepNext/>
        <w:keepLines/>
        <w:autoSpaceDE w:val="0"/>
        <w:autoSpaceDN w:val="0"/>
        <w:adjustRightInd w:val="0"/>
        <w:spacing w:before="120"/>
        <w:ind w:left="1588"/>
        <w:rPr>
          <w:color w:val="000000"/>
          <w:sz w:val="23"/>
          <w:szCs w:val="23"/>
        </w:rPr>
      </w:pPr>
      <w:r>
        <w:rPr>
          <w:rStyle w:val="CharDefText"/>
          <w:bCs/>
          <w:sz w:val="23"/>
        </w:rPr>
        <w:t>Rule extrinsic material</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draft Rule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final Rule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document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relied on by the AEMC in making a draft Rule determination or final Rule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adopted by the AEMC in making a draft Rule determination or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subclause (3), in the interpretation of a provision of this Law, consideration may be given to Law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Subject to subclause (4), in the interpretation of a provision of the Rules, consideration may be given to Law extrinsic material or Rule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determining whether consideration should be given to Law extrinsic material or Rule extrinsic material, and in determining the weight to be given to Law extrinsic material or Rule extrinsic material, regard is to be had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desirability of a provision being interpreted as having its ordinary meaning;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undesirability of prolonging proceedings without compensating advantage;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other relevant matters.</w:t>
      </w:r>
    </w:p>
    <w:p>
      <w:pPr>
        <w:pStyle w:val="Heading5"/>
      </w:pPr>
      <w:bookmarkStart w:id="2870" w:name="_Toc53046408"/>
      <w:bookmarkStart w:id="2871" w:name="_Toc5365248"/>
      <w:r>
        <w:rPr>
          <w:rStyle w:val="CharSectno"/>
        </w:rPr>
        <w:t>9</w:t>
      </w:r>
      <w:r>
        <w:t>.</w:t>
      </w:r>
      <w:r>
        <w:tab/>
        <w:t>Compliance with forms</w:t>
      </w:r>
      <w:bookmarkEnd w:id="2870"/>
      <w:bookmarkEnd w:id="287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form is prescribed or approved by or for the purpose of this Law, strict compliance with the form is not necessary and substantial compliance is sufficient.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form prescribed or approved by or for the purpose of this Law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form to be completed in a specified way;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specified information or documents to be included in, attached to or given with the form;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form, or information or documents included in, attached to or given with the form, to be verified in a specified way,</w:t>
      </w:r>
    </w:p>
    <w:p>
      <w:pPr>
        <w:keepLines/>
        <w:autoSpaceDE w:val="0"/>
        <w:autoSpaceDN w:val="0"/>
        <w:adjustRightInd w:val="0"/>
        <w:spacing w:before="120"/>
        <w:ind w:left="1588"/>
        <w:rPr>
          <w:color w:val="000000"/>
          <w:sz w:val="23"/>
          <w:szCs w:val="23"/>
        </w:rPr>
      </w:pPr>
      <w:r>
        <w:rPr>
          <w:color w:val="000000"/>
          <w:sz w:val="23"/>
          <w:szCs w:val="23"/>
        </w:rPr>
        <w:t>the form is not properly completed unless the requirement is complied with.</w:t>
      </w:r>
    </w:p>
    <w:p>
      <w:pPr>
        <w:pStyle w:val="Heading3"/>
      </w:pPr>
      <w:bookmarkStart w:id="2872" w:name="_Toc52954715"/>
      <w:bookmarkStart w:id="2873" w:name="_Toc52956011"/>
      <w:bookmarkStart w:id="2874" w:name="_Toc52957510"/>
      <w:bookmarkStart w:id="2875" w:name="_Toc52958293"/>
      <w:bookmarkStart w:id="2876" w:name="_Toc53045626"/>
      <w:bookmarkStart w:id="2877" w:name="_Toc53046409"/>
      <w:bookmarkStart w:id="2878" w:name="_Toc501634294"/>
      <w:bookmarkStart w:id="2879" w:name="_Toc501713190"/>
      <w:bookmarkStart w:id="2880" w:name="_Toc536782416"/>
      <w:bookmarkStart w:id="2881" w:name="_Toc5347475"/>
      <w:bookmarkStart w:id="2882" w:name="_Toc5364028"/>
      <w:bookmarkStart w:id="2883" w:name="_Toc5365249"/>
      <w:r>
        <w:rPr>
          <w:rStyle w:val="CharDivNo"/>
        </w:rPr>
        <w:t>Part 3</w:t>
      </w:r>
      <w:r>
        <w:t xml:space="preserve"> — </w:t>
      </w:r>
      <w:r>
        <w:rPr>
          <w:rStyle w:val="CharDivText"/>
        </w:rPr>
        <w:t>Terms and references</w:t>
      </w:r>
      <w:bookmarkEnd w:id="2872"/>
      <w:bookmarkEnd w:id="2873"/>
      <w:bookmarkEnd w:id="2874"/>
      <w:bookmarkEnd w:id="2875"/>
      <w:bookmarkEnd w:id="2876"/>
      <w:bookmarkEnd w:id="2877"/>
      <w:bookmarkEnd w:id="2878"/>
      <w:bookmarkEnd w:id="2879"/>
      <w:bookmarkEnd w:id="2880"/>
      <w:bookmarkEnd w:id="2881"/>
      <w:bookmarkEnd w:id="2882"/>
      <w:bookmarkEnd w:id="2883"/>
    </w:p>
    <w:p>
      <w:pPr>
        <w:pStyle w:val="Heading5"/>
      </w:pPr>
      <w:bookmarkStart w:id="2884" w:name="_Toc53046410"/>
      <w:bookmarkStart w:id="2885" w:name="_Toc5365250"/>
      <w:r>
        <w:rPr>
          <w:rStyle w:val="CharSectno"/>
        </w:rPr>
        <w:t>10</w:t>
      </w:r>
      <w:r>
        <w:t>.</w:t>
      </w:r>
      <w:r>
        <w:tab/>
        <w:t>Definitions</w:t>
      </w:r>
      <w:bookmarkEnd w:id="2884"/>
      <w:bookmarkEnd w:id="2885"/>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autoSpaceDE w:val="0"/>
        <w:autoSpaceDN w:val="0"/>
        <w:adjustRightInd w:val="0"/>
        <w:spacing w:before="120"/>
        <w:ind w:left="1588"/>
        <w:rPr>
          <w:color w:val="000000"/>
          <w:sz w:val="23"/>
          <w:szCs w:val="23"/>
        </w:rPr>
      </w:pPr>
      <w:r>
        <w:rPr>
          <w:rStyle w:val="CharDefText"/>
          <w:sz w:val="23"/>
        </w:rPr>
        <w:t>Act</w:t>
      </w:r>
      <w:r>
        <w:rPr>
          <w:color w:val="000000"/>
          <w:sz w:val="23"/>
          <w:szCs w:val="23"/>
        </w:rPr>
        <w:t xml:space="preserve"> means an Act of the Legislature of this jurisdiction;</w:t>
      </w:r>
    </w:p>
    <w:p>
      <w:pPr>
        <w:keepLines/>
        <w:autoSpaceDE w:val="0"/>
        <w:autoSpaceDN w:val="0"/>
        <w:adjustRightInd w:val="0"/>
        <w:spacing w:before="120"/>
        <w:ind w:left="1588"/>
        <w:rPr>
          <w:color w:val="000000"/>
          <w:sz w:val="23"/>
          <w:szCs w:val="23"/>
        </w:rPr>
      </w:pPr>
      <w:r>
        <w:rPr>
          <w:rStyle w:val="CharDefText"/>
          <w:bCs/>
          <w:sz w:val="23"/>
        </w:rPr>
        <w:t>affidavit</w:t>
      </w:r>
      <w:r>
        <w:rPr>
          <w:color w:val="000000"/>
          <w:sz w:val="23"/>
          <w:szCs w:val="23"/>
        </w:rPr>
        <w:t>, in relation to a person allowed by law to affirm, declare or promise, includes affirmation, declaration and promise;</w:t>
      </w:r>
    </w:p>
    <w:p>
      <w:pPr>
        <w:keepNext/>
        <w:keepLines/>
        <w:autoSpaceDE w:val="0"/>
        <w:autoSpaceDN w:val="0"/>
        <w:adjustRightInd w:val="0"/>
        <w:spacing w:before="120"/>
        <w:ind w:left="1588"/>
        <w:rPr>
          <w:color w:val="000000"/>
          <w:sz w:val="23"/>
          <w:szCs w:val="23"/>
        </w:rPr>
      </w:pPr>
      <w:r>
        <w:rPr>
          <w:rStyle w:val="CharDefText"/>
          <w:bCs/>
          <w:sz w:val="23"/>
        </w:rPr>
        <w:t>amend</w:t>
      </w:r>
      <w:r>
        <w:rPr>
          <w:bCs/>
          <w:i/>
          <w:iCs/>
          <w:color w:val="000000"/>
          <w:sz w:val="23"/>
          <w:szCs w:val="23"/>
        </w:rPr>
        <w:t xml:space="preserve"> </w:t>
      </w:r>
      <w:r>
        <w:rPr>
          <w:color w:val="000000"/>
          <w:sz w:val="23"/>
          <w:szCs w:val="23"/>
        </w:rPr>
        <w:t>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omit or omit and substitute;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alter or vary;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amend by implication;</w:t>
      </w:r>
    </w:p>
    <w:p>
      <w:pPr>
        <w:keepLines/>
        <w:autoSpaceDE w:val="0"/>
        <w:autoSpaceDN w:val="0"/>
        <w:adjustRightInd w:val="0"/>
        <w:spacing w:before="120"/>
        <w:ind w:left="1588"/>
        <w:rPr>
          <w:color w:val="000000"/>
          <w:sz w:val="23"/>
          <w:szCs w:val="23"/>
        </w:rPr>
      </w:pPr>
      <w:r>
        <w:rPr>
          <w:rStyle w:val="CharDefText"/>
          <w:bCs/>
          <w:sz w:val="23"/>
        </w:rPr>
        <w:t>appoint</w:t>
      </w:r>
      <w:r>
        <w:rPr>
          <w:color w:val="000000"/>
          <w:sz w:val="23"/>
          <w:szCs w:val="23"/>
        </w:rPr>
        <w:t xml:space="preserve"> includes re</w:t>
      </w:r>
      <w:r>
        <w:rPr>
          <w:color w:val="000000"/>
          <w:sz w:val="23"/>
          <w:szCs w:val="23"/>
        </w:rPr>
        <w:noBreakHyphen/>
        <w:t>appoint;</w:t>
      </w:r>
    </w:p>
    <w:p>
      <w:pPr>
        <w:keepLines/>
        <w:autoSpaceDE w:val="0"/>
        <w:autoSpaceDN w:val="0"/>
        <w:adjustRightInd w:val="0"/>
        <w:spacing w:before="120"/>
        <w:ind w:left="1588"/>
        <w:rPr>
          <w:color w:val="000000"/>
          <w:sz w:val="23"/>
          <w:szCs w:val="23"/>
        </w:rPr>
      </w:pPr>
      <w:r>
        <w:rPr>
          <w:rStyle w:val="CharDefText"/>
          <w:bCs/>
          <w:sz w:val="23"/>
        </w:rPr>
        <w:t>breach</w:t>
      </w:r>
      <w:r>
        <w:rPr>
          <w:color w:val="000000"/>
          <w:sz w:val="23"/>
          <w:szCs w:val="23"/>
        </w:rPr>
        <w:t xml:space="preserve"> includes fail to comply with;</w:t>
      </w:r>
    </w:p>
    <w:p>
      <w:pPr>
        <w:keepNext/>
        <w:keepLines/>
        <w:autoSpaceDE w:val="0"/>
        <w:autoSpaceDN w:val="0"/>
        <w:adjustRightInd w:val="0"/>
        <w:spacing w:before="120"/>
        <w:ind w:left="1588"/>
        <w:rPr>
          <w:color w:val="000000"/>
          <w:sz w:val="23"/>
          <w:szCs w:val="23"/>
        </w:rPr>
      </w:pPr>
      <w:r>
        <w:rPr>
          <w:rStyle w:val="CharDefText"/>
          <w:bCs/>
          <w:sz w:val="23"/>
        </w:rPr>
        <w:t>business day</w:t>
      </w:r>
      <w:r>
        <w:rPr>
          <w:bCs/>
          <w:i/>
          <w:iCs/>
          <w:color w:val="000000"/>
          <w:sz w:val="23"/>
          <w:szCs w:val="23"/>
        </w:rPr>
        <w:t xml:space="preserve"> </w:t>
      </w:r>
      <w:r>
        <w:rPr>
          <w:color w:val="000000"/>
          <w:sz w:val="23"/>
          <w:szCs w:val="23"/>
        </w:rPr>
        <w:t>means a day that is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Saturday or Sunday;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observed as a public holiday on the same day in each of the participating jurisdictions (except the Commonwealth);</w:t>
      </w:r>
    </w:p>
    <w:p>
      <w:pPr>
        <w:keepNext/>
        <w:keepLines/>
        <w:autoSpaceDE w:val="0"/>
        <w:autoSpaceDN w:val="0"/>
        <w:adjustRightInd w:val="0"/>
        <w:spacing w:before="120"/>
        <w:ind w:left="1588"/>
        <w:rPr>
          <w:color w:val="000000"/>
          <w:sz w:val="23"/>
          <w:szCs w:val="23"/>
        </w:rPr>
      </w:pPr>
      <w:r>
        <w:rPr>
          <w:rStyle w:val="CharDefText"/>
          <w:bCs/>
          <w:sz w:val="23"/>
        </w:rPr>
        <w:t>calendar month</w:t>
      </w:r>
      <w:r>
        <w:rPr>
          <w:bCs/>
          <w:i/>
          <w:iCs/>
          <w:color w:val="000000"/>
          <w:sz w:val="23"/>
          <w:szCs w:val="23"/>
        </w:rPr>
        <w:t xml:space="preserve"> </w:t>
      </w:r>
      <w:r>
        <w:rPr>
          <w:color w:val="000000"/>
          <w:sz w:val="23"/>
          <w:szCs w:val="23"/>
        </w:rPr>
        <w:t>means a period starting at the beginning of any day of 1 of the 12 named months and ending—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immediately before the beginning of the corresponding day of the next named month;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there is no such corresponding day, at the end of the next named month;</w:t>
      </w:r>
    </w:p>
    <w:p>
      <w:pPr>
        <w:keepLines/>
        <w:autoSpaceDE w:val="0"/>
        <w:autoSpaceDN w:val="0"/>
        <w:adjustRightInd w:val="0"/>
        <w:spacing w:before="120"/>
        <w:ind w:left="1588"/>
        <w:rPr>
          <w:color w:val="000000"/>
          <w:sz w:val="23"/>
          <w:szCs w:val="23"/>
        </w:rPr>
      </w:pPr>
      <w:r>
        <w:rPr>
          <w:rStyle w:val="CharDefText"/>
          <w:bCs/>
          <w:sz w:val="23"/>
        </w:rPr>
        <w:t>calendar year</w:t>
      </w:r>
      <w:r>
        <w:rPr>
          <w:bCs/>
          <w:i/>
          <w:iCs/>
          <w:color w:val="000000"/>
          <w:sz w:val="23"/>
          <w:szCs w:val="23"/>
        </w:rPr>
        <w:t xml:space="preserve"> </w:t>
      </w:r>
      <w:r>
        <w:rPr>
          <w:color w:val="000000"/>
          <w:sz w:val="23"/>
          <w:szCs w:val="23"/>
        </w:rPr>
        <w:t>means a period of 12 months beginning on 1 January;</w:t>
      </w:r>
    </w:p>
    <w:p>
      <w:pPr>
        <w:keepLines/>
        <w:autoSpaceDE w:val="0"/>
        <w:autoSpaceDN w:val="0"/>
        <w:adjustRightInd w:val="0"/>
        <w:spacing w:before="120"/>
        <w:ind w:left="1588"/>
        <w:rPr>
          <w:color w:val="000000"/>
          <w:sz w:val="23"/>
          <w:szCs w:val="23"/>
        </w:rPr>
      </w:pPr>
      <w:r>
        <w:rPr>
          <w:rStyle w:val="CharDefText"/>
          <w:bCs/>
          <w:sz w:val="23"/>
        </w:rPr>
        <w:t>commencement</w:t>
      </w:r>
      <w:r>
        <w:rPr>
          <w:color w:val="000000"/>
          <w:sz w:val="23"/>
          <w:szCs w:val="23"/>
        </w:rPr>
        <w:t>, in relation to this Law or an Act or a provision of this Law or an Act, means the time at which this Law, the Act or provision comes into operation;</w:t>
      </w:r>
    </w:p>
    <w:p>
      <w:pPr>
        <w:keepLines/>
        <w:autoSpaceDE w:val="0"/>
        <w:autoSpaceDN w:val="0"/>
        <w:adjustRightInd w:val="0"/>
        <w:spacing w:before="120"/>
        <w:ind w:left="1588"/>
        <w:rPr>
          <w:color w:val="000000"/>
          <w:sz w:val="23"/>
          <w:szCs w:val="23"/>
        </w:rPr>
      </w:pPr>
      <w:r>
        <w:rPr>
          <w:rStyle w:val="CharDefText"/>
          <w:bCs/>
          <w:sz w:val="23"/>
        </w:rPr>
        <w:t>confer</w:t>
      </w:r>
      <w:r>
        <w:rPr>
          <w:color w:val="000000"/>
          <w:sz w:val="23"/>
          <w:szCs w:val="23"/>
        </w:rPr>
        <w:t>, in relation to a function, includes impose;</w:t>
      </w:r>
    </w:p>
    <w:p>
      <w:pPr>
        <w:keepLines/>
        <w:autoSpaceDE w:val="0"/>
        <w:autoSpaceDN w:val="0"/>
        <w:adjustRightInd w:val="0"/>
        <w:spacing w:before="120"/>
        <w:ind w:left="1588"/>
        <w:rPr>
          <w:color w:val="000000"/>
          <w:sz w:val="23"/>
          <w:szCs w:val="23"/>
        </w:rPr>
      </w:pPr>
      <w:r>
        <w:rPr>
          <w:rStyle w:val="CharDefText"/>
          <w:bCs/>
          <w:sz w:val="23"/>
        </w:rPr>
        <w:t>contravene</w:t>
      </w:r>
      <w:r>
        <w:rPr>
          <w:bCs/>
          <w:i/>
          <w:iCs/>
          <w:color w:val="000000"/>
          <w:sz w:val="23"/>
          <w:szCs w:val="23"/>
        </w:rPr>
        <w:t xml:space="preserve"> </w:t>
      </w:r>
      <w:r>
        <w:rPr>
          <w:color w:val="000000"/>
          <w:sz w:val="23"/>
          <w:szCs w:val="23"/>
        </w:rPr>
        <w:t>includes fail to comply with;</w:t>
      </w:r>
    </w:p>
    <w:p>
      <w:pPr>
        <w:keepNext/>
        <w:keepLines/>
        <w:autoSpaceDE w:val="0"/>
        <w:autoSpaceDN w:val="0"/>
        <w:adjustRightInd w:val="0"/>
        <w:spacing w:before="120"/>
        <w:ind w:left="1588"/>
        <w:rPr>
          <w:color w:val="000000"/>
          <w:sz w:val="23"/>
          <w:szCs w:val="23"/>
        </w:rPr>
      </w:pPr>
      <w:r>
        <w:rPr>
          <w:rStyle w:val="CharDefText"/>
          <w:bCs/>
          <w:sz w:val="23"/>
        </w:rPr>
        <w:t>definition</w:t>
      </w:r>
      <w:r>
        <w:rPr>
          <w:bCs/>
          <w:i/>
          <w:iCs/>
          <w:color w:val="000000"/>
          <w:sz w:val="23"/>
          <w:szCs w:val="23"/>
        </w:rPr>
        <w:t xml:space="preserve"> </w:t>
      </w:r>
      <w:r>
        <w:rPr>
          <w:color w:val="000000"/>
          <w:sz w:val="23"/>
          <w:szCs w:val="23"/>
        </w:rPr>
        <w:t>means a provision of this Law (however expressed)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gives a meaning to a word or expression;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extends the meaning of a word or expression;</w:t>
      </w:r>
    </w:p>
    <w:p>
      <w:pPr>
        <w:keepNext/>
        <w:keepLines/>
        <w:autoSpaceDE w:val="0"/>
        <w:autoSpaceDN w:val="0"/>
        <w:adjustRightInd w:val="0"/>
        <w:spacing w:before="120"/>
        <w:ind w:left="1588"/>
        <w:rPr>
          <w:color w:val="000000"/>
          <w:sz w:val="23"/>
          <w:szCs w:val="23"/>
        </w:rPr>
      </w:pPr>
      <w:r>
        <w:rPr>
          <w:rStyle w:val="CharDefText"/>
          <w:bCs/>
          <w:sz w:val="23"/>
        </w:rPr>
        <w:t>document</w:t>
      </w:r>
      <w:r>
        <w:rPr>
          <w:color w:val="000000"/>
          <w:sz w:val="23"/>
          <w:szCs w:val="23"/>
        </w:rPr>
        <w:t xml:space="preserve">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 paper or other material on which there is writing;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paper or other material on which there are marks, figures, symbols or perforations having a meaning for a person qualified to interpret them;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disc, tape or other article or any material from which sounds, images, writings or messages are capable of being reproduced (with or without the aid of another article or device);</w:t>
      </w:r>
    </w:p>
    <w:p>
      <w:pPr>
        <w:keepLines/>
        <w:autoSpaceDE w:val="0"/>
        <w:autoSpaceDN w:val="0"/>
        <w:adjustRightInd w:val="0"/>
        <w:spacing w:before="120"/>
        <w:ind w:left="1588"/>
        <w:rPr>
          <w:color w:val="000000"/>
          <w:sz w:val="23"/>
          <w:szCs w:val="23"/>
        </w:rPr>
      </w:pPr>
      <w:r>
        <w:rPr>
          <w:rStyle w:val="CharDefText"/>
          <w:bCs/>
          <w:sz w:val="23"/>
        </w:rPr>
        <w:t>estate</w:t>
      </w:r>
      <w:r>
        <w:rPr>
          <w:bCs/>
          <w:i/>
          <w:iCs/>
          <w:color w:val="000000"/>
          <w:sz w:val="23"/>
          <w:szCs w:val="23"/>
        </w:rPr>
        <w:t xml:space="preserve"> </w:t>
      </w:r>
      <w:r>
        <w:rPr>
          <w:color w:val="000000"/>
          <w:sz w:val="23"/>
          <w:szCs w:val="23"/>
        </w:rPr>
        <w:t>includes easement, charge, right, title, claim, demand, lien or encumbrance, whether at law or in equity;</w:t>
      </w:r>
    </w:p>
    <w:p>
      <w:pPr>
        <w:keepLines/>
        <w:autoSpaceDE w:val="0"/>
        <w:autoSpaceDN w:val="0"/>
        <w:adjustRightInd w:val="0"/>
        <w:spacing w:before="120"/>
        <w:ind w:left="1588"/>
        <w:rPr>
          <w:color w:val="000000"/>
          <w:sz w:val="23"/>
          <w:szCs w:val="23"/>
        </w:rPr>
      </w:pPr>
      <w:r>
        <w:rPr>
          <w:rStyle w:val="CharDefText"/>
          <w:bCs/>
          <w:sz w:val="23"/>
        </w:rPr>
        <w:t>expire</w:t>
      </w:r>
      <w:r>
        <w:rPr>
          <w:bCs/>
          <w:i/>
          <w:iCs/>
          <w:color w:val="000000"/>
          <w:sz w:val="23"/>
          <w:szCs w:val="23"/>
        </w:rPr>
        <w:t xml:space="preserve"> </w:t>
      </w:r>
      <w:r>
        <w:rPr>
          <w:color w:val="000000"/>
          <w:sz w:val="23"/>
          <w:szCs w:val="23"/>
        </w:rPr>
        <w:t>includes lapse or otherwise cease to have effect;</w:t>
      </w:r>
    </w:p>
    <w:p>
      <w:pPr>
        <w:keepLines/>
        <w:autoSpaceDE w:val="0"/>
        <w:autoSpaceDN w:val="0"/>
        <w:adjustRightInd w:val="0"/>
        <w:spacing w:before="120"/>
        <w:ind w:left="1588"/>
        <w:rPr>
          <w:color w:val="000000"/>
          <w:sz w:val="23"/>
          <w:szCs w:val="23"/>
        </w:rPr>
      </w:pPr>
      <w:r>
        <w:rPr>
          <w:rStyle w:val="CharDefText"/>
          <w:bCs/>
          <w:sz w:val="23"/>
        </w:rPr>
        <w:t>fail</w:t>
      </w:r>
      <w:r>
        <w:rPr>
          <w:color w:val="000000"/>
          <w:sz w:val="23"/>
          <w:szCs w:val="23"/>
        </w:rPr>
        <w:t xml:space="preserve"> includes refuse;</w:t>
      </w:r>
    </w:p>
    <w:p>
      <w:pPr>
        <w:keepLines/>
        <w:autoSpaceDE w:val="0"/>
        <w:autoSpaceDN w:val="0"/>
        <w:adjustRightInd w:val="0"/>
        <w:spacing w:before="120"/>
        <w:ind w:left="1588"/>
        <w:rPr>
          <w:color w:val="000000"/>
          <w:sz w:val="23"/>
          <w:szCs w:val="23"/>
        </w:rPr>
      </w:pPr>
      <w:r>
        <w:rPr>
          <w:rStyle w:val="CharDefText"/>
          <w:bCs/>
          <w:sz w:val="23"/>
        </w:rPr>
        <w:t>financial year</w:t>
      </w:r>
      <w:r>
        <w:rPr>
          <w:bCs/>
          <w:i/>
          <w:iCs/>
          <w:color w:val="000000"/>
          <w:sz w:val="23"/>
          <w:szCs w:val="23"/>
        </w:rPr>
        <w:t xml:space="preserve"> </w:t>
      </w:r>
      <w:r>
        <w:rPr>
          <w:color w:val="000000"/>
          <w:sz w:val="23"/>
          <w:szCs w:val="23"/>
        </w:rPr>
        <w:t>means a period of 12 months beginning on 1 July;</w:t>
      </w:r>
    </w:p>
    <w:p>
      <w:pPr>
        <w:keepLines/>
        <w:autoSpaceDE w:val="0"/>
        <w:autoSpaceDN w:val="0"/>
        <w:adjustRightInd w:val="0"/>
        <w:spacing w:before="120"/>
        <w:ind w:left="1588"/>
        <w:rPr>
          <w:color w:val="000000"/>
          <w:sz w:val="23"/>
          <w:szCs w:val="23"/>
        </w:rPr>
      </w:pPr>
      <w:r>
        <w:rPr>
          <w:rStyle w:val="CharDefText"/>
          <w:bCs/>
          <w:sz w:val="23"/>
        </w:rPr>
        <w:t>function</w:t>
      </w:r>
      <w:r>
        <w:rPr>
          <w:bCs/>
          <w:i/>
          <w:iCs/>
          <w:color w:val="000000"/>
          <w:sz w:val="23"/>
          <w:szCs w:val="23"/>
        </w:rPr>
        <w:t xml:space="preserve"> </w:t>
      </w:r>
      <w:r>
        <w:rPr>
          <w:color w:val="000000"/>
          <w:sz w:val="23"/>
          <w:szCs w:val="23"/>
        </w:rPr>
        <w:t>includes duty;</w:t>
      </w:r>
    </w:p>
    <w:p>
      <w:pPr>
        <w:keepLines/>
        <w:autoSpaceDE w:val="0"/>
        <w:autoSpaceDN w:val="0"/>
        <w:adjustRightInd w:val="0"/>
        <w:spacing w:before="120"/>
        <w:ind w:left="1588"/>
        <w:rPr>
          <w:color w:val="000000"/>
          <w:sz w:val="23"/>
          <w:szCs w:val="23"/>
        </w:rPr>
      </w:pPr>
      <w:r>
        <w:rPr>
          <w:rStyle w:val="CharDefText"/>
          <w:bCs/>
          <w:sz w:val="23"/>
        </w:rPr>
        <w:t>Gazette</w:t>
      </w:r>
      <w:r>
        <w:rPr>
          <w:bCs/>
          <w:i/>
          <w:iCs/>
          <w:color w:val="000000"/>
          <w:sz w:val="23"/>
          <w:szCs w:val="23"/>
        </w:rPr>
        <w:t xml:space="preserve"> </w:t>
      </w:r>
      <w:r>
        <w:rPr>
          <w:color w:val="000000"/>
          <w:sz w:val="23"/>
          <w:szCs w:val="23"/>
        </w:rPr>
        <w:t>means the Government Gazette of this jurisdiction;</w:t>
      </w:r>
    </w:p>
    <w:p>
      <w:pPr>
        <w:keepLines/>
        <w:autoSpaceDE w:val="0"/>
        <w:autoSpaceDN w:val="0"/>
        <w:adjustRightInd w:val="0"/>
        <w:spacing w:before="120"/>
        <w:ind w:left="1588"/>
        <w:rPr>
          <w:color w:val="000000"/>
          <w:sz w:val="23"/>
          <w:szCs w:val="23"/>
        </w:rPr>
      </w:pPr>
      <w:r>
        <w:rPr>
          <w:rStyle w:val="CharDefText"/>
          <w:bCs/>
          <w:sz w:val="23"/>
        </w:rPr>
        <w:t>instrument</w:t>
      </w:r>
      <w:r>
        <w:rPr>
          <w:bCs/>
          <w:i/>
          <w:iCs/>
          <w:color w:val="000000"/>
          <w:sz w:val="23"/>
          <w:szCs w:val="23"/>
        </w:rPr>
        <w:t xml:space="preserve"> </w:t>
      </w:r>
      <w:r>
        <w:rPr>
          <w:color w:val="000000"/>
          <w:sz w:val="23"/>
          <w:szCs w:val="23"/>
        </w:rPr>
        <w:t>includes a statutory instrument;</w:t>
      </w:r>
    </w:p>
    <w:p>
      <w:pPr>
        <w:keepNext/>
        <w:keepLines/>
        <w:autoSpaceDE w:val="0"/>
        <w:autoSpaceDN w:val="0"/>
        <w:adjustRightInd w:val="0"/>
        <w:spacing w:before="120"/>
        <w:ind w:left="1588"/>
        <w:rPr>
          <w:color w:val="000000"/>
          <w:sz w:val="23"/>
          <w:szCs w:val="23"/>
        </w:rPr>
      </w:pPr>
      <w:r>
        <w:rPr>
          <w:rStyle w:val="CharDefText"/>
          <w:bCs/>
          <w:sz w:val="23"/>
        </w:rPr>
        <w:t>interest</w:t>
      </w:r>
      <w:r>
        <w:rPr>
          <w:color w:val="000000"/>
          <w:sz w:val="23"/>
          <w:szCs w:val="23"/>
        </w:rPr>
        <w:t>, in relation to land or other property,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legal or equitable estate in the land or other property;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right, power or privilege over, or in relation to, the land or other property;</w:t>
      </w:r>
    </w:p>
    <w:p>
      <w:pPr>
        <w:keepLines/>
        <w:autoSpaceDE w:val="0"/>
        <w:autoSpaceDN w:val="0"/>
        <w:adjustRightInd w:val="0"/>
        <w:spacing w:before="120"/>
        <w:ind w:left="1588"/>
        <w:rPr>
          <w:color w:val="000000"/>
          <w:sz w:val="23"/>
          <w:szCs w:val="23"/>
        </w:rPr>
      </w:pPr>
      <w:r>
        <w:rPr>
          <w:rStyle w:val="CharDefText"/>
          <w:bCs/>
          <w:sz w:val="23"/>
        </w:rPr>
        <w:t>make</w:t>
      </w:r>
      <w:r>
        <w:rPr>
          <w:bCs/>
          <w:i/>
          <w:iCs/>
          <w:color w:val="000000"/>
          <w:sz w:val="23"/>
          <w:szCs w:val="23"/>
        </w:rPr>
        <w:t xml:space="preserve"> </w:t>
      </w:r>
      <w:r>
        <w:rPr>
          <w:color w:val="000000"/>
          <w:sz w:val="23"/>
          <w:szCs w:val="23"/>
        </w:rPr>
        <w:t>includes issue or grant;</w:t>
      </w:r>
    </w:p>
    <w:p>
      <w:pPr>
        <w:keepLines/>
        <w:autoSpaceDE w:val="0"/>
        <w:autoSpaceDN w:val="0"/>
        <w:adjustRightInd w:val="0"/>
        <w:spacing w:before="120"/>
        <w:ind w:left="1588"/>
        <w:rPr>
          <w:color w:val="000000"/>
          <w:sz w:val="23"/>
          <w:szCs w:val="23"/>
        </w:rPr>
      </w:pPr>
      <w:r>
        <w:rPr>
          <w:rStyle w:val="CharDefText"/>
          <w:bCs/>
          <w:sz w:val="23"/>
        </w:rPr>
        <w:t>minor</w:t>
      </w:r>
      <w:r>
        <w:rPr>
          <w:bCs/>
          <w:i/>
          <w:iCs/>
          <w:color w:val="000000"/>
          <w:sz w:val="23"/>
          <w:szCs w:val="23"/>
        </w:rPr>
        <w:t xml:space="preserve"> </w:t>
      </w:r>
      <w:r>
        <w:rPr>
          <w:color w:val="000000"/>
          <w:sz w:val="23"/>
          <w:szCs w:val="23"/>
        </w:rPr>
        <w:t>means an individual who is under 18 years of age;</w:t>
      </w:r>
    </w:p>
    <w:p>
      <w:pPr>
        <w:keepLines/>
        <w:autoSpaceDE w:val="0"/>
        <w:autoSpaceDN w:val="0"/>
        <w:adjustRightInd w:val="0"/>
        <w:spacing w:before="120"/>
        <w:ind w:left="1588"/>
        <w:rPr>
          <w:color w:val="000000"/>
          <w:sz w:val="23"/>
          <w:szCs w:val="23"/>
        </w:rPr>
      </w:pPr>
      <w:r>
        <w:rPr>
          <w:rStyle w:val="CharDefText"/>
          <w:bCs/>
          <w:sz w:val="23"/>
        </w:rPr>
        <w:t>modification</w:t>
      </w:r>
      <w:r>
        <w:rPr>
          <w:color w:val="000000"/>
          <w:sz w:val="23"/>
          <w:szCs w:val="23"/>
        </w:rPr>
        <w:t xml:space="preserve"> includes addition, omission or substitution;</w:t>
      </w:r>
    </w:p>
    <w:p>
      <w:pPr>
        <w:keepLines/>
        <w:autoSpaceDE w:val="0"/>
        <w:autoSpaceDN w:val="0"/>
        <w:adjustRightInd w:val="0"/>
        <w:spacing w:before="120"/>
        <w:ind w:left="1588"/>
        <w:rPr>
          <w:color w:val="000000"/>
          <w:sz w:val="23"/>
          <w:szCs w:val="23"/>
        </w:rPr>
      </w:pPr>
      <w:r>
        <w:rPr>
          <w:rStyle w:val="CharDefText"/>
          <w:bCs/>
          <w:sz w:val="23"/>
        </w:rPr>
        <w:t>month</w:t>
      </w:r>
      <w:r>
        <w:rPr>
          <w:color w:val="000000"/>
          <w:sz w:val="23"/>
          <w:szCs w:val="23"/>
        </w:rPr>
        <w:t xml:space="preserve"> means a calendar month;</w:t>
      </w:r>
    </w:p>
    <w:p>
      <w:pPr>
        <w:keepLines/>
        <w:autoSpaceDE w:val="0"/>
        <w:autoSpaceDN w:val="0"/>
        <w:adjustRightInd w:val="0"/>
        <w:spacing w:before="120"/>
        <w:ind w:left="1588"/>
        <w:rPr>
          <w:color w:val="000000"/>
          <w:sz w:val="23"/>
          <w:szCs w:val="23"/>
        </w:rPr>
      </w:pPr>
      <w:r>
        <w:rPr>
          <w:rStyle w:val="CharDefText"/>
          <w:bCs/>
          <w:sz w:val="23"/>
        </w:rPr>
        <w:t>named month</w:t>
      </w:r>
      <w:r>
        <w:rPr>
          <w:bCs/>
          <w:i/>
          <w:iCs/>
          <w:color w:val="000000"/>
          <w:sz w:val="23"/>
          <w:szCs w:val="23"/>
        </w:rPr>
        <w:t xml:space="preserve"> </w:t>
      </w:r>
      <w:r>
        <w:rPr>
          <w:color w:val="000000"/>
          <w:sz w:val="23"/>
          <w:szCs w:val="23"/>
        </w:rPr>
        <w:t>means 1 of the 12 months of the year;</w:t>
      </w:r>
    </w:p>
    <w:p>
      <w:pPr>
        <w:keepNext/>
        <w:keepLines/>
        <w:autoSpaceDE w:val="0"/>
        <w:autoSpaceDN w:val="0"/>
        <w:adjustRightInd w:val="0"/>
        <w:spacing w:before="120"/>
        <w:ind w:left="1588"/>
        <w:rPr>
          <w:color w:val="000000"/>
          <w:sz w:val="23"/>
          <w:szCs w:val="23"/>
        </w:rPr>
      </w:pPr>
      <w:r>
        <w:rPr>
          <w:rStyle w:val="CharDefText"/>
          <w:bCs/>
          <w:sz w:val="23"/>
        </w:rPr>
        <w:t>number</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number expressed in figures or words;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letter;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combination of a number so expressed and a letter;</w:t>
      </w:r>
    </w:p>
    <w:p>
      <w:pPr>
        <w:keepLines/>
        <w:autoSpaceDE w:val="0"/>
        <w:autoSpaceDN w:val="0"/>
        <w:adjustRightInd w:val="0"/>
        <w:spacing w:before="120"/>
        <w:ind w:left="1588"/>
        <w:rPr>
          <w:color w:val="000000"/>
          <w:sz w:val="23"/>
          <w:szCs w:val="23"/>
        </w:rPr>
      </w:pPr>
      <w:r>
        <w:rPr>
          <w:rStyle w:val="CharDefText"/>
          <w:bCs/>
          <w:sz w:val="23"/>
        </w:rPr>
        <w:t>oath</w:t>
      </w:r>
      <w:r>
        <w:rPr>
          <w:color w:val="000000"/>
          <w:sz w:val="23"/>
          <w:szCs w:val="23"/>
        </w:rPr>
        <w:t>, in relation to a person allowed by law to affirm, declare or promise, includes affirmation, declaration or promise;</w:t>
      </w:r>
    </w:p>
    <w:p>
      <w:pPr>
        <w:keepLines/>
        <w:autoSpaceDE w:val="0"/>
        <w:autoSpaceDN w:val="0"/>
        <w:adjustRightInd w:val="0"/>
        <w:spacing w:before="120"/>
        <w:ind w:left="1588"/>
        <w:rPr>
          <w:color w:val="000000"/>
          <w:sz w:val="23"/>
          <w:szCs w:val="23"/>
        </w:rPr>
      </w:pPr>
      <w:r>
        <w:rPr>
          <w:rStyle w:val="CharDefText"/>
          <w:bCs/>
          <w:sz w:val="23"/>
        </w:rPr>
        <w:t>office</w:t>
      </w:r>
      <w:r>
        <w:rPr>
          <w:color w:val="000000"/>
          <w:sz w:val="23"/>
          <w:szCs w:val="23"/>
        </w:rPr>
        <w:t xml:space="preserve"> includes position;</w:t>
      </w:r>
    </w:p>
    <w:p>
      <w:pPr>
        <w:keepLines/>
        <w:autoSpaceDE w:val="0"/>
        <w:autoSpaceDN w:val="0"/>
        <w:adjustRightInd w:val="0"/>
        <w:spacing w:before="120"/>
        <w:ind w:left="1588"/>
        <w:rPr>
          <w:color w:val="000000"/>
          <w:sz w:val="23"/>
          <w:szCs w:val="23"/>
        </w:rPr>
      </w:pPr>
      <w:r>
        <w:rPr>
          <w:rStyle w:val="CharDefText"/>
          <w:bCs/>
          <w:sz w:val="23"/>
        </w:rPr>
        <w:t>omit</w:t>
      </w:r>
      <w:r>
        <w:rPr>
          <w:color w:val="000000"/>
          <w:sz w:val="23"/>
          <w:szCs w:val="23"/>
        </w:rPr>
        <w:t>, in relation to a provision of this Law or an Act, includes repeal;</w:t>
      </w:r>
    </w:p>
    <w:p>
      <w:pPr>
        <w:keepLines/>
        <w:autoSpaceDE w:val="0"/>
        <w:autoSpaceDN w:val="0"/>
        <w:adjustRightInd w:val="0"/>
        <w:spacing w:before="120"/>
        <w:ind w:left="1588"/>
        <w:rPr>
          <w:color w:val="000000"/>
          <w:sz w:val="23"/>
          <w:szCs w:val="23"/>
        </w:rPr>
      </w:pPr>
      <w:r>
        <w:rPr>
          <w:rStyle w:val="CharDefText"/>
          <w:bCs/>
          <w:sz w:val="23"/>
        </w:rPr>
        <w:t>party</w:t>
      </w:r>
      <w:r>
        <w:rPr>
          <w:color w:val="000000"/>
          <w:sz w:val="23"/>
          <w:szCs w:val="23"/>
        </w:rPr>
        <w:t xml:space="preserve"> includes a body politic or body corporate as well as an individual;</w:t>
      </w:r>
    </w:p>
    <w:p>
      <w:pPr>
        <w:keepLines/>
        <w:autoSpaceDE w:val="0"/>
        <w:autoSpaceDN w:val="0"/>
        <w:adjustRightInd w:val="0"/>
        <w:spacing w:before="120"/>
        <w:ind w:left="1588"/>
        <w:rPr>
          <w:color w:val="000000"/>
          <w:sz w:val="23"/>
          <w:szCs w:val="23"/>
        </w:rPr>
      </w:pPr>
      <w:r>
        <w:rPr>
          <w:rStyle w:val="CharDefText"/>
          <w:bCs/>
          <w:sz w:val="23"/>
        </w:rPr>
        <w:t>penalty</w:t>
      </w:r>
      <w:r>
        <w:rPr>
          <w:color w:val="000000"/>
          <w:sz w:val="23"/>
          <w:szCs w:val="23"/>
        </w:rPr>
        <w:t xml:space="preserve"> includes a civil penalty, forfeiture or punishment;</w:t>
      </w:r>
    </w:p>
    <w:p>
      <w:pPr>
        <w:keepLines/>
        <w:autoSpaceDE w:val="0"/>
        <w:autoSpaceDN w:val="0"/>
        <w:adjustRightInd w:val="0"/>
        <w:spacing w:before="120"/>
        <w:ind w:left="1588"/>
        <w:rPr>
          <w:color w:val="000000"/>
          <w:sz w:val="23"/>
          <w:szCs w:val="23"/>
        </w:rPr>
      </w:pPr>
      <w:r>
        <w:rPr>
          <w:rStyle w:val="CharDefText"/>
          <w:bCs/>
          <w:sz w:val="23"/>
        </w:rPr>
        <w:t>person</w:t>
      </w:r>
      <w:r>
        <w:rPr>
          <w:color w:val="000000"/>
          <w:sz w:val="23"/>
          <w:szCs w:val="23"/>
        </w:rPr>
        <w:t xml:space="preserve"> includes a body politic or body corporate as well as an individual;</w:t>
      </w:r>
    </w:p>
    <w:p>
      <w:pPr>
        <w:keepLines/>
        <w:autoSpaceDE w:val="0"/>
        <w:autoSpaceDN w:val="0"/>
        <w:adjustRightInd w:val="0"/>
        <w:spacing w:before="120"/>
        <w:ind w:left="1588"/>
        <w:rPr>
          <w:color w:val="000000"/>
          <w:sz w:val="23"/>
          <w:szCs w:val="23"/>
        </w:rPr>
      </w:pPr>
      <w:r>
        <w:rPr>
          <w:rStyle w:val="CharDefText"/>
          <w:bCs/>
          <w:sz w:val="23"/>
        </w:rPr>
        <w:t>power</w:t>
      </w:r>
      <w:r>
        <w:rPr>
          <w:color w:val="000000"/>
          <w:sz w:val="23"/>
          <w:szCs w:val="23"/>
        </w:rPr>
        <w:t xml:space="preserve"> includes authority;</w:t>
      </w:r>
    </w:p>
    <w:p>
      <w:pPr>
        <w:keepLines/>
        <w:autoSpaceDE w:val="0"/>
        <w:autoSpaceDN w:val="0"/>
        <w:adjustRightInd w:val="0"/>
        <w:spacing w:before="120"/>
        <w:ind w:left="1588"/>
        <w:rPr>
          <w:color w:val="000000"/>
          <w:sz w:val="23"/>
          <w:szCs w:val="23"/>
        </w:rPr>
      </w:pPr>
      <w:r>
        <w:rPr>
          <w:rStyle w:val="CharDefText"/>
          <w:bCs/>
          <w:sz w:val="23"/>
        </w:rPr>
        <w:t>prescribed</w:t>
      </w:r>
      <w:r>
        <w:rPr>
          <w:color w:val="000000"/>
          <w:sz w:val="23"/>
          <w:szCs w:val="23"/>
        </w:rPr>
        <w:t xml:space="preserve"> means prescribed by the Regulations;</w:t>
      </w:r>
    </w:p>
    <w:p>
      <w:pPr>
        <w:keepLines/>
        <w:autoSpaceDE w:val="0"/>
        <w:autoSpaceDN w:val="0"/>
        <w:adjustRightInd w:val="0"/>
        <w:spacing w:before="120"/>
        <w:ind w:left="1588"/>
        <w:rPr>
          <w:color w:val="000000"/>
          <w:sz w:val="23"/>
          <w:szCs w:val="23"/>
        </w:rPr>
      </w:pPr>
      <w:r>
        <w:rPr>
          <w:rStyle w:val="CharDefText"/>
          <w:bCs/>
          <w:sz w:val="23"/>
        </w:rPr>
        <w:t>printed</w:t>
      </w:r>
      <w:r>
        <w:rPr>
          <w:color w:val="000000"/>
          <w:sz w:val="23"/>
          <w:szCs w:val="23"/>
        </w:rPr>
        <w:t xml:space="preserve"> includes typewritten, lithographed or reproduced by any mechanical means;</w:t>
      </w:r>
    </w:p>
    <w:p>
      <w:pPr>
        <w:keepLines/>
        <w:autoSpaceDE w:val="0"/>
        <w:autoSpaceDN w:val="0"/>
        <w:adjustRightInd w:val="0"/>
        <w:spacing w:before="120"/>
        <w:ind w:left="1588"/>
        <w:rPr>
          <w:color w:val="000000"/>
          <w:sz w:val="23"/>
          <w:szCs w:val="23"/>
        </w:rPr>
      </w:pPr>
      <w:r>
        <w:rPr>
          <w:rStyle w:val="CharDefText"/>
          <w:bCs/>
          <w:sz w:val="23"/>
        </w:rPr>
        <w:t>proceeding</w:t>
      </w:r>
      <w:r>
        <w:rPr>
          <w:color w:val="000000"/>
          <w:sz w:val="23"/>
          <w:szCs w:val="23"/>
        </w:rPr>
        <w:t xml:space="preserve"> means a legal or other action or proceeding;</w:t>
      </w:r>
    </w:p>
    <w:p>
      <w:pPr>
        <w:keepLines/>
        <w:autoSpaceDE w:val="0"/>
        <w:autoSpaceDN w:val="0"/>
        <w:adjustRightInd w:val="0"/>
        <w:spacing w:before="120"/>
        <w:ind w:left="1588"/>
        <w:rPr>
          <w:color w:val="000000"/>
          <w:sz w:val="23"/>
          <w:szCs w:val="23"/>
        </w:rPr>
      </w:pPr>
      <w:r>
        <w:rPr>
          <w:rStyle w:val="CharDefText"/>
          <w:bCs/>
          <w:sz w:val="23"/>
        </w:rPr>
        <w:t>property</w:t>
      </w:r>
      <w:r>
        <w:rPr>
          <w:color w:val="000000"/>
          <w:sz w:val="23"/>
          <w:szCs w:val="23"/>
        </w:rPr>
        <w:t xml:space="preserve"> means any legal or equitable estate or interest (whether present or future, vested or contingent, or tangible or intangible) in real or personal property of any description (including money), and includes things in action;</w:t>
      </w:r>
    </w:p>
    <w:p>
      <w:pPr>
        <w:keepNext/>
        <w:autoSpaceDE w:val="0"/>
        <w:autoSpaceDN w:val="0"/>
        <w:adjustRightInd w:val="0"/>
        <w:spacing w:before="120"/>
        <w:ind w:left="1588"/>
        <w:rPr>
          <w:color w:val="000000"/>
          <w:sz w:val="23"/>
          <w:szCs w:val="23"/>
        </w:rPr>
      </w:pPr>
      <w:r>
        <w:rPr>
          <w:rStyle w:val="CharDefText"/>
          <w:bCs/>
          <w:sz w:val="23"/>
        </w:rPr>
        <w:t>provision</w:t>
      </w:r>
      <w:r>
        <w:rPr>
          <w:color w:val="000000"/>
          <w:sz w:val="23"/>
          <w:szCs w:val="23"/>
        </w:rPr>
        <w:t>, in relation to this Law or an Act, means words or other matter that form or forms part of this Law or the Act, and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Part, Division, Subdivision, section, subsection, paragraph, subparagraph, subsubparagraph or Schedule of or to this Law or the 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section, clause, subclause, item, column, table or form of or in a Schedule to this Law or the 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long title and any preamble to the Act;</w:t>
      </w:r>
    </w:p>
    <w:p>
      <w:pPr>
        <w:keepLines/>
        <w:autoSpaceDE w:val="0"/>
        <w:autoSpaceDN w:val="0"/>
        <w:adjustRightInd w:val="0"/>
        <w:spacing w:before="120"/>
        <w:ind w:left="1588"/>
        <w:rPr>
          <w:color w:val="000000"/>
          <w:sz w:val="23"/>
          <w:szCs w:val="23"/>
        </w:rPr>
      </w:pPr>
      <w:r>
        <w:rPr>
          <w:rStyle w:val="CharDefText"/>
          <w:bCs/>
          <w:sz w:val="23"/>
        </w:rPr>
        <w:t>record</w:t>
      </w:r>
      <w:r>
        <w:rPr>
          <w:color w:val="000000"/>
          <w:sz w:val="23"/>
          <w:szCs w:val="23"/>
        </w:rPr>
        <w:t xml:space="preserve"> includes information stored or recorded by means of a computer;</w:t>
      </w:r>
    </w:p>
    <w:p>
      <w:pPr>
        <w:keepNext/>
        <w:keepLines/>
        <w:autoSpaceDE w:val="0"/>
        <w:autoSpaceDN w:val="0"/>
        <w:adjustRightInd w:val="0"/>
        <w:spacing w:before="120"/>
        <w:ind w:left="1588"/>
        <w:rPr>
          <w:color w:val="000000"/>
          <w:sz w:val="23"/>
          <w:szCs w:val="23"/>
        </w:rPr>
      </w:pPr>
      <w:r>
        <w:rPr>
          <w:rStyle w:val="CharDefText"/>
          <w:bCs/>
          <w:sz w:val="23"/>
        </w:rPr>
        <w:t>repeal</w:t>
      </w:r>
      <w:r>
        <w:rPr>
          <w:bCs/>
          <w:i/>
          <w:iCs/>
          <w:color w:val="000000"/>
          <w:sz w:val="23"/>
          <w:szCs w:val="23"/>
        </w:rPr>
        <w:t xml:space="preserve"> </w:t>
      </w:r>
      <w:r>
        <w:rPr>
          <w:color w:val="000000"/>
          <w:sz w:val="23"/>
          <w:szCs w:val="23"/>
        </w:rPr>
        <w:t>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revoke or rescind;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repeal by implication;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abrogate or limit the effect of the law or instrument concerned;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exclude from, or include in, the application of the law or instrument concerned, any person, subject matter or circumstance;</w:t>
      </w:r>
    </w:p>
    <w:p>
      <w:pPr>
        <w:keepLines/>
        <w:autoSpaceDE w:val="0"/>
        <w:autoSpaceDN w:val="0"/>
        <w:adjustRightInd w:val="0"/>
        <w:spacing w:before="120"/>
        <w:ind w:left="1588"/>
        <w:rPr>
          <w:color w:val="000000"/>
          <w:sz w:val="23"/>
          <w:szCs w:val="23"/>
        </w:rPr>
      </w:pPr>
      <w:r>
        <w:rPr>
          <w:rStyle w:val="CharDefText"/>
          <w:bCs/>
          <w:sz w:val="23"/>
        </w:rPr>
        <w:t>sign</w:t>
      </w:r>
      <w:r>
        <w:rPr>
          <w:color w:val="000000"/>
          <w:sz w:val="23"/>
          <w:szCs w:val="23"/>
        </w:rPr>
        <w:t xml:space="preserve"> includes the affixing of a seal or the making of a mark;</w:t>
      </w:r>
    </w:p>
    <w:p>
      <w:pPr>
        <w:keepLines/>
        <w:autoSpaceDE w:val="0"/>
        <w:autoSpaceDN w:val="0"/>
        <w:adjustRightInd w:val="0"/>
        <w:spacing w:before="120"/>
        <w:ind w:left="1588"/>
        <w:rPr>
          <w:color w:val="000000"/>
          <w:sz w:val="23"/>
          <w:szCs w:val="23"/>
        </w:rPr>
      </w:pPr>
      <w:r>
        <w:rPr>
          <w:rStyle w:val="CharDefText"/>
          <w:bCs/>
          <w:sz w:val="23"/>
        </w:rPr>
        <w:t>statutory declaration</w:t>
      </w:r>
      <w:r>
        <w:rPr>
          <w:bCs/>
          <w:i/>
          <w:iCs/>
          <w:color w:val="000000"/>
          <w:sz w:val="23"/>
          <w:szCs w:val="23"/>
        </w:rPr>
        <w:t xml:space="preserve"> </w:t>
      </w:r>
      <w:r>
        <w:rPr>
          <w:color w:val="000000"/>
          <w:sz w:val="23"/>
          <w:szCs w:val="23"/>
        </w:rPr>
        <w:t>means a declaration made under an Act, or under a Commonwealth Act or an Act of another jurisdiction, that authorises a declaration to be made otherwise than in the course of a judicial proceeding;</w:t>
      </w:r>
    </w:p>
    <w:p>
      <w:pPr>
        <w:keepLines/>
        <w:autoSpaceDE w:val="0"/>
        <w:autoSpaceDN w:val="0"/>
        <w:adjustRightInd w:val="0"/>
        <w:spacing w:before="120"/>
        <w:ind w:left="1588"/>
        <w:rPr>
          <w:color w:val="000000"/>
          <w:sz w:val="23"/>
          <w:szCs w:val="23"/>
        </w:rPr>
      </w:pPr>
      <w:r>
        <w:rPr>
          <w:rStyle w:val="CharDefText"/>
          <w:bCs/>
          <w:sz w:val="23"/>
        </w:rPr>
        <w:t>statutory instrument</w:t>
      </w:r>
      <w:r>
        <w:rPr>
          <w:bCs/>
          <w:i/>
          <w:iCs/>
          <w:color w:val="000000"/>
          <w:sz w:val="23"/>
          <w:szCs w:val="23"/>
        </w:rPr>
        <w:t xml:space="preserve"> </w:t>
      </w:r>
      <w:r>
        <w:rPr>
          <w:color w:val="000000"/>
          <w:sz w:val="23"/>
          <w:szCs w:val="23"/>
        </w:rPr>
        <w:t>means the Regulations or an instrument made or in force under this Law;</w:t>
      </w:r>
    </w:p>
    <w:p>
      <w:pPr>
        <w:keepLines/>
        <w:autoSpaceDE w:val="0"/>
        <w:autoSpaceDN w:val="0"/>
        <w:adjustRightInd w:val="0"/>
        <w:spacing w:before="120"/>
        <w:ind w:left="1588"/>
        <w:rPr>
          <w:color w:val="000000"/>
          <w:sz w:val="23"/>
          <w:szCs w:val="23"/>
        </w:rPr>
      </w:pPr>
      <w:r>
        <w:rPr>
          <w:rStyle w:val="CharDefText"/>
          <w:bCs/>
          <w:sz w:val="23"/>
        </w:rPr>
        <w:t>swear</w:t>
      </w:r>
      <w:r>
        <w:rPr>
          <w:color w:val="000000"/>
          <w:sz w:val="23"/>
          <w:szCs w:val="23"/>
        </w:rPr>
        <w:t>, in relation to a person allowed by law to affirm, declare or promise, includes affirm, declare or promise;</w:t>
      </w:r>
    </w:p>
    <w:p>
      <w:pPr>
        <w:keepLines/>
        <w:autoSpaceDE w:val="0"/>
        <w:autoSpaceDN w:val="0"/>
        <w:adjustRightInd w:val="0"/>
        <w:spacing w:before="120"/>
        <w:ind w:left="1588"/>
        <w:rPr>
          <w:color w:val="000000"/>
          <w:sz w:val="23"/>
          <w:szCs w:val="23"/>
        </w:rPr>
      </w:pPr>
      <w:r>
        <w:rPr>
          <w:rStyle w:val="CharDefText"/>
          <w:bCs/>
          <w:sz w:val="23"/>
        </w:rPr>
        <w:t>word</w:t>
      </w:r>
      <w:r>
        <w:rPr>
          <w:bCs/>
          <w:i/>
          <w:iCs/>
          <w:color w:val="000000"/>
          <w:sz w:val="23"/>
          <w:szCs w:val="23"/>
        </w:rPr>
        <w:t xml:space="preserve"> </w:t>
      </w:r>
      <w:r>
        <w:rPr>
          <w:color w:val="000000"/>
          <w:sz w:val="23"/>
          <w:szCs w:val="23"/>
        </w:rPr>
        <w:t>includes any symbol, figure or drawing;</w:t>
      </w:r>
    </w:p>
    <w:p>
      <w:pPr>
        <w:keepLines/>
        <w:autoSpaceDE w:val="0"/>
        <w:autoSpaceDN w:val="0"/>
        <w:adjustRightInd w:val="0"/>
        <w:spacing w:before="120"/>
        <w:ind w:left="1588"/>
        <w:rPr>
          <w:color w:val="000000"/>
          <w:sz w:val="23"/>
          <w:szCs w:val="23"/>
        </w:rPr>
      </w:pPr>
      <w:r>
        <w:rPr>
          <w:rStyle w:val="CharDefText"/>
          <w:bCs/>
          <w:sz w:val="23"/>
        </w:rPr>
        <w:t>writing</w:t>
      </w:r>
      <w:r>
        <w:rPr>
          <w:color w:val="000000"/>
          <w:sz w:val="23"/>
          <w:szCs w:val="23"/>
        </w:rPr>
        <w:t xml:space="preserve"> includes any mode of representing or reproducing words in a visible form.</w:t>
      </w:r>
    </w:p>
    <w:p>
      <w:pPr>
        <w:pStyle w:val="Heading5"/>
      </w:pPr>
      <w:bookmarkStart w:id="2886" w:name="_Toc53046411"/>
      <w:bookmarkStart w:id="2887" w:name="_Toc5365251"/>
      <w:r>
        <w:rPr>
          <w:rStyle w:val="CharSectno"/>
        </w:rPr>
        <w:t>11</w:t>
      </w:r>
      <w:r>
        <w:t>.</w:t>
      </w:r>
      <w:r>
        <w:tab/>
        <w:t>Provisions relating to defined terms and gender and number</w:t>
      </w:r>
      <w:bookmarkEnd w:id="2886"/>
      <w:bookmarkEnd w:id="288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defines a word or expression, other parts of speech and grammatical forms of the word or expression have corresponding meanings.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Definitions in or applicable to this Law apply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Law, words indicating a gender include each other gender.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words in the singular include the plural;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words in the plural include the singular.</w:t>
      </w:r>
    </w:p>
    <w:p>
      <w:pPr>
        <w:pStyle w:val="Heading5"/>
      </w:pPr>
      <w:bookmarkStart w:id="2888" w:name="_Toc53046412"/>
      <w:bookmarkStart w:id="2889" w:name="_Toc5365252"/>
      <w:r>
        <w:rPr>
          <w:rStyle w:val="CharSectno"/>
        </w:rPr>
        <w:t>12</w:t>
      </w:r>
      <w:r>
        <w:t>.</w:t>
      </w:r>
      <w:r>
        <w:tab/>
        <w:t>Meaning of may and must etc</w:t>
      </w:r>
      <w:bookmarkEnd w:id="2888"/>
      <w:bookmarkEnd w:id="288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 the word “may”, or a similar word or expression, used in relation to a power indicates that the power may be exercised or not exercised, at discretion.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Law, the word “must”, or a similar word or expression, used in relation to a power indicates that the power is required to be exercised.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This clause has effect despite any rule of construction to the contrary.</w:t>
      </w:r>
    </w:p>
    <w:p>
      <w:pPr>
        <w:pStyle w:val="Heading5"/>
      </w:pPr>
      <w:bookmarkStart w:id="2890" w:name="_Toc53046413"/>
      <w:bookmarkStart w:id="2891" w:name="_Toc5365253"/>
      <w:r>
        <w:rPr>
          <w:rStyle w:val="CharSectno"/>
        </w:rPr>
        <w:t>13</w:t>
      </w:r>
      <w:r>
        <w:t>.</w:t>
      </w:r>
      <w:r>
        <w:tab/>
        <w:t>Words and expressions used in statutory instruments</w:t>
      </w:r>
      <w:bookmarkEnd w:id="2890"/>
      <w:bookmarkEnd w:id="289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Words and expressions used in a statutory instrument have the same meanings as they have, from time to time, in this Law, or relevant provisions of this Law, under or for the purposes of which the instrument is made or in force.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clause has effect in relation to an instrument except so far as the contrary intention appears in the instrument.</w:t>
      </w:r>
    </w:p>
    <w:p>
      <w:pPr>
        <w:pStyle w:val="Heading5"/>
      </w:pPr>
      <w:bookmarkStart w:id="2892" w:name="_Toc53046414"/>
      <w:bookmarkStart w:id="2893" w:name="_Toc5365254"/>
      <w:r>
        <w:rPr>
          <w:rStyle w:val="CharSectno"/>
        </w:rPr>
        <w:t>14</w:t>
      </w:r>
      <w:r>
        <w:t>.</w:t>
      </w:r>
      <w:r>
        <w:tab/>
        <w:t>References to Minister</w:t>
      </w:r>
      <w:bookmarkEnd w:id="2892"/>
      <w:bookmarkEnd w:id="289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a Minister is a reference to a Minister of the Crown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a particular Minister by title, or to “the Minister” without specifying a particular Minister by title, includes a reference to another Minister, or a member of the Executive Council of this jurisdiction, who is acting for and on behalf of the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 provision of this Law, a reference to “the Minister”, without specifying a particular Minister by title is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Minister of this jurisdiction administering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for the time being, different Ministers of this jurisdiction administer the provision in relation to different matters—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if only 1 Minister of this jurisdiction administers the provision in relation to the relevant matter, the Minister;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if 2 or more Ministers of this jurisdiction administer the provision in relation to the relevant matter, any 1 of those Ministers;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paragraph (b) does not apply and, for the time being, 2 or more Ministers administer the provision, any 1 of the Ministers.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removal of doubt, it is declared that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is administered by 2 or more Ministers of this jurisdiction; and</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provision requires or permits anything to be done in relation to any of the Ministers,</w:t>
      </w:r>
    </w:p>
    <w:p>
      <w:pPr>
        <w:keepLines/>
        <w:autoSpaceDE w:val="0"/>
        <w:autoSpaceDN w:val="0"/>
        <w:adjustRightInd w:val="0"/>
        <w:spacing w:before="120"/>
        <w:ind w:left="1588"/>
        <w:rPr>
          <w:color w:val="000000"/>
          <w:sz w:val="23"/>
          <w:szCs w:val="23"/>
        </w:rPr>
      </w:pPr>
      <w:r>
        <w:rPr>
          <w:color w:val="000000"/>
          <w:sz w:val="23"/>
          <w:szCs w:val="23"/>
        </w:rPr>
        <w:t>the provision does not require or permit it to be done in a particular case by or in relation to more than 1 of the Ministers.</w:t>
      </w:r>
    </w:p>
    <w:p>
      <w:pPr>
        <w:pStyle w:val="Heading5"/>
      </w:pPr>
      <w:bookmarkStart w:id="2894" w:name="_Toc53046415"/>
      <w:bookmarkStart w:id="2895" w:name="_Toc5365255"/>
      <w:r>
        <w:rPr>
          <w:rStyle w:val="CharSectno"/>
        </w:rPr>
        <w:t>15</w:t>
      </w:r>
      <w:r>
        <w:t>.</w:t>
      </w:r>
      <w:r>
        <w:tab/>
        <w:t>Production of records kept in computers etc</w:t>
      </w:r>
      <w:bookmarkEnd w:id="2894"/>
      <w:bookmarkEnd w:id="2895"/>
    </w:p>
    <w:p>
      <w:pPr>
        <w:keepNext/>
        <w:keepLines/>
        <w:autoSpaceDE w:val="0"/>
        <w:autoSpaceDN w:val="0"/>
        <w:adjustRightInd w:val="0"/>
        <w:spacing w:before="120"/>
        <w:ind w:left="1588"/>
        <w:rPr>
          <w:color w:val="000000"/>
          <w:sz w:val="23"/>
          <w:szCs w:val="23"/>
        </w:rPr>
      </w:pPr>
      <w:r>
        <w:rPr>
          <w:color w:val="000000"/>
          <w:sz w:val="23"/>
          <w:szCs w:val="23"/>
        </w:rPr>
        <w:t>If a person who keeps a record of information by means of a mechanical, electronic or other device is required by or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produce the information or a document containing the information to a court, tribunal or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document containing the information available for inspection by a court, tribunal or person,</w:t>
      </w:r>
    </w:p>
    <w:p>
      <w:pPr>
        <w:keepLines/>
        <w:autoSpaceDE w:val="0"/>
        <w:autoSpaceDN w:val="0"/>
        <w:adjustRightInd w:val="0"/>
        <w:spacing w:before="120"/>
        <w:ind w:left="1588"/>
        <w:rPr>
          <w:color w:val="000000"/>
          <w:sz w:val="23"/>
          <w:szCs w:val="23"/>
        </w:rPr>
      </w:pPr>
      <w:r>
        <w:rPr>
          <w:color w:val="000000"/>
          <w:sz w:val="23"/>
          <w:szCs w:val="23"/>
        </w:rPr>
        <w:t>then, unless the court, tribunal or person otherwise directs—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obliges the person to produce or make available for inspection, as the case may be, a document that reproduces the information in a form capable of being understood by the court, tribunal or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production to the court, tribunal or person of the document in that form complies with the requirement.</w:t>
      </w:r>
    </w:p>
    <w:p>
      <w:pPr>
        <w:pStyle w:val="Heading5"/>
      </w:pPr>
      <w:bookmarkStart w:id="2896" w:name="_Toc53046416"/>
      <w:bookmarkStart w:id="2897" w:name="_Toc5365256"/>
      <w:r>
        <w:rPr>
          <w:rStyle w:val="CharSectno"/>
        </w:rPr>
        <w:t>16</w:t>
      </w:r>
      <w:r>
        <w:t>.</w:t>
      </w:r>
      <w:r>
        <w:tab/>
        <w:t>References to this jurisdiction to be implied</w:t>
      </w:r>
      <w:bookmarkEnd w:id="2896"/>
      <w:bookmarkEnd w:id="2897"/>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an officer, office or statutory body is a reference to such an officer, office or statutory body in and for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a locality or other matter or thing is a reference to such a locality or other matter or thing in and of this jurisdiction.</w:t>
      </w:r>
    </w:p>
    <w:p>
      <w:pPr>
        <w:pStyle w:val="Heading5"/>
      </w:pPr>
      <w:bookmarkStart w:id="2898" w:name="_Toc53046417"/>
      <w:bookmarkStart w:id="2899" w:name="_Toc5365257"/>
      <w:r>
        <w:rPr>
          <w:rStyle w:val="CharSectno"/>
        </w:rPr>
        <w:t>17</w:t>
      </w:r>
      <w:r>
        <w:t>.</w:t>
      </w:r>
      <w:r>
        <w:tab/>
        <w:t>References to officers and holders of offices</w:t>
      </w:r>
      <w:bookmarkEnd w:id="2898"/>
      <w:bookmarkEnd w:id="2899"/>
    </w:p>
    <w:p>
      <w:pPr>
        <w:keepLines/>
        <w:autoSpaceDE w:val="0"/>
        <w:autoSpaceDN w:val="0"/>
        <w:adjustRightInd w:val="0"/>
        <w:spacing w:before="120"/>
        <w:ind w:left="1588"/>
        <w:rPr>
          <w:color w:val="000000"/>
          <w:sz w:val="23"/>
          <w:szCs w:val="23"/>
        </w:rPr>
      </w:pPr>
      <w:r>
        <w:rPr>
          <w:color w:val="000000"/>
          <w:sz w:val="23"/>
          <w:szCs w:val="23"/>
        </w:rPr>
        <w:t>In this Law, a reference to a particular officer, or to the holder of a particular office, includes a reference to the person for the time being occupying or acting in the office concerned.</w:t>
      </w:r>
    </w:p>
    <w:p>
      <w:pPr>
        <w:pStyle w:val="Heading5"/>
      </w:pPr>
      <w:bookmarkStart w:id="2900" w:name="_Toc53046418"/>
      <w:bookmarkStart w:id="2901" w:name="_Toc5365258"/>
      <w:r>
        <w:rPr>
          <w:rStyle w:val="CharSectno"/>
        </w:rPr>
        <w:t>18</w:t>
      </w:r>
      <w:r>
        <w:t>.</w:t>
      </w:r>
      <w:r>
        <w:tab/>
        <w:t>Reference to certain provisions of Law</w:t>
      </w:r>
      <w:bookmarkEnd w:id="2900"/>
      <w:bookmarkEnd w:id="2901"/>
    </w:p>
    <w:p>
      <w:pPr>
        <w:keepNext/>
        <w:keepLines/>
        <w:autoSpaceDE w:val="0"/>
        <w:autoSpaceDN w:val="0"/>
        <w:adjustRightInd w:val="0"/>
        <w:spacing w:before="120"/>
        <w:ind w:left="1588"/>
        <w:rPr>
          <w:color w:val="000000"/>
          <w:sz w:val="23"/>
          <w:szCs w:val="23"/>
        </w:rPr>
      </w:pPr>
      <w:r>
        <w:rPr>
          <w:color w:val="000000"/>
          <w:sz w:val="23"/>
          <w:szCs w:val="23"/>
        </w:rPr>
        <w:t>If a provision of this Law refers—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a Chapter, Part, section or Schedule by a number and without reference to this Law, the reference is a reference to the Chapter, Part, section or Schedule, designated by the number, of or to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 Schedule without reference to it by a number and without reference to this Law, the reference, if there is only 1 Schedule to this Law, is a reference to the Schedule;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a Division, Subdivision, subsection, paragraph, subparagraph, subsubparagraph, clause, subclause, item, column, table or form by a number and without reference to this Law, the reference is a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Division, designated by the number, of the Part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Subdivision, designated by the number, of the Division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subsection, designated by the number, of the section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paragraph, designated by the number, of the section, subsection, Schedule or other provision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paragraph, designated by the number, of the clause, subclause, item, column, table or form of or in the Schedule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w:t>
      </w:r>
      <w:r>
        <w:rPr>
          <w:color w:val="000000"/>
          <w:sz w:val="23"/>
          <w:szCs w:val="23"/>
        </w:rPr>
        <w:tab/>
        <w:t>the subparagraph, designated by the number, of the 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(vii)</w:t>
      </w:r>
      <w:r>
        <w:rPr>
          <w:color w:val="000000"/>
          <w:sz w:val="23"/>
          <w:szCs w:val="23"/>
        </w:rPr>
        <w:tab/>
        <w:t>the subsubparagraph, designated by the number, of the subparagraph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(viii)</w:t>
      </w:r>
      <w:r>
        <w:rPr>
          <w:color w:val="000000"/>
          <w:sz w:val="23"/>
          <w:szCs w:val="23"/>
        </w:rPr>
        <w:tab/>
        <w:t>the section, clause, subclause, item, column, table or form, designated by the number, of or in the Schedule in which the reference occurs,</w:t>
      </w:r>
    </w:p>
    <w:p>
      <w:pPr>
        <w:keepLines/>
        <w:autoSpaceDE w:val="0"/>
        <w:autoSpaceDN w:val="0"/>
        <w:adjustRightInd w:val="0"/>
        <w:spacing w:before="120"/>
        <w:ind w:left="2382"/>
        <w:rPr>
          <w:color w:val="000000"/>
          <w:sz w:val="23"/>
          <w:szCs w:val="23"/>
        </w:rPr>
      </w:pPr>
      <w:r>
        <w:rPr>
          <w:color w:val="000000"/>
          <w:sz w:val="23"/>
          <w:szCs w:val="23"/>
        </w:rPr>
        <w:t>as the case requires.</w:t>
      </w:r>
    </w:p>
    <w:p>
      <w:pPr>
        <w:pStyle w:val="Heading3"/>
      </w:pPr>
      <w:bookmarkStart w:id="2902" w:name="_Toc52954725"/>
      <w:bookmarkStart w:id="2903" w:name="_Toc52956021"/>
      <w:bookmarkStart w:id="2904" w:name="_Toc52957520"/>
      <w:bookmarkStart w:id="2905" w:name="_Toc52958303"/>
      <w:bookmarkStart w:id="2906" w:name="_Toc53045636"/>
      <w:bookmarkStart w:id="2907" w:name="_Toc53046419"/>
      <w:bookmarkStart w:id="2908" w:name="_Toc501634304"/>
      <w:bookmarkStart w:id="2909" w:name="_Toc501713200"/>
      <w:bookmarkStart w:id="2910" w:name="_Toc536782426"/>
      <w:bookmarkStart w:id="2911" w:name="_Toc5347485"/>
      <w:bookmarkStart w:id="2912" w:name="_Toc5364038"/>
      <w:bookmarkStart w:id="2913" w:name="_Toc5365259"/>
      <w:r>
        <w:rPr>
          <w:rStyle w:val="CharDivNo"/>
        </w:rPr>
        <w:t>Part 4</w:t>
      </w:r>
      <w:r>
        <w:t xml:space="preserve"> — </w:t>
      </w:r>
      <w:r>
        <w:rPr>
          <w:rStyle w:val="CharDivText"/>
        </w:rPr>
        <w:t>Functions and powers</w:t>
      </w:r>
      <w:bookmarkEnd w:id="2902"/>
      <w:bookmarkEnd w:id="2903"/>
      <w:bookmarkEnd w:id="2904"/>
      <w:bookmarkEnd w:id="2905"/>
      <w:bookmarkEnd w:id="2906"/>
      <w:bookmarkEnd w:id="2907"/>
      <w:bookmarkEnd w:id="2908"/>
      <w:bookmarkEnd w:id="2909"/>
      <w:bookmarkEnd w:id="2910"/>
      <w:bookmarkEnd w:id="2911"/>
      <w:bookmarkEnd w:id="2912"/>
      <w:bookmarkEnd w:id="2913"/>
    </w:p>
    <w:p>
      <w:pPr>
        <w:pStyle w:val="Heading5"/>
      </w:pPr>
      <w:bookmarkStart w:id="2914" w:name="_Toc53046420"/>
      <w:bookmarkStart w:id="2915" w:name="_Toc5365260"/>
      <w:r>
        <w:rPr>
          <w:rStyle w:val="CharSectno"/>
        </w:rPr>
        <w:t>19</w:t>
      </w:r>
      <w:r>
        <w:t>.</w:t>
      </w:r>
      <w:r>
        <w:tab/>
        <w:t>Performance of statutory functions</w:t>
      </w:r>
      <w:bookmarkEnd w:id="2914"/>
      <w:bookmarkEnd w:id="291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confers a function or power on a person or body, the function may be performed, or the power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this Law confers a function or power on a particular officer or the holder of a particular office, the function may be performed, or the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this Law confers a function or power on a body (whether or not incorporated), the performance of the function, or the exercise of the power, is not affected merely because of vacancies in the membership of the body.</w:t>
      </w:r>
    </w:p>
    <w:p>
      <w:pPr>
        <w:pStyle w:val="Heading5"/>
      </w:pPr>
      <w:bookmarkStart w:id="2916" w:name="_Toc53046421"/>
      <w:bookmarkStart w:id="2917" w:name="_Toc5365261"/>
      <w:r>
        <w:rPr>
          <w:rStyle w:val="CharSectno"/>
        </w:rPr>
        <w:t>20</w:t>
      </w:r>
      <w:r>
        <w:t>.</w:t>
      </w:r>
      <w:r>
        <w:tab/>
        <w:t>Power to make instrument or decision includes power to amend or repeal</w:t>
      </w:r>
      <w:bookmarkEnd w:id="2916"/>
      <w:bookmarkEnd w:id="2917"/>
    </w:p>
    <w:p>
      <w:pPr>
        <w:keepNext/>
        <w:keepLines/>
        <w:autoSpaceDE w:val="0"/>
        <w:autoSpaceDN w:val="0"/>
        <w:adjustRightInd w:val="0"/>
        <w:spacing w:before="120"/>
        <w:ind w:left="1588"/>
        <w:rPr>
          <w:color w:val="000000"/>
          <w:sz w:val="23"/>
          <w:szCs w:val="23"/>
        </w:rPr>
      </w:pPr>
      <w:r>
        <w:rPr>
          <w:color w:val="000000"/>
          <w:sz w:val="23"/>
          <w:szCs w:val="23"/>
        </w:rPr>
        <w:t>If this Law authorises or requires the making of an instrument, decision or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power includes power to amend or repeal the instrument, decision or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power to amend or repeal the instrument, decision or determination is exercisable in the same way, and subject to the same conditions, as the power to make the instrument, decision or determination.</w:t>
      </w:r>
    </w:p>
    <w:p>
      <w:pPr>
        <w:pStyle w:val="Heading5"/>
      </w:pPr>
      <w:bookmarkStart w:id="2918" w:name="_Toc53046422"/>
      <w:bookmarkStart w:id="2919" w:name="_Toc5365262"/>
      <w:r>
        <w:rPr>
          <w:rStyle w:val="CharSectno"/>
        </w:rPr>
        <w:t>21</w:t>
      </w:r>
      <w:r>
        <w:t>.</w:t>
      </w:r>
      <w:r>
        <w:tab/>
        <w:t>Matters for which statutory instruments may make provision</w:t>
      </w:r>
      <w:bookmarkEnd w:id="2918"/>
      <w:bookmarkEnd w:id="291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the making of a statutory instrument in relation to a matter, a statutory instrument made under this Law may make provision for the matter by applying, adopting or incorporating (with or without modification) the provisions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Act or statutory instrument;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another document (whether of the same or a different kind),</w:t>
      </w:r>
    </w:p>
    <w:p>
      <w:pPr>
        <w:keepLines/>
        <w:autoSpaceDE w:val="0"/>
        <w:autoSpaceDN w:val="0"/>
        <w:adjustRightInd w:val="0"/>
        <w:spacing w:before="120"/>
        <w:ind w:left="1588"/>
        <w:rPr>
          <w:color w:val="000000"/>
          <w:sz w:val="23"/>
          <w:szCs w:val="23"/>
        </w:rPr>
      </w:pPr>
      <w:r>
        <w:rPr>
          <w:color w:val="000000"/>
          <w:sz w:val="23"/>
          <w:szCs w:val="23"/>
        </w:rPr>
        <w:t>as in force at a particular time or as in force from time to time.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statutory instrument applies, adopts or incorporates the provisions of a document, the statutory instrument applies, adopts or incorporates the provisions as in force from time to time, unless the statutory instrument otherwise expressly provides.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statutory instrument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according to the persons, times, places or circumstances to which it is expressed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statutory instrument may authorise a matter or thing to be from time to time determined, applied or regulated by a specified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this Law authorises or requires a matter to be regulated by statutory instrument, the power may be exercised by prohibiting by statutory instrument the matter or any aspect of the matter.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this Law authorises or requires provision to be made with respect to a matter by statutory instrument, a statutory instrument made under this Law may make provision with respect to a particular aspect of the matter despite the fact that provision is made by this Law in relation to another aspect of the matter or in relation to another matter.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statutory instrument may provide for the review of, or a right of appeal against, a decision made under the statutory instrument, or this Law, and may, for that purpose, confer jurisdiction on any court, tribunal,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A statutory instrument may require a form prescribed by or under the statutory instrument, or information or documents included in, attached to or given with the form, to be verified by statutory declaration.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rPr>
        <w:t>statutory instrument</w:t>
      </w:r>
      <w:r>
        <w:rPr>
          <w:color w:val="000000"/>
          <w:sz w:val="23"/>
          <w:szCs w:val="23"/>
        </w:rPr>
        <w:t xml:space="preserve"> does not include the National Gas Rules.</w:t>
      </w:r>
    </w:p>
    <w:p>
      <w:pPr>
        <w:pStyle w:val="Heading5"/>
      </w:pPr>
      <w:bookmarkStart w:id="2920" w:name="_Toc53046423"/>
      <w:bookmarkStart w:id="2921" w:name="_Toc5365263"/>
      <w:r>
        <w:rPr>
          <w:rStyle w:val="CharSectno"/>
        </w:rPr>
        <w:t>22</w:t>
      </w:r>
      <w:r>
        <w:t>.</w:t>
      </w:r>
      <w:r>
        <w:tab/>
        <w:t>Presumption of validity and power to make</w:t>
      </w:r>
      <w:bookmarkEnd w:id="2920"/>
      <w:bookmarkEnd w:id="292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All conditions and preliminary steps required for the making of a statutory instrument are presumed to have been satisfied and performed in the absence of evidence to the contrary.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statutory instrument is taken to be made under all powers under which it may be made, even though it purports to be made under this Law or a particular provision of this Law.</w:t>
      </w:r>
    </w:p>
    <w:p>
      <w:pPr>
        <w:pStyle w:val="Heading5"/>
      </w:pPr>
      <w:bookmarkStart w:id="2922" w:name="_Toc53046424"/>
      <w:bookmarkStart w:id="2923" w:name="_Toc5365264"/>
      <w:r>
        <w:rPr>
          <w:rStyle w:val="CharSectno"/>
        </w:rPr>
        <w:t>23</w:t>
      </w:r>
      <w:r>
        <w:t>.</w:t>
      </w:r>
      <w:r>
        <w:tab/>
        <w:t>Appointments may be made by name or office</w:t>
      </w:r>
      <w:bookmarkEnd w:id="2922"/>
      <w:bookmarkEnd w:id="292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a person or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appoint a person to an office;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appoint a person or body to exercise a power;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appoint a person or body to do another thing,</w:t>
      </w:r>
    </w:p>
    <w:p>
      <w:pPr>
        <w:keepLines/>
        <w:autoSpaceDE w:val="0"/>
        <w:autoSpaceDN w:val="0"/>
        <w:adjustRightInd w:val="0"/>
        <w:spacing w:before="120"/>
        <w:ind w:left="1588"/>
        <w:rPr>
          <w:color w:val="000000"/>
          <w:sz w:val="23"/>
          <w:szCs w:val="23"/>
        </w:rPr>
      </w:pPr>
      <w:r>
        <w:rPr>
          <w:color w:val="000000"/>
          <w:sz w:val="23"/>
          <w:szCs w:val="23"/>
        </w:rPr>
        <w:t>the person or body may make the appointment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appointing a person or body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appointing a particular officer, or the holder of a particular office, by reference to the title of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appointment of a particular officer, or the holder of a particular office, is taken to be the appointment of the person for the time being occupying or acting in the office concerned.</w:t>
      </w:r>
    </w:p>
    <w:p>
      <w:pPr>
        <w:pStyle w:val="Heading5"/>
      </w:pPr>
      <w:bookmarkStart w:id="2924" w:name="_Toc53046425"/>
      <w:bookmarkStart w:id="2925" w:name="_Toc5365265"/>
      <w:r>
        <w:rPr>
          <w:rStyle w:val="CharSectno"/>
        </w:rPr>
        <w:t>24</w:t>
      </w:r>
      <w:r>
        <w:t>.</w:t>
      </w:r>
      <w:r>
        <w:tab/>
        <w:t>Acting appointments</w:t>
      </w:r>
      <w:bookmarkEnd w:id="2924"/>
      <w:bookmarkEnd w:id="292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a person or body to appoint a person to act in an office, the person or body may, in accordance with this Law, appoint—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particular officer, or the holder of a particular office, by reference to the title of the office concerned,</w:t>
      </w:r>
    </w:p>
    <w:p>
      <w:pPr>
        <w:keepLines/>
        <w:autoSpaceDE w:val="0"/>
        <w:autoSpaceDN w:val="0"/>
        <w:adjustRightInd w:val="0"/>
        <w:spacing w:before="120"/>
        <w:ind w:left="1588"/>
        <w:rPr>
          <w:color w:val="000000"/>
          <w:sz w:val="23"/>
          <w:szCs w:val="23"/>
        </w:rPr>
      </w:pPr>
      <w:r>
        <w:rPr>
          <w:color w:val="000000"/>
          <w:sz w:val="23"/>
          <w:szCs w:val="23"/>
        </w:rPr>
        <w:t>to act in the office.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appointment may be expressed to have effect only in the circumstances specified in the instrument of appointment.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appointer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determine the terms and conditions of the appointment, including remuneration and allowances;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terminate the appointment at any time.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appointment, or the termination of the appointment, must be in, or evidenced by, writing signed by the appointer.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appointee must not act for more than 1 year during a vacancy in the office.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the appointee is acting in the office otherwise than because of a vacancy in the office and the office becomes vacant, then, subject to subclause (2), the appointee may continue to act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appointer otherwise directs;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vacancy is filled;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end of a year from the day of the vacancy,</w:t>
      </w:r>
    </w:p>
    <w:p>
      <w:pPr>
        <w:keepLines/>
        <w:autoSpaceDE w:val="0"/>
        <w:autoSpaceDN w:val="0"/>
        <w:adjustRightInd w:val="0"/>
        <w:spacing w:before="120"/>
        <w:ind w:left="1588"/>
        <w:rPr>
          <w:color w:val="000000"/>
          <w:sz w:val="23"/>
          <w:szCs w:val="23"/>
        </w:rPr>
      </w:pPr>
      <w:r>
        <w:rPr>
          <w:color w:val="000000"/>
          <w:sz w:val="23"/>
          <w:szCs w:val="23"/>
        </w:rPr>
        <w:t>whichever happens first.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The appointment ceases to have effect if the appointee resigns by writing signed and delivered to the appointer.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While the appointee is acting in the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appointee has all the powers and functions of the holder of the office;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this Law and other laws apply to the appointee as if the appointee were the holder of the office.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Anything done by or in relation to a person purporting to act in the office is not invalid merely because—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occasion for the appointment had not arisen;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appointment had ceased to have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occasion for the person to act had not arisen or had ceased.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If this Law authorises the appointer to appoint a person to act during a vacancy in the office, an appointment to act in the office may be made by the appointer whether or not an appointment has previously been made to the office.</w:t>
      </w:r>
    </w:p>
    <w:p>
      <w:pPr>
        <w:pStyle w:val="Heading5"/>
      </w:pPr>
      <w:bookmarkStart w:id="2926" w:name="_Toc53046426"/>
      <w:bookmarkStart w:id="2927" w:name="_Toc5365266"/>
      <w:r>
        <w:rPr>
          <w:rStyle w:val="CharSectno"/>
        </w:rPr>
        <w:t>25</w:t>
      </w:r>
      <w:r>
        <w:t>.</w:t>
      </w:r>
      <w:r>
        <w:tab/>
        <w:t>Powers of appointment imply certain incidental powers</w:t>
      </w:r>
      <w:bookmarkEnd w:id="2926"/>
      <w:bookmarkEnd w:id="292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a person or body to appoint a person to an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power may be exercised from time to time as occasion requires;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power includes—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power to remove or suspend, at any time, a person appointed to the office;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power to appoint another person to act in the office if a person appointed to the office is removed or suspended;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power to reinstate or reappoint a person removed or suspended;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power to appoint a person to act in the office if it is vacant (whether or not the office has ever been filled);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power to appoint a person to act in the office if the person appointed to the office is absent or is unable to discharge the functions of the office (whether because of illness or otherwise).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power to remove or suspend a person under subclause (1)(b) may be exercised even if this Law provides that the holder of the office to which the person was appointed is to hold office for a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power to make an appointment under subclause (1)(b)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appointment under subclause (1)(b) may be expressed to have effect only in the circumstances specified in the instrument of appointment.</w:t>
      </w:r>
    </w:p>
    <w:p>
      <w:pPr>
        <w:pStyle w:val="Heading5"/>
      </w:pPr>
      <w:bookmarkStart w:id="2928" w:name="_Toc53046427"/>
      <w:bookmarkStart w:id="2929" w:name="_Toc5365267"/>
      <w:r>
        <w:rPr>
          <w:rStyle w:val="CharSectno"/>
        </w:rPr>
        <w:t>26</w:t>
      </w:r>
      <w:r>
        <w:t>.</w:t>
      </w:r>
      <w:r>
        <w:tab/>
        <w:t>Delegation</w:t>
      </w:r>
      <w:bookmarkEnd w:id="2928"/>
      <w:bookmarkEnd w:id="292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a person to delegate a function or power, the person may, in accordance with this Law, delegate the power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particular officer, or the holder of a particular office, by reference to the title of the office concerned.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delegation—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general or limited;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be made from time to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be revoked, wholly or partly, by the delegator.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delegation, or a revocation of the delegation, must be in, or evidenced by, writing signed by the delegator or if the delegator is a body corporate, by a person authorised by the body corporate for the purpose.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delegated function or power may be exercised only in accordance with any conditions to which the delegation is subject.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delegate may, in the exercise of a delegated function or power, do anything that is incidental to the delegated function or power.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delegated function or power that purports to have been exercised by the delegate is taken to have been duly exercised by the delegate unless the contrary is proved.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delegated function or power that is duly exercised by the delegate is taken to have been exercised by the delegator.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If, when exercised by the delegator, a function or power is, under this Law, dependent on the delegator’s opinion, belief or state of mind in relation to a matter, the function or power, when exercised by the delegate, is dependent on the delegate’s opinion, belief or state of mind in relation to the matter.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If a function or power is delegated to a particular officer or the holder of a particular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delegation does not cease to have effect merely because the person who was the particular officer or the holder of the particular office when the power was delegated ceases to be the officer or the holder of the office;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function or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A function or power that has been delegated may, despite the delegation, be exercised by the delegator.</w:t>
      </w:r>
    </w:p>
    <w:p>
      <w:pPr>
        <w:pStyle w:val="Heading5"/>
      </w:pPr>
      <w:bookmarkStart w:id="2930" w:name="_Toc53046428"/>
      <w:bookmarkStart w:id="2931" w:name="_Toc5365268"/>
      <w:r>
        <w:rPr>
          <w:rStyle w:val="CharSectno"/>
        </w:rPr>
        <w:t>27</w:t>
      </w:r>
      <w:r>
        <w:t>.</w:t>
      </w:r>
      <w:r>
        <w:tab/>
        <w:t>Exercise of powers between enactment and commencement</w:t>
      </w:r>
      <w:bookmarkEnd w:id="2930"/>
      <w:bookmarkEnd w:id="293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a provision of this Law (the </w:t>
      </w:r>
      <w:r>
        <w:rPr>
          <w:rStyle w:val="CharDefText"/>
        </w:rPr>
        <w:t>empowering provision</w:t>
      </w:r>
      <w:r>
        <w:rPr>
          <w:color w:val="000000"/>
          <w:sz w:val="23"/>
          <w:szCs w:val="23"/>
        </w:rPr>
        <w:t>) that does not commence on its enactment would, had it commenced, confer a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do another thing,</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rPr>
      </w:pPr>
      <w:r>
        <w:rPr>
          <w:color w:val="000000"/>
          <w:sz w:val="23"/>
          <w:szCs w:val="23"/>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If a provision of an Act of South Australia (the </w:t>
      </w:r>
      <w:r>
        <w:rPr>
          <w:rStyle w:val="CharDefText"/>
          <w:bCs/>
          <w:sz w:val="23"/>
        </w:rPr>
        <w:t>empowering provision</w:t>
      </w:r>
      <w:r>
        <w:rPr>
          <w:color w:val="000000"/>
          <w:sz w:val="23"/>
          <w:szCs w:val="23"/>
        </w:rPr>
        <w:t>) that does not commence on its enactment would, had it commenced, amend a provision of this Law so that it would confer a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do another thing,</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rPr>
      </w:pPr>
      <w:r>
        <w:rPr>
          <w:color w:val="000000"/>
          <w:sz w:val="23"/>
          <w:szCs w:val="23"/>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this Law has commenced and confers a power to make a statutory instrument (the </w:t>
      </w:r>
      <w:r>
        <w:rPr>
          <w:rStyle w:val="CharDefText"/>
          <w:bCs/>
          <w:sz w:val="23"/>
        </w:rPr>
        <w:t>basic instrument making power</w:t>
      </w:r>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provision of an Act of South Australia that does not commence on its enactment would, had it commenced, amend this Law so as to confer additional power to make a statutory instrument (the </w:t>
      </w:r>
      <w:r>
        <w:rPr>
          <w:rStyle w:val="CharDefText"/>
          <w:bCs/>
          <w:sz w:val="23"/>
        </w:rPr>
        <w:t>additional instrument making power</w:t>
      </w:r>
      <w:r>
        <w:rPr>
          <w:color w:val="000000"/>
          <w:sz w:val="23"/>
          <w:szCs w:val="23"/>
        </w:rPr>
        <w:t>),</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basic instrument making power and the additional instrument making power may be exercised by making a single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provision of the instrument that required an exercise of the additional instrument making power is to be treated as made under subclause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an instrument, or a provision of an instrument, is made under subclause (1) or (2) that is necessary for the purpose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enabling the exercise of a power mentioned in the subclause;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bringing an appointment, instrument or other thing made or done under such a power into effect,</w:t>
      </w:r>
    </w:p>
    <w:p>
      <w:pPr>
        <w:keepLines/>
        <w:autoSpaceDE w:val="0"/>
        <w:autoSpaceDN w:val="0"/>
        <w:adjustRightInd w:val="0"/>
        <w:spacing w:before="120"/>
        <w:ind w:left="1588"/>
        <w:rPr>
          <w:color w:val="000000"/>
          <w:sz w:val="23"/>
          <w:szCs w:val="23"/>
        </w:rPr>
      </w:pPr>
      <w:r>
        <w:rPr>
          <w:color w:val="000000"/>
          <w:sz w:val="23"/>
          <w:szCs w:val="23"/>
        </w:rPr>
        <w:t>the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the making of the instrument;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such later day (if any) on which, or at such later time (if any) at which, the instrument or provision is expressed to take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appointment is made under subclause (1) or (2);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instrument, or a provision of an instrument, made under subclause (1) or (2) is not necessary for a purpose mentioned in subclause (4),</w:t>
      </w:r>
    </w:p>
    <w:p>
      <w:pPr>
        <w:keepLines/>
        <w:autoSpaceDE w:val="0"/>
        <w:autoSpaceDN w:val="0"/>
        <w:adjustRightInd w:val="0"/>
        <w:spacing w:before="120"/>
        <w:ind w:left="1588"/>
        <w:rPr>
          <w:color w:val="000000"/>
          <w:sz w:val="23"/>
          <w:szCs w:val="23"/>
        </w:rPr>
      </w:pPr>
      <w:r>
        <w:rPr>
          <w:color w:val="000000"/>
          <w:sz w:val="23"/>
          <w:szCs w:val="23"/>
        </w:rPr>
        <w:t>the appointment,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the commencement of the relevant empowering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such later day (if any) on which, or at such later time (if any) at which, the appointment, instrument or provision is expressed to take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Anything done under subclause (1) or (2) does not confer a right, or impose a liability, on a person before the relevant empowering provision commences.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After the enactment of a provision mentioned in subclause (2) but before the provision’s commencement, this clause applies as if the references in subclauses (2) and (5) to the commencement of the empowering provision were references to the commencement of the provision mentioned in subclause (2) as amended by the empowering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the application of this clause to a statutory instrument, a reference to the enactment of the instrument is a reference to the making of the instrument.</w:t>
      </w:r>
    </w:p>
    <w:p>
      <w:pPr>
        <w:pStyle w:val="Heading5"/>
      </w:pPr>
      <w:bookmarkStart w:id="2932" w:name="_Toc53046429"/>
      <w:bookmarkStart w:id="2933" w:name="_Toc5365269"/>
      <w:r>
        <w:rPr>
          <w:rStyle w:val="CharSectno"/>
        </w:rPr>
        <w:t>27A</w:t>
      </w:r>
      <w:r>
        <w:t>.</w:t>
      </w:r>
      <w:r>
        <w:tab/>
        <w:t>WA modifications of clause 27</w:t>
      </w:r>
      <w:bookmarkEnd w:id="2932"/>
      <w:bookmarkEnd w:id="293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 xml:space="preserve">Clause 27 applies to a conferral of power by this Law to the extent that the power derives from an amendment to </w:t>
      </w:r>
      <w:r>
        <w:rPr>
          <w:sz w:val="23"/>
        </w:rPr>
        <w:t xml:space="preserve">the </w:t>
      </w:r>
      <w:r>
        <w:rPr>
          <w:color w:val="000000"/>
          <w:sz w:val="23"/>
          <w:szCs w:val="23"/>
        </w:rPr>
        <w:t xml:space="preserve">Schedule to the </w:t>
      </w:r>
      <w:r>
        <w:rPr>
          <w:i/>
          <w:iCs/>
          <w:color w:val="000000"/>
          <w:sz w:val="23"/>
          <w:szCs w:val="23"/>
        </w:rPr>
        <w:t>National Gas (South Australia) Act 2008</w:t>
      </w:r>
      <w:r>
        <w:rPr>
          <w:color w:val="000000"/>
          <w:sz w:val="23"/>
          <w:szCs w:val="23"/>
        </w:rPr>
        <w:t xml:space="preserve"> of South Australia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as if references in clause 27(2), (5) and (6) to the commencement of the empowering provision referred to the time when the Western Australian National Gas Access Law text, as defined in </w:t>
      </w:r>
      <w:r>
        <w:rPr>
          <w:sz w:val="23"/>
        </w:rPr>
        <w:t xml:space="preserve">section 7(2) of the </w:t>
      </w:r>
      <w:r>
        <w:rPr>
          <w:i/>
          <w:iCs/>
          <w:sz w:val="23"/>
        </w:rPr>
        <w:t>National Gas Access (WA) Act 2009</w:t>
      </w:r>
      <w:r>
        <w:rPr>
          <w:color w:val="000000"/>
          <w:sz w:val="23"/>
          <w:szCs w:val="23"/>
        </w:rPr>
        <w:t>, is affected by the amendment;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as if the reference in clause 27(3) to additional power that would be conferred had an Act of South Australia commenced referred to additional power that would be conferred had the Western Australian National Gas Access Law text been already affected by the amendment;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as if clause 27(7) had been omitted.</w:t>
      </w:r>
    </w:p>
    <w:p>
      <w:pPr>
        <w:pStyle w:val="Footnotesection"/>
      </w:pPr>
      <w:r>
        <w:tab/>
        <w:t>[Clause 27A inserted: WA Act Sch. 1 cl. 15.]</w:t>
      </w:r>
    </w:p>
    <w:p>
      <w:pPr>
        <w:pStyle w:val="Heading3"/>
      </w:pPr>
      <w:bookmarkStart w:id="2934" w:name="_Toc52954736"/>
      <w:bookmarkStart w:id="2935" w:name="_Toc52956032"/>
      <w:bookmarkStart w:id="2936" w:name="_Toc52957531"/>
      <w:bookmarkStart w:id="2937" w:name="_Toc52958314"/>
      <w:bookmarkStart w:id="2938" w:name="_Toc53045647"/>
      <w:bookmarkStart w:id="2939" w:name="_Toc53046430"/>
      <w:bookmarkStart w:id="2940" w:name="_Toc501634315"/>
      <w:bookmarkStart w:id="2941" w:name="_Toc501713211"/>
      <w:bookmarkStart w:id="2942" w:name="_Toc536782437"/>
      <w:bookmarkStart w:id="2943" w:name="_Toc5347496"/>
      <w:bookmarkStart w:id="2944" w:name="_Toc5364049"/>
      <w:bookmarkStart w:id="2945" w:name="_Toc5365270"/>
      <w:r>
        <w:rPr>
          <w:rStyle w:val="CharDivNo"/>
        </w:rPr>
        <w:t>Part 5</w:t>
      </w:r>
      <w:r>
        <w:t xml:space="preserve"> — </w:t>
      </w:r>
      <w:r>
        <w:rPr>
          <w:rStyle w:val="CharDivText"/>
        </w:rPr>
        <w:t>Distance and time</w:t>
      </w:r>
      <w:bookmarkEnd w:id="2934"/>
      <w:bookmarkEnd w:id="2935"/>
      <w:bookmarkEnd w:id="2936"/>
      <w:bookmarkEnd w:id="2937"/>
      <w:bookmarkEnd w:id="2938"/>
      <w:bookmarkEnd w:id="2939"/>
      <w:bookmarkEnd w:id="2940"/>
      <w:bookmarkEnd w:id="2941"/>
      <w:bookmarkEnd w:id="2942"/>
      <w:bookmarkEnd w:id="2943"/>
      <w:bookmarkEnd w:id="2944"/>
      <w:bookmarkEnd w:id="2945"/>
    </w:p>
    <w:p>
      <w:pPr>
        <w:pStyle w:val="Heading5"/>
      </w:pPr>
      <w:bookmarkStart w:id="2946" w:name="_Toc53046431"/>
      <w:bookmarkStart w:id="2947" w:name="_Toc5365271"/>
      <w:r>
        <w:rPr>
          <w:rStyle w:val="CharSectno"/>
        </w:rPr>
        <w:t>28</w:t>
      </w:r>
      <w:r>
        <w:t>.</w:t>
      </w:r>
      <w:r>
        <w:tab/>
        <w:t>Matters relating to distance and time</w:t>
      </w:r>
      <w:bookmarkEnd w:id="2946"/>
      <w:bookmarkEnd w:id="294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the measurement of distance for the purposes of this Law, the distance is to be measured along the shortest road ordinarily used for travelling.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period beginning on a given day, act or event is provided or allowed for a purpose by this Law, the period is to be calculated by excluding the day, or the day of the act or event,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period is expressed to be a specified number of clear days or at least a specified number of days, by excluding the day on which the purpose is to be fulfilled;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any other case, by including the day on which the purpose is to be fulfilled.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last day of a period provided or allowed by this Law for doing anything is not a business day in the place in which the thing is to be or may be done, the thing may be done on the next business day in the place.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last day of a period provided or allowed by this Law for the filing or registration of a document is a day on which the office is closed where the filing or registration is to be or may be done, the document may be filed or registered at the office on the next day that the office is open.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no time is provided or allowed for doing anything, the thing is to be done as soon as possible, and as often as the prescribed occasion happens.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in this Law, there is a reference to time, the reference is, in relation to the doing of anything in a jurisdiction, a reference to the legal time in the jurisdiction.</w:t>
      </w:r>
    </w:p>
    <w:p>
      <w:pPr>
        <w:pStyle w:val="Heading3"/>
      </w:pPr>
      <w:bookmarkStart w:id="2948" w:name="_Toc52954738"/>
      <w:bookmarkStart w:id="2949" w:name="_Toc52956034"/>
      <w:bookmarkStart w:id="2950" w:name="_Toc52957533"/>
      <w:bookmarkStart w:id="2951" w:name="_Toc52958316"/>
      <w:bookmarkStart w:id="2952" w:name="_Toc53045649"/>
      <w:bookmarkStart w:id="2953" w:name="_Toc53046432"/>
      <w:bookmarkStart w:id="2954" w:name="_Toc501634317"/>
      <w:bookmarkStart w:id="2955" w:name="_Toc501713213"/>
      <w:bookmarkStart w:id="2956" w:name="_Toc536782439"/>
      <w:bookmarkStart w:id="2957" w:name="_Toc5347498"/>
      <w:bookmarkStart w:id="2958" w:name="_Toc5364051"/>
      <w:bookmarkStart w:id="2959" w:name="_Toc5365272"/>
      <w:r>
        <w:rPr>
          <w:rStyle w:val="CharDivNo"/>
        </w:rPr>
        <w:t>Part 6</w:t>
      </w:r>
      <w:r>
        <w:t xml:space="preserve"> — </w:t>
      </w:r>
      <w:r>
        <w:rPr>
          <w:rStyle w:val="CharDivText"/>
        </w:rPr>
        <w:t>Service of documents</w:t>
      </w:r>
      <w:bookmarkEnd w:id="2948"/>
      <w:bookmarkEnd w:id="2949"/>
      <w:bookmarkEnd w:id="2950"/>
      <w:bookmarkEnd w:id="2951"/>
      <w:bookmarkEnd w:id="2952"/>
      <w:bookmarkEnd w:id="2953"/>
      <w:bookmarkEnd w:id="2954"/>
      <w:bookmarkEnd w:id="2955"/>
      <w:bookmarkEnd w:id="2956"/>
      <w:bookmarkEnd w:id="2957"/>
      <w:bookmarkEnd w:id="2958"/>
      <w:bookmarkEnd w:id="2959"/>
    </w:p>
    <w:p>
      <w:pPr>
        <w:pStyle w:val="Heading5"/>
      </w:pPr>
      <w:bookmarkStart w:id="2960" w:name="_Toc53046433"/>
      <w:bookmarkStart w:id="2961" w:name="_Toc5365273"/>
      <w:r>
        <w:rPr>
          <w:rStyle w:val="CharSectno"/>
        </w:rPr>
        <w:t>29</w:t>
      </w:r>
      <w:r>
        <w:t>.</w:t>
      </w:r>
      <w:r>
        <w:tab/>
        <w:t>Service of documents and meaning of service by post etc</w:t>
      </w:r>
      <w:bookmarkEnd w:id="2960"/>
      <w:bookmarkEnd w:id="296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requires or permits a document to be served on a person (whether the expression “deliver”, “give”, “notify”, “send” or “serve” or another expression is used), the document may be served—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on a natural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delivering it to the person personally;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by leaving it at, or by sending it by post, facsimile or similar facility to the last known address of the place of residence or usual place of business of the person;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by sending it electronically to that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body corporate—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leaving it at the registered office or usual place of business of the body corporate with an officer of the body corporate;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by sending it by post, facsimile or similar facility to its registered office or its usual place of business;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by sending it electronically to that body corporate or an officer of the body corporate.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Nothing in subclause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affects the operation of another law that authorises the service of a document otherwise than as provided in the subclause;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affects the power of a court or tribunal to authorise service of a document otherwise than as provided in the subclause.</w:t>
      </w:r>
    </w:p>
    <w:p>
      <w:pPr>
        <w:pStyle w:val="Heading5"/>
      </w:pPr>
      <w:bookmarkStart w:id="2962" w:name="_Toc53046434"/>
      <w:bookmarkStart w:id="2963" w:name="_Toc5365274"/>
      <w:r>
        <w:rPr>
          <w:rStyle w:val="CharSectno"/>
        </w:rPr>
        <w:t>30</w:t>
      </w:r>
      <w:r>
        <w:t>.</w:t>
      </w:r>
      <w:r>
        <w:tab/>
        <w:t>Meaning of service by post etc</w:t>
      </w:r>
      <w:bookmarkEnd w:id="2962"/>
      <w:bookmarkEnd w:id="296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requires or permits a document to be served by post (whether the expression “deliver”, “give”, “notify”, “send” or “serve” or another expression is used),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effected by properly addressing, prepaying and posting the document as a letter;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taken to have been effected at the time at which the letter would be delivered in the ordinary course of post, unless the contrary is proved.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this Law requires or permits a document to be served by a particular postal method (whether the expression “deliver”, “give”, “notify”, “send” or “serve” or another expression is used), the requirement or permission is taken to be satisfied if the document is posted by that method or, if that method is not available, by the equivalent, or nearest equivalent, method provided for the time being by Australia Post.</w:t>
      </w:r>
    </w:p>
    <w:p>
      <w:pPr>
        <w:pStyle w:val="Heading3"/>
      </w:pPr>
      <w:bookmarkStart w:id="2964" w:name="_Toc52954741"/>
      <w:bookmarkStart w:id="2965" w:name="_Toc52956037"/>
      <w:bookmarkStart w:id="2966" w:name="_Toc52957536"/>
      <w:bookmarkStart w:id="2967" w:name="_Toc52958319"/>
      <w:bookmarkStart w:id="2968" w:name="_Toc53045652"/>
      <w:bookmarkStart w:id="2969" w:name="_Toc53046435"/>
      <w:bookmarkStart w:id="2970" w:name="_Toc501634320"/>
      <w:bookmarkStart w:id="2971" w:name="_Toc501713216"/>
      <w:bookmarkStart w:id="2972" w:name="_Toc536782442"/>
      <w:bookmarkStart w:id="2973" w:name="_Toc5347501"/>
      <w:bookmarkStart w:id="2974" w:name="_Toc5364054"/>
      <w:bookmarkStart w:id="2975" w:name="_Toc5365275"/>
      <w:r>
        <w:rPr>
          <w:rStyle w:val="CharDivNo"/>
        </w:rPr>
        <w:t>Part 7</w:t>
      </w:r>
      <w:r>
        <w:t xml:space="preserve"> — </w:t>
      </w:r>
      <w:r>
        <w:rPr>
          <w:rStyle w:val="CharDivText"/>
        </w:rPr>
        <w:t>Evidentiary matters</w:t>
      </w:r>
      <w:bookmarkEnd w:id="2964"/>
      <w:bookmarkEnd w:id="2965"/>
      <w:bookmarkEnd w:id="2966"/>
      <w:bookmarkEnd w:id="2967"/>
      <w:bookmarkEnd w:id="2968"/>
      <w:bookmarkEnd w:id="2969"/>
      <w:bookmarkEnd w:id="2970"/>
      <w:bookmarkEnd w:id="2971"/>
      <w:bookmarkEnd w:id="2972"/>
      <w:bookmarkEnd w:id="2973"/>
      <w:bookmarkEnd w:id="2974"/>
      <w:bookmarkEnd w:id="2975"/>
    </w:p>
    <w:p>
      <w:pPr>
        <w:pStyle w:val="Heading4"/>
      </w:pPr>
      <w:bookmarkStart w:id="2976" w:name="_Toc52954742"/>
      <w:bookmarkStart w:id="2977" w:name="_Toc52956038"/>
      <w:bookmarkStart w:id="2978" w:name="_Toc52957537"/>
      <w:bookmarkStart w:id="2979" w:name="_Toc52958320"/>
      <w:bookmarkStart w:id="2980" w:name="_Toc53045653"/>
      <w:bookmarkStart w:id="2981" w:name="_Toc53046436"/>
      <w:bookmarkStart w:id="2982" w:name="_Toc501634321"/>
      <w:bookmarkStart w:id="2983" w:name="_Toc501713217"/>
      <w:bookmarkStart w:id="2984" w:name="_Toc536782443"/>
      <w:bookmarkStart w:id="2985" w:name="_Toc5347502"/>
      <w:bookmarkStart w:id="2986" w:name="_Toc5364055"/>
      <w:bookmarkStart w:id="2987" w:name="_Toc5365276"/>
      <w:r>
        <w:t>Division 1 — Publication on websites</w:t>
      </w:r>
      <w:bookmarkEnd w:id="2976"/>
      <w:bookmarkEnd w:id="2977"/>
      <w:bookmarkEnd w:id="2978"/>
      <w:bookmarkEnd w:id="2979"/>
      <w:bookmarkEnd w:id="2980"/>
      <w:bookmarkEnd w:id="2981"/>
      <w:bookmarkEnd w:id="2982"/>
      <w:bookmarkEnd w:id="2983"/>
      <w:bookmarkEnd w:id="2984"/>
      <w:bookmarkEnd w:id="2985"/>
      <w:bookmarkEnd w:id="2986"/>
      <w:bookmarkEnd w:id="2987"/>
    </w:p>
    <w:p>
      <w:pPr>
        <w:pStyle w:val="Heading5"/>
      </w:pPr>
      <w:bookmarkStart w:id="2988" w:name="_Toc53046437"/>
      <w:bookmarkStart w:id="2989" w:name="_Toc5365277"/>
      <w:r>
        <w:rPr>
          <w:rStyle w:val="CharSectno"/>
        </w:rPr>
        <w:t>31</w:t>
      </w:r>
      <w:r>
        <w:t>.</w:t>
      </w:r>
      <w:r>
        <w:tab/>
        <w:t>Definitions</w:t>
      </w:r>
      <w:bookmarkEnd w:id="2988"/>
      <w:bookmarkEnd w:id="2989"/>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decision maker</w:t>
      </w:r>
      <w:r>
        <w:rPr>
          <w:color w:val="000000"/>
          <w:sz w:val="23"/>
          <w:szCs w:val="23"/>
        </w:rPr>
        <w:t xml:space="preserve"> means a relevant Minister, the NCC, the AER, the AEMC or the Bulletin Board operator;</w:t>
      </w:r>
    </w:p>
    <w:p>
      <w:pPr>
        <w:keepNext/>
        <w:keepLines/>
        <w:autoSpaceDE w:val="0"/>
        <w:autoSpaceDN w:val="0"/>
        <w:adjustRightInd w:val="0"/>
        <w:spacing w:before="120"/>
        <w:ind w:left="1588"/>
        <w:rPr>
          <w:color w:val="000000"/>
          <w:sz w:val="23"/>
          <w:szCs w:val="23"/>
        </w:rPr>
      </w:pPr>
      <w:r>
        <w:rPr>
          <w:rStyle w:val="CharDefText"/>
          <w:bCs/>
          <w:sz w:val="23"/>
        </w:rPr>
        <w:t>relevant decision or document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(however described) or determination (however described) of a decision maker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arrangement to which a decision of the AER under the Law or Rules relates;</w:t>
      </w:r>
    </w:p>
    <w:p>
      <w:pPr>
        <w:keepLines/>
        <w:autoSpaceDE w:val="0"/>
        <w:autoSpaceDN w:val="0"/>
        <w:adjustRightInd w:val="0"/>
        <w:spacing w:before="120"/>
        <w:ind w:left="1588"/>
        <w:rPr>
          <w:color w:val="000000"/>
          <w:sz w:val="23"/>
          <w:szCs w:val="23"/>
        </w:rPr>
      </w:pPr>
      <w:r>
        <w:rPr>
          <w:rStyle w:val="CharDefText"/>
          <w:bCs/>
          <w:sz w:val="23"/>
        </w:rPr>
        <w:t>relevant notice</w:t>
      </w:r>
      <w:r>
        <w:rPr>
          <w:bCs/>
          <w:i/>
          <w:iCs/>
          <w:color w:val="000000"/>
          <w:sz w:val="23"/>
          <w:szCs w:val="23"/>
        </w:rPr>
        <w:t xml:space="preserve"> </w:t>
      </w:r>
      <w:r>
        <w:rPr>
          <w:color w:val="000000"/>
          <w:sz w:val="23"/>
          <w:szCs w:val="23"/>
        </w:rPr>
        <w:t>means a notice under the Rules calling for or inviting submissions or comments in relation to a relevant decision or document;</w:t>
      </w:r>
    </w:p>
    <w:p>
      <w:pPr>
        <w:pStyle w:val="Heading5"/>
      </w:pPr>
      <w:bookmarkStart w:id="2990" w:name="_Toc53046438"/>
      <w:bookmarkStart w:id="2991" w:name="_Toc5365278"/>
      <w:r>
        <w:rPr>
          <w:rStyle w:val="CharSectno"/>
        </w:rPr>
        <w:t>32</w:t>
      </w:r>
      <w:r>
        <w:t>.</w:t>
      </w:r>
      <w:r>
        <w:tab/>
        <w:t>Publication of decisions on websites</w:t>
      </w:r>
      <w:bookmarkEnd w:id="2990"/>
      <w:bookmarkEnd w:id="299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For the purposes of this Law, a relevant decision or document or relevant notice that is required by this Law or the Rules to be published on a website is to be taken to be published on the website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relevant decision or document or relevant notice is made accessible in full on the website;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or publication of the relevant decision or document or relevant notice is made accessible on that website and the relevant decision or document or relevant notice is made accessible separately in full on that website or in any other identified location.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date on which the relevant decision or document or relevant notice is published on the website is the date notified by the relevant decision maker on the website as the date of the relevant decision’s or document’s or relevant notice’s publication (being not earlier than the date on which it was first made so accessible).</w:t>
      </w:r>
    </w:p>
    <w:p>
      <w:pPr>
        <w:pStyle w:val="Heading4"/>
      </w:pPr>
      <w:bookmarkStart w:id="2992" w:name="_Toc52954745"/>
      <w:bookmarkStart w:id="2993" w:name="_Toc52956041"/>
      <w:bookmarkStart w:id="2994" w:name="_Toc52957540"/>
      <w:bookmarkStart w:id="2995" w:name="_Toc52958323"/>
      <w:bookmarkStart w:id="2996" w:name="_Toc53045656"/>
      <w:bookmarkStart w:id="2997" w:name="_Toc53046439"/>
      <w:bookmarkStart w:id="2998" w:name="_Toc501634324"/>
      <w:bookmarkStart w:id="2999" w:name="_Toc501713220"/>
      <w:bookmarkStart w:id="3000" w:name="_Toc536782446"/>
      <w:bookmarkStart w:id="3001" w:name="_Toc5347505"/>
      <w:bookmarkStart w:id="3002" w:name="_Toc5364058"/>
      <w:bookmarkStart w:id="3003" w:name="_Toc5365279"/>
      <w:r>
        <w:t>Division 2 — Evidentiary certificates</w:t>
      </w:r>
      <w:bookmarkEnd w:id="2992"/>
      <w:bookmarkEnd w:id="2993"/>
      <w:bookmarkEnd w:id="2994"/>
      <w:bookmarkEnd w:id="2995"/>
      <w:bookmarkEnd w:id="2996"/>
      <w:bookmarkEnd w:id="2997"/>
      <w:bookmarkEnd w:id="2998"/>
      <w:bookmarkEnd w:id="2999"/>
      <w:bookmarkEnd w:id="3000"/>
      <w:bookmarkEnd w:id="3001"/>
      <w:bookmarkEnd w:id="3002"/>
      <w:bookmarkEnd w:id="3003"/>
    </w:p>
    <w:p>
      <w:pPr>
        <w:pStyle w:val="Heading5"/>
      </w:pPr>
      <w:bookmarkStart w:id="3004" w:name="_Toc53046440"/>
      <w:bookmarkStart w:id="3005" w:name="_Toc5365280"/>
      <w:r>
        <w:rPr>
          <w:rStyle w:val="CharSectno"/>
        </w:rPr>
        <w:t>33</w:t>
      </w:r>
      <w:r>
        <w:t>.</w:t>
      </w:r>
      <w:r>
        <w:tab/>
        <w:t>Definitions</w:t>
      </w:r>
      <w:bookmarkEnd w:id="3004"/>
      <w:bookmarkEnd w:id="3005"/>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acting SES employee</w:t>
      </w:r>
      <w:r>
        <w:rPr>
          <w:color w:val="000000"/>
          <w:sz w:val="23"/>
          <w:szCs w:val="23"/>
        </w:rPr>
        <w:t xml:space="preserve"> has the same meaning as in section 17AA of the </w:t>
      </w:r>
      <w:r>
        <w:rPr>
          <w:i/>
          <w:iCs/>
          <w:color w:val="000000"/>
          <w:sz w:val="23"/>
          <w:szCs w:val="23"/>
        </w:rPr>
        <w:t>Acts Interpretation Act 1901</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AEMC chief executive</w:t>
      </w:r>
      <w:r>
        <w:rPr>
          <w:bCs/>
          <w:i/>
          <w:iCs/>
          <w:color w:val="000000"/>
          <w:sz w:val="23"/>
          <w:szCs w:val="23"/>
        </w:rPr>
        <w:t xml:space="preserve"> </w:t>
      </w:r>
      <w:r>
        <w:rPr>
          <w:color w:val="000000"/>
          <w:sz w:val="23"/>
          <w:szCs w:val="23"/>
        </w:rPr>
        <w:t xml:space="preserve">means the chief executive of the AEMC appointed under section 16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AEMC Commissioner</w:t>
      </w:r>
      <w:r>
        <w:rPr>
          <w:color w:val="000000"/>
          <w:sz w:val="23"/>
          <w:szCs w:val="23"/>
        </w:rPr>
        <w:t xml:space="preserve"> means a Commissioner within the meaning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AER member</w:t>
      </w:r>
      <w:r>
        <w:rPr>
          <w:bCs/>
          <w:i/>
          <w:iCs/>
          <w:color w:val="000000"/>
          <w:sz w:val="23"/>
          <w:szCs w:val="23"/>
        </w:rPr>
        <w:t xml:space="preserve"> </w:t>
      </w:r>
      <w:r>
        <w:rPr>
          <w:color w:val="000000"/>
          <w:sz w:val="23"/>
          <w:szCs w:val="23"/>
        </w:rPr>
        <w:t xml:space="preserve">has the same meaning as in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NCC member</w:t>
      </w:r>
      <w:r>
        <w:rPr>
          <w:bCs/>
          <w:i/>
          <w:iCs/>
          <w:color w:val="000000"/>
          <w:sz w:val="23"/>
          <w:szCs w:val="23"/>
        </w:rPr>
        <w:t xml:space="preserve"> </w:t>
      </w:r>
      <w:r>
        <w:rPr>
          <w:color w:val="000000"/>
          <w:sz w:val="23"/>
          <w:szCs w:val="23"/>
        </w:rPr>
        <w:t xml:space="preserve">means a Councillor within the meaning of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relevant notice</w:t>
      </w:r>
      <w:r>
        <w:rPr>
          <w:bCs/>
          <w:i/>
          <w:iCs/>
          <w:color w:val="000000"/>
          <w:sz w:val="23"/>
          <w:szCs w:val="23"/>
        </w:rPr>
        <w:t xml:space="preserve"> </w:t>
      </w:r>
      <w:r>
        <w:rPr>
          <w:color w:val="000000"/>
          <w:sz w:val="23"/>
          <w:szCs w:val="23"/>
        </w:rPr>
        <w:t>has the same meaning as in clause 31;</w:t>
      </w:r>
    </w:p>
    <w:p>
      <w:pPr>
        <w:keepLines/>
        <w:autoSpaceDE w:val="0"/>
        <w:autoSpaceDN w:val="0"/>
        <w:adjustRightInd w:val="0"/>
        <w:spacing w:before="120"/>
        <w:ind w:left="1588"/>
        <w:rPr>
          <w:color w:val="000000"/>
          <w:sz w:val="23"/>
          <w:szCs w:val="23"/>
        </w:rPr>
      </w:pPr>
      <w:r>
        <w:rPr>
          <w:rStyle w:val="CharDefText"/>
          <w:bCs/>
          <w:sz w:val="23"/>
        </w:rPr>
        <w:t>SES employee</w:t>
      </w:r>
      <w:r>
        <w:rPr>
          <w:bCs/>
          <w:i/>
          <w:iCs/>
          <w:color w:val="000000"/>
          <w:sz w:val="23"/>
          <w:szCs w:val="23"/>
        </w:rPr>
        <w:t xml:space="preserve"> </w:t>
      </w:r>
      <w:r>
        <w:rPr>
          <w:color w:val="000000"/>
          <w:sz w:val="23"/>
          <w:szCs w:val="23"/>
        </w:rPr>
        <w:t xml:space="preserve">has the same meaning as in section 17AA of the </w:t>
      </w:r>
      <w:r>
        <w:rPr>
          <w:i/>
          <w:iCs/>
          <w:color w:val="000000"/>
          <w:sz w:val="23"/>
          <w:szCs w:val="23"/>
        </w:rPr>
        <w:t>Acts Interpretation Act 1901</w:t>
      </w:r>
      <w:r>
        <w:rPr>
          <w:color w:val="000000"/>
          <w:sz w:val="23"/>
          <w:szCs w:val="23"/>
        </w:rPr>
        <w:t xml:space="preserve"> of the Commonwealth.</w:t>
      </w:r>
    </w:p>
    <w:p>
      <w:pPr>
        <w:pStyle w:val="Heading5"/>
      </w:pPr>
      <w:bookmarkStart w:id="3006" w:name="_Toc53046441"/>
      <w:bookmarkStart w:id="3007" w:name="_Toc5365281"/>
      <w:r>
        <w:rPr>
          <w:rStyle w:val="CharSectno"/>
        </w:rPr>
        <w:t>34</w:t>
      </w:r>
      <w:r>
        <w:t>.</w:t>
      </w:r>
      <w:r>
        <w:tab/>
        <w:t>Evidentiary certificates—AER</w:t>
      </w:r>
      <w:bookmarkEnd w:id="3006"/>
      <w:bookmarkEnd w:id="300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In any proceedings under this Law, a certificate signed or purported to be signed by an AER member, or an SES employee or acting SES employee assisting the AER as mentioned in section 44AAC of the </w:t>
      </w:r>
      <w:r>
        <w:rPr>
          <w:i/>
          <w:iCs/>
          <w:color w:val="000000"/>
          <w:sz w:val="23"/>
          <w:szCs w:val="23"/>
        </w:rPr>
        <w:t>Trade Practices Act 1974</w:t>
      </w:r>
      <w:r>
        <w:rPr>
          <w:color w:val="000000"/>
          <w:sz w:val="23"/>
          <w:szCs w:val="23"/>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1 of the following things, made, given, served or issued under this Law or the Rules: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authorisation under section 32;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notice, notification, direction or requirement;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(ba)</w:t>
      </w:r>
      <w:r>
        <w:rPr>
          <w:color w:val="000000"/>
          <w:sz w:val="23"/>
          <w:szCs w:val="23"/>
        </w:rPr>
        <w:tab/>
        <w:t>a stated document is a copy of a rate of return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given 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authorised as an authorised person (within the meaning of section 31);</w:t>
      </w:r>
    </w:p>
    <w:p>
      <w:pPr>
        <w:keepNext/>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served a notice under section 42 or a regulatory information notice;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notified under section 52;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notified under section 143(3) of the making of an AER ring fencing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any of the following were published on the AER’s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full access arrangement or revisions to an applicable access arrangement submitted for approval under section 132;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limited access arrangement or revisions to an applicable access arrangement submitted for approval under section 116 or 168;</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 relevant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When subclause (1) is read as if a reference in it to the AER were a reference to the ERA, the subclause is to be read as if “an AER member, or an SES employee or acting SES employee assisting the AER as mentioned in section 44AAC of the </w:t>
      </w:r>
      <w:r>
        <w:rPr>
          <w:i/>
          <w:iCs/>
          <w:color w:val="000000"/>
          <w:sz w:val="23"/>
          <w:szCs w:val="23"/>
        </w:rPr>
        <w:t>Trade Practices Act 1974</w:t>
      </w:r>
      <w:r>
        <w:rPr>
          <w:color w:val="000000"/>
          <w:sz w:val="23"/>
          <w:szCs w:val="23"/>
        </w:rPr>
        <w:t xml:space="preserve"> of the Commonwealth” had been deleted and the following had been inserted instead:</w:t>
      </w:r>
    </w:p>
    <w:p>
      <w:pPr>
        <w:pStyle w:val="BlankOpen"/>
      </w:pPr>
    </w:p>
    <w:p>
      <w:pPr>
        <w:keepLines/>
        <w:tabs>
          <w:tab w:val="center" w:pos="1191"/>
          <w:tab w:val="left" w:pos="1588"/>
        </w:tabs>
        <w:autoSpaceDE w:val="0"/>
        <w:autoSpaceDN w:val="0"/>
        <w:adjustRightInd w:val="0"/>
        <w:spacing w:before="120"/>
        <w:ind w:left="1588" w:hanging="794"/>
        <w:rPr>
          <w:sz w:val="23"/>
        </w:rPr>
      </w:pPr>
      <w:r>
        <w:tab/>
      </w:r>
      <w:r>
        <w:tab/>
      </w:r>
      <w:r>
        <w:rPr>
          <w:sz w:val="23"/>
        </w:rPr>
        <w:t>a member of the ERA</w:t>
      </w:r>
    </w:p>
    <w:p>
      <w:pPr>
        <w:pStyle w:val="BlankClose"/>
      </w:pPr>
    </w:p>
    <w:p>
      <w:pPr>
        <w:pStyle w:val="Footnotesection"/>
      </w:pPr>
      <w:r>
        <w:tab/>
        <w:t>[Clause 34 modified: WA Act Sch. 1 cl. 16; amended: see SA Act No. 33 of 2018 s. 20(1) and WA Gazette 5 Apr 2019 p. 1007</w:t>
      </w:r>
      <w:r>
        <w:noBreakHyphen/>
        <w:t>8.]</w:t>
      </w:r>
    </w:p>
    <w:p>
      <w:pPr>
        <w:pStyle w:val="Heading5"/>
        <w:keepLines w:val="0"/>
      </w:pPr>
      <w:bookmarkStart w:id="3008" w:name="_Toc53046442"/>
      <w:bookmarkStart w:id="3009" w:name="_Toc5365282"/>
      <w:r>
        <w:rPr>
          <w:rStyle w:val="CharSectno"/>
        </w:rPr>
        <w:t>35</w:t>
      </w:r>
      <w:r>
        <w:t>.</w:t>
      </w:r>
      <w:r>
        <w:tab/>
        <w:t>Evidentiary certificates—AEMC</w:t>
      </w:r>
      <w:bookmarkEnd w:id="3008"/>
      <w:bookmarkEnd w:id="3009"/>
    </w:p>
    <w:p>
      <w:pPr>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a Commissioner or the AEMC chief executive, stating any of the following matters is evidence of the matter: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 relevant notice was published on the AEMC’s website.</w:t>
      </w:r>
    </w:p>
    <w:p>
      <w:pPr>
        <w:pStyle w:val="Heading5"/>
      </w:pPr>
      <w:bookmarkStart w:id="3010" w:name="_Toc53046443"/>
      <w:bookmarkStart w:id="3011" w:name="_Toc5365283"/>
      <w:r>
        <w:rPr>
          <w:rStyle w:val="CharSectno"/>
        </w:rPr>
        <w:t>36</w:t>
      </w:r>
      <w:r>
        <w:t>.</w:t>
      </w:r>
      <w:r>
        <w:tab/>
        <w:t>Evidentiary certificates—NCC</w:t>
      </w:r>
      <w:bookmarkEnd w:id="3010"/>
      <w:bookmarkEnd w:id="3011"/>
    </w:p>
    <w:p>
      <w:pPr>
        <w:keepNext/>
        <w:keepLines/>
        <w:autoSpaceDE w:val="0"/>
        <w:autoSpaceDN w:val="0"/>
        <w:adjustRightInd w:val="0"/>
        <w:spacing w:before="120"/>
        <w:ind w:left="1588"/>
        <w:rPr>
          <w:color w:val="000000"/>
          <w:sz w:val="23"/>
          <w:szCs w:val="23"/>
        </w:rPr>
      </w:pPr>
      <w:r>
        <w:rPr>
          <w:color w:val="000000"/>
          <w:sz w:val="23"/>
          <w:szCs w:val="23"/>
        </w:rPr>
        <w:t xml:space="preserve">In any proceedings under this Law, a certificate signed or purported to be signed by an NCC member, or an SES employee or acting SES employee who is an employee assisting the NCC as mentioned in section 29M of the </w:t>
      </w:r>
      <w:r>
        <w:rPr>
          <w:i/>
          <w:iCs/>
          <w:color w:val="000000"/>
          <w:sz w:val="23"/>
          <w:szCs w:val="23"/>
        </w:rPr>
        <w:t>Trade Practices Act 1974</w:t>
      </w:r>
      <w:r>
        <w:rPr>
          <w:color w:val="000000"/>
          <w:sz w:val="23"/>
          <w:szCs w:val="23"/>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decision of the NCC not to make a coverage determination because of section 96;</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stated day, a person was or was not given a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any 1 of the following was, in accordance with the Rules, published on the NCC’s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Ministerial coverage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decision of the NCC not to make a coverage determination because of section 96;</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relevant notice.</w:t>
      </w:r>
    </w:p>
    <w:p>
      <w:pPr>
        <w:pStyle w:val="Heading5"/>
      </w:pPr>
      <w:bookmarkStart w:id="3012" w:name="_Toc53046444"/>
      <w:bookmarkStart w:id="3013" w:name="_Toc5365284"/>
      <w:r>
        <w:rPr>
          <w:rStyle w:val="CharSectno"/>
        </w:rPr>
        <w:t>37</w:t>
      </w:r>
      <w:r>
        <w:t>.</w:t>
      </w:r>
      <w:r>
        <w:tab/>
        <w:t>Evidentiary certificates—relevant Minister and Commonwealth Minister</w:t>
      </w:r>
      <w:bookmarkEnd w:id="3012"/>
      <w:bookmarkEnd w:id="3013"/>
    </w:p>
    <w:p>
      <w:pPr>
        <w:keepNext/>
        <w:keepLines/>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a relevant Minister or the Commonwealth Minister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Ministerial coverage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stated day a person or the NCC was or was not given a Ministerial coverage decision.</w:t>
      </w:r>
    </w:p>
    <w:p>
      <w:pPr>
        <w:pStyle w:val="Heading5"/>
      </w:pPr>
      <w:bookmarkStart w:id="3014" w:name="_Toc53046445"/>
      <w:bookmarkStart w:id="3015" w:name="_Toc5365285"/>
      <w:r>
        <w:rPr>
          <w:rStyle w:val="CharSectno"/>
        </w:rPr>
        <w:t>38</w:t>
      </w:r>
      <w:r>
        <w:t>.</w:t>
      </w:r>
      <w:r>
        <w:tab/>
        <w:t>Evidentiary certificates—Bulletin Board operator</w:t>
      </w:r>
      <w:bookmarkEnd w:id="3014"/>
      <w:bookmarkEnd w:id="3015"/>
    </w:p>
    <w:p>
      <w:pPr>
        <w:keepNext/>
        <w:keepLines/>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the chief executive officer of the Bulletin Board operator,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 relevant notice was published on the Bulletin Board operator’s website.</w:t>
      </w:r>
    </w:p>
    <w:p>
      <w:pPr>
        <w:pStyle w:val="Heading3"/>
      </w:pPr>
      <w:bookmarkStart w:id="3016" w:name="_Toc52954752"/>
      <w:bookmarkStart w:id="3017" w:name="_Toc52956048"/>
      <w:bookmarkStart w:id="3018" w:name="_Toc52957547"/>
      <w:bookmarkStart w:id="3019" w:name="_Toc52958330"/>
      <w:bookmarkStart w:id="3020" w:name="_Toc53045663"/>
      <w:bookmarkStart w:id="3021" w:name="_Toc53046446"/>
      <w:bookmarkStart w:id="3022" w:name="_Toc501634331"/>
      <w:bookmarkStart w:id="3023" w:name="_Toc501713227"/>
      <w:bookmarkStart w:id="3024" w:name="_Toc536782453"/>
      <w:bookmarkStart w:id="3025" w:name="_Toc5347512"/>
      <w:bookmarkStart w:id="3026" w:name="_Toc5364065"/>
      <w:bookmarkStart w:id="3027" w:name="_Toc5365286"/>
      <w:r>
        <w:rPr>
          <w:rStyle w:val="CharDivNo"/>
        </w:rPr>
        <w:t>Part 8</w:t>
      </w:r>
      <w:r>
        <w:t xml:space="preserve"> — </w:t>
      </w:r>
      <w:r>
        <w:rPr>
          <w:rStyle w:val="CharDivText"/>
        </w:rPr>
        <w:t>Commencement of this Law and statutory instruments</w:t>
      </w:r>
      <w:bookmarkEnd w:id="3016"/>
      <w:bookmarkEnd w:id="3017"/>
      <w:bookmarkEnd w:id="3018"/>
      <w:bookmarkEnd w:id="3019"/>
      <w:bookmarkEnd w:id="3020"/>
      <w:bookmarkEnd w:id="3021"/>
      <w:bookmarkEnd w:id="3022"/>
      <w:bookmarkEnd w:id="3023"/>
      <w:bookmarkEnd w:id="3024"/>
      <w:bookmarkEnd w:id="3025"/>
      <w:bookmarkEnd w:id="3026"/>
      <w:bookmarkEnd w:id="3027"/>
    </w:p>
    <w:p>
      <w:pPr>
        <w:pStyle w:val="Heading5"/>
      </w:pPr>
      <w:bookmarkStart w:id="3028" w:name="_Toc53046447"/>
      <w:bookmarkStart w:id="3029" w:name="_Toc5365287"/>
      <w:r>
        <w:rPr>
          <w:rStyle w:val="CharSectno"/>
        </w:rPr>
        <w:t>39</w:t>
      </w:r>
      <w:r>
        <w:t>.</w:t>
      </w:r>
      <w:r>
        <w:tab/>
        <w:t>Time of commencement of this Law or a provision of this Law</w:t>
      </w:r>
      <w:bookmarkEnd w:id="3028"/>
      <w:bookmarkEnd w:id="3029"/>
    </w:p>
    <w:p>
      <w:pPr>
        <w:keepLines/>
        <w:autoSpaceDE w:val="0"/>
        <w:autoSpaceDN w:val="0"/>
        <w:adjustRightInd w:val="0"/>
        <w:spacing w:before="120"/>
        <w:ind w:left="1588"/>
        <w:rPr>
          <w:color w:val="000000"/>
          <w:sz w:val="23"/>
          <w:szCs w:val="23"/>
        </w:rPr>
      </w:pPr>
      <w:r>
        <w:rPr>
          <w:color w:val="000000"/>
          <w:sz w:val="23"/>
          <w:szCs w:val="23"/>
        </w:rPr>
        <w:t>If a provision of an Act of South Australia provides that this Law or a provision of this Law shall commence, or be deemed to have commenced, on a particular day, it shall commence, or be deemed to have commenced, at the beginning of that day.</w:t>
      </w:r>
    </w:p>
    <w:p>
      <w:pPr>
        <w:pStyle w:val="Heading5"/>
      </w:pPr>
      <w:bookmarkStart w:id="3030" w:name="_Toc53046448"/>
      <w:bookmarkStart w:id="3031" w:name="_Toc5365288"/>
      <w:r>
        <w:rPr>
          <w:rStyle w:val="CharSectno"/>
        </w:rPr>
        <w:t>40</w:t>
      </w:r>
      <w:r>
        <w:t>.</w:t>
      </w:r>
      <w:r>
        <w:tab/>
        <w:t>Time of commencement of a Rule</w:t>
      </w:r>
      <w:bookmarkEnd w:id="3030"/>
      <w:bookmarkEnd w:id="303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Rule provides that the Rule shall commence on a particular day, it shall commence at the beginning of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an Act of South Australia provides that a Rule is deemed to have commenced on a particular day, the Rule shall be deemed to have commenced at the beginning of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notice published in the South Australian Government Gazette under Chapter 9 Part 2 or section 314 provides that a Rule shall commence on a particular day, the Rule shall commence at the beginning of that day.</w:t>
      </w:r>
    </w:p>
    <w:p>
      <w:pPr>
        <w:pStyle w:val="Heading3"/>
      </w:pPr>
      <w:bookmarkStart w:id="3032" w:name="_Toc52954755"/>
      <w:bookmarkStart w:id="3033" w:name="_Toc52956051"/>
      <w:bookmarkStart w:id="3034" w:name="_Toc52957550"/>
      <w:bookmarkStart w:id="3035" w:name="_Toc52958333"/>
      <w:bookmarkStart w:id="3036" w:name="_Toc53045666"/>
      <w:bookmarkStart w:id="3037" w:name="_Toc53046449"/>
      <w:bookmarkStart w:id="3038" w:name="_Toc501634334"/>
      <w:bookmarkStart w:id="3039" w:name="_Toc501713230"/>
      <w:bookmarkStart w:id="3040" w:name="_Toc536782456"/>
      <w:bookmarkStart w:id="3041" w:name="_Toc5347515"/>
      <w:bookmarkStart w:id="3042" w:name="_Toc5364068"/>
      <w:bookmarkStart w:id="3043" w:name="_Toc5365289"/>
      <w:r>
        <w:rPr>
          <w:rStyle w:val="CharDivNo"/>
        </w:rPr>
        <w:t>Part 9</w:t>
      </w:r>
      <w:r>
        <w:t xml:space="preserve"> — </w:t>
      </w:r>
      <w:r>
        <w:rPr>
          <w:rStyle w:val="CharDivText"/>
        </w:rPr>
        <w:t>Effect of repeal, amendment or expiration</w:t>
      </w:r>
      <w:bookmarkEnd w:id="3032"/>
      <w:bookmarkEnd w:id="3033"/>
      <w:bookmarkEnd w:id="3034"/>
      <w:bookmarkEnd w:id="3035"/>
      <w:bookmarkEnd w:id="3036"/>
      <w:bookmarkEnd w:id="3037"/>
      <w:bookmarkEnd w:id="3038"/>
      <w:bookmarkEnd w:id="3039"/>
      <w:bookmarkEnd w:id="3040"/>
      <w:bookmarkEnd w:id="3041"/>
      <w:bookmarkEnd w:id="3042"/>
      <w:bookmarkEnd w:id="3043"/>
    </w:p>
    <w:p>
      <w:pPr>
        <w:pStyle w:val="Heading5"/>
      </w:pPr>
      <w:bookmarkStart w:id="3044" w:name="_Toc53046450"/>
      <w:bookmarkStart w:id="3045" w:name="_Toc5365290"/>
      <w:r>
        <w:rPr>
          <w:rStyle w:val="CharSectno"/>
        </w:rPr>
        <w:t>41</w:t>
      </w:r>
      <w:r>
        <w:t>.</w:t>
      </w:r>
      <w:r>
        <w:tab/>
        <w:t>Time of Law, the Regulations or Rules ceasing to have effect</w:t>
      </w:r>
      <w:bookmarkEnd w:id="3044"/>
      <w:bookmarkEnd w:id="3045"/>
    </w:p>
    <w:p>
      <w:pPr>
        <w:keepNext/>
        <w:keepLines/>
        <w:autoSpaceDE w:val="0"/>
        <w:autoSpaceDN w:val="0"/>
        <w:adjustRightInd w:val="0"/>
        <w:spacing w:before="120"/>
        <w:ind w:left="1588"/>
        <w:rPr>
          <w:color w:val="000000"/>
          <w:sz w:val="23"/>
          <w:szCs w:val="23"/>
        </w:rPr>
      </w:pPr>
      <w:r>
        <w:rPr>
          <w:color w:val="000000"/>
          <w:sz w:val="23"/>
          <w:szCs w:val="23"/>
        </w:rPr>
        <w:t>If a provision of this Law, the Regulations or the Rules is expressed—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expire on a specified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remain or continue in force, or otherwise have effect, until a specified day,</w:t>
      </w:r>
    </w:p>
    <w:p>
      <w:pPr>
        <w:keepLines/>
        <w:autoSpaceDE w:val="0"/>
        <w:autoSpaceDN w:val="0"/>
        <w:adjustRightInd w:val="0"/>
        <w:spacing w:before="120"/>
        <w:ind w:left="1588"/>
        <w:rPr>
          <w:color w:val="000000"/>
          <w:sz w:val="23"/>
          <w:szCs w:val="23"/>
        </w:rPr>
      </w:pPr>
      <w:r>
        <w:rPr>
          <w:color w:val="000000"/>
          <w:sz w:val="23"/>
          <w:szCs w:val="23"/>
        </w:rPr>
        <w:t>the provision has effect until the last moment of the specified day.</w:t>
      </w:r>
    </w:p>
    <w:p>
      <w:pPr>
        <w:pStyle w:val="Heading5"/>
      </w:pPr>
      <w:bookmarkStart w:id="3046" w:name="_Toc53046451"/>
      <w:bookmarkStart w:id="3047" w:name="_Toc5365291"/>
      <w:r>
        <w:rPr>
          <w:rStyle w:val="CharSectno"/>
        </w:rPr>
        <w:t>42</w:t>
      </w:r>
      <w:r>
        <w:t>.</w:t>
      </w:r>
      <w:r>
        <w:tab/>
        <w:t>Repealed Law, Regulation or Rule provisions not revived</w:t>
      </w:r>
      <w:bookmarkEnd w:id="3046"/>
      <w:bookmarkEnd w:id="304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provision of this Law is repealed or amended by an Act of South Australia or a provision of an Act of South Australia, the provision is not revived merely because the Act or the provision of the Act—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later expires.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Regulations or the Rules is repealed or amended by a Regulation or a Rule, the provision is not revived merely because the Regulation or Rule—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later expires.</w:t>
      </w:r>
    </w:p>
    <w:p>
      <w:pPr>
        <w:pStyle w:val="Heading5"/>
      </w:pPr>
      <w:bookmarkStart w:id="3048" w:name="_Toc53046452"/>
      <w:bookmarkStart w:id="3049" w:name="_Toc5365292"/>
      <w:r>
        <w:rPr>
          <w:rStyle w:val="CharSectno"/>
        </w:rPr>
        <w:t>43</w:t>
      </w:r>
      <w:r>
        <w:t>.</w:t>
      </w:r>
      <w:r>
        <w:tab/>
        <w:t>Saving of operation of repealed Law, Regulation or Rule provisions</w:t>
      </w:r>
      <w:bookmarkEnd w:id="3048"/>
      <w:bookmarkEnd w:id="304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repeal, amendment or expiry of a provision of this Law, the Regulations or the Rules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the repeal, amendment or expiry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provision or anything suffered, done or begun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incurred in relation to an offence arising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Any such penalty may be imposed and enforced, and any such investigation, proceeding or remedy may be begun, continued or enforced, as if the provision had not been repealed or amended or had not expired.</w:t>
      </w:r>
    </w:p>
    <w:p>
      <w:pPr>
        <w:pStyle w:val="Heading5"/>
      </w:pPr>
      <w:bookmarkStart w:id="3050" w:name="_Toc53046453"/>
      <w:bookmarkStart w:id="3051" w:name="_Toc5365293"/>
      <w:r>
        <w:rPr>
          <w:rStyle w:val="CharSectno"/>
        </w:rPr>
        <w:t>44</w:t>
      </w:r>
      <w:r>
        <w:t>.</w:t>
      </w:r>
      <w:r>
        <w:tab/>
        <w:t>Continuance of repealed provisions</w:t>
      </w:r>
      <w:bookmarkEnd w:id="3050"/>
      <w:bookmarkEnd w:id="305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Act of South Australia repeals some provisions of this Law and enacts new provisions in substitution for the repealed provisions, the repealed provisions continue in force until the new provisions commence.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Regulation or Rule repeals some provisions of the Regulations or Rules and enacts new provisions in substitution for the repealed provisions, the repealed provisions continue in force until the new provisions commence.</w:t>
      </w:r>
    </w:p>
    <w:p>
      <w:pPr>
        <w:pStyle w:val="Heading5"/>
      </w:pPr>
      <w:bookmarkStart w:id="3052" w:name="_Toc53046454"/>
      <w:bookmarkStart w:id="3053" w:name="_Toc5365294"/>
      <w:r>
        <w:rPr>
          <w:rStyle w:val="CharSectno"/>
        </w:rPr>
        <w:t>45</w:t>
      </w:r>
      <w:r>
        <w:t>.</w:t>
      </w:r>
      <w:r>
        <w:tab/>
        <w:t>Law and amending Acts to be read as one</w:t>
      </w:r>
      <w:bookmarkEnd w:id="3052"/>
      <w:bookmarkEnd w:id="3053"/>
    </w:p>
    <w:p>
      <w:pPr>
        <w:keepLines/>
        <w:autoSpaceDE w:val="0"/>
        <w:autoSpaceDN w:val="0"/>
        <w:adjustRightInd w:val="0"/>
        <w:spacing w:before="120"/>
        <w:ind w:left="1588"/>
        <w:rPr>
          <w:color w:val="000000"/>
          <w:sz w:val="23"/>
          <w:szCs w:val="23"/>
        </w:rPr>
      </w:pPr>
      <w:r>
        <w:rPr>
          <w:color w:val="000000"/>
          <w:sz w:val="23"/>
          <w:szCs w:val="23"/>
        </w:rPr>
        <w:t>This Law and all Acts of this jurisdiction amending this Law are to be read as one.</w:t>
      </w:r>
    </w:p>
    <w:p>
      <w:pPr>
        <w:pStyle w:val="Heading3"/>
      </w:pPr>
      <w:bookmarkStart w:id="3054" w:name="_Toc52954761"/>
      <w:bookmarkStart w:id="3055" w:name="_Toc52956057"/>
      <w:bookmarkStart w:id="3056" w:name="_Toc52957556"/>
      <w:bookmarkStart w:id="3057" w:name="_Toc52958339"/>
      <w:bookmarkStart w:id="3058" w:name="_Toc53045672"/>
      <w:bookmarkStart w:id="3059" w:name="_Toc53046455"/>
      <w:bookmarkStart w:id="3060" w:name="_Toc501634340"/>
      <w:bookmarkStart w:id="3061" w:name="_Toc501713236"/>
      <w:bookmarkStart w:id="3062" w:name="_Toc536782462"/>
      <w:bookmarkStart w:id="3063" w:name="_Toc5347521"/>
      <w:bookmarkStart w:id="3064" w:name="_Toc5364074"/>
      <w:bookmarkStart w:id="3065" w:name="_Toc5365295"/>
      <w:r>
        <w:rPr>
          <w:rStyle w:val="CharDivNo"/>
        </w:rPr>
        <w:t>Part 10</w:t>
      </w:r>
      <w:r>
        <w:t xml:space="preserve"> — </w:t>
      </w:r>
      <w:r>
        <w:rPr>
          <w:rStyle w:val="CharDivText"/>
        </w:rPr>
        <w:t>Offences under this Law</w:t>
      </w:r>
      <w:bookmarkEnd w:id="3054"/>
      <w:bookmarkEnd w:id="3055"/>
      <w:bookmarkEnd w:id="3056"/>
      <w:bookmarkEnd w:id="3057"/>
      <w:bookmarkEnd w:id="3058"/>
      <w:bookmarkEnd w:id="3059"/>
      <w:bookmarkEnd w:id="3060"/>
      <w:bookmarkEnd w:id="3061"/>
      <w:bookmarkEnd w:id="3062"/>
      <w:bookmarkEnd w:id="3063"/>
      <w:bookmarkEnd w:id="3064"/>
      <w:bookmarkEnd w:id="3065"/>
    </w:p>
    <w:p>
      <w:pPr>
        <w:pStyle w:val="Heading5"/>
      </w:pPr>
      <w:bookmarkStart w:id="3066" w:name="_Toc53046456"/>
      <w:bookmarkStart w:id="3067" w:name="_Toc5365296"/>
      <w:r>
        <w:rPr>
          <w:rStyle w:val="CharSectno"/>
        </w:rPr>
        <w:t>46</w:t>
      </w:r>
      <w:r>
        <w:t>.</w:t>
      </w:r>
      <w:r>
        <w:tab/>
        <w:t>Penalty at foot of provision</w:t>
      </w:r>
      <w:bookmarkEnd w:id="3066"/>
      <w:bookmarkEnd w:id="3067"/>
    </w:p>
    <w:p>
      <w:pPr>
        <w:keepNext/>
        <w:keepLines/>
        <w:autoSpaceDE w:val="0"/>
        <w:autoSpaceDN w:val="0"/>
        <w:adjustRightInd w:val="0"/>
        <w:spacing w:before="120"/>
        <w:ind w:left="1588"/>
        <w:rPr>
          <w:color w:val="000000"/>
          <w:sz w:val="23"/>
          <w:szCs w:val="23"/>
        </w:rPr>
      </w:pPr>
      <w:r>
        <w:rPr>
          <w:color w:val="000000"/>
          <w:sz w:val="23"/>
          <w:szCs w:val="23"/>
        </w:rPr>
        <w:t>In this Law, a penalty specified at the foot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section (whether or not the section is divided into subsections);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subsection (but not at the end of a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section or subsection and expressed in such a way as to indicate that it applies only to part of the section or subsection,</w:t>
      </w:r>
    </w:p>
    <w:p>
      <w:pPr>
        <w:keepLines/>
        <w:autoSpaceDE w:val="0"/>
        <w:autoSpaceDN w:val="0"/>
        <w:adjustRightInd w:val="0"/>
        <w:spacing w:before="120"/>
        <w:ind w:left="1588"/>
        <w:rPr>
          <w:color w:val="000000"/>
          <w:sz w:val="23"/>
          <w:szCs w:val="23"/>
        </w:rPr>
      </w:pPr>
      <w:r>
        <w:rPr>
          <w:color w:val="000000"/>
          <w:sz w:val="23"/>
          <w:szCs w:val="23"/>
        </w:rPr>
        <w:t>indicates that an offence mentioned in the section, subsection or part is punishable on conviction or, if no offence is mentioned, a contravention of the section, subsection or part constitutes an offence against the provision that is punishable, on conviction, by a penalty not more than the specified penalty.</w:t>
      </w:r>
    </w:p>
    <w:p>
      <w:pPr>
        <w:pStyle w:val="Heading5"/>
      </w:pPr>
      <w:bookmarkStart w:id="3068" w:name="_Toc53046457"/>
      <w:bookmarkStart w:id="3069" w:name="_Toc5365297"/>
      <w:r>
        <w:rPr>
          <w:rStyle w:val="CharSectno"/>
        </w:rPr>
        <w:t>47</w:t>
      </w:r>
      <w:r>
        <w:t>.</w:t>
      </w:r>
      <w:r>
        <w:tab/>
        <w:t>Penalty other than at foot of provision</w:t>
      </w:r>
      <w:bookmarkEnd w:id="3068"/>
      <w:bookmarkEnd w:id="306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 a penalty specified for an offence, or a contravention of a provision, indicates that the offence is punishable on conviction, or the contravention constitutes an offence against the provision that is punishable, on conviction, by a penalty not more than the specified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clause does not apply to a penalty to which clause 36 applies.</w:t>
      </w:r>
    </w:p>
    <w:p>
      <w:pPr>
        <w:pStyle w:val="Heading5"/>
      </w:pPr>
      <w:bookmarkStart w:id="3070" w:name="_Toc53046458"/>
      <w:bookmarkStart w:id="3071" w:name="_Toc5365298"/>
      <w:r>
        <w:rPr>
          <w:rStyle w:val="CharSectno"/>
        </w:rPr>
        <w:t>48</w:t>
      </w:r>
      <w:r>
        <w:t>.</w:t>
      </w:r>
      <w:r>
        <w:tab/>
        <w:t>Indictable offences and summary offences</w:t>
      </w:r>
      <w:bookmarkEnd w:id="3070"/>
      <w:bookmarkEnd w:id="307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offence against this Law that is not punishable by imprisonment is punishable summarily.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offence against this Law that is punishable by imprisonment is, subject to subclause (3), punishable on indictment.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proceeding for an offence against this Law that is punishable by imprisonment is instituted in a court of summary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prosecutor requests the court to hear and determine the proceeding,</w:t>
      </w:r>
    </w:p>
    <w:p>
      <w:pPr>
        <w:keepLines/>
        <w:autoSpaceDE w:val="0"/>
        <w:autoSpaceDN w:val="0"/>
        <w:adjustRightInd w:val="0"/>
        <w:spacing w:before="120"/>
        <w:ind w:left="1588"/>
        <w:rPr>
          <w:color w:val="000000"/>
          <w:sz w:val="23"/>
          <w:szCs w:val="23"/>
        </w:rPr>
      </w:pPr>
      <w:r>
        <w:rPr>
          <w:color w:val="000000"/>
          <w:sz w:val="23"/>
          <w:szCs w:val="23"/>
        </w:rPr>
        <w:t>the offence is punishable summarily and the court must hear and determine the proceeding.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court of summary jurisdiction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impose, in relation to a single offence against this Law, a period of imprisonment of more than 2 years;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impose, in relation to offences against the Law, cumulative periods of imprisonment that are, in total, more than 5 years.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Nothing in this clause renders a person liable to be punished more than once in relation to the same offence.</w:t>
      </w:r>
    </w:p>
    <w:p>
      <w:pPr>
        <w:pStyle w:val="Heading5"/>
      </w:pPr>
      <w:bookmarkStart w:id="3072" w:name="_Toc53046459"/>
      <w:bookmarkStart w:id="3073" w:name="_Toc5365299"/>
      <w:r>
        <w:rPr>
          <w:rStyle w:val="CharSectno"/>
        </w:rPr>
        <w:t>49</w:t>
      </w:r>
      <w:r>
        <w:t>.</w:t>
      </w:r>
      <w:r>
        <w:tab/>
        <w:t>Double jeopardy</w:t>
      </w:r>
      <w:bookmarkEnd w:id="3072"/>
      <w:bookmarkEnd w:id="307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act or omission constitutes an offence—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as applied as a law of another jurisdiction,</w:t>
      </w:r>
    </w:p>
    <w:p>
      <w:pPr>
        <w:keepLines/>
        <w:autoSpaceDE w:val="0"/>
        <w:autoSpaceDN w:val="0"/>
        <w:adjustRightInd w:val="0"/>
        <w:spacing w:before="120"/>
        <w:ind w:left="1588"/>
        <w:rPr>
          <w:color w:val="000000"/>
          <w:sz w:val="23"/>
          <w:szCs w:val="23"/>
        </w:rPr>
      </w:pPr>
      <w:r>
        <w:rPr>
          <w:color w:val="000000"/>
          <w:sz w:val="23"/>
          <w:szCs w:val="23"/>
        </w:rPr>
        <w:t>and the offender has been punished in relation to the offence under the law mentioned in paragraph (b), the offender is not liable to be punished in relation to the offence mentioned in paragraph (a).</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an act or omission constitutes—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breach of a civil penalty provision of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breach of a civil penalty provision of this Law as applied as a law of another jurisdiction,</w:t>
      </w:r>
    </w:p>
    <w:p>
      <w:pPr>
        <w:keepLines/>
        <w:autoSpaceDE w:val="0"/>
        <w:autoSpaceDN w:val="0"/>
        <w:adjustRightInd w:val="0"/>
        <w:spacing w:before="120"/>
        <w:ind w:left="1588"/>
        <w:rPr>
          <w:color w:val="000000"/>
          <w:sz w:val="23"/>
          <w:szCs w:val="23"/>
        </w:rPr>
      </w:pPr>
      <w:r>
        <w:rPr>
          <w:color w:val="000000"/>
          <w:sz w:val="23"/>
          <w:szCs w:val="23"/>
        </w:rPr>
        <w:t>and the person in breach of the civil penalty provision mentioned in paragraph (a) has been punished in relation to the civil penalty provision mentioned in paragraph (b), the person is not liable in relation to the breach of the civil penalty provision mentioned in paragraph (a).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Court must not make a declaration that a person is in breach of a provision of this Law, the Regulations or the Rules that is not an offence provision if the person has been convicted of an offence constituted by conduct that is substantially the same as the conduct constituting the breach.</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Proceedings for a declaration referred to in subclause (3) are stayed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criminal proceedings are commenced or have already been commenced against the person for an offence;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offence is constituted by conduct that is substantially the same as the conduct alleged to constitute the breach.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proceedings for the declaration referred to in subclause (3) may be resumed if the person is not convicted of the offence. Otherwise, the proceedings for the declaration must be dismissed.</w:t>
      </w:r>
    </w:p>
    <w:p>
      <w:pPr>
        <w:pStyle w:val="Heading5"/>
      </w:pPr>
      <w:bookmarkStart w:id="3074" w:name="_Toc53046460"/>
      <w:bookmarkStart w:id="3075" w:name="_Toc5365300"/>
      <w:r>
        <w:rPr>
          <w:rStyle w:val="CharSectno"/>
        </w:rPr>
        <w:t>50</w:t>
      </w:r>
      <w:r>
        <w:t>.</w:t>
      </w:r>
      <w:r>
        <w:tab/>
        <w:t>Attempts and incitement</w:t>
      </w:r>
      <w:bookmarkEnd w:id="3074"/>
      <w:bookmarkEnd w:id="3075"/>
    </w:p>
    <w:p>
      <w:pPr>
        <w:keepNext/>
        <w:keepLines/>
        <w:autoSpaceDE w:val="0"/>
        <w:autoSpaceDN w:val="0"/>
        <w:adjustRightInd w:val="0"/>
        <w:spacing w:before="120"/>
        <w:ind w:left="1588"/>
        <w:rPr>
          <w:color w:val="000000"/>
          <w:sz w:val="23"/>
          <w:szCs w:val="23"/>
        </w:rPr>
      </w:pPr>
      <w:r>
        <w:rPr>
          <w:sz w:val="23"/>
        </w:rPr>
        <w:t xml:space="preserve">Section 555A(1) and (2) of </w:t>
      </w:r>
      <w:r>
        <w:rPr>
          <w:i/>
          <w:iCs/>
          <w:sz w:val="23"/>
        </w:rPr>
        <w:t>The Criminal Code</w:t>
      </w:r>
      <w:r>
        <w:rPr>
          <w:sz w:val="23"/>
        </w:rPr>
        <w:t xml:space="preserve"> apply in relation to a simple offence under this Law as if it were a simple offence under </w:t>
      </w:r>
      <w:r>
        <w:rPr>
          <w:i/>
          <w:iCs/>
          <w:sz w:val="23"/>
        </w:rPr>
        <w:t>The Criminal Code</w:t>
      </w:r>
      <w:r>
        <w:rPr>
          <w:sz w:val="23"/>
        </w:rPr>
        <w:t>.</w:t>
      </w:r>
    </w:p>
    <w:p>
      <w:pPr>
        <w:pStyle w:val="Footnotesection"/>
      </w:pPr>
      <w:r>
        <w:tab/>
        <w:t>[Clause 50 inserted: WA Act Sch. 1 cl. 17.]</w:t>
      </w:r>
    </w:p>
    <w:p>
      <w:pPr>
        <w:pStyle w:val="Heading3"/>
      </w:pPr>
      <w:bookmarkStart w:id="3076" w:name="_Toc52954767"/>
      <w:bookmarkStart w:id="3077" w:name="_Toc52956063"/>
      <w:bookmarkStart w:id="3078" w:name="_Toc52957562"/>
      <w:bookmarkStart w:id="3079" w:name="_Toc52958345"/>
      <w:bookmarkStart w:id="3080" w:name="_Toc53045678"/>
      <w:bookmarkStart w:id="3081" w:name="_Toc53046461"/>
      <w:bookmarkStart w:id="3082" w:name="_Toc501634346"/>
      <w:bookmarkStart w:id="3083" w:name="_Toc501713242"/>
      <w:bookmarkStart w:id="3084" w:name="_Toc536782468"/>
      <w:bookmarkStart w:id="3085" w:name="_Toc5347527"/>
      <w:bookmarkStart w:id="3086" w:name="_Toc5364080"/>
      <w:bookmarkStart w:id="3087" w:name="_Toc5365301"/>
      <w:r>
        <w:rPr>
          <w:rStyle w:val="CharDivNo"/>
        </w:rPr>
        <w:t>Part 11</w:t>
      </w:r>
      <w:r>
        <w:t xml:space="preserve"> — </w:t>
      </w:r>
      <w:r>
        <w:rPr>
          <w:rStyle w:val="CharDivText"/>
        </w:rPr>
        <w:t>Instruments under this Law</w:t>
      </w:r>
      <w:bookmarkEnd w:id="3076"/>
      <w:bookmarkEnd w:id="3077"/>
      <w:bookmarkEnd w:id="3078"/>
      <w:bookmarkEnd w:id="3079"/>
      <w:bookmarkEnd w:id="3080"/>
      <w:bookmarkEnd w:id="3081"/>
      <w:bookmarkEnd w:id="3082"/>
      <w:bookmarkEnd w:id="3083"/>
      <w:bookmarkEnd w:id="3084"/>
      <w:bookmarkEnd w:id="3085"/>
      <w:bookmarkEnd w:id="3086"/>
      <w:bookmarkEnd w:id="3087"/>
    </w:p>
    <w:p>
      <w:pPr>
        <w:pStyle w:val="Heading5"/>
      </w:pPr>
      <w:bookmarkStart w:id="3088" w:name="_Toc53046462"/>
      <w:bookmarkStart w:id="3089" w:name="_Toc5365302"/>
      <w:r>
        <w:rPr>
          <w:rStyle w:val="CharSectno"/>
        </w:rPr>
        <w:t>51</w:t>
      </w:r>
      <w:r>
        <w:t>.</w:t>
      </w:r>
      <w:r>
        <w:tab/>
        <w:t>Schedule applies to statutory instruments</w:t>
      </w:r>
      <w:bookmarkEnd w:id="3088"/>
      <w:bookmarkEnd w:id="308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Schedule applies to a statutory instrument, and to things that may be done or are required to be done under a statutory instrument, in the same way as it applies to this Law, and things that may be done or are required to be done under this Law,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fact that a provision of this Schedule refers to this Law and not also to a statutory instrument does not, by itself, indicate that the provision is intended to apply only to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rPr>
          <w:sz w:val="23"/>
          <w:szCs w:val="23"/>
        </w:rPr>
      </w:pPr>
      <w:r>
        <w:rPr>
          <w:rStyle w:val="CharDefText"/>
          <w:sz w:val="23"/>
          <w:szCs w:val="23"/>
        </w:rPr>
        <w:t>statutory instrument</w:t>
      </w:r>
      <w:r>
        <w:rPr>
          <w:sz w:val="23"/>
          <w:szCs w:val="23"/>
        </w:rPr>
        <w:t xml:space="preserve"> includes the </w:t>
      </w:r>
      <w:r>
        <w:rPr>
          <w:color w:val="000000"/>
          <w:sz w:val="23"/>
          <w:szCs w:val="23"/>
        </w:rPr>
        <w:t>Regulations</w:t>
      </w:r>
      <w:r>
        <w:rPr>
          <w:sz w:val="23"/>
          <w:szCs w:val="23"/>
        </w:rPr>
        <w:t>, the rate of return instrument or the Rules.</w:t>
      </w:r>
    </w:p>
    <w:p>
      <w:pPr>
        <w:pStyle w:val="Footnotesection"/>
      </w:pPr>
      <w:r>
        <w:tab/>
        <w:t>[Clause 51 modified: WA Act Sch. 1 cl. 17A.]</w:t>
      </w:r>
    </w:p>
    <w:p>
      <w:pPr>
        <w:pStyle w:val="Heading5"/>
        <w:rPr>
          <w:b w:val="0"/>
        </w:rPr>
      </w:pPr>
      <w:bookmarkStart w:id="3090" w:name="_Toc53046463"/>
      <w:bookmarkStart w:id="3091" w:name="_Toc182916"/>
      <w:bookmarkStart w:id="3092" w:name="_Toc5365303"/>
      <w:r>
        <w:rPr>
          <w:rStyle w:val="CharSectno"/>
        </w:rPr>
        <w:t>51A</w:t>
      </w:r>
      <w:r>
        <w:t>.</w:t>
      </w:r>
      <w:r>
        <w:tab/>
        <w:t>Rate of return instrument construed not to exceed the legislative power of the Legislature of this jurisdiction or the powers conferred by this Law</w:t>
      </w:r>
      <w:bookmarkEnd w:id="3090"/>
      <w:bookmarkEnd w:id="3091"/>
      <w:bookmarkEnd w:id="309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rate of return instrument is to be construed as operating to the full extent of, but so as not to exceed, the legislative power of the Legislature of this jurisdiction or the power conferred by this Law under which it is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rate of return instrument, or the application of a provision of the instrument to a person, subject matter or circumstance, would, but for this clause, be construed as being in excess of the legislative power of the Legislature of this jurisdiction or the power conferred by this Law under which it is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the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the instrument, and the application of the provision to other persons, subject matters or circumstances, is not affected.</w:t>
      </w:r>
    </w:p>
    <w:p>
      <w:pPr>
        <w:pStyle w:val="Footnotesection"/>
      </w:pPr>
      <w:r>
        <w:tab/>
        <w:t>[Clause 51A inserted: see SA Act No. 33 of 2018 s. 20(3) and WA Gazette 5 Apr 2019 p. 1007.]</w:t>
      </w:r>
    </w:p>
    <w:p>
      <w:pPr>
        <w:pStyle w:val="Heading5"/>
      </w:pPr>
      <w:bookmarkStart w:id="3093" w:name="_Toc53046464"/>
      <w:bookmarkStart w:id="3094" w:name="_Toc5365304"/>
      <w:r>
        <w:rPr>
          <w:rStyle w:val="CharSectno"/>
        </w:rPr>
        <w:t>52</w:t>
      </w:r>
      <w:r>
        <w:t>.</w:t>
      </w:r>
      <w:r>
        <w:tab/>
        <w:t>National Gas Rules to be construed so as not to exceed the legislative power of the Legislature of this jurisdiction or the powers conferred by this Law</w:t>
      </w:r>
      <w:bookmarkEnd w:id="3093"/>
      <w:bookmarkEnd w:id="309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National Gas Rules are to be construed as operating to the full extent of, but so as not to exceed, the legislative power of the Legislature of this jurisdiction or the power conferred by this Law under which they are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National Gas Rules, or the application of a provision of the National Gas Rules to a person, subject matter or circumstance, would, but for this clause, be construed as being in excess of the legislative power of the Legislature of this jurisdiction or the power conferred by this Law under which it is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that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the National Gas Rules,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subclause (2), the National Gas Rules are not to be construed as imposing any duty on the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particular, if a provision of the National Gas Rules appears to impose a duty on the AER to perform a function or exercise a power in matters or circumstances in which the assumption of the duty cannot be validly authorised under a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acts or omissions of corporations to which section 51(xx) of the </w:t>
      </w:r>
      <w:r>
        <w:rPr>
          <w:i/>
          <w:iCs/>
          <w:color w:val="000000"/>
          <w:sz w:val="23"/>
          <w:szCs w:val="23"/>
        </w:rPr>
        <w:t>Constitution of the Commonwealth</w:t>
      </w:r>
      <w:r>
        <w:rPr>
          <w:color w:val="000000"/>
          <w:sz w:val="23"/>
          <w:szCs w:val="23"/>
        </w:rPr>
        <w:t xml:space="preserve">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clause does not limit the effect that a provision of the National Gas Rules would validly have apart from this clause.</w:t>
      </w:r>
    </w:p>
    <w:p>
      <w:pPr>
        <w:pStyle w:val="Heading5"/>
      </w:pPr>
      <w:bookmarkStart w:id="3095" w:name="_Toc53046465"/>
      <w:bookmarkStart w:id="3096" w:name="_Toc5365305"/>
      <w:r>
        <w:rPr>
          <w:rStyle w:val="CharSectno"/>
        </w:rPr>
        <w:t>53</w:t>
      </w:r>
      <w:r>
        <w:t>.</w:t>
      </w:r>
      <w:r>
        <w:tab/>
        <w:t>Invalid Rules</w:t>
      </w:r>
      <w:bookmarkEnd w:id="3095"/>
      <w:bookmarkEnd w:id="309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Court orders (by declaration or otherwise) that a Rule is invalid, the order of the Court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of the order of the Court;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Rule or anything suffered, done or begun under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arising because of a breach of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penalty may be imposed and enforced, and any such investigation, proceeding or remedy may be begun, continued or enforced as if the Rule had not been ordered by the Court as invalid.</w:t>
      </w:r>
    </w:p>
    <w:p>
      <w:pPr>
        <w:pStyle w:val="Heading5"/>
      </w:pPr>
      <w:bookmarkStart w:id="3097" w:name="_Toc53046466"/>
      <w:bookmarkStart w:id="3098" w:name="_Toc182919"/>
      <w:bookmarkStart w:id="3099" w:name="_Toc5365306"/>
      <w:bookmarkStart w:id="3100" w:name="_Toc501634350"/>
      <w:bookmarkStart w:id="3101" w:name="_Toc501713246"/>
      <w:bookmarkStart w:id="3102" w:name="_Toc536782472"/>
      <w:r>
        <w:rPr>
          <w:rStyle w:val="CharSectno"/>
        </w:rPr>
        <w:t>53A</w:t>
      </w:r>
      <w:r>
        <w:t>.</w:t>
      </w:r>
      <w:r>
        <w:tab/>
        <w:t>Invalid rate of return instrument</w:t>
      </w:r>
      <w:bookmarkEnd w:id="3097"/>
      <w:bookmarkEnd w:id="3098"/>
      <w:bookmarkEnd w:id="309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 the Court orders (by declaration or otherwise) that a rate of return instrument is invalid.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make a new rate of return instrument under this Law to replace the invalid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Until the invalid instrument is replaced, the rate of return on capital and the value of imputation credits under the invalid instrument continue to apply for the purposes of this Law.</w:t>
      </w:r>
    </w:p>
    <w:p>
      <w:pPr>
        <w:keepLines/>
        <w:tabs>
          <w:tab w:val="center" w:pos="1191"/>
          <w:tab w:val="left" w:pos="1588"/>
        </w:tabs>
        <w:autoSpaceDE w:val="0"/>
        <w:autoSpaceDN w:val="0"/>
        <w:adjustRightInd w:val="0"/>
        <w:spacing w:before="120"/>
        <w:ind w:left="1588" w:hanging="794"/>
        <w:rPr>
          <w:color w:val="000000"/>
          <w:sz w:val="23"/>
          <w:szCs w:val="23"/>
        </w:rPr>
      </w:pPr>
      <w:bookmarkStart w:id="3103" w:name="id5098b1b8_2e27_4cc1_9aa5_91fbe454a8"/>
      <w:r>
        <w:rPr>
          <w:color w:val="000000"/>
          <w:sz w:val="23"/>
          <w:szCs w:val="23"/>
        </w:rPr>
        <w:tab/>
        <w:t>(4)</w:t>
      </w:r>
      <w:r>
        <w:rPr>
          <w:color w:val="000000"/>
          <w:sz w:val="23"/>
          <w:szCs w:val="23"/>
        </w:rPr>
        <w:tab/>
        <w:t>However, the AER must deal with any affected access arrangement decision to apply the new rate of return instrument to the decision as if the new instrument had applied from the start of the decision.</w:t>
      </w:r>
      <w:bookmarkEnd w:id="310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Subclause (4) applies despite section 30Q(1).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szCs w:val="23"/>
        </w:rPr>
        <w:t>affected access arrangement decision</w:t>
      </w:r>
      <w:r>
        <w:rPr>
          <w:color w:val="000000"/>
          <w:sz w:val="23"/>
          <w:szCs w:val="23"/>
        </w:rPr>
        <w:t xml:space="preserve"> means a full access arrangement decision to which the invalid instrument applied or continued to apply;</w:t>
      </w:r>
    </w:p>
    <w:p>
      <w:pPr>
        <w:keepLines/>
        <w:autoSpaceDE w:val="0"/>
        <w:autoSpaceDN w:val="0"/>
        <w:adjustRightInd w:val="0"/>
        <w:spacing w:before="120"/>
        <w:ind w:left="1588"/>
        <w:rPr>
          <w:color w:val="000000"/>
          <w:sz w:val="23"/>
          <w:szCs w:val="23"/>
        </w:rPr>
      </w:pPr>
      <w:r>
        <w:rPr>
          <w:rStyle w:val="CharDefText"/>
          <w:sz w:val="23"/>
          <w:szCs w:val="23"/>
        </w:rPr>
        <w:t>deal with</w:t>
      </w:r>
      <w:r>
        <w:rPr>
          <w:color w:val="000000"/>
          <w:sz w:val="23"/>
          <w:szCs w:val="23"/>
        </w:rPr>
        <w:t>, an affected access arrangement decision, means to do either of the following the AER considers appropriate in the circumstances—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revoke the decision and substitute a new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the decision.</w:t>
      </w:r>
    </w:p>
    <w:p>
      <w:pPr>
        <w:pStyle w:val="Footnotesection"/>
      </w:pPr>
      <w:r>
        <w:tab/>
        <w:t>[Clause 53A inserted: see SA Act No. 33 of 2018 s. 20(4) and WA Gazette 5 Apr 2019 p. 1007.]</w:t>
      </w:r>
    </w:p>
    <w:p>
      <w:pPr>
        <w:pStyle w:val="Heading2"/>
      </w:pPr>
      <w:bookmarkStart w:id="3104" w:name="_Toc52954773"/>
      <w:bookmarkStart w:id="3105" w:name="_Toc52956069"/>
      <w:bookmarkStart w:id="3106" w:name="_Toc52957568"/>
      <w:bookmarkStart w:id="3107" w:name="_Toc52958351"/>
      <w:bookmarkStart w:id="3108" w:name="_Toc53045684"/>
      <w:bookmarkStart w:id="3109" w:name="_Toc53046467"/>
      <w:bookmarkStart w:id="3110" w:name="_Toc5347533"/>
      <w:bookmarkStart w:id="3111" w:name="_Toc5364086"/>
      <w:bookmarkStart w:id="3112" w:name="_Toc5365307"/>
      <w:r>
        <w:rPr>
          <w:rStyle w:val="CharPartNo"/>
        </w:rPr>
        <w:t>Schedule 3</w:t>
      </w:r>
      <w:r>
        <w:t xml:space="preserve"> — </w:t>
      </w:r>
      <w:r>
        <w:rPr>
          <w:rStyle w:val="CharPartText"/>
        </w:rPr>
        <w:t>Savings and transitionals</w:t>
      </w:r>
      <w:bookmarkEnd w:id="3104"/>
      <w:bookmarkEnd w:id="3105"/>
      <w:bookmarkEnd w:id="3106"/>
      <w:bookmarkEnd w:id="3107"/>
      <w:bookmarkEnd w:id="3108"/>
      <w:bookmarkEnd w:id="3109"/>
      <w:bookmarkEnd w:id="3100"/>
      <w:bookmarkEnd w:id="3101"/>
      <w:bookmarkEnd w:id="3102"/>
      <w:bookmarkEnd w:id="3110"/>
      <w:bookmarkEnd w:id="3111"/>
      <w:bookmarkEnd w:id="3112"/>
    </w:p>
    <w:p>
      <w:pPr>
        <w:keepNext/>
        <w:keepLines/>
        <w:autoSpaceDE w:val="0"/>
        <w:autoSpaceDN w:val="0"/>
        <w:adjustRightInd w:val="0"/>
        <w:spacing w:before="120"/>
        <w:ind w:left="794"/>
        <w:jc w:val="right"/>
        <w:rPr>
          <w:color w:val="000000"/>
          <w:sz w:val="23"/>
          <w:szCs w:val="23"/>
        </w:rPr>
      </w:pPr>
      <w:r>
        <w:rPr>
          <w:color w:val="000000"/>
          <w:sz w:val="23"/>
          <w:szCs w:val="23"/>
        </w:rPr>
        <w:t>Section 336</w:t>
      </w:r>
    </w:p>
    <w:p>
      <w:pPr>
        <w:pStyle w:val="Heading3"/>
      </w:pPr>
      <w:bookmarkStart w:id="3113" w:name="_Toc52954774"/>
      <w:bookmarkStart w:id="3114" w:name="_Toc52956070"/>
      <w:bookmarkStart w:id="3115" w:name="_Toc52957569"/>
      <w:bookmarkStart w:id="3116" w:name="_Toc52958352"/>
      <w:bookmarkStart w:id="3117" w:name="_Toc53045685"/>
      <w:bookmarkStart w:id="3118" w:name="_Toc53046468"/>
      <w:bookmarkStart w:id="3119" w:name="_Toc501634351"/>
      <w:bookmarkStart w:id="3120" w:name="_Toc501713247"/>
      <w:bookmarkStart w:id="3121" w:name="_Toc536782473"/>
      <w:bookmarkStart w:id="3122" w:name="_Toc5347534"/>
      <w:bookmarkStart w:id="3123" w:name="_Toc5364087"/>
      <w:bookmarkStart w:id="3124" w:name="_Toc5365308"/>
      <w:r>
        <w:rPr>
          <w:rStyle w:val="CharDivNo"/>
        </w:rPr>
        <w:t>Part 1</w:t>
      </w:r>
      <w:r>
        <w:t xml:space="preserve"> — </w:t>
      </w:r>
      <w:r>
        <w:rPr>
          <w:rStyle w:val="CharDivText"/>
        </w:rPr>
        <w:t>General</w:t>
      </w:r>
      <w:bookmarkEnd w:id="3113"/>
      <w:bookmarkEnd w:id="3114"/>
      <w:bookmarkEnd w:id="3115"/>
      <w:bookmarkEnd w:id="3116"/>
      <w:bookmarkEnd w:id="3117"/>
      <w:bookmarkEnd w:id="3118"/>
      <w:bookmarkEnd w:id="3119"/>
      <w:bookmarkEnd w:id="3120"/>
      <w:bookmarkEnd w:id="3121"/>
      <w:bookmarkEnd w:id="3122"/>
      <w:bookmarkEnd w:id="3123"/>
      <w:bookmarkEnd w:id="3124"/>
    </w:p>
    <w:p>
      <w:pPr>
        <w:pStyle w:val="Heading5"/>
      </w:pPr>
      <w:bookmarkStart w:id="3125" w:name="_Toc53046469"/>
      <w:bookmarkStart w:id="3126" w:name="_Toc5365309"/>
      <w:r>
        <w:rPr>
          <w:rStyle w:val="CharSectno"/>
        </w:rPr>
        <w:t>1</w:t>
      </w:r>
      <w:r>
        <w:t>.</w:t>
      </w:r>
      <w:r>
        <w:tab/>
        <w:t>Definitions</w:t>
      </w:r>
      <w:bookmarkEnd w:id="3125"/>
      <w:bookmarkEnd w:id="3126"/>
    </w:p>
    <w:p>
      <w:pPr>
        <w:keepNext/>
        <w:keepLines/>
        <w:autoSpaceDE w:val="0"/>
        <w:autoSpaceDN w:val="0"/>
        <w:adjustRightInd w:val="0"/>
        <w:spacing w:before="120"/>
        <w:ind w:left="1588"/>
        <w:rPr>
          <w:color w:val="000000"/>
          <w:sz w:val="23"/>
          <w:szCs w:val="23"/>
        </w:rPr>
      </w:pPr>
      <w:r>
        <w:rPr>
          <w:color w:val="000000"/>
          <w:sz w:val="23"/>
          <w:szCs w:val="23"/>
        </w:rPr>
        <w:t>In this Schedule—</w:t>
      </w:r>
    </w:p>
    <w:p>
      <w:pPr>
        <w:keepLines/>
        <w:autoSpaceDE w:val="0"/>
        <w:autoSpaceDN w:val="0"/>
        <w:adjustRightInd w:val="0"/>
        <w:spacing w:before="120"/>
        <w:ind w:left="1588"/>
        <w:rPr>
          <w:color w:val="000000"/>
          <w:sz w:val="23"/>
          <w:szCs w:val="23"/>
        </w:rPr>
      </w:pPr>
      <w:r>
        <w:rPr>
          <w:rStyle w:val="CharDefText"/>
          <w:bCs/>
          <w:sz w:val="23"/>
        </w:rPr>
        <w:t>binding no</w:t>
      </w:r>
      <w:r>
        <w:rPr>
          <w:rStyle w:val="CharDefText"/>
          <w:bCs/>
          <w:sz w:val="23"/>
        </w:rPr>
        <w:noBreakHyphen/>
        <w:t>coverage determination</w:t>
      </w:r>
      <w:r>
        <w:rPr>
          <w:bCs/>
          <w:i/>
          <w:iCs/>
          <w:color w:val="000000"/>
          <w:sz w:val="23"/>
          <w:szCs w:val="23"/>
        </w:rPr>
        <w:t xml:space="preserve"> </w:t>
      </w:r>
      <w:r>
        <w:rPr>
          <w:color w:val="000000"/>
          <w:sz w:val="23"/>
          <w:szCs w:val="23"/>
        </w:rPr>
        <w:t>has the same meaning as in section 13A of the old access law;</w:t>
      </w:r>
    </w:p>
    <w:p>
      <w:pPr>
        <w:keepLines/>
        <w:autoSpaceDE w:val="0"/>
        <w:autoSpaceDN w:val="0"/>
        <w:adjustRightInd w:val="0"/>
        <w:spacing w:before="120"/>
        <w:ind w:left="1588"/>
        <w:rPr>
          <w:color w:val="000000"/>
          <w:sz w:val="23"/>
          <w:szCs w:val="23"/>
        </w:rPr>
      </w:pPr>
      <w:r>
        <w:rPr>
          <w:rStyle w:val="CharDefText"/>
          <w:bCs/>
          <w:sz w:val="23"/>
        </w:rPr>
        <w:t>commencement day</w:t>
      </w:r>
      <w:r>
        <w:rPr>
          <w:bCs/>
          <w:i/>
          <w:iCs/>
          <w:color w:val="000000"/>
          <w:sz w:val="23"/>
          <w:szCs w:val="23"/>
        </w:rPr>
        <w:t xml:space="preserve"> </w:t>
      </w:r>
      <w:r>
        <w:rPr>
          <w:color w:val="000000"/>
          <w:sz w:val="23"/>
          <w:szCs w:val="23"/>
        </w:rPr>
        <w:t xml:space="preserve">means the day on which </w:t>
      </w:r>
      <w:r>
        <w:rPr>
          <w:sz w:val="23"/>
        </w:rPr>
        <w:t xml:space="preserve">section 30 of the </w:t>
      </w:r>
      <w:r>
        <w:rPr>
          <w:i/>
          <w:iCs/>
          <w:sz w:val="23"/>
        </w:rPr>
        <w:t>National Gas Access (WA) Act 2009</w:t>
      </w:r>
      <w:r>
        <w:rPr>
          <w:color w:val="000000"/>
          <w:sz w:val="23"/>
          <w:szCs w:val="23"/>
        </w:rPr>
        <w:t xml:space="preserve"> comes into operation;</w:t>
      </w:r>
    </w:p>
    <w:p>
      <w:pPr>
        <w:keepLines/>
        <w:autoSpaceDE w:val="0"/>
        <w:autoSpaceDN w:val="0"/>
        <w:adjustRightInd w:val="0"/>
        <w:spacing w:before="120"/>
        <w:ind w:left="1588"/>
        <w:rPr>
          <w:color w:val="000000"/>
          <w:sz w:val="23"/>
          <w:szCs w:val="23"/>
        </w:rPr>
      </w:pPr>
      <w:r>
        <w:rPr>
          <w:rStyle w:val="CharDefText"/>
          <w:bCs/>
          <w:sz w:val="23"/>
        </w:rPr>
        <w:t>current access arrangement</w:t>
      </w:r>
      <w:r>
        <w:rPr>
          <w:bCs/>
          <w:i/>
          <w:iCs/>
          <w:color w:val="000000"/>
          <w:sz w:val="23"/>
          <w:szCs w:val="23"/>
        </w:rPr>
        <w:t xml:space="preserve"> </w:t>
      </w:r>
      <w:r>
        <w:rPr>
          <w:color w:val="000000"/>
          <w:sz w:val="23"/>
          <w:szCs w:val="23"/>
        </w:rPr>
        <w:t>means an Access Arrangement as defined by section 10.8 of the Gas Code and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new application Act</w:t>
      </w:r>
      <w:r>
        <w:rPr>
          <w:i/>
          <w:iCs/>
          <w:color w:val="000000"/>
          <w:sz w:val="23"/>
          <w:szCs w:val="23"/>
        </w:rPr>
        <w:t xml:space="preserve"> </w:t>
      </w:r>
      <w:r>
        <w:rPr>
          <w:color w:val="000000"/>
          <w:sz w:val="23"/>
          <w:szCs w:val="23"/>
        </w:rPr>
        <w:t xml:space="preserve">means the </w:t>
      </w:r>
      <w:r>
        <w:rPr>
          <w:i/>
          <w:iCs/>
          <w:color w:val="000000"/>
          <w:sz w:val="23"/>
          <w:szCs w:val="23"/>
        </w:rPr>
        <w:t>National Gas (South Australia) Act 2008</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old</w:t>
      </w:r>
      <w:r>
        <w:rPr>
          <w:rStyle w:val="CharDefText"/>
          <w:b w:val="0"/>
          <w:sz w:val="23"/>
        </w:rPr>
        <w:t xml:space="preserve"> </w:t>
      </w:r>
      <w:r>
        <w:rPr>
          <w:rStyle w:val="CharDefText"/>
          <w:bCs/>
          <w:sz w:val="23"/>
        </w:rPr>
        <w:t>scheme coverage application</w:t>
      </w:r>
      <w:r>
        <w:rPr>
          <w:b/>
          <w:bCs/>
          <w:i/>
          <w:iCs/>
          <w:color w:val="000000"/>
          <w:sz w:val="23"/>
          <w:szCs w:val="23"/>
        </w:rPr>
        <w:t xml:space="preserve"> </w:t>
      </w:r>
      <w:r>
        <w:rPr>
          <w:color w:val="000000"/>
          <w:sz w:val="23"/>
          <w:szCs w:val="23"/>
        </w:rPr>
        <w:t>means an application under section 1.3 of the Gas Code in respect of which a determination under section 1.13 of the Gas Code has not been made before the commencement day;</w:t>
      </w:r>
    </w:p>
    <w:p>
      <w:pPr>
        <w:keepLines/>
        <w:autoSpaceDE w:val="0"/>
        <w:autoSpaceDN w:val="0"/>
        <w:adjustRightInd w:val="0"/>
        <w:spacing w:before="120"/>
        <w:ind w:left="1588"/>
        <w:rPr>
          <w:color w:val="000000"/>
          <w:sz w:val="23"/>
          <w:szCs w:val="23"/>
        </w:rPr>
      </w:pPr>
      <w:r>
        <w:rPr>
          <w:rStyle w:val="CharDefText"/>
          <w:bCs/>
          <w:sz w:val="23"/>
        </w:rPr>
        <w:t>old scheme coverage revocation application</w:t>
      </w:r>
      <w:r>
        <w:rPr>
          <w:bCs/>
          <w:i/>
          <w:iCs/>
          <w:color w:val="000000"/>
          <w:sz w:val="23"/>
          <w:szCs w:val="23"/>
        </w:rPr>
        <w:t xml:space="preserve"> </w:t>
      </w:r>
      <w:r>
        <w:rPr>
          <w:color w:val="000000"/>
          <w:sz w:val="23"/>
          <w:szCs w:val="23"/>
        </w:rPr>
        <w:t>means an application under section 1.25 of the Gas Code in respect of which an old scheme coverage revocation determination has not been made before the commencement day;</w:t>
      </w:r>
    </w:p>
    <w:p>
      <w:pPr>
        <w:keepNext/>
        <w:keepLines/>
        <w:autoSpaceDE w:val="0"/>
        <w:autoSpaceDN w:val="0"/>
        <w:adjustRightInd w:val="0"/>
        <w:spacing w:before="120"/>
        <w:ind w:left="1588"/>
        <w:rPr>
          <w:color w:val="000000"/>
          <w:sz w:val="23"/>
          <w:szCs w:val="23"/>
        </w:rPr>
      </w:pPr>
      <w:r>
        <w:rPr>
          <w:rStyle w:val="CharDefText"/>
          <w:bCs/>
          <w:sz w:val="23"/>
        </w:rPr>
        <w:t>old scheme coverage determination</w:t>
      </w:r>
      <w:r>
        <w:rPr>
          <w:bCs/>
          <w:i/>
          <w:iCs/>
          <w:color w:val="000000"/>
          <w:sz w:val="23"/>
          <w:szCs w:val="23"/>
        </w:rPr>
        <w:t xml:space="preserve"> </w:t>
      </w:r>
      <w:r>
        <w:rPr>
          <w:color w:val="000000"/>
          <w:sz w:val="23"/>
          <w:szCs w:val="23"/>
        </w:rPr>
        <w:t>means a determination of an old scheme relevant Minister under section 1.13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 pipeline is covered;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is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old scheme coverage revocation determination</w:t>
      </w:r>
      <w:r>
        <w:rPr>
          <w:bCs/>
          <w:i/>
          <w:iCs/>
          <w:color w:val="000000"/>
          <w:sz w:val="23"/>
          <w:szCs w:val="23"/>
        </w:rPr>
        <w:t xml:space="preserve"> </w:t>
      </w:r>
      <w:r>
        <w:rPr>
          <w:color w:val="000000"/>
          <w:sz w:val="23"/>
          <w:szCs w:val="23"/>
        </w:rPr>
        <w:t>means a determination of an old scheme relevant Minister under section 1.34 of the Gas Code;</w:t>
      </w:r>
    </w:p>
    <w:p>
      <w:pPr>
        <w:keepLines/>
        <w:autoSpaceDE w:val="0"/>
        <w:autoSpaceDN w:val="0"/>
        <w:adjustRightInd w:val="0"/>
        <w:spacing w:before="120"/>
        <w:ind w:left="1588"/>
        <w:rPr>
          <w:color w:val="000000"/>
          <w:sz w:val="23"/>
          <w:szCs w:val="23"/>
        </w:rPr>
      </w:pPr>
      <w:r>
        <w:rPr>
          <w:rStyle w:val="CharDefText"/>
          <w:bCs/>
          <w:sz w:val="23"/>
        </w:rPr>
        <w:t>old scheme covered pipeline</w:t>
      </w:r>
      <w:r>
        <w:rPr>
          <w:bCs/>
          <w:i/>
          <w:iCs/>
          <w:color w:val="000000"/>
          <w:sz w:val="23"/>
          <w:szCs w:val="23"/>
        </w:rPr>
        <w:t xml:space="preserve"> </w:t>
      </w:r>
      <w:r>
        <w:rPr>
          <w:color w:val="000000"/>
          <w:sz w:val="23"/>
          <w:szCs w:val="23"/>
        </w:rPr>
        <w:t>means a covered pipeline within the meaning of section 10.8 of the Gas Code;</w:t>
      </w:r>
    </w:p>
    <w:p>
      <w:pPr>
        <w:keepNext/>
        <w:keepLines/>
        <w:autoSpaceDE w:val="0"/>
        <w:autoSpaceDN w:val="0"/>
        <w:adjustRightInd w:val="0"/>
        <w:spacing w:before="120"/>
        <w:ind w:left="1588"/>
        <w:rPr>
          <w:color w:val="000000"/>
          <w:sz w:val="23"/>
          <w:szCs w:val="23"/>
        </w:rPr>
      </w:pPr>
      <w:r>
        <w:rPr>
          <w:rStyle w:val="CharDefText"/>
          <w:bCs/>
          <w:sz w:val="23"/>
        </w:rPr>
        <w:t>old scheme limited access arrangement</w:t>
      </w:r>
      <w:r>
        <w:rPr>
          <w:bCs/>
          <w:i/>
          <w:iCs/>
          <w:color w:val="000000"/>
          <w:sz w:val="23"/>
          <w:szCs w:val="23"/>
        </w:rPr>
        <w:t xml:space="preserve"> </w:t>
      </w:r>
      <w:r>
        <w:rPr>
          <w:color w:val="000000"/>
          <w:sz w:val="23"/>
          <w:szCs w:val="23"/>
        </w:rPr>
        <w:t>means a limited access arrangement (within the meaning of section 13A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approved under section 13U of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old scheme price regulation exemption</w:t>
      </w:r>
      <w:r>
        <w:rPr>
          <w:bCs/>
          <w:i/>
          <w:iCs/>
          <w:color w:val="000000"/>
          <w:sz w:val="23"/>
          <w:szCs w:val="23"/>
        </w:rPr>
        <w:t xml:space="preserve"> </w:t>
      </w:r>
      <w:r>
        <w:rPr>
          <w:color w:val="000000"/>
          <w:sz w:val="23"/>
          <w:szCs w:val="23"/>
        </w:rPr>
        <w:t>means a price regulation exemption within the meaning of section 13A of the old access law;</w:t>
      </w:r>
    </w:p>
    <w:p>
      <w:pPr>
        <w:keepLines/>
        <w:autoSpaceDE w:val="0"/>
        <w:autoSpaceDN w:val="0"/>
        <w:adjustRightInd w:val="0"/>
        <w:spacing w:before="120"/>
        <w:ind w:left="1588"/>
        <w:rPr>
          <w:color w:val="000000"/>
          <w:sz w:val="23"/>
          <w:szCs w:val="23"/>
        </w:rPr>
      </w:pPr>
      <w:r>
        <w:rPr>
          <w:rStyle w:val="CharDefText"/>
          <w:bCs/>
          <w:sz w:val="23"/>
        </w:rPr>
        <w:t>old scheme relevant Minister</w:t>
      </w:r>
      <w:r>
        <w:rPr>
          <w:bCs/>
          <w:i/>
          <w:iCs/>
          <w:color w:val="000000"/>
          <w:sz w:val="23"/>
          <w:szCs w:val="23"/>
        </w:rPr>
        <w:t xml:space="preserve"> </w:t>
      </w:r>
      <w:r>
        <w:rPr>
          <w:color w:val="000000"/>
          <w:sz w:val="23"/>
          <w:szCs w:val="23"/>
        </w:rPr>
        <w:t>means a relevant Minister within the meaning of section 2 of the old access law;</w:t>
      </w:r>
    </w:p>
    <w:p>
      <w:pPr>
        <w:keepNext/>
        <w:keepLines/>
        <w:autoSpaceDE w:val="0"/>
        <w:autoSpaceDN w:val="0"/>
        <w:adjustRightInd w:val="0"/>
        <w:spacing w:before="120"/>
        <w:ind w:left="1588"/>
        <w:rPr>
          <w:color w:val="000000"/>
          <w:sz w:val="23"/>
          <w:szCs w:val="23"/>
        </w:rPr>
      </w:pPr>
      <w:r>
        <w:rPr>
          <w:rStyle w:val="CharDefText"/>
          <w:bCs/>
          <w:sz w:val="23"/>
        </w:rPr>
        <w:t>pending old scheme coverage determination</w:t>
      </w:r>
      <w:r>
        <w:rPr>
          <w:bCs/>
          <w:i/>
          <w:iCs/>
          <w:color w:val="000000"/>
          <w:sz w:val="23"/>
          <w:szCs w:val="23"/>
        </w:rPr>
        <w:t xml:space="preserve"> </w:t>
      </w:r>
      <w:r>
        <w:rPr>
          <w:color w:val="000000"/>
          <w:sz w:val="23"/>
          <w:szCs w:val="23"/>
        </w:rPr>
        <w:t>means a determination of an old scheme relevant Minister under section 1.13 of the Gas Code that a pipeline is covered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no</w:t>
      </w:r>
      <w:r>
        <w:rPr>
          <w:rStyle w:val="CharDefText"/>
          <w:bCs/>
          <w:sz w:val="23"/>
        </w:rPr>
        <w:noBreakHyphen/>
        <w:t>coverage determination</w:t>
      </w:r>
      <w:r>
        <w:rPr>
          <w:bCs/>
          <w:i/>
          <w:iCs/>
          <w:color w:val="000000"/>
          <w:sz w:val="23"/>
          <w:szCs w:val="23"/>
        </w:rPr>
        <w:t xml:space="preserve"> </w:t>
      </w:r>
      <w:r>
        <w:rPr>
          <w:color w:val="000000"/>
          <w:sz w:val="23"/>
          <w:szCs w:val="23"/>
        </w:rPr>
        <w:t>means a determination of an old scheme relevant Minister under section 1.13 of the Gas Code that a pipeline is not covered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coverage non</w:t>
      </w:r>
      <w:r>
        <w:rPr>
          <w:rStyle w:val="CharDefText"/>
          <w:bCs/>
          <w:sz w:val="23"/>
        </w:rPr>
        <w:noBreakHyphen/>
        <w:t>revocation determination</w:t>
      </w:r>
      <w:r>
        <w:rPr>
          <w:bCs/>
          <w:i/>
          <w:iCs/>
          <w:color w:val="000000"/>
          <w:sz w:val="23"/>
          <w:szCs w:val="23"/>
        </w:rPr>
        <w:t xml:space="preserve"> </w:t>
      </w:r>
      <w:r>
        <w:rPr>
          <w:color w:val="000000"/>
          <w:sz w:val="23"/>
          <w:szCs w:val="23"/>
        </w:rPr>
        <w:t>means a determination of an old scheme relevant Minister under section 1.34 of the Gas Code that coverage of a covered pipeline not be revoked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coverage revocation determination</w:t>
      </w:r>
      <w:r>
        <w:rPr>
          <w:bCs/>
          <w:i/>
          <w:iCs/>
          <w:color w:val="000000"/>
          <w:sz w:val="23"/>
          <w:szCs w:val="23"/>
        </w:rPr>
        <w:t xml:space="preserve"> </w:t>
      </w:r>
      <w:r>
        <w:rPr>
          <w:color w:val="000000"/>
          <w:sz w:val="23"/>
          <w:szCs w:val="23"/>
        </w:rPr>
        <w:t>means a determination of an old scheme relevant Minister under section 1.34 of the Gas Code that coverage of a covered pipeline be revoked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Lines/>
        <w:autoSpaceDE w:val="0"/>
        <w:autoSpaceDN w:val="0"/>
        <w:adjustRightInd w:val="0"/>
        <w:spacing w:before="120"/>
        <w:ind w:left="1588"/>
        <w:rPr>
          <w:color w:val="000000"/>
          <w:sz w:val="23"/>
          <w:szCs w:val="23"/>
        </w:rPr>
      </w:pPr>
      <w:r>
        <w:rPr>
          <w:rStyle w:val="CharDefText"/>
          <w:bCs/>
          <w:sz w:val="23"/>
        </w:rPr>
        <w:t>relevant appeals body</w:t>
      </w:r>
      <w:r>
        <w:rPr>
          <w:bCs/>
          <w:i/>
          <w:iCs/>
          <w:color w:val="000000"/>
          <w:sz w:val="23"/>
          <w:szCs w:val="23"/>
        </w:rPr>
        <w:t xml:space="preserve"> </w:t>
      </w:r>
      <w:r>
        <w:rPr>
          <w:color w:val="000000"/>
          <w:sz w:val="23"/>
          <w:szCs w:val="23"/>
        </w:rPr>
        <w:t>has the same meaning as in section 2 of the old access law;</w:t>
      </w:r>
    </w:p>
    <w:p>
      <w:pPr>
        <w:keepNext/>
        <w:keepLines/>
        <w:autoSpaceDE w:val="0"/>
        <w:autoSpaceDN w:val="0"/>
        <w:adjustRightInd w:val="0"/>
        <w:spacing w:before="120"/>
        <w:ind w:left="1588"/>
        <w:rPr>
          <w:color w:val="000000"/>
          <w:sz w:val="23"/>
          <w:szCs w:val="23"/>
        </w:rPr>
      </w:pPr>
      <w:r>
        <w:rPr>
          <w:rStyle w:val="CharDefText"/>
          <w:bCs/>
          <w:sz w:val="23"/>
        </w:rPr>
        <w:t>transitioned access arrangement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current access arrangement;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arrangement approved, or drafted and approved, in accordance with clause 28;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current access arrangement incorporating revisions approved, or approved and made, in accordance with clause 29.</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The Regulations or the Rules may also contain provisions of an application, savings or transitional nature.</w:t>
      </w:r>
    </w:p>
    <w:p>
      <w:pPr>
        <w:pStyle w:val="Footnotesection"/>
      </w:pPr>
      <w:r>
        <w:tab/>
        <w:t>[Clause 1 modified: WA Act Sch. 1 cl. 18.]</w:t>
      </w:r>
    </w:p>
    <w:p>
      <w:pPr>
        <w:pStyle w:val="Heading5"/>
      </w:pPr>
      <w:bookmarkStart w:id="3127" w:name="_Toc53046470"/>
      <w:bookmarkStart w:id="3128" w:name="_Toc5365310"/>
      <w:r>
        <w:rPr>
          <w:rStyle w:val="CharSectno"/>
        </w:rPr>
        <w:t>2</w:t>
      </w:r>
      <w:r>
        <w:t>.</w:t>
      </w:r>
      <w:r>
        <w:tab/>
        <w:t>Schedule subject to jurisdictional transitional arrangements in jurisdictional legislation</w:t>
      </w:r>
      <w:bookmarkEnd w:id="3127"/>
      <w:bookmarkEnd w:id="312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Schedule, and any Regulations or Rules of a savings and transitional nature, apply in this jurisdiction except to the extent provided by or under an Act of this jurisdiction (including an Act that applies this Law and the Regulations as a law of this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Regulations or Rules of a savings and transitional nature</w:t>
      </w:r>
      <w:r>
        <w:rPr>
          <w:bCs/>
          <w:i/>
          <w:iCs/>
          <w:color w:val="000000"/>
          <w:sz w:val="23"/>
          <w:szCs w:val="23"/>
        </w:rPr>
        <w:t xml:space="preserve"> </w:t>
      </w:r>
      <w:r>
        <w:rPr>
          <w:color w:val="000000"/>
          <w:sz w:val="23"/>
          <w:szCs w:val="23"/>
        </w:rPr>
        <w:t>means Regulations or Rules that deal with matters of a savings or transitional nature relating to the transition from the application of provisions of the old access law and Gas Code to the application of provisions of this Law and the Rules.</w:t>
      </w:r>
    </w:p>
    <w:p>
      <w:pPr>
        <w:pStyle w:val="Heading3"/>
      </w:pPr>
      <w:bookmarkStart w:id="3129" w:name="_Toc52954777"/>
      <w:bookmarkStart w:id="3130" w:name="_Toc52956073"/>
      <w:bookmarkStart w:id="3131" w:name="_Toc52957572"/>
      <w:bookmarkStart w:id="3132" w:name="_Toc52958355"/>
      <w:bookmarkStart w:id="3133" w:name="_Toc53045688"/>
      <w:bookmarkStart w:id="3134" w:name="_Toc53046471"/>
      <w:bookmarkStart w:id="3135" w:name="_Toc501634354"/>
      <w:bookmarkStart w:id="3136" w:name="_Toc501713250"/>
      <w:bookmarkStart w:id="3137" w:name="_Toc536782476"/>
      <w:bookmarkStart w:id="3138" w:name="_Toc5347537"/>
      <w:bookmarkStart w:id="3139" w:name="_Toc5364090"/>
      <w:bookmarkStart w:id="3140" w:name="_Toc5365311"/>
      <w:r>
        <w:rPr>
          <w:rStyle w:val="CharDivNo"/>
        </w:rPr>
        <w:t>Part 2</w:t>
      </w:r>
      <w:r>
        <w:t xml:space="preserve"> — </w:t>
      </w:r>
      <w:r>
        <w:rPr>
          <w:rStyle w:val="CharDivText"/>
        </w:rPr>
        <w:t>General savings provision</w:t>
      </w:r>
      <w:bookmarkEnd w:id="3129"/>
      <w:bookmarkEnd w:id="3130"/>
      <w:bookmarkEnd w:id="3131"/>
      <w:bookmarkEnd w:id="3132"/>
      <w:bookmarkEnd w:id="3133"/>
      <w:bookmarkEnd w:id="3134"/>
      <w:bookmarkEnd w:id="3135"/>
      <w:bookmarkEnd w:id="3136"/>
      <w:bookmarkEnd w:id="3137"/>
      <w:bookmarkEnd w:id="3138"/>
      <w:bookmarkEnd w:id="3139"/>
      <w:bookmarkEnd w:id="3140"/>
    </w:p>
    <w:p>
      <w:pPr>
        <w:pStyle w:val="Heading5"/>
      </w:pPr>
      <w:bookmarkStart w:id="3141" w:name="_Toc53046472"/>
      <w:bookmarkStart w:id="3142" w:name="_Toc5365312"/>
      <w:r>
        <w:rPr>
          <w:rStyle w:val="CharSectno"/>
        </w:rPr>
        <w:t>3</w:t>
      </w:r>
      <w:r>
        <w:t>.</w:t>
      </w:r>
      <w:r>
        <w:tab/>
        <w:t>Saving of operation of old access law and Gas Code</w:t>
      </w:r>
      <w:bookmarkEnd w:id="3141"/>
      <w:bookmarkEnd w:id="314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Schedule, the Regulations and the Rules, the repeal of the old access law or Gas Code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the repeal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old access law or Gas Code or anything suffered, done or begun under or in accordance with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incurred in relation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offence arising under the old access law;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penalty incurred in relation to a breach of a provision of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Schedule, the Regulations and the Rules, any such penalty may be imposed and enforced, and any such investigation, proceeding or remedy may be begun, continued or enforced, as if the old access law or Gas Code had not been repealed.</w:t>
      </w:r>
    </w:p>
    <w:p>
      <w:pPr>
        <w:pStyle w:val="Heading3"/>
      </w:pPr>
      <w:bookmarkStart w:id="3143" w:name="_Toc52954779"/>
      <w:bookmarkStart w:id="3144" w:name="_Toc52956075"/>
      <w:bookmarkStart w:id="3145" w:name="_Toc52957574"/>
      <w:bookmarkStart w:id="3146" w:name="_Toc52958357"/>
      <w:bookmarkStart w:id="3147" w:name="_Toc53045690"/>
      <w:bookmarkStart w:id="3148" w:name="_Toc53046473"/>
      <w:bookmarkStart w:id="3149" w:name="_Toc501634356"/>
      <w:bookmarkStart w:id="3150" w:name="_Toc501713252"/>
      <w:bookmarkStart w:id="3151" w:name="_Toc536782478"/>
      <w:bookmarkStart w:id="3152" w:name="_Toc5347539"/>
      <w:bookmarkStart w:id="3153" w:name="_Toc5364092"/>
      <w:bookmarkStart w:id="3154" w:name="_Toc5365313"/>
      <w:r>
        <w:rPr>
          <w:rStyle w:val="CharDivNo"/>
        </w:rPr>
        <w:t>Part 3</w:t>
      </w:r>
      <w:r>
        <w:t xml:space="preserve"> — </w:t>
      </w:r>
      <w:r>
        <w:rPr>
          <w:rStyle w:val="CharDivText"/>
        </w:rPr>
        <w:t>Classification and coverage of pipelines</w:t>
      </w:r>
      <w:bookmarkEnd w:id="3143"/>
      <w:bookmarkEnd w:id="3144"/>
      <w:bookmarkEnd w:id="3145"/>
      <w:bookmarkEnd w:id="3146"/>
      <w:bookmarkEnd w:id="3147"/>
      <w:bookmarkEnd w:id="3148"/>
      <w:bookmarkEnd w:id="3149"/>
      <w:bookmarkEnd w:id="3150"/>
      <w:bookmarkEnd w:id="3151"/>
      <w:bookmarkEnd w:id="3152"/>
      <w:bookmarkEnd w:id="3153"/>
      <w:bookmarkEnd w:id="3154"/>
    </w:p>
    <w:p>
      <w:pPr>
        <w:pStyle w:val="Heading5"/>
      </w:pPr>
      <w:bookmarkStart w:id="3155" w:name="_Toc53046474"/>
      <w:bookmarkStart w:id="3156" w:name="_Toc5365314"/>
      <w:r>
        <w:rPr>
          <w:rStyle w:val="CharSectno"/>
        </w:rPr>
        <w:t>4</w:t>
      </w:r>
      <w:r>
        <w:t>.</w:t>
      </w:r>
      <w:r>
        <w:tab/>
        <w:t>Pending applications for the classification of pipelines lapse</w:t>
      </w:r>
      <w:bookmarkEnd w:id="3155"/>
      <w:bookmarkEnd w:id="3156"/>
    </w:p>
    <w:p>
      <w:pPr>
        <w:keepLines/>
        <w:autoSpaceDE w:val="0"/>
        <w:autoSpaceDN w:val="0"/>
        <w:adjustRightInd w:val="0"/>
        <w:spacing w:before="120"/>
        <w:ind w:left="1588"/>
        <w:rPr>
          <w:color w:val="000000"/>
          <w:sz w:val="23"/>
          <w:szCs w:val="23"/>
        </w:rPr>
      </w:pPr>
      <w:r>
        <w:rPr>
          <w:color w:val="000000"/>
          <w:sz w:val="23"/>
          <w:szCs w:val="23"/>
        </w:rPr>
        <w:t>On the commencement day, every application under section 10 of the old access law in respect of which a decision has not been made under section 10 or 11 of that law immediately before that day, lapses.</w:t>
      </w:r>
    </w:p>
    <w:p>
      <w:pPr>
        <w:pStyle w:val="Heading5"/>
      </w:pPr>
      <w:bookmarkStart w:id="3157" w:name="_Toc53046475"/>
      <w:bookmarkStart w:id="3158" w:name="_Toc5365315"/>
      <w:r>
        <w:rPr>
          <w:rStyle w:val="CharSectno"/>
        </w:rPr>
        <w:t>5</w:t>
      </w:r>
      <w:r>
        <w:t>.</w:t>
      </w:r>
      <w:r>
        <w:tab/>
        <w:t>Old scheme coverage determinations</w:t>
      </w:r>
      <w:bookmarkEnd w:id="3157"/>
      <w:bookmarkEnd w:id="3158"/>
    </w:p>
    <w:p>
      <w:pPr>
        <w:keepLines/>
        <w:autoSpaceDE w:val="0"/>
        <w:autoSpaceDN w:val="0"/>
        <w:adjustRightInd w:val="0"/>
        <w:spacing w:before="120"/>
        <w:ind w:left="1588"/>
        <w:rPr>
          <w:color w:val="000000"/>
          <w:sz w:val="23"/>
          <w:szCs w:val="23"/>
        </w:rPr>
      </w:pPr>
      <w:r>
        <w:rPr>
          <w:color w:val="000000"/>
          <w:sz w:val="23"/>
          <w:szCs w:val="23"/>
        </w:rPr>
        <w:t>On the commencement day, an old scheme coverage determination is deemed to be a coverage determination.</w:t>
      </w:r>
    </w:p>
    <w:p>
      <w:pPr>
        <w:pStyle w:val="Heading5"/>
      </w:pPr>
      <w:bookmarkStart w:id="3159" w:name="_Toc53046476"/>
      <w:bookmarkStart w:id="3160" w:name="_Toc5365316"/>
      <w:r>
        <w:rPr>
          <w:rStyle w:val="CharSectno"/>
        </w:rPr>
        <w:t>6</w:t>
      </w:r>
      <w:r>
        <w:t>.</w:t>
      </w:r>
      <w:r>
        <w:tab/>
        <w:t>Old scheme covered transmission pipelines</w:t>
      </w:r>
      <w:bookmarkEnd w:id="3159"/>
      <w:bookmarkEnd w:id="3160"/>
    </w:p>
    <w:p>
      <w:pPr>
        <w:keepLines/>
        <w:autoSpaceDE w:val="0"/>
        <w:autoSpaceDN w:val="0"/>
        <w:adjustRightInd w:val="0"/>
        <w:spacing w:before="120"/>
        <w:ind w:left="1588"/>
        <w:rPr>
          <w:color w:val="000000"/>
          <w:sz w:val="23"/>
          <w:szCs w:val="23"/>
        </w:rPr>
      </w:pPr>
      <w:r>
        <w:rPr>
          <w:color w:val="000000"/>
          <w:sz w:val="23"/>
          <w:szCs w:val="23"/>
        </w:rPr>
        <w:t>On the commencement day, an old scheme covered pipeline that is a transmission pipeline (within the meaning of section 2 of the old access law) is deemed to be a covered pipeline that is a transmission pipeline.</w:t>
      </w:r>
    </w:p>
    <w:p>
      <w:pPr>
        <w:pStyle w:val="Heading5"/>
      </w:pPr>
      <w:bookmarkStart w:id="3161" w:name="_Toc53046477"/>
      <w:bookmarkStart w:id="3162" w:name="_Toc5365317"/>
      <w:r>
        <w:rPr>
          <w:rStyle w:val="CharSectno"/>
        </w:rPr>
        <w:t>7</w:t>
      </w:r>
      <w:r>
        <w:t>.</w:t>
      </w:r>
      <w:r>
        <w:tab/>
        <w:t>Old scheme covered distribution pipelines</w:t>
      </w:r>
      <w:bookmarkEnd w:id="3161"/>
      <w:bookmarkEnd w:id="3162"/>
    </w:p>
    <w:p>
      <w:pPr>
        <w:keepLines/>
        <w:autoSpaceDE w:val="0"/>
        <w:autoSpaceDN w:val="0"/>
        <w:adjustRightInd w:val="0"/>
        <w:spacing w:before="120"/>
        <w:ind w:left="1588"/>
        <w:rPr>
          <w:color w:val="000000"/>
          <w:sz w:val="23"/>
          <w:szCs w:val="23"/>
        </w:rPr>
      </w:pPr>
      <w:r>
        <w:rPr>
          <w:color w:val="000000"/>
          <w:sz w:val="23"/>
          <w:szCs w:val="23"/>
        </w:rPr>
        <w:t xml:space="preserve">On the commencement day, an old scheme covered pipeline that is a distribution pipeline (within the meaning of section 2 of the old access law) is deemed to be a covered pipeline that is a distribution pipeline. </w:t>
      </w:r>
    </w:p>
    <w:p>
      <w:pPr>
        <w:pStyle w:val="Heading5"/>
      </w:pPr>
      <w:bookmarkStart w:id="3163" w:name="_Toc53046478"/>
      <w:bookmarkStart w:id="3164" w:name="_Toc5365318"/>
      <w:r>
        <w:rPr>
          <w:rStyle w:val="CharSectno"/>
        </w:rPr>
        <w:t>8</w:t>
      </w:r>
      <w:r>
        <w:t>.</w:t>
      </w:r>
      <w:r>
        <w:tab/>
        <w:t>Pending coverage applications under old scheme (before NCC recommendation)</w:t>
      </w:r>
      <w:bookmarkEnd w:id="3163"/>
      <w:bookmarkEnd w:id="316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old scheme coverage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NCC has not made a recommendation in respect of that application under section 1.9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Gas Code, continue to take action in relation to the application as required under the Gas Code (including making a recommendation under section 1.7 of the Gas Code and submitting it to the relevant old scheme relevant Minister under that section) as if the old access law and Gas Code continued to apply.</w:t>
      </w:r>
    </w:p>
    <w:p>
      <w:pPr>
        <w:pStyle w:val="Heading5"/>
      </w:pPr>
      <w:bookmarkStart w:id="3165" w:name="_Toc53046479"/>
      <w:bookmarkStart w:id="3166" w:name="_Toc5365319"/>
      <w:r>
        <w:rPr>
          <w:rStyle w:val="CharSectno"/>
        </w:rPr>
        <w:t>9</w:t>
      </w:r>
      <w:r>
        <w:t>.</w:t>
      </w:r>
      <w:r>
        <w:tab/>
        <w:t>Pending relevant Minister decisions in relation to coverage under old scheme</w:t>
      </w:r>
      <w:bookmarkEnd w:id="3165"/>
      <w:bookmarkEnd w:id="316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1.7 of the Gas Code before the commencement day but the old scheme relevant Minister has not made a determination under section 1.13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8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and Gas Code, make a determination under section 1.13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relevant transition date</w:t>
      </w:r>
      <w:r>
        <w:rPr>
          <w:bCs/>
          <w:i/>
          <w:iCs/>
          <w:color w:val="000000"/>
          <w:sz w:val="23"/>
          <w:szCs w:val="23"/>
        </w:rPr>
        <w:t xml:space="preserve"> </w:t>
      </w:r>
      <w:r>
        <w:rPr>
          <w:color w:val="000000"/>
          <w:sz w:val="23"/>
          <w:szCs w:val="23"/>
        </w:rPr>
        <w:t>means, if an application is not made under section 38 of the old access law for a review of the determination within the time specified by that section—the day after the last day an application could have been made under that section.</w:t>
      </w:r>
    </w:p>
    <w:p>
      <w:pPr>
        <w:pStyle w:val="Heading5"/>
      </w:pPr>
      <w:bookmarkStart w:id="3167" w:name="_Toc53046480"/>
      <w:bookmarkStart w:id="3168" w:name="_Toc5365320"/>
      <w:r>
        <w:rPr>
          <w:rStyle w:val="CharSectno"/>
        </w:rPr>
        <w:t>10</w:t>
      </w:r>
      <w:r>
        <w:t>.</w:t>
      </w:r>
      <w:r>
        <w:tab/>
        <w:t>Pending relevant Minister decisions in relation to coverage that are reviewed under old scheme</w:t>
      </w:r>
      <w:bookmarkEnd w:id="3167"/>
      <w:bookmarkEnd w:id="316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determination under section 1.13 of the Gas Code in accordance with clause 9;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effect of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effect of that determination is that the pipeline is not covered—a decision not to make a coverage determination under section 99.</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3169" w:name="_Toc53046481"/>
      <w:bookmarkStart w:id="3170" w:name="_Toc5365321"/>
      <w:r>
        <w:rPr>
          <w:rStyle w:val="CharSectno"/>
        </w:rPr>
        <w:t>11</w:t>
      </w:r>
      <w:r>
        <w:t>.</w:t>
      </w:r>
      <w:r>
        <w:tab/>
        <w:t>Pending old scheme coverage determinations where no applications for review under old scheme</w:t>
      </w:r>
      <w:bookmarkEnd w:id="3169"/>
      <w:bookmarkEnd w:id="317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determination is deemed to be a coverage determination on the day after the last day an application could have been made under section 38 of the old access law.</w:t>
      </w:r>
    </w:p>
    <w:p>
      <w:pPr>
        <w:pStyle w:val="Heading5"/>
      </w:pPr>
      <w:bookmarkStart w:id="3171" w:name="_Toc53046482"/>
      <w:bookmarkStart w:id="3172" w:name="_Toc5365322"/>
      <w:r>
        <w:rPr>
          <w:rStyle w:val="CharSectno"/>
        </w:rPr>
        <w:t>12</w:t>
      </w:r>
      <w:r>
        <w:t>.</w:t>
      </w:r>
      <w:r>
        <w:tab/>
        <w:t>Pending old scheme coverage determinations where applications for review under old scheme on foot</w:t>
      </w:r>
      <w:bookmarkEnd w:id="3171"/>
      <w:bookmarkEnd w:id="317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determination is deemed to be a coverage determination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determination, that determination (as affirmed or varied) is deemed to be a coverage determination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3173" w:name="_Toc53046483"/>
      <w:bookmarkStart w:id="3174" w:name="_Toc5365323"/>
      <w:r>
        <w:rPr>
          <w:rStyle w:val="CharSectno"/>
        </w:rPr>
        <w:t>13</w:t>
      </w:r>
      <w:r>
        <w:t>.</w:t>
      </w:r>
      <w:r>
        <w:tab/>
        <w:t>Pending old scheme no</w:t>
      </w:r>
      <w:r>
        <w:noBreakHyphen/>
        <w:t>coverage determinations where no applications for review under old scheme</w:t>
      </w:r>
      <w:bookmarkEnd w:id="3173"/>
      <w:bookmarkEnd w:id="317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no</w:t>
      </w:r>
      <w:r>
        <w:rPr>
          <w:color w:val="000000"/>
          <w:sz w:val="23"/>
          <w:szCs w:val="23"/>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no</w:t>
      </w:r>
      <w:r>
        <w:rPr>
          <w:color w:val="000000"/>
          <w:sz w:val="23"/>
          <w:szCs w:val="23"/>
        </w:rPr>
        <w:noBreakHyphen/>
        <w:t>coverage determination is deemed to be a decision not to make a coverage determination under section 93 on the day after the last day an application could have been made under section 38 of the old access law.</w:t>
      </w:r>
    </w:p>
    <w:p>
      <w:pPr>
        <w:pStyle w:val="Heading5"/>
      </w:pPr>
      <w:bookmarkStart w:id="3175" w:name="_Toc53046484"/>
      <w:bookmarkStart w:id="3176" w:name="_Toc5365324"/>
      <w:r>
        <w:rPr>
          <w:rStyle w:val="CharSectno"/>
        </w:rPr>
        <w:t>14</w:t>
      </w:r>
      <w:r>
        <w:t>.</w:t>
      </w:r>
      <w:r>
        <w:tab/>
        <w:t>Pending old scheme no</w:t>
      </w:r>
      <w:r>
        <w:noBreakHyphen/>
        <w:t>coverage determinations where applications for review under old scheme on foot</w:t>
      </w:r>
      <w:bookmarkEnd w:id="3175"/>
      <w:bookmarkEnd w:id="3176"/>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no</w:t>
      </w:r>
      <w:r>
        <w:rPr>
          <w:color w:val="000000"/>
          <w:sz w:val="23"/>
          <w:szCs w:val="23"/>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no</w:t>
      </w:r>
      <w:r>
        <w:rPr>
          <w:color w:val="000000"/>
          <w:sz w:val="23"/>
          <w:szCs w:val="23"/>
        </w:rPr>
        <w:noBreakHyphen/>
        <w:t>coverage determination is deemed to be a decision not to make a coverage determination under section 99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no</w:t>
      </w:r>
      <w:r>
        <w:rPr>
          <w:color w:val="000000"/>
          <w:sz w:val="23"/>
          <w:szCs w:val="23"/>
        </w:rPr>
        <w:noBreakHyphen/>
        <w:t>coverage determination, that determination (as affirmed or varied) is deemed to be a decision not to make a coverage determination under section 99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no</w:t>
      </w:r>
      <w:r>
        <w:rPr>
          <w:color w:val="000000"/>
          <w:sz w:val="23"/>
          <w:szCs w:val="23"/>
        </w:rPr>
        <w:noBreakHyphen/>
        <w:t>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3177" w:name="_Toc53046485"/>
      <w:bookmarkStart w:id="3178" w:name="_Toc5365325"/>
      <w:r>
        <w:rPr>
          <w:rStyle w:val="CharSectno"/>
        </w:rPr>
        <w:t>15</w:t>
      </w:r>
      <w:r>
        <w:t>.</w:t>
      </w:r>
      <w:r>
        <w:tab/>
        <w:t>Pending coverage revocation applications under old scheme (before NCC recommendation)</w:t>
      </w:r>
      <w:bookmarkEnd w:id="3177"/>
      <w:bookmarkEnd w:id="317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old scheme coverage revocation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NCC has not made a recommendation in respect of that application under section 1.28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Gas Code, continue to take action in relation to the application as required under the Gas Code (including making a recommendation under section 1.29 of the Gas Code and submitting it to the relevant old scheme relevant Minister under that section) as if the old access law and Gas Code continued to apply.</w:t>
      </w:r>
    </w:p>
    <w:p>
      <w:pPr>
        <w:pStyle w:val="Heading5"/>
      </w:pPr>
      <w:bookmarkStart w:id="3179" w:name="_Toc53046486"/>
      <w:bookmarkStart w:id="3180" w:name="_Toc5365326"/>
      <w:r>
        <w:rPr>
          <w:rStyle w:val="CharSectno"/>
        </w:rPr>
        <w:t>16</w:t>
      </w:r>
      <w:r>
        <w:t>.</w:t>
      </w:r>
      <w:r>
        <w:tab/>
        <w:t>Pending relevant Minister decisions in relation to coverage revocation under old scheme</w:t>
      </w:r>
      <w:bookmarkEnd w:id="3179"/>
      <w:bookmarkEnd w:id="318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1.29 of the Gas Code before the commencement day but the old scheme relevant Minister has not made a determination under section 1.34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15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or Gas Code, make a determination under section 1.34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relevant transition date</w:t>
      </w:r>
      <w:r>
        <w:rPr>
          <w:bCs/>
          <w:i/>
          <w:iCs/>
          <w:color w:val="000000"/>
          <w:sz w:val="23"/>
          <w:szCs w:val="23"/>
        </w:rPr>
        <w:t xml:space="preserve"> </w:t>
      </w:r>
      <w:r>
        <w:rPr>
          <w:color w:val="000000"/>
          <w:sz w:val="23"/>
          <w:szCs w:val="23"/>
        </w:rPr>
        <w:t>means, if an application is not made under section 38 of the old access law for a review of the determination within the time specified by that section—the day after the last day an application could have been made under that section.</w:t>
      </w:r>
    </w:p>
    <w:p>
      <w:pPr>
        <w:pStyle w:val="Heading5"/>
      </w:pPr>
      <w:bookmarkStart w:id="3181" w:name="_Toc53046487"/>
      <w:bookmarkStart w:id="3182" w:name="_Toc5365327"/>
      <w:r>
        <w:rPr>
          <w:rStyle w:val="CharSectno"/>
        </w:rPr>
        <w:t>17</w:t>
      </w:r>
      <w:r>
        <w:t>.</w:t>
      </w:r>
      <w:r>
        <w:tab/>
        <w:t>Pending relevant Minister decisions in relation to coverage revocation that are reviewed under old scheme</w:t>
      </w:r>
      <w:bookmarkEnd w:id="3181"/>
      <w:bookmarkEnd w:id="318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determination under section 1.34 of the Gas Code in accordance with clause 16;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effect of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effect of that determination is that coverage of the covered pipeline is not revoked—a decision not to make a coverage revocation determination under section 106.</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16.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3183" w:name="_Toc53046488"/>
      <w:bookmarkStart w:id="3184" w:name="_Toc5365328"/>
      <w:r>
        <w:rPr>
          <w:rStyle w:val="CharSectno"/>
        </w:rPr>
        <w:t>18</w:t>
      </w:r>
      <w:r>
        <w:t>.</w:t>
      </w:r>
      <w:r>
        <w:tab/>
        <w:t>Pending old scheme coverage revocation determinations where no applications for review under old scheme</w:t>
      </w:r>
      <w:bookmarkEnd w:id="3183"/>
      <w:bookmarkEnd w:id="318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revocation determination is deemed to be coverage revocation determination on the day after the last day an application could have been made under section 38 of the old access law.</w:t>
      </w:r>
    </w:p>
    <w:p>
      <w:pPr>
        <w:pStyle w:val="Heading5"/>
      </w:pPr>
      <w:bookmarkStart w:id="3185" w:name="_Toc53046489"/>
      <w:bookmarkStart w:id="3186" w:name="_Toc5365329"/>
      <w:r>
        <w:rPr>
          <w:rStyle w:val="CharSectno"/>
        </w:rPr>
        <w:t>19</w:t>
      </w:r>
      <w:r>
        <w:t>.</w:t>
      </w:r>
      <w:r>
        <w:tab/>
        <w:t>Pending old scheme coverage revocation determinations where applications for review under old scheme on foot</w:t>
      </w:r>
      <w:bookmarkEnd w:id="3185"/>
      <w:bookmarkEnd w:id="3186"/>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revocation determination is deemed to be a coverage revocation determination on the day on which the determination of the relevant appeals body takes effect.</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revocation determination, that determination (as affirmed or varied) is deemed to be a coverage revocation determination on the day on which the order of the relevant appeals body affirming or varying that determination takes effect.</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revocation coverage determination and that is to operate in place of the pending old scheme revocation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3187" w:name="_Toc53046490"/>
      <w:bookmarkStart w:id="3188" w:name="_Toc5365330"/>
      <w:r>
        <w:rPr>
          <w:rStyle w:val="CharSectno"/>
        </w:rPr>
        <w:t>20</w:t>
      </w:r>
      <w:r>
        <w:t>.</w:t>
      </w:r>
      <w:r>
        <w:tab/>
        <w:t>Pending old scheme coverage non</w:t>
      </w:r>
      <w:r>
        <w:noBreakHyphen/>
        <w:t>revocation determinations where no applications for review under old scheme</w:t>
      </w:r>
      <w:bookmarkEnd w:id="3187"/>
      <w:bookmarkEnd w:id="318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non</w:t>
      </w:r>
      <w:r>
        <w:rPr>
          <w:color w:val="000000"/>
          <w:sz w:val="23"/>
          <w:szCs w:val="23"/>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non</w:t>
      </w:r>
      <w:r>
        <w:rPr>
          <w:color w:val="000000"/>
          <w:sz w:val="23"/>
          <w:szCs w:val="23"/>
        </w:rPr>
        <w:noBreakHyphen/>
        <w:t>revocation determination is deemed to be a decision not to make a coverage revocation determination under section 106 on the day after the last day an application could have been made under section 38 of the old access law.</w:t>
      </w:r>
    </w:p>
    <w:p>
      <w:pPr>
        <w:pStyle w:val="Heading5"/>
      </w:pPr>
      <w:bookmarkStart w:id="3189" w:name="_Toc53046491"/>
      <w:bookmarkStart w:id="3190" w:name="_Toc5365331"/>
      <w:r>
        <w:rPr>
          <w:rStyle w:val="CharSectno"/>
        </w:rPr>
        <w:t>21</w:t>
      </w:r>
      <w:r>
        <w:t>.</w:t>
      </w:r>
      <w:r>
        <w:tab/>
        <w:t>Pending old scheme coverage non</w:t>
      </w:r>
      <w:r>
        <w:noBreakHyphen/>
        <w:t>revocation determinations where applications for review under old scheme on foot</w:t>
      </w:r>
      <w:bookmarkEnd w:id="3189"/>
      <w:bookmarkEnd w:id="319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non</w:t>
      </w:r>
      <w:r>
        <w:rPr>
          <w:color w:val="000000"/>
          <w:sz w:val="23"/>
          <w:szCs w:val="23"/>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non</w:t>
      </w:r>
      <w:r>
        <w:rPr>
          <w:color w:val="000000"/>
          <w:sz w:val="23"/>
          <w:szCs w:val="23"/>
        </w:rPr>
        <w:noBreakHyphen/>
        <w:t>revocation determination is deemed to be a decision not to make a coverage revocation determination under section 106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non</w:t>
      </w:r>
      <w:r>
        <w:rPr>
          <w:color w:val="000000"/>
          <w:sz w:val="23"/>
          <w:szCs w:val="23"/>
        </w:rPr>
        <w:noBreakHyphen/>
        <w:t>revocation determination, that determination (as affirmed or varied) is deemed to be a decision not to make a coverage revocation determination under section 106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non</w:t>
      </w:r>
      <w:r>
        <w:rPr>
          <w:color w:val="000000"/>
          <w:sz w:val="23"/>
          <w:szCs w:val="23"/>
        </w:rPr>
        <w:noBreakHyphen/>
        <w:t>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non</w:t>
      </w:r>
      <w:r>
        <w:rPr>
          <w:color w:val="000000"/>
          <w:sz w:val="23"/>
          <w:szCs w:val="23"/>
        </w:rPr>
        <w:noBreakHyphen/>
        <w:t>revocation determination and that is to operate in place of the pending old scheme coverage non</w:t>
      </w:r>
      <w:r>
        <w:rPr>
          <w:color w:val="000000"/>
          <w:sz w:val="23"/>
          <w:szCs w:val="23"/>
        </w:rPr>
        <w:noBreakHyphen/>
        <w:t>revocation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3191" w:name="_Toc53046492"/>
      <w:bookmarkStart w:id="3192" w:name="_Toc5365332"/>
      <w:r>
        <w:rPr>
          <w:rStyle w:val="CharSectno"/>
        </w:rPr>
        <w:t>22</w:t>
      </w:r>
      <w:r>
        <w:t>.</w:t>
      </w:r>
      <w:r>
        <w:tab/>
        <w:t>Binding no</w:t>
      </w:r>
      <w:r>
        <w:noBreakHyphen/>
        <w:t>coverage determinations</w:t>
      </w:r>
      <w:bookmarkEnd w:id="3191"/>
      <w:bookmarkEnd w:id="3192"/>
    </w:p>
    <w:p>
      <w:pPr>
        <w:keepLines/>
        <w:autoSpaceDE w:val="0"/>
        <w:autoSpaceDN w:val="0"/>
        <w:adjustRightInd w:val="0"/>
        <w:spacing w:before="120"/>
        <w:ind w:left="1588"/>
        <w:rPr>
          <w:color w:val="000000"/>
          <w:sz w:val="23"/>
          <w:szCs w:val="23"/>
        </w:rPr>
      </w:pPr>
      <w:r>
        <w:rPr>
          <w:color w:val="000000"/>
          <w:sz w:val="23"/>
          <w:szCs w:val="23"/>
        </w:rPr>
        <w:t>On the commencement day, a binding no</w:t>
      </w:r>
      <w:r>
        <w:rPr>
          <w:color w:val="000000"/>
          <w:sz w:val="23"/>
          <w:szCs w:val="23"/>
        </w:rPr>
        <w:noBreakHyphen/>
        <w:t>coverage determination in effect immediately before that day is deemed to be a 15</w:t>
      </w:r>
      <w:r>
        <w:rPr>
          <w:color w:val="000000"/>
          <w:sz w:val="23"/>
          <w:szCs w:val="23"/>
        </w:rPr>
        <w:noBreakHyphen/>
        <w:t>year no</w:t>
      </w:r>
      <w:r>
        <w:rPr>
          <w:color w:val="000000"/>
          <w:sz w:val="23"/>
          <w:szCs w:val="23"/>
        </w:rPr>
        <w:noBreakHyphen/>
        <w:t>coverage determination.</w:t>
      </w:r>
    </w:p>
    <w:p>
      <w:pPr>
        <w:pStyle w:val="Heading5"/>
      </w:pPr>
      <w:bookmarkStart w:id="3193" w:name="_Toc53046493"/>
      <w:bookmarkStart w:id="3194" w:name="_Toc5365333"/>
      <w:r>
        <w:rPr>
          <w:rStyle w:val="CharSectno"/>
        </w:rPr>
        <w:t>23</w:t>
      </w:r>
      <w:r>
        <w:t>.</w:t>
      </w:r>
      <w:r>
        <w:tab/>
        <w:t>Pending applications for binding no</w:t>
      </w:r>
      <w:r>
        <w:noBreakHyphen/>
        <w:t>coverage determinations (before NCC recommendation)</w:t>
      </w:r>
      <w:bookmarkEnd w:id="3193"/>
      <w:bookmarkEnd w:id="319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under section 13D of the old access law for a binding no</w:t>
      </w:r>
      <w:r>
        <w:rPr>
          <w:color w:val="000000"/>
          <w:sz w:val="23"/>
          <w:szCs w:val="23"/>
        </w:rPr>
        <w:noBreakHyphen/>
        <w:t>coverage determination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NCC has not made a recommendation under section 13J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old access law, continue to take action in relation to the application as required under the old access law (including making a recommendation under section 13J of the old access law and submitting it to the relevant old scheme relevant Minister under that section) as if the old access law continued to apply.</w:t>
      </w:r>
    </w:p>
    <w:p>
      <w:pPr>
        <w:pStyle w:val="Heading5"/>
      </w:pPr>
      <w:bookmarkStart w:id="3195" w:name="_Toc53046494"/>
      <w:bookmarkStart w:id="3196" w:name="_Toc5365334"/>
      <w:r>
        <w:rPr>
          <w:rStyle w:val="CharSectno"/>
        </w:rPr>
        <w:t>24</w:t>
      </w:r>
      <w:r>
        <w:t>.</w:t>
      </w:r>
      <w:r>
        <w:tab/>
        <w:t>Pending relevant Minister decisions for binding no</w:t>
      </w:r>
      <w:r>
        <w:noBreakHyphen/>
        <w:t>coverage determinations under old scheme</w:t>
      </w:r>
      <w:bookmarkEnd w:id="3195"/>
      <w:bookmarkEnd w:id="319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13J of the old access law before the commencement day but the old scheme relevant Minister has not made a determination under section 13J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23 on or after the commencement day.</w:t>
      </w:r>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make a decision under section 13K of the old access law in relation to that recommendation as if the old access law continued to apply.</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A decision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decision is not to make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rPr>
        <w:t>relevant transition date</w:t>
      </w:r>
      <w:r>
        <w:rPr>
          <w:color w:val="000000"/>
          <w:sz w:val="23"/>
          <w:szCs w:val="23"/>
        </w:rPr>
        <w:t xml:space="preserve"> means, if an application is not made under section 38 of the old access law for a review of the decision within the time specified by that section—the day after the last day an application could have been made under that section.</w:t>
      </w:r>
    </w:p>
    <w:p>
      <w:pPr>
        <w:pStyle w:val="Heading5"/>
      </w:pPr>
      <w:bookmarkStart w:id="3197" w:name="_Toc53046495"/>
      <w:bookmarkStart w:id="3198" w:name="_Toc5365335"/>
      <w:r>
        <w:rPr>
          <w:rStyle w:val="CharSectno"/>
        </w:rPr>
        <w:t>25</w:t>
      </w:r>
      <w:r>
        <w:t>.</w:t>
      </w:r>
      <w:r>
        <w:tab/>
        <w:t>Pending relevant Minister decisions in relation to binding no</w:t>
      </w:r>
      <w:r>
        <w:noBreakHyphen/>
        <w:t>coverage determinations that are reviewed under old scheme</w:t>
      </w:r>
      <w:bookmarkEnd w:id="3197"/>
      <w:bookmarkEnd w:id="3198"/>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decision under section 13J of the old access law in accordance with clause 24;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decision of the old scheme relevant Minister.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decision of the old scheme relevant Minister is deemed to be, on the day the decision of the relevant appeals body takes effect—</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(b)</w:t>
      </w:r>
      <w:r>
        <w:rPr>
          <w:color w:val="000000"/>
          <w:sz w:val="23"/>
          <w:szCs w:val="23"/>
        </w:rPr>
        <w:tab/>
        <w:t>if the decision is not to make a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Next/>
        <w:keepLines/>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decision of the old scheme relevant Minister, that decision (as affirmed or varied) is deemed to be, on the day the order of the relevant appeals body affirming or varying that decision takes effect—</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(b)</w:t>
      </w:r>
      <w:r>
        <w:rPr>
          <w:color w:val="000000"/>
          <w:sz w:val="23"/>
          <w:szCs w:val="23"/>
        </w:rPr>
        <w:tab/>
        <w:t>if the decision is not to make a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Lines/>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decision of the old scheme relevant Minister and remits the matter to the old scheme relevant Minister for the Minister to make a decision again in respect of the matter, the Minister must make a decision under clause 24.</w:t>
      </w:r>
    </w:p>
    <w:p>
      <w:pPr>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decision of the old scheme relevant Minister and that is to operate in place of the decision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not to make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pStyle w:val="Heading3"/>
      </w:pPr>
      <w:bookmarkStart w:id="3199" w:name="_Toc52954802"/>
      <w:bookmarkStart w:id="3200" w:name="_Toc52956098"/>
      <w:bookmarkStart w:id="3201" w:name="_Toc52957597"/>
      <w:bookmarkStart w:id="3202" w:name="_Toc52958380"/>
      <w:bookmarkStart w:id="3203" w:name="_Toc53045713"/>
      <w:bookmarkStart w:id="3204" w:name="_Toc53046496"/>
      <w:bookmarkStart w:id="3205" w:name="_Toc501634379"/>
      <w:bookmarkStart w:id="3206" w:name="_Toc501713275"/>
      <w:bookmarkStart w:id="3207" w:name="_Toc536782501"/>
      <w:bookmarkStart w:id="3208" w:name="_Toc5347562"/>
      <w:bookmarkStart w:id="3209" w:name="_Toc5364115"/>
      <w:bookmarkStart w:id="3210" w:name="_Toc5365336"/>
      <w:r>
        <w:rPr>
          <w:rStyle w:val="CharDivNo"/>
        </w:rPr>
        <w:t>Part 4</w:t>
      </w:r>
      <w:r>
        <w:t xml:space="preserve"> — </w:t>
      </w:r>
      <w:r>
        <w:rPr>
          <w:rStyle w:val="CharDivText"/>
        </w:rPr>
        <w:t>Access arrangements</w:t>
      </w:r>
      <w:bookmarkEnd w:id="3199"/>
      <w:bookmarkEnd w:id="3200"/>
      <w:bookmarkEnd w:id="3201"/>
      <w:bookmarkEnd w:id="3202"/>
      <w:bookmarkEnd w:id="3203"/>
      <w:bookmarkEnd w:id="3204"/>
      <w:bookmarkEnd w:id="3205"/>
      <w:bookmarkEnd w:id="3206"/>
      <w:bookmarkEnd w:id="3207"/>
      <w:bookmarkEnd w:id="3208"/>
      <w:bookmarkEnd w:id="3209"/>
      <w:bookmarkEnd w:id="3210"/>
    </w:p>
    <w:p>
      <w:pPr>
        <w:pStyle w:val="Heading5"/>
      </w:pPr>
      <w:bookmarkStart w:id="3211" w:name="_Toc53046497"/>
      <w:bookmarkStart w:id="3212" w:name="_Toc5365337"/>
      <w:r>
        <w:rPr>
          <w:rStyle w:val="CharSectno"/>
        </w:rPr>
        <w:t>26</w:t>
      </w:r>
      <w:r>
        <w:t>.</w:t>
      </w:r>
      <w:r>
        <w:tab/>
        <w:t>Current access arrangements (other than old scheme limited access arrangements)</w:t>
      </w:r>
      <w:bookmarkEnd w:id="3211"/>
      <w:bookmarkEnd w:id="3212"/>
    </w:p>
    <w:p>
      <w:pPr>
        <w:keepNext/>
        <w:keepLines/>
        <w:autoSpaceDE w:val="0"/>
        <w:autoSpaceDN w:val="0"/>
        <w:adjustRightInd w:val="0"/>
        <w:spacing w:before="120"/>
        <w:ind w:left="1588"/>
        <w:rPr>
          <w:color w:val="000000"/>
          <w:sz w:val="23"/>
          <w:szCs w:val="23"/>
        </w:rPr>
      </w:pPr>
      <w:r>
        <w:rPr>
          <w:color w:val="000000"/>
          <w:sz w:val="23"/>
          <w:szCs w:val="23"/>
        </w:rPr>
        <w:t>Subject to this Part, 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current access arrangement approved in—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final decision under section 2.16 or 2.38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further final decision under section 2.19 or 2.41 of the Gas Code,</w:t>
      </w:r>
    </w:p>
    <w:p>
      <w:pPr>
        <w:keepLines/>
        <w:autoSpaceDE w:val="0"/>
        <w:autoSpaceDN w:val="0"/>
        <w:adjustRightInd w:val="0"/>
        <w:spacing w:before="120"/>
        <w:ind w:left="2382"/>
        <w:rPr>
          <w:color w:val="000000"/>
          <w:sz w:val="23"/>
          <w:szCs w:val="23"/>
        </w:rPr>
      </w:pPr>
      <w:r>
        <w:rPr>
          <w:color w:val="000000"/>
          <w:sz w:val="23"/>
          <w:szCs w:val="23"/>
        </w:rPr>
        <w:t>is deemed to be 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current access arrangement drafted and approved by a relevant Regulator under section 2.20 or 2.42 of the Gas Code is deemed to be a full access arrangement made by the AER under a full access arrangement decision.</w:t>
      </w:r>
    </w:p>
    <w:p>
      <w:pPr>
        <w:pStyle w:val="Heading5"/>
      </w:pPr>
      <w:bookmarkStart w:id="3213" w:name="_Toc53046498"/>
      <w:bookmarkStart w:id="3214" w:name="_Toc5365338"/>
      <w:r>
        <w:rPr>
          <w:rStyle w:val="CharSectno"/>
        </w:rPr>
        <w:t>27</w:t>
      </w:r>
      <w:r>
        <w:t>.</w:t>
      </w:r>
      <w:r>
        <w:tab/>
        <w:t>Old scheme limited access arrangements</w:t>
      </w:r>
      <w:bookmarkEnd w:id="3213"/>
      <w:bookmarkEnd w:id="3214"/>
    </w:p>
    <w:p>
      <w:pPr>
        <w:keepLines/>
        <w:autoSpaceDE w:val="0"/>
        <w:autoSpaceDN w:val="0"/>
        <w:adjustRightInd w:val="0"/>
        <w:spacing w:before="120"/>
        <w:ind w:left="1588"/>
        <w:rPr>
          <w:color w:val="000000"/>
          <w:sz w:val="23"/>
          <w:szCs w:val="23"/>
        </w:rPr>
      </w:pPr>
      <w:r>
        <w:rPr>
          <w:color w:val="000000"/>
          <w:sz w:val="23"/>
          <w:szCs w:val="23"/>
        </w:rPr>
        <w:t>On the commencement day, an old scheme limited access arrangement is deemed to be a limited access arrangement approved by the AER under the Rules.</w:t>
      </w:r>
    </w:p>
    <w:p>
      <w:pPr>
        <w:pStyle w:val="Heading5"/>
      </w:pPr>
      <w:bookmarkStart w:id="3215" w:name="_Toc53046499"/>
      <w:bookmarkStart w:id="3216" w:name="_Toc5365339"/>
      <w:r>
        <w:rPr>
          <w:rStyle w:val="CharSectno"/>
        </w:rPr>
        <w:t>28</w:t>
      </w:r>
      <w:r>
        <w:t>.</w:t>
      </w:r>
      <w:r>
        <w:tab/>
        <w:t>Access arrangements submitted but not approved or rejected before repeal of old scheme</w:t>
      </w:r>
      <w:bookmarkEnd w:id="3215"/>
      <w:bookmarkEnd w:id="321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proposed access arrangement has been submitted under section 2.2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that day—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approved that access arrangement in a final decision under section 2.16, or a further final decision under section 2.19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drafted and approved its own access arrangement under section 2.20 of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relevant Regulator must, despite the repeal of the Gas Code, deal with the proposed access arrangement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arrangement approved, or drafted and approved, in accordance with subclause (2) is deemed to be, on the day the relevant decision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access arrangement approved in a final decision under section 2.16, or a further final decision under section 2.19, of the Gas Code—a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access arrangement drafted and approved by the relevant Regulator under section 2.20 of the Gas Code—a full access arrangement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pPr>
      <w:bookmarkStart w:id="3217" w:name="_Toc53046500"/>
      <w:bookmarkStart w:id="3218" w:name="_Toc5365340"/>
      <w:r>
        <w:rPr>
          <w:rStyle w:val="CharSectno"/>
        </w:rPr>
        <w:t>29</w:t>
      </w:r>
      <w:r>
        <w:t>.</w:t>
      </w:r>
      <w:r>
        <w:tab/>
        <w:t>Access arrangement revisions submitted but not approved or rejected before repeal of old scheme</w:t>
      </w:r>
      <w:bookmarkEnd w:id="3217"/>
      <w:bookmarkEnd w:id="321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proposed revisions to a current access arrangement have been submitted under section 2.28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before that day—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approved those revisions in a final decision under section 2.38, or a further final decision under section 2.41,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drafted and approved its own revisions under section 2.42 of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relevant Regulator must, despite the repeal of the Gas Code, deal with the proposed revisions as if the Gas Code continued to apply.</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arrangement in respect of which revisions are approved, or drafted and approved, in accordance with subclause (2) is deemed to be, on the day the relevant decision takes effect—</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access arrangement in respect of which revisions are approved in a final decision under section 2.38, or a further final decision under section 2.41, of the Gas Code—a full access arrangement as revised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access arrangement in respect of which revisions are drafted and approved by the relevant Regulator under section 2.42 of the Gas Code—a full access arrangement (as revised)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pPr>
      <w:bookmarkStart w:id="3219" w:name="_Toc53046501"/>
      <w:bookmarkStart w:id="3220" w:name="_Toc5365341"/>
      <w:r>
        <w:rPr>
          <w:rStyle w:val="CharSectno"/>
        </w:rPr>
        <w:t>30</w:t>
      </w:r>
      <w:r>
        <w:t>.</w:t>
      </w:r>
      <w:r>
        <w:tab/>
        <w:t>Certain provisions of the Gas Code to continue to apply to current and proposed access arrangements</w:t>
      </w:r>
      <w:bookmarkEnd w:id="3219"/>
      <w:bookmarkEnd w:id="322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the repeal of the Gas Code and subject to this clause and any current access arrangement modification Rules, sections 3, 8 and 10.8 of the Gas Code continue to apply to a transitioned access arrangement until revisions to that access arrangement first approved or made in accordance with this Law and the Rules after the commencement day take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after the commencement day, a covered pipeline service provider must, despite anything to the contrary in a transitioned access arrangement, submit an access arrangement revision proposal in relation to that access arrangement in accordance with section 132 and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Sections 3, 8 and 10.8 of the Gas Code, as applied under this clause, do not have effect to the extent that they provide for or deal with the procedure for the approval of revisions to access arrangements.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For the purposes of this clause—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AER is deemed to have the functions and powers a relevant Regulator has under sections 3, 8 and 10.8 of the Gas Code as applied under this clause;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every reference to a relevant Regulator in those sections as applied under this clause is deemed to be a reference to the AER.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access arrangement revision proposal</w:t>
      </w:r>
      <w:r>
        <w:rPr>
          <w:bCs/>
          <w:i/>
          <w:iCs/>
          <w:color w:val="000000"/>
          <w:sz w:val="23"/>
          <w:szCs w:val="23"/>
        </w:rPr>
        <w:t xml:space="preserve"> </w:t>
      </w:r>
      <w:r>
        <w:rPr>
          <w:color w:val="000000"/>
          <w:sz w:val="23"/>
          <w:szCs w:val="23"/>
        </w:rPr>
        <w:t>has the same meaning as in the Rules;</w:t>
      </w:r>
    </w:p>
    <w:p>
      <w:pPr>
        <w:keepLines/>
        <w:autoSpaceDE w:val="0"/>
        <w:autoSpaceDN w:val="0"/>
        <w:adjustRightInd w:val="0"/>
        <w:spacing w:before="120"/>
        <w:ind w:left="1588"/>
        <w:rPr>
          <w:color w:val="000000"/>
          <w:sz w:val="23"/>
          <w:szCs w:val="23"/>
        </w:rPr>
      </w:pPr>
      <w:r>
        <w:rPr>
          <w:rStyle w:val="CharDefText"/>
          <w:bCs/>
          <w:sz w:val="23"/>
        </w:rPr>
        <w:t>current access arrangement modification Rules</w:t>
      </w:r>
      <w:r>
        <w:rPr>
          <w:bCs/>
          <w:i/>
          <w:iCs/>
          <w:color w:val="000000"/>
          <w:sz w:val="23"/>
          <w:szCs w:val="23"/>
        </w:rPr>
        <w:t xml:space="preserve"> </w:t>
      </w:r>
      <w:r>
        <w:rPr>
          <w:color w:val="000000"/>
          <w:sz w:val="23"/>
          <w:szCs w:val="23"/>
        </w:rPr>
        <w:t>means Rules made for or with respect to item 81 of Schedule 1 to this Law that are in force.</w:t>
      </w:r>
    </w:p>
    <w:p>
      <w:pPr>
        <w:pStyle w:val="Heading5"/>
      </w:pPr>
      <w:bookmarkStart w:id="3221" w:name="_Toc53046502"/>
      <w:bookmarkStart w:id="3222" w:name="_Toc5365342"/>
      <w:r>
        <w:rPr>
          <w:rStyle w:val="CharSectno"/>
        </w:rPr>
        <w:t>31</w:t>
      </w:r>
      <w:r>
        <w:t>.</w:t>
      </w:r>
      <w:r>
        <w:tab/>
        <w:t>Certain decisions relating to certain access arrangements are reviewable regulatory decisions for purposes of Chapter 8 Part 5 of the Law</w:t>
      </w:r>
      <w:bookmarkEnd w:id="3221"/>
      <w:bookmarkEnd w:id="322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Despite anything to the contrary in this Law, the definition of </w:t>
      </w:r>
      <w:r>
        <w:rPr>
          <w:rStyle w:val="CharDefText"/>
          <w:bCs/>
          <w:sz w:val="23"/>
        </w:rPr>
        <w:t>reviewable regulatory decision</w:t>
      </w:r>
      <w:r>
        <w:rPr>
          <w:bCs/>
          <w:i/>
          <w:iCs/>
          <w:color w:val="000000"/>
          <w:sz w:val="23"/>
          <w:szCs w:val="23"/>
        </w:rPr>
        <w:t xml:space="preserve"> </w:t>
      </w:r>
      <w:r>
        <w:rPr>
          <w:color w:val="000000"/>
          <w:sz w:val="23"/>
          <w:szCs w:val="23"/>
        </w:rPr>
        <w:t>in section 244 is deemed, during the relevant transition period, to include decisions of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disallow a variation proposed by a service provider of a Reference Tariff contained in a transitioned access arrangement;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the AER’s own variation of a Reference Tariff in respect of a transitioned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on disallowing a variation proposed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fails to submit such a variation as required.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new scheme revisions commencement date</w:t>
      </w:r>
      <w:r>
        <w:rPr>
          <w:bCs/>
          <w:i/>
          <w:iCs/>
          <w:color w:val="000000"/>
          <w:sz w:val="23"/>
          <w:szCs w:val="23"/>
        </w:rPr>
        <w:t xml:space="preserve"> </w:t>
      </w:r>
      <w:r>
        <w:rPr>
          <w:color w:val="000000"/>
          <w:sz w:val="23"/>
          <w:szCs w:val="23"/>
        </w:rPr>
        <w:t>means the date revisions approved or made to a transitioned access arrangement under this Law and the Rules take effect following the first review of that access arrangement under this Law and the Rules after the commencement day;</w:t>
      </w:r>
    </w:p>
    <w:p>
      <w:pPr>
        <w:keepLines/>
        <w:autoSpaceDE w:val="0"/>
        <w:autoSpaceDN w:val="0"/>
        <w:adjustRightInd w:val="0"/>
        <w:spacing w:before="120"/>
        <w:ind w:left="1588"/>
        <w:rPr>
          <w:color w:val="000000"/>
          <w:sz w:val="23"/>
          <w:szCs w:val="23"/>
        </w:rPr>
      </w:pPr>
      <w:r>
        <w:rPr>
          <w:rStyle w:val="CharDefText"/>
          <w:bCs/>
          <w:sz w:val="23"/>
        </w:rPr>
        <w:t>Reference Tariff</w:t>
      </w:r>
      <w:r>
        <w:rPr>
          <w:bCs/>
          <w:i/>
          <w:iCs/>
          <w:color w:val="000000"/>
          <w:sz w:val="23"/>
          <w:szCs w:val="23"/>
        </w:rPr>
        <w:t xml:space="preserve"> </w:t>
      </w:r>
      <w:r>
        <w:rPr>
          <w:color w:val="000000"/>
          <w:sz w:val="23"/>
          <w:szCs w:val="23"/>
        </w:rPr>
        <w:t>has the same meaning as in the Gas Code immediately before its repeal;</w:t>
      </w:r>
    </w:p>
    <w:p>
      <w:pPr>
        <w:keepNext/>
        <w:keepLines/>
        <w:autoSpaceDE w:val="0"/>
        <w:autoSpaceDN w:val="0"/>
        <w:adjustRightInd w:val="0"/>
        <w:spacing w:before="120"/>
        <w:ind w:left="1588"/>
        <w:rPr>
          <w:color w:val="000000"/>
          <w:sz w:val="23"/>
          <w:szCs w:val="23"/>
        </w:rPr>
      </w:pPr>
      <w:r>
        <w:rPr>
          <w:rStyle w:val="CharDefText"/>
          <w:bCs/>
          <w:sz w:val="23"/>
        </w:rPr>
        <w:t>relevant transition period</w:t>
      </w:r>
      <w:r>
        <w:rPr>
          <w:bCs/>
          <w:i/>
          <w:iCs/>
          <w:color w:val="000000"/>
          <w:sz w:val="23"/>
          <w:szCs w:val="23"/>
        </w:rPr>
        <w:t xml:space="preserve"> </w:t>
      </w:r>
      <w:r>
        <w:rPr>
          <w:color w:val="000000"/>
          <w:sz w:val="23"/>
          <w:szCs w:val="23"/>
        </w:rPr>
        <w:t>means the period—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commencing on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ending on the day after the day that is 15 business days after the first new scheme revisions commencement date.</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clause 30.</w:t>
      </w:r>
    </w:p>
    <w:p>
      <w:pPr>
        <w:pStyle w:val="Heading5"/>
      </w:pPr>
      <w:bookmarkStart w:id="3223" w:name="_Toc53046503"/>
      <w:bookmarkStart w:id="3224" w:name="_Toc5365343"/>
      <w:r>
        <w:rPr>
          <w:rStyle w:val="CharSectno"/>
        </w:rPr>
        <w:t>32</w:t>
      </w:r>
      <w:r>
        <w:t>.</w:t>
      </w:r>
      <w:r>
        <w:tab/>
        <w:t>Limited access arrangements submitted but not approved before repeal of old scheme</w:t>
      </w:r>
      <w:bookmarkEnd w:id="3223"/>
      <w:bookmarkEnd w:id="322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 a proposed limited access arrangement or a proposed amendment to a limited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been submitted under section 13U(1) of the old access law to the ACCC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ACCC has not approved that limited access arrangement or that amendment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ACCC must, despite the repeal of the old access law, deal with the proposed access arrangement under section 13U as if the old access law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proposed limited access arrangement, or a proposed amendment to a limited access arrangement, approved by the ACCC in accordance with subclause (2) is deemed to be, on the day the decision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decision approving the proposed limited access arrangement—a limited access arrangement approved by the AER under a limited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decision approving a proposed amendment to a limited access arrangement—a variation to a limited access arrangement approved by the AER under the Rules.</w:t>
      </w:r>
    </w:p>
    <w:p>
      <w:pPr>
        <w:pStyle w:val="Heading5"/>
      </w:pPr>
      <w:bookmarkStart w:id="3225" w:name="_Toc53046504"/>
      <w:bookmarkStart w:id="3226" w:name="_Toc5365344"/>
      <w:r>
        <w:rPr>
          <w:rStyle w:val="CharSectno"/>
        </w:rPr>
        <w:t>33</w:t>
      </w:r>
      <w:r>
        <w:t>.</w:t>
      </w:r>
      <w:r>
        <w:tab/>
        <w:t>Extensions and expansions policies</w:t>
      </w:r>
      <w:bookmarkEnd w:id="3225"/>
      <w:bookmarkEnd w:id="3226"/>
    </w:p>
    <w:p>
      <w:pPr>
        <w:keepLines/>
        <w:autoSpaceDE w:val="0"/>
        <w:autoSpaceDN w:val="0"/>
        <w:adjustRightInd w:val="0"/>
        <w:spacing w:before="120"/>
        <w:ind w:left="1588"/>
        <w:rPr>
          <w:color w:val="000000"/>
          <w:sz w:val="23"/>
          <w:szCs w:val="23"/>
        </w:rPr>
      </w:pPr>
      <w:r>
        <w:rPr>
          <w:color w:val="000000"/>
          <w:sz w:val="23"/>
          <w:szCs w:val="23"/>
        </w:rPr>
        <w:t>On the commencement day, an Extensions/Expansions Policy (as defined in section 3.16 of the Gas Code), and in effect immediately before that day, is deemed to be extension and expansion requirements.</w:t>
      </w:r>
    </w:p>
    <w:p>
      <w:pPr>
        <w:pStyle w:val="Heading5"/>
      </w:pPr>
      <w:bookmarkStart w:id="3227" w:name="_Toc53046505"/>
      <w:bookmarkStart w:id="3228" w:name="_Toc5365345"/>
      <w:r>
        <w:rPr>
          <w:rStyle w:val="CharSectno"/>
        </w:rPr>
        <w:t>34</w:t>
      </w:r>
      <w:r>
        <w:t>.</w:t>
      </w:r>
      <w:r>
        <w:tab/>
        <w:t>Queuing policies</w:t>
      </w:r>
      <w:bookmarkEnd w:id="3227"/>
      <w:bookmarkEnd w:id="3228"/>
    </w:p>
    <w:p>
      <w:pPr>
        <w:keepLines/>
        <w:autoSpaceDE w:val="0"/>
        <w:autoSpaceDN w:val="0"/>
        <w:adjustRightInd w:val="0"/>
        <w:spacing w:before="120"/>
        <w:ind w:left="1588"/>
        <w:rPr>
          <w:color w:val="000000"/>
          <w:sz w:val="23"/>
          <w:szCs w:val="23"/>
        </w:rPr>
      </w:pPr>
      <w:r>
        <w:rPr>
          <w:color w:val="000000"/>
          <w:sz w:val="23"/>
          <w:szCs w:val="23"/>
        </w:rPr>
        <w:t>On the commencement day, a Queuing Policy (as defined in section 3.12 of the Gas Code), and in effect immediately before that day, is deemed to be queuing requirements.</w:t>
      </w:r>
    </w:p>
    <w:p>
      <w:pPr>
        <w:pStyle w:val="Heading3"/>
      </w:pPr>
      <w:bookmarkStart w:id="3229" w:name="_Toc52954812"/>
      <w:bookmarkStart w:id="3230" w:name="_Toc52956108"/>
      <w:bookmarkStart w:id="3231" w:name="_Toc52957607"/>
      <w:bookmarkStart w:id="3232" w:name="_Toc52958390"/>
      <w:bookmarkStart w:id="3233" w:name="_Toc53045723"/>
      <w:bookmarkStart w:id="3234" w:name="_Toc53046506"/>
      <w:bookmarkStart w:id="3235" w:name="_Toc501634389"/>
      <w:bookmarkStart w:id="3236" w:name="_Toc501713285"/>
      <w:bookmarkStart w:id="3237" w:name="_Toc536782511"/>
      <w:bookmarkStart w:id="3238" w:name="_Toc5347572"/>
      <w:bookmarkStart w:id="3239" w:name="_Toc5364125"/>
      <w:bookmarkStart w:id="3240" w:name="_Toc5365346"/>
      <w:r>
        <w:rPr>
          <w:rStyle w:val="CharDivNo"/>
        </w:rPr>
        <w:t>Part 5</w:t>
      </w:r>
      <w:r>
        <w:t xml:space="preserve"> — </w:t>
      </w:r>
      <w:r>
        <w:rPr>
          <w:rStyle w:val="CharDivText"/>
        </w:rPr>
        <w:t>Price regulation exemptions</w:t>
      </w:r>
      <w:bookmarkEnd w:id="3229"/>
      <w:bookmarkEnd w:id="3230"/>
      <w:bookmarkEnd w:id="3231"/>
      <w:bookmarkEnd w:id="3232"/>
      <w:bookmarkEnd w:id="3233"/>
      <w:bookmarkEnd w:id="3234"/>
      <w:bookmarkEnd w:id="3235"/>
      <w:bookmarkEnd w:id="3236"/>
      <w:bookmarkEnd w:id="3237"/>
      <w:bookmarkEnd w:id="3238"/>
      <w:bookmarkEnd w:id="3239"/>
      <w:bookmarkEnd w:id="3240"/>
    </w:p>
    <w:p>
      <w:pPr>
        <w:pStyle w:val="Heading5"/>
      </w:pPr>
      <w:bookmarkStart w:id="3241" w:name="_Toc53046507"/>
      <w:bookmarkStart w:id="3242" w:name="_Toc5365347"/>
      <w:r>
        <w:rPr>
          <w:rStyle w:val="CharSectno"/>
        </w:rPr>
        <w:t>35</w:t>
      </w:r>
      <w:r>
        <w:t>.</w:t>
      </w:r>
      <w:r>
        <w:tab/>
        <w:t>Old scheme price regulation exemptions</w:t>
      </w:r>
      <w:bookmarkEnd w:id="3241"/>
      <w:bookmarkEnd w:id="3242"/>
    </w:p>
    <w:p>
      <w:pPr>
        <w:keepLines/>
        <w:autoSpaceDE w:val="0"/>
        <w:autoSpaceDN w:val="0"/>
        <w:adjustRightInd w:val="0"/>
        <w:spacing w:before="120"/>
        <w:ind w:left="1588"/>
        <w:rPr>
          <w:color w:val="000000"/>
          <w:sz w:val="23"/>
          <w:szCs w:val="23"/>
        </w:rPr>
      </w:pPr>
      <w:r>
        <w:rPr>
          <w:color w:val="000000"/>
          <w:sz w:val="23"/>
          <w:szCs w:val="23"/>
        </w:rPr>
        <w:t>On the commencement day, an old scheme price regulation exemption in effect immediately before that day is deemed to be a price regulation exemption.</w:t>
      </w:r>
    </w:p>
    <w:p>
      <w:pPr>
        <w:pStyle w:val="Heading5"/>
      </w:pPr>
      <w:bookmarkStart w:id="3243" w:name="_Toc53046508"/>
      <w:bookmarkStart w:id="3244" w:name="_Toc5365348"/>
      <w:r>
        <w:rPr>
          <w:rStyle w:val="CharSectno"/>
        </w:rPr>
        <w:t>36</w:t>
      </w:r>
      <w:r>
        <w:t>.</w:t>
      </w:r>
      <w:r>
        <w:tab/>
        <w:t>Pending applications for price regulation exemptions</w:t>
      </w:r>
      <w:bookmarkEnd w:id="3243"/>
      <w:bookmarkEnd w:id="324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under section 13N of the old access law for an old scheme price regulation exemption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NCC has not made a recommendation under section 13R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old access law, continue to take action in relation to the application as required under the old access law (including making a recommendation under section 13R of the old access law and submitting it to the Commonwealth Minister under that section) as if the old access law continued to apply.</w:t>
      </w:r>
    </w:p>
    <w:p>
      <w:pPr>
        <w:pStyle w:val="Heading5"/>
      </w:pPr>
      <w:bookmarkStart w:id="3245" w:name="_Toc53046509"/>
      <w:bookmarkStart w:id="3246" w:name="_Toc5365349"/>
      <w:r>
        <w:rPr>
          <w:rStyle w:val="CharSectno"/>
        </w:rPr>
        <w:t>37</w:t>
      </w:r>
      <w:r>
        <w:t>.</w:t>
      </w:r>
      <w:r>
        <w:tab/>
        <w:t>Pending Commonwealth Minister decisions for price regulation exemptions</w:t>
      </w:r>
      <w:bookmarkEnd w:id="3245"/>
      <w:bookmarkEnd w:id="324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Commonwealth Minister has received a recommendation of the NCC under section 13R of the old access law before the commencement day but the Commonwealth Minister has not made a decision under section 13S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receives a recommendation of the NCC as provided for under clause 36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Commonwealth Minister must, despite the repeal of the old access law, make a decision under section 13S of the old access law in relation to that recommendation as if the old access law continued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Commonwealth Minister makes an old scheme price regulation exemption under section 13S of the old access law in accordance with subclause (2), that exemption is deemed to be a price regulation exemption on the day it is made.</w:t>
      </w:r>
    </w:p>
    <w:p>
      <w:pPr>
        <w:pStyle w:val="Heading3"/>
      </w:pPr>
      <w:bookmarkStart w:id="3247" w:name="_Toc52954816"/>
      <w:bookmarkStart w:id="3248" w:name="_Toc52956112"/>
      <w:bookmarkStart w:id="3249" w:name="_Toc52957611"/>
      <w:bookmarkStart w:id="3250" w:name="_Toc52958394"/>
      <w:bookmarkStart w:id="3251" w:name="_Toc53045727"/>
      <w:bookmarkStart w:id="3252" w:name="_Toc53046510"/>
      <w:bookmarkStart w:id="3253" w:name="_Toc501634393"/>
      <w:bookmarkStart w:id="3254" w:name="_Toc501713289"/>
      <w:bookmarkStart w:id="3255" w:name="_Toc536782515"/>
      <w:bookmarkStart w:id="3256" w:name="_Toc5347576"/>
      <w:bookmarkStart w:id="3257" w:name="_Toc5364129"/>
      <w:bookmarkStart w:id="3258" w:name="_Toc5365350"/>
      <w:r>
        <w:rPr>
          <w:rStyle w:val="CharDivNo"/>
        </w:rPr>
        <w:t>Part 6</w:t>
      </w:r>
      <w:r>
        <w:t xml:space="preserve"> — </w:t>
      </w:r>
      <w:r>
        <w:rPr>
          <w:rStyle w:val="CharDivText"/>
        </w:rPr>
        <w:t>Structural and operational separation (ring fencing)</w:t>
      </w:r>
      <w:bookmarkEnd w:id="3247"/>
      <w:bookmarkEnd w:id="3248"/>
      <w:bookmarkEnd w:id="3249"/>
      <w:bookmarkEnd w:id="3250"/>
      <w:bookmarkEnd w:id="3251"/>
      <w:bookmarkEnd w:id="3252"/>
      <w:bookmarkEnd w:id="3253"/>
      <w:bookmarkEnd w:id="3254"/>
      <w:bookmarkEnd w:id="3255"/>
      <w:bookmarkEnd w:id="3256"/>
      <w:bookmarkEnd w:id="3257"/>
      <w:bookmarkEnd w:id="3258"/>
    </w:p>
    <w:p>
      <w:pPr>
        <w:pStyle w:val="Heading5"/>
      </w:pPr>
      <w:bookmarkStart w:id="3259" w:name="_Toc53046511"/>
      <w:bookmarkStart w:id="3260" w:name="_Toc5365351"/>
      <w:r>
        <w:rPr>
          <w:rStyle w:val="CharSectno"/>
        </w:rPr>
        <w:t>38</w:t>
      </w:r>
      <w:r>
        <w:t>.</w:t>
      </w:r>
      <w:r>
        <w:tab/>
        <w:t>Definitions</w:t>
      </w:r>
      <w:bookmarkEnd w:id="3259"/>
      <w:bookmarkEnd w:id="3260"/>
    </w:p>
    <w:p>
      <w:pPr>
        <w:keepNext/>
        <w:keepLines/>
        <w:autoSpaceDE w:val="0"/>
        <w:autoSpaceDN w:val="0"/>
        <w:adjustRightInd w:val="0"/>
        <w:spacing w:before="120"/>
        <w:ind w:left="1588"/>
        <w:rPr>
          <w:color w:val="000000"/>
          <w:sz w:val="23"/>
          <w:szCs w:val="23"/>
        </w:rPr>
      </w:pPr>
      <w:r>
        <w:rPr>
          <w:color w:val="000000"/>
          <w:sz w:val="23"/>
          <w:szCs w:val="23"/>
        </w:rPr>
        <w:t>In this Part—</w:t>
      </w:r>
    </w:p>
    <w:p>
      <w:pPr>
        <w:keepNext/>
        <w:keepLines/>
        <w:autoSpaceDE w:val="0"/>
        <w:autoSpaceDN w:val="0"/>
        <w:adjustRightInd w:val="0"/>
        <w:spacing w:before="120"/>
        <w:ind w:left="1588"/>
        <w:rPr>
          <w:color w:val="000000"/>
          <w:sz w:val="23"/>
          <w:szCs w:val="23"/>
        </w:rPr>
      </w:pPr>
      <w:r>
        <w:rPr>
          <w:rStyle w:val="CharDefText"/>
          <w:bCs/>
          <w:sz w:val="23"/>
        </w:rPr>
        <w:t>old scheme ring fencing requirement</w:t>
      </w:r>
      <w:r>
        <w:rPr>
          <w:color w:val="000000"/>
          <w:sz w:val="23"/>
          <w:szCs w:val="23"/>
        </w:rPr>
        <w:t>, in relation to a service provider,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section 4.1(b) to (d), (h) or (i) of the Gas Code as those sections apply to the service provider subject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any notice given to the service provider under section 4.15(a) of the Gas Code waiving that service provider’s compliance with an obligation under section 4.1(b) of the Gas Code that is in effect immediately before the commencement day;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notice given to the service provider under section 4.15(b) of the Gas Code waiving that service provider’s compliance with an obligation under section 4.1(h) and (i) of the Gas Code that is in effect immediately before the commencement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obligation applying to the service provider under a notice given to that service provider under section 4.3 of the Gas Code that is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relevant transition period</w:t>
      </w:r>
      <w:r>
        <w:rPr>
          <w:bCs/>
          <w:i/>
          <w:iCs/>
          <w:color w:val="000000"/>
          <w:sz w:val="23"/>
          <w:szCs w:val="23"/>
        </w:rPr>
        <w:t xml:space="preserve"> </w:t>
      </w:r>
      <w:r>
        <w:rPr>
          <w:color w:val="000000"/>
          <w:sz w:val="23"/>
          <w:szCs w:val="23"/>
        </w:rPr>
        <w:t>means the period beginning on the commencement day and ending on the day that is 6 months after the commencement day.</w:t>
      </w:r>
    </w:p>
    <w:p>
      <w:pPr>
        <w:pStyle w:val="Heading5"/>
      </w:pPr>
      <w:bookmarkStart w:id="3261" w:name="_Toc53046512"/>
      <w:bookmarkStart w:id="3262" w:name="_Toc5365352"/>
      <w:r>
        <w:rPr>
          <w:rStyle w:val="CharSectno"/>
        </w:rPr>
        <w:t>39</w:t>
      </w:r>
      <w:r>
        <w:t>.</w:t>
      </w:r>
      <w:r>
        <w:tab/>
        <w:t>Compliance with certain old scheme ring fencing requirements sufficient compliance for 6 month period</w:t>
      </w:r>
      <w:bookmarkEnd w:id="3261"/>
      <w:bookmarkEnd w:id="326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Law, a service provider who during the relevant transition period complies with an old scheme ring fencing requirement must be taken to comply with Division 2 and Division 3 of Chapter 4 Part 2 of the Law during that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to subclause (1) but subject to subclauses (3) and (4), a service provider must continue to comply with an old scheme ring fencing requirement as if the Gas Code continued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may depart from complying with an old scheme ring fencing requirement before the end of the relevant transition period solely for the purpose of preparing to comply with Division 2 or Division 3 of Chapter 4 Part 2 of this Law at the end of that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a service provider does depart from complying with an old scheme ring fencing requirement in accordance with subclause (3) the service provider must in respect of that departure comply with Division 2 and Division 3 of Chapter 4 Part 2 of this Law (as the case requires).</w:t>
      </w:r>
    </w:p>
    <w:p>
      <w:pPr>
        <w:pStyle w:val="Heading5"/>
      </w:pPr>
      <w:bookmarkStart w:id="3263" w:name="_Toc53046513"/>
      <w:bookmarkStart w:id="3264" w:name="_Toc5365353"/>
      <w:r>
        <w:rPr>
          <w:rStyle w:val="CharSectno"/>
        </w:rPr>
        <w:t>40</w:t>
      </w:r>
      <w:r>
        <w:t>.</w:t>
      </w:r>
      <w:r>
        <w:tab/>
        <w:t>Existing waivers of ring fencing obligations</w:t>
      </w:r>
      <w:bookmarkEnd w:id="3263"/>
      <w:bookmarkEnd w:id="326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After the relevant transition period, a notice given to a service provider under section 4.15(a) of the Gas Code waiving that service provider’s compliance with an obligation under section 4.1(b) of the Gas Code, and in effect immediately before the commencement day, is deemed to be an exemption of the AER under section 146 from the requirement to comply with section 139 given to that service provider.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After the relevant transition period, a notice given to a service provider under section 4.15(b) of the Gas Code waiving that service provider’s compliance with an obligation under section 4.1(h) and (i) of the Gas Code, and in effect immediately before the commencement day, is deemed to be an exemption of the AER under section 146 from the requirement to comply with section 140 given to that service provider.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Subclauses (1) and (2) do not apply to the extent to which a notice referred to in those subclauses is inconsistent with this Law or the Rules.</w:t>
      </w:r>
    </w:p>
    <w:p>
      <w:pPr>
        <w:pStyle w:val="Heading5"/>
      </w:pPr>
      <w:bookmarkStart w:id="3265" w:name="_Toc53046514"/>
      <w:bookmarkStart w:id="3266" w:name="_Toc5365354"/>
      <w:r>
        <w:rPr>
          <w:rStyle w:val="CharSectno"/>
        </w:rPr>
        <w:t>41</w:t>
      </w:r>
      <w:r>
        <w:t>.</w:t>
      </w:r>
      <w:r>
        <w:tab/>
        <w:t>Additional ring fencing obligations</w:t>
      </w:r>
      <w:bookmarkEnd w:id="3265"/>
      <w:bookmarkEnd w:id="326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After the relevant transition period, a notice given to a service provider under section 4.3 of the Gas Code and in effect immediately before the commencement day is deemed to be an additional ring fencing requirement (as defined in section 137).</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does not apply to the extent to which a notice referred to in that subclause is inconsistent with this Law or the Rules.</w:t>
      </w:r>
    </w:p>
    <w:p>
      <w:pPr>
        <w:pStyle w:val="Heading3"/>
      </w:pPr>
      <w:bookmarkStart w:id="3267" w:name="_Toc52954821"/>
      <w:bookmarkStart w:id="3268" w:name="_Toc52956117"/>
      <w:bookmarkStart w:id="3269" w:name="_Toc52957616"/>
      <w:bookmarkStart w:id="3270" w:name="_Toc52958399"/>
      <w:bookmarkStart w:id="3271" w:name="_Toc53045732"/>
      <w:bookmarkStart w:id="3272" w:name="_Toc53046515"/>
      <w:bookmarkStart w:id="3273" w:name="_Toc501634398"/>
      <w:bookmarkStart w:id="3274" w:name="_Toc501713294"/>
      <w:bookmarkStart w:id="3275" w:name="_Toc536782520"/>
      <w:bookmarkStart w:id="3276" w:name="_Toc5347581"/>
      <w:bookmarkStart w:id="3277" w:name="_Toc5364134"/>
      <w:bookmarkStart w:id="3278" w:name="_Toc5365355"/>
      <w:r>
        <w:rPr>
          <w:rStyle w:val="CharDivNo"/>
        </w:rPr>
        <w:t>Part 7</w:t>
      </w:r>
      <w:r>
        <w:t xml:space="preserve"> — </w:t>
      </w:r>
      <w:r>
        <w:rPr>
          <w:rStyle w:val="CharDivText"/>
        </w:rPr>
        <w:t>Access disputes</w:t>
      </w:r>
      <w:bookmarkEnd w:id="3267"/>
      <w:bookmarkEnd w:id="3268"/>
      <w:bookmarkEnd w:id="3269"/>
      <w:bookmarkEnd w:id="3270"/>
      <w:bookmarkEnd w:id="3271"/>
      <w:bookmarkEnd w:id="3272"/>
      <w:bookmarkEnd w:id="3273"/>
      <w:bookmarkEnd w:id="3274"/>
      <w:bookmarkEnd w:id="3275"/>
      <w:bookmarkEnd w:id="3276"/>
      <w:bookmarkEnd w:id="3277"/>
      <w:bookmarkEnd w:id="3278"/>
    </w:p>
    <w:p>
      <w:pPr>
        <w:pStyle w:val="Heading5"/>
      </w:pPr>
      <w:bookmarkStart w:id="3279" w:name="_Toc53046516"/>
      <w:bookmarkStart w:id="3280" w:name="_Toc5365356"/>
      <w:r>
        <w:rPr>
          <w:rStyle w:val="CharSectno"/>
        </w:rPr>
        <w:t>42</w:t>
      </w:r>
      <w:r>
        <w:t>.</w:t>
      </w:r>
      <w:r>
        <w:tab/>
        <w:t>Non</w:t>
      </w:r>
      <w:r>
        <w:noBreakHyphen/>
        <w:t>finalised access disputes</w:t>
      </w:r>
      <w:bookmarkEnd w:id="3279"/>
      <w:bookmarkEnd w:id="328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non</w:t>
      </w:r>
      <w:r>
        <w:rPr>
          <w:color w:val="000000"/>
          <w:sz w:val="23"/>
          <w:szCs w:val="23"/>
        </w:rPr>
        <w:noBreakHyphen/>
        <w:t>finalised access dispute must continue to be dealt with in accordance with the old access law and Gas Code despite the repeal of the old access law and Gas Code.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despite anything to the contrary in the old access law and Gas Code, a non</w:t>
      </w:r>
      <w:r>
        <w:rPr>
          <w:color w:val="000000"/>
          <w:sz w:val="23"/>
          <w:szCs w:val="23"/>
        </w:rPr>
        <w:noBreakHyphen/>
        <w:t>finalised access dispute is to be dealt with by the dispute resolution body and for that purpose—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every reference to an arbitrator in Part 4 of the old access law and in the Gas Code is to be read as a reference to the dispute resolution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anything done in relation to a non</w:t>
      </w:r>
      <w:r>
        <w:rPr>
          <w:color w:val="000000"/>
          <w:sz w:val="23"/>
          <w:szCs w:val="23"/>
        </w:rPr>
        <w:noBreakHyphen/>
        <w:t>finalised access dispute by an arbitrator before the commencement day is deemed to have been done by the dispute resolution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dispute resolution body may, in relation to a particular non</w:t>
      </w:r>
      <w:r>
        <w:rPr>
          <w:color w:val="000000"/>
          <w:sz w:val="23"/>
          <w:szCs w:val="23"/>
        </w:rPr>
        <w:noBreakHyphen/>
        <w:t>finalised access dispute, have regard to any record of the arbitrator conducting the arbitration of that non</w:t>
      </w:r>
      <w:r>
        <w:rPr>
          <w:color w:val="000000"/>
          <w:sz w:val="23"/>
          <w:szCs w:val="23"/>
        </w:rPr>
        <w:noBreakHyphen/>
        <w:t>finalised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arbitrator must stop conducting the arbitration and give the dispute resolution body all documents the arbitrator has created for the purposes of, or received in, the arbitration.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non</w:t>
      </w:r>
      <w:r>
        <w:rPr>
          <w:rStyle w:val="CharDefText"/>
          <w:bCs/>
          <w:sz w:val="23"/>
        </w:rPr>
        <w:noBreakHyphen/>
        <w:t>finalised access dispute</w:t>
      </w:r>
      <w:r>
        <w:rPr>
          <w:bCs/>
          <w:i/>
          <w:iCs/>
          <w:color w:val="000000"/>
          <w:sz w:val="23"/>
          <w:szCs w:val="23"/>
        </w:rPr>
        <w:t xml:space="preserve"> </w:t>
      </w:r>
      <w:r>
        <w:rPr>
          <w:color w:val="000000"/>
          <w:sz w:val="23"/>
          <w:szCs w:val="23"/>
        </w:rPr>
        <w:t>means an access dispute within the meaning of section 14 of the old access law that has arisen and not been finally determined under Part 4 of the old access law and Gas Code before the commencement day.</w:t>
      </w:r>
    </w:p>
    <w:p>
      <w:pPr>
        <w:pStyle w:val="Heading3"/>
      </w:pPr>
      <w:bookmarkStart w:id="3281" w:name="_Toc52954823"/>
      <w:bookmarkStart w:id="3282" w:name="_Toc52956119"/>
      <w:bookmarkStart w:id="3283" w:name="_Toc52957618"/>
      <w:bookmarkStart w:id="3284" w:name="_Toc52958401"/>
      <w:bookmarkStart w:id="3285" w:name="_Toc53045734"/>
      <w:bookmarkStart w:id="3286" w:name="_Toc53046517"/>
      <w:bookmarkStart w:id="3287" w:name="_Toc501634400"/>
      <w:bookmarkStart w:id="3288" w:name="_Toc501713296"/>
      <w:bookmarkStart w:id="3289" w:name="_Toc536782522"/>
      <w:bookmarkStart w:id="3290" w:name="_Toc5347583"/>
      <w:bookmarkStart w:id="3291" w:name="_Toc5364136"/>
      <w:bookmarkStart w:id="3292" w:name="_Toc5365357"/>
      <w:r>
        <w:rPr>
          <w:rStyle w:val="CharDivNo"/>
        </w:rPr>
        <w:t>Part 8</w:t>
      </w:r>
      <w:r>
        <w:t xml:space="preserve"> — </w:t>
      </w:r>
      <w:r>
        <w:rPr>
          <w:rStyle w:val="CharDivText"/>
        </w:rPr>
        <w:t>Investigations and proceedings</w:t>
      </w:r>
      <w:bookmarkEnd w:id="3281"/>
      <w:bookmarkEnd w:id="3282"/>
      <w:bookmarkEnd w:id="3283"/>
      <w:bookmarkEnd w:id="3284"/>
      <w:bookmarkEnd w:id="3285"/>
      <w:bookmarkEnd w:id="3286"/>
      <w:bookmarkEnd w:id="3287"/>
      <w:bookmarkEnd w:id="3288"/>
      <w:bookmarkEnd w:id="3289"/>
      <w:bookmarkEnd w:id="3290"/>
      <w:bookmarkEnd w:id="3291"/>
      <w:bookmarkEnd w:id="3292"/>
    </w:p>
    <w:p>
      <w:pPr>
        <w:pStyle w:val="Heading5"/>
      </w:pPr>
      <w:bookmarkStart w:id="3293" w:name="_Toc53046518"/>
      <w:bookmarkStart w:id="3294" w:name="_Toc5365358"/>
      <w:r>
        <w:rPr>
          <w:rStyle w:val="CharSectno"/>
        </w:rPr>
        <w:t>43</w:t>
      </w:r>
      <w:r>
        <w:t>.</w:t>
      </w:r>
      <w:r>
        <w:tab/>
        <w:t>Investigations into breaches and possible breaches of the old access law or Gas Code</w:t>
      </w:r>
      <w:bookmarkEnd w:id="3293"/>
      <w:bookmarkEnd w:id="329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and after the commencement day, a relevant Regulator investigation may be conducted and completed by the AER in accordance with this Law, the Regulations and the Rules as if that investigation were commenced by the AER under this Law, the Regulations and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relevant Regulator investigation</w:t>
      </w:r>
      <w:r>
        <w:rPr>
          <w:bCs/>
          <w:i/>
          <w:iCs/>
          <w:color w:val="000000"/>
          <w:sz w:val="23"/>
          <w:szCs w:val="23"/>
        </w:rPr>
        <w:t xml:space="preserve"> </w:t>
      </w:r>
      <w:r>
        <w:rPr>
          <w:color w:val="000000"/>
          <w:sz w:val="23"/>
          <w:szCs w:val="23"/>
        </w:rPr>
        <w:t>means an investigation into a breach or possible breach of the old access law or Gas Code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been commenced by a relevant Regulator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not been completed by the relevant Regulator before the commencement day.</w:t>
      </w:r>
    </w:p>
    <w:p>
      <w:pPr>
        <w:pStyle w:val="Heading5"/>
      </w:pPr>
      <w:bookmarkStart w:id="3295" w:name="_Toc53046519"/>
      <w:bookmarkStart w:id="3296" w:name="_Toc5365359"/>
      <w:r>
        <w:rPr>
          <w:rStyle w:val="CharSectno"/>
        </w:rPr>
        <w:t>44</w:t>
      </w:r>
      <w:r>
        <w:t>.</w:t>
      </w:r>
      <w:r>
        <w:tab/>
        <w:t>AER may conduct investigations into breaches or possible breaches of Gas Pipelines Access Law not investigated by a relevant Regulator</w:t>
      </w:r>
      <w:bookmarkEnd w:id="3295"/>
      <w:bookmarkEnd w:id="329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Schedule, the AER may, on and after the commencement day, conduct an investigation into a breach or possible breach of the old access law or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conduct an investigation referred to in subclause (1) as if it were an investigation into a breach of this Law, and for that purpose, may exercise all of the powers it has under this Law relating to investigations into breaches or possible breaches under this Law.</w:t>
      </w:r>
    </w:p>
    <w:p>
      <w:pPr>
        <w:pStyle w:val="Heading5"/>
      </w:pPr>
      <w:bookmarkStart w:id="3297" w:name="_Toc53046520"/>
      <w:bookmarkStart w:id="3298" w:name="_Toc5365360"/>
      <w:r>
        <w:rPr>
          <w:rStyle w:val="CharSectno"/>
        </w:rPr>
        <w:t>45</w:t>
      </w:r>
      <w:r>
        <w:t>.</w:t>
      </w:r>
      <w:r>
        <w:tab/>
        <w:t>AER may bring proceedings in relation to breaches of old access law and Gas Code</w:t>
      </w:r>
      <w:bookmarkEnd w:id="3297"/>
      <w:bookmarkEnd w:id="329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AER breach investigation</w:t>
      </w:r>
      <w:r>
        <w:rPr>
          <w:bCs/>
          <w:i/>
          <w:iCs/>
          <w:color w:val="000000"/>
          <w:sz w:val="23"/>
          <w:szCs w:val="23"/>
        </w:rPr>
        <w:t xml:space="preserve"> </w:t>
      </w:r>
      <w:r>
        <w:rPr>
          <w:color w:val="000000"/>
          <w:sz w:val="23"/>
          <w:szCs w:val="23"/>
        </w:rPr>
        <w:t>means an investigation conducted and completed by the AER in accordance with clause 43 or 44.</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AER may bring proceedings in the Court in respect of an AER breach investigation.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anything to the contrary in clause 2 or the repeal of the old access law and Gas Code, Part 5 of the old access law applies to a proceeding under this clause as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in that Part to a relevant Regulator or the ACCC were a reference to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regulation 5 of, and Schedule 2 to, the </w:t>
      </w:r>
      <w:r>
        <w:rPr>
          <w:i/>
          <w:iCs/>
          <w:color w:val="000000"/>
          <w:sz w:val="23"/>
          <w:szCs w:val="23"/>
        </w:rPr>
        <w:t>Gas Pipelines Access (Western Australia) Regulations 2000</w:t>
      </w:r>
      <w:r>
        <w:rPr>
          <w:color w:val="000000"/>
          <w:sz w:val="23"/>
          <w:szCs w:val="23"/>
        </w:rPr>
        <w:t xml:space="preserve"> were not repealed.</w:t>
      </w:r>
    </w:p>
    <w:p>
      <w:pPr>
        <w:pStyle w:val="Footnotesection"/>
      </w:pPr>
      <w:r>
        <w:tab/>
        <w:t>[Clause 45 modified: WA Act Sch. 1 cl. 18.]</w:t>
      </w:r>
    </w:p>
    <w:p>
      <w:pPr>
        <w:pStyle w:val="Heading3"/>
      </w:pPr>
      <w:bookmarkStart w:id="3299" w:name="_Toc52954827"/>
      <w:bookmarkStart w:id="3300" w:name="_Toc52956123"/>
      <w:bookmarkStart w:id="3301" w:name="_Toc52957622"/>
      <w:bookmarkStart w:id="3302" w:name="_Toc52958405"/>
      <w:bookmarkStart w:id="3303" w:name="_Toc53045738"/>
      <w:bookmarkStart w:id="3304" w:name="_Toc53046521"/>
      <w:bookmarkStart w:id="3305" w:name="_Toc501634404"/>
      <w:bookmarkStart w:id="3306" w:name="_Toc501713300"/>
      <w:bookmarkStart w:id="3307" w:name="_Toc536782526"/>
      <w:bookmarkStart w:id="3308" w:name="_Toc5347587"/>
      <w:bookmarkStart w:id="3309" w:name="_Toc5364140"/>
      <w:bookmarkStart w:id="3310" w:name="_Toc5365361"/>
      <w:r>
        <w:rPr>
          <w:rStyle w:val="CharDivNo"/>
        </w:rPr>
        <w:t>Part 9</w:t>
      </w:r>
      <w:r>
        <w:t xml:space="preserve"> — </w:t>
      </w:r>
      <w:r>
        <w:rPr>
          <w:rStyle w:val="CharDivText"/>
        </w:rPr>
        <w:t>Associate contracts</w:t>
      </w:r>
      <w:bookmarkEnd w:id="3299"/>
      <w:bookmarkEnd w:id="3300"/>
      <w:bookmarkEnd w:id="3301"/>
      <w:bookmarkEnd w:id="3302"/>
      <w:bookmarkEnd w:id="3303"/>
      <w:bookmarkEnd w:id="3304"/>
      <w:bookmarkEnd w:id="3305"/>
      <w:bookmarkEnd w:id="3306"/>
      <w:bookmarkEnd w:id="3307"/>
      <w:bookmarkEnd w:id="3308"/>
      <w:bookmarkEnd w:id="3309"/>
      <w:bookmarkEnd w:id="3310"/>
    </w:p>
    <w:p>
      <w:pPr>
        <w:pStyle w:val="Heading5"/>
        <w:spacing w:before="100"/>
      </w:pPr>
      <w:bookmarkStart w:id="3311" w:name="_Toc53046522"/>
      <w:bookmarkStart w:id="3312" w:name="_Toc5365362"/>
      <w:r>
        <w:rPr>
          <w:rStyle w:val="CharSectno"/>
        </w:rPr>
        <w:t>46</w:t>
      </w:r>
      <w:r>
        <w:t>.</w:t>
      </w:r>
      <w:r>
        <w:tab/>
        <w:t>Pending associate contract approvals that are approved after commencement day</w:t>
      </w:r>
      <w:bookmarkEnd w:id="3311"/>
      <w:bookmarkEnd w:id="3312"/>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clause applies if 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proposed associate contract (within the meaning of section 10.8 of the Gas Code) with a relevant Regulator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made a decision approving or not approving the proposed associate contract.</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The relevant Regulator must, despite the repeal of the old access law and the Gas Code, take action in relation to that proposed associate contract under section 7.1 to 7.6 of the Gas Code as if the old access law and Gas Code continued to apply.</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(3)</w:t>
      </w:r>
      <w:r>
        <w:rPr>
          <w:color w:val="000000"/>
          <w:sz w:val="23"/>
          <w:szCs w:val="23"/>
        </w:rPr>
        <w:tab/>
        <w:t>If the relevant Regulator decides to approve the proposed associate contract under section 7.1 to 7.6 of the Gas Code, that associate contract is deemed to be an approved associate contract on,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day the relevant Regulator approves the associate contract in accordance with those 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day the relevant Regulator is deemed to have approved the associate contract by operation of those sections.</w:t>
      </w:r>
    </w:p>
    <w:p>
      <w:pPr>
        <w:pStyle w:val="Heading5"/>
        <w:keepNext w:val="0"/>
        <w:keepLines w:val="0"/>
        <w:spacing w:before="120"/>
      </w:pPr>
      <w:bookmarkStart w:id="3313" w:name="_Toc53046523"/>
      <w:bookmarkStart w:id="3314" w:name="_Toc5365363"/>
      <w:r>
        <w:rPr>
          <w:rStyle w:val="CharSectno"/>
        </w:rPr>
        <w:t>47</w:t>
      </w:r>
      <w:r>
        <w:t>.</w:t>
      </w:r>
      <w:r>
        <w:tab/>
        <w:t>Pending associate contracts approvals that are not approved</w:t>
      </w:r>
      <w:bookmarkEnd w:id="3313"/>
      <w:bookmarkEnd w:id="3314"/>
    </w:p>
    <w:p>
      <w:pPr>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clause applies if the relevant Regulator decides not to approve a proposed associate contract under clause 46.</w:t>
      </w:r>
    </w:p>
    <w:p>
      <w:pPr>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If an application is not made under section 38 of the old access law for a review of the decision within the time specified by that section, the proposed associate contract is deemed not to be an approved associate contract on the day after the last day an application could have been made under that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an application is made under section 38 of the old access law for a review of the decision but the relevant appeals body refuses to review the decision in accordance with section 38(11) of the old access law, the proposed associate contract is deemed not to be an approved associate contract on the day on which the determination of the relevant appeals body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by determination, affirms the decision,</w:t>
      </w:r>
    </w:p>
    <w:p>
      <w:pPr>
        <w:keepLines/>
        <w:autoSpaceDE w:val="0"/>
        <w:autoSpaceDN w:val="0"/>
        <w:adjustRightInd w:val="0"/>
        <w:spacing w:before="120"/>
        <w:ind w:left="1588"/>
        <w:rPr>
          <w:color w:val="000000"/>
          <w:sz w:val="23"/>
          <w:szCs w:val="23"/>
        </w:rPr>
      </w:pPr>
      <w:r>
        <w:rPr>
          <w:color w:val="000000"/>
          <w:sz w:val="23"/>
          <w:szCs w:val="23"/>
        </w:rPr>
        <w:t>the proposed associate contract is deemed not to be an approved associate contract on the day on which the determination of the relevant appeals body affirming the decision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makes a determination that sets aside the decision and remits the matter to the relevant Regulator for the Regulator to make a decision again in respect of the matter,</w:t>
      </w:r>
    </w:p>
    <w:p>
      <w:pPr>
        <w:keepLines/>
        <w:autoSpaceDE w:val="0"/>
        <w:autoSpaceDN w:val="0"/>
        <w:adjustRightInd w:val="0"/>
        <w:spacing w:before="120"/>
        <w:ind w:left="1588"/>
        <w:rPr>
          <w:color w:val="000000"/>
          <w:sz w:val="23"/>
          <w:szCs w:val="23"/>
        </w:rPr>
      </w:pPr>
      <w:r>
        <w:rPr>
          <w:color w:val="000000"/>
          <w:sz w:val="23"/>
          <w:szCs w:val="23"/>
        </w:rPr>
        <w:t>the relevant Regulator must make a decision under clause 46.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makes a determination that sets aside the decision and approves the associate contract,</w:t>
      </w:r>
    </w:p>
    <w:p>
      <w:pPr>
        <w:autoSpaceDE w:val="0"/>
        <w:autoSpaceDN w:val="0"/>
        <w:adjustRightInd w:val="0"/>
        <w:spacing w:before="80"/>
        <w:ind w:left="1588"/>
        <w:rPr>
          <w:color w:val="000000"/>
          <w:sz w:val="23"/>
          <w:szCs w:val="23"/>
        </w:rPr>
      </w:pPr>
      <w:r>
        <w:rPr>
          <w:color w:val="000000"/>
          <w:sz w:val="23"/>
          <w:szCs w:val="23"/>
        </w:rPr>
        <w:t>the proposed associate contract to which the determination relates is deemed to be, on the day the determination takes effect, an approved associate contract.</w:t>
      </w:r>
    </w:p>
    <w:p>
      <w:pPr>
        <w:pStyle w:val="Heading5"/>
      </w:pPr>
      <w:bookmarkStart w:id="3315" w:name="_Toc53046524"/>
      <w:bookmarkStart w:id="3316" w:name="_Toc5365364"/>
      <w:r>
        <w:rPr>
          <w:rStyle w:val="CharSectno"/>
        </w:rPr>
        <w:t>48</w:t>
      </w:r>
      <w:r>
        <w:t>.</w:t>
      </w:r>
      <w:r>
        <w:tab/>
        <w:t>Approved associate contracts</w:t>
      </w:r>
      <w:bookmarkEnd w:id="3315"/>
      <w:bookmarkEnd w:id="331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has been approved by a relevant Regulator under section 7 of the Gas Code,</w:t>
      </w:r>
    </w:p>
    <w:p>
      <w:pPr>
        <w:keepLines/>
        <w:autoSpaceDE w:val="0"/>
        <w:autoSpaceDN w:val="0"/>
        <w:adjustRightInd w:val="0"/>
        <w:spacing w:before="120"/>
        <w:ind w:left="1588"/>
        <w:rPr>
          <w:color w:val="000000"/>
          <w:sz w:val="23"/>
          <w:szCs w:val="23"/>
        </w:rPr>
      </w:pPr>
      <w:r>
        <w:rPr>
          <w:color w:val="000000"/>
          <w:sz w:val="23"/>
          <w:szCs w:val="23"/>
        </w:rPr>
        <w:t>is deemed to be an approved associate contract.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has been deemed to have been approved by operation of section 7 of the Gas Code,</w:t>
      </w:r>
    </w:p>
    <w:p>
      <w:pPr>
        <w:keepLines/>
        <w:autoSpaceDE w:val="0"/>
        <w:autoSpaceDN w:val="0"/>
        <w:adjustRightInd w:val="0"/>
        <w:spacing w:before="120"/>
        <w:ind w:left="1588"/>
        <w:rPr>
          <w:color w:val="000000"/>
          <w:sz w:val="23"/>
          <w:szCs w:val="23"/>
        </w:rPr>
      </w:pPr>
      <w:r>
        <w:rPr>
          <w:color w:val="000000"/>
          <w:sz w:val="23"/>
          <w:szCs w:val="23"/>
        </w:rPr>
        <w:t>is deemed to be an approved associate contract.</w:t>
      </w:r>
    </w:p>
    <w:p>
      <w:pPr>
        <w:pStyle w:val="Heading3"/>
      </w:pPr>
      <w:bookmarkStart w:id="3317" w:name="_Toc52954831"/>
      <w:bookmarkStart w:id="3318" w:name="_Toc52956127"/>
      <w:bookmarkStart w:id="3319" w:name="_Toc52957626"/>
      <w:bookmarkStart w:id="3320" w:name="_Toc52958409"/>
      <w:bookmarkStart w:id="3321" w:name="_Toc53045742"/>
      <w:bookmarkStart w:id="3322" w:name="_Toc53046525"/>
      <w:bookmarkStart w:id="3323" w:name="_Toc501634408"/>
      <w:bookmarkStart w:id="3324" w:name="_Toc501713304"/>
      <w:bookmarkStart w:id="3325" w:name="_Toc536782530"/>
      <w:bookmarkStart w:id="3326" w:name="_Toc5347591"/>
      <w:bookmarkStart w:id="3327" w:name="_Toc5364144"/>
      <w:bookmarkStart w:id="3328" w:name="_Toc5365365"/>
      <w:r>
        <w:rPr>
          <w:rStyle w:val="CharDivNo"/>
        </w:rPr>
        <w:t>Part 10</w:t>
      </w:r>
      <w:r>
        <w:t xml:space="preserve"> — </w:t>
      </w:r>
      <w:r>
        <w:rPr>
          <w:rStyle w:val="CharDivText"/>
        </w:rPr>
        <w:t>Other</w:t>
      </w:r>
      <w:bookmarkEnd w:id="3317"/>
      <w:bookmarkEnd w:id="3318"/>
      <w:bookmarkEnd w:id="3319"/>
      <w:bookmarkEnd w:id="3320"/>
      <w:bookmarkEnd w:id="3321"/>
      <w:bookmarkEnd w:id="3322"/>
      <w:bookmarkEnd w:id="3323"/>
      <w:bookmarkEnd w:id="3324"/>
      <w:bookmarkEnd w:id="3325"/>
      <w:bookmarkEnd w:id="3326"/>
      <w:bookmarkEnd w:id="3327"/>
      <w:bookmarkEnd w:id="3328"/>
    </w:p>
    <w:p>
      <w:pPr>
        <w:pStyle w:val="Heading5"/>
      </w:pPr>
      <w:bookmarkStart w:id="3329" w:name="_Toc53046526"/>
      <w:bookmarkStart w:id="3330" w:name="_Toc5365366"/>
      <w:r>
        <w:rPr>
          <w:rStyle w:val="CharSectno"/>
        </w:rPr>
        <w:t>49</w:t>
      </w:r>
      <w:r>
        <w:t>.</w:t>
      </w:r>
      <w:r>
        <w:tab/>
        <w:t>Pending and final tender approval requests lapse</w:t>
      </w:r>
      <w:bookmarkEnd w:id="3329"/>
      <w:bookmarkEnd w:id="333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every Tender Approval Request (within meaning of section 10.8 of the Gas Code), in respect of which a decision has not been made under section 3.25 of the Gas Code immediately before that day, lapses.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 every Final Approval Request (within the meaning of section 3.29 of the Gas Code), in respect of which a decision has not been made under that section immediately before that day, lapses.</w:t>
      </w:r>
    </w:p>
    <w:p>
      <w:pPr>
        <w:pStyle w:val="Heading5"/>
      </w:pPr>
      <w:bookmarkStart w:id="3331" w:name="_Toc53046527"/>
      <w:bookmarkStart w:id="3332" w:name="_Toc5365367"/>
      <w:r>
        <w:rPr>
          <w:rStyle w:val="CharSectno"/>
        </w:rPr>
        <w:t>50</w:t>
      </w:r>
      <w:r>
        <w:t>.</w:t>
      </w:r>
      <w:r>
        <w:tab/>
        <w:t>Decisions approving final approval requests</w:t>
      </w:r>
      <w:bookmarkEnd w:id="3331"/>
      <w:bookmarkEnd w:id="333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before, or on, the commencement day a relevant Regulator has made or makes a decision under section 3.32 of the Gas Code that approves a Final Approval Request (within the meaning of section 10.8 of the Gas Code).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of the relevant Regulator is deemed to be a tender approval decision that has become irrevocable by operation of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to which the decision relates is deemed to be a covered pipeline.</w:t>
      </w:r>
    </w:p>
    <w:p>
      <w:pPr>
        <w:pStyle w:val="Heading5"/>
      </w:pPr>
      <w:bookmarkStart w:id="3333" w:name="_Toc53046528"/>
      <w:bookmarkStart w:id="3334" w:name="_Toc5365368"/>
      <w:r>
        <w:rPr>
          <w:rStyle w:val="CharSectno"/>
        </w:rPr>
        <w:t>51</w:t>
      </w:r>
      <w:r>
        <w:t>.</w:t>
      </w:r>
      <w:r>
        <w:tab/>
        <w:t>Rights under certain change of law provisions in agreements or deeds not to be triggered</w:t>
      </w:r>
      <w:bookmarkEnd w:id="3333"/>
      <w:bookmarkEnd w:id="333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repeal of the old access law and the Gas Code, and the commencement of this Law and the initial National Gas Rules, is not to be regarded as a change of law (however defined) under any agreement or deed in effect on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applies despite any provision in any agreement or deed to the contrary.</w:t>
      </w:r>
    </w:p>
    <w:p>
      <w:pPr>
        <w:pStyle w:val="Heading5"/>
      </w:pPr>
      <w:bookmarkStart w:id="3335" w:name="_Toc53046529"/>
      <w:bookmarkStart w:id="3336" w:name="_Toc5365369"/>
      <w:r>
        <w:rPr>
          <w:rStyle w:val="CharSectno"/>
        </w:rPr>
        <w:t>52</w:t>
      </w:r>
      <w:r>
        <w:t>.</w:t>
      </w:r>
      <w:r>
        <w:tab/>
        <w:t>References to relevant Regulator in access arrangements</w:t>
      </w:r>
      <w:bookmarkEnd w:id="3335"/>
      <w:bookmarkEnd w:id="3336"/>
    </w:p>
    <w:p>
      <w:pPr>
        <w:keepLines/>
        <w:autoSpaceDE w:val="0"/>
        <w:autoSpaceDN w:val="0"/>
        <w:adjustRightInd w:val="0"/>
        <w:spacing w:before="120"/>
        <w:ind w:left="1588"/>
        <w:rPr>
          <w:color w:val="000000"/>
          <w:sz w:val="23"/>
          <w:szCs w:val="23"/>
        </w:rPr>
      </w:pPr>
      <w:r>
        <w:rPr>
          <w:color w:val="000000"/>
          <w:sz w:val="23"/>
          <w:szCs w:val="23"/>
        </w:rPr>
        <w:t>On the commencement day, unless the context otherwise requires, every reference to a relevant Regulator in a current access arrangement deemed under Part 4 of this Schedule to be a full access arrangement or a limited access arrangement is deemed to be a reference to the AER.</w:t>
      </w:r>
    </w:p>
    <w:p>
      <w:pPr>
        <w:pStyle w:val="Heading5"/>
      </w:pPr>
      <w:bookmarkStart w:id="3337" w:name="_Toc53046530"/>
      <w:bookmarkStart w:id="3338" w:name="_Toc5365370"/>
      <w:r>
        <w:rPr>
          <w:rStyle w:val="CharSectno"/>
        </w:rPr>
        <w:t>53</w:t>
      </w:r>
      <w:r>
        <w:t>.</w:t>
      </w:r>
      <w:r>
        <w:tab/>
        <w:t>Old scheme classifications and scheme participant determinations</w:t>
      </w:r>
      <w:bookmarkEnd w:id="3337"/>
      <w:bookmarkEnd w:id="333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every old scheme classification and scheme participant determination applying to an old scheme covered pipeline is deemed to be an initial classification decision (within the meaning of section 98(1)).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old scheme classification and scheme participant determination</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classification and determination under section 10(5)(a) of the old access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determination under section 10(5)(b) of the old access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classification and determination under section 11(3) of the old access law.</w:t>
      </w:r>
    </w:p>
    <w:p>
      <w:pPr>
        <w:pStyle w:val="Heading3"/>
        <w:rPr>
          <w:ins w:id="3339" w:author="svcMRProcess" w:date="2020-10-08T16:23:00Z"/>
        </w:rPr>
      </w:pPr>
      <w:bookmarkStart w:id="3340" w:name="_Toc52957632"/>
      <w:bookmarkStart w:id="3341" w:name="_Toc52958415"/>
      <w:bookmarkStart w:id="3342" w:name="_Toc53045748"/>
      <w:bookmarkStart w:id="3343" w:name="_Toc53046531"/>
      <w:ins w:id="3344" w:author="svcMRProcess" w:date="2020-10-08T16:23:00Z">
        <w:r>
          <w:rPr>
            <w:rStyle w:val="CharDivNo"/>
          </w:rPr>
          <w:t>Part 15</w:t>
        </w:r>
        <w:r>
          <w:t>—</w:t>
        </w:r>
        <w:r>
          <w:rPr>
            <w:rStyle w:val="CharDivText"/>
          </w:rPr>
          <w:t>Transitional provision related to AEMC rule making powers</w:t>
        </w:r>
        <w:bookmarkEnd w:id="3340"/>
        <w:bookmarkEnd w:id="3341"/>
        <w:bookmarkEnd w:id="3342"/>
        <w:bookmarkEnd w:id="3343"/>
      </w:ins>
    </w:p>
    <w:p>
      <w:pPr>
        <w:pStyle w:val="Footnoteheading"/>
        <w:rPr>
          <w:ins w:id="3345" w:author="svcMRProcess" w:date="2020-10-08T16:23:00Z"/>
        </w:rPr>
      </w:pPr>
      <w:ins w:id="3346" w:author="svcMRProcess" w:date="2020-10-08T16:23:00Z">
        <w:r>
          <w:tab/>
          <w:t>[Heading inserted: see SA Act No. 12 of 2018 s. 29 and WA SL 2020/195 cl. 3.]</w:t>
        </w:r>
      </w:ins>
    </w:p>
    <w:p>
      <w:pPr>
        <w:pStyle w:val="Heading5"/>
        <w:rPr>
          <w:ins w:id="3347" w:author="svcMRProcess" w:date="2020-10-08T16:23:00Z"/>
        </w:rPr>
      </w:pPr>
      <w:bookmarkStart w:id="3348" w:name="_Toc53046532"/>
      <w:ins w:id="3349" w:author="svcMRProcess" w:date="2020-10-08T16:23:00Z">
        <w:r>
          <w:rPr>
            <w:rStyle w:val="CharSectno"/>
          </w:rPr>
          <w:t>90</w:t>
        </w:r>
        <w:r>
          <w:t>.</w:t>
        </w:r>
        <w:r>
          <w:tab/>
          <w:t>AEMC rule making powers</w:t>
        </w:r>
        <w:bookmarkEnd w:id="3348"/>
      </w:ins>
    </w:p>
    <w:p>
      <w:pPr>
        <w:keepNext/>
        <w:keepLines/>
        <w:tabs>
          <w:tab w:val="center" w:pos="1191"/>
          <w:tab w:val="left" w:pos="1588"/>
        </w:tabs>
        <w:autoSpaceDE w:val="0"/>
        <w:autoSpaceDN w:val="0"/>
        <w:adjustRightInd w:val="0"/>
        <w:spacing w:before="120"/>
        <w:ind w:left="1588" w:hanging="794"/>
        <w:rPr>
          <w:ins w:id="3350" w:author="svcMRProcess" w:date="2020-10-08T16:23:00Z"/>
        </w:rPr>
      </w:pPr>
      <w:ins w:id="3351" w:author="svcMRProcess" w:date="2020-10-08T16:23:00Z">
        <w:r>
          <w:tab/>
        </w:r>
        <w:r>
          <w:tab/>
          <w:t xml:space="preserve">The amendment to section 304 of this Law by section 26 of the </w:t>
        </w:r>
        <w:r>
          <w:rPr>
            <w:i/>
            <w:color w:val="000000"/>
            <w:sz w:val="23"/>
            <w:szCs w:val="23"/>
          </w:rPr>
          <w:t>Statutes</w:t>
        </w:r>
        <w:r>
          <w:rPr>
            <w:i/>
          </w:rPr>
          <w:t xml:space="preserve"> Amendment (National Energy Laws) (Rules) Act 2018</w:t>
        </w:r>
        <w:r>
          <w:t xml:space="preserve"> does not apply to the making of— </w:t>
        </w:r>
      </w:ins>
    </w:p>
    <w:p>
      <w:pPr>
        <w:keepLines/>
        <w:tabs>
          <w:tab w:val="center" w:pos="1985"/>
          <w:tab w:val="left" w:pos="2382"/>
        </w:tabs>
        <w:autoSpaceDE w:val="0"/>
        <w:autoSpaceDN w:val="0"/>
        <w:adjustRightInd w:val="0"/>
        <w:spacing w:before="120"/>
        <w:ind w:left="2382" w:hanging="794"/>
        <w:rPr>
          <w:ins w:id="3352" w:author="svcMRProcess" w:date="2020-10-08T16:23:00Z"/>
        </w:rPr>
      </w:pPr>
      <w:ins w:id="3353" w:author="svcMRProcess" w:date="2020-10-08T16:23:00Z">
        <w:r>
          <w:tab/>
          <w:t>(a)</w:t>
        </w:r>
        <w:r>
          <w:tab/>
          <w:t xml:space="preserve">a Rule on a request under section 295(1) of this Law received by the AEMC before the commencement of this clause; or </w:t>
        </w:r>
      </w:ins>
    </w:p>
    <w:p>
      <w:pPr>
        <w:keepLines/>
        <w:tabs>
          <w:tab w:val="center" w:pos="1985"/>
          <w:tab w:val="left" w:pos="2382"/>
        </w:tabs>
        <w:autoSpaceDE w:val="0"/>
        <w:autoSpaceDN w:val="0"/>
        <w:adjustRightInd w:val="0"/>
        <w:spacing w:before="120"/>
        <w:ind w:left="2382" w:hanging="794"/>
        <w:rPr>
          <w:ins w:id="3354" w:author="svcMRProcess" w:date="2020-10-08T16:23:00Z"/>
        </w:rPr>
      </w:pPr>
      <w:ins w:id="3355" w:author="svcMRProcess" w:date="2020-10-08T16:23:00Z">
        <w:r>
          <w:tab/>
          <w:t>(b)</w:t>
        </w:r>
        <w:r>
          <w:tab/>
          <w:t>an AEMC initiated Rule (within the meaning of section 290 of this Law) in respect of which the AEMC has, before the commencement of this clause, published notice of its intention to make.</w:t>
        </w:r>
      </w:ins>
    </w:p>
    <w:p>
      <w:pPr>
        <w:pStyle w:val="Footnotesection"/>
        <w:rPr>
          <w:ins w:id="3356" w:author="svcMRProcess" w:date="2020-10-08T16:23:00Z"/>
        </w:rPr>
      </w:pPr>
      <w:ins w:id="3357" w:author="svcMRProcess" w:date="2020-10-08T16:23:00Z">
        <w:r>
          <w:tab/>
          <w:t>[Clause 90 inserted: see SA Act No. 12 of 2018 s. 29 and WA SL 2020/195 cl. 3.]</w:t>
        </w:r>
      </w:ins>
    </w:p>
    <w:p>
      <w:pPr>
        <w:pStyle w:val="Heading3"/>
      </w:pPr>
      <w:bookmarkStart w:id="3358" w:name="_Toc52954837"/>
      <w:bookmarkStart w:id="3359" w:name="_Toc52956133"/>
      <w:bookmarkStart w:id="3360" w:name="_Toc52957634"/>
      <w:bookmarkStart w:id="3361" w:name="_Toc52958417"/>
      <w:bookmarkStart w:id="3362" w:name="_Toc53045750"/>
      <w:bookmarkStart w:id="3363" w:name="_Toc53046533"/>
      <w:bookmarkStart w:id="3364" w:name="_Toc182984"/>
      <w:bookmarkStart w:id="3365" w:name="_Toc5347597"/>
      <w:bookmarkStart w:id="3366" w:name="_Toc5364150"/>
      <w:bookmarkStart w:id="3367" w:name="_Toc5365371"/>
      <w:r>
        <w:rPr>
          <w:rStyle w:val="CharDivNo"/>
        </w:rPr>
        <w:t>Part 17</w:t>
      </w:r>
      <w:r>
        <w:t>—</w:t>
      </w:r>
      <w:r>
        <w:rPr>
          <w:rStyle w:val="CharDivText"/>
        </w:rPr>
        <w:t>Transitional provisions for rate of return instrument</w:t>
      </w:r>
      <w:bookmarkEnd w:id="3358"/>
      <w:bookmarkEnd w:id="3359"/>
      <w:bookmarkEnd w:id="3360"/>
      <w:bookmarkEnd w:id="3361"/>
      <w:bookmarkEnd w:id="3362"/>
      <w:bookmarkEnd w:id="3363"/>
      <w:bookmarkEnd w:id="3364"/>
      <w:bookmarkEnd w:id="3365"/>
      <w:bookmarkEnd w:id="3366"/>
      <w:bookmarkEnd w:id="3367"/>
    </w:p>
    <w:p>
      <w:pPr>
        <w:pStyle w:val="Footnoteheading"/>
        <w:keepNext/>
      </w:pPr>
      <w:r>
        <w:tab/>
        <w:t>[Heading inserted: see SA Act No. 33 of 2018 s. 21 and WA Gazette 5 Apr 2019 p. 1007.]</w:t>
      </w:r>
    </w:p>
    <w:p>
      <w:pPr>
        <w:pStyle w:val="Heading5"/>
      </w:pPr>
      <w:bookmarkStart w:id="3368" w:name="_Toc53046534"/>
      <w:bookmarkStart w:id="3369" w:name="_Toc182985"/>
      <w:bookmarkStart w:id="3370" w:name="_Toc5365372"/>
      <w:r>
        <w:rPr>
          <w:rStyle w:val="CharSectno"/>
        </w:rPr>
        <w:t>95</w:t>
      </w:r>
      <w:r>
        <w:t>.</w:t>
      </w:r>
      <w:r>
        <w:tab/>
        <w:t>Definitions</w:t>
      </w:r>
      <w:bookmarkEnd w:id="3368"/>
      <w:bookmarkEnd w:id="3369"/>
      <w:bookmarkEnd w:id="3370"/>
    </w:p>
    <w:p>
      <w:pPr>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sz w:val="23"/>
          <w:szCs w:val="23"/>
        </w:rPr>
        <w:t>2013 non</w:t>
      </w:r>
      <w:r>
        <w:rPr>
          <w:rStyle w:val="CharDefText"/>
          <w:sz w:val="23"/>
          <w:szCs w:val="23"/>
        </w:rPr>
        <w:noBreakHyphen/>
        <w:t>binding guideline</w:t>
      </w:r>
      <w:r>
        <w:rPr>
          <w:color w:val="000000"/>
          <w:sz w:val="23"/>
          <w:szCs w:val="23"/>
        </w:rPr>
        <w:t xml:space="preserve"> means the guideline about determining the rate of return on capital issued by the AER in 2013;</w:t>
      </w:r>
    </w:p>
    <w:p>
      <w:pPr>
        <w:keepLines/>
        <w:autoSpaceDE w:val="0"/>
        <w:autoSpaceDN w:val="0"/>
        <w:adjustRightInd w:val="0"/>
        <w:spacing w:before="120"/>
        <w:ind w:left="1588"/>
      </w:pPr>
      <w:r>
        <w:rPr>
          <w:rStyle w:val="CharDefText"/>
          <w:sz w:val="23"/>
          <w:szCs w:val="23"/>
        </w:rPr>
        <w:t>commencement</w:t>
      </w:r>
      <w:r>
        <w:rPr>
          <w:sz w:val="23"/>
          <w:szCs w:val="23"/>
        </w:rPr>
        <w:t xml:space="preserve"> means the coming into operation of the </w:t>
      </w:r>
      <w:r>
        <w:rPr>
          <w:i/>
          <w:sz w:val="23"/>
          <w:szCs w:val="23"/>
        </w:rPr>
        <w:t>National Gas Access (WA) Adoption of Amendments Order 2019</w:t>
      </w:r>
      <w:r>
        <w:rPr>
          <w:sz w:val="23"/>
          <w:szCs w:val="23"/>
        </w:rPr>
        <w:t xml:space="preserve"> clause 3;</w:t>
      </w:r>
    </w:p>
    <w:p>
      <w:pPr>
        <w:keepLines/>
        <w:autoSpaceDE w:val="0"/>
        <w:autoSpaceDN w:val="0"/>
        <w:adjustRightInd w:val="0"/>
        <w:spacing w:before="120"/>
        <w:ind w:left="1588"/>
        <w:rPr>
          <w:color w:val="000000"/>
          <w:sz w:val="23"/>
          <w:szCs w:val="23"/>
        </w:rPr>
      </w:pPr>
      <w:r>
        <w:rPr>
          <w:rStyle w:val="CharDefText"/>
          <w:sz w:val="23"/>
          <w:szCs w:val="23"/>
        </w:rPr>
        <w:t>review</w:t>
      </w:r>
      <w:r>
        <w:rPr>
          <w:color w:val="000000"/>
          <w:sz w:val="23"/>
          <w:szCs w:val="23"/>
        </w:rPr>
        <w:t>, of the 2013 non</w:t>
      </w:r>
      <w:r>
        <w:rPr>
          <w:color w:val="000000"/>
          <w:sz w:val="23"/>
          <w:szCs w:val="23"/>
        </w:rPr>
        <w:noBreakHyphen/>
        <w:t>binding guideline, means the review of the guideline started by the AER in 2017;</w:t>
      </w:r>
    </w:p>
    <w:p>
      <w:pPr>
        <w:keepLines/>
        <w:autoSpaceDE w:val="0"/>
        <w:autoSpaceDN w:val="0"/>
        <w:adjustRightInd w:val="0"/>
        <w:spacing w:before="120"/>
        <w:ind w:left="1588"/>
        <w:rPr>
          <w:color w:val="000000"/>
          <w:sz w:val="23"/>
          <w:szCs w:val="23"/>
        </w:rPr>
      </w:pPr>
      <w:r>
        <w:rPr>
          <w:rStyle w:val="CharDefText"/>
          <w:sz w:val="23"/>
          <w:szCs w:val="23"/>
        </w:rPr>
        <w:t>stakeholders</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service providers and consumer organisations;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end users and prospective end users;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of the following persons the AER considers appropriate to give the AER advice or comment about the review of the 2013 non</w:t>
      </w:r>
      <w:r>
        <w:rPr>
          <w:color w:val="000000"/>
          <w:sz w:val="23"/>
          <w:szCs w:val="23"/>
        </w:rPr>
        <w:noBreakHyphen/>
        <w:t>binding guideline—</w:t>
      </w:r>
    </w:p>
    <w:p>
      <w:pPr>
        <w:keepLines/>
        <w:tabs>
          <w:tab w:val="center" w:pos="2835"/>
          <w:tab w:val="left" w:pos="3119"/>
        </w:tabs>
        <w:autoSpaceDE w:val="0"/>
        <w:autoSpaceDN w:val="0"/>
        <w:adjustRightInd w:val="0"/>
        <w:spacing w:before="120"/>
        <w:ind w:left="3119" w:hanging="709"/>
        <w:rPr>
          <w:color w:val="000000"/>
          <w:sz w:val="23"/>
          <w:szCs w:val="23"/>
        </w:rPr>
      </w:pPr>
      <w:r>
        <w:rPr>
          <w:color w:val="000000"/>
          <w:sz w:val="23"/>
          <w:szCs w:val="23"/>
        </w:rPr>
        <w:tab/>
        <w:t>(i)</w:t>
      </w:r>
      <w:r>
        <w:rPr>
          <w:color w:val="000000"/>
          <w:sz w:val="23"/>
          <w:szCs w:val="23"/>
        </w:rPr>
        <w:tab/>
        <w:t>persons engaged by a covered pipeline service provider, a consumer organisation or another entity to give the advice or comment;</w:t>
      </w:r>
    </w:p>
    <w:p>
      <w:pPr>
        <w:keepLines/>
        <w:tabs>
          <w:tab w:val="center" w:pos="2835"/>
          <w:tab w:val="left" w:pos="3119"/>
        </w:tabs>
        <w:autoSpaceDE w:val="0"/>
        <w:autoSpaceDN w:val="0"/>
        <w:adjustRightInd w:val="0"/>
        <w:spacing w:before="120"/>
        <w:ind w:left="3119" w:hanging="709"/>
        <w:rPr>
          <w:color w:val="000000"/>
          <w:sz w:val="23"/>
          <w:szCs w:val="23"/>
        </w:rPr>
      </w:pPr>
      <w:r>
        <w:rPr>
          <w:color w:val="000000"/>
          <w:sz w:val="23"/>
          <w:szCs w:val="23"/>
        </w:rPr>
        <w:tab/>
        <w:t>(ii)</w:t>
      </w:r>
      <w:r>
        <w:rPr>
          <w:color w:val="000000"/>
          <w:sz w:val="23"/>
          <w:szCs w:val="23"/>
        </w:rPr>
        <w:tab/>
        <w:t>other persons the AER considers have the qualifications or experience appropriate to give the advice or comment;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other persons the AER considers have an interest in the review of the 2013 non</w:t>
      </w:r>
      <w:r>
        <w:rPr>
          <w:color w:val="000000"/>
          <w:sz w:val="23"/>
          <w:szCs w:val="23"/>
        </w:rPr>
        <w:noBreakHyphen/>
        <w:t>binding guideline.</w:t>
      </w:r>
    </w:p>
    <w:p>
      <w:pPr>
        <w:pStyle w:val="Footnotesection"/>
      </w:pPr>
      <w:r>
        <w:tab/>
        <w:t>[Clause 95 inserted: see SA Act No. 33 of 2018 s. 21 and WA Gazette 5 Apr 2019 p. 1007; modified: WA Act Sch. 1 cl. 18(3).]</w:t>
      </w:r>
    </w:p>
    <w:p>
      <w:pPr>
        <w:pStyle w:val="Heading5"/>
      </w:pPr>
      <w:bookmarkStart w:id="3371" w:name="_Toc53046535"/>
      <w:bookmarkStart w:id="3372" w:name="_Toc182986"/>
      <w:bookmarkStart w:id="3373" w:name="_Toc5365373"/>
      <w:r>
        <w:rPr>
          <w:rStyle w:val="CharSectno"/>
        </w:rPr>
        <w:t>96</w:t>
      </w:r>
      <w:r>
        <w:t>.</w:t>
      </w:r>
      <w:r>
        <w:tab/>
        <w:t>Making first rate of return instrument if review not completed before commencement</w:t>
      </w:r>
      <w:bookmarkEnd w:id="3371"/>
      <w:bookmarkEnd w:id="3372"/>
      <w:bookmarkEnd w:id="3373"/>
    </w:p>
    <w:p>
      <w:pPr>
        <w:keepNext/>
        <w:keepLines/>
        <w:tabs>
          <w:tab w:val="center" w:pos="1191"/>
          <w:tab w:val="left" w:pos="1588"/>
        </w:tabs>
        <w:autoSpaceDE w:val="0"/>
        <w:autoSpaceDN w:val="0"/>
        <w:adjustRightInd w:val="0"/>
        <w:spacing w:before="120"/>
        <w:ind w:left="1588" w:hanging="794"/>
        <w:rPr>
          <w:color w:val="000000"/>
          <w:sz w:val="23"/>
          <w:szCs w:val="23"/>
        </w:rPr>
      </w:pPr>
      <w:bookmarkStart w:id="3374" w:name="id99369711_09b7_4f6b_aaf3_74b8556267"/>
      <w:r>
        <w:rPr>
          <w:color w:val="000000"/>
          <w:sz w:val="23"/>
          <w:szCs w:val="23"/>
        </w:rPr>
        <w:tab/>
        <w:t>(1)</w:t>
      </w:r>
      <w:r>
        <w:rPr>
          <w:color w:val="000000"/>
          <w:sz w:val="23"/>
          <w:szCs w:val="23"/>
        </w:rPr>
        <w:tab/>
        <w:t>This clause applies if—</w:t>
      </w:r>
      <w:bookmarkEnd w:id="3374"/>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review of the 2013 non</w:t>
      </w:r>
      <w:r>
        <w:rPr>
          <w:color w:val="000000"/>
          <w:sz w:val="23"/>
          <w:szCs w:val="23"/>
        </w:rPr>
        <w:noBreakHyphen/>
        <w:t xml:space="preserve">binding guideline was not completed before the </w:t>
      </w:r>
      <w:r>
        <w:rPr>
          <w:sz w:val="23"/>
          <w:szCs w:val="23"/>
        </w:rPr>
        <w:t>commencement;</w:t>
      </w:r>
      <w:r>
        <w:rPr>
          <w:color w:val="000000"/>
          <w:sz w:val="23"/>
          <w:szCs w:val="23"/>
        </w:rPr>
        <w:t xml:space="preser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 has sought advice or comment from stakeholders in relation to the review;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at least 3 months before making the first rate of return instrument, the AER has published on its website a draft of the proposed first rate of return instrument or proposed new non</w:t>
      </w:r>
      <w:r>
        <w:rPr>
          <w:color w:val="000000"/>
          <w:sz w:val="23"/>
          <w:szCs w:val="23"/>
        </w:rPr>
        <w:noBreakHyphen/>
        <w:t>binding guideline under the Rules; and</w:t>
      </w:r>
    </w:p>
    <w:p>
      <w:pPr>
        <w:keepLines/>
        <w:tabs>
          <w:tab w:val="center" w:pos="1985"/>
          <w:tab w:val="left" w:pos="2382"/>
        </w:tabs>
        <w:autoSpaceDE w:val="0"/>
        <w:autoSpaceDN w:val="0"/>
        <w:adjustRightInd w:val="0"/>
        <w:spacing w:before="120"/>
        <w:ind w:left="2382" w:hanging="794"/>
        <w:rPr>
          <w:color w:val="000000"/>
          <w:sz w:val="23"/>
          <w:szCs w:val="23"/>
        </w:rPr>
      </w:pPr>
      <w:bookmarkStart w:id="3375" w:name="ida5cce094_141c_41e0_a614_ffea4c768c"/>
      <w:r>
        <w:rPr>
          <w:color w:val="000000"/>
          <w:sz w:val="23"/>
          <w:szCs w:val="23"/>
        </w:rPr>
        <w:tab/>
        <w:t>(d)</w:t>
      </w:r>
      <w:r>
        <w:rPr>
          <w:color w:val="000000"/>
          <w:sz w:val="23"/>
          <w:szCs w:val="23"/>
        </w:rPr>
        <w:tab/>
        <w:t>the draft instrument or guideline has been reviewed by an independent panel consisting of at least 3 members with qualifications or experience the AER considers appropriate to conduct the review.</w:t>
      </w:r>
      <w:bookmarkEnd w:id="337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Chapter 2 Part 1 Division 1A Subdivision 3 does not apply in relation to making the first rate of return instrument.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independent panel mentioned in subclause (1)(d) must seek to give the AER a consensus report on the panel’s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However, a failure to give the AER a consensus report does not affect the making of the first rate of return instrument.</w:t>
      </w:r>
    </w:p>
    <w:p>
      <w:pPr>
        <w:pStyle w:val="Footnotesection"/>
      </w:pPr>
      <w:r>
        <w:tab/>
        <w:t>[Clause 96 inserted: see SA Act No. 33 of 2018 s. 21 and WA Gazette 5 Apr 2019 p. 1007; modified: WA Act Sch. 1 cl. 18(4).]</w:t>
      </w:r>
    </w:p>
    <w:p>
      <w:pPr>
        <w:pStyle w:val="Heading5"/>
      </w:pPr>
      <w:bookmarkStart w:id="3376" w:name="_Toc53046536"/>
      <w:bookmarkStart w:id="3377" w:name="_Toc182987"/>
      <w:bookmarkStart w:id="3378" w:name="_Toc5365374"/>
      <w:r>
        <w:rPr>
          <w:rStyle w:val="CharSectno"/>
        </w:rPr>
        <w:t>97</w:t>
      </w:r>
      <w:r>
        <w:t>.</w:t>
      </w:r>
      <w:r>
        <w:tab/>
        <w:t>Making first rate of return instrument if review completed before commencement</w:t>
      </w:r>
      <w:bookmarkEnd w:id="3376"/>
      <w:bookmarkEnd w:id="3377"/>
      <w:bookmarkEnd w:id="3378"/>
    </w:p>
    <w:p>
      <w:pPr>
        <w:keepNext/>
        <w:keepLines/>
        <w:tabs>
          <w:tab w:val="center" w:pos="1191"/>
          <w:tab w:val="left" w:pos="1588"/>
        </w:tabs>
        <w:autoSpaceDE w:val="0"/>
        <w:autoSpaceDN w:val="0"/>
        <w:adjustRightInd w:val="0"/>
        <w:spacing w:before="120"/>
        <w:ind w:left="1588" w:hanging="794"/>
        <w:rPr>
          <w:color w:val="000000"/>
          <w:sz w:val="23"/>
          <w:szCs w:val="23"/>
        </w:rPr>
      </w:pPr>
      <w:bookmarkStart w:id="3379" w:name="id66a9885b_573b_4c55_8dc5_e06cae8ccd"/>
      <w:r>
        <w:rPr>
          <w:color w:val="000000"/>
          <w:sz w:val="23"/>
          <w:szCs w:val="23"/>
        </w:rPr>
        <w:tab/>
        <w:t>(1)</w:t>
      </w:r>
      <w:r>
        <w:rPr>
          <w:color w:val="000000"/>
          <w:sz w:val="23"/>
          <w:szCs w:val="23"/>
        </w:rPr>
        <w:tab/>
        <w:t xml:space="preserve">This clause applies if, before the </w:t>
      </w:r>
      <w:bookmarkEnd w:id="3379"/>
      <w:r>
        <w:rPr>
          <w:sz w:val="23"/>
          <w:szCs w:val="23"/>
        </w:rPr>
        <w:t>commencement—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review of the 2013 non</w:t>
      </w:r>
      <w:r>
        <w:rPr>
          <w:color w:val="000000"/>
          <w:sz w:val="23"/>
          <w:szCs w:val="23"/>
        </w:rPr>
        <w:noBreakHyphen/>
        <w:t>binding guideline was completed and a new non</w:t>
      </w:r>
      <w:r>
        <w:rPr>
          <w:color w:val="000000"/>
          <w:sz w:val="23"/>
          <w:szCs w:val="23"/>
        </w:rPr>
        <w:noBreakHyphen/>
        <w:t>binding guideline is in force under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 sought advice or comment from stakeholders in relation to the review;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at least 3 months before making the new non</w:t>
      </w:r>
      <w:r>
        <w:rPr>
          <w:color w:val="000000"/>
          <w:sz w:val="23"/>
          <w:szCs w:val="23"/>
        </w:rPr>
        <w:noBreakHyphen/>
        <w:t>binding guideline, the AER published on its website a draft of the proposed new non</w:t>
      </w:r>
      <w:r>
        <w:rPr>
          <w:color w:val="000000"/>
          <w:sz w:val="23"/>
          <w:szCs w:val="23"/>
        </w:rPr>
        <w:noBreakHyphen/>
        <w:t>binding guideline;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draft was reviewed by an independent panel consisting of at least 3 members with qualifications or experience the AER considered appropriate to conduct the review; and</w:t>
      </w:r>
    </w:p>
    <w:p>
      <w:pPr>
        <w:keepLines/>
        <w:tabs>
          <w:tab w:val="center" w:pos="1985"/>
          <w:tab w:val="left" w:pos="2382"/>
        </w:tabs>
        <w:autoSpaceDE w:val="0"/>
        <w:autoSpaceDN w:val="0"/>
        <w:adjustRightInd w:val="0"/>
        <w:spacing w:before="120"/>
        <w:ind w:left="2382" w:hanging="794"/>
        <w:rPr>
          <w:color w:val="000000"/>
          <w:sz w:val="23"/>
          <w:szCs w:val="23"/>
        </w:rPr>
      </w:pPr>
      <w:bookmarkStart w:id="3380" w:name="id7190fe64_4e8e_47c1_b3ab_817867f74d"/>
      <w:r>
        <w:rPr>
          <w:color w:val="000000"/>
          <w:sz w:val="23"/>
          <w:szCs w:val="23"/>
        </w:rPr>
        <w:tab/>
        <w:t>(e)</w:t>
      </w:r>
      <w:r>
        <w:rPr>
          <w:color w:val="000000"/>
          <w:sz w:val="23"/>
          <w:szCs w:val="23"/>
        </w:rPr>
        <w:tab/>
        <w:t>the independent panel gave the AER a report on the panel’s review.</w:t>
      </w:r>
      <w:bookmarkEnd w:id="338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new non</w:t>
      </w:r>
      <w:r>
        <w:rPr>
          <w:color w:val="000000"/>
          <w:sz w:val="23"/>
          <w:szCs w:val="23"/>
        </w:rPr>
        <w:noBreakHyphen/>
        <w:t>binding guideline is taken to be the first rate of return instrument on the commencement.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section 30P, the instrument is taken to have been published on the AER’s website on the commencement.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report mentioned in subclause (1)(e) need not be a consensus report on the panel’s review.</w:t>
      </w:r>
    </w:p>
    <w:p>
      <w:pPr>
        <w:pStyle w:val="Footnotesection"/>
      </w:pPr>
      <w:r>
        <w:tab/>
        <w:t>[Clause 97 inserted: see SA Act No. 33 of 2018 s. 21 and WA Gazette 5 Apr 2019 p. 1007; modified: WA Act Sch. 1 cl. 18(5).]</w:t>
      </w:r>
    </w:p>
    <w:p>
      <w:pPr>
        <w:pStyle w:val="Heading5"/>
      </w:pPr>
      <w:bookmarkStart w:id="3381" w:name="_Toc53046537"/>
      <w:bookmarkStart w:id="3382" w:name="_Toc182988"/>
      <w:bookmarkStart w:id="3383" w:name="_Toc5365375"/>
      <w:r>
        <w:rPr>
          <w:rStyle w:val="CharSectno"/>
        </w:rPr>
        <w:t>98</w:t>
      </w:r>
      <w:r>
        <w:t>.</w:t>
      </w:r>
      <w:r>
        <w:tab/>
        <w:t>Application of this Law to particular decisions</w:t>
      </w:r>
      <w:bookmarkEnd w:id="3381"/>
      <w:bookmarkEnd w:id="3382"/>
      <w:bookmarkEnd w:id="3383"/>
    </w:p>
    <w:p>
      <w:pPr>
        <w:keepNext/>
        <w:keepLines/>
        <w:tabs>
          <w:tab w:val="center" w:pos="1191"/>
          <w:tab w:val="left" w:pos="1588"/>
        </w:tabs>
        <w:autoSpaceDE w:val="0"/>
        <w:autoSpaceDN w:val="0"/>
        <w:adjustRightInd w:val="0"/>
        <w:spacing w:before="120"/>
        <w:ind w:left="1588" w:hanging="794"/>
        <w:rPr>
          <w:color w:val="000000"/>
          <w:sz w:val="23"/>
          <w:szCs w:val="23"/>
        </w:rPr>
      </w:pPr>
      <w:bookmarkStart w:id="3384" w:name="id89537a05_fac9_4083_93e3_ca00632e65"/>
      <w:r>
        <w:rPr>
          <w:color w:val="000000"/>
          <w:sz w:val="23"/>
          <w:szCs w:val="23"/>
        </w:rPr>
        <w:tab/>
        <w:t>(1)</w:t>
      </w:r>
      <w:r>
        <w:rPr>
          <w:color w:val="000000"/>
          <w:sz w:val="23"/>
          <w:szCs w:val="23"/>
        </w:rPr>
        <w:tab/>
        <w:t>The amended Law applies in relation to an AER economic regulatory decision made after the commencement even if any action or process for making the decision started before the commencement.</w:t>
      </w:r>
      <w:bookmarkEnd w:id="338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subclause (1) does not apply in relation to an AER economic regulatory decision made before the commencement that has been remitted back to the AER to make the decision again.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pPr>
      <w:r>
        <w:rPr>
          <w:rStyle w:val="CharDefText"/>
          <w:sz w:val="23"/>
          <w:szCs w:val="23"/>
        </w:rPr>
        <w:t>amended Law</w:t>
      </w:r>
      <w:r>
        <w:rPr>
          <w:sz w:val="23"/>
          <w:szCs w:val="23"/>
        </w:rPr>
        <w:t xml:space="preserve"> means this Law as amended and modified by virtue of the </w:t>
      </w:r>
      <w:r>
        <w:rPr>
          <w:i/>
          <w:sz w:val="23"/>
          <w:szCs w:val="23"/>
        </w:rPr>
        <w:t>National Gas Access (WA) Adoption of Amendments Order 2019</w:t>
      </w:r>
      <w:r>
        <w:rPr>
          <w:sz w:val="23"/>
          <w:szCs w:val="23"/>
        </w:rPr>
        <w:t xml:space="preserve"> and the </w:t>
      </w:r>
      <w:r>
        <w:rPr>
          <w:i/>
          <w:sz w:val="23"/>
          <w:szCs w:val="23"/>
        </w:rPr>
        <w:t>National Gas Access (WA) (Act Amendment) Regulations 2019</w:t>
      </w:r>
      <w:r>
        <w:rPr>
          <w:sz w:val="23"/>
          <w:szCs w:val="23"/>
        </w:rPr>
        <w:t>.</w:t>
      </w:r>
    </w:p>
    <w:p>
      <w:pPr>
        <w:pStyle w:val="Footnotesection"/>
      </w:pPr>
      <w:r>
        <w:tab/>
        <w:t>[Clause 98 inserted: see SA Act No. 33 of 2018 s. 21 and WA Gazette 5 Apr 2019 p. 1007; modified: WA Act Sch. 1 cl. 18(6).]</w:t>
      </w:r>
    </w:p>
    <w:p>
      <w:pPr>
        <w:sectPr>
          <w:headerReference w:type="even" r:id="rId36"/>
          <w:headerReference w:type="default" r:id="rId37"/>
          <w:endnotePr>
            <w:numFmt w:val="decimal"/>
          </w:endnotePr>
          <w:pgSz w:w="11907" w:h="16840" w:code="9"/>
          <w:pgMar w:top="2381" w:right="2410" w:bottom="3544" w:left="2410" w:header="720" w:footer="3380" w:gutter="0"/>
          <w:cols w:space="720"/>
          <w:docGrid w:linePitch="326"/>
        </w:sectPr>
      </w:pPr>
    </w:p>
    <w:p>
      <w:pPr>
        <w:pStyle w:val="nHeading2"/>
      </w:pPr>
      <w:bookmarkStart w:id="3385" w:name="_Toc52954842"/>
      <w:bookmarkStart w:id="3386" w:name="_Toc52956138"/>
      <w:bookmarkStart w:id="3387" w:name="_Toc52957639"/>
      <w:bookmarkStart w:id="3388" w:name="_Toc52958422"/>
      <w:bookmarkStart w:id="3389" w:name="_Toc53045755"/>
      <w:bookmarkStart w:id="3390" w:name="_Toc53046538"/>
      <w:bookmarkStart w:id="3391" w:name="_Toc501634414"/>
      <w:bookmarkStart w:id="3392" w:name="_Toc501713310"/>
      <w:bookmarkStart w:id="3393" w:name="_Toc536782536"/>
      <w:bookmarkStart w:id="3394" w:name="_Toc5347602"/>
      <w:bookmarkStart w:id="3395" w:name="_Toc5364155"/>
      <w:bookmarkStart w:id="3396" w:name="_Toc5365376"/>
      <w:r>
        <w:t>Notes about the Western Australian National Gas Access Law text</w:t>
      </w:r>
      <w:bookmarkEnd w:id="3385"/>
      <w:bookmarkEnd w:id="3386"/>
      <w:bookmarkEnd w:id="3387"/>
      <w:bookmarkEnd w:id="3388"/>
      <w:bookmarkEnd w:id="3389"/>
      <w:bookmarkEnd w:id="3390"/>
      <w:bookmarkEnd w:id="3391"/>
      <w:bookmarkEnd w:id="3392"/>
      <w:bookmarkEnd w:id="3393"/>
      <w:bookmarkEnd w:id="3394"/>
      <w:bookmarkEnd w:id="3395"/>
      <w:bookmarkEnd w:id="3396"/>
    </w:p>
    <w:p>
      <w:pPr>
        <w:pStyle w:val="nHeading3"/>
        <w:rPr>
          <w:snapToGrid w:val="0"/>
        </w:rPr>
      </w:pPr>
      <w:bookmarkStart w:id="3397" w:name="_Toc53046539"/>
      <w:bookmarkStart w:id="3398" w:name="_Toc5365377"/>
      <w:r>
        <w:rPr>
          <w:snapToGrid w:val="0"/>
        </w:rPr>
        <w:t>Compilation table</w:t>
      </w:r>
      <w:bookmarkEnd w:id="3397"/>
      <w:bookmarkEnd w:id="3398"/>
    </w:p>
    <w:p>
      <w:pPr>
        <w:pStyle w:val="nStatement"/>
      </w:pPr>
      <w:del w:id="3399" w:author="svcMRProcess" w:date="2020-10-08T16:23:00Z">
        <w:r>
          <w:tab/>
        </w:r>
      </w:del>
      <w:r>
        <w:t xml:space="preserve">The Western Australian National Gas Access Law text is the text that results from modifying the National Gas Law, as set out in the Schedule to the </w:t>
      </w:r>
      <w:r>
        <w:rPr>
          <w:i/>
          <w:iCs/>
        </w:rPr>
        <w:t>National Gas (South</w:t>
      </w:r>
      <w:del w:id="3400" w:author="svcMRProcess" w:date="2020-10-08T16:23:00Z">
        <w:r>
          <w:rPr>
            <w:i/>
            <w:iCs/>
          </w:rPr>
          <w:delText xml:space="preserve"> </w:delText>
        </w:r>
      </w:del>
      <w:ins w:id="3401" w:author="svcMRProcess" w:date="2020-10-08T16:23:00Z">
        <w:r>
          <w:rPr>
            <w:i/>
            <w:iCs/>
          </w:rPr>
          <w:t> </w:t>
        </w:r>
      </w:ins>
      <w:r>
        <w:rPr>
          <w:i/>
          <w:iCs/>
        </w:rPr>
        <w:t>Australia) Act 2008</w:t>
      </w:r>
      <w:r>
        <w:t xml:space="preserve"> (South Australia) for the time being in force (the SA Schedule), as shown in the </w:t>
      </w:r>
      <w:r>
        <w:rPr>
          <w:i/>
          <w:iCs/>
          <w:szCs w:val="24"/>
        </w:rPr>
        <w:t>National Gas Access (WA) Act 2009</w:t>
      </w:r>
      <w:r>
        <w:t xml:space="preserve"> Schedule 1 (WA Schedule 1) and to reflect that, because of the </w:t>
      </w:r>
      <w:r>
        <w:rPr>
          <w:i/>
          <w:iCs/>
          <w:szCs w:val="24"/>
        </w:rPr>
        <w:t>National Gas Access (WA) Act 2009</w:t>
      </w:r>
      <w:r>
        <w:t xml:space="preserve"> s. 7A, amendments to the SA Schedule only affect the Western Australian National Gas Access Law text to the extent that they are declared under that section to be relevant to that text.</w:t>
      </w:r>
    </w:p>
    <w:p>
      <w:pPr>
        <w:pStyle w:val="nSubsection"/>
        <w:tabs>
          <w:tab w:val="clear" w:pos="454"/>
          <w:tab w:val="left" w:pos="0"/>
        </w:tabs>
        <w:ind w:left="0" w:firstLine="0"/>
        <w:rPr>
          <w:b/>
          <w:bCs/>
        </w:rPr>
      </w:pPr>
    </w:p>
    <w:tbl>
      <w:tblPr>
        <w:tblW w:w="7080" w:type="dxa"/>
        <w:tblInd w:w="60" w:type="dxa"/>
        <w:tblLayout w:type="fixed"/>
        <w:tblCellMar>
          <w:left w:w="60" w:type="dxa"/>
          <w:right w:w="60" w:type="dxa"/>
        </w:tblCellMar>
        <w:tblLook w:val="0000" w:firstRow="0" w:lastRow="0" w:firstColumn="0" w:lastColumn="0" w:noHBand="0" w:noVBand="0"/>
      </w:tblPr>
      <w:tblGrid>
        <w:gridCol w:w="2410"/>
        <w:gridCol w:w="2030"/>
        <w:gridCol w:w="2640"/>
      </w:tblGrid>
      <w:tr>
        <w:trPr>
          <w:cantSplit/>
          <w:tblHeader/>
        </w:trPr>
        <w:tc>
          <w:tcPr>
            <w:tcW w:w="2410" w:type="dxa"/>
            <w:tcBorders>
              <w:top w:val="single" w:sz="4" w:space="0" w:color="auto"/>
              <w:bottom w:val="single" w:sz="4" w:space="0" w:color="auto"/>
            </w:tcBorders>
          </w:tcPr>
          <w:p>
            <w:pPr>
              <w:keepNext/>
              <w:autoSpaceDE w:val="0"/>
              <w:autoSpaceDN w:val="0"/>
              <w:adjustRightInd w:val="0"/>
              <w:spacing w:before="80"/>
              <w:rPr>
                <w:b/>
                <w:bCs/>
                <w:color w:val="000000"/>
                <w:sz w:val="20"/>
              </w:rPr>
            </w:pPr>
            <w:r>
              <w:rPr>
                <w:b/>
                <w:bCs/>
                <w:color w:val="000000"/>
                <w:sz w:val="20"/>
              </w:rPr>
              <w:t>Source</w:t>
            </w:r>
          </w:p>
        </w:tc>
        <w:tc>
          <w:tcPr>
            <w:tcW w:w="2030" w:type="dxa"/>
            <w:tcBorders>
              <w:top w:val="single" w:sz="4" w:space="0" w:color="auto"/>
              <w:bottom w:val="single" w:sz="4" w:space="0" w:color="auto"/>
            </w:tcBorders>
          </w:tcPr>
          <w:p>
            <w:pPr>
              <w:keepNext/>
              <w:autoSpaceDE w:val="0"/>
              <w:autoSpaceDN w:val="0"/>
              <w:adjustRightInd w:val="0"/>
              <w:spacing w:before="80"/>
              <w:rPr>
                <w:b/>
                <w:bCs/>
                <w:color w:val="000000"/>
                <w:sz w:val="20"/>
              </w:rPr>
            </w:pPr>
            <w:r>
              <w:rPr>
                <w:b/>
                <w:bCs/>
                <w:color w:val="000000"/>
                <w:sz w:val="20"/>
              </w:rPr>
              <w:t>Published</w:t>
            </w:r>
          </w:p>
        </w:tc>
        <w:tc>
          <w:tcPr>
            <w:tcW w:w="2640" w:type="dxa"/>
            <w:tcBorders>
              <w:top w:val="single" w:sz="4" w:space="0" w:color="auto"/>
              <w:bottom w:val="single" w:sz="4" w:space="0" w:color="auto"/>
            </w:tcBorders>
          </w:tcPr>
          <w:p>
            <w:pPr>
              <w:keepNext/>
              <w:autoSpaceDE w:val="0"/>
              <w:autoSpaceDN w:val="0"/>
              <w:adjustRightInd w:val="0"/>
              <w:spacing w:before="80"/>
              <w:rPr>
                <w:b/>
                <w:bCs/>
                <w:color w:val="000000"/>
                <w:sz w:val="20"/>
              </w:rPr>
            </w:pPr>
            <w:r>
              <w:rPr>
                <w:b/>
                <w:bCs/>
                <w:color w:val="000000"/>
                <w:sz w:val="20"/>
              </w:rPr>
              <w:t>Commencement</w:t>
            </w:r>
          </w:p>
        </w:tc>
      </w:tr>
      <w:tr>
        <w:trPr>
          <w:cantSplit/>
        </w:trPr>
        <w:tc>
          <w:tcPr>
            <w:tcW w:w="2410" w:type="dxa"/>
            <w:tcBorders>
              <w:top w:val="single" w:sz="4" w:space="0" w:color="auto"/>
            </w:tcBorders>
          </w:tcPr>
          <w:p>
            <w:pPr>
              <w:autoSpaceDE w:val="0"/>
              <w:autoSpaceDN w:val="0"/>
              <w:adjustRightInd w:val="0"/>
              <w:spacing w:before="80"/>
              <w:rPr>
                <w:color w:val="000000"/>
                <w:sz w:val="20"/>
                <w:vertAlign w:val="superscript"/>
              </w:rPr>
            </w:pPr>
            <w:r>
              <w:rPr>
                <w:i/>
                <w:iCs/>
                <w:color w:val="000000"/>
                <w:sz w:val="20"/>
              </w:rPr>
              <w:t xml:space="preserve">National Gas (South Australia) Act 2008 </w:t>
            </w:r>
            <w:r>
              <w:rPr>
                <w:color w:val="000000"/>
                <w:sz w:val="20"/>
              </w:rPr>
              <w:t xml:space="preserve">Schedule (as modified by the </w:t>
            </w:r>
            <w:r>
              <w:rPr>
                <w:i/>
                <w:iCs/>
                <w:color w:val="000000"/>
                <w:sz w:val="20"/>
              </w:rPr>
              <w:t>National Gas Access (WA) Act 2009</w:t>
            </w:r>
            <w:r>
              <w:rPr>
                <w:color w:val="000000"/>
                <w:sz w:val="20"/>
              </w:rPr>
              <w:t xml:space="preserve"> Sch. 1)</w:t>
            </w:r>
          </w:p>
        </w:tc>
        <w:tc>
          <w:tcPr>
            <w:tcW w:w="2030" w:type="dxa"/>
            <w:tcBorders>
              <w:top w:val="single" w:sz="4" w:space="0" w:color="auto"/>
            </w:tcBorders>
          </w:tcPr>
          <w:p>
            <w:pPr>
              <w:autoSpaceDE w:val="0"/>
              <w:autoSpaceDN w:val="0"/>
              <w:adjustRightInd w:val="0"/>
              <w:spacing w:before="80"/>
              <w:rPr>
                <w:color w:val="000000"/>
                <w:sz w:val="20"/>
              </w:rPr>
            </w:pPr>
            <w:r>
              <w:rPr>
                <w:color w:val="000000"/>
                <w:sz w:val="20"/>
              </w:rPr>
              <w:t>SA Act No. 19 of 2008</w:t>
            </w:r>
          </w:p>
        </w:tc>
        <w:tc>
          <w:tcPr>
            <w:tcW w:w="2640" w:type="dxa"/>
            <w:tcBorders>
              <w:top w:val="single" w:sz="4" w:space="0" w:color="auto"/>
            </w:tcBorders>
          </w:tcPr>
          <w:p>
            <w:pPr>
              <w:autoSpaceDE w:val="0"/>
              <w:autoSpaceDN w:val="0"/>
              <w:adjustRightInd w:val="0"/>
              <w:spacing w:before="80"/>
              <w:rPr>
                <w:color w:val="000000"/>
                <w:sz w:val="20"/>
              </w:rPr>
            </w:pPr>
            <w:r>
              <w:rPr>
                <w:color w:val="000000"/>
                <w:sz w:val="20"/>
              </w:rPr>
              <w:t xml:space="preserve">In SA: 1 Jul 2008 (see </w:t>
            </w:r>
            <w:r>
              <w:rPr>
                <w:i/>
                <w:iCs/>
                <w:color w:val="000000"/>
                <w:sz w:val="20"/>
              </w:rPr>
              <w:t>SA Gazette</w:t>
            </w:r>
            <w:r>
              <w:rPr>
                <w:color w:val="000000"/>
                <w:sz w:val="20"/>
              </w:rPr>
              <w:t xml:space="preserve"> 26 Jun 2008 p. 2553)</w:t>
            </w:r>
          </w:p>
          <w:p>
            <w:pPr>
              <w:autoSpaceDE w:val="0"/>
              <w:autoSpaceDN w:val="0"/>
              <w:adjustRightInd w:val="0"/>
              <w:spacing w:before="80"/>
              <w:rPr>
                <w:color w:val="000000"/>
                <w:sz w:val="20"/>
              </w:rPr>
            </w:pPr>
            <w:r>
              <w:rPr>
                <w:color w:val="000000"/>
                <w:sz w:val="20"/>
              </w:rPr>
              <w:t xml:space="preserve">In WA: 1 Jan 2010 (see WA Act s. 2(b) and </w:t>
            </w:r>
            <w:r>
              <w:rPr>
                <w:i/>
                <w:iCs/>
                <w:color w:val="000000"/>
                <w:sz w:val="20"/>
              </w:rPr>
              <w:t>Gazette</w:t>
            </w:r>
            <w:r>
              <w:rPr>
                <w:color w:val="000000"/>
                <w:sz w:val="20"/>
              </w:rPr>
              <w:t xml:space="preserve"> 31 Dec 2009 p. 5327)</w:t>
            </w:r>
          </w:p>
        </w:tc>
      </w:tr>
      <w:tr>
        <w:trPr>
          <w:cantSplit/>
        </w:trPr>
        <w:tc>
          <w:tcPr>
            <w:tcW w:w="2410" w:type="dxa"/>
          </w:tcPr>
          <w:p>
            <w:pPr>
              <w:autoSpaceDE w:val="0"/>
              <w:autoSpaceDN w:val="0"/>
              <w:adjustRightInd w:val="0"/>
              <w:spacing w:before="80"/>
              <w:rPr>
                <w:color w:val="000000"/>
                <w:sz w:val="20"/>
                <w:vertAlign w:val="superscript"/>
              </w:rPr>
            </w:pPr>
            <w:r>
              <w:rPr>
                <w:i/>
                <w:iCs/>
                <w:color w:val="000000"/>
                <w:sz w:val="20"/>
              </w:rPr>
              <w:t>National Gas (South Australia) (National Gas Law—Australian Energy Market Operator) Amendment Act 2009</w:t>
            </w:r>
            <w:r>
              <w:rPr>
                <w:color w:val="000000"/>
                <w:sz w:val="20"/>
              </w:rPr>
              <w:t xml:space="preserve"> s. 6</w:t>
            </w:r>
            <w:r>
              <w:rPr>
                <w:i/>
                <w:iCs/>
                <w:color w:val="000000"/>
                <w:sz w:val="20"/>
              </w:rPr>
              <w:t xml:space="preserve"> </w:t>
            </w:r>
          </w:p>
        </w:tc>
        <w:tc>
          <w:tcPr>
            <w:tcW w:w="2030" w:type="dxa"/>
          </w:tcPr>
          <w:p>
            <w:pPr>
              <w:autoSpaceDE w:val="0"/>
              <w:autoSpaceDN w:val="0"/>
              <w:adjustRightInd w:val="0"/>
              <w:spacing w:before="80"/>
              <w:rPr>
                <w:i/>
                <w:iCs/>
                <w:color w:val="000000"/>
                <w:sz w:val="20"/>
              </w:rPr>
            </w:pPr>
            <w:r>
              <w:rPr>
                <w:color w:val="000000"/>
                <w:sz w:val="20"/>
              </w:rPr>
              <w:t xml:space="preserve">SA Act No. 30 of 2009 </w:t>
            </w:r>
          </w:p>
        </w:tc>
        <w:tc>
          <w:tcPr>
            <w:tcW w:w="2640" w:type="dxa"/>
          </w:tcPr>
          <w:p>
            <w:pPr>
              <w:autoSpaceDE w:val="0"/>
              <w:autoSpaceDN w:val="0"/>
              <w:adjustRightInd w:val="0"/>
              <w:spacing w:before="80"/>
              <w:rPr>
                <w:color w:val="000000"/>
                <w:sz w:val="20"/>
              </w:rPr>
            </w:pPr>
            <w:r>
              <w:rPr>
                <w:color w:val="000000"/>
                <w:sz w:val="20"/>
              </w:rPr>
              <w:t xml:space="preserve">In SA: 1 Jul 2009 (see </w:t>
            </w:r>
            <w:r>
              <w:rPr>
                <w:i/>
                <w:iCs/>
                <w:color w:val="000000"/>
                <w:sz w:val="20"/>
              </w:rPr>
              <w:t>SA Gazette</w:t>
            </w:r>
            <w:r>
              <w:rPr>
                <w:color w:val="000000"/>
                <w:sz w:val="20"/>
              </w:rPr>
              <w:t xml:space="preserve"> 25 Jun 2008 p. 3000)</w:t>
            </w:r>
          </w:p>
          <w:p>
            <w:pPr>
              <w:autoSpaceDE w:val="0"/>
              <w:autoSpaceDN w:val="0"/>
              <w:adjustRightInd w:val="0"/>
              <w:spacing w:before="80"/>
              <w:rPr>
                <w:color w:val="000000"/>
                <w:sz w:val="20"/>
              </w:rPr>
            </w:pPr>
            <w:r>
              <w:rPr>
                <w:color w:val="000000"/>
                <w:sz w:val="20"/>
              </w:rPr>
              <w:t xml:space="preserve">In WA: 1 Jan 2010 (see </w:t>
            </w:r>
            <w:r>
              <w:rPr>
                <w:i/>
                <w:color w:val="000000"/>
                <w:sz w:val="20"/>
              </w:rPr>
              <w:t>WA Gazette</w:t>
            </w:r>
            <w:r>
              <w:rPr>
                <w:color w:val="000000"/>
                <w:sz w:val="20"/>
              </w:rPr>
              <w:t xml:space="preserve"> 18 Dec 2009 p. 5167</w:t>
            </w:r>
            <w:r>
              <w:rPr>
                <w:color w:val="000000"/>
                <w:sz w:val="20"/>
              </w:rPr>
              <w:noBreakHyphen/>
              <w:t>8)</w:t>
            </w:r>
          </w:p>
        </w:tc>
      </w:tr>
      <w:tr>
        <w:trPr>
          <w:cantSplit/>
        </w:trPr>
        <w:tc>
          <w:tcPr>
            <w:tcW w:w="2410" w:type="dxa"/>
          </w:tcPr>
          <w:p>
            <w:pPr>
              <w:autoSpaceDE w:val="0"/>
              <w:autoSpaceDN w:val="0"/>
              <w:adjustRightInd w:val="0"/>
              <w:spacing w:before="80"/>
              <w:rPr>
                <w:iCs/>
                <w:color w:val="000000"/>
                <w:sz w:val="20"/>
              </w:rPr>
            </w:pPr>
            <w:r>
              <w:rPr>
                <w:i/>
                <w:iCs/>
                <w:color w:val="000000"/>
                <w:sz w:val="20"/>
              </w:rPr>
              <w:t>Statutes Amendment (National Electricity and Gas Laws — Limited Merits Review) Act 2013</w:t>
            </w:r>
            <w:r>
              <w:rPr>
                <w:iCs/>
                <w:color w:val="000000"/>
                <w:sz w:val="20"/>
              </w:rPr>
              <w:t xml:space="preserve"> Pt. 3</w:t>
            </w:r>
          </w:p>
        </w:tc>
        <w:tc>
          <w:tcPr>
            <w:tcW w:w="2030" w:type="dxa"/>
          </w:tcPr>
          <w:p>
            <w:pPr>
              <w:autoSpaceDE w:val="0"/>
              <w:autoSpaceDN w:val="0"/>
              <w:adjustRightInd w:val="0"/>
              <w:spacing w:before="80"/>
              <w:rPr>
                <w:color w:val="000000"/>
                <w:sz w:val="20"/>
              </w:rPr>
            </w:pPr>
            <w:r>
              <w:rPr>
                <w:color w:val="000000"/>
                <w:sz w:val="20"/>
              </w:rPr>
              <w:t>SA Act No. 79 of 2013</w:t>
            </w:r>
          </w:p>
        </w:tc>
        <w:tc>
          <w:tcPr>
            <w:tcW w:w="2640" w:type="dxa"/>
          </w:tcPr>
          <w:p>
            <w:pPr>
              <w:autoSpaceDE w:val="0"/>
              <w:autoSpaceDN w:val="0"/>
              <w:adjustRightInd w:val="0"/>
              <w:spacing w:before="80"/>
              <w:rPr>
                <w:color w:val="000000"/>
                <w:sz w:val="20"/>
              </w:rPr>
            </w:pPr>
            <w:r>
              <w:rPr>
                <w:color w:val="000000"/>
                <w:sz w:val="20"/>
              </w:rPr>
              <w:t xml:space="preserve">In SA: 19 Dec 2013 (see </w:t>
            </w:r>
            <w:r>
              <w:rPr>
                <w:i/>
                <w:color w:val="000000"/>
                <w:sz w:val="20"/>
              </w:rPr>
              <w:t>SA Gazette</w:t>
            </w:r>
            <w:r>
              <w:rPr>
                <w:color w:val="000000"/>
                <w:sz w:val="20"/>
              </w:rPr>
              <w:t xml:space="preserve"> 19 Dec 2013 p. 4927)</w:t>
            </w:r>
          </w:p>
          <w:p>
            <w:pPr>
              <w:autoSpaceDE w:val="0"/>
              <w:autoSpaceDN w:val="0"/>
              <w:adjustRightInd w:val="0"/>
              <w:spacing w:before="80" w:line="260" w:lineRule="atLeast"/>
              <w:rPr>
                <w:color w:val="000000"/>
                <w:sz w:val="20"/>
              </w:rPr>
            </w:pPr>
            <w:r>
              <w:rPr>
                <w:color w:val="000000"/>
                <w:sz w:val="20"/>
              </w:rPr>
              <w:t xml:space="preserve">In WA: 15 Mar 2014 (see </w:t>
            </w:r>
            <w:r>
              <w:rPr>
                <w:i/>
                <w:color w:val="000000"/>
                <w:sz w:val="20"/>
              </w:rPr>
              <w:t>WA Gazette</w:t>
            </w:r>
            <w:r>
              <w:rPr>
                <w:color w:val="000000"/>
                <w:sz w:val="20"/>
              </w:rPr>
              <w:t xml:space="preserve"> 14 Mar 2014 p. 632)</w:t>
            </w:r>
          </w:p>
        </w:tc>
      </w:tr>
      <w:tr>
        <w:trPr>
          <w:cantSplit/>
        </w:trPr>
        <w:tc>
          <w:tcPr>
            <w:tcW w:w="2410" w:type="dxa"/>
          </w:tcPr>
          <w:p>
            <w:pPr>
              <w:autoSpaceDE w:val="0"/>
              <w:autoSpaceDN w:val="0"/>
              <w:adjustRightInd w:val="0"/>
              <w:spacing w:before="80"/>
              <w:rPr>
                <w:iCs/>
                <w:color w:val="000000"/>
                <w:sz w:val="20"/>
              </w:rPr>
            </w:pPr>
            <w:r>
              <w:rPr>
                <w:i/>
                <w:iCs/>
                <w:color w:val="000000"/>
                <w:sz w:val="20"/>
              </w:rPr>
              <w:t>National Gas (South Australia) (Pipelines Access—Arbitration) Amendment Act 2017</w:t>
            </w:r>
          </w:p>
        </w:tc>
        <w:tc>
          <w:tcPr>
            <w:tcW w:w="2030" w:type="dxa"/>
          </w:tcPr>
          <w:p>
            <w:pPr>
              <w:autoSpaceDE w:val="0"/>
              <w:autoSpaceDN w:val="0"/>
              <w:adjustRightInd w:val="0"/>
              <w:spacing w:before="80"/>
              <w:rPr>
                <w:color w:val="000000"/>
                <w:sz w:val="20"/>
              </w:rPr>
            </w:pPr>
            <w:r>
              <w:rPr>
                <w:color w:val="000000"/>
                <w:sz w:val="20"/>
              </w:rPr>
              <w:t>SA Act No. 23 of 2017</w:t>
            </w:r>
          </w:p>
        </w:tc>
        <w:tc>
          <w:tcPr>
            <w:tcW w:w="2640" w:type="dxa"/>
          </w:tcPr>
          <w:p>
            <w:pPr>
              <w:autoSpaceDE w:val="0"/>
              <w:autoSpaceDN w:val="0"/>
              <w:adjustRightInd w:val="0"/>
              <w:spacing w:before="80"/>
              <w:rPr>
                <w:i/>
                <w:color w:val="000000"/>
                <w:sz w:val="20"/>
              </w:rPr>
            </w:pPr>
            <w:r>
              <w:rPr>
                <w:color w:val="000000"/>
                <w:sz w:val="20"/>
              </w:rPr>
              <w:t xml:space="preserve">In SA: 1 Aug 2017 (see </w:t>
            </w:r>
            <w:r>
              <w:rPr>
                <w:i/>
                <w:color w:val="000000"/>
                <w:sz w:val="20"/>
              </w:rPr>
              <w:t>SA Gazette</w:t>
            </w:r>
            <w:r>
              <w:rPr>
                <w:color w:val="000000"/>
                <w:sz w:val="20"/>
              </w:rPr>
              <w:t xml:space="preserve"> 1 Aug 2017 p. 3037)</w:t>
            </w:r>
          </w:p>
          <w:p>
            <w:pPr>
              <w:autoSpaceDE w:val="0"/>
              <w:autoSpaceDN w:val="0"/>
              <w:adjustRightInd w:val="0"/>
              <w:spacing w:before="80"/>
              <w:rPr>
                <w:color w:val="000000"/>
                <w:sz w:val="20"/>
              </w:rPr>
            </w:pPr>
            <w:r>
              <w:rPr>
                <w:color w:val="000000"/>
                <w:sz w:val="20"/>
              </w:rPr>
              <w:t xml:space="preserve">In WA: 23 Dec 2017 (see </w:t>
            </w:r>
            <w:r>
              <w:rPr>
                <w:i/>
                <w:color w:val="000000"/>
                <w:sz w:val="20"/>
              </w:rPr>
              <w:t>WA Gazette</w:t>
            </w:r>
            <w:r>
              <w:rPr>
                <w:color w:val="000000"/>
                <w:sz w:val="20"/>
              </w:rPr>
              <w:t xml:space="preserve"> 22 Dec 2017 p. 5984)</w:t>
            </w:r>
          </w:p>
        </w:tc>
      </w:tr>
      <w:tr>
        <w:trPr>
          <w:cantSplit/>
          <w:ins w:id="3402" w:author="svcMRProcess" w:date="2020-10-08T16:23:00Z"/>
        </w:trPr>
        <w:tc>
          <w:tcPr>
            <w:tcW w:w="2410" w:type="dxa"/>
          </w:tcPr>
          <w:p>
            <w:pPr>
              <w:autoSpaceDE w:val="0"/>
              <w:autoSpaceDN w:val="0"/>
              <w:adjustRightInd w:val="0"/>
              <w:spacing w:before="80"/>
              <w:rPr>
                <w:ins w:id="3403" w:author="svcMRProcess" w:date="2020-10-08T16:23:00Z"/>
                <w:i/>
                <w:iCs/>
                <w:color w:val="000000"/>
                <w:sz w:val="20"/>
              </w:rPr>
            </w:pPr>
            <w:ins w:id="3404" w:author="svcMRProcess" w:date="2020-10-08T16:23:00Z">
              <w:r>
                <w:rPr>
                  <w:i/>
                  <w:iCs/>
                  <w:color w:val="000000"/>
                  <w:sz w:val="20"/>
                </w:rPr>
                <w:t>Statutes Amendment (National Energy Laws) (Rules) Act 2018</w:t>
              </w:r>
            </w:ins>
          </w:p>
        </w:tc>
        <w:tc>
          <w:tcPr>
            <w:tcW w:w="2030" w:type="dxa"/>
          </w:tcPr>
          <w:p>
            <w:pPr>
              <w:autoSpaceDE w:val="0"/>
              <w:autoSpaceDN w:val="0"/>
              <w:adjustRightInd w:val="0"/>
              <w:spacing w:before="80"/>
              <w:rPr>
                <w:ins w:id="3405" w:author="svcMRProcess" w:date="2020-10-08T16:23:00Z"/>
                <w:color w:val="000000"/>
                <w:sz w:val="20"/>
              </w:rPr>
            </w:pPr>
            <w:ins w:id="3406" w:author="svcMRProcess" w:date="2020-10-08T16:23:00Z">
              <w:r>
                <w:rPr>
                  <w:color w:val="000000"/>
                  <w:sz w:val="20"/>
                </w:rPr>
                <w:t>SA Act No. 12 of 2018</w:t>
              </w:r>
            </w:ins>
          </w:p>
        </w:tc>
        <w:tc>
          <w:tcPr>
            <w:tcW w:w="2640" w:type="dxa"/>
          </w:tcPr>
          <w:p>
            <w:pPr>
              <w:autoSpaceDE w:val="0"/>
              <w:autoSpaceDN w:val="0"/>
              <w:adjustRightInd w:val="0"/>
              <w:spacing w:before="80"/>
              <w:rPr>
                <w:ins w:id="3407" w:author="svcMRProcess" w:date="2020-10-08T16:23:00Z"/>
                <w:color w:val="000000"/>
                <w:sz w:val="20"/>
              </w:rPr>
            </w:pPr>
            <w:ins w:id="3408" w:author="svcMRProcess" w:date="2020-10-08T16:23:00Z">
              <w:r>
                <w:rPr>
                  <w:color w:val="000000"/>
                  <w:sz w:val="20"/>
                </w:rPr>
                <w:t xml:space="preserve">In SA: 20 Sep 2018 (see </w:t>
              </w:r>
              <w:r>
                <w:rPr>
                  <w:i/>
                  <w:color w:val="000000"/>
                  <w:sz w:val="20"/>
                </w:rPr>
                <w:t>SA Gazette</w:t>
              </w:r>
              <w:r>
                <w:rPr>
                  <w:color w:val="000000"/>
                  <w:sz w:val="20"/>
                </w:rPr>
                <w:t xml:space="preserve"> 20 Sep 2018 p. 3500)</w:t>
              </w:r>
            </w:ins>
          </w:p>
          <w:p>
            <w:pPr>
              <w:autoSpaceDE w:val="0"/>
              <w:autoSpaceDN w:val="0"/>
              <w:adjustRightInd w:val="0"/>
              <w:spacing w:before="80"/>
              <w:rPr>
                <w:ins w:id="3409" w:author="svcMRProcess" w:date="2020-10-08T16:23:00Z"/>
                <w:color w:val="000000"/>
                <w:sz w:val="20"/>
              </w:rPr>
            </w:pPr>
            <w:ins w:id="3410" w:author="svcMRProcess" w:date="2020-10-08T16:23:00Z">
              <w:r>
                <w:rPr>
                  <w:color w:val="000000"/>
                  <w:sz w:val="20"/>
                </w:rPr>
                <w:t>In WA: 10 Oct 2020 (see SL 2020/195 cl. 2(b))</w:t>
              </w:r>
            </w:ins>
          </w:p>
        </w:tc>
      </w:tr>
      <w:tr>
        <w:trPr>
          <w:cantSplit/>
        </w:trPr>
        <w:tc>
          <w:tcPr>
            <w:tcW w:w="2410" w:type="dxa"/>
            <w:tcBorders>
              <w:bottom w:val="single" w:sz="4" w:space="0" w:color="auto"/>
            </w:tcBorders>
          </w:tcPr>
          <w:p>
            <w:pPr>
              <w:keepLines/>
              <w:autoSpaceDE w:val="0"/>
              <w:autoSpaceDN w:val="0"/>
              <w:adjustRightInd w:val="0"/>
              <w:spacing w:before="80"/>
              <w:rPr>
                <w:i/>
                <w:iCs/>
                <w:color w:val="000000"/>
                <w:sz w:val="20"/>
              </w:rPr>
            </w:pPr>
            <w:r>
              <w:rPr>
                <w:i/>
                <w:iCs/>
                <w:color w:val="000000"/>
                <w:sz w:val="20"/>
              </w:rPr>
              <w:t>Statutes Amendment (National Energy Laws) (Binding Rate of Return Instrument) Act 2018</w:t>
            </w:r>
            <w:r>
              <w:rPr>
                <w:iCs/>
                <w:color w:val="000000"/>
                <w:sz w:val="20"/>
              </w:rPr>
              <w:t xml:space="preserve"> Pt. 3</w:t>
            </w:r>
          </w:p>
        </w:tc>
        <w:tc>
          <w:tcPr>
            <w:tcW w:w="2030" w:type="dxa"/>
            <w:tcBorders>
              <w:bottom w:val="single" w:sz="4" w:space="0" w:color="auto"/>
            </w:tcBorders>
          </w:tcPr>
          <w:p>
            <w:pPr>
              <w:keepLines/>
              <w:autoSpaceDE w:val="0"/>
              <w:autoSpaceDN w:val="0"/>
              <w:adjustRightInd w:val="0"/>
              <w:spacing w:before="80"/>
              <w:rPr>
                <w:color w:val="000000"/>
                <w:sz w:val="20"/>
              </w:rPr>
            </w:pPr>
            <w:r>
              <w:rPr>
                <w:color w:val="000000"/>
                <w:sz w:val="20"/>
              </w:rPr>
              <w:t>SA Act No. 33 of 2018</w:t>
            </w:r>
          </w:p>
        </w:tc>
        <w:tc>
          <w:tcPr>
            <w:tcW w:w="2640" w:type="dxa"/>
            <w:tcBorders>
              <w:bottom w:val="single" w:sz="4" w:space="0" w:color="auto"/>
            </w:tcBorders>
          </w:tcPr>
          <w:p>
            <w:pPr>
              <w:keepLines/>
              <w:autoSpaceDE w:val="0"/>
              <w:autoSpaceDN w:val="0"/>
              <w:adjustRightInd w:val="0"/>
              <w:spacing w:before="80"/>
              <w:rPr>
                <w:color w:val="000000"/>
                <w:sz w:val="20"/>
              </w:rPr>
            </w:pPr>
            <w:r>
              <w:rPr>
                <w:color w:val="000000"/>
                <w:sz w:val="20"/>
              </w:rPr>
              <w:t xml:space="preserve">In SA: 13 Dec 2018 (see </w:t>
            </w:r>
            <w:r>
              <w:rPr>
                <w:i/>
                <w:color w:val="000000"/>
                <w:sz w:val="20"/>
              </w:rPr>
              <w:t>SA Gazette</w:t>
            </w:r>
            <w:r>
              <w:rPr>
                <w:color w:val="000000"/>
                <w:sz w:val="20"/>
              </w:rPr>
              <w:t xml:space="preserve"> 13 Dec 2018 p. 4272)</w:t>
            </w:r>
          </w:p>
          <w:p>
            <w:pPr>
              <w:keepLines/>
              <w:autoSpaceDE w:val="0"/>
              <w:autoSpaceDN w:val="0"/>
              <w:adjustRightInd w:val="0"/>
              <w:spacing w:before="80"/>
              <w:rPr>
                <w:color w:val="000000"/>
                <w:sz w:val="20"/>
              </w:rPr>
            </w:pPr>
            <w:r>
              <w:rPr>
                <w:color w:val="000000"/>
                <w:sz w:val="20"/>
              </w:rPr>
              <w:t xml:space="preserve">In WA: 6 Apr 2019 (see </w:t>
            </w:r>
            <w:r>
              <w:rPr>
                <w:i/>
                <w:color w:val="000000"/>
                <w:sz w:val="20"/>
              </w:rPr>
              <w:t>WA Gazette</w:t>
            </w:r>
            <w:r>
              <w:rPr>
                <w:color w:val="000000"/>
                <w:sz w:val="20"/>
              </w:rPr>
              <w:t xml:space="preserve"> 5 Apr 2019 p. 1007)</w:t>
            </w:r>
          </w:p>
        </w:tc>
      </w:tr>
    </w:tbl>
    <w:p>
      <w:pPr>
        <w:sectPr>
          <w:headerReference w:type="even" r:id="rId38"/>
          <w:headerReference w:type="default" r:id="rId39"/>
          <w:headerReference w:type="first" r:id="rId40"/>
          <w:endnotePr>
            <w:numFmt w:val="decimal"/>
          </w:endnotePr>
          <w:pgSz w:w="11907" w:h="16840" w:code="9"/>
          <w:pgMar w:top="2376" w:right="2405" w:bottom="3542" w:left="2405" w:header="706" w:footer="3528" w:gutter="0"/>
          <w:cols w:space="720"/>
          <w:noEndnote/>
        </w:sectPr>
      </w:pPr>
    </w:p>
    <w:p>
      <w:pPr>
        <w:keepNext/>
        <w:jc w:val="center"/>
        <w:outlineLvl w:val="1"/>
        <w:rPr>
          <w:b/>
          <w:snapToGrid w:val="0"/>
          <w:sz w:val="28"/>
        </w:rPr>
      </w:pPr>
      <w:bookmarkStart w:id="3412" w:name="_Toc421711472"/>
      <w:r>
        <w:rPr>
          <w:b/>
          <w:snapToGrid w:val="0"/>
          <w:sz w:val="28"/>
        </w:rPr>
        <w:t>Defined terms</w:t>
      </w:r>
      <w:bookmarkEnd w:id="3412"/>
    </w:p>
    <w:p>
      <w:pPr>
        <w:ind w:left="850" w:right="850"/>
        <w:jc w:val="center"/>
        <w:rPr>
          <w:i/>
          <w:sz w:val="18"/>
        </w:rPr>
      </w:pPr>
    </w:p>
    <w:p>
      <w:pPr>
        <w:ind w:left="850" w:right="850"/>
        <w:jc w:val="center"/>
        <w:rPr>
          <w:i/>
          <w:sz w:val="18"/>
        </w:rPr>
      </w:pPr>
      <w:r>
        <w:rPr>
          <w:i/>
          <w:sz w:val="18"/>
        </w:rPr>
        <w:t>[This is a list of terms defined and the provisions where they are defined.</w:t>
      </w:r>
    </w:p>
    <w:p>
      <w:pPr>
        <w:ind w:left="850" w:right="850"/>
        <w:jc w:val="center"/>
        <w:rPr>
          <w:i/>
          <w:sz w:val="18"/>
        </w:rPr>
      </w:pPr>
      <w:r>
        <w:rPr>
          <w:i/>
          <w:sz w:val="18"/>
        </w:rPr>
        <w:t>Unless otherwise indicated references are to provisions in the Note.</w:t>
      </w:r>
    </w:p>
    <w:p>
      <w:pPr>
        <w:ind w:left="850" w:right="850"/>
        <w:jc w:val="center"/>
        <w:rPr>
          <w:i/>
          <w:sz w:val="18"/>
        </w:rPr>
      </w:pPr>
      <w:r>
        <w:rPr>
          <w:i/>
          <w:sz w:val="18"/>
        </w:rPr>
        <w:t>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tabs>
          <w:tab w:val="right" w:leader="dot" w:pos="7070"/>
        </w:tabs>
        <w:ind w:left="578" w:right="578"/>
        <w:rPr>
          <w:sz w:val="20"/>
        </w:rPr>
      </w:pPr>
      <w:r>
        <w:rPr>
          <w:sz w:val="20"/>
        </w:rPr>
        <w:t>15</w:t>
      </w:r>
      <w:r>
        <w:rPr>
          <w:sz w:val="20"/>
        </w:rPr>
        <w:noBreakHyphen/>
        <w:t>year no</w:t>
      </w:r>
      <w:r>
        <w:rPr>
          <w:sz w:val="20"/>
        </w:rPr>
        <w:noBreakHyphen/>
        <w:t>coverage determination</w:t>
      </w:r>
      <w:r>
        <w:rPr>
          <w:sz w:val="20"/>
        </w:rPr>
        <w:tab/>
        <w:t>2, 151(1)</w:t>
      </w:r>
    </w:p>
    <w:p>
      <w:pPr>
        <w:tabs>
          <w:tab w:val="right" w:leader="dot" w:pos="7070"/>
        </w:tabs>
        <w:ind w:left="578" w:right="578"/>
        <w:rPr>
          <w:sz w:val="20"/>
        </w:rPr>
      </w:pPr>
      <w:r>
        <w:rPr>
          <w:sz w:val="20"/>
        </w:rPr>
        <w:t>2013 non-binding guideline</w:t>
      </w:r>
      <w:r>
        <w:rPr>
          <w:sz w:val="20"/>
        </w:rPr>
        <w:tab/>
        <w:t>Sch. 3 cl. 95</w:t>
      </w:r>
    </w:p>
    <w:p>
      <w:pPr>
        <w:tabs>
          <w:tab w:val="right" w:leader="dot" w:pos="7070"/>
        </w:tabs>
        <w:ind w:left="578" w:right="578"/>
        <w:rPr>
          <w:sz w:val="20"/>
        </w:rPr>
      </w:pPr>
      <w:r>
        <w:rPr>
          <w:sz w:val="20"/>
        </w:rPr>
        <w:t>ACCC</w:t>
      </w:r>
      <w:r>
        <w:rPr>
          <w:sz w:val="20"/>
        </w:rPr>
        <w:tab/>
        <w:t>2</w:t>
      </w:r>
    </w:p>
    <w:p>
      <w:pPr>
        <w:tabs>
          <w:tab w:val="right" w:leader="dot" w:pos="7070"/>
        </w:tabs>
        <w:ind w:left="578" w:right="578"/>
        <w:rPr>
          <w:sz w:val="20"/>
        </w:rPr>
      </w:pPr>
      <w:r>
        <w:rPr>
          <w:sz w:val="20"/>
        </w:rPr>
        <w:t>access arrangement</w:t>
      </w:r>
      <w:r>
        <w:rPr>
          <w:sz w:val="20"/>
        </w:rPr>
        <w:tab/>
        <w:t>2</w:t>
      </w:r>
    </w:p>
    <w:p>
      <w:pPr>
        <w:tabs>
          <w:tab w:val="right" w:leader="dot" w:pos="7070"/>
        </w:tabs>
        <w:ind w:left="578" w:right="578"/>
        <w:rPr>
          <w:sz w:val="20"/>
        </w:rPr>
      </w:pPr>
      <w:r>
        <w:rPr>
          <w:sz w:val="20"/>
        </w:rPr>
        <w:t>access arrangement revision proposal</w:t>
      </w:r>
      <w:r>
        <w:rPr>
          <w:sz w:val="20"/>
        </w:rPr>
        <w:tab/>
        <w:t>Sch. 3 cl. 30</w:t>
      </w:r>
    </w:p>
    <w:p>
      <w:pPr>
        <w:tabs>
          <w:tab w:val="right" w:leader="dot" w:pos="7070"/>
        </w:tabs>
        <w:ind w:left="578" w:right="578"/>
        <w:rPr>
          <w:sz w:val="20"/>
        </w:rPr>
      </w:pPr>
      <w:r>
        <w:rPr>
          <w:sz w:val="20"/>
        </w:rPr>
        <w:t>access determination</w:t>
      </w:r>
      <w:r>
        <w:rPr>
          <w:sz w:val="20"/>
        </w:rPr>
        <w:tab/>
        <w:t>2, 216A</w:t>
      </w:r>
    </w:p>
    <w:p>
      <w:pPr>
        <w:tabs>
          <w:tab w:val="right" w:leader="dot" w:pos="7070"/>
        </w:tabs>
        <w:ind w:left="578" w:right="578"/>
        <w:rPr>
          <w:sz w:val="20"/>
        </w:rPr>
      </w:pPr>
      <w:r>
        <w:rPr>
          <w:sz w:val="20"/>
        </w:rPr>
        <w:t>access dispute</w:t>
      </w:r>
      <w:r>
        <w:rPr>
          <w:sz w:val="20"/>
        </w:rPr>
        <w:tab/>
        <w:t>178, 216A</w:t>
      </w:r>
    </w:p>
    <w:p>
      <w:pPr>
        <w:tabs>
          <w:tab w:val="right" w:leader="dot" w:pos="7070"/>
        </w:tabs>
        <w:ind w:left="578" w:right="578"/>
        <w:rPr>
          <w:sz w:val="20"/>
        </w:rPr>
      </w:pPr>
      <w:r>
        <w:rPr>
          <w:sz w:val="20"/>
        </w:rPr>
        <w:t xml:space="preserve">access dispute pipeline </w:t>
      </w:r>
      <w:r>
        <w:rPr>
          <w:sz w:val="20"/>
        </w:rPr>
        <w:tab/>
        <w:t>178</w:t>
      </w:r>
    </w:p>
    <w:p>
      <w:pPr>
        <w:tabs>
          <w:tab w:val="right" w:leader="dot" w:pos="7070"/>
        </w:tabs>
        <w:ind w:left="578" w:right="578"/>
        <w:rPr>
          <w:sz w:val="20"/>
        </w:rPr>
      </w:pPr>
      <w:r>
        <w:rPr>
          <w:sz w:val="20"/>
        </w:rPr>
        <w:t>Act</w:t>
      </w:r>
      <w:r>
        <w:rPr>
          <w:sz w:val="20"/>
        </w:rPr>
        <w:tab/>
        <w:t>Sch. 2 cl. 10</w:t>
      </w:r>
    </w:p>
    <w:p>
      <w:pPr>
        <w:tabs>
          <w:tab w:val="right" w:leader="dot" w:pos="7070"/>
        </w:tabs>
        <w:ind w:left="578" w:right="578"/>
        <w:rPr>
          <w:sz w:val="20"/>
        </w:rPr>
      </w:pPr>
      <w:r>
        <w:rPr>
          <w:sz w:val="20"/>
        </w:rPr>
        <w:t>acting SES employee</w:t>
      </w:r>
      <w:r>
        <w:rPr>
          <w:sz w:val="20"/>
        </w:rPr>
        <w:tab/>
        <w:t>Sch. 2 cl. 33</w:t>
      </w:r>
    </w:p>
    <w:p>
      <w:pPr>
        <w:tabs>
          <w:tab w:val="right" w:leader="dot" w:pos="7070"/>
        </w:tabs>
        <w:ind w:left="578" w:right="578"/>
        <w:rPr>
          <w:sz w:val="20"/>
        </w:rPr>
      </w:pPr>
      <w:r>
        <w:rPr>
          <w:sz w:val="20"/>
        </w:rPr>
        <w:t>active request</w:t>
      </w:r>
      <w:r>
        <w:rPr>
          <w:sz w:val="20"/>
        </w:rPr>
        <w:tab/>
        <w:t>301(1)</w:t>
      </w:r>
    </w:p>
    <w:p>
      <w:pPr>
        <w:tabs>
          <w:tab w:val="right" w:leader="dot" w:pos="7070"/>
        </w:tabs>
        <w:ind w:left="578" w:right="578"/>
        <w:rPr>
          <w:sz w:val="20"/>
        </w:rPr>
      </w:pPr>
      <w:r>
        <w:rPr>
          <w:sz w:val="20"/>
        </w:rPr>
        <w:t>additional instrument making power</w:t>
      </w:r>
      <w:r>
        <w:rPr>
          <w:sz w:val="20"/>
        </w:rPr>
        <w:tab/>
        <w:t>Sch. 2 cl. 27</w:t>
      </w:r>
    </w:p>
    <w:p>
      <w:pPr>
        <w:tabs>
          <w:tab w:val="right" w:leader="dot" w:pos="7070"/>
        </w:tabs>
        <w:ind w:left="578" w:right="578"/>
        <w:rPr>
          <w:sz w:val="20"/>
        </w:rPr>
      </w:pPr>
      <w:r>
        <w:rPr>
          <w:sz w:val="20"/>
        </w:rPr>
        <w:t>additional ring fencing requirement</w:t>
      </w:r>
      <w:r>
        <w:rPr>
          <w:sz w:val="20"/>
        </w:rPr>
        <w:tab/>
        <w:t>137, 143(1)</w:t>
      </w:r>
    </w:p>
    <w:p>
      <w:pPr>
        <w:tabs>
          <w:tab w:val="right" w:leader="dot" w:pos="7070"/>
        </w:tabs>
        <w:ind w:left="578" w:right="578"/>
        <w:rPr>
          <w:sz w:val="20"/>
        </w:rPr>
      </w:pPr>
      <w:r>
        <w:rPr>
          <w:sz w:val="20"/>
        </w:rPr>
        <w:t>adjacent area in respect of the State</w:t>
      </w:r>
      <w:r>
        <w:rPr>
          <w:sz w:val="20"/>
        </w:rPr>
        <w:tab/>
        <w:t>Act 5(2)</w:t>
      </w:r>
    </w:p>
    <w:p>
      <w:pPr>
        <w:tabs>
          <w:tab w:val="right" w:leader="dot" w:pos="7070"/>
        </w:tabs>
        <w:ind w:left="578" w:right="578"/>
        <w:rPr>
          <w:sz w:val="20"/>
        </w:rPr>
      </w:pPr>
      <w:r>
        <w:rPr>
          <w:sz w:val="20"/>
        </w:rPr>
        <w:t>adjacent area of another participating jurisdiction</w:t>
      </w:r>
      <w:r>
        <w:rPr>
          <w:sz w:val="20"/>
        </w:rPr>
        <w:tab/>
        <w:t>Act 9(1)</w:t>
      </w:r>
    </w:p>
    <w:p>
      <w:pPr>
        <w:tabs>
          <w:tab w:val="right" w:leader="dot" w:pos="7070"/>
        </w:tabs>
        <w:ind w:left="578" w:right="578"/>
        <w:rPr>
          <w:sz w:val="20"/>
        </w:rPr>
      </w:pPr>
      <w:r>
        <w:rPr>
          <w:sz w:val="20"/>
        </w:rPr>
        <w:t>adjacent area of this jurisdiction</w:t>
      </w:r>
      <w:r>
        <w:rPr>
          <w:sz w:val="20"/>
        </w:rPr>
        <w:tab/>
        <w:t>Act 9(1)</w:t>
      </w:r>
    </w:p>
    <w:p>
      <w:pPr>
        <w:tabs>
          <w:tab w:val="right" w:leader="dot" w:pos="7070"/>
        </w:tabs>
        <w:ind w:left="578" w:right="578"/>
        <w:rPr>
          <w:sz w:val="20"/>
        </w:rPr>
      </w:pPr>
      <w:r>
        <w:rPr>
          <w:sz w:val="20"/>
        </w:rPr>
        <w:t>AEMC</w:t>
      </w:r>
      <w:r>
        <w:rPr>
          <w:sz w:val="20"/>
        </w:rPr>
        <w:tab/>
        <w:t>2</w:t>
      </w:r>
    </w:p>
    <w:p>
      <w:pPr>
        <w:tabs>
          <w:tab w:val="right" w:leader="dot" w:pos="7070"/>
        </w:tabs>
        <w:ind w:left="578" w:right="578"/>
        <w:rPr>
          <w:sz w:val="20"/>
        </w:rPr>
      </w:pPr>
      <w:r>
        <w:rPr>
          <w:sz w:val="20"/>
        </w:rPr>
        <w:t>AEMC chief executive</w:t>
      </w:r>
      <w:r>
        <w:rPr>
          <w:sz w:val="20"/>
        </w:rPr>
        <w:tab/>
        <w:t>Sch. 2 cl. 33</w:t>
      </w:r>
    </w:p>
    <w:p>
      <w:pPr>
        <w:tabs>
          <w:tab w:val="right" w:leader="dot" w:pos="7070"/>
        </w:tabs>
        <w:ind w:left="578" w:right="578"/>
        <w:rPr>
          <w:sz w:val="20"/>
        </w:rPr>
      </w:pPr>
      <w:r>
        <w:rPr>
          <w:sz w:val="20"/>
        </w:rPr>
        <w:t>AEMC Commissioner</w:t>
      </w:r>
      <w:r>
        <w:rPr>
          <w:sz w:val="20"/>
        </w:rPr>
        <w:tab/>
        <w:t>Sch. 2 cl. 33</w:t>
      </w:r>
    </w:p>
    <w:p>
      <w:pPr>
        <w:tabs>
          <w:tab w:val="right" w:leader="dot" w:pos="7070"/>
        </w:tabs>
        <w:ind w:left="578" w:right="578"/>
        <w:rPr>
          <w:sz w:val="20"/>
        </w:rPr>
      </w:pPr>
      <w:r>
        <w:rPr>
          <w:sz w:val="20"/>
        </w:rPr>
        <w:t>AEMC initiated Rule</w:t>
      </w:r>
      <w:r>
        <w:rPr>
          <w:sz w:val="20"/>
        </w:rPr>
        <w:tab/>
        <w:t>290</w:t>
      </w:r>
    </w:p>
    <w:p>
      <w:pPr>
        <w:tabs>
          <w:tab w:val="right" w:leader="dot" w:pos="7070"/>
        </w:tabs>
        <w:ind w:left="578" w:right="578"/>
        <w:rPr>
          <w:sz w:val="20"/>
        </w:rPr>
      </w:pPr>
      <w:r>
        <w:rPr>
          <w:sz w:val="20"/>
        </w:rPr>
        <w:t>AEMC official</w:t>
      </w:r>
      <w:r>
        <w:rPr>
          <w:sz w:val="20"/>
        </w:rPr>
        <w:tab/>
        <w:t>86(3)</w:t>
      </w:r>
    </w:p>
    <w:p>
      <w:pPr>
        <w:tabs>
          <w:tab w:val="right" w:leader="dot" w:pos="7070"/>
        </w:tabs>
        <w:ind w:left="578" w:right="578"/>
        <w:rPr>
          <w:sz w:val="20"/>
        </w:rPr>
      </w:pPr>
      <w:r>
        <w:rPr>
          <w:sz w:val="20"/>
        </w:rPr>
        <w:t>AEMC Rule review</w:t>
      </w:r>
      <w:r>
        <w:rPr>
          <w:sz w:val="20"/>
        </w:rPr>
        <w:tab/>
        <w:t>290</w:t>
      </w:r>
    </w:p>
    <w:p>
      <w:pPr>
        <w:tabs>
          <w:tab w:val="right" w:leader="dot" w:pos="7070"/>
        </w:tabs>
        <w:ind w:left="578" w:right="578"/>
        <w:rPr>
          <w:sz w:val="20"/>
        </w:rPr>
      </w:pPr>
      <w:r>
        <w:rPr>
          <w:sz w:val="20"/>
        </w:rPr>
        <w:t>AER</w:t>
      </w:r>
      <w:r>
        <w:rPr>
          <w:sz w:val="20"/>
        </w:rPr>
        <w:tab/>
        <w:t>2</w:t>
      </w:r>
    </w:p>
    <w:p>
      <w:pPr>
        <w:tabs>
          <w:tab w:val="right" w:leader="dot" w:pos="7070"/>
        </w:tabs>
        <w:ind w:left="578" w:right="578"/>
        <w:rPr>
          <w:sz w:val="20"/>
        </w:rPr>
      </w:pPr>
      <w:r>
        <w:rPr>
          <w:sz w:val="20"/>
        </w:rPr>
        <w:t>AER breach investigation</w:t>
      </w:r>
      <w:r>
        <w:rPr>
          <w:sz w:val="20"/>
        </w:rPr>
        <w:tab/>
        <w:t>Sch. 3 cl. 45</w:t>
      </w:r>
    </w:p>
    <w:p>
      <w:pPr>
        <w:tabs>
          <w:tab w:val="right" w:leader="dot" w:pos="7070"/>
        </w:tabs>
        <w:ind w:left="578" w:right="578"/>
        <w:rPr>
          <w:sz w:val="20"/>
        </w:rPr>
      </w:pPr>
      <w:r>
        <w:rPr>
          <w:sz w:val="20"/>
        </w:rPr>
        <w:t>AER economic regulatory decision</w:t>
      </w:r>
      <w:r>
        <w:rPr>
          <w:sz w:val="20"/>
        </w:rPr>
        <w:tab/>
        <w:t>2</w:t>
      </w:r>
    </w:p>
    <w:p>
      <w:pPr>
        <w:tabs>
          <w:tab w:val="right" w:leader="dot" w:pos="7070"/>
        </w:tabs>
        <w:ind w:left="578" w:right="578"/>
        <w:rPr>
          <w:sz w:val="20"/>
        </w:rPr>
      </w:pPr>
      <w:r>
        <w:rPr>
          <w:sz w:val="20"/>
        </w:rPr>
        <w:t>AER economic regulatory function or power</w:t>
      </w:r>
      <w:r>
        <w:rPr>
          <w:sz w:val="20"/>
        </w:rPr>
        <w:tab/>
        <w:t>2</w:t>
      </w:r>
    </w:p>
    <w:p>
      <w:pPr>
        <w:tabs>
          <w:tab w:val="right" w:leader="dot" w:pos="7070"/>
        </w:tabs>
        <w:ind w:left="578" w:right="578"/>
        <w:rPr>
          <w:sz w:val="20"/>
        </w:rPr>
      </w:pPr>
      <w:r>
        <w:rPr>
          <w:sz w:val="20"/>
        </w:rPr>
        <w:t>AER information disclosure decision</w:t>
      </w:r>
      <w:r>
        <w:rPr>
          <w:sz w:val="20"/>
        </w:rPr>
        <w:tab/>
        <w:t>244</w:t>
      </w:r>
    </w:p>
    <w:p>
      <w:pPr>
        <w:tabs>
          <w:tab w:val="right" w:leader="dot" w:pos="7070"/>
        </w:tabs>
        <w:ind w:left="578" w:right="578"/>
        <w:rPr>
          <w:sz w:val="20"/>
        </w:rPr>
      </w:pPr>
      <w:r>
        <w:rPr>
          <w:sz w:val="20"/>
        </w:rPr>
        <w:t>AER member</w:t>
      </w:r>
      <w:r>
        <w:rPr>
          <w:sz w:val="20"/>
        </w:rPr>
        <w:tab/>
        <w:t>Sch. 2 cl. 33</w:t>
      </w:r>
    </w:p>
    <w:p>
      <w:pPr>
        <w:tabs>
          <w:tab w:val="right" w:leader="dot" w:pos="7070"/>
        </w:tabs>
        <w:ind w:left="578" w:right="578"/>
        <w:rPr>
          <w:sz w:val="20"/>
        </w:rPr>
      </w:pPr>
      <w:r>
        <w:rPr>
          <w:sz w:val="20"/>
        </w:rPr>
        <w:t>AER ring fencing determination</w:t>
      </w:r>
      <w:r>
        <w:rPr>
          <w:sz w:val="20"/>
        </w:rPr>
        <w:tab/>
        <w:t>2</w:t>
      </w:r>
    </w:p>
    <w:p>
      <w:pPr>
        <w:tabs>
          <w:tab w:val="right" w:leader="dot" w:pos="7070"/>
        </w:tabs>
        <w:ind w:left="578" w:right="578"/>
        <w:rPr>
          <w:sz w:val="20"/>
        </w:rPr>
      </w:pPr>
      <w:r>
        <w:rPr>
          <w:sz w:val="20"/>
        </w:rPr>
        <w:t>affected access arrangement decision</w:t>
      </w:r>
      <w:r>
        <w:rPr>
          <w:sz w:val="20"/>
        </w:rPr>
        <w:tab/>
        <w:t>Sch. 2 cl. 53A</w:t>
      </w:r>
    </w:p>
    <w:p>
      <w:pPr>
        <w:tabs>
          <w:tab w:val="right" w:leader="dot" w:pos="7070"/>
        </w:tabs>
        <w:ind w:left="578" w:right="578"/>
        <w:rPr>
          <w:sz w:val="20"/>
        </w:rPr>
      </w:pPr>
      <w:r>
        <w:rPr>
          <w:sz w:val="20"/>
        </w:rPr>
        <w:t>affected or interested person or body</w:t>
      </w:r>
      <w:r>
        <w:rPr>
          <w:sz w:val="20"/>
        </w:rPr>
        <w:tab/>
        <w:t>244, 250</w:t>
      </w:r>
    </w:p>
    <w:p>
      <w:pPr>
        <w:tabs>
          <w:tab w:val="right" w:leader="dot" w:pos="7070"/>
        </w:tabs>
        <w:ind w:left="578" w:right="578"/>
        <w:rPr>
          <w:sz w:val="20"/>
        </w:rPr>
      </w:pPr>
      <w:r>
        <w:rPr>
          <w:sz w:val="20"/>
        </w:rPr>
        <w:t>affidavit</w:t>
      </w:r>
      <w:r>
        <w:rPr>
          <w:sz w:val="20"/>
        </w:rPr>
        <w:tab/>
        <w:t>Sch. 2 cl. 10</w:t>
      </w:r>
    </w:p>
    <w:p>
      <w:pPr>
        <w:tabs>
          <w:tab w:val="right" w:leader="dot" w:pos="7070"/>
        </w:tabs>
        <w:ind w:left="578" w:right="578"/>
        <w:rPr>
          <w:sz w:val="20"/>
        </w:rPr>
      </w:pPr>
      <w:r>
        <w:rPr>
          <w:sz w:val="20"/>
        </w:rPr>
        <w:t>amend</w:t>
      </w:r>
      <w:r>
        <w:rPr>
          <w:sz w:val="20"/>
        </w:rPr>
        <w:tab/>
        <w:t>Sch. 2 cl. 10</w:t>
      </w:r>
    </w:p>
    <w:p>
      <w:pPr>
        <w:tabs>
          <w:tab w:val="right" w:leader="dot" w:pos="7070"/>
        </w:tabs>
        <w:ind w:left="578" w:right="578"/>
        <w:rPr>
          <w:sz w:val="20"/>
        </w:rPr>
      </w:pPr>
      <w:r>
        <w:rPr>
          <w:sz w:val="20"/>
        </w:rPr>
        <w:t>amended Law</w:t>
      </w:r>
      <w:r>
        <w:rPr>
          <w:sz w:val="20"/>
        </w:rPr>
        <w:tab/>
        <w:t>Sch. 3 cl. 98</w:t>
      </w:r>
    </w:p>
    <w:p>
      <w:pPr>
        <w:tabs>
          <w:tab w:val="right" w:leader="dot" w:pos="7070"/>
        </w:tabs>
        <w:ind w:left="578" w:right="578"/>
        <w:rPr>
          <w:sz w:val="20"/>
        </w:rPr>
      </w:pPr>
      <w:r>
        <w:rPr>
          <w:sz w:val="20"/>
        </w:rPr>
        <w:t>applicable access arrangement</w:t>
      </w:r>
      <w:r>
        <w:rPr>
          <w:sz w:val="20"/>
        </w:rPr>
        <w:tab/>
        <w:t>2</w:t>
      </w:r>
    </w:p>
    <w:p>
      <w:pPr>
        <w:tabs>
          <w:tab w:val="right" w:leader="dot" w:pos="7070"/>
        </w:tabs>
        <w:ind w:left="578" w:right="578"/>
        <w:rPr>
          <w:sz w:val="20"/>
        </w:rPr>
      </w:pPr>
      <w:r>
        <w:rPr>
          <w:sz w:val="20"/>
        </w:rPr>
        <w:t>applicable access arrangement decision</w:t>
      </w:r>
      <w:r>
        <w:rPr>
          <w:sz w:val="20"/>
        </w:rPr>
        <w:tab/>
        <w:t>2</w:t>
      </w:r>
    </w:p>
    <w:p>
      <w:pPr>
        <w:tabs>
          <w:tab w:val="right" w:leader="dot" w:pos="7070"/>
        </w:tabs>
        <w:ind w:left="578" w:right="578"/>
        <w:rPr>
          <w:sz w:val="20"/>
        </w:rPr>
      </w:pPr>
      <w:r>
        <w:rPr>
          <w:sz w:val="20"/>
        </w:rPr>
        <w:t>applicant</w:t>
      </w:r>
      <w:r>
        <w:rPr>
          <w:sz w:val="20"/>
        </w:rPr>
        <w:tab/>
        <w:t>244</w:t>
      </w:r>
    </w:p>
    <w:p>
      <w:pPr>
        <w:tabs>
          <w:tab w:val="right" w:leader="dot" w:pos="7070"/>
        </w:tabs>
        <w:ind w:left="578" w:right="578"/>
        <w:rPr>
          <w:sz w:val="20"/>
        </w:rPr>
      </w:pPr>
      <w:r>
        <w:rPr>
          <w:sz w:val="20"/>
        </w:rPr>
        <w:t>appoint</w:t>
      </w:r>
      <w:r>
        <w:rPr>
          <w:sz w:val="20"/>
        </w:rPr>
        <w:tab/>
        <w:t>Sch. 2 cl. 10</w:t>
      </w:r>
    </w:p>
    <w:p>
      <w:pPr>
        <w:tabs>
          <w:tab w:val="right" w:leader="dot" w:pos="7070"/>
        </w:tabs>
        <w:ind w:left="578" w:right="578"/>
        <w:rPr>
          <w:sz w:val="20"/>
        </w:rPr>
      </w:pPr>
      <w:r>
        <w:rPr>
          <w:sz w:val="20"/>
        </w:rPr>
        <w:t>approved associate contract</w:t>
      </w:r>
      <w:r>
        <w:rPr>
          <w:sz w:val="20"/>
        </w:rPr>
        <w:tab/>
        <w:t>2</w:t>
      </w:r>
    </w:p>
    <w:p>
      <w:pPr>
        <w:tabs>
          <w:tab w:val="right" w:leader="dot" w:pos="7070"/>
        </w:tabs>
        <w:ind w:left="578" w:right="578"/>
        <w:rPr>
          <w:sz w:val="20"/>
        </w:rPr>
      </w:pPr>
      <w:r>
        <w:rPr>
          <w:sz w:val="20"/>
        </w:rPr>
        <w:t>associate</w:t>
      </w:r>
      <w:r>
        <w:rPr>
          <w:sz w:val="20"/>
        </w:rPr>
        <w:tab/>
        <w:t>2</w:t>
      </w:r>
    </w:p>
    <w:p>
      <w:pPr>
        <w:tabs>
          <w:tab w:val="right" w:leader="dot" w:pos="7070"/>
        </w:tabs>
        <w:ind w:left="578" w:right="578"/>
        <w:rPr>
          <w:sz w:val="20"/>
        </w:rPr>
      </w:pPr>
      <w:r>
        <w:rPr>
          <w:sz w:val="20"/>
        </w:rPr>
        <w:t>associate contract</w:t>
      </w:r>
      <w:r>
        <w:rPr>
          <w:sz w:val="20"/>
        </w:rPr>
        <w:tab/>
        <w:t>2</w:t>
      </w:r>
    </w:p>
    <w:p>
      <w:pPr>
        <w:tabs>
          <w:tab w:val="right" w:leader="dot" w:pos="7070"/>
        </w:tabs>
        <w:ind w:left="578" w:right="578"/>
        <w:rPr>
          <w:sz w:val="20"/>
        </w:rPr>
      </w:pPr>
      <w:r>
        <w:rPr>
          <w:sz w:val="20"/>
        </w:rPr>
        <w:t>associate contract decision</w:t>
      </w:r>
      <w:r>
        <w:rPr>
          <w:sz w:val="20"/>
        </w:rPr>
        <w:tab/>
        <w:t>2</w:t>
      </w:r>
    </w:p>
    <w:p>
      <w:pPr>
        <w:tabs>
          <w:tab w:val="right" w:leader="dot" w:pos="7070"/>
        </w:tabs>
        <w:ind w:left="578" w:right="578"/>
        <w:rPr>
          <w:sz w:val="20"/>
        </w:rPr>
      </w:pPr>
      <w:r>
        <w:rPr>
          <w:sz w:val="20"/>
        </w:rPr>
        <w:t>associate pipeline service</w:t>
      </w:r>
      <w:r>
        <w:rPr>
          <w:sz w:val="20"/>
        </w:rPr>
        <w:tab/>
        <w:t>2</w:t>
      </w:r>
    </w:p>
    <w:p>
      <w:pPr>
        <w:tabs>
          <w:tab w:val="right" w:leader="dot" w:pos="7070"/>
        </w:tabs>
        <w:ind w:left="578" w:right="578"/>
        <w:rPr>
          <w:sz w:val="20"/>
        </w:rPr>
      </w:pPr>
      <w:r>
        <w:rPr>
          <w:sz w:val="20"/>
        </w:rPr>
        <w:t>authorised person</w:t>
      </w:r>
      <w:r>
        <w:rPr>
          <w:sz w:val="20"/>
        </w:rPr>
        <w:tab/>
        <w:t>31</w:t>
      </w:r>
    </w:p>
    <w:p>
      <w:pPr>
        <w:tabs>
          <w:tab w:val="right" w:leader="dot" w:pos="7070"/>
        </w:tabs>
        <w:ind w:left="578" w:right="578"/>
        <w:rPr>
          <w:sz w:val="20"/>
        </w:rPr>
      </w:pPr>
      <w:r>
        <w:rPr>
          <w:sz w:val="20"/>
        </w:rPr>
        <w:t>average annual regulated revenue</w:t>
      </w:r>
      <w:r>
        <w:rPr>
          <w:sz w:val="20"/>
        </w:rPr>
        <w:tab/>
        <w:t>244</w:t>
      </w:r>
    </w:p>
    <w:p>
      <w:pPr>
        <w:tabs>
          <w:tab w:val="right" w:leader="dot" w:pos="7070"/>
        </w:tabs>
        <w:ind w:left="578" w:right="578"/>
        <w:rPr>
          <w:sz w:val="20"/>
        </w:rPr>
      </w:pPr>
      <w:r>
        <w:rPr>
          <w:sz w:val="20"/>
        </w:rPr>
        <w:t>basic instrument making power</w:t>
      </w:r>
      <w:r>
        <w:rPr>
          <w:sz w:val="20"/>
        </w:rPr>
        <w:tab/>
        <w:t>Sch. 2 cl. 27</w:t>
      </w:r>
    </w:p>
    <w:p>
      <w:pPr>
        <w:tabs>
          <w:tab w:val="right" w:leader="dot" w:pos="7070"/>
        </w:tabs>
        <w:ind w:left="578" w:right="578"/>
        <w:rPr>
          <w:sz w:val="20"/>
        </w:rPr>
      </w:pPr>
      <w:r>
        <w:rPr>
          <w:sz w:val="20"/>
        </w:rPr>
        <w:t>binding no</w:t>
      </w:r>
      <w:r>
        <w:rPr>
          <w:sz w:val="20"/>
        </w:rPr>
        <w:noBreakHyphen/>
        <w:t>coverage determination</w:t>
      </w:r>
      <w:r>
        <w:rPr>
          <w:sz w:val="20"/>
        </w:rPr>
        <w:tab/>
        <w:t>Sch. 3 cl. 1</w:t>
      </w:r>
    </w:p>
    <w:p>
      <w:pPr>
        <w:tabs>
          <w:tab w:val="right" w:leader="dot" w:pos="7070"/>
        </w:tabs>
        <w:ind w:left="578" w:right="578"/>
        <w:rPr>
          <w:sz w:val="20"/>
        </w:rPr>
      </w:pPr>
      <w:r>
        <w:rPr>
          <w:sz w:val="20"/>
        </w:rPr>
        <w:t>breach</w:t>
      </w:r>
      <w:r>
        <w:rPr>
          <w:sz w:val="20"/>
        </w:rPr>
        <w:tab/>
        <w:t>Sch. 2 cl. 10</w:t>
      </w:r>
    </w:p>
    <w:p>
      <w:pPr>
        <w:tabs>
          <w:tab w:val="right" w:leader="dot" w:pos="7070"/>
        </w:tabs>
        <w:ind w:left="578" w:right="578"/>
        <w:rPr>
          <w:sz w:val="20"/>
        </w:rPr>
      </w:pPr>
      <w:r>
        <w:rPr>
          <w:sz w:val="20"/>
        </w:rPr>
        <w:t>breach provision</w:t>
      </w:r>
      <w:r>
        <w:rPr>
          <w:sz w:val="20"/>
        </w:rPr>
        <w:tab/>
        <w:t>287</w:t>
      </w:r>
    </w:p>
    <w:p>
      <w:pPr>
        <w:tabs>
          <w:tab w:val="right" w:leader="dot" w:pos="7070"/>
        </w:tabs>
        <w:ind w:left="578" w:right="578"/>
        <w:rPr>
          <w:sz w:val="20"/>
        </w:rPr>
      </w:pPr>
      <w:r>
        <w:rPr>
          <w:sz w:val="20"/>
        </w:rPr>
        <w:t>Bulletin Board information</w:t>
      </w:r>
      <w:r>
        <w:rPr>
          <w:sz w:val="20"/>
        </w:rPr>
        <w:tab/>
        <w:t>2</w:t>
      </w:r>
    </w:p>
    <w:p>
      <w:pPr>
        <w:tabs>
          <w:tab w:val="right" w:leader="dot" w:pos="7070"/>
        </w:tabs>
        <w:ind w:left="578" w:right="578"/>
        <w:rPr>
          <w:sz w:val="20"/>
        </w:rPr>
      </w:pPr>
      <w:r>
        <w:rPr>
          <w:sz w:val="20"/>
        </w:rPr>
        <w:t>Bulletin Board operator</w:t>
      </w:r>
      <w:r>
        <w:rPr>
          <w:sz w:val="20"/>
        </w:rPr>
        <w:tab/>
        <w:t>2</w:t>
      </w:r>
    </w:p>
    <w:p>
      <w:pPr>
        <w:tabs>
          <w:tab w:val="right" w:leader="dot" w:pos="7070"/>
        </w:tabs>
        <w:ind w:left="578" w:right="578"/>
        <w:rPr>
          <w:sz w:val="20"/>
        </w:rPr>
      </w:pPr>
      <w:r>
        <w:rPr>
          <w:sz w:val="20"/>
        </w:rPr>
        <w:t>business day</w:t>
      </w:r>
      <w:r>
        <w:rPr>
          <w:sz w:val="20"/>
        </w:rPr>
        <w:tab/>
        <w:t>Sch. 2 cl. 10</w:t>
      </w:r>
    </w:p>
    <w:p>
      <w:pPr>
        <w:tabs>
          <w:tab w:val="right" w:leader="dot" w:pos="7070"/>
        </w:tabs>
        <w:ind w:left="578" w:right="578"/>
        <w:rPr>
          <w:sz w:val="20"/>
        </w:rPr>
      </w:pPr>
      <w:r>
        <w:rPr>
          <w:sz w:val="20"/>
        </w:rPr>
        <w:t>business unit A</w:t>
      </w:r>
      <w:r>
        <w:rPr>
          <w:sz w:val="20"/>
        </w:rPr>
        <w:tab/>
        <w:t>143(2)</w:t>
      </w:r>
    </w:p>
    <w:p>
      <w:pPr>
        <w:tabs>
          <w:tab w:val="right" w:leader="dot" w:pos="7070"/>
        </w:tabs>
        <w:ind w:left="578" w:right="578"/>
        <w:rPr>
          <w:sz w:val="20"/>
        </w:rPr>
      </w:pPr>
      <w:r>
        <w:rPr>
          <w:sz w:val="20"/>
        </w:rPr>
        <w:t>business unit B</w:t>
      </w:r>
      <w:r>
        <w:rPr>
          <w:sz w:val="20"/>
        </w:rPr>
        <w:tab/>
        <w:t>143(2)</w:t>
      </w:r>
    </w:p>
    <w:p>
      <w:pPr>
        <w:tabs>
          <w:tab w:val="right" w:leader="dot" w:pos="7070"/>
        </w:tabs>
        <w:ind w:left="578" w:right="578"/>
        <w:rPr>
          <w:sz w:val="20"/>
        </w:rPr>
      </w:pPr>
      <w:r>
        <w:rPr>
          <w:sz w:val="20"/>
        </w:rPr>
        <w:t>calendar month</w:t>
      </w:r>
      <w:r>
        <w:rPr>
          <w:sz w:val="20"/>
        </w:rPr>
        <w:tab/>
        <w:t>Sch. 2 cl. 10</w:t>
      </w:r>
    </w:p>
    <w:p>
      <w:pPr>
        <w:tabs>
          <w:tab w:val="right" w:leader="dot" w:pos="7070"/>
        </w:tabs>
        <w:ind w:left="578" w:right="578"/>
        <w:rPr>
          <w:sz w:val="20"/>
        </w:rPr>
      </w:pPr>
      <w:r>
        <w:rPr>
          <w:sz w:val="20"/>
        </w:rPr>
        <w:t>calendar year</w:t>
      </w:r>
      <w:r>
        <w:rPr>
          <w:sz w:val="20"/>
        </w:rPr>
        <w:tab/>
        <w:t>Sch. 2 cl. 10</w:t>
      </w:r>
    </w:p>
    <w:p>
      <w:pPr>
        <w:tabs>
          <w:tab w:val="right" w:leader="dot" w:pos="7070"/>
        </w:tabs>
        <w:ind w:left="578" w:right="578"/>
        <w:rPr>
          <w:sz w:val="20"/>
        </w:rPr>
      </w:pPr>
      <w:r>
        <w:rPr>
          <w:sz w:val="20"/>
        </w:rPr>
        <w:t>charge</w:t>
      </w:r>
      <w:r>
        <w:rPr>
          <w:sz w:val="20"/>
        </w:rPr>
        <w:tab/>
        <w:t>2</w:t>
      </w:r>
    </w:p>
    <w:p>
      <w:pPr>
        <w:tabs>
          <w:tab w:val="right" w:leader="dot" w:pos="7070"/>
        </w:tabs>
        <w:ind w:left="578" w:right="578"/>
        <w:rPr>
          <w:sz w:val="20"/>
        </w:rPr>
      </w:pPr>
      <w:r>
        <w:rPr>
          <w:sz w:val="20"/>
        </w:rPr>
        <w:t>civil monetary liability</w:t>
      </w:r>
      <w:r>
        <w:rPr>
          <w:sz w:val="20"/>
        </w:rPr>
        <w:tab/>
        <w:t>221(6), 226(5)</w:t>
      </w:r>
    </w:p>
    <w:p>
      <w:pPr>
        <w:tabs>
          <w:tab w:val="right" w:leader="dot" w:pos="7070"/>
        </w:tabs>
        <w:ind w:left="578" w:right="578"/>
        <w:rPr>
          <w:sz w:val="20"/>
        </w:rPr>
      </w:pPr>
      <w:r>
        <w:rPr>
          <w:sz w:val="20"/>
        </w:rPr>
        <w:t>civil penalty</w:t>
      </w:r>
      <w:r>
        <w:rPr>
          <w:sz w:val="20"/>
        </w:rPr>
        <w:tab/>
        <w:t>2</w:t>
      </w:r>
    </w:p>
    <w:p>
      <w:pPr>
        <w:tabs>
          <w:tab w:val="right" w:leader="dot" w:pos="7070"/>
        </w:tabs>
        <w:ind w:left="578" w:right="578"/>
        <w:rPr>
          <w:sz w:val="20"/>
        </w:rPr>
      </w:pPr>
      <w:r>
        <w:rPr>
          <w:sz w:val="20"/>
        </w:rPr>
        <w:t>civil penalty provision</w:t>
      </w:r>
      <w:r>
        <w:rPr>
          <w:sz w:val="20"/>
        </w:rPr>
        <w:tab/>
        <w:t>2</w:t>
      </w:r>
    </w:p>
    <w:p>
      <w:pPr>
        <w:tabs>
          <w:tab w:val="right" w:leader="dot" w:pos="7070"/>
        </w:tabs>
        <w:ind w:left="578" w:right="578"/>
        <w:rPr>
          <w:sz w:val="20"/>
        </w:rPr>
      </w:pPr>
      <w:r>
        <w:rPr>
          <w:sz w:val="20"/>
        </w:rPr>
        <w:t>classification decision under the Rules</w:t>
      </w:r>
      <w:r>
        <w:rPr>
          <w:sz w:val="20"/>
        </w:rPr>
        <w:tab/>
        <w:t>2</w:t>
      </w:r>
    </w:p>
    <w:p>
      <w:pPr>
        <w:tabs>
          <w:tab w:val="right" w:leader="dot" w:pos="7070"/>
        </w:tabs>
        <w:ind w:left="578" w:right="578"/>
        <w:rPr>
          <w:sz w:val="20"/>
        </w:rPr>
      </w:pPr>
      <w:r>
        <w:rPr>
          <w:sz w:val="20"/>
        </w:rPr>
        <w:t>coastal waters</w:t>
      </w:r>
      <w:r>
        <w:rPr>
          <w:sz w:val="20"/>
        </w:rPr>
        <w:tab/>
        <w:t>Act 5(2)</w:t>
      </w:r>
    </w:p>
    <w:p>
      <w:pPr>
        <w:tabs>
          <w:tab w:val="right" w:leader="dot" w:pos="7070"/>
        </w:tabs>
        <w:ind w:left="578" w:right="578"/>
        <w:rPr>
          <w:sz w:val="20"/>
        </w:rPr>
      </w:pPr>
      <w:r>
        <w:rPr>
          <w:sz w:val="20"/>
        </w:rPr>
        <w:t>commencement</w:t>
      </w:r>
      <w:r>
        <w:rPr>
          <w:sz w:val="20"/>
        </w:rPr>
        <w:tab/>
        <w:t>Sch. 2 cl. 10, Sch. 3 cl. 95</w:t>
      </w:r>
    </w:p>
    <w:p>
      <w:pPr>
        <w:tabs>
          <w:tab w:val="right" w:leader="dot" w:pos="7070"/>
        </w:tabs>
        <w:ind w:left="578" w:right="578"/>
        <w:rPr>
          <w:sz w:val="20"/>
        </w:rPr>
      </w:pPr>
      <w:r>
        <w:rPr>
          <w:sz w:val="20"/>
        </w:rPr>
        <w:t>commencement day</w:t>
      </w:r>
      <w:r>
        <w:rPr>
          <w:sz w:val="20"/>
        </w:rPr>
        <w:tab/>
        <w:t>Sch. 3 cl. 1</w:t>
      </w:r>
    </w:p>
    <w:p>
      <w:pPr>
        <w:tabs>
          <w:tab w:val="right" w:leader="dot" w:pos="7070"/>
        </w:tabs>
        <w:ind w:left="578" w:right="578"/>
        <w:rPr>
          <w:sz w:val="20"/>
        </w:rPr>
      </w:pPr>
      <w:r>
        <w:rPr>
          <w:sz w:val="20"/>
        </w:rPr>
        <w:t>commission</w:t>
      </w:r>
      <w:r>
        <w:rPr>
          <w:sz w:val="20"/>
        </w:rPr>
        <w:tab/>
        <w:t>2</w:t>
      </w:r>
    </w:p>
    <w:p>
      <w:pPr>
        <w:tabs>
          <w:tab w:val="right" w:leader="dot" w:pos="7070"/>
        </w:tabs>
        <w:ind w:left="578" w:right="578"/>
        <w:rPr>
          <w:sz w:val="20"/>
        </w:rPr>
      </w:pPr>
      <w:r>
        <w:rPr>
          <w:sz w:val="20"/>
        </w:rPr>
        <w:t>Commonwealth bodies</w:t>
      </w:r>
      <w:r>
        <w:rPr>
          <w:sz w:val="20"/>
        </w:rPr>
        <w:tab/>
        <w:t>Act 12(2)</w:t>
      </w:r>
    </w:p>
    <w:p>
      <w:pPr>
        <w:tabs>
          <w:tab w:val="right" w:leader="dot" w:pos="7070"/>
        </w:tabs>
        <w:ind w:left="578" w:right="578"/>
        <w:rPr>
          <w:sz w:val="20"/>
        </w:rPr>
      </w:pPr>
      <w:r>
        <w:rPr>
          <w:sz w:val="20"/>
        </w:rPr>
        <w:t>Commonwealth Minister</w:t>
      </w:r>
      <w:r>
        <w:rPr>
          <w:sz w:val="20"/>
        </w:rPr>
        <w:tab/>
        <w:t>2</w:t>
      </w:r>
    </w:p>
    <w:p>
      <w:pPr>
        <w:tabs>
          <w:tab w:val="right" w:leader="dot" w:pos="7070"/>
        </w:tabs>
        <w:ind w:left="578" w:right="578"/>
        <w:rPr>
          <w:sz w:val="20"/>
        </w:rPr>
      </w:pPr>
      <w:r>
        <w:rPr>
          <w:sz w:val="20"/>
        </w:rPr>
        <w:t>compliance date</w:t>
      </w:r>
      <w:r>
        <w:rPr>
          <w:sz w:val="20"/>
        </w:rPr>
        <w:tab/>
        <w:t>137</w:t>
      </w:r>
    </w:p>
    <w:p>
      <w:pPr>
        <w:tabs>
          <w:tab w:val="right" w:leader="dot" w:pos="7070"/>
        </w:tabs>
        <w:ind w:left="578" w:right="578"/>
        <w:rPr>
          <w:sz w:val="20"/>
        </w:rPr>
      </w:pPr>
      <w:r>
        <w:rPr>
          <w:sz w:val="20"/>
        </w:rPr>
        <w:t>complying service provider</w:t>
      </w:r>
      <w:r>
        <w:rPr>
          <w:sz w:val="20"/>
        </w:rPr>
        <w:tab/>
        <w:t>10(2)</w:t>
      </w:r>
    </w:p>
    <w:p>
      <w:pPr>
        <w:tabs>
          <w:tab w:val="right" w:leader="dot" w:pos="7070"/>
        </w:tabs>
        <w:ind w:left="578" w:right="578"/>
        <w:rPr>
          <w:sz w:val="20"/>
        </w:rPr>
      </w:pPr>
      <w:r>
        <w:rPr>
          <w:sz w:val="20"/>
        </w:rPr>
        <w:t>conduct provision</w:t>
      </w:r>
      <w:r>
        <w:rPr>
          <w:sz w:val="20"/>
        </w:rPr>
        <w:tab/>
        <w:t>2</w:t>
      </w:r>
    </w:p>
    <w:p>
      <w:pPr>
        <w:tabs>
          <w:tab w:val="right" w:leader="dot" w:pos="7070"/>
        </w:tabs>
        <w:ind w:left="578" w:right="578"/>
        <w:rPr>
          <w:sz w:val="20"/>
        </w:rPr>
      </w:pPr>
      <w:r>
        <w:rPr>
          <w:sz w:val="20"/>
        </w:rPr>
        <w:t>confer</w:t>
      </w:r>
      <w:r>
        <w:rPr>
          <w:sz w:val="20"/>
        </w:rPr>
        <w:tab/>
        <w:t>Sch. 2 cl. 10</w:t>
      </w:r>
    </w:p>
    <w:p>
      <w:pPr>
        <w:tabs>
          <w:tab w:val="right" w:leader="dot" w:pos="7070"/>
        </w:tabs>
        <w:ind w:left="578" w:right="578"/>
        <w:rPr>
          <w:sz w:val="20"/>
        </w:rPr>
      </w:pPr>
      <w:r>
        <w:rPr>
          <w:sz w:val="20"/>
        </w:rPr>
        <w:t>consolidated Rule request</w:t>
      </w:r>
      <w:r>
        <w:rPr>
          <w:sz w:val="20"/>
        </w:rPr>
        <w:tab/>
        <w:t>300</w:t>
      </w:r>
    </w:p>
    <w:p>
      <w:pPr>
        <w:tabs>
          <w:tab w:val="right" w:leader="dot" w:pos="7070"/>
        </w:tabs>
        <w:ind w:left="578" w:right="578"/>
        <w:rPr>
          <w:sz w:val="20"/>
        </w:rPr>
      </w:pPr>
      <w:r>
        <w:rPr>
          <w:sz w:val="20"/>
        </w:rPr>
        <w:t>constituent components</w:t>
      </w:r>
      <w:r>
        <w:rPr>
          <w:sz w:val="20"/>
        </w:rPr>
        <w:tab/>
        <w:t>2</w:t>
      </w:r>
    </w:p>
    <w:p>
      <w:pPr>
        <w:tabs>
          <w:tab w:val="right" w:leader="dot" w:pos="7070"/>
        </w:tabs>
        <w:ind w:left="578" w:right="578"/>
        <w:rPr>
          <w:sz w:val="20"/>
        </w:rPr>
      </w:pPr>
      <w:r>
        <w:rPr>
          <w:sz w:val="20"/>
        </w:rPr>
        <w:t>consumer reference group</w:t>
      </w:r>
      <w:r>
        <w:rPr>
          <w:sz w:val="20"/>
        </w:rPr>
        <w:tab/>
        <w:t>30A, 30H</w:t>
      </w:r>
    </w:p>
    <w:p>
      <w:pPr>
        <w:tabs>
          <w:tab w:val="right" w:leader="dot" w:pos="7070"/>
        </w:tabs>
        <w:ind w:left="578" w:right="578"/>
        <w:rPr>
          <w:sz w:val="20"/>
        </w:rPr>
      </w:pPr>
      <w:r>
        <w:rPr>
          <w:sz w:val="20"/>
        </w:rPr>
        <w:t>contravene</w:t>
      </w:r>
      <w:r>
        <w:rPr>
          <w:sz w:val="20"/>
        </w:rPr>
        <w:tab/>
        <w:t>Sch. 2 cl. 10</w:t>
      </w:r>
    </w:p>
    <w:p>
      <w:pPr>
        <w:tabs>
          <w:tab w:val="right" w:leader="dot" w:pos="7070"/>
        </w:tabs>
        <w:ind w:left="578" w:right="578"/>
        <w:rPr>
          <w:sz w:val="20"/>
        </w:rPr>
      </w:pPr>
      <w:r>
        <w:rPr>
          <w:sz w:val="20"/>
        </w:rPr>
        <w:t>contributing service</w:t>
      </w:r>
      <w:r>
        <w:rPr>
          <w:sz w:val="20"/>
        </w:rPr>
        <w:tab/>
        <w:t>43</w:t>
      </w:r>
    </w:p>
    <w:p>
      <w:pPr>
        <w:tabs>
          <w:tab w:val="right" w:leader="dot" w:pos="7070"/>
        </w:tabs>
        <w:ind w:left="578" w:right="578"/>
        <w:rPr>
          <w:sz w:val="20"/>
        </w:rPr>
      </w:pPr>
      <w:r>
        <w:rPr>
          <w:sz w:val="20"/>
        </w:rPr>
        <w:t>controlling pipeline activity</w:t>
      </w:r>
      <w:r>
        <w:rPr>
          <w:sz w:val="20"/>
        </w:rPr>
        <w:tab/>
        <w:t>10(5)</w:t>
      </w:r>
    </w:p>
    <w:p>
      <w:pPr>
        <w:tabs>
          <w:tab w:val="right" w:leader="dot" w:pos="7070"/>
        </w:tabs>
        <w:ind w:left="578" w:right="578"/>
        <w:rPr>
          <w:sz w:val="20"/>
        </w:rPr>
      </w:pPr>
      <w:r>
        <w:rPr>
          <w:sz w:val="20"/>
        </w:rPr>
        <w:t>Councillor</w:t>
      </w:r>
      <w:r>
        <w:rPr>
          <w:sz w:val="20"/>
        </w:rPr>
        <w:tab/>
        <w:t>90(9)</w:t>
      </w:r>
    </w:p>
    <w:p>
      <w:pPr>
        <w:tabs>
          <w:tab w:val="right" w:leader="dot" w:pos="7070"/>
        </w:tabs>
        <w:ind w:left="578" w:right="578"/>
        <w:rPr>
          <w:sz w:val="20"/>
        </w:rPr>
      </w:pPr>
      <w:r>
        <w:rPr>
          <w:sz w:val="20"/>
        </w:rPr>
        <w:t>Court</w:t>
      </w:r>
      <w:r>
        <w:rPr>
          <w:sz w:val="20"/>
        </w:rPr>
        <w:tab/>
        <w:t>Act 9(1)</w:t>
      </w:r>
    </w:p>
    <w:p>
      <w:pPr>
        <w:tabs>
          <w:tab w:val="right" w:leader="dot" w:pos="7070"/>
        </w:tabs>
        <w:ind w:left="578" w:right="578"/>
        <w:rPr>
          <w:sz w:val="20"/>
        </w:rPr>
      </w:pPr>
      <w:r>
        <w:rPr>
          <w:sz w:val="20"/>
        </w:rPr>
        <w:t>coverage determination</w:t>
      </w:r>
      <w:r>
        <w:rPr>
          <w:sz w:val="20"/>
        </w:rPr>
        <w:tab/>
        <w:t>2, 92(1)</w:t>
      </w:r>
    </w:p>
    <w:p>
      <w:pPr>
        <w:tabs>
          <w:tab w:val="right" w:leader="dot" w:pos="7070"/>
        </w:tabs>
        <w:ind w:left="578" w:right="578"/>
        <w:rPr>
          <w:sz w:val="20"/>
        </w:rPr>
      </w:pPr>
      <w:r>
        <w:rPr>
          <w:sz w:val="20"/>
        </w:rPr>
        <w:t>coverage recommendation</w:t>
      </w:r>
      <w:r>
        <w:rPr>
          <w:sz w:val="20"/>
        </w:rPr>
        <w:tab/>
        <w:t>2</w:t>
      </w:r>
    </w:p>
    <w:p>
      <w:pPr>
        <w:tabs>
          <w:tab w:val="right" w:leader="dot" w:pos="7070"/>
        </w:tabs>
        <w:ind w:left="578" w:right="578"/>
        <w:rPr>
          <w:sz w:val="20"/>
        </w:rPr>
      </w:pPr>
      <w:r>
        <w:rPr>
          <w:sz w:val="20"/>
        </w:rPr>
        <w:t>coverage related light regulation decision</w:t>
      </w:r>
      <w:r>
        <w:rPr>
          <w:sz w:val="20"/>
        </w:rPr>
        <w:tab/>
        <w:t>244</w:t>
      </w:r>
    </w:p>
    <w:p>
      <w:pPr>
        <w:tabs>
          <w:tab w:val="right" w:leader="dot" w:pos="7070"/>
        </w:tabs>
        <w:ind w:left="578" w:right="578"/>
        <w:rPr>
          <w:sz w:val="20"/>
        </w:rPr>
      </w:pPr>
      <w:r>
        <w:rPr>
          <w:sz w:val="20"/>
        </w:rPr>
        <w:t>coverage revocation determination</w:t>
      </w:r>
      <w:r>
        <w:rPr>
          <w:sz w:val="20"/>
        </w:rPr>
        <w:tab/>
        <w:t>2, 102(1)</w:t>
      </w:r>
    </w:p>
    <w:p>
      <w:pPr>
        <w:tabs>
          <w:tab w:val="right" w:leader="dot" w:pos="7070"/>
        </w:tabs>
        <w:ind w:left="578" w:right="578"/>
        <w:rPr>
          <w:sz w:val="20"/>
        </w:rPr>
      </w:pPr>
      <w:r>
        <w:rPr>
          <w:sz w:val="20"/>
        </w:rPr>
        <w:t>coverage revocation recommendation</w:t>
      </w:r>
      <w:r>
        <w:rPr>
          <w:sz w:val="20"/>
        </w:rPr>
        <w:tab/>
        <w:t>2</w:t>
      </w:r>
    </w:p>
    <w:p>
      <w:pPr>
        <w:tabs>
          <w:tab w:val="right" w:leader="dot" w:pos="7070"/>
        </w:tabs>
        <w:ind w:left="578" w:right="578"/>
        <w:rPr>
          <w:sz w:val="20"/>
        </w:rPr>
      </w:pPr>
      <w:r>
        <w:rPr>
          <w:sz w:val="20"/>
        </w:rPr>
        <w:t>covered pipeline</w:t>
      </w:r>
      <w:r>
        <w:rPr>
          <w:sz w:val="20"/>
        </w:rPr>
        <w:tab/>
        <w:t>2</w:t>
      </w:r>
    </w:p>
    <w:p>
      <w:pPr>
        <w:tabs>
          <w:tab w:val="right" w:leader="dot" w:pos="7070"/>
        </w:tabs>
        <w:ind w:left="578" w:right="578"/>
        <w:rPr>
          <w:sz w:val="20"/>
        </w:rPr>
      </w:pPr>
      <w:r>
        <w:rPr>
          <w:sz w:val="20"/>
        </w:rPr>
        <w:t>covered pipeline service provider</w:t>
      </w:r>
      <w:r>
        <w:rPr>
          <w:sz w:val="20"/>
        </w:rPr>
        <w:tab/>
        <w:t>2</w:t>
      </w:r>
    </w:p>
    <w:p>
      <w:pPr>
        <w:tabs>
          <w:tab w:val="right" w:leader="dot" w:pos="7070"/>
        </w:tabs>
        <w:ind w:left="578" w:right="578"/>
        <w:rPr>
          <w:sz w:val="20"/>
        </w:rPr>
      </w:pPr>
      <w:r>
        <w:rPr>
          <w:sz w:val="20"/>
        </w:rPr>
        <w:t>cross boundary distribution pipeline</w:t>
      </w:r>
      <w:r>
        <w:rPr>
          <w:sz w:val="20"/>
        </w:rPr>
        <w:tab/>
        <w:t>2</w:t>
      </w:r>
    </w:p>
    <w:p>
      <w:pPr>
        <w:tabs>
          <w:tab w:val="right" w:leader="dot" w:pos="7070"/>
        </w:tabs>
        <w:ind w:left="578" w:right="578"/>
        <w:rPr>
          <w:sz w:val="20"/>
        </w:rPr>
      </w:pPr>
      <w:r>
        <w:rPr>
          <w:sz w:val="20"/>
        </w:rPr>
        <w:t>cross boundary pipeline</w:t>
      </w:r>
      <w:r>
        <w:rPr>
          <w:sz w:val="20"/>
        </w:rPr>
        <w:tab/>
        <w:t>Act 16(4)</w:t>
      </w:r>
    </w:p>
    <w:p>
      <w:pPr>
        <w:tabs>
          <w:tab w:val="right" w:leader="dot" w:pos="7070"/>
        </w:tabs>
        <w:ind w:left="578" w:right="578"/>
        <w:rPr>
          <w:sz w:val="20"/>
        </w:rPr>
      </w:pPr>
      <w:r>
        <w:rPr>
          <w:sz w:val="20"/>
        </w:rPr>
        <w:t>cross boundary transmission pipeline</w:t>
      </w:r>
      <w:r>
        <w:rPr>
          <w:sz w:val="20"/>
        </w:rPr>
        <w:tab/>
        <w:t>2</w:t>
      </w:r>
    </w:p>
    <w:p>
      <w:pPr>
        <w:tabs>
          <w:tab w:val="right" w:leader="dot" w:pos="7070"/>
        </w:tabs>
        <w:ind w:left="578" w:right="578"/>
        <w:rPr>
          <w:sz w:val="20"/>
        </w:rPr>
      </w:pPr>
      <w:r>
        <w:rPr>
          <w:sz w:val="20"/>
        </w:rPr>
        <w:t>current access arrangement</w:t>
      </w:r>
      <w:r>
        <w:rPr>
          <w:sz w:val="20"/>
        </w:rPr>
        <w:tab/>
        <w:t>Sch. 3 cl. 1</w:t>
      </w:r>
    </w:p>
    <w:p>
      <w:pPr>
        <w:tabs>
          <w:tab w:val="right" w:leader="dot" w:pos="7070"/>
        </w:tabs>
        <w:ind w:left="578" w:right="578"/>
        <w:rPr>
          <w:sz w:val="20"/>
        </w:rPr>
      </w:pPr>
      <w:r>
        <w:rPr>
          <w:sz w:val="20"/>
        </w:rPr>
        <w:t>current access arrangement modification Rules</w:t>
      </w:r>
      <w:r>
        <w:rPr>
          <w:sz w:val="20"/>
        </w:rPr>
        <w:tab/>
        <w:t>Sch. 3 cl. 30</w:t>
      </w:r>
    </w:p>
    <w:p>
      <w:pPr>
        <w:tabs>
          <w:tab w:val="right" w:leader="dot" w:pos="7070"/>
        </w:tabs>
        <w:ind w:left="578" w:right="578"/>
        <w:rPr>
          <w:sz w:val="20"/>
        </w:rPr>
      </w:pPr>
      <w:r>
        <w:rPr>
          <w:sz w:val="20"/>
        </w:rPr>
        <w:t>deal with</w:t>
      </w:r>
      <w:r>
        <w:rPr>
          <w:sz w:val="20"/>
        </w:rPr>
        <w:tab/>
        <w:t>Sch. 2 cl. 53A</w:t>
      </w:r>
    </w:p>
    <w:p>
      <w:pPr>
        <w:tabs>
          <w:tab w:val="right" w:leader="dot" w:pos="7070"/>
        </w:tabs>
        <w:ind w:left="578" w:right="578"/>
        <w:rPr>
          <w:sz w:val="20"/>
        </w:rPr>
      </w:pPr>
      <w:r>
        <w:rPr>
          <w:sz w:val="20"/>
        </w:rPr>
        <w:t>decision maker</w:t>
      </w:r>
      <w:r>
        <w:rPr>
          <w:sz w:val="20"/>
        </w:rPr>
        <w:tab/>
        <w:t>Sch. 2 cl. 31</w:t>
      </w:r>
    </w:p>
    <w:p>
      <w:pPr>
        <w:tabs>
          <w:tab w:val="right" w:leader="dot" w:pos="7070"/>
        </w:tabs>
        <w:ind w:left="578" w:right="578"/>
        <w:rPr>
          <w:sz w:val="20"/>
        </w:rPr>
      </w:pPr>
      <w:r>
        <w:rPr>
          <w:sz w:val="20"/>
        </w:rPr>
        <w:t>decision related matter</w:t>
      </w:r>
      <w:r>
        <w:rPr>
          <w:sz w:val="20"/>
        </w:rPr>
        <w:tab/>
        <w:t>68C</w:t>
      </w:r>
    </w:p>
    <w:p>
      <w:pPr>
        <w:tabs>
          <w:tab w:val="right" w:leader="dot" w:pos="7070"/>
        </w:tabs>
        <w:ind w:left="578" w:right="578"/>
        <w:rPr>
          <w:sz w:val="20"/>
        </w:rPr>
      </w:pPr>
      <w:r>
        <w:rPr>
          <w:sz w:val="20"/>
        </w:rPr>
        <w:t>definition</w:t>
      </w:r>
      <w:r>
        <w:rPr>
          <w:sz w:val="20"/>
        </w:rPr>
        <w:tab/>
        <w:t>Sch. 2 cl. 10</w:t>
      </w:r>
    </w:p>
    <w:p>
      <w:pPr>
        <w:tabs>
          <w:tab w:val="right" w:leader="dot" w:pos="7070"/>
        </w:tabs>
        <w:ind w:left="578" w:right="578"/>
        <w:rPr>
          <w:sz w:val="20"/>
        </w:rPr>
      </w:pPr>
      <w:r>
        <w:rPr>
          <w:sz w:val="20"/>
        </w:rPr>
        <w:t>designated Minister</w:t>
      </w:r>
      <w:r>
        <w:rPr>
          <w:sz w:val="20"/>
        </w:rPr>
        <w:tab/>
        <w:t>Act 9(1)</w:t>
      </w:r>
    </w:p>
    <w:p>
      <w:pPr>
        <w:tabs>
          <w:tab w:val="right" w:leader="dot" w:pos="7070"/>
        </w:tabs>
        <w:ind w:left="578" w:right="578"/>
        <w:rPr>
          <w:sz w:val="20"/>
        </w:rPr>
      </w:pPr>
      <w:r>
        <w:rPr>
          <w:sz w:val="20"/>
        </w:rPr>
        <w:t>designated pipeline</w:t>
      </w:r>
      <w:r>
        <w:rPr>
          <w:sz w:val="20"/>
        </w:rPr>
        <w:tab/>
        <w:t>2</w:t>
      </w:r>
    </w:p>
    <w:p>
      <w:pPr>
        <w:tabs>
          <w:tab w:val="right" w:leader="dot" w:pos="7070"/>
        </w:tabs>
        <w:ind w:left="578" w:right="578"/>
        <w:rPr>
          <w:sz w:val="20"/>
        </w:rPr>
      </w:pPr>
      <w:r>
        <w:rPr>
          <w:sz w:val="20"/>
        </w:rPr>
        <w:t>designated reviewable regulatory decision</w:t>
      </w:r>
      <w:r>
        <w:rPr>
          <w:sz w:val="20"/>
        </w:rPr>
        <w:tab/>
        <w:t>2</w:t>
      </w:r>
    </w:p>
    <w:p>
      <w:pPr>
        <w:tabs>
          <w:tab w:val="right" w:leader="dot" w:pos="7070"/>
        </w:tabs>
        <w:ind w:left="578" w:right="578"/>
        <w:rPr>
          <w:sz w:val="20"/>
        </w:rPr>
      </w:pPr>
      <w:r>
        <w:rPr>
          <w:sz w:val="20"/>
        </w:rPr>
        <w:t>developable capacity</w:t>
      </w:r>
      <w:r>
        <w:rPr>
          <w:sz w:val="20"/>
        </w:rPr>
        <w:tab/>
        <w:t>2</w:t>
      </w:r>
    </w:p>
    <w:p>
      <w:pPr>
        <w:tabs>
          <w:tab w:val="right" w:leader="dot" w:pos="7070"/>
        </w:tabs>
        <w:ind w:left="578" w:right="578"/>
        <w:rPr>
          <w:sz w:val="20"/>
        </w:rPr>
      </w:pPr>
      <w:r>
        <w:rPr>
          <w:sz w:val="20"/>
        </w:rPr>
        <w:t>dispute hearing</w:t>
      </w:r>
      <w:r>
        <w:rPr>
          <w:sz w:val="20"/>
        </w:rPr>
        <w:tab/>
        <w:t>178</w:t>
      </w:r>
    </w:p>
    <w:p>
      <w:pPr>
        <w:tabs>
          <w:tab w:val="right" w:leader="dot" w:pos="7070"/>
        </w:tabs>
        <w:ind w:left="578" w:right="578"/>
        <w:rPr>
          <w:sz w:val="20"/>
        </w:rPr>
      </w:pPr>
      <w:r>
        <w:rPr>
          <w:sz w:val="20"/>
        </w:rPr>
        <w:t>dispute resolution body</w:t>
      </w:r>
      <w:r>
        <w:rPr>
          <w:sz w:val="20"/>
        </w:rPr>
        <w:tab/>
        <w:t>Act 9(1), Note 2</w:t>
      </w:r>
    </w:p>
    <w:p>
      <w:pPr>
        <w:tabs>
          <w:tab w:val="right" w:leader="dot" w:pos="7070"/>
        </w:tabs>
        <w:ind w:left="578" w:right="578"/>
        <w:rPr>
          <w:sz w:val="20"/>
        </w:rPr>
      </w:pPr>
      <w:r>
        <w:rPr>
          <w:sz w:val="20"/>
        </w:rPr>
        <w:t>distribution pipeline</w:t>
      </w:r>
      <w:r>
        <w:rPr>
          <w:sz w:val="20"/>
        </w:rPr>
        <w:tab/>
        <w:t>2</w:t>
      </w:r>
    </w:p>
    <w:p>
      <w:pPr>
        <w:tabs>
          <w:tab w:val="right" w:leader="dot" w:pos="7070"/>
        </w:tabs>
        <w:ind w:left="578" w:right="578"/>
        <w:rPr>
          <w:sz w:val="20"/>
        </w:rPr>
      </w:pPr>
      <w:r>
        <w:rPr>
          <w:sz w:val="20"/>
        </w:rPr>
        <w:t>document</w:t>
      </w:r>
      <w:r>
        <w:rPr>
          <w:sz w:val="20"/>
        </w:rPr>
        <w:tab/>
        <w:t>Sch. 2 cl. 10</w:t>
      </w:r>
    </w:p>
    <w:p>
      <w:pPr>
        <w:tabs>
          <w:tab w:val="right" w:leader="dot" w:pos="7070"/>
        </w:tabs>
        <w:ind w:left="578" w:right="578"/>
        <w:rPr>
          <w:sz w:val="20"/>
        </w:rPr>
      </w:pPr>
      <w:r>
        <w:rPr>
          <w:sz w:val="20"/>
        </w:rPr>
        <w:t>draft Rule determination</w:t>
      </w:r>
      <w:r>
        <w:rPr>
          <w:sz w:val="20"/>
        </w:rPr>
        <w:tab/>
        <w:t>2</w:t>
      </w:r>
    </w:p>
    <w:p>
      <w:pPr>
        <w:tabs>
          <w:tab w:val="right" w:leader="dot" w:pos="7070"/>
        </w:tabs>
        <w:ind w:left="578" w:right="578"/>
        <w:rPr>
          <w:sz w:val="20"/>
        </w:rPr>
      </w:pPr>
      <w:r>
        <w:rPr>
          <w:sz w:val="20"/>
        </w:rPr>
        <w:t>eligible expert</w:t>
      </w:r>
      <w:r>
        <w:rPr>
          <w:sz w:val="20"/>
        </w:rPr>
        <w:tab/>
        <w:t>30H</w:t>
      </w:r>
    </w:p>
    <w:p>
      <w:pPr>
        <w:tabs>
          <w:tab w:val="right" w:leader="dot" w:pos="7070"/>
        </w:tabs>
        <w:ind w:left="578" w:right="578"/>
        <w:rPr>
          <w:sz w:val="20"/>
        </w:rPr>
      </w:pPr>
      <w:r>
        <w:rPr>
          <w:sz w:val="20"/>
        </w:rPr>
        <w:t>empowering provision</w:t>
      </w:r>
      <w:r>
        <w:rPr>
          <w:sz w:val="20"/>
        </w:rPr>
        <w:tab/>
        <w:t>Sch. 2 cl. 27</w:t>
      </w:r>
    </w:p>
    <w:p>
      <w:pPr>
        <w:tabs>
          <w:tab w:val="right" w:leader="dot" w:pos="7070"/>
        </w:tabs>
        <w:ind w:left="578" w:right="578"/>
        <w:rPr>
          <w:sz w:val="20"/>
        </w:rPr>
      </w:pPr>
      <w:r>
        <w:rPr>
          <w:sz w:val="20"/>
        </w:rPr>
        <w:t>end user</w:t>
      </w:r>
      <w:r>
        <w:rPr>
          <w:sz w:val="20"/>
        </w:rPr>
        <w:tab/>
        <w:t>2, 244</w:t>
      </w:r>
    </w:p>
    <w:p>
      <w:pPr>
        <w:tabs>
          <w:tab w:val="right" w:leader="dot" w:pos="7070"/>
        </w:tabs>
        <w:ind w:left="578" w:right="578"/>
        <w:rPr>
          <w:sz w:val="20"/>
        </w:rPr>
      </w:pPr>
      <w:r>
        <w:rPr>
          <w:sz w:val="20"/>
        </w:rPr>
        <w:t>ERA</w:t>
      </w:r>
      <w:r>
        <w:rPr>
          <w:sz w:val="20"/>
        </w:rPr>
        <w:tab/>
        <w:t>2</w:t>
      </w:r>
    </w:p>
    <w:p>
      <w:pPr>
        <w:tabs>
          <w:tab w:val="right" w:leader="dot" w:pos="7070"/>
        </w:tabs>
        <w:ind w:left="578" w:right="578"/>
        <w:rPr>
          <w:sz w:val="20"/>
        </w:rPr>
      </w:pPr>
      <w:r>
        <w:rPr>
          <w:sz w:val="20"/>
        </w:rPr>
        <w:t>ERA pipeline</w:t>
      </w:r>
      <w:r>
        <w:rPr>
          <w:sz w:val="20"/>
        </w:rPr>
        <w:tab/>
        <w:t>Act 9(1)</w:t>
      </w:r>
    </w:p>
    <w:p>
      <w:pPr>
        <w:tabs>
          <w:tab w:val="right" w:leader="dot" w:pos="7070"/>
        </w:tabs>
        <w:ind w:left="578" w:right="578"/>
        <w:rPr>
          <w:sz w:val="20"/>
        </w:rPr>
      </w:pPr>
      <w:r>
        <w:rPr>
          <w:sz w:val="20"/>
        </w:rPr>
        <w:t>estate</w:t>
      </w:r>
      <w:r>
        <w:rPr>
          <w:sz w:val="20"/>
        </w:rPr>
        <w:tab/>
        <w:t>Sch. 2 cl. 10</w:t>
      </w:r>
    </w:p>
    <w:p>
      <w:pPr>
        <w:tabs>
          <w:tab w:val="right" w:leader="dot" w:pos="7070"/>
        </w:tabs>
        <w:ind w:left="578" w:right="578"/>
        <w:rPr>
          <w:sz w:val="20"/>
        </w:rPr>
      </w:pPr>
      <w:r>
        <w:rPr>
          <w:sz w:val="20"/>
        </w:rPr>
        <w:t>excluded infrastructure</w:t>
      </w:r>
      <w:r>
        <w:rPr>
          <w:sz w:val="20"/>
        </w:rPr>
        <w:tab/>
        <w:t>149</w:t>
      </w:r>
    </w:p>
    <w:p>
      <w:pPr>
        <w:tabs>
          <w:tab w:val="right" w:leader="dot" w:pos="7070"/>
        </w:tabs>
        <w:ind w:left="578" w:right="578"/>
        <w:rPr>
          <w:sz w:val="20"/>
        </w:rPr>
      </w:pPr>
      <w:r>
        <w:rPr>
          <w:sz w:val="20"/>
        </w:rPr>
        <w:t>exempt contract</w:t>
      </w:r>
      <w:r>
        <w:rPr>
          <w:sz w:val="20"/>
        </w:rPr>
        <w:tab/>
        <w:t>Act 19(3)</w:t>
      </w:r>
    </w:p>
    <w:p>
      <w:pPr>
        <w:tabs>
          <w:tab w:val="right" w:leader="dot" w:pos="7070"/>
        </w:tabs>
        <w:ind w:left="578" w:right="578"/>
        <w:rPr>
          <w:sz w:val="20"/>
        </w:rPr>
      </w:pPr>
      <w:r>
        <w:rPr>
          <w:sz w:val="20"/>
        </w:rPr>
        <w:t>exempt matter</w:t>
      </w:r>
      <w:r>
        <w:rPr>
          <w:sz w:val="20"/>
        </w:rPr>
        <w:tab/>
        <w:t>Act 15(2)</w:t>
      </w:r>
    </w:p>
    <w:p>
      <w:pPr>
        <w:tabs>
          <w:tab w:val="right" w:leader="dot" w:pos="7070"/>
        </w:tabs>
        <w:ind w:left="578" w:right="578"/>
        <w:rPr>
          <w:sz w:val="20"/>
        </w:rPr>
      </w:pPr>
      <w:r>
        <w:rPr>
          <w:sz w:val="20"/>
        </w:rPr>
        <w:t>expire</w:t>
      </w:r>
      <w:r>
        <w:rPr>
          <w:sz w:val="20"/>
        </w:rPr>
        <w:tab/>
        <w:t>Sch. 2 cl. 10</w:t>
      </w:r>
    </w:p>
    <w:p>
      <w:pPr>
        <w:tabs>
          <w:tab w:val="right" w:leader="dot" w:pos="7070"/>
        </w:tabs>
        <w:ind w:left="578" w:right="578"/>
        <w:rPr>
          <w:sz w:val="20"/>
        </w:rPr>
      </w:pPr>
      <w:r>
        <w:rPr>
          <w:sz w:val="20"/>
        </w:rPr>
        <w:t>explanatory information</w:t>
      </w:r>
      <w:r>
        <w:rPr>
          <w:sz w:val="20"/>
        </w:rPr>
        <w:tab/>
        <w:t>30A</w:t>
      </w:r>
    </w:p>
    <w:p>
      <w:pPr>
        <w:tabs>
          <w:tab w:val="right" w:leader="dot" w:pos="7070"/>
        </w:tabs>
        <w:ind w:left="578" w:right="578"/>
        <w:rPr>
          <w:sz w:val="20"/>
        </w:rPr>
      </w:pPr>
      <w:r>
        <w:rPr>
          <w:sz w:val="20"/>
        </w:rPr>
        <w:t>extension and expansion requirements</w:t>
      </w:r>
      <w:r>
        <w:rPr>
          <w:sz w:val="20"/>
        </w:rPr>
        <w:tab/>
        <w:t>2</w:t>
      </w:r>
    </w:p>
    <w:p>
      <w:pPr>
        <w:tabs>
          <w:tab w:val="right" w:leader="dot" w:pos="7070"/>
        </w:tabs>
        <w:ind w:left="578" w:right="578"/>
        <w:rPr>
          <w:sz w:val="20"/>
        </w:rPr>
      </w:pPr>
      <w:r>
        <w:rPr>
          <w:sz w:val="20"/>
        </w:rPr>
        <w:t>fail</w:t>
      </w:r>
      <w:r>
        <w:rPr>
          <w:sz w:val="20"/>
        </w:rPr>
        <w:tab/>
        <w:t>Sch. 2 cl. 10</w:t>
      </w:r>
    </w:p>
    <w:p>
      <w:pPr>
        <w:tabs>
          <w:tab w:val="right" w:leader="dot" w:pos="7070"/>
        </w:tabs>
        <w:ind w:left="578" w:right="578"/>
        <w:rPr>
          <w:sz w:val="20"/>
        </w:rPr>
      </w:pPr>
      <w:r>
        <w:rPr>
          <w:sz w:val="20"/>
        </w:rPr>
        <w:t>final Rule determination</w:t>
      </w:r>
      <w:r>
        <w:rPr>
          <w:sz w:val="20"/>
        </w:rPr>
        <w:tab/>
        <w:t>2</w:t>
      </w:r>
    </w:p>
    <w:p>
      <w:pPr>
        <w:tabs>
          <w:tab w:val="right" w:leader="dot" w:pos="7070"/>
        </w:tabs>
        <w:ind w:left="578" w:right="578"/>
        <w:rPr>
          <w:sz w:val="20"/>
        </w:rPr>
      </w:pPr>
      <w:r>
        <w:rPr>
          <w:sz w:val="20"/>
        </w:rPr>
        <w:t>financial year</w:t>
      </w:r>
      <w:r>
        <w:rPr>
          <w:sz w:val="20"/>
        </w:rPr>
        <w:tab/>
        <w:t>Sch. 2 cl. 10</w:t>
      </w:r>
    </w:p>
    <w:p>
      <w:pPr>
        <w:tabs>
          <w:tab w:val="right" w:leader="dot" w:pos="7070"/>
        </w:tabs>
        <w:ind w:left="578" w:right="578"/>
        <w:rPr>
          <w:sz w:val="20"/>
        </w:rPr>
      </w:pPr>
      <w:r>
        <w:rPr>
          <w:sz w:val="20"/>
        </w:rPr>
        <w:t>foreign company</w:t>
      </w:r>
      <w:r>
        <w:rPr>
          <w:sz w:val="20"/>
        </w:rPr>
        <w:tab/>
        <w:t>2</w:t>
      </w:r>
    </w:p>
    <w:p>
      <w:pPr>
        <w:tabs>
          <w:tab w:val="right" w:leader="dot" w:pos="7070"/>
        </w:tabs>
        <w:ind w:left="578" w:right="578"/>
        <w:rPr>
          <w:sz w:val="20"/>
        </w:rPr>
      </w:pPr>
      <w:r>
        <w:rPr>
          <w:sz w:val="20"/>
        </w:rPr>
        <w:t>foreign source</w:t>
      </w:r>
      <w:r>
        <w:rPr>
          <w:sz w:val="20"/>
        </w:rPr>
        <w:tab/>
        <w:t>2</w:t>
      </w:r>
    </w:p>
    <w:p>
      <w:pPr>
        <w:tabs>
          <w:tab w:val="right" w:leader="dot" w:pos="7070"/>
        </w:tabs>
        <w:ind w:left="578" w:right="578"/>
        <w:rPr>
          <w:sz w:val="20"/>
        </w:rPr>
      </w:pPr>
      <w:r>
        <w:rPr>
          <w:sz w:val="20"/>
        </w:rPr>
        <w:t>form of regulation factors</w:t>
      </w:r>
      <w:r>
        <w:rPr>
          <w:sz w:val="20"/>
        </w:rPr>
        <w:tab/>
        <w:t>2</w:t>
      </w:r>
    </w:p>
    <w:p>
      <w:pPr>
        <w:tabs>
          <w:tab w:val="right" w:leader="dot" w:pos="7070"/>
        </w:tabs>
        <w:ind w:left="578" w:right="578"/>
        <w:rPr>
          <w:sz w:val="20"/>
        </w:rPr>
      </w:pPr>
      <w:r>
        <w:rPr>
          <w:sz w:val="20"/>
        </w:rPr>
        <w:t>full access arrangement</w:t>
      </w:r>
      <w:r>
        <w:rPr>
          <w:sz w:val="20"/>
        </w:rPr>
        <w:tab/>
        <w:t>2</w:t>
      </w:r>
    </w:p>
    <w:p>
      <w:pPr>
        <w:tabs>
          <w:tab w:val="right" w:leader="dot" w:pos="7070"/>
        </w:tabs>
        <w:ind w:left="578" w:right="578"/>
        <w:rPr>
          <w:sz w:val="20"/>
        </w:rPr>
      </w:pPr>
      <w:r>
        <w:rPr>
          <w:sz w:val="20"/>
        </w:rPr>
        <w:t>full access arrangement decision</w:t>
      </w:r>
      <w:r>
        <w:rPr>
          <w:sz w:val="20"/>
        </w:rPr>
        <w:tab/>
        <w:t>2</w:t>
      </w:r>
    </w:p>
    <w:p>
      <w:pPr>
        <w:tabs>
          <w:tab w:val="right" w:leader="dot" w:pos="7070"/>
        </w:tabs>
        <w:ind w:left="578" w:right="578"/>
        <w:rPr>
          <w:sz w:val="20"/>
        </w:rPr>
      </w:pPr>
      <w:r>
        <w:rPr>
          <w:sz w:val="20"/>
        </w:rPr>
        <w:t>function</w:t>
      </w:r>
      <w:r>
        <w:rPr>
          <w:sz w:val="20"/>
        </w:rPr>
        <w:tab/>
        <w:t>Sch. 2 cl. 10</w:t>
      </w:r>
    </w:p>
    <w:p>
      <w:pPr>
        <w:tabs>
          <w:tab w:val="right" w:leader="dot" w:pos="7070"/>
        </w:tabs>
        <w:ind w:left="578" w:right="578"/>
        <w:rPr>
          <w:sz w:val="20"/>
        </w:rPr>
      </w:pPr>
      <w:r>
        <w:rPr>
          <w:sz w:val="20"/>
        </w:rPr>
        <w:t>further disclosure notice</w:t>
      </w:r>
      <w:r>
        <w:rPr>
          <w:sz w:val="20"/>
        </w:rPr>
        <w:tab/>
        <w:t>329(6)</w:t>
      </w:r>
    </w:p>
    <w:p>
      <w:pPr>
        <w:tabs>
          <w:tab w:val="right" w:leader="dot" w:pos="7070"/>
        </w:tabs>
        <w:ind w:left="578" w:right="578"/>
        <w:rPr>
          <w:sz w:val="20"/>
        </w:rPr>
      </w:pPr>
      <w:r>
        <w:rPr>
          <w:sz w:val="20"/>
        </w:rPr>
        <w:t>Gas Code</w:t>
      </w:r>
      <w:r>
        <w:rPr>
          <w:sz w:val="20"/>
        </w:rPr>
        <w:tab/>
        <w:t>2</w:t>
      </w:r>
    </w:p>
    <w:p>
      <w:pPr>
        <w:tabs>
          <w:tab w:val="right" w:leader="dot" w:pos="7070"/>
        </w:tabs>
        <w:ind w:left="578" w:right="578"/>
        <w:rPr>
          <w:sz w:val="20"/>
        </w:rPr>
      </w:pPr>
      <w:r>
        <w:rPr>
          <w:sz w:val="20"/>
        </w:rPr>
        <w:t>gas market operator</w:t>
      </w:r>
      <w:r>
        <w:rPr>
          <w:sz w:val="20"/>
        </w:rPr>
        <w:tab/>
        <w:t>2</w:t>
      </w:r>
    </w:p>
    <w:p>
      <w:pPr>
        <w:tabs>
          <w:tab w:val="right" w:leader="dot" w:pos="7070"/>
        </w:tabs>
        <w:ind w:left="578" w:right="578"/>
        <w:rPr>
          <w:sz w:val="20"/>
        </w:rPr>
      </w:pPr>
      <w:r>
        <w:rPr>
          <w:sz w:val="20"/>
        </w:rPr>
        <w:t>gas market regulatory body</w:t>
      </w:r>
      <w:r>
        <w:rPr>
          <w:sz w:val="20"/>
        </w:rPr>
        <w:tab/>
        <w:t>290</w:t>
      </w:r>
    </w:p>
    <w:p>
      <w:pPr>
        <w:tabs>
          <w:tab w:val="right" w:leader="dot" w:pos="7070"/>
        </w:tabs>
        <w:ind w:left="578" w:right="578"/>
        <w:rPr>
          <w:sz w:val="20"/>
        </w:rPr>
      </w:pPr>
      <w:r>
        <w:rPr>
          <w:sz w:val="20"/>
        </w:rPr>
        <w:t>gas other than natural gas</w:t>
      </w:r>
      <w:r>
        <w:rPr>
          <w:sz w:val="20"/>
        </w:rPr>
        <w:tab/>
        <w:t>Act 6A(3)</w:t>
      </w:r>
    </w:p>
    <w:p>
      <w:pPr>
        <w:tabs>
          <w:tab w:val="right" w:leader="dot" w:pos="7070"/>
        </w:tabs>
        <w:ind w:left="578" w:right="578"/>
        <w:rPr>
          <w:sz w:val="20"/>
        </w:rPr>
      </w:pPr>
      <w:r>
        <w:rPr>
          <w:sz w:val="20"/>
        </w:rPr>
        <w:t>Gas Pipelines Access Law</w:t>
      </w:r>
      <w:r>
        <w:rPr>
          <w:sz w:val="20"/>
        </w:rPr>
        <w:tab/>
        <w:t>Act 11(4)</w:t>
      </w:r>
    </w:p>
    <w:p>
      <w:pPr>
        <w:tabs>
          <w:tab w:val="right" w:leader="dot" w:pos="7070"/>
        </w:tabs>
        <w:ind w:left="578" w:right="578"/>
        <w:rPr>
          <w:sz w:val="20"/>
        </w:rPr>
      </w:pPr>
      <w:r>
        <w:rPr>
          <w:sz w:val="20"/>
        </w:rPr>
        <w:t>Gazette</w:t>
      </w:r>
      <w:r>
        <w:rPr>
          <w:sz w:val="20"/>
        </w:rPr>
        <w:tab/>
        <w:t>Sch. 2 cl. 10</w:t>
      </w:r>
    </w:p>
    <w:p>
      <w:pPr>
        <w:tabs>
          <w:tab w:val="right" w:leader="dot" w:pos="7070"/>
        </w:tabs>
        <w:ind w:left="578" w:right="578"/>
        <w:rPr>
          <w:sz w:val="20"/>
        </w:rPr>
      </w:pPr>
      <w:r>
        <w:rPr>
          <w:sz w:val="20"/>
        </w:rPr>
        <w:t>general regulatory information order</w:t>
      </w:r>
      <w:r>
        <w:rPr>
          <w:sz w:val="20"/>
        </w:rPr>
        <w:tab/>
        <w:t>2</w:t>
      </w:r>
    </w:p>
    <w:p>
      <w:pPr>
        <w:tabs>
          <w:tab w:val="right" w:leader="dot" w:pos="7070"/>
        </w:tabs>
        <w:ind w:left="578" w:right="578"/>
        <w:rPr>
          <w:sz w:val="20"/>
        </w:rPr>
      </w:pPr>
      <w:r>
        <w:rPr>
          <w:sz w:val="20"/>
        </w:rPr>
        <w:t>GMCo</w:t>
      </w:r>
      <w:r>
        <w:rPr>
          <w:sz w:val="20"/>
        </w:rPr>
        <w:tab/>
        <w:t>290</w:t>
      </w:r>
    </w:p>
    <w:p>
      <w:pPr>
        <w:tabs>
          <w:tab w:val="right" w:leader="dot" w:pos="7070"/>
        </w:tabs>
        <w:ind w:left="578" w:right="578"/>
        <w:rPr>
          <w:sz w:val="20"/>
        </w:rPr>
      </w:pPr>
      <w:r>
        <w:rPr>
          <w:sz w:val="20"/>
        </w:rPr>
        <w:t>greenfields pipeline incentive</w:t>
      </w:r>
      <w:r>
        <w:rPr>
          <w:sz w:val="20"/>
        </w:rPr>
        <w:tab/>
        <w:t>2</w:t>
      </w:r>
    </w:p>
    <w:p>
      <w:pPr>
        <w:tabs>
          <w:tab w:val="right" w:leader="dot" w:pos="7070"/>
        </w:tabs>
        <w:ind w:left="578" w:right="578"/>
        <w:rPr>
          <w:sz w:val="20"/>
        </w:rPr>
      </w:pPr>
      <w:r>
        <w:rPr>
          <w:sz w:val="20"/>
        </w:rPr>
        <w:t>greenfields pipeline project</w:t>
      </w:r>
      <w:r>
        <w:rPr>
          <w:sz w:val="20"/>
        </w:rPr>
        <w:tab/>
        <w:t>149</w:t>
      </w:r>
    </w:p>
    <w:p>
      <w:pPr>
        <w:tabs>
          <w:tab w:val="right" w:leader="dot" w:pos="7070"/>
        </w:tabs>
        <w:ind w:left="578" w:right="578"/>
        <w:rPr>
          <w:sz w:val="20"/>
        </w:rPr>
      </w:pPr>
      <w:r>
        <w:rPr>
          <w:sz w:val="20"/>
        </w:rPr>
        <w:t>haulage</w:t>
      </w:r>
      <w:r>
        <w:rPr>
          <w:sz w:val="20"/>
        </w:rPr>
        <w:tab/>
        <w:t>2</w:t>
      </w:r>
    </w:p>
    <w:p>
      <w:pPr>
        <w:tabs>
          <w:tab w:val="right" w:leader="dot" w:pos="7070"/>
        </w:tabs>
        <w:ind w:left="578" w:right="578"/>
        <w:rPr>
          <w:sz w:val="20"/>
        </w:rPr>
      </w:pPr>
      <w:r>
        <w:rPr>
          <w:sz w:val="20"/>
        </w:rPr>
        <w:t>information</w:t>
      </w:r>
      <w:r>
        <w:rPr>
          <w:sz w:val="20"/>
        </w:rPr>
        <w:tab/>
        <w:t>30T</w:t>
      </w:r>
    </w:p>
    <w:p>
      <w:pPr>
        <w:tabs>
          <w:tab w:val="right" w:leader="dot" w:pos="7070"/>
        </w:tabs>
        <w:ind w:left="578" w:right="578"/>
        <w:rPr>
          <w:sz w:val="20"/>
        </w:rPr>
      </w:pPr>
      <w:r>
        <w:rPr>
          <w:sz w:val="20"/>
        </w:rPr>
        <w:t>initial classification decision</w:t>
      </w:r>
      <w:r>
        <w:rPr>
          <w:sz w:val="20"/>
        </w:rPr>
        <w:tab/>
        <w:t>2, 98(1), 155(1)</w:t>
      </w:r>
    </w:p>
    <w:p>
      <w:pPr>
        <w:tabs>
          <w:tab w:val="right" w:leader="dot" w:pos="7070"/>
        </w:tabs>
        <w:ind w:left="578" w:right="578"/>
        <w:rPr>
          <w:sz w:val="20"/>
        </w:rPr>
      </w:pPr>
      <w:r>
        <w:rPr>
          <w:sz w:val="20"/>
        </w:rPr>
        <w:t>initial disclosure notice</w:t>
      </w:r>
      <w:r>
        <w:rPr>
          <w:sz w:val="20"/>
        </w:rPr>
        <w:tab/>
        <w:t>329(2), (3)</w:t>
      </w:r>
    </w:p>
    <w:p>
      <w:pPr>
        <w:tabs>
          <w:tab w:val="right" w:leader="dot" w:pos="7070"/>
        </w:tabs>
        <w:ind w:left="578" w:right="578"/>
        <w:rPr>
          <w:sz w:val="20"/>
        </w:rPr>
      </w:pPr>
      <w:r>
        <w:rPr>
          <w:sz w:val="20"/>
        </w:rPr>
        <w:t>initial National Gas Rules</w:t>
      </w:r>
      <w:r>
        <w:rPr>
          <w:sz w:val="20"/>
        </w:rPr>
        <w:tab/>
        <w:t>2</w:t>
      </w:r>
    </w:p>
    <w:p>
      <w:pPr>
        <w:tabs>
          <w:tab w:val="right" w:leader="dot" w:pos="7070"/>
        </w:tabs>
        <w:ind w:left="578" w:right="578"/>
        <w:rPr>
          <w:sz w:val="20"/>
        </w:rPr>
      </w:pPr>
      <w:r>
        <w:rPr>
          <w:sz w:val="20"/>
        </w:rPr>
        <w:t>instrument</w:t>
      </w:r>
      <w:r>
        <w:rPr>
          <w:sz w:val="20"/>
        </w:rPr>
        <w:tab/>
        <w:t>Sch. 2 cl. 10</w:t>
      </w:r>
    </w:p>
    <w:p>
      <w:pPr>
        <w:tabs>
          <w:tab w:val="right" w:leader="dot" w:pos="7070"/>
        </w:tabs>
        <w:ind w:left="578" w:right="578"/>
        <w:rPr>
          <w:sz w:val="20"/>
        </w:rPr>
      </w:pPr>
      <w:r>
        <w:rPr>
          <w:sz w:val="20"/>
        </w:rPr>
        <w:t>interest</w:t>
      </w:r>
      <w:r>
        <w:rPr>
          <w:sz w:val="20"/>
        </w:rPr>
        <w:tab/>
        <w:t>Sch. 2 cl. 10</w:t>
      </w:r>
    </w:p>
    <w:p>
      <w:pPr>
        <w:tabs>
          <w:tab w:val="right" w:leader="dot" w:pos="7070"/>
        </w:tabs>
        <w:ind w:left="578" w:right="578"/>
        <w:rPr>
          <w:sz w:val="20"/>
        </w:rPr>
      </w:pPr>
      <w:r>
        <w:rPr>
          <w:sz w:val="20"/>
        </w:rPr>
        <w:t>international pipeline</w:t>
      </w:r>
      <w:r>
        <w:rPr>
          <w:sz w:val="20"/>
        </w:rPr>
        <w:tab/>
        <w:t>2</w:t>
      </w:r>
    </w:p>
    <w:p>
      <w:pPr>
        <w:tabs>
          <w:tab w:val="right" w:leader="dot" w:pos="7070"/>
        </w:tabs>
        <w:ind w:left="578" w:right="578"/>
        <w:rPr>
          <w:sz w:val="20"/>
        </w:rPr>
      </w:pPr>
      <w:r>
        <w:rPr>
          <w:sz w:val="20"/>
        </w:rPr>
        <w:t>intervener</w:t>
      </w:r>
      <w:r>
        <w:rPr>
          <w:sz w:val="20"/>
        </w:rPr>
        <w:tab/>
        <w:t>244</w:t>
      </w:r>
    </w:p>
    <w:p>
      <w:pPr>
        <w:tabs>
          <w:tab w:val="right" w:leader="dot" w:pos="7070"/>
        </w:tabs>
        <w:ind w:left="578" w:right="578"/>
        <w:rPr>
          <w:sz w:val="20"/>
        </w:rPr>
      </w:pPr>
      <w:r>
        <w:rPr>
          <w:sz w:val="20"/>
        </w:rPr>
        <w:t>jurisdictional determination criteria</w:t>
      </w:r>
      <w:r>
        <w:rPr>
          <w:sz w:val="20"/>
        </w:rPr>
        <w:tab/>
        <w:t>2</w:t>
      </w:r>
    </w:p>
    <w:p>
      <w:pPr>
        <w:tabs>
          <w:tab w:val="right" w:leader="dot" w:pos="7070"/>
        </w:tabs>
        <w:ind w:left="578" w:right="578"/>
        <w:rPr>
          <w:sz w:val="20"/>
        </w:rPr>
      </w:pPr>
      <w:r>
        <w:rPr>
          <w:sz w:val="20"/>
        </w:rPr>
        <w:t>jurisdictional gas legislation</w:t>
      </w:r>
      <w:r>
        <w:rPr>
          <w:sz w:val="20"/>
        </w:rPr>
        <w:tab/>
        <w:t>2</w:t>
      </w:r>
    </w:p>
    <w:p>
      <w:pPr>
        <w:tabs>
          <w:tab w:val="right" w:leader="dot" w:pos="7070"/>
        </w:tabs>
        <w:ind w:left="578" w:right="578"/>
        <w:rPr>
          <w:sz w:val="20"/>
        </w:rPr>
      </w:pPr>
      <w:r>
        <w:rPr>
          <w:sz w:val="20"/>
        </w:rPr>
        <w:t>Law extrinsic material</w:t>
      </w:r>
      <w:r>
        <w:rPr>
          <w:sz w:val="20"/>
        </w:rPr>
        <w:tab/>
        <w:t>Sch. 2 cl. 8</w:t>
      </w:r>
    </w:p>
    <w:p>
      <w:pPr>
        <w:tabs>
          <w:tab w:val="right" w:leader="dot" w:pos="7070"/>
        </w:tabs>
        <w:ind w:left="578" w:right="578"/>
        <w:rPr>
          <w:sz w:val="20"/>
        </w:rPr>
      </w:pPr>
      <w:r>
        <w:rPr>
          <w:sz w:val="20"/>
        </w:rPr>
        <w:t>Legislature of this jurisdiction</w:t>
      </w:r>
      <w:r>
        <w:rPr>
          <w:sz w:val="20"/>
        </w:rPr>
        <w:tab/>
        <w:t>Act 9(1)</w:t>
      </w:r>
    </w:p>
    <w:p>
      <w:pPr>
        <w:tabs>
          <w:tab w:val="right" w:leader="dot" w:pos="7070"/>
        </w:tabs>
        <w:ind w:left="578" w:right="578"/>
        <w:rPr>
          <w:sz w:val="20"/>
        </w:rPr>
      </w:pPr>
      <w:r>
        <w:rPr>
          <w:sz w:val="20"/>
        </w:rPr>
        <w:t>light regulation determination</w:t>
      </w:r>
      <w:r>
        <w:rPr>
          <w:sz w:val="20"/>
        </w:rPr>
        <w:tab/>
        <w:t>2, 110(1), 112(1)</w:t>
      </w:r>
    </w:p>
    <w:p>
      <w:pPr>
        <w:tabs>
          <w:tab w:val="right" w:leader="dot" w:pos="7070"/>
        </w:tabs>
        <w:ind w:left="578" w:right="578"/>
        <w:rPr>
          <w:sz w:val="20"/>
        </w:rPr>
      </w:pPr>
      <w:r>
        <w:rPr>
          <w:sz w:val="20"/>
        </w:rPr>
        <w:t>light regulation services</w:t>
      </w:r>
      <w:r>
        <w:rPr>
          <w:sz w:val="20"/>
        </w:rPr>
        <w:tab/>
        <w:t>2</w:t>
      </w:r>
    </w:p>
    <w:p>
      <w:pPr>
        <w:tabs>
          <w:tab w:val="right" w:leader="dot" w:pos="7070"/>
        </w:tabs>
        <w:ind w:left="578" w:right="578"/>
        <w:rPr>
          <w:sz w:val="20"/>
        </w:rPr>
      </w:pPr>
      <w:r>
        <w:rPr>
          <w:sz w:val="20"/>
        </w:rPr>
        <w:t>limited access arrangement</w:t>
      </w:r>
      <w:r>
        <w:rPr>
          <w:sz w:val="20"/>
        </w:rPr>
        <w:tab/>
        <w:t>2</w:t>
      </w:r>
    </w:p>
    <w:p>
      <w:pPr>
        <w:tabs>
          <w:tab w:val="right" w:leader="dot" w:pos="7070"/>
        </w:tabs>
        <w:ind w:left="578" w:right="578"/>
        <w:rPr>
          <w:sz w:val="20"/>
        </w:rPr>
      </w:pPr>
      <w:r>
        <w:rPr>
          <w:sz w:val="20"/>
        </w:rPr>
        <w:t>limited access arrangement decision</w:t>
      </w:r>
      <w:r>
        <w:rPr>
          <w:sz w:val="20"/>
        </w:rPr>
        <w:tab/>
        <w:t>2</w:t>
      </w:r>
    </w:p>
    <w:p>
      <w:pPr>
        <w:tabs>
          <w:tab w:val="right" w:leader="dot" w:pos="7070"/>
        </w:tabs>
        <w:ind w:left="578" w:right="578"/>
        <w:rPr>
          <w:sz w:val="20"/>
        </w:rPr>
      </w:pPr>
      <w:r>
        <w:rPr>
          <w:sz w:val="20"/>
        </w:rPr>
        <w:t>make</w:t>
      </w:r>
      <w:r>
        <w:rPr>
          <w:sz w:val="20"/>
        </w:rPr>
        <w:tab/>
        <w:t>Sch. 2 cl. 10</w:t>
      </w:r>
    </w:p>
    <w:p>
      <w:pPr>
        <w:tabs>
          <w:tab w:val="right" w:leader="dot" w:pos="7070"/>
        </w:tabs>
        <w:ind w:left="578" w:right="578"/>
        <w:rPr>
          <w:sz w:val="20"/>
        </w:rPr>
      </w:pPr>
      <w:r>
        <w:rPr>
          <w:sz w:val="20"/>
        </w:rPr>
        <w:t>market initiated proposed Rule</w:t>
      </w:r>
      <w:r>
        <w:rPr>
          <w:sz w:val="20"/>
        </w:rPr>
        <w:tab/>
        <w:t>290</w:t>
      </w:r>
    </w:p>
    <w:p>
      <w:pPr>
        <w:tabs>
          <w:tab w:val="right" w:leader="dot" w:pos="7070"/>
        </w:tabs>
        <w:ind w:left="578" w:right="578"/>
        <w:rPr>
          <w:sz w:val="20"/>
        </w:rPr>
      </w:pPr>
      <w:r>
        <w:rPr>
          <w:sz w:val="20"/>
        </w:rPr>
        <w:t>marketing staff</w:t>
      </w:r>
      <w:r>
        <w:rPr>
          <w:sz w:val="20"/>
        </w:rPr>
        <w:tab/>
        <w:t>137</w:t>
      </w:r>
    </w:p>
    <w:p>
      <w:pPr>
        <w:tabs>
          <w:tab w:val="right" w:leader="dot" w:pos="7070"/>
        </w:tabs>
        <w:ind w:left="578" w:right="578"/>
        <w:rPr>
          <w:sz w:val="20"/>
        </w:rPr>
      </w:pPr>
      <w:r>
        <w:rPr>
          <w:sz w:val="20"/>
        </w:rPr>
        <w:t>materially preferable designated NGO decision</w:t>
      </w:r>
      <w:r>
        <w:rPr>
          <w:sz w:val="20"/>
        </w:rPr>
        <w:tab/>
        <w:t>244, 259</w:t>
      </w:r>
    </w:p>
    <w:p>
      <w:pPr>
        <w:tabs>
          <w:tab w:val="right" w:leader="dot" w:pos="7070"/>
        </w:tabs>
        <w:ind w:left="578" w:right="578"/>
        <w:rPr>
          <w:sz w:val="20"/>
        </w:rPr>
      </w:pPr>
      <w:r>
        <w:rPr>
          <w:sz w:val="20"/>
        </w:rPr>
        <w:t>matters of a transitional nature</w:t>
      </w:r>
      <w:r>
        <w:rPr>
          <w:sz w:val="20"/>
        </w:rPr>
        <w:tab/>
        <w:t>Act 11(4)</w:t>
      </w:r>
    </w:p>
    <w:p>
      <w:pPr>
        <w:tabs>
          <w:tab w:val="right" w:leader="dot" w:pos="7070"/>
        </w:tabs>
        <w:ind w:left="578" w:right="578"/>
        <w:rPr>
          <w:sz w:val="20"/>
        </w:rPr>
      </w:pPr>
      <w:r>
        <w:rPr>
          <w:sz w:val="20"/>
        </w:rPr>
        <w:t>MCE</w:t>
      </w:r>
      <w:r>
        <w:rPr>
          <w:sz w:val="20"/>
        </w:rPr>
        <w:tab/>
        <w:t>2</w:t>
      </w:r>
    </w:p>
    <w:p>
      <w:pPr>
        <w:tabs>
          <w:tab w:val="right" w:leader="dot" w:pos="7070"/>
        </w:tabs>
        <w:ind w:left="578" w:right="578"/>
        <w:rPr>
          <w:sz w:val="20"/>
        </w:rPr>
      </w:pPr>
      <w:r>
        <w:rPr>
          <w:sz w:val="20"/>
        </w:rPr>
        <w:t>MCE directed review</w:t>
      </w:r>
      <w:r>
        <w:rPr>
          <w:sz w:val="20"/>
        </w:rPr>
        <w:tab/>
        <w:t>2</w:t>
      </w:r>
    </w:p>
    <w:p>
      <w:pPr>
        <w:tabs>
          <w:tab w:val="right" w:leader="dot" w:pos="7070"/>
        </w:tabs>
        <w:ind w:left="578" w:right="578"/>
        <w:rPr>
          <w:sz w:val="20"/>
        </w:rPr>
      </w:pPr>
      <w:r>
        <w:rPr>
          <w:sz w:val="20"/>
        </w:rPr>
        <w:t>MCE statement of policy principles</w:t>
      </w:r>
      <w:r>
        <w:rPr>
          <w:sz w:val="20"/>
        </w:rPr>
        <w:tab/>
        <w:t>2</w:t>
      </w:r>
    </w:p>
    <w:p>
      <w:pPr>
        <w:tabs>
          <w:tab w:val="right" w:leader="dot" w:pos="7070"/>
        </w:tabs>
        <w:ind w:left="578" w:right="578"/>
        <w:rPr>
          <w:sz w:val="20"/>
        </w:rPr>
      </w:pPr>
      <w:r>
        <w:rPr>
          <w:sz w:val="20"/>
        </w:rPr>
        <w:t>minimum ring fencing requirement</w:t>
      </w:r>
      <w:r>
        <w:rPr>
          <w:sz w:val="20"/>
        </w:rPr>
        <w:tab/>
        <w:t>2</w:t>
      </w:r>
    </w:p>
    <w:p>
      <w:pPr>
        <w:tabs>
          <w:tab w:val="right" w:leader="dot" w:pos="7070"/>
        </w:tabs>
        <w:ind w:left="578" w:right="578"/>
        <w:rPr>
          <w:sz w:val="20"/>
        </w:rPr>
      </w:pPr>
      <w:r>
        <w:rPr>
          <w:sz w:val="20"/>
        </w:rPr>
        <w:t>Minister of a participating jurisdiction</w:t>
      </w:r>
      <w:r>
        <w:rPr>
          <w:sz w:val="20"/>
        </w:rPr>
        <w:tab/>
        <w:t>2</w:t>
      </w:r>
    </w:p>
    <w:p>
      <w:pPr>
        <w:tabs>
          <w:tab w:val="right" w:leader="dot" w:pos="7070"/>
        </w:tabs>
        <w:ind w:left="578" w:right="578"/>
        <w:rPr>
          <w:sz w:val="20"/>
        </w:rPr>
      </w:pPr>
      <w:r>
        <w:rPr>
          <w:sz w:val="20"/>
        </w:rPr>
        <w:t>Minister of this participating jurisdiction</w:t>
      </w:r>
      <w:r>
        <w:rPr>
          <w:sz w:val="20"/>
        </w:rPr>
        <w:tab/>
        <w:t>87(3)</w:t>
      </w:r>
    </w:p>
    <w:p>
      <w:pPr>
        <w:tabs>
          <w:tab w:val="right" w:leader="dot" w:pos="7070"/>
        </w:tabs>
        <w:ind w:left="578" w:right="578"/>
        <w:rPr>
          <w:sz w:val="20"/>
        </w:rPr>
      </w:pPr>
      <w:r>
        <w:rPr>
          <w:sz w:val="20"/>
        </w:rPr>
        <w:t>Ministerial coverage decision</w:t>
      </w:r>
      <w:r>
        <w:rPr>
          <w:sz w:val="20"/>
        </w:rPr>
        <w:tab/>
        <w:t>2</w:t>
      </w:r>
    </w:p>
    <w:p>
      <w:pPr>
        <w:tabs>
          <w:tab w:val="right" w:leader="dot" w:pos="7070"/>
        </w:tabs>
        <w:ind w:left="578" w:right="578"/>
        <w:rPr>
          <w:sz w:val="20"/>
        </w:rPr>
      </w:pPr>
      <w:r>
        <w:rPr>
          <w:sz w:val="20"/>
        </w:rPr>
        <w:t>Ministerial or NCC scheme decision</w:t>
      </w:r>
      <w:r>
        <w:rPr>
          <w:sz w:val="20"/>
        </w:rPr>
        <w:tab/>
        <w:t>333(3)</w:t>
      </w:r>
    </w:p>
    <w:p>
      <w:pPr>
        <w:tabs>
          <w:tab w:val="right" w:leader="dot" w:pos="7070"/>
        </w:tabs>
        <w:ind w:left="578" w:right="578"/>
        <w:rPr>
          <w:sz w:val="20"/>
        </w:rPr>
      </w:pPr>
      <w:r>
        <w:rPr>
          <w:sz w:val="20"/>
        </w:rPr>
        <w:t>minor</w:t>
      </w:r>
      <w:r>
        <w:rPr>
          <w:sz w:val="20"/>
        </w:rPr>
        <w:tab/>
        <w:t>Sch. 2 cl. 10</w:t>
      </w:r>
    </w:p>
    <w:p>
      <w:pPr>
        <w:tabs>
          <w:tab w:val="right" w:leader="dot" w:pos="7070"/>
        </w:tabs>
        <w:ind w:left="578" w:right="578"/>
        <w:rPr>
          <w:sz w:val="20"/>
        </w:rPr>
      </w:pPr>
      <w:r>
        <w:rPr>
          <w:sz w:val="20"/>
        </w:rPr>
        <w:t>modification</w:t>
      </w:r>
      <w:r>
        <w:rPr>
          <w:sz w:val="20"/>
        </w:rPr>
        <w:tab/>
        <w:t>Sch. 2 cl. 10</w:t>
      </w:r>
    </w:p>
    <w:p>
      <w:pPr>
        <w:tabs>
          <w:tab w:val="right" w:leader="dot" w:pos="7070"/>
        </w:tabs>
        <w:ind w:left="578" w:right="578"/>
        <w:rPr>
          <w:sz w:val="20"/>
        </w:rPr>
      </w:pPr>
      <w:r>
        <w:rPr>
          <w:sz w:val="20"/>
        </w:rPr>
        <w:t>month</w:t>
      </w:r>
      <w:r>
        <w:rPr>
          <w:sz w:val="20"/>
        </w:rPr>
        <w:tab/>
        <w:t>Sch. 2 cl. 10</w:t>
      </w:r>
    </w:p>
    <w:p>
      <w:pPr>
        <w:tabs>
          <w:tab w:val="right" w:leader="dot" w:pos="7070"/>
        </w:tabs>
        <w:ind w:left="578" w:right="578"/>
        <w:rPr>
          <w:sz w:val="20"/>
        </w:rPr>
      </w:pPr>
      <w:r>
        <w:rPr>
          <w:sz w:val="20"/>
        </w:rPr>
        <w:t>more preferable Rule</w:t>
      </w:r>
      <w:r>
        <w:rPr>
          <w:sz w:val="20"/>
        </w:rPr>
        <w:tab/>
        <w:t>290, 296</w:t>
      </w:r>
    </w:p>
    <w:p>
      <w:pPr>
        <w:tabs>
          <w:tab w:val="right" w:leader="dot" w:pos="7070"/>
        </w:tabs>
        <w:ind w:left="578" w:right="578"/>
        <w:rPr>
          <w:sz w:val="20"/>
        </w:rPr>
      </w:pPr>
      <w:r>
        <w:rPr>
          <w:sz w:val="20"/>
        </w:rPr>
        <w:t>named month</w:t>
      </w:r>
      <w:r>
        <w:rPr>
          <w:sz w:val="20"/>
        </w:rPr>
        <w:tab/>
        <w:t>Sch. 2 cl. 10</w:t>
      </w:r>
    </w:p>
    <w:p>
      <w:pPr>
        <w:tabs>
          <w:tab w:val="right" w:leader="dot" w:pos="7070"/>
        </w:tabs>
        <w:ind w:left="578" w:right="578"/>
        <w:rPr>
          <w:sz w:val="20"/>
        </w:rPr>
      </w:pPr>
      <w:r>
        <w:rPr>
          <w:sz w:val="20"/>
        </w:rPr>
        <w:t>National Gas Access (Western Australia) Law</w:t>
      </w:r>
      <w:r>
        <w:rPr>
          <w:sz w:val="20"/>
        </w:rPr>
        <w:tab/>
        <w:t>Act 3(1), 11(4)</w:t>
      </w:r>
    </w:p>
    <w:p>
      <w:pPr>
        <w:tabs>
          <w:tab w:val="right" w:leader="dot" w:pos="7070"/>
        </w:tabs>
        <w:ind w:left="578" w:right="578"/>
        <w:rPr>
          <w:sz w:val="20"/>
        </w:rPr>
      </w:pPr>
      <w:r>
        <w:rPr>
          <w:sz w:val="20"/>
        </w:rPr>
        <w:t>National Gas Access (Western Australia) Regulations</w:t>
      </w:r>
      <w:r>
        <w:rPr>
          <w:sz w:val="20"/>
        </w:rPr>
        <w:tab/>
        <w:t>Act 3(1)</w:t>
      </w:r>
    </w:p>
    <w:p>
      <w:pPr>
        <w:tabs>
          <w:tab w:val="right" w:leader="dot" w:pos="7070"/>
        </w:tabs>
        <w:ind w:left="578" w:right="578"/>
        <w:rPr>
          <w:sz w:val="20"/>
        </w:rPr>
      </w:pPr>
      <w:r>
        <w:rPr>
          <w:sz w:val="20"/>
        </w:rPr>
        <w:t>National Gas Law</w:t>
      </w:r>
      <w:r>
        <w:rPr>
          <w:sz w:val="20"/>
        </w:rPr>
        <w:tab/>
        <w:t>Act 9(1)</w:t>
      </w:r>
    </w:p>
    <w:p>
      <w:pPr>
        <w:tabs>
          <w:tab w:val="right" w:leader="dot" w:pos="7070"/>
        </w:tabs>
        <w:ind w:left="578" w:right="578"/>
        <w:rPr>
          <w:sz w:val="20"/>
        </w:rPr>
      </w:pPr>
      <w:r>
        <w:rPr>
          <w:sz w:val="20"/>
        </w:rPr>
        <w:t>national gas legislation</w:t>
      </w:r>
      <w:r>
        <w:rPr>
          <w:sz w:val="20"/>
        </w:rPr>
        <w:tab/>
        <w:t>2</w:t>
      </w:r>
    </w:p>
    <w:p>
      <w:pPr>
        <w:tabs>
          <w:tab w:val="right" w:leader="dot" w:pos="7070"/>
        </w:tabs>
        <w:ind w:left="578" w:right="578"/>
        <w:rPr>
          <w:sz w:val="20"/>
        </w:rPr>
      </w:pPr>
      <w:r>
        <w:rPr>
          <w:sz w:val="20"/>
        </w:rPr>
        <w:t>national gas objective</w:t>
      </w:r>
      <w:r>
        <w:rPr>
          <w:sz w:val="20"/>
        </w:rPr>
        <w:tab/>
        <w:t>2</w:t>
      </w:r>
    </w:p>
    <w:p>
      <w:pPr>
        <w:tabs>
          <w:tab w:val="right" w:leader="dot" w:pos="7070"/>
        </w:tabs>
        <w:ind w:left="578" w:right="578"/>
        <w:rPr>
          <w:sz w:val="20"/>
        </w:rPr>
      </w:pPr>
      <w:r>
        <w:rPr>
          <w:sz w:val="20"/>
        </w:rPr>
        <w:t>National Gas Rules</w:t>
      </w:r>
      <w:r>
        <w:rPr>
          <w:sz w:val="20"/>
        </w:rPr>
        <w:tab/>
        <w:t>2</w:t>
      </w:r>
    </w:p>
    <w:p>
      <w:pPr>
        <w:tabs>
          <w:tab w:val="right" w:leader="dot" w:pos="7070"/>
        </w:tabs>
        <w:ind w:left="578" w:right="578"/>
        <w:rPr>
          <w:sz w:val="20"/>
        </w:rPr>
      </w:pPr>
      <w:r>
        <w:rPr>
          <w:sz w:val="20"/>
        </w:rPr>
        <w:t>national provisions</w:t>
      </w:r>
      <w:r>
        <w:rPr>
          <w:sz w:val="20"/>
        </w:rPr>
        <w:tab/>
        <w:t>Act 19(3)</w:t>
      </w:r>
    </w:p>
    <w:p>
      <w:pPr>
        <w:tabs>
          <w:tab w:val="right" w:leader="dot" w:pos="7070"/>
        </w:tabs>
        <w:ind w:left="578" w:right="578"/>
        <w:rPr>
          <w:sz w:val="20"/>
        </w:rPr>
      </w:pPr>
      <w:r>
        <w:rPr>
          <w:sz w:val="20"/>
        </w:rPr>
        <w:t>natural gas</w:t>
      </w:r>
      <w:r>
        <w:rPr>
          <w:sz w:val="20"/>
        </w:rPr>
        <w:tab/>
        <w:t>2</w:t>
      </w:r>
    </w:p>
    <w:p>
      <w:pPr>
        <w:tabs>
          <w:tab w:val="right" w:leader="dot" w:pos="7070"/>
        </w:tabs>
        <w:ind w:left="578" w:right="578"/>
        <w:rPr>
          <w:sz w:val="20"/>
        </w:rPr>
      </w:pPr>
      <w:r>
        <w:rPr>
          <w:sz w:val="20"/>
        </w:rPr>
        <w:t>natural gas service</w:t>
      </w:r>
      <w:r>
        <w:rPr>
          <w:sz w:val="20"/>
        </w:rPr>
        <w:tab/>
        <w:t>2</w:t>
      </w:r>
    </w:p>
    <w:p>
      <w:pPr>
        <w:tabs>
          <w:tab w:val="right" w:leader="dot" w:pos="7070"/>
        </w:tabs>
        <w:ind w:left="578" w:right="578"/>
        <w:rPr>
          <w:sz w:val="20"/>
        </w:rPr>
      </w:pPr>
      <w:r>
        <w:rPr>
          <w:sz w:val="20"/>
        </w:rPr>
        <w:t>Natural Gas Services Bulletin Board</w:t>
      </w:r>
      <w:r>
        <w:rPr>
          <w:sz w:val="20"/>
        </w:rPr>
        <w:tab/>
        <w:t>2</w:t>
      </w:r>
    </w:p>
    <w:p>
      <w:pPr>
        <w:tabs>
          <w:tab w:val="right" w:leader="dot" w:pos="7070"/>
        </w:tabs>
        <w:ind w:left="578" w:right="578"/>
        <w:rPr>
          <w:sz w:val="20"/>
        </w:rPr>
      </w:pPr>
      <w:r>
        <w:rPr>
          <w:sz w:val="20"/>
        </w:rPr>
        <w:t>NCC</w:t>
      </w:r>
      <w:r>
        <w:rPr>
          <w:sz w:val="20"/>
        </w:rPr>
        <w:tab/>
        <w:t>2</w:t>
      </w:r>
    </w:p>
    <w:p>
      <w:pPr>
        <w:tabs>
          <w:tab w:val="right" w:leader="dot" w:pos="7070"/>
        </w:tabs>
        <w:ind w:left="578" w:right="578"/>
        <w:rPr>
          <w:sz w:val="20"/>
        </w:rPr>
      </w:pPr>
      <w:r>
        <w:rPr>
          <w:sz w:val="20"/>
        </w:rPr>
        <w:t>NCC member</w:t>
      </w:r>
      <w:r>
        <w:rPr>
          <w:sz w:val="20"/>
        </w:rPr>
        <w:tab/>
        <w:t>Sch. 2 cl. 33</w:t>
      </w:r>
    </w:p>
    <w:p>
      <w:pPr>
        <w:tabs>
          <w:tab w:val="right" w:leader="dot" w:pos="7070"/>
        </w:tabs>
        <w:ind w:left="578" w:right="578"/>
        <w:rPr>
          <w:sz w:val="20"/>
        </w:rPr>
      </w:pPr>
      <w:r>
        <w:rPr>
          <w:sz w:val="20"/>
        </w:rPr>
        <w:t>NCC recommendation</w:t>
      </w:r>
      <w:r>
        <w:rPr>
          <w:sz w:val="20"/>
        </w:rPr>
        <w:tab/>
        <w:t>244</w:t>
      </w:r>
    </w:p>
    <w:p>
      <w:pPr>
        <w:tabs>
          <w:tab w:val="right" w:leader="dot" w:pos="7070"/>
        </w:tabs>
        <w:ind w:left="578" w:right="578"/>
        <w:rPr>
          <w:sz w:val="20"/>
        </w:rPr>
      </w:pPr>
      <w:r>
        <w:rPr>
          <w:sz w:val="20"/>
        </w:rPr>
        <w:t>NCC recommendation or decision</w:t>
      </w:r>
      <w:r>
        <w:rPr>
          <w:sz w:val="20"/>
        </w:rPr>
        <w:tab/>
        <w:t>2</w:t>
      </w:r>
    </w:p>
    <w:p>
      <w:pPr>
        <w:tabs>
          <w:tab w:val="right" w:leader="dot" w:pos="7070"/>
        </w:tabs>
        <w:ind w:left="578" w:right="578"/>
        <w:rPr>
          <w:sz w:val="20"/>
        </w:rPr>
      </w:pPr>
      <w:r>
        <w:rPr>
          <w:sz w:val="20"/>
        </w:rPr>
        <w:t>new application Act</w:t>
      </w:r>
      <w:r>
        <w:rPr>
          <w:sz w:val="20"/>
        </w:rPr>
        <w:tab/>
        <w:t>Sch. 3 cl. 1</w:t>
      </w:r>
    </w:p>
    <w:p>
      <w:pPr>
        <w:tabs>
          <w:tab w:val="right" w:leader="dot" w:pos="7070"/>
        </w:tabs>
        <w:ind w:left="578" w:right="578"/>
        <w:rPr>
          <w:sz w:val="20"/>
        </w:rPr>
      </w:pPr>
      <w:r>
        <w:rPr>
          <w:sz w:val="20"/>
        </w:rPr>
        <w:t>new facility</w:t>
      </w:r>
      <w:r>
        <w:rPr>
          <w:sz w:val="20"/>
        </w:rPr>
        <w:tab/>
        <w:t>2</w:t>
      </w:r>
    </w:p>
    <w:p>
      <w:pPr>
        <w:tabs>
          <w:tab w:val="right" w:leader="dot" w:pos="7070"/>
        </w:tabs>
        <w:ind w:left="578" w:right="578"/>
        <w:rPr>
          <w:sz w:val="20"/>
        </w:rPr>
      </w:pPr>
      <w:r>
        <w:rPr>
          <w:sz w:val="20"/>
        </w:rPr>
        <w:t>new scheme revisions commencement date</w:t>
      </w:r>
      <w:r>
        <w:rPr>
          <w:sz w:val="20"/>
        </w:rPr>
        <w:tab/>
        <w:t>Sch. 3 cl. 31</w:t>
      </w:r>
    </w:p>
    <w:p>
      <w:pPr>
        <w:tabs>
          <w:tab w:val="right" w:leader="dot" w:pos="7070"/>
        </w:tabs>
        <w:ind w:left="578" w:right="578"/>
        <w:rPr>
          <w:sz w:val="20"/>
        </w:rPr>
      </w:pPr>
      <w:r>
        <w:rPr>
          <w:sz w:val="20"/>
        </w:rPr>
        <w:t>no</w:t>
      </w:r>
      <w:r>
        <w:rPr>
          <w:sz w:val="20"/>
        </w:rPr>
        <w:noBreakHyphen/>
        <w:t>coverage recommendation</w:t>
      </w:r>
      <w:r>
        <w:rPr>
          <w:sz w:val="20"/>
        </w:rPr>
        <w:tab/>
        <w:t>2</w:t>
      </w:r>
    </w:p>
    <w:p>
      <w:pPr>
        <w:tabs>
          <w:tab w:val="right" w:leader="dot" w:pos="7070"/>
        </w:tabs>
        <w:ind w:left="578" w:right="578"/>
        <w:rPr>
          <w:sz w:val="20"/>
        </w:rPr>
      </w:pPr>
      <w:r>
        <w:rPr>
          <w:sz w:val="20"/>
        </w:rPr>
        <w:t>nominated disputes</w:t>
      </w:r>
      <w:r>
        <w:rPr>
          <w:sz w:val="20"/>
        </w:rPr>
        <w:tab/>
        <w:t>208, 209(2)</w:t>
      </w:r>
    </w:p>
    <w:p>
      <w:pPr>
        <w:tabs>
          <w:tab w:val="right" w:leader="dot" w:pos="7070"/>
        </w:tabs>
        <w:ind w:left="578" w:right="578"/>
        <w:rPr>
          <w:sz w:val="20"/>
        </w:rPr>
      </w:pPr>
      <w:r>
        <w:rPr>
          <w:sz w:val="20"/>
        </w:rPr>
        <w:t>non scheme pipeline user</w:t>
      </w:r>
      <w:r>
        <w:rPr>
          <w:sz w:val="20"/>
        </w:rPr>
        <w:tab/>
        <w:t>2</w:t>
      </w:r>
    </w:p>
    <w:p>
      <w:pPr>
        <w:tabs>
          <w:tab w:val="right" w:leader="dot" w:pos="7070"/>
        </w:tabs>
        <w:ind w:left="578" w:right="578"/>
        <w:rPr>
          <w:sz w:val="20"/>
        </w:rPr>
      </w:pPr>
      <w:r>
        <w:rPr>
          <w:sz w:val="20"/>
        </w:rPr>
        <w:t>non</w:t>
      </w:r>
      <w:r>
        <w:rPr>
          <w:sz w:val="20"/>
        </w:rPr>
        <w:noBreakHyphen/>
        <w:t>controversial Rule</w:t>
      </w:r>
      <w:r>
        <w:rPr>
          <w:sz w:val="20"/>
        </w:rPr>
        <w:tab/>
        <w:t>290</w:t>
      </w:r>
    </w:p>
    <w:p>
      <w:pPr>
        <w:tabs>
          <w:tab w:val="right" w:leader="dot" w:pos="7070"/>
        </w:tabs>
        <w:ind w:left="578" w:right="578"/>
        <w:rPr>
          <w:sz w:val="20"/>
        </w:rPr>
      </w:pPr>
      <w:r>
        <w:rPr>
          <w:sz w:val="20"/>
        </w:rPr>
        <w:t>non</w:t>
      </w:r>
      <w:r>
        <w:rPr>
          <w:sz w:val="20"/>
        </w:rPr>
        <w:noBreakHyphen/>
        <w:t>finalised access dispute</w:t>
      </w:r>
      <w:r>
        <w:rPr>
          <w:sz w:val="20"/>
        </w:rPr>
        <w:tab/>
        <w:t>Sch. 3 cl. 42</w:t>
      </w:r>
    </w:p>
    <w:p>
      <w:pPr>
        <w:tabs>
          <w:tab w:val="right" w:leader="dot" w:pos="7070"/>
        </w:tabs>
        <w:ind w:left="578" w:right="578"/>
        <w:rPr>
          <w:sz w:val="20"/>
        </w:rPr>
      </w:pPr>
      <w:r>
        <w:rPr>
          <w:sz w:val="20"/>
        </w:rPr>
        <w:t>non-scheme pipeline</w:t>
      </w:r>
      <w:r>
        <w:rPr>
          <w:sz w:val="20"/>
        </w:rPr>
        <w:tab/>
        <w:t>216A</w:t>
      </w:r>
    </w:p>
    <w:p>
      <w:pPr>
        <w:tabs>
          <w:tab w:val="right" w:leader="dot" w:pos="7070"/>
        </w:tabs>
        <w:ind w:left="578" w:right="578"/>
        <w:rPr>
          <w:sz w:val="20"/>
        </w:rPr>
      </w:pPr>
      <w:r>
        <w:rPr>
          <w:sz w:val="20"/>
        </w:rPr>
        <w:t>notified compliance date</w:t>
      </w:r>
      <w:r>
        <w:rPr>
          <w:sz w:val="20"/>
        </w:rPr>
        <w:tab/>
        <w:t>143(4)</w:t>
      </w:r>
    </w:p>
    <w:p>
      <w:pPr>
        <w:tabs>
          <w:tab w:val="right" w:leader="dot" w:pos="7070"/>
        </w:tabs>
        <w:ind w:left="578" w:right="578"/>
        <w:rPr>
          <w:sz w:val="20"/>
        </w:rPr>
      </w:pPr>
      <w:r>
        <w:rPr>
          <w:sz w:val="20"/>
        </w:rPr>
        <w:t>number</w:t>
      </w:r>
      <w:r>
        <w:rPr>
          <w:sz w:val="20"/>
        </w:rPr>
        <w:tab/>
        <w:t>Sch. 2 cl. 10</w:t>
      </w:r>
    </w:p>
    <w:p>
      <w:pPr>
        <w:tabs>
          <w:tab w:val="right" w:leader="dot" w:pos="7070"/>
        </w:tabs>
        <w:ind w:left="578" w:right="578"/>
        <w:rPr>
          <w:sz w:val="20"/>
        </w:rPr>
      </w:pPr>
      <w:r>
        <w:rPr>
          <w:sz w:val="20"/>
        </w:rPr>
        <w:t>oath</w:t>
      </w:r>
      <w:r>
        <w:rPr>
          <w:sz w:val="20"/>
        </w:rPr>
        <w:tab/>
        <w:t>Sch. 2 cl. 10</w:t>
      </w:r>
    </w:p>
    <w:p>
      <w:pPr>
        <w:tabs>
          <w:tab w:val="right" w:leader="dot" w:pos="7070"/>
        </w:tabs>
        <w:ind w:left="578" w:right="578"/>
        <w:rPr>
          <w:sz w:val="20"/>
        </w:rPr>
      </w:pPr>
      <w:r>
        <w:rPr>
          <w:sz w:val="20"/>
        </w:rPr>
        <w:t>offence provision</w:t>
      </w:r>
      <w:r>
        <w:rPr>
          <w:sz w:val="20"/>
        </w:rPr>
        <w:tab/>
        <w:t>2</w:t>
      </w:r>
    </w:p>
    <w:p>
      <w:pPr>
        <w:tabs>
          <w:tab w:val="right" w:leader="dot" w:pos="7070"/>
        </w:tabs>
        <w:ind w:left="578" w:right="578"/>
        <w:rPr>
          <w:sz w:val="20"/>
        </w:rPr>
      </w:pPr>
      <w:r>
        <w:rPr>
          <w:sz w:val="20"/>
        </w:rPr>
        <w:t>office</w:t>
      </w:r>
      <w:r>
        <w:rPr>
          <w:sz w:val="20"/>
        </w:rPr>
        <w:tab/>
        <w:t>Sch. 2 cl. 10</w:t>
      </w:r>
    </w:p>
    <w:p>
      <w:pPr>
        <w:tabs>
          <w:tab w:val="right" w:leader="dot" w:pos="7070"/>
        </w:tabs>
        <w:ind w:left="578" w:right="578"/>
        <w:rPr>
          <w:sz w:val="20"/>
        </w:rPr>
      </w:pPr>
      <w:r>
        <w:rPr>
          <w:sz w:val="20"/>
        </w:rPr>
        <w:t>officer</w:t>
      </w:r>
      <w:r>
        <w:rPr>
          <w:sz w:val="20"/>
        </w:rPr>
        <w:tab/>
        <w:t>2</w:t>
      </w:r>
    </w:p>
    <w:p>
      <w:pPr>
        <w:tabs>
          <w:tab w:val="right" w:leader="dot" w:pos="7070"/>
        </w:tabs>
        <w:ind w:left="578" w:right="578"/>
        <w:rPr>
          <w:sz w:val="20"/>
        </w:rPr>
      </w:pPr>
      <w:r>
        <w:rPr>
          <w:sz w:val="20"/>
        </w:rPr>
        <w:t>old access law</w:t>
      </w:r>
      <w:r>
        <w:rPr>
          <w:sz w:val="20"/>
        </w:rPr>
        <w:tab/>
        <w:t>2</w:t>
      </w:r>
    </w:p>
    <w:p>
      <w:pPr>
        <w:tabs>
          <w:tab w:val="right" w:leader="dot" w:pos="7070"/>
        </w:tabs>
        <w:ind w:left="578" w:right="578"/>
        <w:rPr>
          <w:sz w:val="20"/>
        </w:rPr>
      </w:pPr>
      <w:r>
        <w:rPr>
          <w:sz w:val="20"/>
        </w:rPr>
        <w:t>old scheme classification and scheme participant determination</w:t>
      </w:r>
      <w:r>
        <w:rPr>
          <w:sz w:val="20"/>
        </w:rPr>
        <w:tab/>
        <w:t>Sch. 3 cl. 53</w:t>
      </w:r>
    </w:p>
    <w:p>
      <w:pPr>
        <w:tabs>
          <w:tab w:val="right" w:leader="dot" w:pos="7070"/>
        </w:tabs>
        <w:ind w:left="578" w:right="578"/>
        <w:rPr>
          <w:sz w:val="20"/>
        </w:rPr>
      </w:pPr>
      <w:r>
        <w:rPr>
          <w:sz w:val="20"/>
        </w:rPr>
        <w:t>old scheme classification or determination</w:t>
      </w:r>
      <w:r>
        <w:rPr>
          <w:sz w:val="20"/>
        </w:rPr>
        <w:tab/>
        <w:t>2</w:t>
      </w:r>
    </w:p>
    <w:p>
      <w:pPr>
        <w:tabs>
          <w:tab w:val="right" w:leader="dot" w:pos="7070"/>
        </w:tabs>
        <w:ind w:left="578" w:right="578"/>
        <w:rPr>
          <w:sz w:val="20"/>
        </w:rPr>
      </w:pPr>
      <w:r>
        <w:rPr>
          <w:sz w:val="20"/>
        </w:rPr>
        <w:t>old scheme coverage application</w:t>
      </w:r>
      <w:r>
        <w:rPr>
          <w:sz w:val="20"/>
        </w:rPr>
        <w:tab/>
        <w:t>Sch. 3 cl. 1</w:t>
      </w:r>
    </w:p>
    <w:p>
      <w:pPr>
        <w:tabs>
          <w:tab w:val="right" w:leader="dot" w:pos="7070"/>
        </w:tabs>
        <w:ind w:left="578" w:right="578"/>
        <w:rPr>
          <w:sz w:val="20"/>
        </w:rPr>
      </w:pPr>
      <w:r>
        <w:rPr>
          <w:sz w:val="20"/>
        </w:rPr>
        <w:t>old scheme coverage determination</w:t>
      </w:r>
      <w:r>
        <w:rPr>
          <w:sz w:val="20"/>
        </w:rPr>
        <w:tab/>
        <w:t>Sch. 3 cl. 1</w:t>
      </w:r>
    </w:p>
    <w:p>
      <w:pPr>
        <w:tabs>
          <w:tab w:val="right" w:leader="dot" w:pos="7070"/>
        </w:tabs>
        <w:ind w:left="578" w:right="578"/>
        <w:rPr>
          <w:sz w:val="20"/>
        </w:rPr>
      </w:pPr>
      <w:r>
        <w:rPr>
          <w:sz w:val="20"/>
        </w:rPr>
        <w:t>old scheme coverage revocation application</w:t>
      </w:r>
      <w:r>
        <w:rPr>
          <w:sz w:val="20"/>
        </w:rPr>
        <w:tab/>
        <w:t>Sch. 3 cl. 1</w:t>
      </w:r>
    </w:p>
    <w:p>
      <w:pPr>
        <w:tabs>
          <w:tab w:val="right" w:leader="dot" w:pos="7070"/>
        </w:tabs>
        <w:ind w:left="578" w:right="578"/>
        <w:rPr>
          <w:sz w:val="20"/>
        </w:rPr>
      </w:pPr>
      <w:r>
        <w:rPr>
          <w:sz w:val="20"/>
        </w:rPr>
        <w:t>old scheme coverage revocation determination</w:t>
      </w:r>
      <w:r>
        <w:rPr>
          <w:sz w:val="20"/>
        </w:rPr>
        <w:tab/>
        <w:t>Sch. 3 cl. 1</w:t>
      </w:r>
    </w:p>
    <w:p>
      <w:pPr>
        <w:tabs>
          <w:tab w:val="right" w:leader="dot" w:pos="7070"/>
        </w:tabs>
        <w:ind w:left="578" w:right="578"/>
        <w:rPr>
          <w:sz w:val="20"/>
        </w:rPr>
      </w:pPr>
      <w:r>
        <w:rPr>
          <w:sz w:val="20"/>
        </w:rPr>
        <w:t>old scheme covered pipeline</w:t>
      </w:r>
      <w:r>
        <w:rPr>
          <w:sz w:val="20"/>
        </w:rPr>
        <w:tab/>
        <w:t>Sch. 3 cl. 1</w:t>
      </w:r>
    </w:p>
    <w:p>
      <w:pPr>
        <w:tabs>
          <w:tab w:val="right" w:leader="dot" w:pos="7070"/>
        </w:tabs>
        <w:ind w:left="578" w:right="578"/>
        <w:rPr>
          <w:sz w:val="20"/>
        </w:rPr>
      </w:pPr>
      <w:r>
        <w:rPr>
          <w:sz w:val="20"/>
        </w:rPr>
        <w:t>old scheme distribution pipeline</w:t>
      </w:r>
      <w:r>
        <w:rPr>
          <w:sz w:val="20"/>
        </w:rPr>
        <w:tab/>
        <w:t>2</w:t>
      </w:r>
    </w:p>
    <w:p>
      <w:pPr>
        <w:tabs>
          <w:tab w:val="right" w:leader="dot" w:pos="7070"/>
        </w:tabs>
        <w:ind w:left="578" w:right="578"/>
        <w:rPr>
          <w:sz w:val="20"/>
        </w:rPr>
      </w:pPr>
      <w:r>
        <w:rPr>
          <w:sz w:val="20"/>
        </w:rPr>
        <w:t>old scheme limited access arrangement</w:t>
      </w:r>
      <w:r>
        <w:rPr>
          <w:sz w:val="20"/>
        </w:rPr>
        <w:tab/>
        <w:t>Sch. 3 cl. 1</w:t>
      </w:r>
    </w:p>
    <w:p>
      <w:pPr>
        <w:tabs>
          <w:tab w:val="right" w:leader="dot" w:pos="7070"/>
        </w:tabs>
        <w:ind w:left="578" w:right="578"/>
        <w:rPr>
          <w:sz w:val="20"/>
        </w:rPr>
      </w:pPr>
      <w:r>
        <w:rPr>
          <w:sz w:val="20"/>
        </w:rPr>
        <w:t>old scheme price regulation exemption</w:t>
      </w:r>
      <w:r>
        <w:rPr>
          <w:sz w:val="20"/>
        </w:rPr>
        <w:tab/>
        <w:t>Sch. 3 cl. 1</w:t>
      </w:r>
    </w:p>
    <w:p>
      <w:pPr>
        <w:tabs>
          <w:tab w:val="right" w:leader="dot" w:pos="7070"/>
        </w:tabs>
        <w:ind w:left="578" w:right="578"/>
        <w:rPr>
          <w:sz w:val="20"/>
        </w:rPr>
      </w:pPr>
      <w:r>
        <w:rPr>
          <w:sz w:val="20"/>
        </w:rPr>
        <w:t>old scheme relevant Minister</w:t>
      </w:r>
      <w:r>
        <w:rPr>
          <w:sz w:val="20"/>
        </w:rPr>
        <w:tab/>
        <w:t>Sch. 3 cl. 1</w:t>
      </w:r>
    </w:p>
    <w:p>
      <w:pPr>
        <w:tabs>
          <w:tab w:val="right" w:leader="dot" w:pos="7070"/>
        </w:tabs>
        <w:ind w:left="578" w:right="578"/>
        <w:rPr>
          <w:sz w:val="20"/>
        </w:rPr>
      </w:pPr>
      <w:r>
        <w:rPr>
          <w:sz w:val="20"/>
        </w:rPr>
        <w:t>old scheme ring fencing requirement</w:t>
      </w:r>
      <w:r>
        <w:rPr>
          <w:sz w:val="20"/>
        </w:rPr>
        <w:tab/>
        <w:t>Sch. 3 cl. 38</w:t>
      </w:r>
    </w:p>
    <w:p>
      <w:pPr>
        <w:tabs>
          <w:tab w:val="right" w:leader="dot" w:pos="7070"/>
        </w:tabs>
        <w:ind w:left="578" w:right="578"/>
        <w:rPr>
          <w:sz w:val="20"/>
        </w:rPr>
      </w:pPr>
      <w:r>
        <w:rPr>
          <w:sz w:val="20"/>
        </w:rPr>
        <w:t>old scheme transmission pipeline</w:t>
      </w:r>
      <w:r>
        <w:rPr>
          <w:sz w:val="20"/>
        </w:rPr>
        <w:tab/>
        <w:t>2</w:t>
      </w:r>
    </w:p>
    <w:p>
      <w:pPr>
        <w:tabs>
          <w:tab w:val="right" w:leader="dot" w:pos="7070"/>
        </w:tabs>
        <w:ind w:left="578" w:right="578"/>
        <w:rPr>
          <w:sz w:val="20"/>
        </w:rPr>
      </w:pPr>
      <w:r>
        <w:rPr>
          <w:sz w:val="20"/>
        </w:rPr>
        <w:t>omit</w:t>
      </w:r>
      <w:r>
        <w:rPr>
          <w:sz w:val="20"/>
        </w:rPr>
        <w:tab/>
        <w:t>Sch. 2 cl. 10</w:t>
      </w:r>
    </w:p>
    <w:p>
      <w:pPr>
        <w:tabs>
          <w:tab w:val="right" w:leader="dot" w:pos="7070"/>
        </w:tabs>
        <w:ind w:left="578" w:right="578"/>
        <w:rPr>
          <w:sz w:val="20"/>
        </w:rPr>
      </w:pPr>
      <w:r>
        <w:rPr>
          <w:sz w:val="20"/>
        </w:rPr>
        <w:t>ordinary meaning</w:t>
      </w:r>
      <w:r>
        <w:rPr>
          <w:sz w:val="20"/>
        </w:rPr>
        <w:tab/>
        <w:t>Sch. 2 cl. 8</w:t>
      </w:r>
    </w:p>
    <w:p>
      <w:pPr>
        <w:tabs>
          <w:tab w:val="right" w:leader="dot" w:pos="7070"/>
        </w:tabs>
        <w:ind w:left="578" w:right="578"/>
        <w:rPr>
          <w:sz w:val="20"/>
        </w:rPr>
      </w:pPr>
      <w:r>
        <w:rPr>
          <w:sz w:val="20"/>
        </w:rPr>
        <w:t>original decision maker</w:t>
      </w:r>
      <w:r>
        <w:rPr>
          <w:sz w:val="20"/>
        </w:rPr>
        <w:tab/>
        <w:t>244</w:t>
      </w:r>
    </w:p>
    <w:p>
      <w:pPr>
        <w:tabs>
          <w:tab w:val="right" w:leader="dot" w:pos="7070"/>
        </w:tabs>
        <w:ind w:left="578" w:right="578"/>
        <w:rPr>
          <w:sz w:val="20"/>
        </w:rPr>
      </w:pPr>
      <w:r>
        <w:rPr>
          <w:sz w:val="20"/>
        </w:rPr>
        <w:t>participating jurisdiction</w:t>
      </w:r>
      <w:r>
        <w:rPr>
          <w:sz w:val="20"/>
        </w:rPr>
        <w:tab/>
        <w:t>2</w:t>
      </w:r>
    </w:p>
    <w:p>
      <w:pPr>
        <w:tabs>
          <w:tab w:val="right" w:leader="dot" w:pos="7070"/>
        </w:tabs>
        <w:ind w:left="578" w:right="578"/>
        <w:rPr>
          <w:sz w:val="20"/>
        </w:rPr>
      </w:pPr>
      <w:r>
        <w:rPr>
          <w:sz w:val="20"/>
        </w:rPr>
        <w:t>party</w:t>
      </w:r>
      <w:r>
        <w:rPr>
          <w:sz w:val="20"/>
        </w:rPr>
        <w:tab/>
        <w:t>178, 216A, Sch. 2 cl. 10</w:t>
      </w:r>
    </w:p>
    <w:p>
      <w:pPr>
        <w:tabs>
          <w:tab w:val="right" w:leader="dot" w:pos="7070"/>
        </w:tabs>
        <w:ind w:left="578" w:right="578"/>
        <w:rPr>
          <w:sz w:val="20"/>
        </w:rPr>
      </w:pPr>
      <w:r>
        <w:rPr>
          <w:sz w:val="20"/>
        </w:rPr>
        <w:t>penalty</w:t>
      </w:r>
      <w:r>
        <w:rPr>
          <w:sz w:val="20"/>
        </w:rPr>
        <w:tab/>
        <w:t>Sch. 2 cl. 10</w:t>
      </w:r>
    </w:p>
    <w:p>
      <w:pPr>
        <w:tabs>
          <w:tab w:val="right" w:leader="dot" w:pos="7070"/>
        </w:tabs>
        <w:ind w:left="578" w:right="578"/>
        <w:rPr>
          <w:sz w:val="20"/>
        </w:rPr>
      </w:pPr>
      <w:r>
        <w:rPr>
          <w:sz w:val="20"/>
        </w:rPr>
        <w:t>pending old scheme coverage determination</w:t>
      </w:r>
      <w:r>
        <w:rPr>
          <w:sz w:val="20"/>
        </w:rPr>
        <w:tab/>
        <w:t>Sch. 3 cl. 1</w:t>
      </w:r>
    </w:p>
    <w:p>
      <w:pPr>
        <w:tabs>
          <w:tab w:val="right" w:leader="dot" w:pos="7070"/>
        </w:tabs>
        <w:ind w:left="578" w:right="578"/>
        <w:rPr>
          <w:sz w:val="20"/>
        </w:rPr>
      </w:pPr>
      <w:r>
        <w:rPr>
          <w:sz w:val="20"/>
        </w:rPr>
        <w:t>pending old scheme coverage non</w:t>
      </w:r>
      <w:r>
        <w:rPr>
          <w:sz w:val="20"/>
        </w:rPr>
        <w:noBreakHyphen/>
        <w:t>revocation determination</w:t>
      </w:r>
      <w:r>
        <w:rPr>
          <w:sz w:val="20"/>
        </w:rPr>
        <w:tab/>
        <w:t>Sch. 3 cl. 1</w:t>
      </w:r>
    </w:p>
    <w:p>
      <w:pPr>
        <w:tabs>
          <w:tab w:val="right" w:leader="dot" w:pos="7070"/>
        </w:tabs>
        <w:ind w:left="578" w:right="578"/>
        <w:rPr>
          <w:sz w:val="20"/>
        </w:rPr>
      </w:pPr>
      <w:r>
        <w:rPr>
          <w:sz w:val="20"/>
        </w:rPr>
        <w:t>pending old scheme coverage revocation determination</w:t>
      </w:r>
      <w:r>
        <w:rPr>
          <w:sz w:val="20"/>
        </w:rPr>
        <w:tab/>
        <w:t>Sch. 3 cl. 1</w:t>
      </w:r>
    </w:p>
    <w:p>
      <w:pPr>
        <w:tabs>
          <w:tab w:val="right" w:leader="dot" w:pos="7070"/>
        </w:tabs>
        <w:ind w:left="578" w:right="578"/>
        <w:rPr>
          <w:sz w:val="20"/>
        </w:rPr>
      </w:pPr>
      <w:r>
        <w:rPr>
          <w:sz w:val="20"/>
        </w:rPr>
        <w:t>pending old scheme no</w:t>
      </w:r>
      <w:r>
        <w:rPr>
          <w:sz w:val="20"/>
        </w:rPr>
        <w:noBreakHyphen/>
        <w:t>coverage determination</w:t>
      </w:r>
      <w:r>
        <w:rPr>
          <w:sz w:val="20"/>
        </w:rPr>
        <w:tab/>
        <w:t>Sch. 3 cl. 1</w:t>
      </w:r>
    </w:p>
    <w:p>
      <w:pPr>
        <w:tabs>
          <w:tab w:val="right" w:leader="dot" w:pos="7070"/>
        </w:tabs>
        <w:ind w:left="578" w:right="578"/>
        <w:rPr>
          <w:sz w:val="20"/>
        </w:rPr>
      </w:pPr>
      <w:r>
        <w:rPr>
          <w:sz w:val="20"/>
        </w:rPr>
        <w:t>person</w:t>
      </w:r>
      <w:r>
        <w:rPr>
          <w:sz w:val="20"/>
        </w:rPr>
        <w:tab/>
        <w:t>Sch. 2 cl. 10</w:t>
      </w:r>
    </w:p>
    <w:p>
      <w:pPr>
        <w:tabs>
          <w:tab w:val="right" w:leader="dot" w:pos="7070"/>
        </w:tabs>
        <w:ind w:left="578" w:right="578"/>
        <w:rPr>
          <w:sz w:val="20"/>
        </w:rPr>
      </w:pPr>
      <w:r>
        <w:rPr>
          <w:sz w:val="20"/>
        </w:rPr>
        <w:t>person aggrieved</w:t>
      </w:r>
      <w:r>
        <w:rPr>
          <w:sz w:val="20"/>
        </w:rPr>
        <w:tab/>
        <w:t>241</w:t>
      </w:r>
    </w:p>
    <w:p>
      <w:pPr>
        <w:tabs>
          <w:tab w:val="right" w:leader="dot" w:pos="7070"/>
        </w:tabs>
        <w:ind w:left="578" w:right="578"/>
        <w:rPr>
          <w:sz w:val="20"/>
        </w:rPr>
      </w:pPr>
      <w:r>
        <w:rPr>
          <w:sz w:val="20"/>
        </w:rPr>
        <w:t>pipeline</w:t>
      </w:r>
      <w:r>
        <w:rPr>
          <w:sz w:val="20"/>
        </w:rPr>
        <w:tab/>
        <w:t>2</w:t>
      </w:r>
    </w:p>
    <w:p>
      <w:pPr>
        <w:tabs>
          <w:tab w:val="right" w:leader="dot" w:pos="7070"/>
        </w:tabs>
        <w:ind w:left="578" w:right="578"/>
        <w:rPr>
          <w:sz w:val="20"/>
        </w:rPr>
      </w:pPr>
      <w:r>
        <w:rPr>
          <w:sz w:val="20"/>
        </w:rPr>
        <w:t>pipeline classification criterion</w:t>
      </w:r>
      <w:r>
        <w:rPr>
          <w:sz w:val="20"/>
        </w:rPr>
        <w:tab/>
        <w:t>2</w:t>
      </w:r>
    </w:p>
    <w:p>
      <w:pPr>
        <w:tabs>
          <w:tab w:val="right" w:leader="dot" w:pos="7070"/>
        </w:tabs>
        <w:ind w:left="578" w:right="578"/>
        <w:rPr>
          <w:sz w:val="20"/>
        </w:rPr>
      </w:pPr>
      <w:r>
        <w:rPr>
          <w:sz w:val="20"/>
        </w:rPr>
        <w:t>pipeline coverage criteria</w:t>
      </w:r>
      <w:r>
        <w:rPr>
          <w:sz w:val="20"/>
        </w:rPr>
        <w:tab/>
        <w:t>2</w:t>
      </w:r>
    </w:p>
    <w:p>
      <w:pPr>
        <w:tabs>
          <w:tab w:val="right" w:leader="dot" w:pos="7070"/>
        </w:tabs>
        <w:ind w:left="578" w:right="578"/>
        <w:rPr>
          <w:sz w:val="20"/>
        </w:rPr>
      </w:pPr>
      <w:r>
        <w:rPr>
          <w:sz w:val="20"/>
        </w:rPr>
        <w:t>pipeline reliability standard</w:t>
      </w:r>
      <w:r>
        <w:rPr>
          <w:sz w:val="20"/>
        </w:rPr>
        <w:tab/>
        <w:t>2</w:t>
      </w:r>
    </w:p>
    <w:p>
      <w:pPr>
        <w:tabs>
          <w:tab w:val="right" w:leader="dot" w:pos="7070"/>
        </w:tabs>
        <w:ind w:left="578" w:right="578"/>
        <w:rPr>
          <w:sz w:val="20"/>
        </w:rPr>
      </w:pPr>
      <w:r>
        <w:rPr>
          <w:sz w:val="20"/>
        </w:rPr>
        <w:t>pipeline safety duty</w:t>
      </w:r>
      <w:r>
        <w:rPr>
          <w:sz w:val="20"/>
        </w:rPr>
        <w:tab/>
        <w:t>2</w:t>
      </w:r>
    </w:p>
    <w:p>
      <w:pPr>
        <w:tabs>
          <w:tab w:val="right" w:leader="dot" w:pos="7070"/>
        </w:tabs>
        <w:ind w:left="578" w:right="578"/>
        <w:rPr>
          <w:sz w:val="20"/>
        </w:rPr>
      </w:pPr>
      <w:r>
        <w:rPr>
          <w:sz w:val="20"/>
        </w:rPr>
        <w:t>pipeline service</w:t>
      </w:r>
      <w:r>
        <w:rPr>
          <w:sz w:val="20"/>
        </w:rPr>
        <w:tab/>
        <w:t>2</w:t>
      </w:r>
    </w:p>
    <w:p>
      <w:pPr>
        <w:tabs>
          <w:tab w:val="right" w:leader="dot" w:pos="7070"/>
        </w:tabs>
        <w:ind w:left="578" w:right="578"/>
        <w:rPr>
          <w:sz w:val="20"/>
        </w:rPr>
      </w:pPr>
      <w:r>
        <w:rPr>
          <w:sz w:val="20"/>
        </w:rPr>
        <w:t>pipeline service standard</w:t>
      </w:r>
      <w:r>
        <w:rPr>
          <w:sz w:val="20"/>
        </w:rPr>
        <w:tab/>
        <w:t>2</w:t>
      </w:r>
    </w:p>
    <w:p>
      <w:pPr>
        <w:tabs>
          <w:tab w:val="right" w:leader="dot" w:pos="7070"/>
        </w:tabs>
        <w:ind w:left="578" w:right="578"/>
        <w:rPr>
          <w:sz w:val="20"/>
        </w:rPr>
      </w:pPr>
      <w:r>
        <w:rPr>
          <w:sz w:val="20"/>
        </w:rPr>
        <w:t>Pipelines Access/Arbitration amendments</w:t>
      </w:r>
      <w:r>
        <w:rPr>
          <w:sz w:val="20"/>
        </w:rPr>
        <w:tab/>
        <w:t>294F</w:t>
      </w:r>
    </w:p>
    <w:p>
      <w:pPr>
        <w:tabs>
          <w:tab w:val="right" w:leader="dot" w:pos="7070"/>
        </w:tabs>
        <w:ind w:left="578" w:right="578"/>
        <w:rPr>
          <w:sz w:val="20"/>
        </w:rPr>
      </w:pPr>
      <w:r>
        <w:rPr>
          <w:sz w:val="20"/>
        </w:rPr>
        <w:t>power</w:t>
      </w:r>
      <w:r>
        <w:rPr>
          <w:sz w:val="20"/>
        </w:rPr>
        <w:tab/>
        <w:t>Sch. 2 cl. 10</w:t>
      </w:r>
    </w:p>
    <w:p>
      <w:pPr>
        <w:tabs>
          <w:tab w:val="right" w:leader="dot" w:pos="7070"/>
        </w:tabs>
        <w:ind w:left="578" w:right="578"/>
        <w:rPr>
          <w:sz w:val="20"/>
        </w:rPr>
      </w:pPr>
      <w:r>
        <w:rPr>
          <w:sz w:val="20"/>
        </w:rPr>
        <w:t>pre</w:t>
      </w:r>
      <w:r>
        <w:rPr>
          <w:sz w:val="20"/>
        </w:rPr>
        <w:noBreakHyphen/>
        <w:t>notification right</w:t>
      </w:r>
      <w:r>
        <w:rPr>
          <w:sz w:val="20"/>
        </w:rPr>
        <w:tab/>
        <w:t>188(2), 216N</w:t>
      </w:r>
    </w:p>
    <w:p>
      <w:pPr>
        <w:tabs>
          <w:tab w:val="right" w:leader="dot" w:pos="7070"/>
        </w:tabs>
        <w:ind w:left="578" w:right="578"/>
        <w:rPr>
          <w:sz w:val="20"/>
        </w:rPr>
      </w:pPr>
      <w:r>
        <w:rPr>
          <w:sz w:val="20"/>
        </w:rPr>
        <w:t>prescribed</w:t>
      </w:r>
      <w:r>
        <w:rPr>
          <w:sz w:val="20"/>
        </w:rPr>
        <w:tab/>
        <w:t>Sch. 2 cl. 10</w:t>
      </w:r>
    </w:p>
    <w:p>
      <w:pPr>
        <w:tabs>
          <w:tab w:val="right" w:leader="dot" w:pos="7070"/>
        </w:tabs>
        <w:ind w:left="578" w:right="578"/>
        <w:rPr>
          <w:sz w:val="20"/>
        </w:rPr>
      </w:pPr>
      <w:r>
        <w:rPr>
          <w:sz w:val="20"/>
        </w:rPr>
        <w:t>price or revenue regulation</w:t>
      </w:r>
      <w:r>
        <w:rPr>
          <w:sz w:val="20"/>
        </w:rPr>
        <w:tab/>
        <w:t>2</w:t>
      </w:r>
    </w:p>
    <w:p>
      <w:pPr>
        <w:tabs>
          <w:tab w:val="right" w:leader="dot" w:pos="7070"/>
        </w:tabs>
        <w:ind w:left="578" w:right="578"/>
        <w:rPr>
          <w:sz w:val="20"/>
        </w:rPr>
      </w:pPr>
      <w:r>
        <w:rPr>
          <w:sz w:val="20"/>
        </w:rPr>
        <w:t>price regulation exemption</w:t>
      </w:r>
      <w:r>
        <w:rPr>
          <w:sz w:val="20"/>
        </w:rPr>
        <w:tab/>
        <w:t>2</w:t>
      </w:r>
    </w:p>
    <w:p>
      <w:pPr>
        <w:tabs>
          <w:tab w:val="right" w:leader="dot" w:pos="7070"/>
        </w:tabs>
        <w:ind w:left="578" w:right="578"/>
        <w:rPr>
          <w:sz w:val="20"/>
        </w:rPr>
      </w:pPr>
      <w:r>
        <w:rPr>
          <w:sz w:val="20"/>
        </w:rPr>
        <w:t>price regulation exemption recommendation</w:t>
      </w:r>
      <w:r>
        <w:rPr>
          <w:sz w:val="20"/>
        </w:rPr>
        <w:tab/>
        <w:t>2</w:t>
      </w:r>
    </w:p>
    <w:p>
      <w:pPr>
        <w:tabs>
          <w:tab w:val="right" w:leader="dot" w:pos="7070"/>
        </w:tabs>
        <w:ind w:left="578" w:right="578"/>
        <w:rPr>
          <w:sz w:val="20"/>
        </w:rPr>
      </w:pPr>
      <w:r>
        <w:rPr>
          <w:sz w:val="20"/>
        </w:rPr>
        <w:t>principal decision maker</w:t>
      </w:r>
      <w:r>
        <w:rPr>
          <w:sz w:val="20"/>
        </w:rPr>
        <w:tab/>
        <w:t>331(2)</w:t>
      </w:r>
    </w:p>
    <w:p>
      <w:pPr>
        <w:tabs>
          <w:tab w:val="right" w:leader="dot" w:pos="7070"/>
        </w:tabs>
        <w:ind w:left="578" w:right="578"/>
        <w:rPr>
          <w:sz w:val="20"/>
        </w:rPr>
      </w:pPr>
      <w:r>
        <w:rPr>
          <w:sz w:val="20"/>
        </w:rPr>
        <w:t>printed</w:t>
      </w:r>
      <w:r>
        <w:rPr>
          <w:sz w:val="20"/>
        </w:rPr>
        <w:tab/>
        <w:t>Sch. 2 cl. 10</w:t>
      </w:r>
    </w:p>
    <w:p>
      <w:pPr>
        <w:tabs>
          <w:tab w:val="right" w:leader="dot" w:pos="7070"/>
        </w:tabs>
        <w:ind w:left="578" w:right="578"/>
        <w:rPr>
          <w:sz w:val="20"/>
        </w:rPr>
      </w:pPr>
      <w:r>
        <w:rPr>
          <w:sz w:val="20"/>
        </w:rPr>
        <w:t>proceeding</w:t>
      </w:r>
      <w:r>
        <w:rPr>
          <w:sz w:val="20"/>
        </w:rPr>
        <w:tab/>
        <w:t>Sch. 2 cl. 10</w:t>
      </w:r>
    </w:p>
    <w:p>
      <w:pPr>
        <w:tabs>
          <w:tab w:val="right" w:leader="dot" w:pos="7070"/>
        </w:tabs>
        <w:ind w:left="578" w:right="578"/>
        <w:rPr>
          <w:sz w:val="20"/>
        </w:rPr>
      </w:pPr>
      <w:r>
        <w:rPr>
          <w:sz w:val="20"/>
        </w:rPr>
        <w:t>processable gas</w:t>
      </w:r>
      <w:r>
        <w:rPr>
          <w:sz w:val="20"/>
        </w:rPr>
        <w:tab/>
        <w:t>2</w:t>
      </w:r>
    </w:p>
    <w:p>
      <w:pPr>
        <w:tabs>
          <w:tab w:val="right" w:leader="dot" w:pos="7070"/>
        </w:tabs>
        <w:ind w:left="578" w:right="578"/>
        <w:rPr>
          <w:sz w:val="20"/>
        </w:rPr>
      </w:pPr>
      <w:r>
        <w:rPr>
          <w:sz w:val="20"/>
        </w:rPr>
        <w:t>producer</w:t>
      </w:r>
      <w:r>
        <w:rPr>
          <w:sz w:val="20"/>
        </w:rPr>
        <w:tab/>
        <w:t>2</w:t>
      </w:r>
    </w:p>
    <w:p>
      <w:pPr>
        <w:tabs>
          <w:tab w:val="right" w:leader="dot" w:pos="7070"/>
        </w:tabs>
        <w:ind w:left="578" w:right="578"/>
        <w:rPr>
          <w:sz w:val="20"/>
        </w:rPr>
      </w:pPr>
      <w:r>
        <w:rPr>
          <w:sz w:val="20"/>
        </w:rPr>
        <w:t>property</w:t>
      </w:r>
      <w:r>
        <w:rPr>
          <w:sz w:val="20"/>
        </w:rPr>
        <w:tab/>
        <w:t>Sch. 2 cl. 10</w:t>
      </w:r>
    </w:p>
    <w:p>
      <w:pPr>
        <w:tabs>
          <w:tab w:val="right" w:leader="dot" w:pos="7070"/>
        </w:tabs>
        <w:ind w:left="578" w:right="578"/>
        <w:rPr>
          <w:sz w:val="20"/>
        </w:rPr>
      </w:pPr>
      <w:r>
        <w:rPr>
          <w:sz w:val="20"/>
        </w:rPr>
        <w:t>proposed Rule</w:t>
      </w:r>
      <w:r>
        <w:rPr>
          <w:sz w:val="20"/>
        </w:rPr>
        <w:tab/>
        <w:t>290</w:t>
      </w:r>
    </w:p>
    <w:p>
      <w:pPr>
        <w:tabs>
          <w:tab w:val="right" w:leader="dot" w:pos="7070"/>
        </w:tabs>
        <w:ind w:left="578" w:right="578"/>
        <w:rPr>
          <w:sz w:val="20"/>
        </w:rPr>
      </w:pPr>
      <w:r>
        <w:rPr>
          <w:sz w:val="20"/>
        </w:rPr>
        <w:t>prospective user</w:t>
      </w:r>
      <w:r>
        <w:rPr>
          <w:sz w:val="20"/>
        </w:rPr>
        <w:tab/>
        <w:t>2</w:t>
      </w:r>
    </w:p>
    <w:p>
      <w:pPr>
        <w:tabs>
          <w:tab w:val="right" w:leader="dot" w:pos="7070"/>
        </w:tabs>
        <w:ind w:left="578" w:right="578"/>
        <w:rPr>
          <w:sz w:val="20"/>
        </w:rPr>
      </w:pPr>
      <w:r>
        <w:rPr>
          <w:sz w:val="20"/>
        </w:rPr>
        <w:t>provision</w:t>
      </w:r>
      <w:r>
        <w:rPr>
          <w:sz w:val="20"/>
        </w:rPr>
        <w:tab/>
        <w:t>Sch. 2 cl. 10</w:t>
      </w:r>
    </w:p>
    <w:p>
      <w:pPr>
        <w:tabs>
          <w:tab w:val="right" w:leader="dot" w:pos="7070"/>
        </w:tabs>
        <w:ind w:left="578" w:right="578"/>
        <w:rPr>
          <w:sz w:val="20"/>
        </w:rPr>
      </w:pPr>
      <w:r>
        <w:rPr>
          <w:sz w:val="20"/>
        </w:rPr>
        <w:t>publish</w:t>
      </w:r>
      <w:r>
        <w:rPr>
          <w:sz w:val="20"/>
        </w:rPr>
        <w:tab/>
        <w:t>290</w:t>
      </w:r>
    </w:p>
    <w:p>
      <w:pPr>
        <w:tabs>
          <w:tab w:val="right" w:leader="dot" w:pos="7070"/>
        </w:tabs>
        <w:ind w:left="578" w:right="578"/>
        <w:rPr>
          <w:sz w:val="20"/>
        </w:rPr>
      </w:pPr>
      <w:r>
        <w:rPr>
          <w:sz w:val="20"/>
        </w:rPr>
        <w:t>queuing requirements</w:t>
      </w:r>
      <w:r>
        <w:rPr>
          <w:sz w:val="20"/>
        </w:rPr>
        <w:tab/>
        <w:t>2</w:t>
      </w:r>
    </w:p>
    <w:p>
      <w:pPr>
        <w:tabs>
          <w:tab w:val="right" w:leader="dot" w:pos="7070"/>
        </w:tabs>
        <w:ind w:left="578" w:right="578"/>
        <w:rPr>
          <w:sz w:val="20"/>
        </w:rPr>
      </w:pPr>
      <w:r>
        <w:rPr>
          <w:sz w:val="20"/>
        </w:rPr>
        <w:t>rate of return instrument</w:t>
      </w:r>
      <w:r>
        <w:rPr>
          <w:sz w:val="20"/>
        </w:rPr>
        <w:tab/>
        <w:t>2, 30D</w:t>
      </w:r>
    </w:p>
    <w:p>
      <w:pPr>
        <w:tabs>
          <w:tab w:val="right" w:leader="dot" w:pos="7070"/>
        </w:tabs>
        <w:ind w:left="578" w:right="578"/>
        <w:rPr>
          <w:sz w:val="20"/>
        </w:rPr>
      </w:pPr>
      <w:r>
        <w:rPr>
          <w:sz w:val="20"/>
        </w:rPr>
        <w:t>reclassification decision</w:t>
      </w:r>
      <w:r>
        <w:rPr>
          <w:sz w:val="20"/>
        </w:rPr>
        <w:tab/>
        <w:t>2, 129</w:t>
      </w:r>
    </w:p>
    <w:p>
      <w:pPr>
        <w:tabs>
          <w:tab w:val="right" w:leader="dot" w:pos="7070"/>
        </w:tabs>
        <w:ind w:left="578" w:right="578"/>
        <w:rPr>
          <w:sz w:val="20"/>
        </w:rPr>
      </w:pPr>
      <w:r>
        <w:rPr>
          <w:sz w:val="20"/>
        </w:rPr>
        <w:t>record</w:t>
      </w:r>
      <w:r>
        <w:rPr>
          <w:sz w:val="20"/>
        </w:rPr>
        <w:tab/>
        <w:t>Sch. 2 cl. 10</w:t>
      </w:r>
    </w:p>
    <w:p>
      <w:pPr>
        <w:tabs>
          <w:tab w:val="right" w:leader="dot" w:pos="7070"/>
        </w:tabs>
        <w:ind w:left="578" w:right="578"/>
        <w:rPr>
          <w:sz w:val="20"/>
        </w:rPr>
      </w:pPr>
      <w:r>
        <w:rPr>
          <w:sz w:val="20"/>
        </w:rPr>
        <w:t>reference service</w:t>
      </w:r>
      <w:r>
        <w:rPr>
          <w:sz w:val="20"/>
        </w:rPr>
        <w:tab/>
        <w:t>2</w:t>
      </w:r>
    </w:p>
    <w:p>
      <w:pPr>
        <w:tabs>
          <w:tab w:val="right" w:leader="dot" w:pos="7070"/>
        </w:tabs>
        <w:ind w:left="578" w:right="578"/>
        <w:rPr>
          <w:sz w:val="20"/>
        </w:rPr>
      </w:pPr>
      <w:r>
        <w:rPr>
          <w:sz w:val="20"/>
        </w:rPr>
        <w:t>reference tariff</w:t>
      </w:r>
      <w:r>
        <w:rPr>
          <w:sz w:val="20"/>
        </w:rPr>
        <w:tab/>
        <w:t>2</w:t>
      </w:r>
    </w:p>
    <w:p>
      <w:pPr>
        <w:tabs>
          <w:tab w:val="right" w:leader="dot" w:pos="7070"/>
        </w:tabs>
        <w:ind w:left="578" w:right="578"/>
        <w:rPr>
          <w:sz w:val="20"/>
        </w:rPr>
      </w:pPr>
      <w:r>
        <w:rPr>
          <w:sz w:val="20"/>
        </w:rPr>
        <w:t>Reference Tariff</w:t>
      </w:r>
      <w:r>
        <w:rPr>
          <w:sz w:val="20"/>
        </w:rPr>
        <w:tab/>
        <w:t>Sch. 3 cl. 31</w:t>
      </w:r>
    </w:p>
    <w:p>
      <w:pPr>
        <w:tabs>
          <w:tab w:val="right" w:leader="dot" w:pos="7070"/>
        </w:tabs>
        <w:ind w:left="578" w:right="578"/>
        <w:rPr>
          <w:sz w:val="20"/>
        </w:rPr>
      </w:pPr>
      <w:r>
        <w:rPr>
          <w:sz w:val="20"/>
        </w:rPr>
        <w:t>regulated revenue</w:t>
      </w:r>
      <w:r>
        <w:rPr>
          <w:sz w:val="20"/>
        </w:rPr>
        <w:tab/>
        <w:t>244</w:t>
      </w:r>
    </w:p>
    <w:p>
      <w:pPr>
        <w:tabs>
          <w:tab w:val="right" w:leader="dot" w:pos="7070"/>
        </w:tabs>
        <w:ind w:left="578" w:right="578"/>
        <w:rPr>
          <w:sz w:val="20"/>
        </w:rPr>
      </w:pPr>
      <w:r>
        <w:rPr>
          <w:sz w:val="20"/>
        </w:rPr>
        <w:t>Regulations</w:t>
      </w:r>
      <w:r>
        <w:rPr>
          <w:sz w:val="20"/>
        </w:rPr>
        <w:tab/>
        <w:t>2</w:t>
      </w:r>
    </w:p>
    <w:p>
      <w:pPr>
        <w:tabs>
          <w:tab w:val="right" w:leader="dot" w:pos="7070"/>
        </w:tabs>
        <w:ind w:left="578" w:right="578"/>
        <w:rPr>
          <w:sz w:val="20"/>
        </w:rPr>
      </w:pPr>
      <w:r>
        <w:rPr>
          <w:sz w:val="20"/>
        </w:rPr>
        <w:t>Regulations or Rules of a savings and transitional nature</w:t>
      </w:r>
      <w:r>
        <w:rPr>
          <w:sz w:val="20"/>
        </w:rPr>
        <w:tab/>
        <w:t>Sch. 3 cl. 2</w:t>
      </w:r>
    </w:p>
    <w:p>
      <w:pPr>
        <w:tabs>
          <w:tab w:val="right" w:leader="dot" w:pos="7070"/>
        </w:tabs>
        <w:ind w:left="578" w:right="578"/>
        <w:rPr>
          <w:sz w:val="20"/>
        </w:rPr>
      </w:pPr>
      <w:r>
        <w:rPr>
          <w:sz w:val="20"/>
        </w:rPr>
        <w:t>regulator</w:t>
      </w:r>
      <w:r>
        <w:rPr>
          <w:sz w:val="20"/>
        </w:rPr>
        <w:tab/>
        <w:t>Act 9(1), Note 2</w:t>
      </w:r>
    </w:p>
    <w:p>
      <w:pPr>
        <w:tabs>
          <w:tab w:val="right" w:leader="dot" w:pos="7070"/>
        </w:tabs>
        <w:ind w:left="578" w:right="578"/>
        <w:rPr>
          <w:sz w:val="20"/>
        </w:rPr>
      </w:pPr>
      <w:r>
        <w:rPr>
          <w:sz w:val="20"/>
        </w:rPr>
        <w:t>regulatory information instrument</w:t>
      </w:r>
      <w:r>
        <w:rPr>
          <w:sz w:val="20"/>
        </w:rPr>
        <w:tab/>
        <w:t>2</w:t>
      </w:r>
    </w:p>
    <w:p>
      <w:pPr>
        <w:tabs>
          <w:tab w:val="right" w:leader="dot" w:pos="7070"/>
        </w:tabs>
        <w:ind w:left="578" w:right="578"/>
        <w:rPr>
          <w:sz w:val="20"/>
        </w:rPr>
      </w:pPr>
      <w:r>
        <w:rPr>
          <w:sz w:val="20"/>
        </w:rPr>
        <w:t xml:space="preserve">regulatory information notice </w:t>
      </w:r>
      <w:r>
        <w:rPr>
          <w:sz w:val="20"/>
        </w:rPr>
        <w:tab/>
        <w:t>2</w:t>
      </w:r>
    </w:p>
    <w:p>
      <w:pPr>
        <w:tabs>
          <w:tab w:val="right" w:leader="dot" w:pos="7070"/>
        </w:tabs>
        <w:ind w:left="578" w:right="578"/>
        <w:rPr>
          <w:sz w:val="20"/>
        </w:rPr>
      </w:pPr>
      <w:r>
        <w:rPr>
          <w:sz w:val="20"/>
        </w:rPr>
        <w:t>regulatory obligation or requirement</w:t>
      </w:r>
      <w:r>
        <w:rPr>
          <w:sz w:val="20"/>
        </w:rPr>
        <w:tab/>
        <w:t>2</w:t>
      </w:r>
    </w:p>
    <w:p>
      <w:pPr>
        <w:tabs>
          <w:tab w:val="right" w:leader="dot" w:pos="7070"/>
        </w:tabs>
        <w:ind w:left="578" w:right="578"/>
        <w:rPr>
          <w:sz w:val="20"/>
        </w:rPr>
      </w:pPr>
      <w:r>
        <w:rPr>
          <w:sz w:val="20"/>
        </w:rPr>
        <w:t xml:space="preserve">regulatory payment </w:t>
      </w:r>
      <w:r>
        <w:rPr>
          <w:sz w:val="20"/>
        </w:rPr>
        <w:tab/>
        <w:t>2</w:t>
      </w:r>
    </w:p>
    <w:p>
      <w:pPr>
        <w:tabs>
          <w:tab w:val="right" w:leader="dot" w:pos="7070"/>
        </w:tabs>
        <w:ind w:left="578" w:right="578"/>
        <w:rPr>
          <w:sz w:val="20"/>
        </w:rPr>
      </w:pPr>
      <w:r>
        <w:rPr>
          <w:sz w:val="20"/>
        </w:rPr>
        <w:t>regulatory period</w:t>
      </w:r>
      <w:r>
        <w:rPr>
          <w:sz w:val="20"/>
        </w:rPr>
        <w:tab/>
        <w:t>244</w:t>
      </w:r>
    </w:p>
    <w:p>
      <w:pPr>
        <w:tabs>
          <w:tab w:val="right" w:leader="dot" w:pos="7070"/>
        </w:tabs>
        <w:ind w:left="578" w:right="578"/>
        <w:rPr>
          <w:sz w:val="20"/>
        </w:rPr>
      </w:pPr>
      <w:r>
        <w:rPr>
          <w:sz w:val="20"/>
        </w:rPr>
        <w:t>regulatory scheme decision maker</w:t>
      </w:r>
      <w:r>
        <w:rPr>
          <w:sz w:val="20"/>
        </w:rPr>
        <w:tab/>
        <w:t>332(3)</w:t>
      </w:r>
    </w:p>
    <w:p>
      <w:pPr>
        <w:tabs>
          <w:tab w:val="right" w:leader="dot" w:pos="7070"/>
        </w:tabs>
        <w:ind w:left="578" w:right="578"/>
        <w:rPr>
          <w:sz w:val="20"/>
        </w:rPr>
      </w:pPr>
      <w:r>
        <w:rPr>
          <w:sz w:val="20"/>
        </w:rPr>
        <w:t>related business</w:t>
      </w:r>
      <w:r>
        <w:rPr>
          <w:sz w:val="20"/>
        </w:rPr>
        <w:tab/>
        <w:t>137</w:t>
      </w:r>
    </w:p>
    <w:p>
      <w:pPr>
        <w:tabs>
          <w:tab w:val="right" w:leader="dot" w:pos="7070"/>
        </w:tabs>
        <w:ind w:left="578" w:right="578"/>
        <w:rPr>
          <w:sz w:val="20"/>
        </w:rPr>
      </w:pPr>
      <w:r>
        <w:rPr>
          <w:sz w:val="20"/>
        </w:rPr>
        <w:t>related provider</w:t>
      </w:r>
      <w:r>
        <w:rPr>
          <w:sz w:val="20"/>
        </w:rPr>
        <w:tab/>
        <w:t>43</w:t>
      </w:r>
    </w:p>
    <w:p>
      <w:pPr>
        <w:tabs>
          <w:tab w:val="right" w:leader="dot" w:pos="7070"/>
        </w:tabs>
        <w:ind w:left="578" w:right="578"/>
        <w:rPr>
          <w:sz w:val="20"/>
        </w:rPr>
      </w:pPr>
      <w:r>
        <w:rPr>
          <w:sz w:val="20"/>
        </w:rPr>
        <w:t>relevant appeals body</w:t>
      </w:r>
      <w:r>
        <w:rPr>
          <w:sz w:val="20"/>
        </w:rPr>
        <w:tab/>
        <w:t>Sch. 3 cl. 1</w:t>
      </w:r>
    </w:p>
    <w:p>
      <w:pPr>
        <w:tabs>
          <w:tab w:val="right" w:leader="dot" w:pos="7070"/>
        </w:tabs>
        <w:ind w:left="578" w:right="578"/>
        <w:rPr>
          <w:sz w:val="20"/>
        </w:rPr>
      </w:pPr>
      <w:r>
        <w:rPr>
          <w:sz w:val="20"/>
        </w:rPr>
        <w:t>relevant decision maker</w:t>
      </w:r>
      <w:r>
        <w:rPr>
          <w:sz w:val="20"/>
        </w:rPr>
        <w:tab/>
        <w:t>330</w:t>
      </w:r>
    </w:p>
    <w:p>
      <w:pPr>
        <w:tabs>
          <w:tab w:val="right" w:leader="dot" w:pos="7070"/>
        </w:tabs>
        <w:ind w:left="578" w:right="578"/>
        <w:rPr>
          <w:sz w:val="20"/>
        </w:rPr>
      </w:pPr>
      <w:r>
        <w:rPr>
          <w:sz w:val="20"/>
        </w:rPr>
        <w:t>relevant decision or document</w:t>
      </w:r>
      <w:r>
        <w:rPr>
          <w:sz w:val="20"/>
        </w:rPr>
        <w:tab/>
        <w:t>Sch. 2 cl. 31</w:t>
      </w:r>
    </w:p>
    <w:p>
      <w:pPr>
        <w:tabs>
          <w:tab w:val="right" w:leader="dot" w:pos="7070"/>
        </w:tabs>
        <w:ind w:left="578" w:right="578"/>
        <w:rPr>
          <w:sz w:val="20"/>
        </w:rPr>
      </w:pPr>
      <w:r>
        <w:rPr>
          <w:sz w:val="20"/>
        </w:rPr>
        <w:t>relevant exclusivity right</w:t>
      </w:r>
      <w:r>
        <w:rPr>
          <w:sz w:val="20"/>
        </w:rPr>
        <w:tab/>
        <w:t>188(2), 321(2)</w:t>
      </w:r>
    </w:p>
    <w:p>
      <w:pPr>
        <w:tabs>
          <w:tab w:val="right" w:leader="dot" w:pos="7070"/>
        </w:tabs>
        <w:ind w:left="578" w:right="578"/>
        <w:rPr>
          <w:sz w:val="20"/>
        </w:rPr>
      </w:pPr>
      <w:r>
        <w:rPr>
          <w:sz w:val="20"/>
        </w:rPr>
        <w:t>relevant Minister</w:t>
      </w:r>
      <w:r>
        <w:rPr>
          <w:sz w:val="20"/>
        </w:rPr>
        <w:tab/>
        <w:t>2</w:t>
      </w:r>
    </w:p>
    <w:p>
      <w:pPr>
        <w:tabs>
          <w:tab w:val="right" w:leader="dot" w:pos="7070"/>
        </w:tabs>
        <w:ind w:left="578" w:right="578"/>
        <w:rPr>
          <w:sz w:val="20"/>
        </w:rPr>
      </w:pPr>
      <w:r>
        <w:rPr>
          <w:sz w:val="20"/>
        </w:rPr>
        <w:t>relevant national provisions</w:t>
      </w:r>
      <w:r>
        <w:rPr>
          <w:sz w:val="20"/>
        </w:rPr>
        <w:tab/>
        <w:t>Act 19(3)</w:t>
      </w:r>
    </w:p>
    <w:p>
      <w:pPr>
        <w:tabs>
          <w:tab w:val="right" w:leader="dot" w:pos="7070"/>
        </w:tabs>
        <w:ind w:left="578" w:right="578"/>
        <w:rPr>
          <w:sz w:val="20"/>
        </w:rPr>
      </w:pPr>
      <w:r>
        <w:rPr>
          <w:sz w:val="20"/>
        </w:rPr>
        <w:t>relevant notice</w:t>
      </w:r>
      <w:r>
        <w:rPr>
          <w:sz w:val="20"/>
        </w:rPr>
        <w:tab/>
        <w:t>42(1), Sch. 2 cl. 31, 33</w:t>
      </w:r>
    </w:p>
    <w:p>
      <w:pPr>
        <w:tabs>
          <w:tab w:val="right" w:leader="dot" w:pos="7070"/>
        </w:tabs>
        <w:ind w:left="578" w:right="578"/>
        <w:rPr>
          <w:sz w:val="20"/>
        </w:rPr>
      </w:pPr>
      <w:r>
        <w:rPr>
          <w:sz w:val="20"/>
        </w:rPr>
        <w:t>relevant pipeline description</w:t>
      </w:r>
      <w:r>
        <w:rPr>
          <w:sz w:val="20"/>
        </w:rPr>
        <w:tab/>
        <w:t>171(3)</w:t>
      </w:r>
    </w:p>
    <w:p>
      <w:pPr>
        <w:tabs>
          <w:tab w:val="right" w:leader="dot" w:pos="7070"/>
        </w:tabs>
        <w:ind w:left="578" w:right="578"/>
        <w:rPr>
          <w:sz w:val="20"/>
        </w:rPr>
      </w:pPr>
      <w:r>
        <w:rPr>
          <w:sz w:val="20"/>
        </w:rPr>
        <w:t>relevant protected contractual right</w:t>
      </w:r>
      <w:r>
        <w:rPr>
          <w:sz w:val="20"/>
        </w:rPr>
        <w:tab/>
        <w:t>188(2), 216N, 321(2)</w:t>
      </w:r>
    </w:p>
    <w:p>
      <w:pPr>
        <w:tabs>
          <w:tab w:val="right" w:leader="dot" w:pos="7070"/>
        </w:tabs>
        <w:ind w:left="578" w:right="578"/>
        <w:rPr>
          <w:sz w:val="20"/>
        </w:rPr>
      </w:pPr>
      <w:r>
        <w:rPr>
          <w:sz w:val="20"/>
        </w:rPr>
        <w:t>relevant provision</w:t>
      </w:r>
      <w:r>
        <w:rPr>
          <w:sz w:val="20"/>
        </w:rPr>
        <w:tab/>
        <w:t>31</w:t>
      </w:r>
    </w:p>
    <w:p>
      <w:pPr>
        <w:tabs>
          <w:tab w:val="right" w:leader="dot" w:pos="7070"/>
        </w:tabs>
        <w:ind w:left="578" w:right="578"/>
        <w:rPr>
          <w:sz w:val="20"/>
        </w:rPr>
      </w:pPr>
      <w:r>
        <w:rPr>
          <w:sz w:val="20"/>
        </w:rPr>
        <w:t>relevant Regulator</w:t>
      </w:r>
      <w:r>
        <w:rPr>
          <w:sz w:val="20"/>
        </w:rPr>
        <w:tab/>
        <w:t>2</w:t>
      </w:r>
    </w:p>
    <w:p>
      <w:pPr>
        <w:tabs>
          <w:tab w:val="right" w:leader="dot" w:pos="7070"/>
        </w:tabs>
        <w:ind w:left="578" w:right="578"/>
        <w:rPr>
          <w:sz w:val="20"/>
        </w:rPr>
      </w:pPr>
      <w:r>
        <w:rPr>
          <w:sz w:val="20"/>
        </w:rPr>
        <w:t>relevant Regulator investigation</w:t>
      </w:r>
      <w:r>
        <w:rPr>
          <w:sz w:val="20"/>
        </w:rPr>
        <w:tab/>
        <w:t>Sch. 3 cl. 43</w:t>
      </w:r>
    </w:p>
    <w:p>
      <w:pPr>
        <w:tabs>
          <w:tab w:val="right" w:leader="dot" w:pos="7070"/>
        </w:tabs>
        <w:ind w:left="578" w:right="578"/>
        <w:rPr>
          <w:sz w:val="20"/>
        </w:rPr>
      </w:pPr>
      <w:r>
        <w:rPr>
          <w:sz w:val="20"/>
        </w:rPr>
        <w:t>relevant transition date</w:t>
      </w:r>
      <w:r>
        <w:rPr>
          <w:sz w:val="20"/>
        </w:rPr>
        <w:tab/>
        <w:t>Sch. 3 cl. 9, 16, 24</w:t>
      </w:r>
    </w:p>
    <w:p>
      <w:pPr>
        <w:tabs>
          <w:tab w:val="right" w:leader="dot" w:pos="7070"/>
        </w:tabs>
        <w:ind w:left="578" w:right="578"/>
        <w:rPr>
          <w:sz w:val="20"/>
        </w:rPr>
      </w:pPr>
      <w:r>
        <w:rPr>
          <w:sz w:val="20"/>
        </w:rPr>
        <w:t>relevant transition period</w:t>
      </w:r>
      <w:r>
        <w:rPr>
          <w:sz w:val="20"/>
        </w:rPr>
        <w:tab/>
        <w:t>Sch. 3 cl. 31, 38</w:t>
      </w:r>
    </w:p>
    <w:p>
      <w:pPr>
        <w:tabs>
          <w:tab w:val="right" w:leader="dot" w:pos="7070"/>
        </w:tabs>
        <w:ind w:left="578" w:right="578"/>
        <w:rPr>
          <w:sz w:val="20"/>
        </w:rPr>
      </w:pPr>
      <w:r>
        <w:rPr>
          <w:sz w:val="20"/>
        </w:rPr>
        <w:t>REMCo</w:t>
      </w:r>
      <w:r>
        <w:rPr>
          <w:sz w:val="20"/>
        </w:rPr>
        <w:tab/>
        <w:t>290</w:t>
      </w:r>
    </w:p>
    <w:p>
      <w:pPr>
        <w:tabs>
          <w:tab w:val="right" w:leader="dot" w:pos="7070"/>
        </w:tabs>
        <w:ind w:left="578" w:right="578"/>
        <w:rPr>
          <w:sz w:val="20"/>
        </w:rPr>
      </w:pPr>
      <w:r>
        <w:rPr>
          <w:sz w:val="20"/>
        </w:rPr>
        <w:t>repeal</w:t>
      </w:r>
      <w:r>
        <w:rPr>
          <w:sz w:val="20"/>
        </w:rPr>
        <w:tab/>
        <w:t>Sch. 2 cl. 10</w:t>
      </w:r>
    </w:p>
    <w:p>
      <w:pPr>
        <w:tabs>
          <w:tab w:val="right" w:leader="dot" w:pos="7070"/>
        </w:tabs>
        <w:ind w:left="578" w:right="578"/>
        <w:rPr>
          <w:sz w:val="20"/>
        </w:rPr>
      </w:pPr>
      <w:r>
        <w:rPr>
          <w:sz w:val="20"/>
        </w:rPr>
        <w:t>report trigger date</w:t>
      </w:r>
      <w:r>
        <w:rPr>
          <w:sz w:val="20"/>
        </w:rPr>
        <w:tab/>
        <w:t>320(1)</w:t>
      </w:r>
    </w:p>
    <w:p>
      <w:pPr>
        <w:tabs>
          <w:tab w:val="right" w:leader="dot" w:pos="7070"/>
        </w:tabs>
        <w:ind w:left="578" w:right="578"/>
        <w:rPr>
          <w:sz w:val="20"/>
        </w:rPr>
      </w:pPr>
      <w:r>
        <w:rPr>
          <w:sz w:val="20"/>
        </w:rPr>
        <w:t>restricted period</w:t>
      </w:r>
      <w:r>
        <w:rPr>
          <w:sz w:val="20"/>
        </w:rPr>
        <w:tab/>
        <w:t>329(8)</w:t>
      </w:r>
    </w:p>
    <w:p>
      <w:pPr>
        <w:tabs>
          <w:tab w:val="right" w:leader="dot" w:pos="7070"/>
        </w:tabs>
        <w:ind w:left="578" w:right="578"/>
        <w:rPr>
          <w:sz w:val="20"/>
        </w:rPr>
      </w:pPr>
      <w:r>
        <w:rPr>
          <w:sz w:val="20"/>
        </w:rPr>
        <w:t>revenue and pricing principles</w:t>
      </w:r>
      <w:r>
        <w:rPr>
          <w:sz w:val="20"/>
        </w:rPr>
        <w:tab/>
        <w:t>2</w:t>
      </w:r>
    </w:p>
    <w:p>
      <w:pPr>
        <w:tabs>
          <w:tab w:val="right" w:leader="dot" w:pos="7070"/>
        </w:tabs>
        <w:ind w:left="578" w:right="578"/>
        <w:rPr>
          <w:sz w:val="20"/>
        </w:rPr>
      </w:pPr>
      <w:r>
        <w:rPr>
          <w:sz w:val="20"/>
        </w:rPr>
        <w:t>review</w:t>
      </w:r>
      <w:r>
        <w:rPr>
          <w:sz w:val="20"/>
        </w:rPr>
        <w:tab/>
        <w:t>Sch. 3 cl. 95</w:t>
      </w:r>
    </w:p>
    <w:p>
      <w:pPr>
        <w:tabs>
          <w:tab w:val="right" w:leader="dot" w:pos="7070"/>
        </w:tabs>
        <w:ind w:left="578" w:right="578"/>
        <w:rPr>
          <w:sz w:val="20"/>
        </w:rPr>
      </w:pPr>
      <w:r>
        <w:rPr>
          <w:sz w:val="20"/>
        </w:rPr>
        <w:t xml:space="preserve">review related matter </w:t>
      </w:r>
      <w:r>
        <w:rPr>
          <w:sz w:val="20"/>
        </w:rPr>
        <w:tab/>
        <w:t>261(7)</w:t>
      </w:r>
    </w:p>
    <w:p>
      <w:pPr>
        <w:tabs>
          <w:tab w:val="right" w:leader="dot" w:pos="7070"/>
        </w:tabs>
        <w:ind w:left="578" w:right="578"/>
        <w:rPr>
          <w:sz w:val="20"/>
        </w:rPr>
      </w:pPr>
      <w:r>
        <w:rPr>
          <w:sz w:val="20"/>
        </w:rPr>
        <w:t>review under this Part</w:t>
      </w:r>
      <w:r>
        <w:rPr>
          <w:sz w:val="20"/>
        </w:rPr>
        <w:tab/>
        <w:t>244</w:t>
      </w:r>
    </w:p>
    <w:p>
      <w:pPr>
        <w:tabs>
          <w:tab w:val="right" w:leader="dot" w:pos="7070"/>
        </w:tabs>
        <w:ind w:left="578" w:right="578"/>
        <w:rPr>
          <w:sz w:val="20"/>
        </w:rPr>
      </w:pPr>
      <w:r>
        <w:rPr>
          <w:sz w:val="20"/>
        </w:rPr>
        <w:t>reviewable regulatory decision</w:t>
      </w:r>
      <w:r>
        <w:rPr>
          <w:sz w:val="20"/>
        </w:rPr>
        <w:tab/>
        <w:t>2, 244, Sch. 3 cl. 31</w:t>
      </w:r>
    </w:p>
    <w:p>
      <w:pPr>
        <w:tabs>
          <w:tab w:val="right" w:leader="dot" w:pos="7070"/>
        </w:tabs>
        <w:ind w:left="578" w:right="578"/>
        <w:rPr>
          <w:sz w:val="20"/>
        </w:rPr>
      </w:pPr>
      <w:r>
        <w:rPr>
          <w:sz w:val="20"/>
        </w:rPr>
        <w:t>reviewable regulatory decision process participant</w:t>
      </w:r>
      <w:r>
        <w:rPr>
          <w:sz w:val="20"/>
        </w:rPr>
        <w:tab/>
        <w:t>254(2)</w:t>
      </w:r>
    </w:p>
    <w:p>
      <w:pPr>
        <w:tabs>
          <w:tab w:val="right" w:leader="dot" w:pos="7070"/>
        </w:tabs>
        <w:ind w:left="578" w:right="578"/>
        <w:rPr>
          <w:sz w:val="20"/>
        </w:rPr>
      </w:pPr>
      <w:r>
        <w:rPr>
          <w:sz w:val="20"/>
        </w:rPr>
        <w:t>ring fencing decision</w:t>
      </w:r>
      <w:r>
        <w:rPr>
          <w:sz w:val="20"/>
        </w:rPr>
        <w:tab/>
        <w:t>2</w:t>
      </w:r>
    </w:p>
    <w:p>
      <w:pPr>
        <w:tabs>
          <w:tab w:val="right" w:leader="dot" w:pos="7070"/>
        </w:tabs>
        <w:ind w:left="578" w:right="578"/>
        <w:rPr>
          <w:sz w:val="20"/>
        </w:rPr>
      </w:pPr>
      <w:r>
        <w:rPr>
          <w:sz w:val="20"/>
        </w:rPr>
        <w:t>Rule extrinsic material</w:t>
      </w:r>
      <w:r>
        <w:rPr>
          <w:sz w:val="20"/>
        </w:rPr>
        <w:tab/>
        <w:t>Sch. 2 cl. 8</w:t>
      </w:r>
    </w:p>
    <w:p>
      <w:pPr>
        <w:tabs>
          <w:tab w:val="right" w:leader="dot" w:pos="7070"/>
        </w:tabs>
        <w:ind w:left="578" w:right="578"/>
        <w:rPr>
          <w:sz w:val="20"/>
        </w:rPr>
      </w:pPr>
      <w:r>
        <w:rPr>
          <w:sz w:val="20"/>
        </w:rPr>
        <w:t>Rules</w:t>
      </w:r>
      <w:r>
        <w:rPr>
          <w:sz w:val="20"/>
        </w:rPr>
        <w:tab/>
        <w:t>2</w:t>
      </w:r>
    </w:p>
    <w:p>
      <w:pPr>
        <w:tabs>
          <w:tab w:val="right" w:leader="dot" w:pos="7070"/>
        </w:tabs>
        <w:ind w:left="578" w:right="578"/>
        <w:rPr>
          <w:sz w:val="20"/>
        </w:rPr>
      </w:pPr>
      <w:r>
        <w:rPr>
          <w:sz w:val="20"/>
        </w:rPr>
        <w:t>SA Schedule amendment</w:t>
      </w:r>
      <w:r>
        <w:rPr>
          <w:sz w:val="20"/>
        </w:rPr>
        <w:tab/>
        <w:t>Act 7A(1)</w:t>
      </w:r>
    </w:p>
    <w:p>
      <w:pPr>
        <w:tabs>
          <w:tab w:val="right" w:leader="dot" w:pos="7070"/>
        </w:tabs>
        <w:ind w:left="578" w:right="578"/>
        <w:rPr>
          <w:sz w:val="20"/>
        </w:rPr>
      </w:pPr>
      <w:r>
        <w:rPr>
          <w:sz w:val="20"/>
        </w:rPr>
        <w:t>scheme administrator</w:t>
      </w:r>
      <w:r>
        <w:rPr>
          <w:sz w:val="20"/>
        </w:rPr>
        <w:tab/>
        <w:t>216A</w:t>
      </w:r>
    </w:p>
    <w:p>
      <w:pPr>
        <w:tabs>
          <w:tab w:val="right" w:leader="dot" w:pos="7070"/>
        </w:tabs>
        <w:ind w:left="578" w:right="578"/>
        <w:rPr>
          <w:sz w:val="20"/>
        </w:rPr>
      </w:pPr>
      <w:r>
        <w:rPr>
          <w:sz w:val="20"/>
        </w:rPr>
        <w:t>scheme decision</w:t>
      </w:r>
      <w:r>
        <w:rPr>
          <w:sz w:val="20"/>
        </w:rPr>
        <w:tab/>
        <w:t>330</w:t>
      </w:r>
    </w:p>
    <w:p>
      <w:pPr>
        <w:tabs>
          <w:tab w:val="right" w:leader="dot" w:pos="7070"/>
        </w:tabs>
        <w:ind w:left="578" w:right="578"/>
        <w:rPr>
          <w:sz w:val="20"/>
        </w:rPr>
      </w:pPr>
      <w:r>
        <w:rPr>
          <w:sz w:val="20"/>
        </w:rPr>
        <w:t>scheme pipeline</w:t>
      </w:r>
      <w:r>
        <w:rPr>
          <w:sz w:val="20"/>
        </w:rPr>
        <w:tab/>
        <w:t>2</w:t>
      </w:r>
    </w:p>
    <w:p>
      <w:pPr>
        <w:tabs>
          <w:tab w:val="right" w:leader="dot" w:pos="7070"/>
        </w:tabs>
        <w:ind w:left="578" w:right="578"/>
        <w:rPr>
          <w:sz w:val="20"/>
        </w:rPr>
      </w:pPr>
      <w:r>
        <w:rPr>
          <w:sz w:val="20"/>
        </w:rPr>
        <w:t>scheme pipeline service provider</w:t>
      </w:r>
      <w:r>
        <w:rPr>
          <w:sz w:val="20"/>
        </w:rPr>
        <w:tab/>
        <w:t>43</w:t>
      </w:r>
    </w:p>
    <w:p>
      <w:pPr>
        <w:tabs>
          <w:tab w:val="right" w:leader="dot" w:pos="7070"/>
        </w:tabs>
        <w:ind w:left="578" w:right="578"/>
        <w:rPr>
          <w:sz w:val="20"/>
        </w:rPr>
      </w:pPr>
      <w:r>
        <w:rPr>
          <w:sz w:val="20"/>
        </w:rPr>
        <w:t>scheme procedure</w:t>
      </w:r>
      <w:r>
        <w:rPr>
          <w:sz w:val="20"/>
        </w:rPr>
        <w:tab/>
        <w:t>330</w:t>
      </w:r>
    </w:p>
    <w:p>
      <w:pPr>
        <w:tabs>
          <w:tab w:val="right" w:leader="dot" w:pos="7070"/>
        </w:tabs>
        <w:ind w:left="578" w:right="578"/>
        <w:rPr>
          <w:sz w:val="20"/>
        </w:rPr>
      </w:pPr>
      <w:r>
        <w:rPr>
          <w:sz w:val="20"/>
        </w:rPr>
        <w:t>service provider</w:t>
      </w:r>
      <w:r>
        <w:rPr>
          <w:sz w:val="20"/>
        </w:rPr>
        <w:tab/>
        <w:t>2, 151(4), 160(3)</w:t>
      </w:r>
    </w:p>
    <w:p>
      <w:pPr>
        <w:tabs>
          <w:tab w:val="right" w:leader="dot" w:pos="7070"/>
        </w:tabs>
        <w:ind w:left="578" w:right="578"/>
        <w:rPr>
          <w:sz w:val="20"/>
        </w:rPr>
      </w:pPr>
      <w:r>
        <w:rPr>
          <w:sz w:val="20"/>
        </w:rPr>
        <w:t>service provider group</w:t>
      </w:r>
      <w:r>
        <w:rPr>
          <w:sz w:val="20"/>
        </w:rPr>
        <w:tab/>
        <w:t>10(1)</w:t>
      </w:r>
    </w:p>
    <w:p>
      <w:pPr>
        <w:tabs>
          <w:tab w:val="right" w:leader="dot" w:pos="7070"/>
        </w:tabs>
        <w:ind w:left="578" w:right="578"/>
        <w:rPr>
          <w:sz w:val="20"/>
        </w:rPr>
      </w:pPr>
      <w:r>
        <w:rPr>
          <w:sz w:val="20"/>
        </w:rPr>
        <w:t>service provider performance report</w:t>
      </w:r>
      <w:r>
        <w:rPr>
          <w:sz w:val="20"/>
        </w:rPr>
        <w:tab/>
        <w:t>2</w:t>
      </w:r>
    </w:p>
    <w:p>
      <w:pPr>
        <w:tabs>
          <w:tab w:val="right" w:leader="dot" w:pos="7070"/>
        </w:tabs>
        <w:ind w:left="578" w:right="578"/>
        <w:rPr>
          <w:sz w:val="20"/>
        </w:rPr>
      </w:pPr>
      <w:r>
        <w:rPr>
          <w:sz w:val="20"/>
        </w:rPr>
        <w:t>SES employee</w:t>
      </w:r>
      <w:r>
        <w:rPr>
          <w:sz w:val="20"/>
        </w:rPr>
        <w:tab/>
        <w:t>Sch. 2 cl. 33</w:t>
      </w:r>
    </w:p>
    <w:p>
      <w:pPr>
        <w:tabs>
          <w:tab w:val="right" w:leader="dot" w:pos="7070"/>
        </w:tabs>
        <w:ind w:left="578" w:right="578"/>
        <w:rPr>
          <w:sz w:val="20"/>
        </w:rPr>
      </w:pPr>
      <w:r>
        <w:rPr>
          <w:sz w:val="20"/>
        </w:rPr>
        <w:t>sign</w:t>
      </w:r>
      <w:r>
        <w:rPr>
          <w:sz w:val="20"/>
        </w:rPr>
        <w:tab/>
        <w:t>Sch. 2 cl. 10</w:t>
      </w:r>
    </w:p>
    <w:p>
      <w:pPr>
        <w:tabs>
          <w:tab w:val="right" w:leader="dot" w:pos="7070"/>
        </w:tabs>
        <w:ind w:left="578" w:right="578"/>
        <w:rPr>
          <w:sz w:val="20"/>
        </w:rPr>
      </w:pPr>
      <w:r>
        <w:rPr>
          <w:sz w:val="20"/>
        </w:rPr>
        <w:t>small to medium user or end user</w:t>
      </w:r>
      <w:r>
        <w:rPr>
          <w:sz w:val="20"/>
        </w:rPr>
        <w:tab/>
        <w:t>244</w:t>
      </w:r>
    </w:p>
    <w:p>
      <w:pPr>
        <w:tabs>
          <w:tab w:val="right" w:leader="dot" w:pos="7070"/>
        </w:tabs>
        <w:ind w:left="578" w:right="578"/>
        <w:rPr>
          <w:sz w:val="20"/>
        </w:rPr>
      </w:pPr>
      <w:r>
        <w:rPr>
          <w:sz w:val="20"/>
        </w:rPr>
        <w:t>small/medium user or consumer intervener</w:t>
      </w:r>
      <w:r>
        <w:rPr>
          <w:sz w:val="20"/>
        </w:rPr>
        <w:tab/>
        <w:t>244</w:t>
      </w:r>
    </w:p>
    <w:p>
      <w:pPr>
        <w:tabs>
          <w:tab w:val="right" w:leader="dot" w:pos="7070"/>
        </w:tabs>
        <w:ind w:left="578" w:right="578"/>
        <w:rPr>
          <w:sz w:val="20"/>
        </w:rPr>
      </w:pPr>
      <w:r>
        <w:rPr>
          <w:sz w:val="20"/>
        </w:rPr>
        <w:t>South Australian Act</w:t>
      </w:r>
      <w:r>
        <w:rPr>
          <w:sz w:val="20"/>
        </w:rPr>
        <w:tab/>
        <w:t>Act 3(1)</w:t>
      </w:r>
    </w:p>
    <w:p>
      <w:pPr>
        <w:tabs>
          <w:tab w:val="right" w:leader="dot" w:pos="7070"/>
        </w:tabs>
        <w:ind w:left="578" w:right="578"/>
        <w:rPr>
          <w:sz w:val="20"/>
        </w:rPr>
      </w:pPr>
      <w:r>
        <w:rPr>
          <w:sz w:val="20"/>
        </w:rPr>
        <w:t>South Australian Minister</w:t>
      </w:r>
      <w:r>
        <w:rPr>
          <w:sz w:val="20"/>
        </w:rPr>
        <w:tab/>
        <w:t>294CA</w:t>
      </w:r>
    </w:p>
    <w:p>
      <w:pPr>
        <w:tabs>
          <w:tab w:val="right" w:leader="dot" w:pos="7070"/>
        </w:tabs>
        <w:ind w:left="578" w:right="578"/>
        <w:rPr>
          <w:sz w:val="20"/>
        </w:rPr>
      </w:pPr>
      <w:r>
        <w:rPr>
          <w:sz w:val="20"/>
        </w:rPr>
        <w:t>spare capacity</w:t>
      </w:r>
      <w:r>
        <w:rPr>
          <w:sz w:val="20"/>
        </w:rPr>
        <w:tab/>
        <w:t>2</w:t>
      </w:r>
    </w:p>
    <w:p>
      <w:pPr>
        <w:tabs>
          <w:tab w:val="right" w:leader="dot" w:pos="7070"/>
        </w:tabs>
        <w:ind w:left="578" w:right="578"/>
        <w:rPr>
          <w:sz w:val="20"/>
        </w:rPr>
      </w:pPr>
      <w:r>
        <w:rPr>
          <w:sz w:val="20"/>
        </w:rPr>
        <w:t>specified dispute termination circumstance</w:t>
      </w:r>
      <w:r>
        <w:rPr>
          <w:sz w:val="20"/>
        </w:rPr>
        <w:tab/>
        <w:t>186(3)</w:t>
      </w:r>
    </w:p>
    <w:p>
      <w:pPr>
        <w:tabs>
          <w:tab w:val="right" w:leader="dot" w:pos="7070"/>
        </w:tabs>
        <w:ind w:left="578" w:right="578"/>
        <w:rPr>
          <w:sz w:val="20"/>
        </w:rPr>
      </w:pPr>
      <w:r>
        <w:rPr>
          <w:sz w:val="20"/>
        </w:rPr>
        <w:t>stakeholders</w:t>
      </w:r>
      <w:r>
        <w:rPr>
          <w:sz w:val="20"/>
        </w:rPr>
        <w:tab/>
        <w:t>Sch. 3 cl. 95</w:t>
      </w:r>
    </w:p>
    <w:p>
      <w:pPr>
        <w:tabs>
          <w:tab w:val="right" w:leader="dot" w:pos="7070"/>
        </w:tabs>
        <w:ind w:left="578" w:right="578"/>
        <w:rPr>
          <w:sz w:val="20"/>
        </w:rPr>
      </w:pPr>
      <w:r>
        <w:rPr>
          <w:sz w:val="20"/>
        </w:rPr>
        <w:t>standard period</w:t>
      </w:r>
      <w:r>
        <w:rPr>
          <w:sz w:val="20"/>
        </w:rPr>
        <w:tab/>
        <w:t>260(1)</w:t>
      </w:r>
    </w:p>
    <w:p>
      <w:pPr>
        <w:tabs>
          <w:tab w:val="right" w:leader="dot" w:pos="7070"/>
        </w:tabs>
        <w:ind w:left="578" w:right="578"/>
        <w:rPr>
          <w:sz w:val="20"/>
        </w:rPr>
      </w:pPr>
      <w:r>
        <w:rPr>
          <w:sz w:val="20"/>
        </w:rPr>
        <w:t>statutory declaration</w:t>
      </w:r>
      <w:r>
        <w:rPr>
          <w:sz w:val="20"/>
        </w:rPr>
        <w:tab/>
        <w:t>Sch. 2 cl. 10</w:t>
      </w:r>
    </w:p>
    <w:p>
      <w:pPr>
        <w:tabs>
          <w:tab w:val="right" w:leader="dot" w:pos="7070"/>
        </w:tabs>
        <w:ind w:left="578" w:right="578"/>
        <w:rPr>
          <w:sz w:val="20"/>
        </w:rPr>
      </w:pPr>
      <w:r>
        <w:rPr>
          <w:sz w:val="20"/>
        </w:rPr>
        <w:t>statutory instrument</w:t>
      </w:r>
      <w:r>
        <w:rPr>
          <w:sz w:val="20"/>
        </w:rPr>
        <w:tab/>
        <w:t>Sch. 2 cl. 10, 21, 51</w:t>
      </w:r>
    </w:p>
    <w:p>
      <w:pPr>
        <w:tabs>
          <w:tab w:val="right" w:leader="dot" w:pos="7070"/>
        </w:tabs>
        <w:ind w:left="578" w:right="578"/>
        <w:rPr>
          <w:sz w:val="20"/>
        </w:rPr>
      </w:pPr>
      <w:r>
        <w:rPr>
          <w:sz w:val="20"/>
        </w:rPr>
        <w:t>storage provider</w:t>
      </w:r>
      <w:r>
        <w:rPr>
          <w:sz w:val="20"/>
        </w:rPr>
        <w:tab/>
        <w:t>2</w:t>
      </w:r>
    </w:p>
    <w:p>
      <w:pPr>
        <w:tabs>
          <w:tab w:val="right" w:leader="dot" w:pos="7070"/>
        </w:tabs>
        <w:ind w:left="578" w:right="578"/>
        <w:rPr>
          <w:sz w:val="20"/>
        </w:rPr>
      </w:pPr>
      <w:r>
        <w:rPr>
          <w:sz w:val="20"/>
        </w:rPr>
        <w:t>subsequent service provider</w:t>
      </w:r>
      <w:r>
        <w:rPr>
          <w:sz w:val="20"/>
        </w:rPr>
        <w:tab/>
        <w:t>215(2)</w:t>
      </w:r>
    </w:p>
    <w:p>
      <w:pPr>
        <w:tabs>
          <w:tab w:val="right" w:leader="dot" w:pos="7070"/>
        </w:tabs>
        <w:ind w:left="578" w:right="578"/>
        <w:rPr>
          <w:sz w:val="20"/>
        </w:rPr>
      </w:pPr>
      <w:r>
        <w:rPr>
          <w:sz w:val="20"/>
        </w:rPr>
        <w:t>supply</w:t>
      </w:r>
      <w:r>
        <w:rPr>
          <w:sz w:val="20"/>
        </w:rPr>
        <w:tab/>
        <w:t>2</w:t>
      </w:r>
    </w:p>
    <w:p>
      <w:pPr>
        <w:tabs>
          <w:tab w:val="right" w:leader="dot" w:pos="7070"/>
        </w:tabs>
        <w:ind w:left="578" w:right="578"/>
        <w:rPr>
          <w:sz w:val="20"/>
        </w:rPr>
      </w:pPr>
      <w:r>
        <w:rPr>
          <w:sz w:val="20"/>
        </w:rPr>
        <w:t>swear</w:t>
      </w:r>
      <w:r>
        <w:rPr>
          <w:sz w:val="20"/>
        </w:rPr>
        <w:tab/>
        <w:t>Sch. 2 cl. 10</w:t>
      </w:r>
    </w:p>
    <w:p>
      <w:pPr>
        <w:tabs>
          <w:tab w:val="right" w:leader="dot" w:pos="7070"/>
        </w:tabs>
        <w:ind w:left="578" w:right="578"/>
        <w:rPr>
          <w:sz w:val="20"/>
        </w:rPr>
      </w:pPr>
      <w:r>
        <w:rPr>
          <w:sz w:val="20"/>
        </w:rPr>
        <w:t>tariff</w:t>
      </w:r>
      <w:r>
        <w:rPr>
          <w:sz w:val="20"/>
        </w:rPr>
        <w:tab/>
        <w:t>2</w:t>
      </w:r>
    </w:p>
    <w:p>
      <w:pPr>
        <w:tabs>
          <w:tab w:val="right" w:leader="dot" w:pos="7070"/>
        </w:tabs>
        <w:ind w:left="578" w:right="578"/>
        <w:rPr>
          <w:sz w:val="20"/>
        </w:rPr>
      </w:pPr>
      <w:r>
        <w:rPr>
          <w:sz w:val="20"/>
        </w:rPr>
        <w:t>tender approval decision</w:t>
      </w:r>
      <w:r>
        <w:rPr>
          <w:sz w:val="20"/>
        </w:rPr>
        <w:tab/>
        <w:t>2</w:t>
      </w:r>
    </w:p>
    <w:p>
      <w:pPr>
        <w:tabs>
          <w:tab w:val="right" w:leader="dot" w:pos="7070"/>
        </w:tabs>
        <w:ind w:left="578" w:right="578"/>
        <w:rPr>
          <w:sz w:val="20"/>
        </w:rPr>
      </w:pPr>
      <w:r>
        <w:rPr>
          <w:sz w:val="20"/>
        </w:rPr>
        <w:t>Territory</w:t>
      </w:r>
      <w:r>
        <w:rPr>
          <w:sz w:val="20"/>
        </w:rPr>
        <w:tab/>
        <w:t>2</w:t>
      </w:r>
    </w:p>
    <w:p>
      <w:pPr>
        <w:tabs>
          <w:tab w:val="right" w:leader="dot" w:pos="7070"/>
        </w:tabs>
        <w:ind w:left="578" w:right="578"/>
        <w:rPr>
          <w:sz w:val="20"/>
        </w:rPr>
      </w:pPr>
      <w:r>
        <w:rPr>
          <w:sz w:val="20"/>
        </w:rPr>
        <w:t>that other legislation</w:t>
      </w:r>
      <w:r>
        <w:rPr>
          <w:sz w:val="20"/>
        </w:rPr>
        <w:tab/>
        <w:t>Act 16(1)</w:t>
      </w:r>
    </w:p>
    <w:p>
      <w:pPr>
        <w:tabs>
          <w:tab w:val="right" w:leader="dot" w:pos="7070"/>
        </w:tabs>
        <w:ind w:left="578" w:right="578"/>
        <w:rPr>
          <w:sz w:val="20"/>
        </w:rPr>
      </w:pPr>
      <w:r>
        <w:rPr>
          <w:sz w:val="20"/>
        </w:rPr>
        <w:t>the first terms</w:t>
      </w:r>
      <w:r>
        <w:rPr>
          <w:sz w:val="20"/>
        </w:rPr>
        <w:tab/>
        <w:t>134(1)</w:t>
      </w:r>
    </w:p>
    <w:p>
      <w:pPr>
        <w:tabs>
          <w:tab w:val="right" w:leader="dot" w:pos="7070"/>
        </w:tabs>
        <w:ind w:left="578" w:right="578"/>
        <w:rPr>
          <w:sz w:val="20"/>
        </w:rPr>
      </w:pPr>
      <w:r>
        <w:rPr>
          <w:sz w:val="20"/>
        </w:rPr>
        <w:t>the second terms</w:t>
      </w:r>
      <w:r>
        <w:rPr>
          <w:sz w:val="20"/>
        </w:rPr>
        <w:tab/>
        <w:t>134(1)</w:t>
      </w:r>
    </w:p>
    <w:p>
      <w:pPr>
        <w:tabs>
          <w:tab w:val="right" w:leader="dot" w:pos="7070"/>
        </w:tabs>
        <w:ind w:left="578" w:right="578"/>
        <w:rPr>
          <w:sz w:val="20"/>
        </w:rPr>
      </w:pPr>
      <w:r>
        <w:rPr>
          <w:sz w:val="20"/>
        </w:rPr>
        <w:t>third party</w:t>
      </w:r>
      <w:r>
        <w:rPr>
          <w:sz w:val="20"/>
        </w:rPr>
        <w:tab/>
        <w:t>30S</w:t>
      </w:r>
    </w:p>
    <w:p>
      <w:pPr>
        <w:tabs>
          <w:tab w:val="right" w:leader="dot" w:pos="7070"/>
        </w:tabs>
        <w:ind w:left="578" w:right="578"/>
        <w:rPr>
          <w:sz w:val="20"/>
        </w:rPr>
      </w:pPr>
      <w:r>
        <w:rPr>
          <w:sz w:val="20"/>
        </w:rPr>
        <w:t>this jurisdiction</w:t>
      </w:r>
      <w:r>
        <w:rPr>
          <w:sz w:val="20"/>
        </w:rPr>
        <w:tab/>
        <w:t>Act 9(1)</w:t>
      </w:r>
    </w:p>
    <w:p>
      <w:pPr>
        <w:tabs>
          <w:tab w:val="right" w:leader="dot" w:pos="7070"/>
        </w:tabs>
        <w:ind w:left="578" w:right="578"/>
        <w:rPr>
          <w:sz w:val="20"/>
        </w:rPr>
      </w:pPr>
      <w:r>
        <w:rPr>
          <w:sz w:val="20"/>
        </w:rPr>
        <w:t>this law</w:t>
      </w:r>
      <w:r>
        <w:rPr>
          <w:sz w:val="20"/>
        </w:rPr>
        <w:tab/>
        <w:t>Act 9(1)</w:t>
      </w:r>
    </w:p>
    <w:p>
      <w:pPr>
        <w:tabs>
          <w:tab w:val="right" w:leader="dot" w:pos="7070"/>
        </w:tabs>
        <w:ind w:left="578" w:right="578"/>
        <w:rPr>
          <w:sz w:val="20"/>
        </w:rPr>
      </w:pPr>
      <w:r>
        <w:rPr>
          <w:sz w:val="20"/>
        </w:rPr>
        <w:t>transitional period</w:t>
      </w:r>
      <w:r>
        <w:rPr>
          <w:sz w:val="20"/>
        </w:rPr>
        <w:tab/>
        <w:t>Act 20(2)</w:t>
      </w:r>
    </w:p>
    <w:p>
      <w:pPr>
        <w:tabs>
          <w:tab w:val="right" w:leader="dot" w:pos="7070"/>
        </w:tabs>
        <w:ind w:left="578" w:right="578"/>
        <w:rPr>
          <w:sz w:val="20"/>
        </w:rPr>
      </w:pPr>
      <w:r>
        <w:rPr>
          <w:sz w:val="20"/>
        </w:rPr>
        <w:t>transitioned access arrangement</w:t>
      </w:r>
      <w:r>
        <w:rPr>
          <w:sz w:val="20"/>
        </w:rPr>
        <w:tab/>
        <w:t>Sch. 3 cl. 1</w:t>
      </w:r>
    </w:p>
    <w:p>
      <w:pPr>
        <w:tabs>
          <w:tab w:val="right" w:leader="dot" w:pos="7070"/>
        </w:tabs>
        <w:ind w:left="578" w:right="578"/>
        <w:rPr>
          <w:sz w:val="20"/>
        </w:rPr>
      </w:pPr>
      <w:r>
        <w:rPr>
          <w:sz w:val="20"/>
        </w:rPr>
        <w:t>transmission pipeline</w:t>
      </w:r>
      <w:r>
        <w:rPr>
          <w:sz w:val="20"/>
        </w:rPr>
        <w:tab/>
        <w:t>2</w:t>
      </w:r>
    </w:p>
    <w:p>
      <w:pPr>
        <w:tabs>
          <w:tab w:val="right" w:leader="dot" w:pos="7070"/>
        </w:tabs>
        <w:ind w:left="578" w:right="578"/>
        <w:rPr>
          <w:sz w:val="20"/>
        </w:rPr>
      </w:pPr>
      <w:r>
        <w:rPr>
          <w:sz w:val="20"/>
        </w:rPr>
        <w:t>Tribunal</w:t>
      </w:r>
      <w:r>
        <w:rPr>
          <w:sz w:val="20"/>
        </w:rPr>
        <w:tab/>
        <w:t>2</w:t>
      </w:r>
    </w:p>
    <w:p>
      <w:pPr>
        <w:tabs>
          <w:tab w:val="right" w:leader="dot" w:pos="7070"/>
        </w:tabs>
        <w:ind w:left="578" w:right="578"/>
        <w:rPr>
          <w:sz w:val="20"/>
        </w:rPr>
      </w:pPr>
      <w:r>
        <w:rPr>
          <w:sz w:val="20"/>
        </w:rPr>
        <w:t>underlying National Gas Law</w:t>
      </w:r>
      <w:r>
        <w:rPr>
          <w:sz w:val="20"/>
        </w:rPr>
        <w:tab/>
        <w:t>Act Sch. 1 cl. 1(2)</w:t>
      </w:r>
    </w:p>
    <w:p>
      <w:pPr>
        <w:tabs>
          <w:tab w:val="right" w:leader="dot" w:pos="7070"/>
        </w:tabs>
        <w:ind w:left="578" w:right="578"/>
        <w:rPr>
          <w:sz w:val="20"/>
        </w:rPr>
      </w:pPr>
      <w:r>
        <w:rPr>
          <w:sz w:val="20"/>
        </w:rPr>
        <w:t>urgent Rule</w:t>
      </w:r>
      <w:r>
        <w:rPr>
          <w:sz w:val="20"/>
        </w:rPr>
        <w:tab/>
        <w:t>290</w:t>
      </w:r>
    </w:p>
    <w:p>
      <w:pPr>
        <w:tabs>
          <w:tab w:val="right" w:leader="dot" w:pos="7070"/>
        </w:tabs>
        <w:ind w:left="578" w:right="578"/>
        <w:rPr>
          <w:sz w:val="20"/>
        </w:rPr>
      </w:pPr>
      <w:r>
        <w:rPr>
          <w:sz w:val="20"/>
        </w:rPr>
        <w:t>user</w:t>
      </w:r>
      <w:r>
        <w:rPr>
          <w:sz w:val="20"/>
        </w:rPr>
        <w:tab/>
        <w:t>2, 216A</w:t>
      </w:r>
    </w:p>
    <w:p>
      <w:pPr>
        <w:tabs>
          <w:tab w:val="right" w:leader="dot" w:pos="7070"/>
        </w:tabs>
        <w:ind w:left="578" w:right="578"/>
        <w:rPr>
          <w:sz w:val="20"/>
        </w:rPr>
      </w:pPr>
      <w:r>
        <w:rPr>
          <w:sz w:val="20"/>
        </w:rPr>
        <w:t>user or consumer association</w:t>
      </w:r>
      <w:r>
        <w:rPr>
          <w:sz w:val="20"/>
        </w:rPr>
        <w:tab/>
        <w:t>2, 244</w:t>
      </w:r>
    </w:p>
    <w:p>
      <w:pPr>
        <w:tabs>
          <w:tab w:val="right" w:leader="dot" w:pos="7070"/>
        </w:tabs>
        <w:ind w:left="578" w:right="578"/>
        <w:rPr>
          <w:sz w:val="20"/>
        </w:rPr>
      </w:pPr>
      <w:r>
        <w:rPr>
          <w:sz w:val="20"/>
        </w:rPr>
        <w:t>user or consumer interest group</w:t>
      </w:r>
      <w:r>
        <w:rPr>
          <w:sz w:val="20"/>
        </w:rPr>
        <w:tab/>
        <w:t>2, 244</w:t>
      </w:r>
    </w:p>
    <w:p>
      <w:pPr>
        <w:tabs>
          <w:tab w:val="right" w:leader="dot" w:pos="7070"/>
        </w:tabs>
        <w:ind w:left="578" w:right="578"/>
        <w:rPr>
          <w:sz w:val="20"/>
        </w:rPr>
      </w:pPr>
      <w:r>
        <w:rPr>
          <w:sz w:val="20"/>
        </w:rPr>
        <w:t xml:space="preserve">user or consumer intervener </w:t>
      </w:r>
      <w:r>
        <w:rPr>
          <w:sz w:val="20"/>
        </w:rPr>
        <w:tab/>
        <w:t>244</w:t>
      </w:r>
    </w:p>
    <w:p>
      <w:pPr>
        <w:tabs>
          <w:tab w:val="right" w:leader="dot" w:pos="7070"/>
        </w:tabs>
        <w:ind w:left="578" w:right="578"/>
        <w:rPr>
          <w:sz w:val="20"/>
        </w:rPr>
      </w:pPr>
      <w:r>
        <w:rPr>
          <w:sz w:val="20"/>
        </w:rPr>
        <w:t>VENCorp</w:t>
      </w:r>
      <w:r>
        <w:rPr>
          <w:sz w:val="20"/>
        </w:rPr>
        <w:tab/>
        <w:t>2</w:t>
      </w:r>
    </w:p>
    <w:p>
      <w:pPr>
        <w:tabs>
          <w:tab w:val="right" w:leader="dot" w:pos="7070"/>
        </w:tabs>
        <w:ind w:left="578" w:right="578"/>
        <w:rPr>
          <w:sz w:val="20"/>
        </w:rPr>
      </w:pPr>
      <w:r>
        <w:rPr>
          <w:sz w:val="20"/>
        </w:rPr>
        <w:t>WA arbitrator</w:t>
      </w:r>
      <w:r>
        <w:rPr>
          <w:sz w:val="20"/>
        </w:rPr>
        <w:tab/>
        <w:t>Act 9(1), Note 2</w:t>
      </w:r>
    </w:p>
    <w:p>
      <w:pPr>
        <w:tabs>
          <w:tab w:val="right" w:leader="dot" w:pos="7070"/>
        </w:tabs>
        <w:ind w:left="578" w:right="578"/>
        <w:rPr>
          <w:sz w:val="20"/>
        </w:rPr>
      </w:pPr>
      <w:r>
        <w:rPr>
          <w:sz w:val="20"/>
        </w:rPr>
        <w:t>Western Australian National Gas Access Law text</w:t>
      </w:r>
      <w:r>
        <w:rPr>
          <w:sz w:val="20"/>
        </w:rPr>
        <w:tab/>
        <w:t>Act 7(2)</w:t>
      </w:r>
    </w:p>
    <w:p>
      <w:pPr>
        <w:tabs>
          <w:tab w:val="right" w:leader="dot" w:pos="7070"/>
        </w:tabs>
        <w:ind w:left="578" w:right="578"/>
        <w:rPr>
          <w:sz w:val="20"/>
        </w:rPr>
      </w:pPr>
      <w:r>
        <w:rPr>
          <w:sz w:val="20"/>
        </w:rPr>
        <w:t>word</w:t>
      </w:r>
      <w:r>
        <w:rPr>
          <w:sz w:val="20"/>
        </w:rPr>
        <w:tab/>
        <w:t>Sch. 2 cl. 10</w:t>
      </w:r>
    </w:p>
    <w:p>
      <w:pPr>
        <w:tabs>
          <w:tab w:val="right" w:leader="dot" w:pos="7070"/>
        </w:tabs>
        <w:ind w:left="578" w:right="578"/>
        <w:rPr>
          <w:sz w:val="20"/>
        </w:rPr>
      </w:pPr>
      <w:r>
        <w:rPr>
          <w:sz w:val="20"/>
        </w:rPr>
        <w:t>writing</w:t>
      </w:r>
      <w:r>
        <w:rPr>
          <w:sz w:val="20"/>
        </w:rPr>
        <w:tab/>
        <w:t>Sch. 2 cl. 10</w:t>
      </w:r>
    </w:p>
    <w:p>
      <w:pPr>
        <w:tabs>
          <w:tab w:val="right" w:leader="dot" w:pos="7070"/>
        </w:tabs>
        <w:ind w:left="578" w:right="578"/>
        <w:rPr>
          <w:sz w:val="20"/>
        </w:rPr>
        <w:sectPr>
          <w:headerReference w:type="even" r:id="rId41"/>
          <w:headerReference w:type="default" r:id="rId42"/>
          <w:pgSz w:w="11907" w:h="16840" w:code="9"/>
          <w:pgMar w:top="2381" w:right="2409" w:bottom="3543" w:left="2409" w:header="720" w:footer="3380" w:gutter="0"/>
          <w:cols w:space="720"/>
          <w:noEndnote/>
          <w:docGrid w:linePitch="326"/>
        </w:sectPr>
      </w:pPr>
    </w:p>
    <w:p>
      <w:pPr>
        <w:rPr>
          <w:del w:id="3413" w:author="svcMRProcess" w:date="2020-10-08T16:23:00Z"/>
        </w:rPr>
      </w:pPr>
    </w:p>
    <w:p>
      <w:bookmarkStart w:id="3414" w:name="UpToHere"/>
      <w:bookmarkEnd w:id="3414"/>
    </w:p>
    <w:sectPr>
      <w:pgSz w:w="11907"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06 Apr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Oct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Apr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Oct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Apr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Oct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vAlign w:val="bottom"/>
        </w:tcPr>
        <w:p>
          <w:pPr>
            <w:pStyle w:val="Header"/>
            <w:spacing w:before="40"/>
          </w:pPr>
        </w:p>
      </w:tc>
    </w:tr>
    <w:t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16</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rPr>
        <w:rFonts w:ascii="Times New Roman" w:hAnsi="Times New Roman"/>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rPr>
            <w:fldChar w:fldCharType="begin"/>
          </w:r>
          <w:r>
            <w:rPr>
              <w:b/>
            </w:rPr>
            <w:instrText xml:space="preserve"> styleref CharSchno </w:instrText>
          </w:r>
          <w:r>
            <w:rPr>
              <w:b/>
            </w:rPr>
            <w:fldChar w:fldCharType="end"/>
          </w:r>
          <w:r>
            <w:rPr>
              <w:b/>
            </w:rPr>
            <w:t xml:space="preserve"> </w:t>
          </w:r>
        </w:p>
      </w:tc>
    </w:tr>
    <w:tr>
      <w:tc>
        <w:tcPr>
          <w:tcW w:w="5797" w:type="dxa"/>
        </w:tcPr>
        <w:p>
          <w:pPr>
            <w:pStyle w:val="Header"/>
            <w:spacing w:before="40"/>
            <w:jc w:val="right"/>
          </w:pPr>
        </w:p>
      </w:tc>
      <w:tc>
        <w:tcPr>
          <w:tcW w:w="1466" w:type="dxa"/>
        </w:tcPr>
        <w:p>
          <w:pPr>
            <w:pStyle w:val="Header"/>
            <w:spacing w:before="40"/>
            <w:ind w:right="17"/>
            <w:jc w:val="right"/>
          </w:pPr>
        </w:p>
      </w:tc>
    </w:tr>
    <w:tr>
      <w:tc>
        <w:tcPr>
          <w:tcW w:w="5797" w:type="dxa"/>
        </w:tcPr>
        <w:p>
          <w:pPr>
            <w:pStyle w:val="Header"/>
            <w:spacing w:before="40"/>
            <w:jc w:val="right"/>
          </w:pPr>
        </w:p>
      </w:tc>
      <w:tc>
        <w:tcPr>
          <w:tcW w:w="1466"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16</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bookmarkStart w:id="480" w:name="Schedule"/>
    <w:bookmarkEnd w:id="48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vMerge w:val="restart"/>
        </w:tcPr>
        <w:p>
          <w:pPr>
            <w:pStyle w:val="Header"/>
            <w:spacing w:before="40"/>
          </w:pPr>
          <w:r>
            <w:rPr>
              <w:b/>
            </w:rPr>
            <w:fldChar w:fldCharType="begin"/>
          </w:r>
          <w:r>
            <w:rPr>
              <w:b/>
            </w:rPr>
            <w:instrText xml:space="preserve"> STYLEREF "nHeading 2" </w:instrText>
          </w:r>
          <w:r>
            <w:rPr>
              <w:b/>
            </w:rPr>
            <w:fldChar w:fldCharType="separate"/>
          </w:r>
          <w:r>
            <w:rPr>
              <w:b/>
            </w:rPr>
            <w:t>Notes about National Gas Access (WA) Act 2009</w:t>
          </w:r>
          <w:r>
            <w:rPr>
              <w:b/>
            </w:rPr>
            <w:fldChar w:fldCharType="end"/>
          </w: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vMerge/>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Some modifications to National Gas Law as in Schedule to South Australian Act</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Some modifications to National Gas Law as in Schedule to South Australian Act</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Part 7</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7</w:instrText>
          </w:r>
          <w:r>
            <w:rPr>
              <w:b/>
            </w:rPr>
            <w:fldChar w:fldCharType="end"/>
          </w:r>
          <w:r>
            <w:rPr>
              <w:b/>
            </w:rPr>
            <w:instrText>"</w:instrText>
          </w:r>
          <w:r>
            <w:rPr>
              <w:b/>
            </w:rPr>
            <w:fldChar w:fldCharType="separate"/>
          </w:r>
          <w:r>
            <w:rPr>
              <w:b/>
            </w:rPr>
            <w:t>Part 7</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Various Acts amended</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separate"/>
          </w:r>
          <w:r>
            <w:rPr>
              <w:b/>
            </w:rPr>
            <w:instrText>Division 5</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5</w:instrText>
          </w:r>
          <w:r>
            <w:rPr>
              <w:b/>
            </w:rPr>
            <w:fldChar w:fldCharType="end"/>
          </w:r>
          <w:r>
            <w:rPr>
              <w:b/>
            </w:rPr>
            <w:instrText>"</w:instrText>
          </w:r>
          <w:r>
            <w:rPr>
              <w:b/>
            </w:rPr>
            <w:fldChar w:fldCharType="separate"/>
          </w:r>
          <w:r>
            <w:rPr>
              <w:b/>
            </w:rPr>
            <w:t>Division 5</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Other Acts amended</w:t>
          </w:r>
          <w:r>
            <w:fldChar w:fldCharType="end"/>
          </w:r>
        </w:p>
      </w:tc>
    </w:tr>
    <w:t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294</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71</w:instrText>
          </w:r>
          <w:r>
            <w:rPr>
              <w:b/>
            </w:rPr>
            <w:fldChar w:fldCharType="end"/>
          </w:r>
          <w:r>
            <w:rPr>
              <w:b/>
            </w:rPr>
            <w:instrText>"</w:instrText>
          </w:r>
          <w:r>
            <w:rPr>
              <w:b/>
            </w:rPr>
            <w:fldChar w:fldCharType="separate"/>
          </w:r>
          <w:r>
            <w:rPr>
              <w:b/>
            </w:rPr>
            <w:t>294</w:t>
          </w:r>
          <w:r>
            <w:rPr>
              <w:b/>
            </w:rPr>
            <w:fldChar w:fldCharType="end"/>
          </w:r>
        </w:p>
      </w:tc>
    </w:tr>
  </w:tbl>
  <w:p>
    <w:pPr>
      <w:pStyle w:val="Header"/>
      <w:pBdr>
        <w:top w:val="single" w:sz="4" w:space="1" w:color="auto"/>
      </w:pBdr>
      <w:rPr>
        <w:rFonts w:ascii="Times New Roman" w:hAnsi="Times New Roman"/>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Some modifications to National Gas Law as in Schedule to South Australian Act</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r>
            <w:rPr>
              <w:b/>
            </w:rPr>
            <w:t xml:space="preserve"> </w:t>
          </w:r>
        </w:p>
      </w:tc>
    </w:tr>
    <w:tr>
      <w:tc>
        <w:tcPr>
          <w:tcW w:w="5715" w:type="dxa"/>
        </w:tcPr>
        <w:p>
          <w:pPr>
            <w:pStyle w:val="Header"/>
            <w:spacing w:before="40"/>
            <w:jc w:val="right"/>
          </w:pPr>
          <w:r>
            <w:fldChar w:fldCharType="begin"/>
          </w:r>
          <w:r>
            <w:instrText xml:space="preserve"> styleref CharPartText </w:instrText>
          </w:r>
          <w:r>
            <w:fldChar w:fldCharType="separate"/>
          </w:r>
          <w:r>
            <w:t>Various Acts amended</w:t>
          </w:r>
          <w:r>
            <w:fldChar w:fldCharType="end"/>
          </w:r>
        </w:p>
      </w:tc>
      <w:tc>
        <w:tcPr>
          <w:tcW w:w="1445"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Part 7</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separate"/>
          </w:r>
          <w:r>
            <w:t>Other Acts amended</w:t>
          </w:r>
          <w:r>
            <w:fldChar w:fldCharType="end"/>
          </w: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CharDivNo </w:instrText>
          </w:r>
          <w:r>
            <w:rPr>
              <w:b/>
            </w:rPr>
            <w:fldChar w:fldCharType="separate"/>
          </w:r>
          <w:r>
            <w:rPr>
              <w:b/>
            </w:rPr>
            <w:t>Division 5</w: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294</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Some modifications to National Gas Law as in Schedule to South Australian Act</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r>
            <w:rPr>
              <w:b/>
            </w:rPr>
            <w:t xml:space="preserve"> </w:t>
          </w:r>
        </w:p>
      </w:tc>
    </w:tr>
    <w:tr>
      <w:tc>
        <w:tcPr>
          <w:tcW w:w="5715" w:type="dxa"/>
        </w:tcPr>
        <w:p>
          <w:pPr>
            <w:pStyle w:val="Header"/>
            <w:spacing w:before="40"/>
            <w:jc w:val="right"/>
          </w:pPr>
          <w:r>
            <w:fldChar w:fldCharType="begin"/>
          </w:r>
          <w:r>
            <w:instrText xml:space="preserve"> styleref CharPartText </w:instrText>
          </w:r>
          <w:r>
            <w:fldChar w:fldCharType="separate"/>
          </w:r>
          <w:r>
            <w:t>Various Acts amended</w:t>
          </w:r>
          <w:r>
            <w:fldChar w:fldCharType="end"/>
          </w:r>
        </w:p>
      </w:tc>
      <w:tc>
        <w:tcPr>
          <w:tcW w:w="1445"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Part 7</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separate"/>
          </w:r>
          <w:r>
            <w:t>Other Acts amended</w:t>
          </w:r>
          <w:r>
            <w:fldChar w:fldCharType="end"/>
          </w: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CharDivNo </w:instrText>
          </w:r>
          <w:r>
            <w:rPr>
              <w:b/>
            </w:rPr>
            <w:fldChar w:fldCharType="separate"/>
          </w:r>
          <w:r>
            <w:rPr>
              <w:b/>
            </w:rPr>
            <w:t>Division 5</w: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294</w:t>
          </w:r>
          <w:r>
            <w:rPr>
              <w:b/>
            </w:rPr>
            <w:fldChar w:fldCharType="end"/>
          </w:r>
        </w:p>
      </w:tc>
    </w:tr>
  </w:tbl>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Note</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Western Australian National Gas Access Law text</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Chapter 10</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Chapter 10</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General</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separate"/>
          </w:r>
          <w:r>
            <w:rPr>
              <w:b/>
            </w:rPr>
            <w:instrText>Part 3</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Miscellaneous</w:t>
          </w:r>
          <w:r>
            <w:fldChar w:fldCharType="end"/>
          </w:r>
        </w:p>
      </w:tc>
    </w:tr>
    <w:t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Western Australian National Gas Access Law text</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Note</w:t>
          </w:r>
          <w:r>
            <w:rPr>
              <w:b/>
            </w:rPr>
            <w:fldChar w:fldCharType="end"/>
          </w:r>
          <w:r>
            <w:rPr>
              <w:b/>
            </w:rPr>
            <w:t xml:space="preserve"> </w:t>
          </w:r>
        </w:p>
      </w:tc>
    </w:tr>
    <w:tr>
      <w:tc>
        <w:tcPr>
          <w:tcW w:w="5715" w:type="dxa"/>
        </w:tcPr>
        <w:p>
          <w:pPr>
            <w:pStyle w:val="Header"/>
            <w:spacing w:before="40"/>
            <w:jc w:val="right"/>
          </w:pPr>
          <w:r>
            <w:fldChar w:fldCharType="begin"/>
          </w:r>
          <w:r>
            <w:instrText xml:space="preserve"> styleref CharPartText </w:instrText>
          </w:r>
          <w:r>
            <w:fldChar w:fldCharType="separate"/>
          </w:r>
          <w:r>
            <w:t>General</w:t>
          </w:r>
          <w:r>
            <w:fldChar w:fldCharType="end"/>
          </w:r>
        </w:p>
      </w:tc>
      <w:tc>
        <w:tcPr>
          <w:tcW w:w="1445"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Chapter 10</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separate"/>
          </w:r>
          <w:r>
            <w:t>Miscellaneous</w:t>
          </w:r>
          <w:r>
            <w:fldChar w:fldCharType="end"/>
          </w: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CharDivNo </w:instrText>
          </w:r>
          <w:r>
            <w:rPr>
              <w:b/>
            </w:rPr>
            <w:fldChar w:fldCharType="separate"/>
          </w:r>
          <w:r>
            <w:rPr>
              <w:b/>
            </w:rPr>
            <w:t>Part 3</w: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Note</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Western Australian National Gas Access Law text</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Chapter 10</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Chapter 10</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General</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separate"/>
          </w:r>
          <w:r>
            <w:rPr>
              <w:b/>
            </w:rPr>
            <w:instrText>Part 3</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Miscellaneous</w:t>
          </w:r>
          <w:r>
            <w:fldChar w:fldCharType="end"/>
          </w:r>
        </w:p>
      </w:tc>
    </w:tr>
    <w:t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Note</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Western Australian National Gas Access Law text</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Schedule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Subject matter for the National Gas Rules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336</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336</w:t>
          </w:r>
          <w:r>
            <w:rPr>
              <w:b/>
            </w:rPr>
            <w:fldChar w:fldCharType="end"/>
          </w:r>
        </w:p>
      </w:tc>
    </w:tr>
  </w:tbl>
  <w:p>
    <w:pPr>
      <w:pStyle w:val="Header"/>
      <w:pBdr>
        <w:top w:val="single" w:sz="4" w:space="1" w:color="auto"/>
      </w:pBdr>
      <w:rPr>
        <w:rFonts w:ascii="Times New Roman" w:hAnsi="Times New Roman"/>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Western Australian National Gas Access Law text</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Note</w:t>
          </w:r>
          <w:r>
            <w:rPr>
              <w:b/>
            </w:rPr>
            <w:fldChar w:fldCharType="end"/>
          </w:r>
          <w:r>
            <w:rPr>
              <w:b/>
            </w:rPr>
            <w:t xml:space="preserve"> </w:t>
          </w:r>
        </w:p>
      </w:tc>
    </w:tr>
    <w:tr>
      <w:tc>
        <w:tcPr>
          <w:tcW w:w="5715" w:type="dxa"/>
        </w:tcPr>
        <w:p>
          <w:pPr>
            <w:pStyle w:val="Header"/>
            <w:spacing w:before="40"/>
            <w:jc w:val="right"/>
          </w:pPr>
          <w:r>
            <w:fldChar w:fldCharType="begin"/>
          </w:r>
          <w:r>
            <w:instrText xml:space="preserve"> styleref CharPartText </w:instrText>
          </w:r>
          <w:r>
            <w:fldChar w:fldCharType="separate"/>
          </w:r>
          <w:r>
            <w:t>Subject matter for the National Gas Rules</w:t>
          </w:r>
          <w:r>
            <w:fldChar w:fldCharType="end"/>
          </w:r>
        </w:p>
      </w:tc>
      <w:tc>
        <w:tcPr>
          <w:tcW w:w="1445"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CharDivNo </w:instrTex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styleref CharSectno </w:instrText>
          </w:r>
          <w:r>
            <w:rPr>
              <w:b/>
            </w:rPr>
            <w:fldChar w:fldCharType="separate"/>
          </w:r>
          <w:r>
            <w:rPr>
              <w:b/>
            </w:rPr>
            <w:t>336</w:t>
          </w:r>
          <w:r>
            <w:rPr>
              <w:b/>
            </w:rPr>
            <w:fldChar w:fldCharType="end"/>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vMerge w:val="restart"/>
        </w:tcPr>
        <w:p>
          <w:pPr>
            <w:pStyle w:val="Header"/>
            <w:spacing w:before="40"/>
          </w:pPr>
          <w:r>
            <w:rPr>
              <w:b/>
            </w:rPr>
            <w:fldChar w:fldCharType="begin"/>
          </w:r>
          <w:r>
            <w:rPr>
              <w:b/>
            </w:rPr>
            <w:instrText xml:space="preserve"> STYLEREF "nHeading 2" </w:instrText>
          </w:r>
          <w:r>
            <w:rPr>
              <w:b/>
            </w:rPr>
            <w:fldChar w:fldCharType="separate"/>
          </w:r>
          <w:r>
            <w:rPr>
              <w:b/>
            </w:rPr>
            <w:t>Notes about National Gas Access (WA) Act 2009</w:t>
          </w:r>
          <w:r>
            <w:rPr>
              <w:b/>
            </w:rPr>
            <w:fldChar w:fldCharType="end"/>
          </w:r>
        </w:p>
      </w:tc>
      <w:tc>
        <w:tcPr>
          <w:tcW w:w="5612"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vMerge/>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400" w:type="dxa"/>
          <w:vMerge w:val="restart"/>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 about National Gas Access (WA) Act 2009</w:t>
          </w:r>
          <w:r>
            <w:rPr>
              <w:b/>
            </w:rPr>
            <w:fldChar w:fldCharType="end"/>
          </w:r>
        </w:p>
      </w:tc>
    </w:tr>
    <w:tr>
      <w:tc>
        <w:tcPr>
          <w:tcW w:w="5760" w:type="dxa"/>
        </w:tcPr>
        <w:p>
          <w:pPr>
            <w:pStyle w:val="Header"/>
            <w:spacing w:before="40"/>
            <w:jc w:val="right"/>
          </w:pPr>
        </w:p>
      </w:tc>
      <w:tc>
        <w:tcPr>
          <w:tcW w:w="1400" w:type="dxa"/>
          <w:vMerge/>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3411" w:name="Compilation"/>
    <w:bookmarkEnd w:id="3411"/>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separate"/>
          </w:r>
          <w:r>
            <w:rPr>
              <w:b/>
            </w:rPr>
            <w:instrText>1</w:instrText>
          </w:r>
          <w:r>
            <w:rPr>
              <w:b/>
            </w:rPr>
            <w:fldChar w:fldCharType="end"/>
          </w:r>
          <w:r>
            <w:rPr>
              <w:b/>
            </w:rPr>
            <w:instrText xml:space="preserve"> </w:instrText>
          </w:r>
          <w:r>
            <w:rPr>
              <w:b/>
            </w:rPr>
            <w:fldChar w:fldCharType="end"/>
          </w:r>
        </w:p>
      </w:tc>
    </w:tr>
    <w:tr>
      <w:trPr>
        <w:cantSplit/>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Part 1</w: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5</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5</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EB4D5AA"/>
    <w:lvl w:ilvl="0">
      <w:start w:val="1"/>
      <w:numFmt w:val="decimal"/>
      <w:lvlText w:val="%1."/>
      <w:lvlJc w:val="left"/>
      <w:pPr>
        <w:tabs>
          <w:tab w:val="num" w:pos="1800"/>
        </w:tabs>
        <w:ind w:left="1800" w:hanging="360"/>
      </w:pPr>
    </w:lvl>
  </w:abstractNum>
  <w:abstractNum w:abstractNumId="1">
    <w:nsid w:val="FFFFFF7D"/>
    <w:multiLevelType w:val="singleLevel"/>
    <w:tmpl w:val="84C62F7E"/>
    <w:lvl w:ilvl="0">
      <w:start w:val="1"/>
      <w:numFmt w:val="decimal"/>
      <w:lvlText w:val="%1."/>
      <w:lvlJc w:val="left"/>
      <w:pPr>
        <w:tabs>
          <w:tab w:val="num" w:pos="1440"/>
        </w:tabs>
        <w:ind w:left="1440" w:hanging="360"/>
      </w:pPr>
    </w:lvl>
  </w:abstractNum>
  <w:abstractNum w:abstractNumId="2">
    <w:nsid w:val="FFFFFF7E"/>
    <w:multiLevelType w:val="singleLevel"/>
    <w:tmpl w:val="F2A66D74"/>
    <w:lvl w:ilvl="0">
      <w:start w:val="1"/>
      <w:numFmt w:val="decimal"/>
      <w:lvlText w:val="%1."/>
      <w:lvlJc w:val="left"/>
      <w:pPr>
        <w:tabs>
          <w:tab w:val="num" w:pos="1080"/>
        </w:tabs>
        <w:ind w:left="1080" w:hanging="360"/>
      </w:pPr>
    </w:lvl>
  </w:abstractNum>
  <w:abstractNum w:abstractNumId="3">
    <w:nsid w:val="FFFFFF7F"/>
    <w:multiLevelType w:val="singleLevel"/>
    <w:tmpl w:val="4044C78C"/>
    <w:lvl w:ilvl="0">
      <w:start w:val="1"/>
      <w:numFmt w:val="decimal"/>
      <w:lvlText w:val="%1."/>
      <w:lvlJc w:val="left"/>
      <w:pPr>
        <w:tabs>
          <w:tab w:val="num" w:pos="720"/>
        </w:tabs>
        <w:ind w:left="720" w:hanging="360"/>
      </w:pPr>
    </w:lvl>
  </w:abstractNum>
  <w:abstractNum w:abstractNumId="4">
    <w:nsid w:val="FFFFFF80"/>
    <w:multiLevelType w:val="singleLevel"/>
    <w:tmpl w:val="5AA6179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D8AAB8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3A05DE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17CC13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A59033E4"/>
    <w:lvl w:ilvl="0">
      <w:start w:val="1"/>
      <w:numFmt w:val="decimal"/>
      <w:lvlText w:val="%1."/>
      <w:lvlJc w:val="left"/>
      <w:pPr>
        <w:tabs>
          <w:tab w:val="num" w:pos="360"/>
        </w:tabs>
        <w:ind w:left="360" w:hanging="360"/>
      </w:pPr>
    </w:lvl>
  </w:abstractNum>
  <w:abstractNum w:abstractNumId="9">
    <w:nsid w:val="FFFFFF89"/>
    <w:multiLevelType w:val="singleLevel"/>
    <w:tmpl w:val="52724F6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62688C98"/>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1007090330"/>
    <w:docVar w:name="WAFER_20140121144501" w:val="RemoveTocBookmarks,RemoveUnusedBookmarks,RemoveLanguageTags,UsedStyles,ResetPageSize,UpdateArrangement"/>
    <w:docVar w:name="WAFER_20140121144501_GUID" w:val="2421e610-76a9-4bcc-811e-970d9f352fa6"/>
    <w:docVar w:name="WAFER_20140121153745" w:val="RemoveTocBookmarks,RunningHeaders"/>
    <w:docVar w:name="WAFER_20140121153745_GUID" w:val="d0e3b08e-af4c-40c7-bec9-582b25f4b0fb"/>
    <w:docVar w:name="WAFER_20150609125120" w:val="ResetPageSize,UpdateArrangement,UpdateNTable"/>
    <w:docVar w:name="WAFER_20150609125120_GUID" w:val="8cef6168-dfa6-496c-b073-d5e6771382fb"/>
    <w:docVar w:name="WAFER_20150609125400" w:val="ResetPageSize,UpdateArrangement,UpdateNTable"/>
    <w:docVar w:name="WAFER_20150609125400_GUID" w:val="bfcf57a7-dc94-4992-b57c-8f1dd7160085"/>
    <w:docVar w:name="WAFER_20151106161541" w:val="UpdateStyles,UsedStyles"/>
    <w:docVar w:name="WAFER_20151106161541_GUID" w:val="6923cbd6-5eca-402a-8d3f-017948d0a224"/>
    <w:docVar w:name="WAFER_20151130172542" w:val="RemoveTrackChanges"/>
    <w:docVar w:name="WAFER_20151130172542_GUID" w:val="947ca104-96d2-41f7-897f-a36bac67aee9"/>
    <w:docVar w:name="WAFER_20171221105347" w:val="RemoveTocBookmarks,RemoveUnusedBookmarks,RemoveLanguageTags,UsedStyles,ResetPageSize"/>
    <w:docVar w:name="WAFER_20171221105347_GUID" w:val="74fe6d1c-7191-495e-b343-e0d61d64094b"/>
    <w:docVar w:name="WAFER_202010070903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
    <w:docVar w:name="WAFER_20201007090330_GUID" w:val="9174df57-1353-4aaa-b7cc-e86e9d85663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link w:val="HeaderChar"/>
    <w:uiPriority w:val="99"/>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HeaderChar">
    <w:name w:val="Header Char"/>
    <w:basedOn w:val="DefaultParagraphFont"/>
    <w:link w:val="Header"/>
    <w:uiPriority w:val="99"/>
    <w:rPr>
      <w:rFonts w:ascii="Arial" w:hAnsi="Arial"/>
      <w:noProof/>
    </w:rPr>
  </w:style>
  <w:style w:type="character" w:customStyle="1" w:styleId="CommentTextChar">
    <w:name w:val="Comment Text Char"/>
    <w:basedOn w:val="DefaultParagraphFont"/>
    <w:link w:val="CommentText"/>
    <w:semiHidden/>
    <w:rPr>
      <w:rFonts w:ascii="Times New Roman" w:hAnsi="Times New Roman"/>
      <w:sz w:val="24"/>
    </w:rPr>
  </w:style>
  <w:style w:type="paragraph" w:customStyle="1" w:styleId="nStatement">
    <w:name w:val="nStatement"/>
    <w:pPr>
      <w:spacing w:before="80"/>
    </w:pPr>
    <w:rPr>
      <w:rFonts w:ascii="Times New Roman" w:hAnsi="Times New Roman"/>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link w:val="HeaderChar"/>
    <w:uiPriority w:val="99"/>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HeaderChar">
    <w:name w:val="Header Char"/>
    <w:basedOn w:val="DefaultParagraphFont"/>
    <w:link w:val="Header"/>
    <w:uiPriority w:val="99"/>
    <w:rPr>
      <w:rFonts w:ascii="Arial" w:hAnsi="Arial"/>
      <w:noProof/>
    </w:rPr>
  </w:style>
  <w:style w:type="character" w:customStyle="1" w:styleId="CommentTextChar">
    <w:name w:val="Comment Text Char"/>
    <w:basedOn w:val="DefaultParagraphFont"/>
    <w:link w:val="CommentText"/>
    <w:semiHidden/>
    <w:rPr>
      <w:rFonts w:ascii="Times New Roman" w:hAnsi="Times New Roman"/>
      <w:sz w:val="24"/>
    </w:rPr>
  </w:style>
  <w:style w:type="paragraph" w:customStyle="1" w:styleId="nStatement">
    <w:name w:val="nStatement"/>
    <w:pPr>
      <w:spacing w:before="80"/>
    </w:pPr>
    <w:rPr>
      <w:rFonts w:ascii="Times New Roman" w:hAnsi="Times New Roman"/>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35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header" Target="header23.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header" Target="header2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jpg"/><Relationship Id="rId33" Type="http://schemas.openxmlformats.org/officeDocument/2006/relationships/header" Target="header17.xml"/><Relationship Id="rId38" Type="http://schemas.openxmlformats.org/officeDocument/2006/relationships/header" Target="header2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header" Target="header2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4.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07A078-6579-4303-8160-69893F631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94007</Words>
  <Characters>463458</Characters>
  <Application>Microsoft Office Word</Application>
  <DocSecurity>0</DocSecurity>
  <Lines>13241</Lines>
  <Paragraphs>6882</Paragraphs>
  <ScaleCrop>false</ScaleCrop>
  <HeadingPairs>
    <vt:vector size="2" baseType="variant">
      <vt:variant>
        <vt:lpstr>Title</vt:lpstr>
      </vt:variant>
      <vt:variant>
        <vt:i4>1</vt:i4>
      </vt:variant>
    </vt:vector>
  </HeadingPairs>
  <TitlesOfParts>
    <vt:vector size="1" baseType="lpstr">
      <vt:lpstr>National Gas Access (WA) Act 2009 - 00-g0-02</vt:lpstr>
    </vt:vector>
  </TitlesOfParts>
  <Manager/>
  <Company/>
  <LinksUpToDate>false</LinksUpToDate>
  <CharactersWithSpaces>550583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Gas Access (WA) Act 2009 00-g0-03 - 00-h0-00</dc:title>
  <dc:subject/>
  <dc:creator/>
  <cp:keywords/>
  <dc:description/>
  <cp:lastModifiedBy>svcMRProcess</cp:lastModifiedBy>
  <cp:revision>2</cp:revision>
  <cp:lastPrinted>2020-10-07T02:44:00Z</cp:lastPrinted>
  <dcterms:created xsi:type="dcterms:W3CDTF">2020-10-08T08:23:00Z</dcterms:created>
  <dcterms:modified xsi:type="dcterms:W3CDTF">2020-10-08T08:23:00Z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16 of 2009</vt:lpwstr>
  </property>
  <property fmtid="{D5CDD505-2E9C-101B-9397-08002B2CF9AE}" pid="3" name="OwlsUID">
    <vt:i4>146714</vt:i4>
  </property>
  <property fmtid="{D5CDD505-2E9C-101B-9397-08002B2CF9AE}" pid="4" name="DocumentType">
    <vt:lpwstr>Act</vt:lpwstr>
  </property>
  <property fmtid="{D5CDD505-2E9C-101B-9397-08002B2CF9AE}" pid="5" name="CommencementDate">
    <vt:lpwstr>20201010</vt:lpwstr>
  </property>
  <property fmtid="{D5CDD505-2E9C-101B-9397-08002B2CF9AE}" pid="6" name="FromSuffix">
    <vt:lpwstr>00-g0-03</vt:lpwstr>
  </property>
  <property fmtid="{D5CDD505-2E9C-101B-9397-08002B2CF9AE}" pid="7" name="FromAsAtDate">
    <vt:lpwstr>06 Apr 2019</vt:lpwstr>
  </property>
  <property fmtid="{D5CDD505-2E9C-101B-9397-08002B2CF9AE}" pid="8" name="ToSuffix">
    <vt:lpwstr>00-h0-00</vt:lpwstr>
  </property>
  <property fmtid="{D5CDD505-2E9C-101B-9397-08002B2CF9AE}" pid="9" name="ToAsAtDate">
    <vt:lpwstr>10 Oct 2020</vt:lpwstr>
  </property>
</Properties>
</file>