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2020</w:t>
      </w:r>
      <w:r>
        <w:fldChar w:fldCharType="end"/>
      </w:r>
      <w:r>
        <w:t xml:space="preserve">, </w:t>
      </w:r>
      <w:r>
        <w:fldChar w:fldCharType="begin"/>
      </w:r>
      <w:r>
        <w:instrText xml:space="preserve"> DocProperty FromSuffix </w:instrText>
      </w:r>
      <w:r>
        <w:fldChar w:fldCharType="separate"/>
      </w:r>
      <w:r>
        <w:t>06-i0-00</w:t>
      </w:r>
      <w:r>
        <w:fldChar w:fldCharType="end"/>
      </w:r>
      <w:r>
        <w:t>] and [</w:t>
      </w:r>
      <w:r>
        <w:fldChar w:fldCharType="begin"/>
      </w:r>
      <w:r>
        <w:instrText xml:space="preserve"> DocProperty ToAsAtDate</w:instrText>
      </w:r>
      <w:r>
        <w:fldChar w:fldCharType="separate"/>
      </w:r>
      <w:r>
        <w:t>26 Feb 2021</w:t>
      </w:r>
      <w:r>
        <w:fldChar w:fldCharType="end"/>
      </w:r>
      <w:r>
        <w:t xml:space="preserve">, </w:t>
      </w:r>
      <w:r>
        <w:fldChar w:fldCharType="begin"/>
      </w:r>
      <w:r>
        <w:instrText xml:space="preserve"> DocProperty ToSuffix</w:instrText>
      </w:r>
      <w:r>
        <w:fldChar w:fldCharType="separate"/>
      </w:r>
      <w:r>
        <w:t>06-j0-01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Police Act 1892</w:t>
      </w:r>
    </w:p>
    <w:p>
      <w:pPr>
        <w:pStyle w:val="NameofActReg"/>
      </w:pPr>
      <w:r>
        <w:t>Police Force Regulations 1979</w:t>
      </w:r>
    </w:p>
    <w:p>
      <w:pPr>
        <w:pStyle w:val="Heading2"/>
        <w:pageBreakBefore w:val="0"/>
      </w:pPr>
      <w:bookmarkStart w:id="1" w:name="_Toc64541318"/>
      <w:bookmarkStart w:id="2" w:name="_Toc64541619"/>
      <w:bookmarkStart w:id="3" w:name="_Toc64552426"/>
      <w:bookmarkStart w:id="4" w:name="_Toc65138102"/>
      <w:bookmarkStart w:id="5" w:name="_Toc60125642"/>
      <w:bookmarkStart w:id="6" w:name="_Toc60126043"/>
      <w:bookmarkStart w:id="7" w:name="_Toc60129018"/>
      <w:bookmarkStart w:id="8" w:name="_Toc60129152"/>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65138103"/>
      <w:bookmarkStart w:id="11" w:name="_Toc60129153"/>
      <w:r>
        <w:rPr>
          <w:rStyle w:val="CharSectno"/>
        </w:rPr>
        <w:t>101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12" w:name="_Toc65138104"/>
      <w:bookmarkStart w:id="13" w:name="_Toc60129154"/>
      <w:r>
        <w:rPr>
          <w:rStyle w:val="CharSectno"/>
        </w:rPr>
        <w:t>103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keepNex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4" w:name="endcomma"/>
      <w:bookmarkEnd w:id="14"/>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p>
    <w:p>
      <w:pPr>
        <w:pStyle w:val="Heading5"/>
      </w:pPr>
      <w:bookmarkStart w:id="15" w:name="_Toc65138105"/>
      <w:bookmarkStart w:id="16" w:name="_Toc60129155"/>
      <w:r>
        <w:rPr>
          <w:rStyle w:val="CharSectno"/>
        </w:rPr>
        <w:t>104</w:t>
      </w:r>
      <w:r>
        <w:t>.</w:t>
      </w:r>
      <w:r>
        <w:tab/>
        <w:t>Application of these regulations to APLOs</w:t>
      </w:r>
      <w:bookmarkEnd w:id="15"/>
      <w:bookmarkEnd w:id="16"/>
    </w:p>
    <w:p>
      <w:pPr>
        <w:pStyle w:val="Subsection"/>
      </w:pPr>
      <w:r>
        <w:tab/>
      </w:r>
      <w:r>
        <w:tab/>
        <w:t>In Parts IV, VI, VII, VIII, IX, XI, XII, XIII, XIV, XV and XVI a reference to a member is to be read as including a reference to an APLO unless the contrary intention appears.</w:t>
      </w:r>
    </w:p>
    <w:p>
      <w:pPr>
        <w:pStyle w:val="Footnotesection"/>
      </w:pPr>
      <w:r>
        <w:tab/>
        <w:t>[Regulation 104 inserted: Gazette 30 Dec 2008 p. 5644; amended: Gazette 1 Oct 2019 p. 3509.]</w:t>
      </w:r>
    </w:p>
    <w:p>
      <w:pPr>
        <w:pStyle w:val="Heading5"/>
      </w:pPr>
      <w:bookmarkStart w:id="17" w:name="_Toc65138106"/>
      <w:bookmarkStart w:id="18" w:name="_Toc60129156"/>
      <w:r>
        <w:rPr>
          <w:rStyle w:val="CharSectno"/>
        </w:rPr>
        <w:t>105</w:t>
      </w:r>
      <w:r>
        <w:t>.</w:t>
      </w:r>
      <w:r>
        <w:tab/>
        <w:t>Application of these regulations to police auxiliary officers</w:t>
      </w:r>
      <w:bookmarkEnd w:id="17"/>
      <w:bookmarkEnd w:id="18"/>
    </w:p>
    <w:p>
      <w:pPr>
        <w:pStyle w:val="Subsection"/>
      </w:pPr>
      <w:r>
        <w:tab/>
      </w:r>
      <w:r>
        <w:tab/>
        <w:t>In Parts IV, VI, VII, IX and XVI a reference to a member is to be read as including a reference to a police auxiliary officer unless the contrary intention appears.</w:t>
      </w:r>
    </w:p>
    <w:p>
      <w:pPr>
        <w:pStyle w:val="Footnotesection"/>
      </w:pPr>
      <w:r>
        <w:tab/>
        <w:t>[Regulation 105 inserted: Gazette 12 Mar 2010 p. 954; amended: Gazette 1 Oct 2019 p. 3509.]</w:t>
      </w:r>
    </w:p>
    <w:p>
      <w:pPr>
        <w:pStyle w:val="Heading2"/>
      </w:pPr>
      <w:bookmarkStart w:id="19" w:name="_Toc64541323"/>
      <w:bookmarkStart w:id="20" w:name="_Toc64541624"/>
      <w:bookmarkStart w:id="21" w:name="_Toc64552431"/>
      <w:bookmarkStart w:id="22" w:name="_Toc65138107"/>
      <w:bookmarkStart w:id="23" w:name="_Toc60125647"/>
      <w:bookmarkStart w:id="24" w:name="_Toc60126048"/>
      <w:bookmarkStart w:id="25" w:name="_Toc60129023"/>
      <w:bookmarkStart w:id="26" w:name="_Toc60129157"/>
      <w:r>
        <w:rPr>
          <w:rStyle w:val="CharPartNo"/>
        </w:rPr>
        <w:t>Part II</w:t>
      </w:r>
      <w:r>
        <w:rPr>
          <w:rStyle w:val="CharDivNo"/>
        </w:rPr>
        <w:t> </w:t>
      </w:r>
      <w:r>
        <w:t>—</w:t>
      </w:r>
      <w:r>
        <w:rPr>
          <w:rStyle w:val="CharDivText"/>
        </w:rPr>
        <w:t> </w:t>
      </w:r>
      <w:r>
        <w:rPr>
          <w:rStyle w:val="CharPartText"/>
        </w:rPr>
        <w:t>Constitution</w:t>
      </w:r>
      <w:bookmarkEnd w:id="19"/>
      <w:bookmarkEnd w:id="20"/>
      <w:bookmarkEnd w:id="21"/>
      <w:bookmarkEnd w:id="22"/>
      <w:bookmarkEnd w:id="23"/>
      <w:bookmarkEnd w:id="24"/>
      <w:bookmarkEnd w:id="25"/>
      <w:bookmarkEnd w:id="26"/>
    </w:p>
    <w:p>
      <w:pPr>
        <w:pStyle w:val="Heading5"/>
        <w:spacing w:before="240"/>
        <w:rPr>
          <w:snapToGrid w:val="0"/>
        </w:rPr>
      </w:pPr>
      <w:bookmarkStart w:id="27" w:name="_Toc65138108"/>
      <w:bookmarkStart w:id="28" w:name="_Toc60129158"/>
      <w:r>
        <w:rPr>
          <w:rStyle w:val="CharSectno"/>
        </w:rPr>
        <w:t>201</w:t>
      </w:r>
      <w:r>
        <w:rPr>
          <w:snapToGrid w:val="0"/>
        </w:rPr>
        <w:t>.</w:t>
      </w:r>
      <w:r>
        <w:rPr>
          <w:snapToGrid w:val="0"/>
        </w:rPr>
        <w:tab/>
        <w:t>Order of rank</w:t>
      </w:r>
      <w:bookmarkEnd w:id="27"/>
      <w:bookmarkEnd w:id="28"/>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29" w:name="_Toc64541325"/>
      <w:bookmarkStart w:id="30" w:name="_Toc64541626"/>
      <w:bookmarkStart w:id="31" w:name="_Toc64552433"/>
      <w:bookmarkStart w:id="32" w:name="_Toc65138109"/>
      <w:bookmarkStart w:id="33" w:name="_Toc60125649"/>
      <w:bookmarkStart w:id="34" w:name="_Toc60126050"/>
      <w:bookmarkStart w:id="35" w:name="_Toc60129025"/>
      <w:bookmarkStart w:id="36" w:name="_Toc60129159"/>
      <w:r>
        <w:rPr>
          <w:rStyle w:val="CharPartNo"/>
        </w:rPr>
        <w:t>Part III</w:t>
      </w:r>
      <w:r>
        <w:rPr>
          <w:rStyle w:val="CharDivNo"/>
        </w:rPr>
        <w:t> </w:t>
      </w:r>
      <w:r>
        <w:t>—</w:t>
      </w:r>
      <w:r>
        <w:rPr>
          <w:rStyle w:val="CharDivText"/>
        </w:rPr>
        <w:t> </w:t>
      </w:r>
      <w:r>
        <w:rPr>
          <w:rStyle w:val="CharPartText"/>
        </w:rPr>
        <w:t>Organization</w:t>
      </w:r>
      <w:bookmarkEnd w:id="29"/>
      <w:bookmarkEnd w:id="30"/>
      <w:bookmarkEnd w:id="31"/>
      <w:bookmarkEnd w:id="32"/>
      <w:bookmarkEnd w:id="33"/>
      <w:bookmarkEnd w:id="34"/>
      <w:bookmarkEnd w:id="35"/>
      <w:bookmarkEnd w:id="36"/>
    </w:p>
    <w:p>
      <w:pPr>
        <w:pStyle w:val="Heading5"/>
        <w:rPr>
          <w:snapToGrid w:val="0"/>
        </w:rPr>
      </w:pPr>
      <w:bookmarkStart w:id="37" w:name="_Toc65138110"/>
      <w:bookmarkStart w:id="38" w:name="_Toc60129160"/>
      <w:r>
        <w:rPr>
          <w:rStyle w:val="CharSectno"/>
        </w:rPr>
        <w:t>301</w:t>
      </w:r>
      <w:r>
        <w:rPr>
          <w:snapToGrid w:val="0"/>
        </w:rPr>
        <w:t>.</w:t>
      </w:r>
      <w:r>
        <w:rPr>
          <w:snapToGrid w:val="0"/>
        </w:rPr>
        <w:tab/>
        <w:t>Commissioner to determine functions, duties and responsibilities</w:t>
      </w:r>
      <w:bookmarkEnd w:id="37"/>
      <w:bookmarkEnd w:id="38"/>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39" w:name="_Toc65138111"/>
      <w:bookmarkStart w:id="40" w:name="_Toc60129161"/>
      <w:r>
        <w:rPr>
          <w:rStyle w:val="CharSectno"/>
        </w:rPr>
        <w:t>302</w:t>
      </w:r>
      <w:r>
        <w:rPr>
          <w:snapToGrid w:val="0"/>
        </w:rPr>
        <w:t>.</w:t>
      </w:r>
      <w:r>
        <w:rPr>
          <w:snapToGrid w:val="0"/>
        </w:rPr>
        <w:tab/>
        <w:t>Deployment and control</w:t>
      </w:r>
      <w:bookmarkEnd w:id="39"/>
      <w:bookmarkEnd w:id="40"/>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41" w:name="_Toc65138112"/>
      <w:bookmarkStart w:id="42" w:name="_Toc60129162"/>
      <w:r>
        <w:rPr>
          <w:rStyle w:val="CharSectno"/>
        </w:rPr>
        <w:t>303</w:t>
      </w:r>
      <w:r>
        <w:rPr>
          <w:snapToGrid w:val="0"/>
        </w:rPr>
        <w:t>.</w:t>
      </w:r>
      <w:r>
        <w:rPr>
          <w:snapToGrid w:val="0"/>
        </w:rPr>
        <w:tab/>
        <w:t>Officers in control</w:t>
      </w:r>
      <w:bookmarkEnd w:id="41"/>
      <w:bookmarkEnd w:id="42"/>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43" w:name="_Toc65138113"/>
      <w:bookmarkStart w:id="44" w:name="_Toc60129163"/>
      <w:r>
        <w:rPr>
          <w:rStyle w:val="CharSectno"/>
        </w:rPr>
        <w:t>304</w:t>
      </w:r>
      <w:r>
        <w:rPr>
          <w:snapToGrid w:val="0"/>
        </w:rPr>
        <w:t>.</w:t>
      </w:r>
      <w:r>
        <w:rPr>
          <w:snapToGrid w:val="0"/>
        </w:rPr>
        <w:tab/>
        <w:t>Officers in charge absent</w:t>
      </w:r>
      <w:bookmarkEnd w:id="43"/>
      <w:bookmarkEnd w:id="44"/>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45" w:name="_Toc65138114"/>
      <w:bookmarkStart w:id="46" w:name="_Toc60129164"/>
      <w:r>
        <w:rPr>
          <w:rStyle w:val="CharSectno"/>
        </w:rPr>
        <w:t>305</w:t>
      </w:r>
      <w:r>
        <w:rPr>
          <w:snapToGrid w:val="0"/>
        </w:rPr>
        <w:t>.</w:t>
      </w:r>
      <w:r>
        <w:rPr>
          <w:snapToGrid w:val="0"/>
        </w:rPr>
        <w:tab/>
        <w:t>Commissioner may appoint any member when officer in charge absent</w:t>
      </w:r>
      <w:bookmarkEnd w:id="45"/>
      <w:bookmarkEnd w:id="46"/>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47" w:name="_Toc65138115"/>
      <w:bookmarkStart w:id="48" w:name="_Toc60129165"/>
      <w:r>
        <w:rPr>
          <w:rStyle w:val="CharSectno"/>
        </w:rPr>
        <w:t>306</w:t>
      </w:r>
      <w:r>
        <w:rPr>
          <w:snapToGrid w:val="0"/>
        </w:rPr>
        <w:t>.</w:t>
      </w:r>
      <w:r>
        <w:rPr>
          <w:snapToGrid w:val="0"/>
        </w:rPr>
        <w:tab/>
        <w:t>Senior member to exercise command unless member specially detailed</w:t>
      </w:r>
      <w:bookmarkEnd w:id="47"/>
      <w:bookmarkEnd w:id="48"/>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49" w:name="_Toc65138116"/>
      <w:bookmarkStart w:id="50" w:name="_Toc60129166"/>
      <w:r>
        <w:rPr>
          <w:rStyle w:val="CharSectno"/>
        </w:rPr>
        <w:t>307</w:t>
      </w:r>
      <w:r>
        <w:rPr>
          <w:snapToGrid w:val="0"/>
        </w:rPr>
        <w:t>.</w:t>
      </w:r>
      <w:r>
        <w:rPr>
          <w:snapToGrid w:val="0"/>
        </w:rPr>
        <w:tab/>
      </w:r>
      <w:r>
        <w:rPr>
          <w:i/>
          <w:snapToGrid w:val="0"/>
        </w:rPr>
        <w:t>Police Gazette</w:t>
      </w:r>
      <w:r>
        <w:rPr>
          <w:snapToGrid w:val="0"/>
        </w:rPr>
        <w:t xml:space="preserve"> to be published</w:t>
      </w:r>
      <w:bookmarkEnd w:id="49"/>
      <w:bookmarkEnd w:id="50"/>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51" w:name="_Toc64541333"/>
      <w:bookmarkStart w:id="52" w:name="_Toc64541634"/>
      <w:bookmarkStart w:id="53" w:name="_Toc64552441"/>
      <w:bookmarkStart w:id="54" w:name="_Toc65138117"/>
      <w:bookmarkStart w:id="55" w:name="_Toc60125657"/>
      <w:bookmarkStart w:id="56" w:name="_Toc60126058"/>
      <w:bookmarkStart w:id="57" w:name="_Toc60129033"/>
      <w:bookmarkStart w:id="58" w:name="_Toc60129167"/>
      <w:r>
        <w:rPr>
          <w:rStyle w:val="CharPartNo"/>
        </w:rPr>
        <w:t>Part IV</w:t>
      </w:r>
      <w:r>
        <w:rPr>
          <w:rStyle w:val="CharDivNo"/>
        </w:rPr>
        <w:t> </w:t>
      </w:r>
      <w:r>
        <w:t>—</w:t>
      </w:r>
      <w:r>
        <w:rPr>
          <w:rStyle w:val="CharDivText"/>
        </w:rPr>
        <w:t> </w:t>
      </w:r>
      <w:r>
        <w:rPr>
          <w:rStyle w:val="CharPartText"/>
        </w:rPr>
        <w:t>Duties</w:t>
      </w:r>
      <w:bookmarkEnd w:id="51"/>
      <w:bookmarkEnd w:id="52"/>
      <w:bookmarkEnd w:id="53"/>
      <w:bookmarkEnd w:id="54"/>
      <w:bookmarkEnd w:id="55"/>
      <w:bookmarkEnd w:id="56"/>
      <w:bookmarkEnd w:id="57"/>
      <w:bookmarkEnd w:id="58"/>
    </w:p>
    <w:p>
      <w:pPr>
        <w:pStyle w:val="Heading5"/>
        <w:rPr>
          <w:snapToGrid w:val="0"/>
        </w:rPr>
      </w:pPr>
      <w:bookmarkStart w:id="59" w:name="_Toc65138118"/>
      <w:bookmarkStart w:id="60" w:name="_Toc60129168"/>
      <w:r>
        <w:rPr>
          <w:rStyle w:val="CharSectno"/>
        </w:rPr>
        <w:t>401</w:t>
      </w:r>
      <w:r>
        <w:rPr>
          <w:snapToGrid w:val="0"/>
        </w:rPr>
        <w:t>.</w:t>
      </w:r>
      <w:r>
        <w:rPr>
          <w:snapToGrid w:val="0"/>
        </w:rPr>
        <w:tab/>
        <w:t>Member to obey directions</w:t>
      </w:r>
      <w:bookmarkEnd w:id="59"/>
      <w:bookmarkEnd w:id="60"/>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61" w:name="_Toc65138119"/>
      <w:bookmarkStart w:id="62" w:name="_Toc60129169"/>
      <w:r>
        <w:rPr>
          <w:rStyle w:val="CharSectno"/>
        </w:rPr>
        <w:t>402</w:t>
      </w:r>
      <w:r>
        <w:rPr>
          <w:snapToGrid w:val="0"/>
        </w:rPr>
        <w:t>.</w:t>
      </w:r>
      <w:r>
        <w:rPr>
          <w:snapToGrid w:val="0"/>
        </w:rPr>
        <w:tab/>
        <w:t>Provisions relating to behaviour</w:t>
      </w:r>
      <w:bookmarkEnd w:id="61"/>
      <w:bookmarkEnd w:id="62"/>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63" w:name="_Toc65138120"/>
      <w:bookmarkStart w:id="64" w:name="_Toc60129170"/>
      <w:r>
        <w:rPr>
          <w:rStyle w:val="CharSectno"/>
        </w:rPr>
        <w:t>403</w:t>
      </w:r>
      <w:r>
        <w:rPr>
          <w:snapToGrid w:val="0"/>
        </w:rPr>
        <w:t>.</w:t>
      </w:r>
      <w:r>
        <w:rPr>
          <w:snapToGrid w:val="0"/>
        </w:rPr>
        <w:tab/>
        <w:t>Proper care to be taken of firearms etc.</w:t>
      </w:r>
      <w:bookmarkEnd w:id="63"/>
      <w:bookmarkEnd w:id="64"/>
    </w:p>
    <w:p>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Gazette 20 May 2014 p. 1611 and 1615</w:t>
      </w:r>
      <w:r>
        <w:noBreakHyphen/>
        <w:t>16.]</w:t>
      </w:r>
    </w:p>
    <w:p>
      <w:pPr>
        <w:pStyle w:val="Heading5"/>
      </w:pPr>
      <w:bookmarkStart w:id="65" w:name="_Toc65138121"/>
      <w:bookmarkStart w:id="66" w:name="_Toc60129171"/>
      <w:r>
        <w:rPr>
          <w:rStyle w:val="CharSectno"/>
        </w:rPr>
        <w:t>404</w:t>
      </w:r>
      <w:r>
        <w:t>.</w:t>
      </w:r>
      <w:r>
        <w:tab/>
        <w:t>Station and personal issue firearms</w:t>
      </w:r>
      <w:bookmarkEnd w:id="65"/>
      <w:bookmarkEnd w:id="66"/>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Gazette 2 Feb 2007 p. 247; amended: Gazette 20 May 2014 p. 1611.]</w:t>
      </w:r>
    </w:p>
    <w:p>
      <w:pPr>
        <w:pStyle w:val="Ednotesection"/>
      </w:pPr>
      <w:r>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67" w:name="_Toc65138122"/>
      <w:bookmarkStart w:id="68" w:name="_Toc60129172"/>
      <w:r>
        <w:rPr>
          <w:rStyle w:val="CharSectno"/>
        </w:rPr>
        <w:t>407</w:t>
      </w:r>
      <w:r>
        <w:rPr>
          <w:snapToGrid w:val="0"/>
        </w:rPr>
        <w:t>.</w:t>
      </w:r>
      <w:r>
        <w:rPr>
          <w:snapToGrid w:val="0"/>
        </w:rPr>
        <w:tab/>
        <w:t>Notice of functions, duties and responsibilities of other members</w:t>
      </w:r>
      <w:bookmarkEnd w:id="67"/>
      <w:bookmarkEnd w:id="68"/>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Gazette 20 May 2014 p. 1617 and 1618.]</w:t>
      </w:r>
    </w:p>
    <w:p>
      <w:pPr>
        <w:pStyle w:val="Ednotesection"/>
      </w:pPr>
      <w:r>
        <w:t>[</w:t>
      </w:r>
      <w:r>
        <w:rPr>
          <w:b/>
          <w:bCs/>
        </w:rPr>
        <w:t>408-410.</w:t>
      </w:r>
      <w:r>
        <w:tab/>
        <w:t>Deleted: Gazette 16 Nov 2007 p. 5786.]</w:t>
      </w:r>
    </w:p>
    <w:p>
      <w:pPr>
        <w:pStyle w:val="Heading2"/>
      </w:pPr>
      <w:bookmarkStart w:id="69" w:name="_Toc64541339"/>
      <w:bookmarkStart w:id="70" w:name="_Toc64541640"/>
      <w:bookmarkStart w:id="71" w:name="_Toc64552447"/>
      <w:bookmarkStart w:id="72" w:name="_Toc65138123"/>
      <w:bookmarkStart w:id="73" w:name="_Toc60125663"/>
      <w:bookmarkStart w:id="74" w:name="_Toc60126064"/>
      <w:bookmarkStart w:id="75" w:name="_Toc60129039"/>
      <w:bookmarkStart w:id="76" w:name="_Toc60129173"/>
      <w:r>
        <w:rPr>
          <w:rStyle w:val="CharPartNo"/>
        </w:rPr>
        <w:t>Part V</w:t>
      </w:r>
      <w:r>
        <w:rPr>
          <w:rStyle w:val="CharDivNo"/>
        </w:rPr>
        <w:t> </w:t>
      </w:r>
      <w:r>
        <w:t>—</w:t>
      </w:r>
      <w:r>
        <w:rPr>
          <w:rStyle w:val="CharDivText"/>
        </w:rPr>
        <w:t> </w:t>
      </w:r>
      <w:r>
        <w:rPr>
          <w:rStyle w:val="CharPartText"/>
        </w:rPr>
        <w:t>Appointment</w:t>
      </w:r>
      <w:bookmarkEnd w:id="69"/>
      <w:bookmarkEnd w:id="70"/>
      <w:bookmarkEnd w:id="71"/>
      <w:bookmarkEnd w:id="72"/>
      <w:bookmarkEnd w:id="73"/>
      <w:bookmarkEnd w:id="74"/>
      <w:bookmarkEnd w:id="75"/>
      <w:bookmarkEnd w:id="76"/>
    </w:p>
    <w:p>
      <w:pPr>
        <w:pStyle w:val="Heading5"/>
      </w:pPr>
      <w:bookmarkStart w:id="77" w:name="_Toc65138124"/>
      <w:bookmarkStart w:id="78" w:name="_Toc60129174"/>
      <w:r>
        <w:rPr>
          <w:rStyle w:val="CharSectno"/>
        </w:rPr>
        <w:t>501</w:t>
      </w:r>
      <w:r>
        <w:t>.</w:t>
      </w:r>
      <w:r>
        <w:tab/>
        <w:t>Terms used</w:t>
      </w:r>
      <w:bookmarkEnd w:id="77"/>
      <w:bookmarkEnd w:id="78"/>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79" w:name="_Toc65138125"/>
      <w:bookmarkStart w:id="80" w:name="_Toc60129175"/>
      <w:r>
        <w:rPr>
          <w:rStyle w:val="CharSectno"/>
        </w:rPr>
        <w:t>502</w:t>
      </w:r>
      <w:r>
        <w:t>.</w:t>
      </w:r>
      <w:r>
        <w:tab/>
        <w:t>Application for appointment</w:t>
      </w:r>
      <w:bookmarkEnd w:id="79"/>
      <w:bookmarkEnd w:id="80"/>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81" w:name="_Toc65138126"/>
      <w:bookmarkStart w:id="82" w:name="_Toc60129176"/>
      <w:r>
        <w:rPr>
          <w:rStyle w:val="CharSectno"/>
        </w:rPr>
        <w:t>503</w:t>
      </w:r>
      <w:r>
        <w:t>.</w:t>
      </w:r>
      <w:r>
        <w:tab/>
        <w:t>Eligibility for appointment</w:t>
      </w:r>
      <w:bookmarkEnd w:id="81"/>
      <w:bookmarkEnd w:id="82"/>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83" w:name="_Toc65138127"/>
      <w:bookmarkStart w:id="84" w:name="_Toc60129177"/>
      <w:r>
        <w:rPr>
          <w:rStyle w:val="CharSectno"/>
        </w:rPr>
        <w:t>505</w:t>
      </w:r>
      <w:r>
        <w:rPr>
          <w:snapToGrid w:val="0"/>
        </w:rPr>
        <w:t>.</w:t>
      </w:r>
      <w:r>
        <w:rPr>
          <w:snapToGrid w:val="0"/>
        </w:rPr>
        <w:tab/>
        <w:t>Member in possession of information about applicant</w:t>
      </w:r>
      <w:bookmarkEnd w:id="83"/>
      <w:bookmarkEnd w:id="84"/>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85" w:name="_Toc65138128"/>
      <w:bookmarkStart w:id="86" w:name="_Toc60129178"/>
      <w:r>
        <w:rPr>
          <w:rStyle w:val="CharSectno"/>
        </w:rPr>
        <w:t>505A</w:t>
      </w:r>
      <w:r>
        <w:rPr>
          <w:snapToGrid w:val="0"/>
        </w:rPr>
        <w:t xml:space="preserve">. </w:t>
      </w:r>
      <w:r>
        <w:rPr>
          <w:snapToGrid w:val="0"/>
        </w:rPr>
        <w:tab/>
        <w:t>Probationary period</w:t>
      </w:r>
      <w:bookmarkEnd w:id="85"/>
      <w:bookmarkEnd w:id="86"/>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Police Academy or, where the person did not attend the Police Academy,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87" w:name="_Toc64541345"/>
      <w:bookmarkStart w:id="88" w:name="_Toc64541646"/>
      <w:bookmarkStart w:id="89" w:name="_Toc64552453"/>
      <w:bookmarkStart w:id="90" w:name="_Toc65138129"/>
      <w:bookmarkStart w:id="91" w:name="_Toc60125669"/>
      <w:bookmarkStart w:id="92" w:name="_Toc60126070"/>
      <w:bookmarkStart w:id="93" w:name="_Toc60129045"/>
      <w:bookmarkStart w:id="94" w:name="_Toc60129179"/>
      <w:r>
        <w:rPr>
          <w:rStyle w:val="CharPartNo"/>
        </w:rPr>
        <w:t>Part VI</w:t>
      </w:r>
      <w:r>
        <w:rPr>
          <w:rStyle w:val="CharDivNo"/>
        </w:rPr>
        <w:t> </w:t>
      </w:r>
      <w:r>
        <w:t>—</w:t>
      </w:r>
      <w:r>
        <w:rPr>
          <w:rStyle w:val="CharDivText"/>
        </w:rPr>
        <w:t> </w:t>
      </w:r>
      <w:r>
        <w:rPr>
          <w:rStyle w:val="CharPartText"/>
        </w:rPr>
        <w:t>General rules relating to discipline</w:t>
      </w:r>
      <w:bookmarkEnd w:id="87"/>
      <w:bookmarkEnd w:id="88"/>
      <w:bookmarkEnd w:id="89"/>
      <w:bookmarkEnd w:id="90"/>
      <w:bookmarkEnd w:id="91"/>
      <w:bookmarkEnd w:id="92"/>
      <w:bookmarkEnd w:id="93"/>
      <w:bookmarkEnd w:id="94"/>
    </w:p>
    <w:p>
      <w:pPr>
        <w:pStyle w:val="Heading5"/>
        <w:rPr>
          <w:snapToGrid w:val="0"/>
        </w:rPr>
      </w:pPr>
      <w:bookmarkStart w:id="95" w:name="_Toc65138130"/>
      <w:bookmarkStart w:id="96" w:name="_Toc60129180"/>
      <w:r>
        <w:rPr>
          <w:rStyle w:val="CharSectno"/>
        </w:rPr>
        <w:t>601</w:t>
      </w:r>
      <w:r>
        <w:rPr>
          <w:snapToGrid w:val="0"/>
        </w:rPr>
        <w:t>.</w:t>
      </w:r>
      <w:r>
        <w:rPr>
          <w:snapToGrid w:val="0"/>
        </w:rPr>
        <w:tab/>
        <w:t>Acting in manner prejudicial to Force</w:t>
      </w:r>
      <w:bookmarkEnd w:id="95"/>
      <w:bookmarkEnd w:id="96"/>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97" w:name="_Toc65138131"/>
      <w:bookmarkStart w:id="98" w:name="_Toc60129181"/>
      <w:r>
        <w:rPr>
          <w:rStyle w:val="CharSectno"/>
        </w:rPr>
        <w:t>602</w:t>
      </w:r>
      <w:r>
        <w:rPr>
          <w:snapToGrid w:val="0"/>
        </w:rPr>
        <w:t>.</w:t>
      </w:r>
      <w:r>
        <w:rPr>
          <w:snapToGrid w:val="0"/>
        </w:rPr>
        <w:tab/>
        <w:t>Behaviour towards other members</w:t>
      </w:r>
      <w:bookmarkEnd w:id="97"/>
      <w:bookmarkEnd w:id="98"/>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99" w:name="_Toc65138132"/>
      <w:bookmarkStart w:id="100" w:name="_Toc60129182"/>
      <w:r>
        <w:rPr>
          <w:rStyle w:val="CharSectno"/>
        </w:rPr>
        <w:t>603</w:t>
      </w:r>
      <w:r>
        <w:rPr>
          <w:snapToGrid w:val="0"/>
        </w:rPr>
        <w:t>.</w:t>
      </w:r>
      <w:r>
        <w:rPr>
          <w:snapToGrid w:val="0"/>
        </w:rPr>
        <w:tab/>
        <w:t>Lawful order not to be disobeyed</w:t>
      </w:r>
      <w:bookmarkEnd w:id="99"/>
      <w:bookmarkEnd w:id="100"/>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101" w:name="_Toc65138133"/>
      <w:bookmarkStart w:id="102" w:name="_Toc60129183"/>
      <w:r>
        <w:rPr>
          <w:rStyle w:val="CharSectno"/>
        </w:rPr>
        <w:t>604</w:t>
      </w:r>
      <w:r>
        <w:rPr>
          <w:snapToGrid w:val="0"/>
        </w:rPr>
        <w:t>.</w:t>
      </w:r>
      <w:r>
        <w:rPr>
          <w:snapToGrid w:val="0"/>
        </w:rPr>
        <w:tab/>
        <w:t>Officer in charge not to remain absent unless arrangements made for his or her absence</w:t>
      </w:r>
      <w:bookmarkEnd w:id="101"/>
      <w:bookmarkEnd w:id="102"/>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103" w:name="_Toc65138134"/>
      <w:bookmarkStart w:id="104" w:name="_Toc60129184"/>
      <w:r>
        <w:rPr>
          <w:rStyle w:val="CharSectno"/>
        </w:rPr>
        <w:t>605</w:t>
      </w:r>
      <w:r>
        <w:rPr>
          <w:snapToGrid w:val="0"/>
        </w:rPr>
        <w:t>.</w:t>
      </w:r>
      <w:r>
        <w:rPr>
          <w:snapToGrid w:val="0"/>
        </w:rPr>
        <w:tab/>
        <w:t>Performance generally</w:t>
      </w:r>
      <w:bookmarkEnd w:id="103"/>
      <w:bookmarkEnd w:id="104"/>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rPr>
          <w:ins w:id="105" w:author="Master Repository Process" w:date="2021-09-11T20:05:00Z"/>
        </w:rPr>
      </w:pPr>
      <w:ins w:id="106" w:author="Master Repository Process" w:date="2021-09-11T20:05:00Z">
        <w:r>
          <w:tab/>
          <w:t>(iva)</w:t>
        </w:r>
        <w:r>
          <w:tab/>
          <w:t xml:space="preserve">is given a prohibition notice under the </w:t>
        </w:r>
        <w:r>
          <w:rPr>
            <w:i/>
          </w:rPr>
          <w:t>Road Traffic Act 1974</w:t>
        </w:r>
        <w:r>
          <w:t xml:space="preserve"> section 71BA; or</w:t>
        </w:r>
      </w:ins>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w:t>
      </w:r>
      <w:ins w:id="107" w:author="Master Repository Process" w:date="2021-09-11T20:05:00Z">
        <w:r>
          <w:t>; SL 2020/263 r. 4</w:t>
        </w:r>
      </w:ins>
      <w:r>
        <w:t>.]</w:t>
      </w:r>
    </w:p>
    <w:p>
      <w:pPr>
        <w:pStyle w:val="Heading5"/>
        <w:rPr>
          <w:snapToGrid w:val="0"/>
        </w:rPr>
      </w:pPr>
      <w:bookmarkStart w:id="108" w:name="_Toc65138135"/>
      <w:bookmarkStart w:id="109" w:name="_Toc60129185"/>
      <w:r>
        <w:rPr>
          <w:rStyle w:val="CharSectno"/>
        </w:rPr>
        <w:t>606</w:t>
      </w:r>
      <w:r>
        <w:rPr>
          <w:snapToGrid w:val="0"/>
        </w:rPr>
        <w:t>.</w:t>
      </w:r>
      <w:r>
        <w:rPr>
          <w:snapToGrid w:val="0"/>
        </w:rPr>
        <w:tab/>
        <w:t>False, misleading or inaccurate statements etc.</w:t>
      </w:r>
      <w:bookmarkEnd w:id="108"/>
      <w:bookmarkEnd w:id="109"/>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110" w:name="_Toc65138136"/>
      <w:bookmarkStart w:id="111" w:name="_Toc60129186"/>
      <w:r>
        <w:rPr>
          <w:rStyle w:val="CharSectno"/>
        </w:rPr>
        <w:t>607</w:t>
      </w:r>
      <w:r>
        <w:rPr>
          <w:snapToGrid w:val="0"/>
        </w:rPr>
        <w:t>.</w:t>
      </w:r>
      <w:r>
        <w:rPr>
          <w:snapToGrid w:val="0"/>
        </w:rPr>
        <w:tab/>
        <w:t>Secrecy</w:t>
      </w:r>
      <w:bookmarkEnd w:id="110"/>
      <w:bookmarkEnd w:id="111"/>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112" w:name="_Toc65138137"/>
      <w:bookmarkStart w:id="113" w:name="_Toc60129187"/>
      <w:r>
        <w:rPr>
          <w:rStyle w:val="CharSectno"/>
        </w:rPr>
        <w:t>608</w:t>
      </w:r>
      <w:r>
        <w:rPr>
          <w:snapToGrid w:val="0"/>
        </w:rPr>
        <w:t>.</w:t>
      </w:r>
      <w:r>
        <w:rPr>
          <w:snapToGrid w:val="0"/>
        </w:rPr>
        <w:tab/>
        <w:t>Member not to compromise his or her position</w:t>
      </w:r>
      <w:bookmarkEnd w:id="112"/>
      <w:bookmarkEnd w:id="113"/>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114" w:name="_Toc65138138"/>
      <w:bookmarkStart w:id="115" w:name="_Toc60129188"/>
      <w:r>
        <w:rPr>
          <w:rStyle w:val="CharSectno"/>
        </w:rPr>
        <w:t>609</w:t>
      </w:r>
      <w:r>
        <w:rPr>
          <w:snapToGrid w:val="0"/>
        </w:rPr>
        <w:t>.</w:t>
      </w:r>
      <w:r>
        <w:rPr>
          <w:snapToGrid w:val="0"/>
        </w:rPr>
        <w:tab/>
        <w:t>Unlawful arrest and unnecessary force</w:t>
      </w:r>
      <w:bookmarkEnd w:id="114"/>
      <w:bookmarkEnd w:id="115"/>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116" w:name="_Toc65138139"/>
      <w:bookmarkStart w:id="117" w:name="_Toc60129189"/>
      <w:r>
        <w:rPr>
          <w:rStyle w:val="CharSectno"/>
        </w:rPr>
        <w:t>610</w:t>
      </w:r>
      <w:r>
        <w:rPr>
          <w:snapToGrid w:val="0"/>
        </w:rPr>
        <w:t>.</w:t>
      </w:r>
      <w:r>
        <w:rPr>
          <w:snapToGrid w:val="0"/>
        </w:rPr>
        <w:tab/>
        <w:t>Feigning sickness or injury</w:t>
      </w:r>
      <w:bookmarkEnd w:id="116"/>
      <w:bookmarkEnd w:id="117"/>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118" w:name="_Toc65138140"/>
      <w:bookmarkStart w:id="119" w:name="_Toc60129190"/>
      <w:r>
        <w:rPr>
          <w:rStyle w:val="CharSectno"/>
        </w:rPr>
        <w:t>611</w:t>
      </w:r>
      <w:r>
        <w:rPr>
          <w:snapToGrid w:val="0"/>
        </w:rPr>
        <w:t>.</w:t>
      </w:r>
      <w:r>
        <w:rPr>
          <w:snapToGrid w:val="0"/>
        </w:rPr>
        <w:tab/>
        <w:t>Not to be absent or late without reasonable excuse</w:t>
      </w:r>
      <w:bookmarkEnd w:id="118"/>
      <w:bookmarkEnd w:id="119"/>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120" w:name="_Toc65138141"/>
      <w:bookmarkStart w:id="121" w:name="_Toc60129191"/>
      <w:r>
        <w:rPr>
          <w:rStyle w:val="CharSectno"/>
        </w:rPr>
        <w:t>615</w:t>
      </w:r>
      <w:r>
        <w:rPr>
          <w:snapToGrid w:val="0"/>
        </w:rPr>
        <w:t>.</w:t>
      </w:r>
      <w:r>
        <w:rPr>
          <w:snapToGrid w:val="0"/>
        </w:rPr>
        <w:tab/>
        <w:t>Receiving and being supplied with intoxicating liquor while on duty</w:t>
      </w:r>
      <w:bookmarkEnd w:id="120"/>
      <w:bookmarkEnd w:id="121"/>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122" w:name="_Toc65138142"/>
      <w:bookmarkStart w:id="123" w:name="_Toc60129192"/>
      <w:r>
        <w:rPr>
          <w:rStyle w:val="CharSectno"/>
        </w:rPr>
        <w:t>616</w:t>
      </w:r>
      <w:r>
        <w:rPr>
          <w:snapToGrid w:val="0"/>
        </w:rPr>
        <w:t>.</w:t>
      </w:r>
      <w:r>
        <w:rPr>
          <w:snapToGrid w:val="0"/>
        </w:rPr>
        <w:tab/>
        <w:t>Entering licensed premises</w:t>
      </w:r>
      <w:bookmarkEnd w:id="122"/>
      <w:bookmarkEnd w:id="123"/>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124" w:name="_Toc65138143"/>
      <w:bookmarkStart w:id="125" w:name="_Toc60129193"/>
      <w:r>
        <w:rPr>
          <w:rStyle w:val="CharSectno"/>
        </w:rPr>
        <w:t>617</w:t>
      </w:r>
      <w:r>
        <w:rPr>
          <w:snapToGrid w:val="0"/>
        </w:rPr>
        <w:t>.</w:t>
      </w:r>
      <w:r>
        <w:rPr>
          <w:snapToGrid w:val="0"/>
        </w:rPr>
        <w:tab/>
        <w:t>Consumption of intoxicating liquor</w:t>
      </w:r>
      <w:bookmarkEnd w:id="124"/>
      <w:bookmarkEnd w:id="125"/>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126" w:name="_Toc65138144"/>
      <w:bookmarkStart w:id="127" w:name="_Toc60129194"/>
      <w:r>
        <w:rPr>
          <w:rStyle w:val="CharSectno"/>
        </w:rPr>
        <w:t>618</w:t>
      </w:r>
      <w:r>
        <w:rPr>
          <w:snapToGrid w:val="0"/>
        </w:rPr>
        <w:t>.</w:t>
      </w:r>
      <w:r>
        <w:rPr>
          <w:snapToGrid w:val="0"/>
        </w:rPr>
        <w:tab/>
        <w:t>Premises supplying intoxicating liquor</w:t>
      </w:r>
      <w:bookmarkEnd w:id="126"/>
      <w:bookmarkEnd w:id="127"/>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128" w:name="_Toc65138145"/>
      <w:bookmarkStart w:id="129" w:name="_Toc60129195"/>
      <w:r>
        <w:rPr>
          <w:rStyle w:val="CharSectno"/>
        </w:rPr>
        <w:t>619</w:t>
      </w:r>
      <w:r>
        <w:rPr>
          <w:snapToGrid w:val="0"/>
        </w:rPr>
        <w:t>.</w:t>
      </w:r>
      <w:r>
        <w:rPr>
          <w:snapToGrid w:val="0"/>
        </w:rPr>
        <w:tab/>
        <w:t>Restrictions relating to loans, securities and debts</w:t>
      </w:r>
      <w:bookmarkEnd w:id="128"/>
      <w:bookmarkEnd w:id="129"/>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130" w:name="_Toc65138146"/>
      <w:bookmarkStart w:id="131" w:name="_Toc60129196"/>
      <w:r>
        <w:rPr>
          <w:rStyle w:val="CharSectno"/>
        </w:rPr>
        <w:t>620</w:t>
      </w:r>
      <w:r>
        <w:rPr>
          <w:snapToGrid w:val="0"/>
        </w:rPr>
        <w:t>.</w:t>
      </w:r>
      <w:r>
        <w:rPr>
          <w:snapToGrid w:val="0"/>
        </w:rPr>
        <w:tab/>
        <w:t>Interest in racing</w:t>
      </w:r>
      <w:bookmarkEnd w:id="130"/>
      <w:bookmarkEnd w:id="131"/>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132" w:name="_Toc65138147"/>
      <w:bookmarkStart w:id="133" w:name="_Toc60129197"/>
      <w:r>
        <w:rPr>
          <w:rStyle w:val="CharSectno"/>
        </w:rPr>
        <w:t>621</w:t>
      </w:r>
      <w:r>
        <w:rPr>
          <w:snapToGrid w:val="0"/>
        </w:rPr>
        <w:t>.</w:t>
      </w:r>
      <w:r>
        <w:rPr>
          <w:snapToGrid w:val="0"/>
        </w:rPr>
        <w:tab/>
        <w:t>Restrictions relating to trade, business or professions outside Force</w:t>
      </w:r>
      <w:bookmarkEnd w:id="132"/>
      <w:bookmarkEnd w:id="133"/>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134" w:name="_Toc65138148"/>
      <w:bookmarkStart w:id="135" w:name="_Toc60129198"/>
      <w:r>
        <w:rPr>
          <w:rStyle w:val="CharSectno"/>
        </w:rPr>
        <w:t>622</w:t>
      </w:r>
      <w:r>
        <w:rPr>
          <w:snapToGrid w:val="0"/>
        </w:rPr>
        <w:t>.</w:t>
      </w:r>
      <w:r>
        <w:rPr>
          <w:snapToGrid w:val="0"/>
        </w:rPr>
        <w:tab/>
        <w:t>Acts against discipline</w:t>
      </w:r>
      <w:bookmarkEnd w:id="134"/>
      <w:bookmarkEnd w:id="135"/>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136" w:name="_Toc65138149"/>
      <w:bookmarkStart w:id="137" w:name="_Toc60129199"/>
      <w:r>
        <w:rPr>
          <w:rStyle w:val="CharSectno"/>
        </w:rPr>
        <w:t>623</w:t>
      </w:r>
      <w:r>
        <w:rPr>
          <w:snapToGrid w:val="0"/>
        </w:rPr>
        <w:t>.</w:t>
      </w:r>
      <w:r>
        <w:rPr>
          <w:snapToGrid w:val="0"/>
        </w:rPr>
        <w:tab/>
        <w:t>Offence against discipline to be reported</w:t>
      </w:r>
      <w:bookmarkEnd w:id="136"/>
      <w:bookmarkEnd w:id="137"/>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138" w:name="_Toc65138150"/>
      <w:bookmarkStart w:id="139" w:name="_Toc60129200"/>
      <w:r>
        <w:rPr>
          <w:rStyle w:val="CharSectno"/>
        </w:rPr>
        <w:t>624</w:t>
      </w:r>
      <w:r>
        <w:rPr>
          <w:snapToGrid w:val="0"/>
        </w:rPr>
        <w:t>.</w:t>
      </w:r>
      <w:r>
        <w:rPr>
          <w:snapToGrid w:val="0"/>
        </w:rPr>
        <w:tab/>
        <w:t>Investigation into acts against discipline</w:t>
      </w:r>
      <w:bookmarkEnd w:id="138"/>
      <w:bookmarkEnd w:id="139"/>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140" w:name="_Toc65138151"/>
      <w:bookmarkStart w:id="141" w:name="_Toc60129201"/>
      <w:r>
        <w:rPr>
          <w:rStyle w:val="CharSectno"/>
        </w:rPr>
        <w:t>625</w:t>
      </w:r>
      <w:r>
        <w:rPr>
          <w:snapToGrid w:val="0"/>
        </w:rPr>
        <w:t>.</w:t>
      </w:r>
      <w:r>
        <w:rPr>
          <w:snapToGrid w:val="0"/>
        </w:rPr>
        <w:tab/>
        <w:t>Disciplinary proceedings</w:t>
      </w:r>
      <w:bookmarkEnd w:id="140"/>
      <w:bookmarkEnd w:id="141"/>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142" w:name="_Toc65138152"/>
      <w:bookmarkStart w:id="143" w:name="_Toc60129202"/>
      <w:r>
        <w:rPr>
          <w:rStyle w:val="CharSectno"/>
        </w:rPr>
        <w:t>626</w:t>
      </w:r>
      <w:r>
        <w:rPr>
          <w:snapToGrid w:val="0"/>
        </w:rPr>
        <w:t>.</w:t>
      </w:r>
      <w:r>
        <w:rPr>
          <w:snapToGrid w:val="0"/>
        </w:rPr>
        <w:tab/>
        <w:t>Civil or criminal proceedings against member</w:t>
      </w:r>
      <w:bookmarkEnd w:id="142"/>
      <w:bookmarkEnd w:id="143"/>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144" w:name="_Toc64541369"/>
      <w:bookmarkStart w:id="145" w:name="_Toc64541670"/>
      <w:bookmarkStart w:id="146" w:name="_Toc64552477"/>
      <w:bookmarkStart w:id="147" w:name="_Toc65138153"/>
      <w:bookmarkStart w:id="148" w:name="_Toc60125693"/>
      <w:bookmarkStart w:id="149" w:name="_Toc60126094"/>
      <w:bookmarkStart w:id="150" w:name="_Toc60129069"/>
      <w:bookmarkStart w:id="151" w:name="_Toc60129203"/>
      <w:r>
        <w:rPr>
          <w:rStyle w:val="CharPartNo"/>
        </w:rPr>
        <w:t>Part VIA</w:t>
      </w:r>
      <w:r>
        <w:rPr>
          <w:b w:val="0"/>
        </w:rPr>
        <w:t> </w:t>
      </w:r>
      <w:r>
        <w:t>—</w:t>
      </w:r>
      <w:r>
        <w:rPr>
          <w:b w:val="0"/>
        </w:rPr>
        <w:t> </w:t>
      </w:r>
      <w:r>
        <w:rPr>
          <w:rStyle w:val="CharPartText"/>
        </w:rPr>
        <w:t>Procedure relating to Part IIB of the Act</w:t>
      </w:r>
      <w:bookmarkEnd w:id="144"/>
      <w:bookmarkEnd w:id="145"/>
      <w:bookmarkEnd w:id="146"/>
      <w:bookmarkEnd w:id="147"/>
      <w:bookmarkEnd w:id="148"/>
      <w:bookmarkEnd w:id="149"/>
      <w:bookmarkEnd w:id="150"/>
      <w:bookmarkEnd w:id="151"/>
    </w:p>
    <w:p>
      <w:pPr>
        <w:pStyle w:val="Footnotesection"/>
      </w:pPr>
      <w:r>
        <w:tab/>
        <w:t>[Heading inserted: Gazette 26 Aug 2003 p. 3758.]</w:t>
      </w:r>
    </w:p>
    <w:p>
      <w:pPr>
        <w:pStyle w:val="Heading5"/>
        <w:spacing w:before="260"/>
      </w:pPr>
      <w:bookmarkStart w:id="152" w:name="_Toc65138154"/>
      <w:bookmarkStart w:id="153" w:name="_Toc60129204"/>
      <w:r>
        <w:rPr>
          <w:rStyle w:val="CharSectno"/>
        </w:rPr>
        <w:t>6A01</w:t>
      </w:r>
      <w:r>
        <w:t>.</w:t>
      </w:r>
      <w:r>
        <w:tab/>
        <w:t>Terms used</w:t>
      </w:r>
      <w:bookmarkEnd w:id="152"/>
      <w:bookmarkEnd w:id="153"/>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154" w:name="_Toc65138155"/>
      <w:bookmarkStart w:id="155" w:name="_Toc60129205"/>
      <w:r>
        <w:rPr>
          <w:rStyle w:val="CharSectno"/>
        </w:rPr>
        <w:t>6A02</w:t>
      </w:r>
      <w:r>
        <w:t>.</w:t>
      </w:r>
      <w:r>
        <w:tab/>
        <w:t>Appointment of review officer</w:t>
      </w:r>
      <w:bookmarkEnd w:id="154"/>
      <w:bookmarkEnd w:id="155"/>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Gazette 26 Aug 2003 p. 3759.]</w:t>
      </w:r>
    </w:p>
    <w:p>
      <w:pPr>
        <w:pStyle w:val="Heading5"/>
      </w:pPr>
      <w:bookmarkStart w:id="156" w:name="_Toc65138156"/>
      <w:bookmarkStart w:id="157" w:name="_Toc60129206"/>
      <w:r>
        <w:rPr>
          <w:rStyle w:val="CharSectno"/>
        </w:rPr>
        <w:t>6A03</w:t>
      </w:r>
      <w:r>
        <w:t>.</w:t>
      </w:r>
      <w:r>
        <w:tab/>
        <w:t>Role of review officer</w:t>
      </w:r>
      <w:bookmarkEnd w:id="156"/>
      <w:bookmarkEnd w:id="157"/>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158" w:name="_Toc65138157"/>
      <w:bookmarkStart w:id="159" w:name="_Toc60129207"/>
      <w:r>
        <w:rPr>
          <w:rStyle w:val="CharSectno"/>
        </w:rPr>
        <w:t>6A04</w:t>
      </w:r>
      <w:r>
        <w:t>.</w:t>
      </w:r>
      <w:r>
        <w:tab/>
        <w:t>Provision of materials to Commissioner</w:t>
      </w:r>
      <w:bookmarkEnd w:id="158"/>
      <w:bookmarkEnd w:id="159"/>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160" w:name="_Toc65138158"/>
      <w:bookmarkStart w:id="161" w:name="_Toc60129208"/>
      <w:r>
        <w:rPr>
          <w:rStyle w:val="CharSectno"/>
        </w:rPr>
        <w:t>6A05</w:t>
      </w:r>
      <w:r>
        <w:t>.</w:t>
      </w:r>
      <w:r>
        <w:tab/>
        <w:t>Notice for purpose of Act s. 33L(1)</w:t>
      </w:r>
      <w:bookmarkEnd w:id="160"/>
      <w:bookmarkEnd w:id="161"/>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162" w:name="_Toc65138159"/>
      <w:bookmarkStart w:id="163" w:name="_Toc60129209"/>
      <w:r>
        <w:rPr>
          <w:rStyle w:val="CharSectno"/>
        </w:rPr>
        <w:t>6A06</w:t>
      </w:r>
      <w:r>
        <w:t>.</w:t>
      </w:r>
      <w:r>
        <w:tab/>
        <w:t>Access to material</w:t>
      </w:r>
      <w:bookmarkEnd w:id="162"/>
      <w:bookmarkEnd w:id="163"/>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164" w:name="_Toc65138160"/>
      <w:bookmarkStart w:id="165" w:name="_Toc60129210"/>
      <w:r>
        <w:rPr>
          <w:rStyle w:val="CharSectno"/>
        </w:rPr>
        <w:t>6A07</w:t>
      </w:r>
      <w:r>
        <w:t>.</w:t>
      </w:r>
      <w:r>
        <w:tab/>
        <w:t>Commissioner’s assessment of member’s submission</w:t>
      </w:r>
      <w:bookmarkEnd w:id="164"/>
      <w:bookmarkEnd w:id="165"/>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166" w:name="_Toc65138161"/>
      <w:bookmarkStart w:id="167" w:name="_Toc60129211"/>
      <w:r>
        <w:rPr>
          <w:rStyle w:val="CharSectno"/>
        </w:rPr>
        <w:t>6A08</w:t>
      </w:r>
      <w:r>
        <w:t>.</w:t>
      </w:r>
      <w:r>
        <w:tab/>
        <w:t>Further ground for removal, or revocation of appointment</w:t>
      </w:r>
      <w:bookmarkEnd w:id="166"/>
      <w:bookmarkEnd w:id="167"/>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168" w:name="_Toc65138162"/>
      <w:bookmarkStart w:id="169" w:name="_Toc60129212"/>
      <w:r>
        <w:rPr>
          <w:rStyle w:val="CharSectno"/>
        </w:rPr>
        <w:t>6A09</w:t>
      </w:r>
      <w:r>
        <w:t>.</w:t>
      </w:r>
      <w:r>
        <w:tab/>
        <w:t>Notice of Commissioner’s decision on removal action and materials relied on (Act s. 33L(3) and (5))</w:t>
      </w:r>
      <w:bookmarkEnd w:id="168"/>
      <w:bookmarkEnd w:id="169"/>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170" w:name="_Toc65138163"/>
      <w:bookmarkStart w:id="171" w:name="_Toc60129213"/>
      <w:r>
        <w:rPr>
          <w:rStyle w:val="CharSectno"/>
        </w:rPr>
        <w:t>6A10</w:t>
      </w:r>
      <w:r>
        <w:t>.</w:t>
      </w:r>
      <w:r>
        <w:tab/>
        <w:t>Service of notices or documents</w:t>
      </w:r>
      <w:bookmarkEnd w:id="170"/>
      <w:bookmarkEnd w:id="171"/>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172" w:name="_Toc65138164"/>
      <w:bookmarkStart w:id="173" w:name="_Toc60129214"/>
      <w:r>
        <w:rPr>
          <w:rStyle w:val="CharSectno"/>
        </w:rPr>
        <w:t>6A11</w:t>
      </w:r>
      <w:r>
        <w:t>.</w:t>
      </w:r>
      <w:r>
        <w:tab/>
        <w:t>Members unfit for further active service</w:t>
      </w:r>
      <w:bookmarkEnd w:id="172"/>
      <w:bookmarkEnd w:id="173"/>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174" w:name="_Toc65138165"/>
      <w:bookmarkStart w:id="175" w:name="_Toc60129215"/>
      <w:r>
        <w:rPr>
          <w:rStyle w:val="CharSectno"/>
        </w:rPr>
        <w:t>6A12</w:t>
      </w:r>
      <w:r>
        <w:t>.</w:t>
      </w:r>
      <w:r>
        <w:tab/>
        <w:t>Restriction on suspending member’s pay</w:t>
      </w:r>
      <w:bookmarkEnd w:id="174"/>
      <w:bookmarkEnd w:id="175"/>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pPr>
      <w:bookmarkStart w:id="176" w:name="_Toc64541382"/>
      <w:bookmarkStart w:id="177" w:name="_Toc64541683"/>
      <w:bookmarkStart w:id="178" w:name="_Toc64552490"/>
      <w:bookmarkStart w:id="179" w:name="_Toc65138166"/>
      <w:bookmarkStart w:id="180" w:name="_Toc60125706"/>
      <w:bookmarkStart w:id="181" w:name="_Toc60126107"/>
      <w:bookmarkStart w:id="182" w:name="_Toc60129082"/>
      <w:bookmarkStart w:id="183" w:name="_Toc60129216"/>
      <w:r>
        <w:rPr>
          <w:rStyle w:val="CharPartNo"/>
        </w:rPr>
        <w:t>Part VII</w:t>
      </w:r>
      <w:r>
        <w:rPr>
          <w:b w:val="0"/>
        </w:rPr>
        <w:t> </w:t>
      </w:r>
      <w:r>
        <w:t>—</w:t>
      </w:r>
      <w:r>
        <w:rPr>
          <w:b w:val="0"/>
        </w:rPr>
        <w:t> </w:t>
      </w:r>
      <w:r>
        <w:rPr>
          <w:rStyle w:val="CharPartText"/>
        </w:rPr>
        <w:t>Custody notification service</w:t>
      </w:r>
      <w:bookmarkEnd w:id="176"/>
      <w:bookmarkEnd w:id="177"/>
      <w:bookmarkEnd w:id="178"/>
      <w:bookmarkEnd w:id="179"/>
      <w:bookmarkEnd w:id="180"/>
      <w:bookmarkEnd w:id="181"/>
      <w:bookmarkEnd w:id="182"/>
      <w:bookmarkEnd w:id="183"/>
    </w:p>
    <w:p>
      <w:pPr>
        <w:pStyle w:val="Footnoteheading"/>
        <w:rPr>
          <w:iCs/>
        </w:rPr>
      </w:pPr>
      <w:r>
        <w:rPr>
          <w:iCs/>
        </w:rPr>
        <w:tab/>
        <w:t>[Heading inserted:Gazette 1 Oct 2019 p. 3510.]</w:t>
      </w:r>
    </w:p>
    <w:p>
      <w:pPr>
        <w:pStyle w:val="Heading5"/>
      </w:pPr>
      <w:bookmarkStart w:id="184" w:name="_Toc65138167"/>
      <w:bookmarkStart w:id="185" w:name="_Toc60129217"/>
      <w:r>
        <w:rPr>
          <w:rStyle w:val="CharSectno"/>
        </w:rPr>
        <w:t>701</w:t>
      </w:r>
      <w:r>
        <w:t>.</w:t>
      </w:r>
      <w:r>
        <w:tab/>
        <w:t>Terms used</w:t>
      </w:r>
      <w:bookmarkEnd w:id="184"/>
      <w:bookmarkEnd w:id="185"/>
    </w:p>
    <w:p>
      <w:pPr>
        <w:pStyle w:val="Subsection"/>
      </w:pPr>
      <w:r>
        <w:tab/>
      </w:r>
      <w:r>
        <w:tab/>
        <w:t xml:space="preserve">In this Part — </w:t>
      </w:r>
    </w:p>
    <w:p>
      <w:pPr>
        <w:pStyle w:val="Defstart"/>
      </w:pPr>
      <w:r>
        <w:tab/>
      </w:r>
      <w:r>
        <w:rPr>
          <w:rStyle w:val="CharDefText"/>
        </w:rPr>
        <w:t>ALSWA</w:t>
      </w:r>
      <w:r>
        <w:t xml:space="preserve"> means the Aboriginal Legal Service of Western Australia Limited (ACN 617 555 843);</w:t>
      </w:r>
    </w:p>
    <w:p>
      <w:pPr>
        <w:pStyle w:val="Defstart"/>
      </w:pPr>
      <w:r>
        <w:tab/>
      </w:r>
      <w:r>
        <w:rPr>
          <w:rStyle w:val="CharDefText"/>
        </w:rPr>
        <w:t>ALSWA representative</w:t>
      </w:r>
      <w:r>
        <w:t xml:space="preserve"> means a person employed or engaged by ALSWA;</w:t>
      </w:r>
    </w:p>
    <w:p>
      <w:pPr>
        <w:pStyle w:val="Defstart"/>
      </w:pPr>
      <w:r>
        <w:tab/>
      </w:r>
      <w:r>
        <w:rPr>
          <w:rStyle w:val="CharDefText"/>
        </w:rPr>
        <w:t>CNS person</w:t>
      </w:r>
      <w:r>
        <w:t xml:space="preserve"> means an Aboriginal person or a Torres Strait Islander who is — </w:t>
      </w:r>
    </w:p>
    <w:p>
      <w:pPr>
        <w:pStyle w:val="Defpara"/>
      </w:pPr>
      <w:r>
        <w:tab/>
        <w:t>(a)</w:t>
      </w:r>
      <w:r>
        <w:tab/>
        <w:t>arrested or apprehended by a member under a written law; and</w:t>
      </w:r>
    </w:p>
    <w:p>
      <w:pPr>
        <w:pStyle w:val="Defpara"/>
      </w:pPr>
      <w:r>
        <w:tab/>
        <w:t>(b)</w:t>
      </w:r>
      <w:r>
        <w:tab/>
        <w:t>detained at a police facility in police custody;</w:t>
      </w:r>
    </w:p>
    <w:p>
      <w:pPr>
        <w:pStyle w:val="Defstart"/>
      </w:pPr>
      <w:r>
        <w:tab/>
      </w:r>
      <w:r>
        <w:rPr>
          <w:rStyle w:val="CharDefText"/>
        </w:rPr>
        <w:t>police facility</w:t>
      </w:r>
      <w:r>
        <w:t xml:space="preserve"> means a police station or other premises managed or controlled by the Commissioner at which a CNS person may be detained in police custody;</w:t>
      </w:r>
    </w:p>
    <w:p>
      <w:pPr>
        <w:pStyle w:val="Defstart"/>
      </w:pPr>
      <w:r>
        <w:tab/>
      </w:r>
      <w:r>
        <w:rPr>
          <w:rStyle w:val="CharDefText"/>
        </w:rPr>
        <w:t>responsible officer</w:t>
      </w:r>
      <w:r>
        <w:t xml:space="preserve"> means the member who is for the time being responsible for the custodial management of a CNS person detained at a police facility in police custody.</w:t>
      </w:r>
    </w:p>
    <w:p>
      <w:pPr>
        <w:pStyle w:val="Footnotesection"/>
        <w:rPr>
          <w:iCs/>
        </w:rPr>
      </w:pPr>
      <w:r>
        <w:rPr>
          <w:iCs/>
        </w:rPr>
        <w:tab/>
        <w:t>[Regulation 701 inserted: Gazette 1 Oct 2019 p. 3510.]</w:t>
      </w:r>
    </w:p>
    <w:p>
      <w:pPr>
        <w:pStyle w:val="Heading5"/>
      </w:pPr>
      <w:bookmarkStart w:id="186" w:name="_Toc65138168"/>
      <w:bookmarkStart w:id="187" w:name="_Toc60129218"/>
      <w:r>
        <w:rPr>
          <w:rStyle w:val="CharSectno"/>
        </w:rPr>
        <w:t>702</w:t>
      </w:r>
      <w:r>
        <w:t>.</w:t>
      </w:r>
      <w:r>
        <w:tab/>
        <w:t>Other written laws not affected</w:t>
      </w:r>
      <w:bookmarkEnd w:id="186"/>
      <w:bookmarkEnd w:id="187"/>
    </w:p>
    <w:p>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pPr>
        <w:pStyle w:val="Footnotesection"/>
        <w:rPr>
          <w:iCs/>
        </w:rPr>
      </w:pPr>
      <w:r>
        <w:rPr>
          <w:iCs/>
        </w:rPr>
        <w:tab/>
        <w:t>[Regulation 702 inserted: Gazette 1 Oct 2019 p. 3510.]</w:t>
      </w:r>
    </w:p>
    <w:p>
      <w:pPr>
        <w:pStyle w:val="Heading5"/>
      </w:pPr>
      <w:bookmarkStart w:id="188" w:name="_Toc65138169"/>
      <w:bookmarkStart w:id="189" w:name="_Toc60129219"/>
      <w:r>
        <w:rPr>
          <w:rStyle w:val="CharSectno"/>
        </w:rPr>
        <w:t>703</w:t>
      </w:r>
      <w:r>
        <w:t>.</w:t>
      </w:r>
      <w:r>
        <w:tab/>
        <w:t>ALSWA to be notified of detention of CNS person at police facility</w:t>
      </w:r>
      <w:bookmarkEnd w:id="188"/>
      <w:bookmarkEnd w:id="189"/>
    </w:p>
    <w:p>
      <w:pPr>
        <w:pStyle w:val="Subsection"/>
      </w:pPr>
      <w:r>
        <w:tab/>
        <w:t>(1)</w:t>
      </w:r>
      <w:r>
        <w:tab/>
        <w:t xml:space="preserve">Immediately after a CNS person has been detained at a police facility in police custody, the responsible officer must ensure that — </w:t>
      </w:r>
    </w:p>
    <w:p>
      <w:pPr>
        <w:pStyle w:val="Indenta"/>
      </w:pPr>
      <w:r>
        <w:tab/>
        <w:t>(a)</w:t>
      </w:r>
      <w:r>
        <w:tab/>
        <w:t>the CNS person is informed that ALSWA will be notified by telephone of the CNS person’s detention at the police facility; and</w:t>
      </w:r>
    </w:p>
    <w:p>
      <w:pPr>
        <w:pStyle w:val="Indenta"/>
      </w:pPr>
      <w:r>
        <w:tab/>
        <w:t>(b)</w:t>
      </w:r>
      <w:r>
        <w:tab/>
        <w:t>ALSWA is notified by telephone accordingly.</w:t>
      </w:r>
    </w:p>
    <w:p>
      <w:pPr>
        <w:pStyle w:val="Subsection"/>
      </w:pPr>
      <w:r>
        <w:tab/>
        <w:t>(2)</w:t>
      </w:r>
      <w:r>
        <w:tab/>
        <w:t xml:space="preserve">The responsible officer must ensure that the notification given under subregulation (1)(b) includes the following information — </w:t>
      </w:r>
    </w:p>
    <w:p>
      <w:pPr>
        <w:pStyle w:val="Indenta"/>
      </w:pPr>
      <w:r>
        <w:tab/>
        <w:t>(a)</w:t>
      </w:r>
      <w:r>
        <w:tab/>
        <w:t>the name of the CNS person;</w:t>
      </w:r>
    </w:p>
    <w:p>
      <w:pPr>
        <w:pStyle w:val="Indenta"/>
      </w:pPr>
      <w:r>
        <w:tab/>
        <w:t>(b)</w:t>
      </w:r>
      <w:r>
        <w:tab/>
        <w:t>the police facility where the CNS person is detained in police custody;</w:t>
      </w:r>
    </w:p>
    <w:p>
      <w:pPr>
        <w:pStyle w:val="Indenta"/>
      </w:pPr>
      <w:r>
        <w:tab/>
        <w:t>(c)</w:t>
      </w:r>
      <w:r>
        <w:tab/>
        <w:t>the reason why the CNS person is detained in police custody;</w:t>
      </w:r>
    </w:p>
    <w:p>
      <w:pPr>
        <w:pStyle w:val="Indenta"/>
      </w:pPr>
      <w:r>
        <w:tab/>
        <w:t>(d)</w:t>
      </w:r>
      <w:r>
        <w:tab/>
        <w:t>the period during which the CNS person has been detained in police custody;</w:t>
      </w:r>
    </w:p>
    <w:p>
      <w:pPr>
        <w:pStyle w:val="Indenta"/>
      </w:pPr>
      <w:r>
        <w:tab/>
        <w:t>(e)</w:t>
      </w:r>
      <w:r>
        <w:tab/>
        <w:t>if the CNS person has been arrested, whether the CNS person is likely to be granted bail by a member authorised to do so;</w:t>
      </w:r>
    </w:p>
    <w:p>
      <w:pPr>
        <w:pStyle w:val="Indenta"/>
      </w:pPr>
      <w:r>
        <w:tab/>
        <w:t>(f)</w:t>
      </w:r>
      <w:r>
        <w:tab/>
        <w:t>if the CNS person has been arrested, the location where the CNS person is going to be detained if the CNS person is not granted bail by a member authorised to do so;</w:t>
      </w:r>
    </w:p>
    <w:p>
      <w:pPr>
        <w:pStyle w:val="Indenta"/>
      </w:pPr>
      <w:r>
        <w:tab/>
        <w:t>(g)</w:t>
      </w:r>
      <w:r>
        <w:tab/>
        <w:t>that an ALSWA representative may speak by telephone to the CNS person as soon as the ALSWA representative wants to do so;</w:t>
      </w:r>
    </w:p>
    <w:p>
      <w:pPr>
        <w:pStyle w:val="Indenta"/>
      </w:pPr>
      <w:r>
        <w:tab/>
        <w:t>(h)</w:t>
      </w:r>
      <w:r>
        <w:tab/>
        <w:t>the name, registered number and telephone number of the responsible officer;</w:t>
      </w:r>
    </w:p>
    <w:p>
      <w:pPr>
        <w:pStyle w:val="Indenta"/>
      </w:pPr>
      <w:r>
        <w:tab/>
        <w:t>(i)</w:t>
      </w:r>
      <w:r>
        <w:tab/>
        <w:t>any other information relating to the CNS person that the responsible officer considers appropriate to be given to ALSWA.</w:t>
      </w:r>
    </w:p>
    <w:p>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p>
    <w:p>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pPr>
        <w:pStyle w:val="Indenta"/>
      </w:pPr>
      <w:r>
        <w:tab/>
        <w:t>(a)</w:t>
      </w:r>
      <w:r>
        <w:tab/>
        <w:t>any concerns held by the ALSWA representative regarding the welfare of the CNS person, including any need the CNS person has for medical attention; and</w:t>
      </w:r>
    </w:p>
    <w:p>
      <w:pPr>
        <w:pStyle w:val="Indenta"/>
      </w:pPr>
      <w:r>
        <w:tab/>
        <w:t>(b)</w:t>
      </w:r>
      <w:r>
        <w:tab/>
        <w:t xml:space="preserve">if the CNS person has been arrested — </w:t>
      </w:r>
    </w:p>
    <w:p>
      <w:pPr>
        <w:pStyle w:val="Indenti"/>
      </w:pPr>
      <w:r>
        <w:tab/>
        <w:t>(i)</w:t>
      </w:r>
      <w:r>
        <w:tab/>
        <w:t>whether the CNS person needs the services of an interpreter, or the presence of a support person, when the CNS person is interviewed in relation to the offence for which the CNS person has been arrested; and</w:t>
      </w:r>
    </w:p>
    <w:p>
      <w:pPr>
        <w:pStyle w:val="Indenti"/>
      </w:pPr>
      <w:r>
        <w:tab/>
        <w:t>(ii)</w:t>
      </w:r>
      <w:r>
        <w:tab/>
        <w:t>whether the CNS person proposes to apply for bail.</w:t>
      </w:r>
    </w:p>
    <w:p>
      <w:pPr>
        <w:pStyle w:val="Footnotesection"/>
        <w:rPr>
          <w:iCs/>
        </w:rPr>
      </w:pPr>
      <w:r>
        <w:rPr>
          <w:iCs/>
        </w:rPr>
        <w:tab/>
        <w:t>[Regulation 703 inserted: Gazette 1 Oct 2019 p. 3511-12.]</w:t>
      </w:r>
    </w:p>
    <w:p>
      <w:pPr>
        <w:pStyle w:val="Heading5"/>
      </w:pPr>
      <w:bookmarkStart w:id="190" w:name="_Toc65138170"/>
      <w:bookmarkStart w:id="191" w:name="_Toc60129220"/>
      <w:r>
        <w:rPr>
          <w:rStyle w:val="CharSectno"/>
        </w:rPr>
        <w:t>704</w:t>
      </w:r>
      <w:r>
        <w:t>.</w:t>
      </w:r>
      <w:r>
        <w:tab/>
        <w:t>Responsible officer to ensure record made of notification given to, and other contact with, ALSWA</w:t>
      </w:r>
      <w:bookmarkEnd w:id="190"/>
      <w:bookmarkEnd w:id="191"/>
    </w:p>
    <w:p>
      <w:pPr>
        <w:pStyle w:val="Subsection"/>
      </w:pPr>
      <w:r>
        <w:tab/>
      </w:r>
      <w:r>
        <w:tab/>
        <w:t xml:space="preserve">The responsible officer must ensure a record is made of — </w:t>
      </w:r>
    </w:p>
    <w:p>
      <w:pPr>
        <w:pStyle w:val="Indenta"/>
      </w:pPr>
      <w:r>
        <w:tab/>
        <w:t>(a)</w:t>
      </w:r>
      <w:r>
        <w:tab/>
        <w:t>a CNS person being informed under regulation 703(1)(a); and</w:t>
      </w:r>
    </w:p>
    <w:p>
      <w:pPr>
        <w:pStyle w:val="Indenta"/>
      </w:pPr>
      <w:r>
        <w:tab/>
        <w:t>(b)</w:t>
      </w:r>
      <w:r>
        <w:tab/>
        <w:t>ALSWA being notified under regulation 703(1)(b); and</w:t>
      </w:r>
    </w:p>
    <w:p>
      <w:pPr>
        <w:pStyle w:val="Indenta"/>
      </w:pPr>
      <w:r>
        <w:tab/>
        <w:t>(c)</w:t>
      </w:r>
      <w:r>
        <w:tab/>
        <w:t>any other occasion when there is contact between a member and ALSWA in respect of a CNS person, including details of any matters discussed during that contact.</w:t>
      </w:r>
    </w:p>
    <w:p>
      <w:pPr>
        <w:pStyle w:val="Footnotesection"/>
        <w:rPr>
          <w:iCs/>
        </w:rPr>
      </w:pPr>
      <w:r>
        <w:rPr>
          <w:iCs/>
        </w:rPr>
        <w:tab/>
        <w:t>[Regulation 704 inserted: Gazette 1 Oct 2019 p. 3513.]</w:t>
      </w:r>
    </w:p>
    <w:p>
      <w:pPr>
        <w:pStyle w:val="Ednotepart"/>
      </w:pPr>
      <w:r>
        <w:t>[</w:t>
      </w:r>
      <w:r>
        <w:rPr>
          <w:b/>
          <w:bCs/>
        </w:rPr>
        <w:t>705-708.</w:t>
      </w:r>
      <w:r>
        <w:rPr>
          <w:b/>
          <w:bCs/>
        </w:rPr>
        <w:tab/>
      </w:r>
      <w:r>
        <w:rPr>
          <w:bCs/>
        </w:rPr>
        <w:t>D</w:t>
      </w:r>
      <w:r>
        <w:t>eleted: Gazette 22 Dec 2006 p. 5823.]</w:t>
      </w:r>
    </w:p>
    <w:p>
      <w:pPr>
        <w:pStyle w:val="Ednotepart"/>
      </w:pPr>
      <w:r>
        <w:t>[Part VIIA deleted: Gazette 17 Mar 1995 p. 1055.]</w:t>
      </w:r>
    </w:p>
    <w:p>
      <w:pPr>
        <w:pStyle w:val="Heading2"/>
      </w:pPr>
      <w:bookmarkStart w:id="192" w:name="_Toc64541387"/>
      <w:bookmarkStart w:id="193" w:name="_Toc64541688"/>
      <w:bookmarkStart w:id="194" w:name="_Toc64552495"/>
      <w:bookmarkStart w:id="195" w:name="_Toc65138171"/>
      <w:bookmarkStart w:id="196" w:name="_Toc60125711"/>
      <w:bookmarkStart w:id="197" w:name="_Toc60126112"/>
      <w:bookmarkStart w:id="198" w:name="_Toc60129087"/>
      <w:bookmarkStart w:id="199" w:name="_Toc60129221"/>
      <w:r>
        <w:rPr>
          <w:rStyle w:val="CharPartNo"/>
        </w:rPr>
        <w:t>Part VIII</w:t>
      </w:r>
      <w:r>
        <w:rPr>
          <w:rStyle w:val="CharDivText"/>
        </w:rPr>
        <w:t> </w:t>
      </w:r>
      <w:r>
        <w:t>—</w:t>
      </w:r>
      <w:r>
        <w:rPr>
          <w:rStyle w:val="CharDivText"/>
        </w:rPr>
        <w:t> </w:t>
      </w:r>
      <w:r>
        <w:rPr>
          <w:rStyle w:val="CharPartText"/>
        </w:rPr>
        <w:t>Seniority</w:t>
      </w:r>
      <w:bookmarkEnd w:id="192"/>
      <w:bookmarkEnd w:id="193"/>
      <w:bookmarkEnd w:id="194"/>
      <w:bookmarkEnd w:id="195"/>
      <w:bookmarkEnd w:id="196"/>
      <w:bookmarkEnd w:id="197"/>
      <w:bookmarkEnd w:id="198"/>
      <w:bookmarkEnd w:id="199"/>
    </w:p>
    <w:p>
      <w:pPr>
        <w:pStyle w:val="Footnoteheading"/>
        <w:rPr>
          <w:snapToGrid w:val="0"/>
        </w:rPr>
      </w:pPr>
      <w:r>
        <w:rPr>
          <w:snapToGrid w:val="0"/>
        </w:rPr>
        <w:tab/>
        <w:t>[Heading amended: Gazette 30 Mar 1990 p. 1665; 21 Aug 1998 p. 4678.]</w:t>
      </w:r>
    </w:p>
    <w:p>
      <w:pPr>
        <w:pStyle w:val="Heading5"/>
        <w:rPr>
          <w:snapToGrid w:val="0"/>
        </w:rPr>
      </w:pPr>
      <w:bookmarkStart w:id="200" w:name="_Toc65138172"/>
      <w:bookmarkStart w:id="201" w:name="_Toc60129222"/>
      <w:r>
        <w:rPr>
          <w:rStyle w:val="CharSectno"/>
        </w:rPr>
        <w:t>801</w:t>
      </w:r>
      <w:r>
        <w:rPr>
          <w:snapToGrid w:val="0"/>
        </w:rPr>
        <w:t>.</w:t>
      </w:r>
      <w:r>
        <w:rPr>
          <w:snapToGrid w:val="0"/>
        </w:rPr>
        <w:tab/>
        <w:t>Terms used</w:t>
      </w:r>
      <w:bookmarkEnd w:id="200"/>
      <w:bookmarkEnd w:id="201"/>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202" w:name="_Toc65138173"/>
      <w:bookmarkStart w:id="203" w:name="_Toc60129223"/>
      <w:r>
        <w:rPr>
          <w:rStyle w:val="CharSectno"/>
        </w:rPr>
        <w:t>802</w:t>
      </w:r>
      <w:r>
        <w:t>.</w:t>
      </w:r>
      <w:r>
        <w:tab/>
        <w:t>Regulations not to affect power conferred on Governor, Commissioner or relevant award</w:t>
      </w:r>
      <w:bookmarkEnd w:id="202"/>
      <w:bookmarkEnd w:id="203"/>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204" w:name="_Toc65138174"/>
      <w:bookmarkStart w:id="205" w:name="_Toc60129224"/>
      <w:r>
        <w:rPr>
          <w:rStyle w:val="CharSectno"/>
        </w:rPr>
        <w:t>803</w:t>
      </w:r>
      <w:r>
        <w:rPr>
          <w:snapToGrid w:val="0"/>
        </w:rPr>
        <w:t>.</w:t>
      </w:r>
      <w:r>
        <w:rPr>
          <w:snapToGrid w:val="0"/>
        </w:rPr>
        <w:tab/>
        <w:t>Register of Training and Education Qualifications</w:t>
      </w:r>
      <w:bookmarkEnd w:id="204"/>
      <w:bookmarkEnd w:id="205"/>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206" w:name="_Toc65138175"/>
      <w:bookmarkStart w:id="207" w:name="_Toc60129225"/>
      <w:r>
        <w:rPr>
          <w:rStyle w:val="CharSectno"/>
        </w:rPr>
        <w:t>804</w:t>
      </w:r>
      <w:r>
        <w:rPr>
          <w:snapToGrid w:val="0"/>
        </w:rPr>
        <w:t>.</w:t>
      </w:r>
      <w:r>
        <w:rPr>
          <w:snapToGrid w:val="0"/>
        </w:rPr>
        <w:tab/>
        <w:t>General Seniority List to be established</w:t>
      </w:r>
      <w:bookmarkEnd w:id="206"/>
      <w:bookmarkEnd w:id="207"/>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208" w:name="_Toc65138176"/>
      <w:bookmarkStart w:id="209" w:name="_Toc60129226"/>
      <w:r>
        <w:rPr>
          <w:rStyle w:val="CharSectno"/>
        </w:rPr>
        <w:t>805</w:t>
      </w:r>
      <w:r>
        <w:rPr>
          <w:snapToGrid w:val="0"/>
        </w:rPr>
        <w:t>.</w:t>
      </w:r>
      <w:r>
        <w:rPr>
          <w:snapToGrid w:val="0"/>
        </w:rPr>
        <w:tab/>
        <w:t>General seniority of Force members</w:t>
      </w:r>
      <w:bookmarkEnd w:id="208"/>
      <w:bookmarkEnd w:id="209"/>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t>[</w:t>
      </w:r>
      <w:r>
        <w:rPr>
          <w:b/>
        </w:rPr>
        <w:t>809</w:t>
      </w:r>
      <w:r>
        <w:rPr>
          <w:b/>
          <w:bCs/>
        </w:rPr>
        <w:t>-</w:t>
      </w:r>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bCs/>
        </w:rPr>
        <w:t>-</w:t>
      </w:r>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210" w:name="_Toc64541393"/>
      <w:bookmarkStart w:id="211" w:name="_Toc64541694"/>
      <w:bookmarkStart w:id="212" w:name="_Toc64552501"/>
      <w:bookmarkStart w:id="213" w:name="_Toc65138177"/>
      <w:bookmarkStart w:id="214" w:name="_Toc60125717"/>
      <w:bookmarkStart w:id="215" w:name="_Toc60126118"/>
      <w:bookmarkStart w:id="216" w:name="_Toc60129093"/>
      <w:bookmarkStart w:id="217" w:name="_Toc60129227"/>
      <w:r>
        <w:rPr>
          <w:rStyle w:val="CharPartNo"/>
        </w:rPr>
        <w:t>Part IX</w:t>
      </w:r>
      <w:r>
        <w:rPr>
          <w:rStyle w:val="CharDivNo"/>
        </w:rPr>
        <w:t> </w:t>
      </w:r>
      <w:r>
        <w:t>—</w:t>
      </w:r>
      <w:r>
        <w:rPr>
          <w:rStyle w:val="CharDivText"/>
        </w:rPr>
        <w:t> </w:t>
      </w:r>
      <w:r>
        <w:rPr>
          <w:rStyle w:val="CharPartText"/>
        </w:rPr>
        <w:t>General dress and appearance requirements</w:t>
      </w:r>
      <w:bookmarkEnd w:id="210"/>
      <w:bookmarkEnd w:id="211"/>
      <w:bookmarkEnd w:id="212"/>
      <w:bookmarkEnd w:id="213"/>
      <w:bookmarkEnd w:id="214"/>
      <w:bookmarkEnd w:id="215"/>
      <w:bookmarkEnd w:id="216"/>
      <w:bookmarkEnd w:id="217"/>
    </w:p>
    <w:p>
      <w:pPr>
        <w:pStyle w:val="Footnoteheading"/>
      </w:pPr>
      <w:r>
        <w:tab/>
        <w:t>[Heading inserted: Gazette 2 Feb 2007 p. 248.]</w:t>
      </w:r>
    </w:p>
    <w:p>
      <w:pPr>
        <w:pStyle w:val="Heading5"/>
      </w:pPr>
      <w:bookmarkStart w:id="218" w:name="_Toc65138178"/>
      <w:bookmarkStart w:id="219" w:name="_Toc60129228"/>
      <w:r>
        <w:rPr>
          <w:rStyle w:val="CharSectno"/>
        </w:rPr>
        <w:t>901A</w:t>
      </w:r>
      <w:r>
        <w:t>.</w:t>
      </w:r>
      <w:r>
        <w:tab/>
        <w:t>Term used: Certificate of Authority</w:t>
      </w:r>
      <w:bookmarkEnd w:id="218"/>
      <w:bookmarkEnd w:id="219"/>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220" w:name="_Toc65138179"/>
      <w:bookmarkStart w:id="221" w:name="_Toc60129229"/>
      <w:r>
        <w:rPr>
          <w:rStyle w:val="CharSectno"/>
        </w:rPr>
        <w:t>901</w:t>
      </w:r>
      <w:r>
        <w:t>.</w:t>
      </w:r>
      <w:r>
        <w:tab/>
        <w:t>Uniform to be worn as ordered</w:t>
      </w:r>
      <w:bookmarkEnd w:id="220"/>
      <w:bookmarkEnd w:id="221"/>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keepNext/>
      </w:pPr>
      <w:r>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222" w:name="_Toc65138180"/>
      <w:bookmarkStart w:id="223" w:name="_Toc60129230"/>
      <w:r>
        <w:rPr>
          <w:rStyle w:val="CharSectno"/>
        </w:rPr>
        <w:t>902</w:t>
      </w:r>
      <w:r>
        <w:t>.</w:t>
      </w:r>
      <w:r>
        <w:tab/>
        <w:t>Wearing of uniform while off duty</w:t>
      </w:r>
      <w:bookmarkEnd w:id="222"/>
      <w:bookmarkEnd w:id="223"/>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224" w:name="_Toc65138181"/>
      <w:bookmarkStart w:id="225" w:name="_Toc60129231"/>
      <w:r>
        <w:rPr>
          <w:rStyle w:val="CharSectno"/>
        </w:rPr>
        <w:t>903</w:t>
      </w:r>
      <w:r>
        <w:t>.</w:t>
      </w:r>
      <w:r>
        <w:tab/>
        <w:t>Uniform not to be altered</w:t>
      </w:r>
      <w:bookmarkEnd w:id="224"/>
      <w:bookmarkEnd w:id="225"/>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226" w:name="_Toc65138182"/>
      <w:bookmarkStart w:id="227" w:name="_Toc60129232"/>
      <w:r>
        <w:rPr>
          <w:rStyle w:val="CharSectno"/>
        </w:rPr>
        <w:t>904</w:t>
      </w:r>
      <w:r>
        <w:t>.</w:t>
      </w:r>
      <w:r>
        <w:tab/>
        <w:t>Replacement and disposal of articles of uniform</w:t>
      </w:r>
      <w:bookmarkEnd w:id="226"/>
      <w:bookmarkEnd w:id="227"/>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228" w:name="_Toc65138183"/>
      <w:bookmarkStart w:id="229" w:name="_Toc60129233"/>
      <w:r>
        <w:rPr>
          <w:rStyle w:val="CharSectno"/>
        </w:rPr>
        <w:t>905</w:t>
      </w:r>
      <w:r>
        <w:t>.</w:t>
      </w:r>
      <w:r>
        <w:tab/>
        <w:t>Wearing of headwear</w:t>
      </w:r>
      <w:bookmarkEnd w:id="228"/>
      <w:bookmarkEnd w:id="229"/>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230" w:name="_Toc65138184"/>
      <w:bookmarkStart w:id="231" w:name="_Toc60129234"/>
      <w:r>
        <w:rPr>
          <w:rStyle w:val="CharSectno"/>
        </w:rPr>
        <w:t>906</w:t>
      </w:r>
      <w:r>
        <w:t>.</w:t>
      </w:r>
      <w:r>
        <w:tab/>
        <w:t>Care to be taken of issued property</w:t>
      </w:r>
      <w:bookmarkEnd w:id="230"/>
      <w:bookmarkEnd w:id="231"/>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232" w:name="_Toc65138185"/>
      <w:bookmarkStart w:id="233" w:name="_Toc60129235"/>
      <w:r>
        <w:rPr>
          <w:rStyle w:val="CharSectno"/>
        </w:rPr>
        <w:t>907</w:t>
      </w:r>
      <w:r>
        <w:t>.</w:t>
      </w:r>
      <w:r>
        <w:tab/>
        <w:t>Certificate of Authority</w:t>
      </w:r>
      <w:bookmarkEnd w:id="232"/>
      <w:bookmarkEnd w:id="233"/>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234" w:name="_Toc65138186"/>
      <w:bookmarkStart w:id="235" w:name="_Toc60129236"/>
      <w:r>
        <w:rPr>
          <w:rStyle w:val="CharSectno"/>
        </w:rPr>
        <w:t>908A</w:t>
      </w:r>
      <w:r>
        <w:t>.</w:t>
      </w:r>
      <w:r>
        <w:tab/>
        <w:t>Certificates of Authority of police auxiliary officers</w:t>
      </w:r>
      <w:bookmarkEnd w:id="234"/>
      <w:bookmarkEnd w:id="235"/>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236" w:name="_Toc65138187"/>
      <w:bookmarkStart w:id="237" w:name="_Toc60129237"/>
      <w:r>
        <w:rPr>
          <w:rStyle w:val="CharSectno"/>
        </w:rPr>
        <w:t>908</w:t>
      </w:r>
      <w:r>
        <w:t>.</w:t>
      </w:r>
      <w:r>
        <w:tab/>
        <w:t>Name plate</w:t>
      </w:r>
      <w:bookmarkEnd w:id="236"/>
      <w:bookmarkEnd w:id="237"/>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238" w:name="_Toc65138188"/>
      <w:bookmarkStart w:id="239" w:name="_Toc60129238"/>
      <w:r>
        <w:rPr>
          <w:rStyle w:val="CharSectno"/>
        </w:rPr>
        <w:t>909</w:t>
      </w:r>
      <w:r>
        <w:t>.</w:t>
      </w:r>
      <w:r>
        <w:tab/>
        <w:t>Appearance</w:t>
      </w:r>
      <w:bookmarkEnd w:id="238"/>
      <w:bookmarkEnd w:id="239"/>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240" w:name="_Toc64541405"/>
      <w:bookmarkStart w:id="241" w:name="_Toc64541706"/>
      <w:bookmarkStart w:id="242" w:name="_Toc64552513"/>
      <w:bookmarkStart w:id="243" w:name="_Toc65138189"/>
      <w:bookmarkStart w:id="244" w:name="_Toc60125729"/>
      <w:bookmarkStart w:id="245" w:name="_Toc60126130"/>
      <w:bookmarkStart w:id="246" w:name="_Toc60129105"/>
      <w:bookmarkStart w:id="247" w:name="_Toc60129239"/>
      <w:r>
        <w:rPr>
          <w:rStyle w:val="CharPartNo"/>
        </w:rPr>
        <w:t>Part XI</w:t>
      </w:r>
      <w:r>
        <w:rPr>
          <w:rStyle w:val="CharDivNo"/>
        </w:rPr>
        <w:t> </w:t>
      </w:r>
      <w:r>
        <w:t>—</w:t>
      </w:r>
      <w:r>
        <w:rPr>
          <w:rStyle w:val="CharDivText"/>
        </w:rPr>
        <w:t> </w:t>
      </w:r>
      <w:r>
        <w:rPr>
          <w:rStyle w:val="CharPartText"/>
        </w:rPr>
        <w:t>Leave</w:t>
      </w:r>
      <w:bookmarkEnd w:id="240"/>
      <w:bookmarkEnd w:id="241"/>
      <w:bookmarkEnd w:id="242"/>
      <w:bookmarkEnd w:id="243"/>
      <w:bookmarkEnd w:id="244"/>
      <w:bookmarkEnd w:id="245"/>
      <w:bookmarkEnd w:id="246"/>
      <w:bookmarkEnd w:id="247"/>
    </w:p>
    <w:p>
      <w:pPr>
        <w:pStyle w:val="Heading5"/>
        <w:rPr>
          <w:snapToGrid w:val="0"/>
        </w:rPr>
      </w:pPr>
      <w:bookmarkStart w:id="248" w:name="_Toc65138190"/>
      <w:bookmarkStart w:id="249" w:name="_Toc60129240"/>
      <w:r>
        <w:rPr>
          <w:rStyle w:val="CharSectno"/>
        </w:rPr>
        <w:t>1101</w:t>
      </w:r>
      <w:r>
        <w:rPr>
          <w:snapToGrid w:val="0"/>
        </w:rPr>
        <w:t>.</w:t>
      </w:r>
      <w:r>
        <w:rPr>
          <w:snapToGrid w:val="0"/>
        </w:rPr>
        <w:tab/>
        <w:t>Annual leave</w:t>
      </w:r>
      <w:bookmarkEnd w:id="248"/>
      <w:bookmarkEnd w:id="249"/>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250" w:name="_Toc65138191"/>
      <w:bookmarkStart w:id="251" w:name="_Toc60129241"/>
      <w:r>
        <w:rPr>
          <w:rStyle w:val="CharSectno"/>
        </w:rPr>
        <w:t>1102</w:t>
      </w:r>
      <w:r>
        <w:rPr>
          <w:snapToGrid w:val="0"/>
        </w:rPr>
        <w:t>.</w:t>
      </w:r>
      <w:r>
        <w:rPr>
          <w:snapToGrid w:val="0"/>
        </w:rPr>
        <w:tab/>
        <w:t>Notice of annual leave</w:t>
      </w:r>
      <w:bookmarkEnd w:id="250"/>
      <w:bookmarkEnd w:id="251"/>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252" w:name="_Toc65138192"/>
      <w:bookmarkStart w:id="253" w:name="_Toc60129242"/>
      <w:r>
        <w:rPr>
          <w:rStyle w:val="CharSectno"/>
        </w:rPr>
        <w:t>1103</w:t>
      </w:r>
      <w:r>
        <w:rPr>
          <w:snapToGrid w:val="0"/>
        </w:rPr>
        <w:t>.</w:t>
      </w:r>
      <w:r>
        <w:rPr>
          <w:snapToGrid w:val="0"/>
        </w:rPr>
        <w:tab/>
        <w:t>Address for contact during leave</w:t>
      </w:r>
      <w:bookmarkEnd w:id="252"/>
      <w:bookmarkEnd w:id="253"/>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254" w:name="_Toc65138193"/>
      <w:bookmarkStart w:id="255" w:name="_Toc60129243"/>
      <w:r>
        <w:rPr>
          <w:rStyle w:val="CharSectno"/>
        </w:rPr>
        <w:t>1104</w:t>
      </w:r>
      <w:r>
        <w:rPr>
          <w:snapToGrid w:val="0"/>
        </w:rPr>
        <w:t>.</w:t>
      </w:r>
      <w:r>
        <w:rPr>
          <w:snapToGrid w:val="0"/>
        </w:rPr>
        <w:tab/>
        <w:t>Annual leave to be taken according to roster</w:t>
      </w:r>
      <w:bookmarkEnd w:id="254"/>
      <w:bookmarkEnd w:id="255"/>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256" w:name="_Toc65138194"/>
      <w:bookmarkStart w:id="257" w:name="_Toc60129244"/>
      <w:r>
        <w:rPr>
          <w:rStyle w:val="CharSectno"/>
        </w:rPr>
        <w:t>1105</w:t>
      </w:r>
      <w:r>
        <w:rPr>
          <w:snapToGrid w:val="0"/>
        </w:rPr>
        <w:t>.</w:t>
      </w:r>
      <w:r>
        <w:rPr>
          <w:snapToGrid w:val="0"/>
        </w:rPr>
        <w:tab/>
        <w:t>Leave accumulated by written permission</w:t>
      </w:r>
      <w:bookmarkEnd w:id="256"/>
      <w:bookmarkEnd w:id="257"/>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258" w:name="_Toc65138195"/>
      <w:bookmarkStart w:id="259" w:name="_Toc60129245"/>
      <w:r>
        <w:rPr>
          <w:rStyle w:val="CharSectno"/>
        </w:rPr>
        <w:t>1106</w:t>
      </w:r>
      <w:r>
        <w:rPr>
          <w:snapToGrid w:val="0"/>
        </w:rPr>
        <w:t>.</w:t>
      </w:r>
      <w:r>
        <w:rPr>
          <w:snapToGrid w:val="0"/>
        </w:rPr>
        <w:tab/>
        <w:t>Additional leave may be granted</w:t>
      </w:r>
      <w:bookmarkEnd w:id="258"/>
      <w:bookmarkEnd w:id="259"/>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260" w:name="_Toc65138196"/>
      <w:bookmarkStart w:id="261" w:name="_Toc60129246"/>
      <w:r>
        <w:rPr>
          <w:rStyle w:val="CharSectno"/>
        </w:rPr>
        <w:t>1107</w:t>
      </w:r>
      <w:r>
        <w:rPr>
          <w:snapToGrid w:val="0"/>
        </w:rPr>
        <w:t>.</w:t>
      </w:r>
      <w:r>
        <w:rPr>
          <w:snapToGrid w:val="0"/>
        </w:rPr>
        <w:tab/>
        <w:t>Travelling concession</w:t>
      </w:r>
      <w:bookmarkEnd w:id="260"/>
      <w:bookmarkEnd w:id="261"/>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Yalgoo, Mount Magnet,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Perth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262" w:name="_Toc64541413"/>
      <w:bookmarkStart w:id="263" w:name="_Toc64541714"/>
      <w:bookmarkStart w:id="264" w:name="_Toc64552521"/>
      <w:bookmarkStart w:id="265" w:name="_Toc65138197"/>
      <w:bookmarkStart w:id="266" w:name="_Toc60125737"/>
      <w:bookmarkStart w:id="267" w:name="_Toc60126138"/>
      <w:bookmarkStart w:id="268" w:name="_Toc60129113"/>
      <w:bookmarkStart w:id="269" w:name="_Toc60129247"/>
      <w:r>
        <w:rPr>
          <w:rStyle w:val="CharPartNo"/>
        </w:rPr>
        <w:t>Part XII</w:t>
      </w:r>
      <w:r>
        <w:rPr>
          <w:rStyle w:val="CharDivNo"/>
        </w:rPr>
        <w:t> </w:t>
      </w:r>
      <w:r>
        <w:t>—</w:t>
      </w:r>
      <w:r>
        <w:rPr>
          <w:rStyle w:val="CharDivText"/>
        </w:rPr>
        <w:t> </w:t>
      </w:r>
      <w:r>
        <w:rPr>
          <w:rStyle w:val="CharPartText"/>
        </w:rPr>
        <w:t>Removal on transfer, promotion or retirement</w:t>
      </w:r>
      <w:bookmarkEnd w:id="262"/>
      <w:bookmarkEnd w:id="263"/>
      <w:bookmarkEnd w:id="264"/>
      <w:bookmarkEnd w:id="265"/>
      <w:bookmarkEnd w:id="266"/>
      <w:bookmarkEnd w:id="267"/>
      <w:bookmarkEnd w:id="268"/>
      <w:bookmarkEnd w:id="269"/>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270" w:name="_Toc65138198"/>
      <w:bookmarkStart w:id="271" w:name="_Toc60129248"/>
      <w:r>
        <w:rPr>
          <w:rStyle w:val="CharSectno"/>
        </w:rPr>
        <w:t>1201</w:t>
      </w:r>
      <w:r>
        <w:rPr>
          <w:snapToGrid w:val="0"/>
        </w:rPr>
        <w:t>.</w:t>
      </w:r>
      <w:r>
        <w:rPr>
          <w:snapToGrid w:val="0"/>
        </w:rPr>
        <w:tab/>
        <w:t>This Part not in derogation of relevant award</w:t>
      </w:r>
      <w:bookmarkEnd w:id="270"/>
      <w:bookmarkEnd w:id="271"/>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272" w:name="_Toc65138199"/>
      <w:bookmarkStart w:id="273" w:name="_Toc60129249"/>
      <w:r>
        <w:rPr>
          <w:rStyle w:val="CharSectno"/>
        </w:rPr>
        <w:t>1202</w:t>
      </w:r>
      <w:r>
        <w:rPr>
          <w:snapToGrid w:val="0"/>
        </w:rPr>
        <w:t>.</w:t>
      </w:r>
      <w:r>
        <w:rPr>
          <w:snapToGrid w:val="0"/>
        </w:rPr>
        <w:tab/>
        <w:t>Leave in respect of transfer</w:t>
      </w:r>
      <w:bookmarkEnd w:id="272"/>
      <w:bookmarkEnd w:id="273"/>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274" w:name="_Toc65138200"/>
      <w:bookmarkStart w:id="275" w:name="_Toc60129250"/>
      <w:r>
        <w:rPr>
          <w:rStyle w:val="CharSectno"/>
        </w:rPr>
        <w:t>1203</w:t>
      </w:r>
      <w:r>
        <w:rPr>
          <w:snapToGrid w:val="0"/>
        </w:rPr>
        <w:t>.</w:t>
      </w:r>
      <w:r>
        <w:rPr>
          <w:snapToGrid w:val="0"/>
        </w:rPr>
        <w:tab/>
        <w:t>Commissioner to be notified of transfer</w:t>
      </w:r>
      <w:bookmarkEnd w:id="274"/>
      <w:bookmarkEnd w:id="275"/>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276" w:name="_Toc65138201"/>
      <w:bookmarkStart w:id="277" w:name="_Toc60129251"/>
      <w:r>
        <w:rPr>
          <w:rStyle w:val="CharSectno"/>
        </w:rPr>
        <w:t>1203A</w:t>
      </w:r>
      <w:r>
        <w:t>.</w:t>
      </w:r>
      <w:r>
        <w:tab/>
        <w:t>Specialist equipment to be returned</w:t>
      </w:r>
      <w:bookmarkEnd w:id="276"/>
      <w:bookmarkEnd w:id="277"/>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278" w:name="_Toc65138202"/>
      <w:bookmarkStart w:id="279" w:name="_Toc60129252"/>
      <w:r>
        <w:rPr>
          <w:rStyle w:val="CharSectno"/>
        </w:rPr>
        <w:t>1204</w:t>
      </w:r>
      <w:r>
        <w:rPr>
          <w:snapToGrid w:val="0"/>
        </w:rPr>
        <w:t>.</w:t>
      </w:r>
      <w:r>
        <w:rPr>
          <w:snapToGrid w:val="0"/>
        </w:rPr>
        <w:tab/>
        <w:t>Removal allowance</w:t>
      </w:r>
      <w:bookmarkEnd w:id="278"/>
      <w:bookmarkEnd w:id="279"/>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280" w:name="_Toc65138203"/>
      <w:bookmarkStart w:id="281" w:name="_Toc60129253"/>
      <w:r>
        <w:rPr>
          <w:rStyle w:val="CharSectno"/>
        </w:rPr>
        <w:t>1204A</w:t>
      </w:r>
      <w:r>
        <w:rPr>
          <w:snapToGrid w:val="0"/>
        </w:rPr>
        <w:t xml:space="preserve">. </w:t>
      </w:r>
      <w:r>
        <w:rPr>
          <w:snapToGrid w:val="0"/>
        </w:rPr>
        <w:tab/>
        <w:t>Removal cost for retiring member</w:t>
      </w:r>
      <w:bookmarkEnd w:id="280"/>
      <w:bookmarkEnd w:id="281"/>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282" w:name="_Toc65138204"/>
      <w:bookmarkStart w:id="283" w:name="_Toc60129254"/>
      <w:r>
        <w:rPr>
          <w:rStyle w:val="CharSectno"/>
        </w:rPr>
        <w:t>1205</w:t>
      </w:r>
      <w:r>
        <w:rPr>
          <w:snapToGrid w:val="0"/>
        </w:rPr>
        <w:t>.</w:t>
      </w:r>
      <w:r>
        <w:rPr>
          <w:snapToGrid w:val="0"/>
        </w:rPr>
        <w:tab/>
        <w:t>When removal allowance not to be paid</w:t>
      </w:r>
      <w:bookmarkEnd w:id="282"/>
      <w:bookmarkEnd w:id="283"/>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284" w:name="_Toc64541421"/>
      <w:bookmarkStart w:id="285" w:name="_Toc64541722"/>
      <w:bookmarkStart w:id="286" w:name="_Toc64552529"/>
      <w:bookmarkStart w:id="287" w:name="_Toc65138205"/>
      <w:bookmarkStart w:id="288" w:name="_Toc60125745"/>
      <w:bookmarkStart w:id="289" w:name="_Toc60126146"/>
      <w:bookmarkStart w:id="290" w:name="_Toc60129121"/>
      <w:bookmarkStart w:id="291" w:name="_Toc60129255"/>
      <w:r>
        <w:rPr>
          <w:rStyle w:val="CharPartNo"/>
        </w:rPr>
        <w:t>Part XIII</w:t>
      </w:r>
      <w:r>
        <w:rPr>
          <w:rStyle w:val="CharDivNo"/>
        </w:rPr>
        <w:t> </w:t>
      </w:r>
      <w:r>
        <w:t>—</w:t>
      </w:r>
      <w:r>
        <w:rPr>
          <w:rStyle w:val="CharDivText"/>
        </w:rPr>
        <w:t> </w:t>
      </w:r>
      <w:r>
        <w:rPr>
          <w:rStyle w:val="CharPartText"/>
        </w:rPr>
        <w:t>Illness and injury</w:t>
      </w:r>
      <w:bookmarkEnd w:id="284"/>
      <w:bookmarkEnd w:id="285"/>
      <w:bookmarkEnd w:id="286"/>
      <w:bookmarkEnd w:id="287"/>
      <w:bookmarkEnd w:id="288"/>
      <w:bookmarkEnd w:id="289"/>
      <w:bookmarkEnd w:id="290"/>
      <w:bookmarkEnd w:id="291"/>
    </w:p>
    <w:p>
      <w:pPr>
        <w:pStyle w:val="Footnoteheading"/>
        <w:spacing w:before="100"/>
        <w:rPr>
          <w:snapToGrid w:val="0"/>
        </w:rPr>
      </w:pPr>
      <w:r>
        <w:rPr>
          <w:snapToGrid w:val="0"/>
        </w:rPr>
        <w:tab/>
        <w:t>[Heading inserted: Gazette 17 Nov 1989 p. 4110.]</w:t>
      </w:r>
    </w:p>
    <w:p>
      <w:pPr>
        <w:pStyle w:val="Heading5"/>
        <w:rPr>
          <w:snapToGrid w:val="0"/>
        </w:rPr>
      </w:pPr>
      <w:bookmarkStart w:id="292" w:name="_Toc65138206"/>
      <w:bookmarkStart w:id="293" w:name="_Toc60129256"/>
      <w:r>
        <w:rPr>
          <w:rStyle w:val="CharSectno"/>
        </w:rPr>
        <w:t>1301</w:t>
      </w:r>
      <w:r>
        <w:rPr>
          <w:snapToGrid w:val="0"/>
        </w:rPr>
        <w:t>.</w:t>
      </w:r>
      <w:r>
        <w:rPr>
          <w:snapToGrid w:val="0"/>
        </w:rPr>
        <w:tab/>
        <w:t>Terms used</w:t>
      </w:r>
      <w:bookmarkEnd w:id="292"/>
      <w:bookmarkEnd w:id="293"/>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294" w:name="_Toc65138207"/>
      <w:bookmarkStart w:id="295" w:name="_Toc60129257"/>
      <w:r>
        <w:rPr>
          <w:rStyle w:val="CharSectno"/>
        </w:rPr>
        <w:t>1302</w:t>
      </w:r>
      <w:r>
        <w:t xml:space="preserve">. </w:t>
      </w:r>
      <w:r>
        <w:tab/>
        <w:t>Report of incapacity</w:t>
      </w:r>
      <w:bookmarkEnd w:id="294"/>
      <w:bookmarkEnd w:id="295"/>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296" w:name="_Toc65138208"/>
      <w:bookmarkStart w:id="297" w:name="_Toc60129258"/>
      <w:r>
        <w:rPr>
          <w:rStyle w:val="CharSectno"/>
        </w:rPr>
        <w:t>1303</w:t>
      </w:r>
      <w:r>
        <w:rPr>
          <w:snapToGrid w:val="0"/>
        </w:rPr>
        <w:t>.</w:t>
      </w:r>
      <w:r>
        <w:rPr>
          <w:snapToGrid w:val="0"/>
        </w:rPr>
        <w:tab/>
        <w:t>Application for leave</w:t>
      </w:r>
      <w:bookmarkEnd w:id="296"/>
      <w:bookmarkEnd w:id="297"/>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298" w:name="_Toc65138209"/>
      <w:bookmarkStart w:id="299" w:name="_Toc60129259"/>
      <w:r>
        <w:rPr>
          <w:rStyle w:val="CharSectno"/>
        </w:rPr>
        <w:t>1304</w:t>
      </w:r>
      <w:r>
        <w:rPr>
          <w:snapToGrid w:val="0"/>
        </w:rPr>
        <w:t>.</w:t>
      </w:r>
      <w:r>
        <w:rPr>
          <w:snapToGrid w:val="0"/>
        </w:rPr>
        <w:tab/>
        <w:t>Entitlement to leave and allowances</w:t>
      </w:r>
      <w:bookmarkEnd w:id="298"/>
      <w:bookmarkEnd w:id="299"/>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300" w:name="_Toc65138210"/>
      <w:bookmarkStart w:id="301" w:name="_Toc60129260"/>
      <w:r>
        <w:rPr>
          <w:rStyle w:val="CharSectno"/>
        </w:rPr>
        <w:t>1305</w:t>
      </w:r>
      <w:r>
        <w:rPr>
          <w:snapToGrid w:val="0"/>
        </w:rPr>
        <w:t>.</w:t>
      </w:r>
      <w:r>
        <w:rPr>
          <w:snapToGrid w:val="0"/>
        </w:rPr>
        <w:tab/>
        <w:t>Other work prohibited</w:t>
      </w:r>
      <w:bookmarkEnd w:id="300"/>
      <w:bookmarkEnd w:id="301"/>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302" w:name="_Toc65138211"/>
      <w:bookmarkStart w:id="303" w:name="_Toc60129261"/>
      <w:r>
        <w:rPr>
          <w:rStyle w:val="CharSectno"/>
        </w:rPr>
        <w:t>1306</w:t>
      </w:r>
      <w:r>
        <w:rPr>
          <w:snapToGrid w:val="0"/>
        </w:rPr>
        <w:t>.</w:t>
      </w:r>
      <w:r>
        <w:rPr>
          <w:snapToGrid w:val="0"/>
        </w:rPr>
        <w:tab/>
        <w:t>Medical and hospital expenses where member’s illness results from duties</w:t>
      </w:r>
      <w:bookmarkEnd w:id="302"/>
      <w:bookmarkEnd w:id="303"/>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304" w:name="_Toc65138212"/>
      <w:bookmarkStart w:id="305" w:name="_Toc60129262"/>
      <w:r>
        <w:rPr>
          <w:rStyle w:val="CharSectno"/>
        </w:rPr>
        <w:t>1308</w:t>
      </w:r>
      <w:r>
        <w:rPr>
          <w:snapToGrid w:val="0"/>
        </w:rPr>
        <w:t>.</w:t>
      </w:r>
      <w:r>
        <w:rPr>
          <w:snapToGrid w:val="0"/>
        </w:rPr>
        <w:tab/>
        <w:t>Ineligibility for benefits where incapacity own fault</w:t>
      </w:r>
      <w:bookmarkEnd w:id="304"/>
      <w:bookmarkEnd w:id="305"/>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306" w:name="_Toc65138213"/>
      <w:bookmarkStart w:id="307" w:name="_Toc60129263"/>
      <w:r>
        <w:rPr>
          <w:rStyle w:val="CharSectno"/>
        </w:rPr>
        <w:t>1309</w:t>
      </w:r>
      <w:r>
        <w:rPr>
          <w:snapToGrid w:val="0"/>
        </w:rPr>
        <w:t>.</w:t>
      </w:r>
      <w:r>
        <w:rPr>
          <w:snapToGrid w:val="0"/>
        </w:rPr>
        <w:tab/>
        <w:t>Incapacity resulting from another occupation</w:t>
      </w:r>
      <w:bookmarkEnd w:id="306"/>
      <w:bookmarkEnd w:id="307"/>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308" w:name="_Toc65138214"/>
      <w:bookmarkStart w:id="309" w:name="_Toc60129264"/>
      <w:r>
        <w:rPr>
          <w:rStyle w:val="CharSectno"/>
        </w:rPr>
        <w:t>1310</w:t>
      </w:r>
      <w:r>
        <w:t>.</w:t>
      </w:r>
      <w:r>
        <w:tab/>
        <w:t>Application of r. 1302, 1303, 1304, 1305, 1306, 1308 and 1309 to Commissioner</w:t>
      </w:r>
      <w:bookmarkEnd w:id="308"/>
      <w:bookmarkEnd w:id="309"/>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310" w:name="_Toc65138215"/>
      <w:bookmarkStart w:id="311" w:name="_Toc60129265"/>
      <w:r>
        <w:rPr>
          <w:rStyle w:val="CharSectno"/>
        </w:rPr>
        <w:t>1311</w:t>
      </w:r>
      <w:r>
        <w:rPr>
          <w:snapToGrid w:val="0"/>
        </w:rPr>
        <w:t>.</w:t>
      </w:r>
      <w:r>
        <w:rPr>
          <w:snapToGrid w:val="0"/>
        </w:rPr>
        <w:tab/>
        <w:t>Evidence of fitness after long incapacity</w:t>
      </w:r>
      <w:bookmarkEnd w:id="310"/>
      <w:bookmarkEnd w:id="311"/>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312" w:name="_Toc65138216"/>
      <w:bookmarkStart w:id="313" w:name="_Toc60129266"/>
      <w:r>
        <w:rPr>
          <w:rStyle w:val="CharSectno"/>
        </w:rPr>
        <w:t>1312</w:t>
      </w:r>
      <w:r>
        <w:rPr>
          <w:snapToGrid w:val="0"/>
        </w:rPr>
        <w:t>.</w:t>
      </w:r>
      <w:r>
        <w:rPr>
          <w:snapToGrid w:val="0"/>
        </w:rPr>
        <w:tab/>
        <w:t>Examination arranged by Commissioner</w:t>
      </w:r>
      <w:bookmarkEnd w:id="312"/>
      <w:bookmarkEnd w:id="313"/>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314" w:name="_Toc64541433"/>
      <w:bookmarkStart w:id="315" w:name="_Toc64541734"/>
      <w:bookmarkStart w:id="316" w:name="_Toc64552541"/>
      <w:bookmarkStart w:id="317" w:name="_Toc65138217"/>
      <w:bookmarkStart w:id="318" w:name="_Toc60125757"/>
      <w:bookmarkStart w:id="319" w:name="_Toc60126158"/>
      <w:bookmarkStart w:id="320" w:name="_Toc60129133"/>
      <w:bookmarkStart w:id="321" w:name="_Toc60129267"/>
      <w:r>
        <w:rPr>
          <w:rStyle w:val="CharPartNo"/>
        </w:rPr>
        <w:t>Part XIV</w:t>
      </w:r>
      <w:r>
        <w:rPr>
          <w:rStyle w:val="CharDivNo"/>
        </w:rPr>
        <w:t> </w:t>
      </w:r>
      <w:r>
        <w:t>—</w:t>
      </w:r>
      <w:r>
        <w:rPr>
          <w:rStyle w:val="CharDivText"/>
        </w:rPr>
        <w:t> </w:t>
      </w:r>
      <w:r>
        <w:rPr>
          <w:rStyle w:val="CharPartText"/>
        </w:rPr>
        <w:t>Retirement, resignation, removal or death of a member</w:t>
      </w:r>
      <w:bookmarkEnd w:id="314"/>
      <w:bookmarkEnd w:id="315"/>
      <w:bookmarkEnd w:id="316"/>
      <w:bookmarkEnd w:id="317"/>
      <w:bookmarkEnd w:id="318"/>
      <w:bookmarkEnd w:id="319"/>
      <w:bookmarkEnd w:id="320"/>
      <w:bookmarkEnd w:id="321"/>
    </w:p>
    <w:p>
      <w:pPr>
        <w:pStyle w:val="Heading5"/>
        <w:rPr>
          <w:snapToGrid w:val="0"/>
        </w:rPr>
      </w:pPr>
      <w:bookmarkStart w:id="322" w:name="_Toc65138218"/>
      <w:bookmarkStart w:id="323" w:name="_Toc60129268"/>
      <w:r>
        <w:rPr>
          <w:rStyle w:val="CharSectno"/>
        </w:rPr>
        <w:t>1401</w:t>
      </w:r>
      <w:r>
        <w:rPr>
          <w:snapToGrid w:val="0"/>
        </w:rPr>
        <w:t>.</w:t>
      </w:r>
      <w:r>
        <w:rPr>
          <w:snapToGrid w:val="0"/>
        </w:rPr>
        <w:tab/>
        <w:t>Retirement</w:t>
      </w:r>
      <w:bookmarkEnd w:id="322"/>
      <w:bookmarkEnd w:id="323"/>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Ednotesection"/>
        <w:rPr>
          <w:b/>
        </w:rPr>
      </w:pPr>
      <w:r>
        <w:t>[</w:t>
      </w:r>
      <w:r>
        <w:rPr>
          <w:b/>
        </w:rPr>
        <w:t>1402.</w:t>
      </w:r>
      <w:r>
        <w:tab/>
        <w:t>Deleted: Gazette 29 Nov 2019 p. 4149.]</w:t>
      </w:r>
    </w:p>
    <w:p>
      <w:pPr>
        <w:pStyle w:val="Heading5"/>
        <w:rPr>
          <w:snapToGrid w:val="0"/>
        </w:rPr>
      </w:pPr>
      <w:bookmarkStart w:id="324" w:name="_Toc65138219"/>
      <w:bookmarkStart w:id="325" w:name="_Toc60129269"/>
      <w:r>
        <w:rPr>
          <w:rStyle w:val="CharSectno"/>
        </w:rPr>
        <w:t>1403</w:t>
      </w:r>
      <w:r>
        <w:rPr>
          <w:snapToGrid w:val="0"/>
        </w:rPr>
        <w:t>.</w:t>
      </w:r>
      <w:r>
        <w:rPr>
          <w:snapToGrid w:val="0"/>
        </w:rPr>
        <w:tab/>
        <w:t>Allowances paid on death of member</w:t>
      </w:r>
      <w:bookmarkEnd w:id="324"/>
      <w:bookmarkEnd w:id="325"/>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326" w:name="_Toc65138220"/>
      <w:bookmarkStart w:id="327" w:name="_Toc60129270"/>
      <w:r>
        <w:rPr>
          <w:rStyle w:val="CharSectno"/>
        </w:rPr>
        <w:t>1404</w:t>
      </w:r>
      <w:r>
        <w:rPr>
          <w:snapToGrid w:val="0"/>
        </w:rPr>
        <w:t>.</w:t>
      </w:r>
      <w:r>
        <w:rPr>
          <w:snapToGrid w:val="0"/>
        </w:rPr>
        <w:tab/>
        <w:t>Leave entitlement to be paid out</w:t>
      </w:r>
      <w:bookmarkEnd w:id="326"/>
      <w:bookmarkEnd w:id="327"/>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328" w:name="_Toc64541437"/>
      <w:bookmarkStart w:id="329" w:name="_Toc64541738"/>
      <w:bookmarkStart w:id="330" w:name="_Toc64552545"/>
      <w:bookmarkStart w:id="331" w:name="_Toc65138221"/>
      <w:bookmarkStart w:id="332" w:name="_Toc60125761"/>
      <w:bookmarkStart w:id="333" w:name="_Toc60126162"/>
      <w:bookmarkStart w:id="334" w:name="_Toc60129137"/>
      <w:bookmarkStart w:id="335" w:name="_Toc60129271"/>
      <w:r>
        <w:rPr>
          <w:rStyle w:val="CharPartNo"/>
        </w:rPr>
        <w:t>Part XV</w:t>
      </w:r>
      <w:r>
        <w:rPr>
          <w:rStyle w:val="CharDivNo"/>
        </w:rPr>
        <w:t> </w:t>
      </w:r>
      <w:r>
        <w:t>—</w:t>
      </w:r>
      <w:r>
        <w:rPr>
          <w:rStyle w:val="CharDivText"/>
        </w:rPr>
        <w:t> </w:t>
      </w:r>
      <w:r>
        <w:rPr>
          <w:rStyle w:val="CharPartText"/>
        </w:rPr>
        <w:t>Quarters</w:t>
      </w:r>
      <w:bookmarkEnd w:id="328"/>
      <w:bookmarkEnd w:id="329"/>
      <w:bookmarkEnd w:id="330"/>
      <w:bookmarkEnd w:id="331"/>
      <w:bookmarkEnd w:id="332"/>
      <w:bookmarkEnd w:id="333"/>
      <w:bookmarkEnd w:id="334"/>
      <w:bookmarkEnd w:id="335"/>
    </w:p>
    <w:p>
      <w:pPr>
        <w:pStyle w:val="Heading5"/>
        <w:rPr>
          <w:snapToGrid w:val="0"/>
        </w:rPr>
      </w:pPr>
      <w:bookmarkStart w:id="336" w:name="_Toc65138222"/>
      <w:bookmarkStart w:id="337" w:name="_Toc60129272"/>
      <w:r>
        <w:rPr>
          <w:rStyle w:val="CharSectno"/>
        </w:rPr>
        <w:t>1501</w:t>
      </w:r>
      <w:r>
        <w:rPr>
          <w:snapToGrid w:val="0"/>
        </w:rPr>
        <w:t>.</w:t>
      </w:r>
      <w:r>
        <w:rPr>
          <w:snapToGrid w:val="0"/>
        </w:rPr>
        <w:tab/>
        <w:t>This Part not in derogation of relevant award</w:t>
      </w:r>
      <w:bookmarkEnd w:id="336"/>
      <w:bookmarkEnd w:id="337"/>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338" w:name="_Toc65138223"/>
      <w:bookmarkStart w:id="339" w:name="_Toc60129273"/>
      <w:r>
        <w:rPr>
          <w:rStyle w:val="CharSectno"/>
        </w:rPr>
        <w:t>1502</w:t>
      </w:r>
      <w:r>
        <w:rPr>
          <w:snapToGrid w:val="0"/>
        </w:rPr>
        <w:t>.</w:t>
      </w:r>
      <w:r>
        <w:rPr>
          <w:snapToGrid w:val="0"/>
        </w:rPr>
        <w:tab/>
        <w:t>Maintenance of quarters</w:t>
      </w:r>
      <w:bookmarkEnd w:id="338"/>
      <w:bookmarkEnd w:id="339"/>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340" w:name="_Toc65138224"/>
      <w:bookmarkStart w:id="341" w:name="_Toc60129274"/>
      <w:r>
        <w:rPr>
          <w:rStyle w:val="CharSectno"/>
        </w:rPr>
        <w:t>1503</w:t>
      </w:r>
      <w:r>
        <w:rPr>
          <w:snapToGrid w:val="0"/>
        </w:rPr>
        <w:t>.</w:t>
      </w:r>
      <w:r>
        <w:rPr>
          <w:snapToGrid w:val="0"/>
        </w:rPr>
        <w:tab/>
        <w:t>Expenditure not to be incurred without authority of Commissioner</w:t>
      </w:r>
      <w:bookmarkEnd w:id="340"/>
      <w:bookmarkEnd w:id="341"/>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342" w:name="_Toc65138225"/>
      <w:bookmarkStart w:id="343" w:name="_Toc60129275"/>
      <w:r>
        <w:rPr>
          <w:rStyle w:val="CharSectno"/>
        </w:rPr>
        <w:t>1504</w:t>
      </w:r>
      <w:r>
        <w:rPr>
          <w:snapToGrid w:val="0"/>
        </w:rPr>
        <w:t>.</w:t>
      </w:r>
      <w:r>
        <w:rPr>
          <w:snapToGrid w:val="0"/>
        </w:rPr>
        <w:tab/>
        <w:t>Inspection of quarters</w:t>
      </w:r>
      <w:bookmarkEnd w:id="342"/>
      <w:bookmarkEnd w:id="343"/>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344" w:name="_Toc65138226"/>
      <w:bookmarkStart w:id="345" w:name="_Toc60129276"/>
      <w:r>
        <w:rPr>
          <w:rStyle w:val="CharSectno"/>
        </w:rPr>
        <w:t>1505</w:t>
      </w:r>
      <w:r>
        <w:rPr>
          <w:snapToGrid w:val="0"/>
        </w:rPr>
        <w:t>.</w:t>
      </w:r>
      <w:r>
        <w:rPr>
          <w:snapToGrid w:val="0"/>
        </w:rPr>
        <w:tab/>
        <w:t>Occupation and vacation of premises</w:t>
      </w:r>
      <w:bookmarkEnd w:id="344"/>
      <w:bookmarkEnd w:id="345"/>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346" w:name="_Toc65138227"/>
      <w:bookmarkStart w:id="347" w:name="_Toc60129277"/>
      <w:r>
        <w:rPr>
          <w:rStyle w:val="CharSectno"/>
        </w:rPr>
        <w:t>1506</w:t>
      </w:r>
      <w:r>
        <w:rPr>
          <w:snapToGrid w:val="0"/>
        </w:rPr>
        <w:t>.</w:t>
      </w:r>
      <w:r>
        <w:rPr>
          <w:snapToGrid w:val="0"/>
        </w:rPr>
        <w:tab/>
        <w:t>Notice of occupation and vacating to be given</w:t>
      </w:r>
      <w:bookmarkEnd w:id="346"/>
      <w:bookmarkEnd w:id="347"/>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348" w:name="_Toc64541444"/>
      <w:bookmarkStart w:id="349" w:name="_Toc64541745"/>
      <w:bookmarkStart w:id="350" w:name="_Toc64552552"/>
      <w:bookmarkStart w:id="351" w:name="_Toc65138228"/>
      <w:bookmarkStart w:id="352" w:name="_Toc60125768"/>
      <w:bookmarkStart w:id="353" w:name="_Toc60126169"/>
      <w:bookmarkStart w:id="354" w:name="_Toc60129144"/>
      <w:bookmarkStart w:id="355" w:name="_Toc60129278"/>
      <w:r>
        <w:rPr>
          <w:rStyle w:val="CharPartNo"/>
        </w:rPr>
        <w:t>Part XVI</w:t>
      </w:r>
      <w:r>
        <w:rPr>
          <w:rStyle w:val="CharDivNo"/>
        </w:rPr>
        <w:t> </w:t>
      </w:r>
      <w:r>
        <w:t>—</w:t>
      </w:r>
      <w:r>
        <w:rPr>
          <w:rStyle w:val="CharDivText"/>
        </w:rPr>
        <w:t> </w:t>
      </w:r>
      <w:r>
        <w:rPr>
          <w:rStyle w:val="CharPartText"/>
        </w:rPr>
        <w:t>General</w:t>
      </w:r>
      <w:bookmarkEnd w:id="348"/>
      <w:bookmarkEnd w:id="349"/>
      <w:bookmarkEnd w:id="350"/>
      <w:bookmarkEnd w:id="351"/>
      <w:bookmarkEnd w:id="352"/>
      <w:bookmarkEnd w:id="353"/>
      <w:bookmarkEnd w:id="354"/>
      <w:bookmarkEnd w:id="355"/>
    </w:p>
    <w:p>
      <w:pPr>
        <w:pStyle w:val="Heading5"/>
        <w:rPr>
          <w:snapToGrid w:val="0"/>
        </w:rPr>
      </w:pPr>
      <w:bookmarkStart w:id="356" w:name="_Toc65138229"/>
      <w:bookmarkStart w:id="357" w:name="_Toc60129279"/>
      <w:r>
        <w:rPr>
          <w:rStyle w:val="CharSectno"/>
        </w:rPr>
        <w:t>1601</w:t>
      </w:r>
      <w:r>
        <w:rPr>
          <w:snapToGrid w:val="0"/>
        </w:rPr>
        <w:t>.</w:t>
      </w:r>
      <w:r>
        <w:rPr>
          <w:snapToGrid w:val="0"/>
        </w:rPr>
        <w:tab/>
        <w:t>Offences generally</w:t>
      </w:r>
      <w:bookmarkEnd w:id="356"/>
      <w:bookmarkEnd w:id="357"/>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58" w:name="_Toc64541446"/>
      <w:bookmarkStart w:id="359" w:name="_Toc64541747"/>
      <w:bookmarkStart w:id="360" w:name="_Toc64552554"/>
      <w:bookmarkStart w:id="361" w:name="_Toc65138230"/>
      <w:bookmarkStart w:id="362" w:name="_Toc60125770"/>
      <w:bookmarkStart w:id="363" w:name="_Toc60126171"/>
      <w:bookmarkStart w:id="364" w:name="_Toc60129146"/>
      <w:bookmarkStart w:id="365" w:name="_Toc60129280"/>
      <w:r>
        <w:rPr>
          <w:rStyle w:val="CharSchNo"/>
          <w:rFonts w:eastAsia="MS Mincho"/>
        </w:rPr>
        <w:t>First Schedule</w:t>
      </w:r>
      <w:r>
        <w:rPr>
          <w:rFonts w:eastAsia="MS Mincho"/>
        </w:rPr>
        <w:t> — </w:t>
      </w:r>
      <w:r>
        <w:rPr>
          <w:rStyle w:val="CharSchText"/>
          <w:rFonts w:eastAsia="MS Mincho"/>
        </w:rPr>
        <w:t>Disciplinary charge sheet</w:t>
      </w:r>
      <w:bookmarkEnd w:id="358"/>
      <w:bookmarkEnd w:id="359"/>
      <w:bookmarkEnd w:id="360"/>
      <w:bookmarkEnd w:id="361"/>
      <w:bookmarkEnd w:id="362"/>
      <w:bookmarkEnd w:id="363"/>
      <w:bookmarkEnd w:id="364"/>
      <w:bookmarkEnd w:id="365"/>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t>[Second Schedule deleted: Gazette 2 Feb 2007 p. 251.]</w:t>
      </w:r>
    </w:p>
    <w:p>
      <w:pPr>
        <w:pStyle w:val="yEdnoteschedule"/>
      </w:pPr>
      <w:r>
        <w:t>[Third Schedule deleted: Gazette 20 May 2014 p. 1610.]</w:t>
      </w:r>
    </w:p>
    <w:p>
      <w:pPr>
        <w:pStyle w:val="yEdnoteschedule"/>
      </w:pPr>
      <w:r>
        <w:t>[Fourth Schedule deleted: Gazette 15 Dec 2006 p. 5636.]</w:t>
      </w:r>
    </w:p>
    <w:p>
      <w:pPr>
        <w:pStyle w:val="yEdnoteschedule"/>
      </w:pPr>
      <w:r>
        <w:t>[Fifth Schedule deleted: Gazette 17 Mar 1995 p. 1055.]</w:t>
      </w:r>
    </w:p>
    <w:p>
      <w:pPr>
        <w:pStyle w:val="CentredBaseLine"/>
        <w:jc w:val="center"/>
      </w:pPr>
      <w:r>
        <w:rPr>
          <w:noProof/>
          <w:lang w:val="en-US" w:eastAsia="en-US"/>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67" w:name="_Toc64541447"/>
      <w:bookmarkStart w:id="368" w:name="_Toc64541748"/>
      <w:bookmarkStart w:id="369" w:name="_Toc64552555"/>
      <w:bookmarkStart w:id="370" w:name="_Toc65138231"/>
      <w:bookmarkStart w:id="371" w:name="_Toc60126172"/>
      <w:bookmarkStart w:id="372" w:name="_Toc60129147"/>
      <w:bookmarkStart w:id="373" w:name="_Toc60129281"/>
      <w:bookmarkStart w:id="374" w:name="_Toc60125773"/>
      <w:r>
        <w:t>Notes</w:t>
      </w:r>
      <w:bookmarkEnd w:id="367"/>
      <w:bookmarkEnd w:id="368"/>
      <w:bookmarkEnd w:id="369"/>
      <w:bookmarkEnd w:id="370"/>
      <w:bookmarkEnd w:id="371"/>
      <w:bookmarkEnd w:id="372"/>
      <w:bookmarkEnd w:id="373"/>
    </w:p>
    <w:p>
      <w:pPr>
        <w:pStyle w:val="nStatement"/>
      </w:pPr>
      <w:r>
        <w:t xml:space="preserve">This is a compilation of the </w:t>
      </w:r>
      <w:r>
        <w:rPr>
          <w:i/>
          <w:noProof/>
        </w:rPr>
        <w:t>Police Force Regulations 1979</w:t>
      </w:r>
      <w:r>
        <w:t xml:space="preserve"> and includes amendments made by other written laws. For provisions that have come into operation, and for information about any reprints, see the compilation table. </w:t>
      </w:r>
      <w:del w:id="375" w:author="Master Repository Process" w:date="2021-09-11T20:05:00Z">
        <w:r>
          <w:delText>For provisions that have not yet come into operation see the uncommenced provisions table.</w:delText>
        </w:r>
      </w:del>
    </w:p>
    <w:p>
      <w:pPr>
        <w:pStyle w:val="nHeading3"/>
      </w:pPr>
      <w:bookmarkStart w:id="376" w:name="_Toc65138232"/>
      <w:bookmarkStart w:id="377" w:name="_Toc60129282"/>
      <w:r>
        <w:t>Compilation table</w:t>
      </w:r>
      <w:bookmarkEnd w:id="376"/>
      <w:bookmarkEnd w:id="37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Police Regulations 1979</w:t>
            </w:r>
            <w:r>
              <w:rPr>
                <w:vertAlign w:val="superscript"/>
              </w:rPr>
              <w:t xml:space="preserve"> 1</w:t>
            </w:r>
          </w:p>
        </w:tc>
        <w:tc>
          <w:tcPr>
            <w:tcW w:w="1276" w:type="dxa"/>
          </w:tcPr>
          <w:p>
            <w:pPr>
              <w:pStyle w:val="nTable"/>
              <w:spacing w:after="40"/>
            </w:pPr>
            <w:r>
              <w:t>20 Dec 1978 p. 4731</w:t>
            </w:r>
            <w:r>
              <w:noBreakHyphen/>
              <w:t>62</w:t>
            </w:r>
          </w:p>
        </w:tc>
        <w:tc>
          <w:tcPr>
            <w:tcW w:w="2693" w:type="dxa"/>
          </w:tcPr>
          <w:p>
            <w:pPr>
              <w:pStyle w:val="nTable"/>
              <w:tabs>
                <w:tab w:val="left" w:pos="-28"/>
                <w:tab w:val="left" w:pos="0"/>
              </w:tabs>
              <w:spacing w:after="40"/>
            </w:pPr>
            <w:r>
              <w:t>1 Jan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16 Feb 1979 p. 425</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29 Aug 1980 p. 3033</w:t>
            </w:r>
          </w:p>
        </w:tc>
        <w:tc>
          <w:tcPr>
            <w:tcW w:w="2693" w:type="dxa"/>
          </w:tcPr>
          <w:p>
            <w:pPr>
              <w:pStyle w:val="nTable"/>
              <w:spacing w:after="40"/>
            </w:pPr>
            <w:r>
              <w:t>29 Aug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3" w:type="dxa"/>
          </w:tcPr>
          <w:p>
            <w:pPr>
              <w:pStyle w:val="nTable"/>
              <w:spacing w:after="40"/>
            </w:pPr>
            <w:r>
              <w:t>31 Jul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3" w:type="dxa"/>
          </w:tcPr>
          <w:p>
            <w:pPr>
              <w:pStyle w:val="nTable"/>
              <w:spacing w:after="40"/>
            </w:pPr>
            <w:r>
              <w:t>15 Jan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3" w:type="dxa"/>
          </w:tcPr>
          <w:p>
            <w:pPr>
              <w:pStyle w:val="nTable"/>
              <w:spacing w:after="40"/>
            </w:pPr>
            <w:r>
              <w:t>29 Apr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3" w:type="dxa"/>
          </w:tcPr>
          <w:p>
            <w:pPr>
              <w:pStyle w:val="nTable"/>
              <w:spacing w:after="40"/>
            </w:pPr>
            <w:r>
              <w:t>23 Mar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3" w:type="dxa"/>
          </w:tcPr>
          <w:p>
            <w:pPr>
              <w:pStyle w:val="nTable"/>
              <w:spacing w:after="40"/>
            </w:pPr>
            <w:r>
              <w:t>7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3" w:type="dxa"/>
          </w:tcPr>
          <w:p>
            <w:pPr>
              <w:pStyle w:val="nTable"/>
              <w:spacing w:after="40"/>
            </w:pPr>
            <w:r>
              <w:t>1 Mar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3" w:type="dxa"/>
          </w:tcPr>
          <w:p>
            <w:pPr>
              <w:pStyle w:val="nTable"/>
              <w:spacing w:after="40"/>
            </w:pPr>
            <w:r>
              <w:t>16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3"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3" w:type="dxa"/>
          </w:tcPr>
          <w:p>
            <w:pPr>
              <w:pStyle w:val="nTable"/>
              <w:spacing w:after="40"/>
            </w:pPr>
            <w:r>
              <w:t>31 Oct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3" w:type="dxa"/>
          </w:tcPr>
          <w:p>
            <w:pPr>
              <w:pStyle w:val="nTable"/>
              <w:spacing w:after="40"/>
            </w:pPr>
            <w:r>
              <w:t>22 Jan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3" w:type="dxa"/>
          </w:tcPr>
          <w:p>
            <w:pPr>
              <w:pStyle w:val="nTable"/>
              <w:spacing w:after="40"/>
            </w:pPr>
            <w:r>
              <w:t>6 May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3" w:type="dxa"/>
          </w:tcPr>
          <w:p>
            <w:pPr>
              <w:pStyle w:val="nTable"/>
              <w:spacing w:after="40"/>
            </w:pPr>
            <w:r>
              <w:t>1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3" w:type="dxa"/>
          </w:tcPr>
          <w:p>
            <w:pPr>
              <w:pStyle w:val="nTable"/>
              <w:spacing w:after="40"/>
            </w:pPr>
            <w:r>
              <w:t>29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3" w:type="dxa"/>
          </w:tcPr>
          <w:p>
            <w:pPr>
              <w:pStyle w:val="nTable"/>
              <w:spacing w:after="40"/>
            </w:pPr>
            <w:r>
              <w:t>17 Mar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3" w:type="dxa"/>
          </w:tcPr>
          <w:p>
            <w:pPr>
              <w:pStyle w:val="nTable"/>
              <w:spacing w:after="40"/>
            </w:pPr>
            <w:r>
              <w:t>9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3" w:type="dxa"/>
          </w:tcPr>
          <w:p>
            <w:pPr>
              <w:pStyle w:val="nTable"/>
              <w:spacing w:after="40"/>
            </w:pPr>
            <w:r>
              <w:t>17 Nov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3" w:type="dxa"/>
          </w:tcPr>
          <w:p>
            <w:pPr>
              <w:pStyle w:val="nTable"/>
              <w:spacing w:after="40"/>
            </w:pPr>
            <w:r>
              <w:t>1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3" w:type="dxa"/>
          </w:tcPr>
          <w:p>
            <w:pPr>
              <w:pStyle w:val="nTable"/>
              <w:spacing w:after="40"/>
            </w:pPr>
            <w:r>
              <w:t>8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3" w:type="dxa"/>
          </w:tcPr>
          <w:p>
            <w:pPr>
              <w:pStyle w:val="nTable"/>
              <w:spacing w:after="40"/>
            </w:pPr>
            <w:r>
              <w:t>2 Feb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3" w:type="dxa"/>
          </w:tcPr>
          <w:p>
            <w:pPr>
              <w:pStyle w:val="nTable"/>
              <w:spacing w:after="40"/>
            </w:pPr>
            <w:r>
              <w:t>30 Mar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3" w:type="dxa"/>
          </w:tcPr>
          <w:p>
            <w:pPr>
              <w:pStyle w:val="nTable"/>
              <w:spacing w:after="40"/>
            </w:pPr>
            <w:r>
              <w:t>14 Jul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3" w:type="dxa"/>
          </w:tcPr>
          <w:p>
            <w:pPr>
              <w:pStyle w:val="nTable"/>
              <w:spacing w:after="40"/>
            </w:pPr>
            <w:r>
              <w:t>18 Nov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3" w:type="dxa"/>
          </w:tcPr>
          <w:p>
            <w:pPr>
              <w:pStyle w:val="nTable"/>
              <w:spacing w:after="40"/>
            </w:pPr>
            <w:r>
              <w:t>7 Feb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Police Force Amendment Regulations (No. 2) 1995</w:t>
            </w:r>
            <w:r>
              <w:rPr>
                <w:vertAlign w:val="superscript"/>
              </w:rPr>
              <w:t xml:space="preserve"> 2</w:t>
            </w:r>
          </w:p>
        </w:tc>
        <w:tc>
          <w:tcPr>
            <w:tcW w:w="1276" w:type="dxa"/>
          </w:tcPr>
          <w:p>
            <w:pPr>
              <w:pStyle w:val="nTable"/>
              <w:spacing w:after="40"/>
            </w:pPr>
            <w:r>
              <w:t>17 Mar 1995 p. 1055</w:t>
            </w:r>
          </w:p>
        </w:tc>
        <w:tc>
          <w:tcPr>
            <w:tcW w:w="2693" w:type="dxa"/>
          </w:tcPr>
          <w:p>
            <w:pPr>
              <w:pStyle w:val="nTable"/>
              <w:spacing w:after="40"/>
            </w:pPr>
            <w:r>
              <w:t>17 Mar 1995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3" w:type="dxa"/>
          </w:tcPr>
          <w:p>
            <w:pPr>
              <w:pStyle w:val="nTable"/>
              <w:spacing w:after="40"/>
            </w:pPr>
            <w:r>
              <w:t>20 Sep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3" w:type="dxa"/>
          </w:tcPr>
          <w:p>
            <w:pPr>
              <w:pStyle w:val="nTable"/>
              <w:spacing w:after="40"/>
            </w:pPr>
            <w:r>
              <w:t>22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3" w:type="dxa"/>
          </w:tcPr>
          <w:p>
            <w:pPr>
              <w:pStyle w:val="nTable"/>
              <w:spacing w:after="40"/>
            </w:pPr>
            <w:r>
              <w:rPr>
                <w:spacing w:val="-2"/>
              </w:rPr>
              <w:t>14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vertAlign w:val="superscript"/>
              </w:rPr>
            </w:pPr>
            <w:r>
              <w:rPr>
                <w:i/>
                <w:spacing w:val="-2"/>
              </w:rPr>
              <w:t>Police Force Amendment Regulations (No. 2) 1998</w:t>
            </w:r>
            <w:r>
              <w:rPr>
                <w:spacing w:val="-2"/>
                <w:vertAlign w:val="superscript"/>
              </w:rPr>
              <w:t xml:space="preserve"> 3</w:t>
            </w:r>
          </w:p>
        </w:tc>
        <w:tc>
          <w:tcPr>
            <w:tcW w:w="1276" w:type="dxa"/>
          </w:tcPr>
          <w:p>
            <w:pPr>
              <w:pStyle w:val="nTable"/>
              <w:spacing w:after="40"/>
              <w:rPr>
                <w:spacing w:val="-2"/>
              </w:rPr>
            </w:pPr>
            <w:r>
              <w:rPr>
                <w:spacing w:val="-2"/>
              </w:rPr>
              <w:t>21 Aug 1998 p. 4678</w:t>
            </w:r>
            <w:r>
              <w:rPr>
                <w:spacing w:val="-2"/>
              </w:rPr>
              <w:noBreakHyphen/>
              <w:t>9</w:t>
            </w:r>
          </w:p>
        </w:tc>
        <w:tc>
          <w:tcPr>
            <w:tcW w:w="2693" w:type="dxa"/>
          </w:tcPr>
          <w:p>
            <w:pPr>
              <w:pStyle w:val="nTable"/>
              <w:spacing w:after="40"/>
              <w:rPr>
                <w:spacing w:val="-2"/>
              </w:rPr>
            </w:pPr>
            <w:r>
              <w:rPr>
                <w:spacing w:val="-2"/>
              </w:rPr>
              <w:t>21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3" w:type="dxa"/>
          </w:tcPr>
          <w:p>
            <w:pPr>
              <w:pStyle w:val="nTable"/>
              <w:spacing w:after="40"/>
              <w:rPr>
                <w:spacing w:val="-2"/>
              </w:rPr>
            </w:pPr>
            <w:r>
              <w:rPr>
                <w:spacing w:val="-2"/>
              </w:rPr>
              <w:t>13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3" w:type="dxa"/>
          </w:tcPr>
          <w:p>
            <w:pPr>
              <w:pStyle w:val="nTable"/>
              <w:spacing w:after="40"/>
              <w:rPr>
                <w:spacing w:val="-2"/>
              </w:rPr>
            </w:pPr>
            <w:r>
              <w:rPr>
                <w:spacing w:val="-2"/>
              </w:rPr>
              <w:t>28 Nov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3" w:type="dxa"/>
          </w:tcPr>
          <w:p>
            <w:pPr>
              <w:pStyle w:val="nTable"/>
              <w:spacing w:after="40"/>
              <w:rPr>
                <w:spacing w:val="-2"/>
              </w:rPr>
            </w:pPr>
            <w:r>
              <w:rPr>
                <w:spacing w:val="-2"/>
              </w:rPr>
              <w:t>10 Aug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3" w:type="dxa"/>
          </w:tcPr>
          <w:p>
            <w:pPr>
              <w:pStyle w:val="nTable"/>
              <w:spacing w:after="40"/>
            </w:pPr>
            <w:r>
              <w:t xml:space="preserve">27 Aug 2003 (see r.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3" w:type="dxa"/>
          </w:tcPr>
          <w:p>
            <w:pPr>
              <w:pStyle w:val="nTable"/>
              <w:spacing w:after="40"/>
            </w:pPr>
            <w:r>
              <w:t>17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3" w:type="dxa"/>
          </w:tcPr>
          <w:p>
            <w:pPr>
              <w:pStyle w:val="nTable"/>
              <w:spacing w:after="40"/>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3" w:type="dxa"/>
          </w:tcPr>
          <w:p>
            <w:pPr>
              <w:pStyle w:val="nTable"/>
              <w:spacing w:after="40"/>
            </w:pPr>
            <w:r>
              <w:t>7 Feb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3" w:type="dxa"/>
          </w:tcPr>
          <w:p>
            <w:pPr>
              <w:pStyle w:val="nTable"/>
              <w:spacing w:after="40"/>
            </w:pPr>
            <w:r>
              <w:t>r. 1 and 2: 16 Nov 2007 (see r. 2(a));</w:t>
            </w:r>
            <w:r>
              <w:br/>
              <w:t>Regulations other than r. 1 and 2: 17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3" w:type="dxa"/>
          </w:tcPr>
          <w:p>
            <w:pPr>
              <w:pStyle w:val="nTable"/>
              <w:spacing w:after="40"/>
            </w:pPr>
            <w:r>
              <w:t>r. 1 and 2: 30 Dec 2008 (see r. 2(a));</w:t>
            </w:r>
            <w:r>
              <w:br/>
              <w:t>Regulations other than r. 1 and 2: 31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3"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3" w:type="dxa"/>
          </w:tcPr>
          <w:p>
            <w:pPr>
              <w:pStyle w:val="nTable"/>
              <w:spacing w:after="40"/>
            </w:pPr>
            <w:r>
              <w:t>r. 1 and 2: 16 Jul 2010 (see r. 2(a));</w:t>
            </w:r>
            <w: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3" w:type="dxa"/>
          </w:tcPr>
          <w:p>
            <w:pPr>
              <w:pStyle w:val="nTable"/>
              <w:spacing w:after="40"/>
            </w:pPr>
            <w:r>
              <w:t>r. 1 and 2: 8 Jul 2011 (see r. 2(a));</w:t>
            </w:r>
            <w:r>
              <w:br/>
              <w:t>Regulations other than r. 1 and 2: 9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3" w:type="dxa"/>
          </w:tcPr>
          <w:p>
            <w:pPr>
              <w:pStyle w:val="nTable"/>
              <w:spacing w:after="40"/>
            </w:pPr>
            <w:r>
              <w:t>r. 1 and 2: 15 Jul 2011 (see r. 2(a));</w:t>
            </w:r>
            <w: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3" w:type="dxa"/>
          </w:tcPr>
          <w:p>
            <w:pPr>
              <w:pStyle w:val="nTable"/>
              <w:spacing w:after="40"/>
            </w:pPr>
            <w:r>
              <w:t>r. 1 and 2: 2 Dec 2011 (see r. 2(a));</w:t>
            </w:r>
            <w: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3"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3"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3"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3"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2019</w:t>
            </w:r>
          </w:p>
        </w:tc>
        <w:tc>
          <w:tcPr>
            <w:tcW w:w="1276" w:type="dxa"/>
            <w:shd w:val="clear" w:color="auto" w:fill="auto"/>
          </w:tcPr>
          <w:p>
            <w:pPr>
              <w:pStyle w:val="nTable"/>
              <w:spacing w:after="40"/>
            </w:pPr>
            <w:r>
              <w:t>1 Oct 2019 p. 3509-13</w:t>
            </w:r>
          </w:p>
        </w:tc>
        <w:tc>
          <w:tcPr>
            <w:tcW w:w="2693" w:type="dxa"/>
            <w:shd w:val="clear" w:color="auto" w:fill="auto"/>
          </w:tcPr>
          <w:p>
            <w:pPr>
              <w:pStyle w:val="nTable"/>
              <w:spacing w:after="40"/>
              <w:rPr>
                <w:bCs/>
                <w:snapToGrid w:val="0"/>
                <w:spacing w:val="-2"/>
              </w:rPr>
            </w:pPr>
            <w:r>
              <w:rPr>
                <w:bCs/>
                <w:snapToGrid w:val="0"/>
                <w:spacing w:val="-2"/>
              </w:rPr>
              <w:t>r. 1 and 2: 1 Oct 2019 (see r. 2(a)); Regulations other than r. 1 and 2: 2 Oct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Force Amendment Regulations (No. 3) 2019</w:t>
            </w:r>
          </w:p>
        </w:tc>
        <w:tc>
          <w:tcPr>
            <w:tcW w:w="1276" w:type="dxa"/>
            <w:tcBorders>
              <w:top w:val="nil"/>
              <w:bottom w:val="nil"/>
            </w:tcBorders>
            <w:shd w:val="clear" w:color="auto" w:fill="auto"/>
          </w:tcPr>
          <w:p>
            <w:pPr>
              <w:pStyle w:val="nTable"/>
              <w:spacing w:after="40"/>
            </w:pPr>
            <w:r>
              <w:t>29 Nov 2019 p. 4149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p>
        </w:tc>
      </w:tr>
    </w:tbl>
    <w:p>
      <w:pPr>
        <w:pStyle w:val="nHeading3"/>
        <w:rPr>
          <w:del w:id="378" w:author="Master Repository Process" w:date="2021-09-11T20:05:00Z"/>
        </w:rPr>
      </w:pPr>
      <w:bookmarkStart w:id="379" w:name="_Toc60129283"/>
      <w:del w:id="380" w:author="Master Repository Process" w:date="2021-09-11T20:05:00Z">
        <w:r>
          <w:delText>Uncommenced provisions table</w:delText>
        </w:r>
        <w:bookmarkEnd w:id="379"/>
      </w:del>
    </w:p>
    <w:p>
      <w:pPr>
        <w:pStyle w:val="nStatement"/>
        <w:keepNext/>
        <w:spacing w:after="240"/>
        <w:rPr>
          <w:del w:id="381" w:author="Master Repository Process" w:date="2021-09-11T20:05:00Z"/>
        </w:rPr>
      </w:pPr>
      <w:del w:id="382" w:author="Master Repository Process" w:date="2021-09-11T20:0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83" w:author="Master Repository Process" w:date="2021-09-11T20:05:00Z"/>
        </w:trPr>
        <w:tc>
          <w:tcPr>
            <w:tcW w:w="3118" w:type="dxa"/>
          </w:tcPr>
          <w:p>
            <w:pPr>
              <w:pStyle w:val="nTable"/>
              <w:spacing w:after="40"/>
              <w:rPr>
                <w:del w:id="384" w:author="Master Repository Process" w:date="2021-09-11T20:05:00Z"/>
                <w:b/>
              </w:rPr>
            </w:pPr>
            <w:del w:id="385" w:author="Master Repository Process" w:date="2021-09-11T20:05:00Z">
              <w:r>
                <w:rPr>
                  <w:b/>
                </w:rPr>
                <w:delText>Citation</w:delText>
              </w:r>
            </w:del>
          </w:p>
        </w:tc>
        <w:tc>
          <w:tcPr>
            <w:tcW w:w="1276" w:type="dxa"/>
          </w:tcPr>
          <w:p>
            <w:pPr>
              <w:pStyle w:val="nTable"/>
              <w:spacing w:after="40"/>
              <w:rPr>
                <w:del w:id="386" w:author="Master Repository Process" w:date="2021-09-11T20:05:00Z"/>
                <w:b/>
              </w:rPr>
            </w:pPr>
            <w:del w:id="387" w:author="Master Repository Process" w:date="2021-09-11T20:05:00Z">
              <w:r>
                <w:rPr>
                  <w:b/>
                </w:rPr>
                <w:delText>Published</w:delText>
              </w:r>
            </w:del>
          </w:p>
        </w:tc>
        <w:tc>
          <w:tcPr>
            <w:tcW w:w="2693" w:type="dxa"/>
          </w:tcPr>
          <w:p>
            <w:pPr>
              <w:pStyle w:val="nTable"/>
              <w:spacing w:after="40"/>
              <w:rPr>
                <w:del w:id="388" w:author="Master Repository Process" w:date="2021-09-11T20:05:00Z"/>
                <w:b/>
              </w:rPr>
            </w:pPr>
            <w:del w:id="389" w:author="Master Repository Process" w:date="2021-09-11T20:05: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Force Amendment Regulations (No. 2) 2020</w:t>
            </w:r>
            <w:del w:id="390" w:author="Master Repository Process" w:date="2021-09-11T20:05:00Z">
              <w:r>
                <w:delText xml:space="preserve"> r. 3 and 4</w:delText>
              </w:r>
            </w:del>
          </w:p>
        </w:tc>
        <w:tc>
          <w:tcPr>
            <w:tcW w:w="1276" w:type="dxa"/>
            <w:tcBorders>
              <w:bottom w:val="single" w:sz="4" w:space="0" w:color="auto"/>
            </w:tcBorders>
            <w:shd w:val="clear" w:color="auto" w:fill="auto"/>
          </w:tcPr>
          <w:p>
            <w:pPr>
              <w:pStyle w:val="nTable"/>
              <w:spacing w:after="40"/>
            </w:pPr>
            <w:r>
              <w:t>SL 2020/263 31 Dec 2020</w:t>
            </w:r>
          </w:p>
        </w:tc>
        <w:tc>
          <w:tcPr>
            <w:tcW w:w="2693" w:type="dxa"/>
            <w:tcBorders>
              <w:bottom w:val="single" w:sz="4" w:space="0" w:color="auto"/>
            </w:tcBorders>
            <w:shd w:val="clear" w:color="auto" w:fill="auto"/>
          </w:tcPr>
          <w:p>
            <w:pPr>
              <w:pStyle w:val="nTable"/>
              <w:spacing w:after="40"/>
              <w:rPr>
                <w:bCs/>
                <w:snapToGrid w:val="0"/>
                <w:spacing w:val="-2"/>
              </w:rPr>
            </w:pPr>
            <w:ins w:id="391" w:author="Master Repository Process" w:date="2021-09-11T20:05:00Z">
              <w:r>
                <w:rPr>
                  <w:bCs/>
                  <w:snapToGrid w:val="0"/>
                  <w:spacing w:val="-2"/>
                </w:rPr>
                <w:t>r. 1 and 2: 31 Dec 2020 (see r. 2(a));</w:t>
              </w:r>
              <w:r>
                <w:rPr>
                  <w:bCs/>
                  <w:snapToGrid w:val="0"/>
                  <w:spacing w:val="-2"/>
                </w:rPr>
                <w:br/>
                <w:t xml:space="preserve">Regulations other than r. 1 and 2: </w:t>
              </w:r>
            </w:ins>
            <w:r>
              <w:rPr>
                <w:bCs/>
                <w:snapToGrid w:val="0"/>
                <w:spacing w:val="-2"/>
              </w:rPr>
              <w:t>26 Feb 2021 (see r. 2(b) and SL 2020/254 cl. 2)</w:t>
            </w:r>
          </w:p>
        </w:tc>
      </w:tr>
    </w:tbl>
    <w:p>
      <w:pPr>
        <w:pStyle w:val="nHeading3"/>
      </w:pPr>
      <w:bookmarkStart w:id="392" w:name="_Toc65138233"/>
      <w:bookmarkStart w:id="393" w:name="_Toc60129284"/>
      <w:r>
        <w:t>Other notes</w:t>
      </w:r>
      <w:bookmarkEnd w:id="392"/>
      <w:bookmarkEnd w:id="393"/>
    </w:p>
    <w:p>
      <w:pPr>
        <w:pStyle w:val="nNote"/>
      </w:pPr>
      <w:r>
        <w:rPr>
          <w:vertAlign w:val="superscript"/>
        </w:rPr>
        <w:t>1</w:t>
      </w:r>
      <w:r>
        <w:tab/>
        <w:t xml:space="preserve">Now known as the </w:t>
      </w:r>
      <w:r>
        <w:rPr>
          <w:i/>
        </w:rPr>
        <w:t>Police Force Regulations 1979</w:t>
      </w:r>
      <w:r>
        <w:t>; citation changed (see note under r. 101).</w:t>
      </w:r>
    </w:p>
    <w:p>
      <w:pPr>
        <w:pStyle w:val="nNote"/>
        <w:rPr>
          <w:snapToGrid w:val="0"/>
        </w:rPr>
      </w:pPr>
      <w:r>
        <w:rPr>
          <w:vertAlign w:val="superscript"/>
        </w:rPr>
        <w:t>2</w:t>
      </w:r>
      <w:r>
        <w:tab/>
        <w:t xml:space="preserve">The </w:t>
      </w:r>
      <w:r>
        <w:rPr>
          <w:i/>
        </w:rPr>
        <w:t>Police Force Amendment Regulations (No. 2) 1995</w:t>
      </w:r>
      <w:r>
        <w:t xml:space="preserve"> r. 3(2) is a transitional provision that is of no further effect.</w:t>
      </w:r>
    </w:p>
    <w:p>
      <w:pPr>
        <w:pStyle w:val="nNote"/>
      </w:pPr>
      <w:r>
        <w:rPr>
          <w:vertAlign w:val="superscript"/>
        </w:rPr>
        <w:t>3</w:t>
      </w:r>
      <w:r>
        <w:tab/>
        <w:t xml:space="preserve">The </w:t>
      </w:r>
      <w:r>
        <w:rPr>
          <w:i/>
        </w:rPr>
        <w:t>Police Force Amendment Regulations (No. 2) 1998</w:t>
      </w:r>
      <w:r>
        <w:t xml:space="preserve"> r. 13 is a transitional provision that is of no further effect.</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374"/>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366" w:name="Schedule"/>
    <w:bookmarkEnd w:id="3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4" w:name="Compilation"/>
    <w:bookmarkEnd w:id="3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5" w:name="Coversheet"/>
    <w:bookmarkEnd w:id="3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218114707"/>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 w:name="WAFER_20201229091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9091159_GUID" w:val="7ebbf25b-b170-413c-bd23-ac712986872e"/>
    <w:docVar w:name="WAFER_20210218114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4707_GUID" w:val="53000aa1-8925-468e-9f07-4f80f0eef5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7BBA3F-6E99-468A-8F01-3A5659968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84701-5E2B-4255-A767-D1780184D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16517</Words>
  <Characters>80772</Characters>
  <Application>Microsoft Office Word</Application>
  <DocSecurity>0</DocSecurity>
  <Lines>2375</Lines>
  <Paragraphs>1280</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06-i0-00 - 06-j0-01</dc:title>
  <dc:subject/>
  <dc:creator/>
  <cp:keywords/>
  <dc:description/>
  <cp:lastModifiedBy>Master Repository Process</cp:lastModifiedBy>
  <cp:revision>2</cp:revision>
  <cp:lastPrinted>2019-11-28T09:03:00Z</cp:lastPrinted>
  <dcterms:created xsi:type="dcterms:W3CDTF">2021-09-11T12:05:00Z</dcterms:created>
  <dcterms:modified xsi:type="dcterms:W3CDTF">2021-09-11T12:06:00Z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CommencementDate">
    <vt:lpwstr>20210226</vt:lpwstr>
  </property>
  <property fmtid="{D5CDD505-2E9C-101B-9397-08002B2CF9AE}" pid="8" name="FromSuffix">
    <vt:lpwstr>06-i0-00</vt:lpwstr>
  </property>
  <property fmtid="{D5CDD505-2E9C-101B-9397-08002B2CF9AE}" pid="9" name="FromAsAtDate">
    <vt:lpwstr>31 Dec 2020</vt:lpwstr>
  </property>
  <property fmtid="{D5CDD505-2E9C-101B-9397-08002B2CF9AE}" pid="10" name="ToSuffix">
    <vt:lpwstr>06-j0-01</vt:lpwstr>
  </property>
  <property fmtid="{D5CDD505-2E9C-101B-9397-08002B2CF9AE}" pid="11" name="ToAsAtDate">
    <vt:lpwstr>26 Feb 2021</vt:lpwstr>
  </property>
</Properties>
</file>