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Regulations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2020</w:t>
      </w:r>
      <w:r>
        <w:fldChar w:fldCharType="end"/>
      </w:r>
      <w:r>
        <w:t xml:space="preserve">, </w:t>
      </w:r>
      <w:r>
        <w:fldChar w:fldCharType="begin"/>
      </w:r>
      <w:r>
        <w:instrText xml:space="preserve"> DocProperty FromSuffix </w:instrText>
      </w:r>
      <w:r>
        <w:fldChar w:fldCharType="separate"/>
      </w:r>
      <w:r>
        <w:t>03-h0-00</w:t>
      </w:r>
      <w:r>
        <w:fldChar w:fldCharType="end"/>
      </w:r>
      <w:r>
        <w:t>] and [</w:t>
      </w:r>
      <w:r>
        <w:fldChar w:fldCharType="begin"/>
      </w:r>
      <w:r>
        <w:instrText xml:space="preserve"> DocProperty ToAsAtDate</w:instrText>
      </w:r>
      <w:r>
        <w:fldChar w:fldCharType="separate"/>
      </w:r>
      <w:r>
        <w:t>21 Jun 2021</w:t>
      </w:r>
      <w:r>
        <w:fldChar w:fldCharType="end"/>
      </w:r>
      <w:r>
        <w:t xml:space="preserve">, </w:t>
      </w:r>
      <w:r>
        <w:fldChar w:fldCharType="begin"/>
      </w:r>
      <w:r>
        <w:instrText xml:space="preserve"> DocProperty ToSuffix</w:instrText>
      </w:r>
      <w:r>
        <w:fldChar w:fldCharType="separate"/>
      </w:r>
      <w:r>
        <w:t>03-i0-00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Petroleum (Submerged Lands) Act 1982</w:t>
      </w:r>
    </w:p>
    <w:p>
      <w:pPr>
        <w:pStyle w:val="NameofActReg"/>
      </w:pPr>
      <w:r>
        <w:t>Petroleum (Submerged Lands) Regulations 1990</w:t>
      </w:r>
    </w:p>
    <w:p>
      <w:pPr>
        <w:pStyle w:val="Heading5"/>
        <w:rPr>
          <w:snapToGrid w:val="0"/>
        </w:rPr>
      </w:pPr>
      <w:bookmarkStart w:id="1" w:name="_Toc75164818"/>
      <w:bookmarkStart w:id="2" w:name="_Toc44317405"/>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(Submerged Lands) Regulations 1990</w:t>
      </w:r>
      <w:r>
        <w:rPr>
          <w:snapToGrid w:val="0"/>
        </w:rPr>
        <w:t>.</w:t>
      </w:r>
    </w:p>
    <w:p>
      <w:pPr>
        <w:pStyle w:val="Heading5"/>
        <w:rPr>
          <w:snapToGrid w:val="0"/>
        </w:rPr>
      </w:pPr>
      <w:bookmarkStart w:id="4" w:name="_Toc75164819"/>
      <w:bookmarkStart w:id="5" w:name="_Toc44317406"/>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rPr>
        <w:t>.</w:t>
      </w:r>
    </w:p>
    <w:p>
      <w:pPr>
        <w:pStyle w:val="Heading5"/>
      </w:pPr>
      <w:bookmarkStart w:id="6" w:name="_Toc75164820"/>
      <w:bookmarkStart w:id="7" w:name="_Toc44317407"/>
      <w:r>
        <w:rPr>
          <w:rStyle w:val="CharSectno"/>
        </w:rPr>
        <w:t>2A</w:t>
      </w:r>
      <w:r>
        <w:t>.</w:t>
      </w:r>
      <w:r>
        <w:tab/>
        <w:t>Terms used</w:t>
      </w:r>
      <w:bookmarkEnd w:id="6"/>
      <w:bookmarkEnd w:id="7"/>
    </w:p>
    <w:p>
      <w:pPr>
        <w:pStyle w:val="Subsection"/>
      </w:pPr>
      <w:r>
        <w:tab/>
      </w:r>
      <w:r>
        <w:tab/>
        <w:t xml:space="preserve">In these regulations — </w:t>
      </w:r>
    </w:p>
    <w:p>
      <w:pPr>
        <w:pStyle w:val="Defstart"/>
      </w:pPr>
      <w:r>
        <w:tab/>
      </w:r>
      <w:r>
        <w:rPr>
          <w:rStyle w:val="CharDefText"/>
        </w:rPr>
        <w:t>AGD</w:t>
      </w:r>
      <w:r>
        <w:t xml:space="preserve"> means the Australian Geodetic Datum referred to in regulation 11;</w:t>
      </w:r>
    </w:p>
    <w:p>
      <w:pPr>
        <w:pStyle w:val="Defstart"/>
      </w:pPr>
      <w:r>
        <w:tab/>
      </w:r>
      <w:r>
        <w:rPr>
          <w:rStyle w:val="CharDefText"/>
        </w:rPr>
        <w:t>GDA</w:t>
      </w:r>
      <w:r>
        <w:t xml:space="preserve"> means the Geocentric Datum of Australia referred to in regulation 9.</w:t>
      </w:r>
    </w:p>
    <w:p>
      <w:pPr>
        <w:pStyle w:val="Footnotesection"/>
      </w:pPr>
      <w:r>
        <w:tab/>
        <w:t>[Regulation 2A inserted: Gazette 15 Dec 2000 p. 7216.]</w:t>
      </w:r>
    </w:p>
    <w:p>
      <w:pPr>
        <w:pStyle w:val="Heading5"/>
        <w:rPr>
          <w:snapToGrid w:val="0"/>
        </w:rPr>
      </w:pPr>
      <w:bookmarkStart w:id="8" w:name="_Toc75164821"/>
      <w:bookmarkStart w:id="9" w:name="_Toc44317408"/>
      <w:r>
        <w:rPr>
          <w:rStyle w:val="CharSectno"/>
        </w:rPr>
        <w:t>3</w:t>
      </w:r>
      <w:r>
        <w:rPr>
          <w:snapToGrid w:val="0"/>
        </w:rPr>
        <w:t>.</w:t>
      </w:r>
      <w:r>
        <w:rPr>
          <w:snapToGrid w:val="0"/>
        </w:rPr>
        <w:tab/>
        <w:t>Prescribed fees, rates and sums</w:t>
      </w:r>
      <w:bookmarkEnd w:id="8"/>
      <w:bookmarkEnd w:id="9"/>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pPr>
        <w:pStyle w:val="Subsection"/>
        <w:rPr>
          <w:snapToGrid w:val="0"/>
        </w:rPr>
      </w:pPr>
      <w:r>
        <w:rPr>
          <w:snapToGrid w:val="0"/>
        </w:rPr>
        <w:tab/>
        <w:t>(2)</w:t>
      </w:r>
      <w:r>
        <w:rPr>
          <w:snapToGrid w:val="0"/>
        </w:rPr>
        <w:tab/>
        <w:t xml:space="preserve">For the purposes of section 87(2) of the Act, the prescribed fee is a fee calculated at the rate of </w:t>
      </w:r>
      <w:r>
        <w:t xml:space="preserve">$142.00 </w:t>
      </w:r>
      <w:r>
        <w:rPr>
          <w:snapToGrid w:val="0"/>
        </w:rPr>
        <w:t>per page.</w:t>
      </w:r>
    </w:p>
    <w:p>
      <w:pPr>
        <w:pStyle w:val="Ednotesubsection"/>
        <w:spacing w:before="180"/>
      </w:pPr>
      <w:r>
        <w:tab/>
        <w:t>[(3)</w:t>
      </w:r>
      <w:r>
        <w:noBreakHyphen/>
        <w:t>(5)</w:t>
      </w:r>
      <w:r>
        <w:tab/>
        <w:t>deleted]</w:t>
      </w:r>
    </w:p>
    <w:p>
      <w:pPr>
        <w:pStyle w:val="Subsection"/>
        <w:spacing w:before="180"/>
        <w:rPr>
          <w:snapToGrid w:val="0"/>
        </w:rPr>
      </w:pPr>
      <w:r>
        <w:rPr>
          <w:snapToGrid w:val="0"/>
        </w:rPr>
        <w:tab/>
        <w:t>(6)</w:t>
      </w:r>
      <w:r>
        <w:rPr>
          <w:snapToGrid w:val="0"/>
        </w:rPr>
        <w:tab/>
        <w:t>For the purposes of section 139(a) of the Act, the prescribed minimum fee is </w:t>
      </w:r>
      <w:r>
        <w:t>$2 400.00.</w:t>
      </w:r>
    </w:p>
    <w:p>
      <w:pPr>
        <w:pStyle w:val="Subsection"/>
        <w:spacing w:before="180"/>
        <w:rPr>
          <w:snapToGrid w:val="0"/>
        </w:rPr>
      </w:pPr>
      <w:r>
        <w:rPr>
          <w:snapToGrid w:val="0"/>
        </w:rPr>
        <w:tab/>
        <w:t>(7)</w:t>
      </w:r>
      <w:r>
        <w:rPr>
          <w:snapToGrid w:val="0"/>
        </w:rPr>
        <w:tab/>
        <w:t>For the purposes of section 139(b) of the Act, the prescribed rate is a rate of </w:t>
      </w:r>
      <w:r>
        <w:t>$919.00.</w:t>
      </w:r>
    </w:p>
    <w:p>
      <w:pPr>
        <w:pStyle w:val="Subsection"/>
        <w:spacing w:before="180"/>
        <w:rPr>
          <w:snapToGrid w:val="0"/>
        </w:rPr>
      </w:pPr>
      <w:r>
        <w:rPr>
          <w:snapToGrid w:val="0"/>
        </w:rPr>
        <w:tab/>
        <w:t>(8)</w:t>
      </w:r>
      <w:r>
        <w:rPr>
          <w:snapToGrid w:val="0"/>
        </w:rPr>
        <w:tab/>
        <w:t>For the purposes of section 139A of the Act, the prescribed rate is a rate of</w:t>
      </w:r>
      <w:r>
        <w:t xml:space="preserve"> $20 000.00.</w:t>
      </w:r>
    </w:p>
    <w:p>
      <w:pPr>
        <w:pStyle w:val="Subsection"/>
        <w:spacing w:before="180"/>
        <w:rPr>
          <w:snapToGrid w:val="0"/>
        </w:rPr>
      </w:pPr>
      <w:r>
        <w:rPr>
          <w:snapToGrid w:val="0"/>
        </w:rPr>
        <w:tab/>
        <w:t>(9)</w:t>
      </w:r>
      <w:r>
        <w:rPr>
          <w:snapToGrid w:val="0"/>
        </w:rPr>
        <w:tab/>
        <w:t>For the purposes of section 140 of the Act, the prescribed rate is a rate of</w:t>
      </w:r>
      <w:r>
        <w:t xml:space="preserve"> $17 400.00.</w:t>
      </w:r>
    </w:p>
    <w:p>
      <w:pPr>
        <w:pStyle w:val="Subsection"/>
        <w:spacing w:before="180"/>
      </w:pPr>
      <w:r>
        <w:tab/>
        <w:t>(10)</w:t>
      </w:r>
      <w:r>
        <w:tab/>
        <w:t>For the purposes of section 141A of the Act, the fee is $17 400.00.</w:t>
      </w:r>
    </w:p>
    <w:p>
      <w:pPr>
        <w:pStyle w:val="Footnotesection"/>
        <w:spacing w:before="140"/>
      </w:pPr>
      <w:r>
        <w:tab/>
        <w:t>[Regulation 3 amended: Gazette 22 Jul 1994 p. 3781; 27 Jun 2000 p. 3253; 28 Jun 2002 p. 3093; 28 Feb 2003 p. 674; 23 Jun 2009 p. 2475; 9 Feb 2010 p. 270; 11 May 2010 p. 1819</w:t>
      </w:r>
      <w:r>
        <w:noBreakHyphen/>
        <w:t>20; 16 Jul 2010 p. 3360; 24 May 2011 p. 1898; 1 Jul 2011 p. 2737; 12 Jun 2012 p. 2461; 25 Feb 2014 p. 500</w:t>
      </w:r>
      <w:r>
        <w:noBreakHyphen/>
        <w:t xml:space="preserve">1; 17 Jun 2014 p. 1984; 30 Jun 2015 p. 2345 and 2348; 24 Jun 2016 p. 2329-30; 23 Jun 2017 p. 3300; 25 Jun 2018 p. 2315; 18 Jun 2019 p. 2051; SL 2020/93 r. 25.] </w:t>
      </w:r>
    </w:p>
    <w:p>
      <w:pPr>
        <w:pStyle w:val="Ednotesection"/>
        <w:spacing w:before="260"/>
      </w:pPr>
      <w:r>
        <w:t>[</w:t>
      </w:r>
      <w:r>
        <w:rPr>
          <w:b/>
          <w:bCs/>
        </w:rPr>
        <w:t>3A.</w:t>
      </w:r>
      <w:r>
        <w:rPr>
          <w:b/>
          <w:bCs/>
        </w:rPr>
        <w:tab/>
      </w:r>
      <w:r>
        <w:t>Deleted: Gazette 23 Jun 2009 p. 2475.]</w:t>
      </w:r>
    </w:p>
    <w:p>
      <w:pPr>
        <w:pStyle w:val="Heading5"/>
        <w:rPr>
          <w:snapToGrid w:val="0"/>
        </w:rPr>
      </w:pPr>
      <w:bookmarkStart w:id="10" w:name="_Toc75164822"/>
      <w:bookmarkStart w:id="11" w:name="_Toc44317409"/>
      <w:r>
        <w:rPr>
          <w:rStyle w:val="CharSectno"/>
        </w:rPr>
        <w:t>4</w:t>
      </w:r>
      <w:r>
        <w:rPr>
          <w:snapToGrid w:val="0"/>
        </w:rPr>
        <w:t>.</w:t>
      </w:r>
      <w:r>
        <w:rPr>
          <w:snapToGrid w:val="0"/>
        </w:rPr>
        <w:tab/>
        <w:t>Form of instrument of transfer</w:t>
      </w:r>
      <w:bookmarkEnd w:id="10"/>
      <w:bookmarkEnd w:id="11"/>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12" w:name="_Toc75164823"/>
      <w:bookmarkStart w:id="13" w:name="_Toc44317410"/>
      <w:r>
        <w:rPr>
          <w:rStyle w:val="CharSectno"/>
        </w:rPr>
        <w:t>5</w:t>
      </w:r>
      <w:r>
        <w:rPr>
          <w:snapToGrid w:val="0"/>
        </w:rPr>
        <w:t>.</w:t>
      </w:r>
      <w:r>
        <w:rPr>
          <w:snapToGrid w:val="0"/>
        </w:rPr>
        <w:tab/>
        <w:t>Instrument under Act s. 81(4)(b)</w:t>
      </w:r>
      <w:bookmarkEnd w:id="12"/>
      <w:bookmarkEnd w:id="13"/>
      <w:r>
        <w:rPr>
          <w:snapToGrid w:val="0"/>
        </w:rPr>
        <w:t xml:space="preserve"> </w:t>
      </w:r>
    </w:p>
    <w:p>
      <w:pPr>
        <w:pStyle w:val="Subsection"/>
        <w:keepNext/>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 xml:space="preserve">the </w:t>
      </w:r>
      <w:r>
        <w:rPr>
          <w:rStyle w:val="CharDefText"/>
        </w:rPr>
        <w:t>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keepNext/>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r>
        <w:t>[</w:t>
      </w:r>
      <w:r>
        <w:rPr>
          <w:b/>
          <w:bCs/>
        </w:rPr>
        <w:t>6, 7.</w:t>
      </w:r>
      <w:r>
        <w:rPr>
          <w:b/>
          <w:bCs/>
        </w:rPr>
        <w:tab/>
      </w:r>
      <w:r>
        <w:t>Deleted: Gazette 23 Jun 2009 p. 2475.]</w:t>
      </w:r>
    </w:p>
    <w:p>
      <w:pPr>
        <w:pStyle w:val="Heading5"/>
        <w:rPr>
          <w:snapToGrid w:val="0"/>
        </w:rPr>
      </w:pPr>
      <w:bookmarkStart w:id="14" w:name="_Toc75164824"/>
      <w:bookmarkStart w:id="15" w:name="_Toc44317411"/>
      <w:r>
        <w:rPr>
          <w:rStyle w:val="CharSectno"/>
        </w:rPr>
        <w:t>8</w:t>
      </w:r>
      <w:r>
        <w:rPr>
          <w:snapToGrid w:val="0"/>
        </w:rPr>
        <w:t>.</w:t>
      </w:r>
      <w:r>
        <w:rPr>
          <w:snapToGrid w:val="0"/>
        </w:rPr>
        <w:tab/>
        <w:t>Royalty value — deductible imposts</w:t>
      </w:r>
      <w:bookmarkEnd w:id="14"/>
      <w:bookmarkEnd w:id="15"/>
      <w:r>
        <w:rPr>
          <w:snapToGrid w:val="0"/>
        </w:rPr>
        <w:t xml:space="preserve"> </w:t>
      </w:r>
    </w:p>
    <w:p>
      <w:pPr>
        <w:pStyle w:val="Subsection"/>
        <w:keepNext/>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Gazette 20 May 1994 p. 2125</w:t>
      </w:r>
      <w:r>
        <w:noBreakHyphen/>
        <w:t xml:space="preserve">6.] </w:t>
      </w:r>
    </w:p>
    <w:p>
      <w:pPr>
        <w:pStyle w:val="Heading5"/>
      </w:pPr>
      <w:bookmarkStart w:id="16" w:name="_Toc75164825"/>
      <w:bookmarkStart w:id="17" w:name="_Toc44317412"/>
      <w:r>
        <w:rPr>
          <w:rStyle w:val="CharSectno"/>
        </w:rPr>
        <w:t>9</w:t>
      </w:r>
      <w:r>
        <w:t>.</w:t>
      </w:r>
      <w:r>
        <w:tab/>
        <w:t>Application of Geocentric Datum of Australia</w:t>
      </w:r>
      <w:bookmarkEnd w:id="16"/>
      <w:bookmarkEnd w:id="17"/>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tblInd w:w="454" w:type="dxa"/>
        <w:tblLayout w:type="fixed"/>
        <w:tblLook w:val="0000" w:firstRow="0" w:lastRow="0" w:firstColumn="0" w:lastColumn="0" w:noHBand="0" w:noVBand="0"/>
      </w:tblPr>
      <w:tblGrid>
        <w:gridCol w:w="938"/>
        <w:gridCol w:w="1134"/>
        <w:gridCol w:w="1701"/>
        <w:gridCol w:w="1843"/>
        <w:gridCol w:w="1134"/>
      </w:tblGrid>
      <w:t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c>
          <w:tcPr>
            <w:tcW w:w="938" w:type="dxa"/>
          </w:tcPr>
          <w:p>
            <w:pPr>
              <w:pStyle w:val="Table"/>
              <w:rPr>
                <w:sz w:val="20"/>
              </w:rPr>
            </w:pPr>
            <w:r>
              <w:rPr>
                <w:sz w:val="20"/>
              </w:rPr>
              <w:t>AU 012</w:t>
            </w:r>
          </w:p>
        </w:tc>
        <w:tc>
          <w:tcPr>
            <w:tcW w:w="1134" w:type="dxa"/>
          </w:tcPr>
          <w:p>
            <w:pPr>
              <w:pStyle w:val="Table"/>
              <w:rPr>
                <w:sz w:val="20"/>
              </w:rPr>
            </w:pPr>
            <w:r>
              <w:rPr>
                <w:sz w:val="20"/>
              </w:rPr>
              <w:t>Alice Springs</w:t>
            </w:r>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c>
          <w:tcPr>
            <w:tcW w:w="938" w:type="dxa"/>
          </w:tcPr>
          <w:p>
            <w:pPr>
              <w:pStyle w:val="Table"/>
              <w:rPr>
                <w:sz w:val="20"/>
              </w:rPr>
            </w:pPr>
            <w:r>
              <w:rPr>
                <w:sz w:val="20"/>
              </w:rPr>
              <w:t>AU 014</w:t>
            </w:r>
          </w:p>
        </w:tc>
        <w:tc>
          <w:tcPr>
            <w:tcW w:w="1134" w:type="dxa"/>
          </w:tcPr>
          <w:p>
            <w:pPr>
              <w:pStyle w:val="Table"/>
              <w:rPr>
                <w:sz w:val="20"/>
              </w:rPr>
            </w:pPr>
            <w:r>
              <w:rPr>
                <w:sz w:val="20"/>
              </w:rPr>
              <w:t>Darwin</w:t>
            </w:r>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c>
          <w:tcPr>
            <w:tcW w:w="938" w:type="dxa"/>
          </w:tcPr>
          <w:p>
            <w:pPr>
              <w:pStyle w:val="Table"/>
              <w:rPr>
                <w:sz w:val="20"/>
              </w:rPr>
            </w:pPr>
            <w:r>
              <w:rPr>
                <w:sz w:val="20"/>
              </w:rPr>
              <w:t>AU 016</w:t>
            </w:r>
          </w:p>
        </w:tc>
        <w:tc>
          <w:tcPr>
            <w:tcW w:w="1134" w:type="dxa"/>
          </w:tcPr>
          <w:p>
            <w:pPr>
              <w:pStyle w:val="Table"/>
              <w:rPr>
                <w:sz w:val="20"/>
              </w:rPr>
            </w:pPr>
            <w:r>
              <w:rPr>
                <w:sz w:val="20"/>
              </w:rPr>
              <w:t>Hobart</w:t>
            </w:r>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Gazette 15 Dec 2000 p. 7216</w:t>
      </w:r>
      <w:r>
        <w:noBreakHyphen/>
        <w:t>17.]</w:t>
      </w:r>
    </w:p>
    <w:p>
      <w:pPr>
        <w:pStyle w:val="Heading5"/>
      </w:pPr>
      <w:bookmarkStart w:id="18" w:name="_Toc75164826"/>
      <w:bookmarkStart w:id="19" w:name="_Toc44317413"/>
      <w:r>
        <w:rPr>
          <w:rStyle w:val="CharSectno"/>
        </w:rPr>
        <w:t>10</w:t>
      </w:r>
      <w:r>
        <w:t>.</w:t>
      </w:r>
      <w:r>
        <w:tab/>
        <w:t>Application of GDA to certain instruments</w:t>
      </w:r>
      <w:bookmarkEnd w:id="18"/>
      <w:bookmarkEnd w:id="19"/>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keepNext/>
        <w:keepLines/>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keepNext/>
      </w:pPr>
      <w:r>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1</w:t>
      </w:r>
      <w:r>
        <w:t>.</w:t>
      </w:r>
    </w:p>
    <w:p>
      <w:pPr>
        <w:pStyle w:val="Footnotesection"/>
      </w:pPr>
      <w:r>
        <w:tab/>
        <w:t>[Regulation 10 inserted: Gazette 15 Dec 2000 p. 7217</w:t>
      </w:r>
      <w:r>
        <w:noBreakHyphen/>
        <w:t>18.]</w:t>
      </w:r>
    </w:p>
    <w:p>
      <w:pPr>
        <w:pStyle w:val="Heading5"/>
      </w:pPr>
      <w:bookmarkStart w:id="20" w:name="_Toc75164827"/>
      <w:bookmarkStart w:id="21" w:name="_Toc44317414"/>
      <w:r>
        <w:rPr>
          <w:rStyle w:val="CharSectno"/>
        </w:rPr>
        <w:t>11</w:t>
      </w:r>
      <w:r>
        <w:t>.</w:t>
      </w:r>
      <w:r>
        <w:tab/>
        <w:t>Application of Australian Geodetic Datum</w:t>
      </w:r>
      <w:bookmarkEnd w:id="20"/>
      <w:bookmarkEnd w:id="21"/>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Gazette 15 Dec 2000 p. 7218.]</w:t>
      </w:r>
    </w:p>
    <w:p>
      <w:pPr>
        <w:pStyle w:val="Heading5"/>
      </w:pPr>
      <w:bookmarkStart w:id="22" w:name="_Toc75164828"/>
      <w:bookmarkStart w:id="23" w:name="_Toc44317415"/>
      <w:r>
        <w:rPr>
          <w:rStyle w:val="CharSectno"/>
        </w:rPr>
        <w:t>12</w:t>
      </w:r>
      <w:r>
        <w:t>.</w:t>
      </w:r>
      <w:r>
        <w:tab/>
        <w:t>Transitional provision: operation of r. 3</w:t>
      </w:r>
      <w:bookmarkEnd w:id="22"/>
      <w:bookmarkEnd w:id="23"/>
    </w:p>
    <w:p>
      <w:pPr>
        <w:pStyle w:val="Subsection"/>
      </w:pPr>
      <w:r>
        <w:tab/>
        <w:t>(1)</w:t>
      </w:r>
      <w:r>
        <w:tab/>
        <w:t xml:space="preserve">In this regulation — </w:t>
      </w:r>
    </w:p>
    <w:p>
      <w:pPr>
        <w:pStyle w:val="Defstart"/>
      </w:pPr>
      <w:r>
        <w:tab/>
      </w:r>
      <w:r>
        <w:rPr>
          <w:rStyle w:val="CharDefText"/>
        </w:rPr>
        <w:t>regulation 3</w:t>
      </w:r>
      <w:r>
        <w:t xml:space="preserve"> means regulation 3 as in force immediately before the commencement of the </w:t>
      </w:r>
      <w:r>
        <w:rPr>
          <w:i/>
        </w:rPr>
        <w:t>Petroleum and Energy Legislation Amendment Act 2010</w:t>
      </w:r>
      <w:r>
        <w:t xml:space="preserve"> section 149.</w:t>
      </w:r>
    </w:p>
    <w:p>
      <w:pPr>
        <w:pStyle w:val="Subsection"/>
      </w:pPr>
      <w:r>
        <w:tab/>
        <w:t>(2)</w:t>
      </w:r>
      <w:r>
        <w:tab/>
        <w:t>This regulation is made for the purposes of Schedule 3 clause 4(4) of the Act.</w:t>
      </w:r>
    </w:p>
    <w:p>
      <w:pPr>
        <w:pStyle w:val="Subsection"/>
      </w:pPr>
      <w:r>
        <w:tab/>
        <w:t>(3)</w:t>
      </w:r>
      <w:r>
        <w:tab/>
        <w:t>Regulation 3 as continued in force under Schedule 3 clause 4(3)(b) of the Act is, for the purposes of its application under that paragraph, deleted.</w:t>
      </w:r>
    </w:p>
    <w:p>
      <w:pPr>
        <w:pStyle w:val="Footnotesection"/>
      </w:pPr>
      <w:r>
        <w:tab/>
        <w:t>[Regulation 12 inserted: Gazette 30 Jun 2015 p. 2345.]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24" w:name="_Toc74923172"/>
      <w:bookmarkStart w:id="25" w:name="_Toc74923283"/>
      <w:bookmarkStart w:id="26" w:name="_Toc75164829"/>
      <w:bookmarkStart w:id="27" w:name="_Toc44062731"/>
      <w:bookmarkStart w:id="28" w:name="_Toc44317416"/>
      <w:bookmarkStart w:id="29" w:name="_Toc44056398"/>
      <w:r>
        <w:rPr>
          <w:rStyle w:val="CharSchNo"/>
        </w:rPr>
        <w:t>Schedule 1</w:t>
      </w:r>
      <w:r>
        <w:t> — </w:t>
      </w:r>
      <w:r>
        <w:rPr>
          <w:rStyle w:val="CharSchText"/>
        </w:rPr>
        <w:t>Prescribed fees</w:t>
      </w:r>
      <w:bookmarkEnd w:id="24"/>
      <w:bookmarkEnd w:id="25"/>
      <w:bookmarkEnd w:id="26"/>
      <w:bookmarkEnd w:id="27"/>
      <w:bookmarkEnd w:id="28"/>
    </w:p>
    <w:p>
      <w:pPr>
        <w:pStyle w:val="yShoulderClause"/>
      </w:pPr>
      <w:r>
        <w:t>[r. 3(1)]</w:t>
      </w:r>
    </w:p>
    <w:p>
      <w:pPr>
        <w:pStyle w:val="yFootnoteheading"/>
        <w:spacing w:after="120"/>
      </w:pPr>
      <w:r>
        <w:tab/>
        <w:t>[Heading inserted: SL 2020/93 r. 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trPr>
          <w:tblHeader/>
          <w:jc w:val="center"/>
        </w:trPr>
        <w:tc>
          <w:tcPr>
            <w:tcW w:w="1276" w:type="dxa"/>
            <w:noWrap/>
          </w:tcPr>
          <w:p>
            <w:pPr>
              <w:pStyle w:val="yTableNAm"/>
              <w:jc w:val="center"/>
              <w:rPr>
                <w:b/>
                <w:szCs w:val="22"/>
              </w:rPr>
            </w:pPr>
            <w:r>
              <w:rPr>
                <w:b/>
                <w:szCs w:val="22"/>
              </w:rPr>
              <w:t>Column 1</w:t>
            </w:r>
            <w:r>
              <w:rPr>
                <w:b/>
                <w:szCs w:val="22"/>
              </w:rPr>
              <w:br/>
              <w:t>Item</w:t>
            </w:r>
          </w:p>
        </w:tc>
        <w:tc>
          <w:tcPr>
            <w:tcW w:w="2126" w:type="dxa"/>
            <w:noWrap/>
          </w:tcPr>
          <w:p>
            <w:pPr>
              <w:pStyle w:val="yTableNAm"/>
              <w:jc w:val="center"/>
              <w:rPr>
                <w:b/>
                <w:szCs w:val="22"/>
              </w:rPr>
            </w:pPr>
            <w:r>
              <w:rPr>
                <w:b/>
                <w:szCs w:val="22"/>
              </w:rPr>
              <w:t>Column 2</w:t>
            </w:r>
            <w:r>
              <w:rPr>
                <w:b/>
                <w:szCs w:val="22"/>
              </w:rPr>
              <w:br/>
              <w:t>Provision of Act</w:t>
            </w:r>
          </w:p>
        </w:tc>
        <w:tc>
          <w:tcPr>
            <w:tcW w:w="2835" w:type="dxa"/>
            <w:noWrap/>
          </w:tcPr>
          <w:p>
            <w:pPr>
              <w:pStyle w:val="yTableNAm"/>
              <w:jc w:val="center"/>
              <w:rPr>
                <w:b/>
                <w:szCs w:val="22"/>
              </w:rPr>
            </w:pPr>
            <w:r>
              <w:rPr>
                <w:b/>
                <w:szCs w:val="22"/>
              </w:rPr>
              <w:t>Column 3</w:t>
            </w:r>
            <w:r>
              <w:rPr>
                <w:b/>
                <w:szCs w:val="22"/>
              </w:rPr>
              <w:br/>
              <w:t>Amount of prescribed fee</w:t>
            </w:r>
            <w:r>
              <w:rPr>
                <w:b/>
                <w:szCs w:val="22"/>
              </w:rPr>
              <w:br/>
              <w:t>($)</w:t>
            </w:r>
          </w:p>
        </w:tc>
      </w:tr>
      <w:tr>
        <w:trPr>
          <w:jc w:val="center"/>
        </w:trPr>
        <w:tc>
          <w:tcPr>
            <w:tcW w:w="1276" w:type="dxa"/>
            <w:noWrap/>
          </w:tcPr>
          <w:p>
            <w:pPr>
              <w:pStyle w:val="yTableNAm"/>
              <w:jc w:val="center"/>
              <w:rPr>
                <w:szCs w:val="22"/>
              </w:rPr>
            </w:pPr>
            <w:r>
              <w:rPr>
                <w:szCs w:val="22"/>
              </w:rPr>
              <w:t>1.</w:t>
            </w:r>
          </w:p>
        </w:tc>
        <w:tc>
          <w:tcPr>
            <w:tcW w:w="2126" w:type="dxa"/>
            <w:noWrap/>
          </w:tcPr>
          <w:p>
            <w:pPr>
              <w:pStyle w:val="yTableNAm"/>
              <w:rPr>
                <w:szCs w:val="22"/>
              </w:rPr>
            </w:pPr>
            <w:r>
              <w:rPr>
                <w:szCs w:val="22"/>
              </w:rPr>
              <w:t>s. 21(1)(f)</w:t>
            </w:r>
          </w:p>
        </w:tc>
        <w:tc>
          <w:tcPr>
            <w:tcW w:w="2835" w:type="dxa"/>
            <w:noWrap/>
          </w:tcPr>
          <w:p>
            <w:pPr>
              <w:pStyle w:val="yTableNAm"/>
              <w:jc w:val="center"/>
              <w:rPr>
                <w:szCs w:val="22"/>
              </w:rPr>
            </w:pPr>
            <w:r>
              <w:rPr>
                <w:szCs w:val="22"/>
              </w:rPr>
              <w:t>7 190.00</w:t>
            </w:r>
          </w:p>
        </w:tc>
      </w:tr>
      <w:tr>
        <w:trPr>
          <w:jc w:val="center"/>
        </w:trPr>
        <w:tc>
          <w:tcPr>
            <w:tcW w:w="1276" w:type="dxa"/>
            <w:noWrap/>
          </w:tcPr>
          <w:p>
            <w:pPr>
              <w:pStyle w:val="yTableNAm"/>
              <w:jc w:val="center"/>
              <w:rPr>
                <w:szCs w:val="22"/>
              </w:rPr>
            </w:pPr>
            <w:r>
              <w:rPr>
                <w:szCs w:val="22"/>
              </w:rPr>
              <w:t>2.</w:t>
            </w:r>
          </w:p>
        </w:tc>
        <w:tc>
          <w:tcPr>
            <w:tcW w:w="2126" w:type="dxa"/>
            <w:noWrap/>
          </w:tcPr>
          <w:p>
            <w:pPr>
              <w:pStyle w:val="yTableNAm"/>
              <w:rPr>
                <w:szCs w:val="22"/>
              </w:rPr>
            </w:pPr>
            <w:r>
              <w:rPr>
                <w:szCs w:val="22"/>
              </w:rPr>
              <w:t>s. 24(1)(a)</w:t>
            </w:r>
          </w:p>
        </w:tc>
        <w:tc>
          <w:tcPr>
            <w:tcW w:w="2835" w:type="dxa"/>
            <w:noWrap/>
          </w:tcPr>
          <w:p>
            <w:pPr>
              <w:pStyle w:val="yTableNAm"/>
              <w:jc w:val="center"/>
              <w:rPr>
                <w:szCs w:val="22"/>
              </w:rPr>
            </w:pPr>
            <w:r>
              <w:rPr>
                <w:szCs w:val="22"/>
              </w:rPr>
              <w:t>7 190.00</w:t>
            </w:r>
          </w:p>
        </w:tc>
      </w:tr>
      <w:tr>
        <w:trPr>
          <w:jc w:val="center"/>
        </w:trPr>
        <w:tc>
          <w:tcPr>
            <w:tcW w:w="1276" w:type="dxa"/>
            <w:noWrap/>
          </w:tcPr>
          <w:p>
            <w:pPr>
              <w:pStyle w:val="yTableNAm"/>
              <w:jc w:val="center"/>
              <w:rPr>
                <w:szCs w:val="22"/>
              </w:rPr>
            </w:pPr>
            <w:r>
              <w:rPr>
                <w:szCs w:val="22"/>
              </w:rPr>
              <w:t>3.</w:t>
            </w:r>
          </w:p>
        </w:tc>
        <w:tc>
          <w:tcPr>
            <w:tcW w:w="2126" w:type="dxa"/>
            <w:noWrap/>
          </w:tcPr>
          <w:p>
            <w:pPr>
              <w:pStyle w:val="yTableNAm"/>
              <w:rPr>
                <w:szCs w:val="22"/>
              </w:rPr>
            </w:pPr>
            <w:r>
              <w:rPr>
                <w:szCs w:val="22"/>
              </w:rPr>
              <w:t>s. 30(2)(c)</w:t>
            </w:r>
          </w:p>
        </w:tc>
        <w:tc>
          <w:tcPr>
            <w:tcW w:w="2835" w:type="dxa"/>
            <w:noWrap/>
          </w:tcPr>
          <w:p>
            <w:pPr>
              <w:pStyle w:val="yTableNAm"/>
              <w:jc w:val="center"/>
              <w:rPr>
                <w:szCs w:val="22"/>
              </w:rPr>
            </w:pPr>
            <w:r>
              <w:rPr>
                <w:szCs w:val="22"/>
              </w:rPr>
              <w:t>7 190.00</w:t>
            </w:r>
          </w:p>
        </w:tc>
      </w:tr>
      <w:tr>
        <w:trPr>
          <w:jc w:val="center"/>
        </w:trPr>
        <w:tc>
          <w:tcPr>
            <w:tcW w:w="1276" w:type="dxa"/>
            <w:noWrap/>
          </w:tcPr>
          <w:p>
            <w:pPr>
              <w:pStyle w:val="yTableNAm"/>
              <w:jc w:val="center"/>
              <w:rPr>
                <w:szCs w:val="22"/>
              </w:rPr>
            </w:pPr>
            <w:r>
              <w:rPr>
                <w:szCs w:val="22"/>
              </w:rPr>
              <w:t>4.</w:t>
            </w:r>
          </w:p>
        </w:tc>
        <w:tc>
          <w:tcPr>
            <w:tcW w:w="2126" w:type="dxa"/>
            <w:noWrap/>
          </w:tcPr>
          <w:p>
            <w:pPr>
              <w:pStyle w:val="yTableNAm"/>
              <w:rPr>
                <w:szCs w:val="22"/>
              </w:rPr>
            </w:pPr>
            <w:r>
              <w:rPr>
                <w:szCs w:val="22"/>
              </w:rPr>
              <w:t>s. 38A(2)(e)</w:t>
            </w:r>
          </w:p>
        </w:tc>
        <w:tc>
          <w:tcPr>
            <w:tcW w:w="2835" w:type="dxa"/>
            <w:noWrap/>
          </w:tcPr>
          <w:p>
            <w:pPr>
              <w:pStyle w:val="yTableNAm"/>
              <w:jc w:val="center"/>
              <w:rPr>
                <w:szCs w:val="22"/>
              </w:rPr>
            </w:pPr>
            <w:r>
              <w:rPr>
                <w:szCs w:val="22"/>
              </w:rPr>
              <w:t>7 190.00</w:t>
            </w:r>
          </w:p>
        </w:tc>
      </w:tr>
      <w:tr>
        <w:trPr>
          <w:jc w:val="center"/>
        </w:trPr>
        <w:tc>
          <w:tcPr>
            <w:tcW w:w="1276" w:type="dxa"/>
            <w:noWrap/>
          </w:tcPr>
          <w:p>
            <w:pPr>
              <w:pStyle w:val="yTableNAm"/>
              <w:jc w:val="center"/>
              <w:rPr>
                <w:szCs w:val="22"/>
              </w:rPr>
            </w:pPr>
            <w:r>
              <w:rPr>
                <w:szCs w:val="22"/>
              </w:rPr>
              <w:t>5.</w:t>
            </w:r>
          </w:p>
        </w:tc>
        <w:tc>
          <w:tcPr>
            <w:tcW w:w="2126" w:type="dxa"/>
            <w:noWrap/>
          </w:tcPr>
          <w:p>
            <w:pPr>
              <w:pStyle w:val="yTableNAm"/>
              <w:rPr>
                <w:szCs w:val="22"/>
              </w:rPr>
            </w:pPr>
            <w:r>
              <w:rPr>
                <w:szCs w:val="22"/>
              </w:rPr>
              <w:t>s. 38CA(2)(d)</w:t>
            </w:r>
          </w:p>
        </w:tc>
        <w:tc>
          <w:tcPr>
            <w:tcW w:w="2835" w:type="dxa"/>
            <w:noWrap/>
          </w:tcPr>
          <w:p>
            <w:pPr>
              <w:pStyle w:val="yTableNAm"/>
              <w:jc w:val="center"/>
              <w:rPr>
                <w:szCs w:val="22"/>
              </w:rPr>
            </w:pPr>
            <w:r>
              <w:rPr>
                <w:szCs w:val="22"/>
              </w:rPr>
              <w:t>7 190.00</w:t>
            </w:r>
          </w:p>
        </w:tc>
      </w:tr>
      <w:tr>
        <w:trPr>
          <w:jc w:val="center"/>
        </w:trPr>
        <w:tc>
          <w:tcPr>
            <w:tcW w:w="1276" w:type="dxa"/>
            <w:noWrap/>
          </w:tcPr>
          <w:p>
            <w:pPr>
              <w:pStyle w:val="yTableNAm"/>
              <w:jc w:val="center"/>
              <w:rPr>
                <w:szCs w:val="22"/>
              </w:rPr>
            </w:pPr>
            <w:r>
              <w:rPr>
                <w:szCs w:val="22"/>
              </w:rPr>
              <w:t>6.</w:t>
            </w:r>
          </w:p>
        </w:tc>
        <w:tc>
          <w:tcPr>
            <w:tcW w:w="2126" w:type="dxa"/>
            <w:noWrap/>
          </w:tcPr>
          <w:p>
            <w:pPr>
              <w:pStyle w:val="yTableNAm"/>
              <w:rPr>
                <w:szCs w:val="22"/>
              </w:rPr>
            </w:pPr>
            <w:r>
              <w:rPr>
                <w:szCs w:val="22"/>
              </w:rPr>
              <w:t>s. 38F(2)(d)</w:t>
            </w:r>
          </w:p>
        </w:tc>
        <w:tc>
          <w:tcPr>
            <w:tcW w:w="2835" w:type="dxa"/>
            <w:noWrap/>
          </w:tcPr>
          <w:p>
            <w:pPr>
              <w:pStyle w:val="yTableNAm"/>
              <w:jc w:val="center"/>
              <w:rPr>
                <w:szCs w:val="22"/>
              </w:rPr>
            </w:pPr>
            <w:r>
              <w:rPr>
                <w:szCs w:val="22"/>
              </w:rPr>
              <w:t>7 190.00</w:t>
            </w:r>
          </w:p>
        </w:tc>
      </w:tr>
      <w:tr>
        <w:trPr>
          <w:jc w:val="center"/>
        </w:trPr>
        <w:tc>
          <w:tcPr>
            <w:tcW w:w="1276" w:type="dxa"/>
            <w:noWrap/>
          </w:tcPr>
          <w:p>
            <w:pPr>
              <w:pStyle w:val="yTableNAm"/>
              <w:jc w:val="center"/>
              <w:rPr>
                <w:szCs w:val="22"/>
              </w:rPr>
            </w:pPr>
            <w:r>
              <w:rPr>
                <w:szCs w:val="22"/>
              </w:rPr>
              <w:t>7.</w:t>
            </w:r>
          </w:p>
        </w:tc>
        <w:tc>
          <w:tcPr>
            <w:tcW w:w="2126" w:type="dxa"/>
            <w:noWrap/>
          </w:tcPr>
          <w:p>
            <w:pPr>
              <w:pStyle w:val="yTableNAm"/>
              <w:rPr>
                <w:szCs w:val="22"/>
              </w:rPr>
            </w:pPr>
            <w:r>
              <w:rPr>
                <w:szCs w:val="22"/>
              </w:rPr>
              <w:t>s. 41(1)(e)</w:t>
            </w:r>
          </w:p>
        </w:tc>
        <w:tc>
          <w:tcPr>
            <w:tcW w:w="2835" w:type="dxa"/>
            <w:noWrap/>
          </w:tcPr>
          <w:p>
            <w:pPr>
              <w:pStyle w:val="yTableNAm"/>
              <w:jc w:val="center"/>
              <w:rPr>
                <w:szCs w:val="22"/>
              </w:rPr>
            </w:pPr>
            <w:r>
              <w:rPr>
                <w:szCs w:val="22"/>
              </w:rPr>
              <w:t>7 190.00</w:t>
            </w:r>
          </w:p>
        </w:tc>
      </w:tr>
      <w:tr>
        <w:trPr>
          <w:jc w:val="center"/>
        </w:trPr>
        <w:tc>
          <w:tcPr>
            <w:tcW w:w="1276" w:type="dxa"/>
            <w:noWrap/>
          </w:tcPr>
          <w:p>
            <w:pPr>
              <w:pStyle w:val="yTableNAm"/>
              <w:jc w:val="center"/>
              <w:rPr>
                <w:szCs w:val="22"/>
              </w:rPr>
            </w:pPr>
            <w:r>
              <w:rPr>
                <w:szCs w:val="22"/>
              </w:rPr>
              <w:t>8.</w:t>
            </w:r>
          </w:p>
        </w:tc>
        <w:tc>
          <w:tcPr>
            <w:tcW w:w="2126" w:type="dxa"/>
            <w:noWrap/>
          </w:tcPr>
          <w:p>
            <w:pPr>
              <w:pStyle w:val="yTableNAm"/>
              <w:rPr>
                <w:szCs w:val="22"/>
              </w:rPr>
            </w:pPr>
            <w:r>
              <w:rPr>
                <w:szCs w:val="22"/>
              </w:rPr>
              <w:t>s. 48(1)(a)</w:t>
            </w:r>
          </w:p>
        </w:tc>
        <w:tc>
          <w:tcPr>
            <w:tcW w:w="2835" w:type="dxa"/>
            <w:noWrap/>
          </w:tcPr>
          <w:p>
            <w:pPr>
              <w:pStyle w:val="yTableNAm"/>
              <w:jc w:val="center"/>
              <w:rPr>
                <w:szCs w:val="22"/>
              </w:rPr>
            </w:pPr>
            <w:r>
              <w:rPr>
                <w:szCs w:val="22"/>
              </w:rPr>
              <w:t>7 190.00</w:t>
            </w:r>
          </w:p>
        </w:tc>
      </w:tr>
      <w:tr>
        <w:trPr>
          <w:jc w:val="center"/>
        </w:trPr>
        <w:tc>
          <w:tcPr>
            <w:tcW w:w="1276" w:type="dxa"/>
            <w:noWrap/>
          </w:tcPr>
          <w:p>
            <w:pPr>
              <w:pStyle w:val="yTableNAm"/>
              <w:jc w:val="center"/>
              <w:rPr>
                <w:szCs w:val="22"/>
              </w:rPr>
            </w:pPr>
            <w:r>
              <w:rPr>
                <w:szCs w:val="22"/>
              </w:rPr>
              <w:t>9.</w:t>
            </w:r>
          </w:p>
        </w:tc>
        <w:tc>
          <w:tcPr>
            <w:tcW w:w="2126" w:type="dxa"/>
            <w:noWrap/>
          </w:tcPr>
          <w:p>
            <w:pPr>
              <w:pStyle w:val="yTableNAm"/>
              <w:rPr>
                <w:szCs w:val="22"/>
              </w:rPr>
            </w:pPr>
            <w:r>
              <w:rPr>
                <w:szCs w:val="22"/>
              </w:rPr>
              <w:t>s. 51(2)(e)</w:t>
            </w:r>
          </w:p>
        </w:tc>
        <w:tc>
          <w:tcPr>
            <w:tcW w:w="2835" w:type="dxa"/>
            <w:noWrap/>
          </w:tcPr>
          <w:p>
            <w:pPr>
              <w:pStyle w:val="yTableNAm"/>
              <w:jc w:val="center"/>
              <w:rPr>
                <w:szCs w:val="22"/>
              </w:rPr>
            </w:pPr>
            <w:r>
              <w:rPr>
                <w:szCs w:val="22"/>
              </w:rPr>
              <w:t>7 190.00</w:t>
            </w:r>
          </w:p>
        </w:tc>
      </w:tr>
      <w:tr>
        <w:trPr>
          <w:jc w:val="center"/>
        </w:trPr>
        <w:tc>
          <w:tcPr>
            <w:tcW w:w="1276" w:type="dxa"/>
            <w:noWrap/>
          </w:tcPr>
          <w:p>
            <w:pPr>
              <w:pStyle w:val="yTableNAm"/>
              <w:jc w:val="center"/>
              <w:rPr>
                <w:szCs w:val="22"/>
              </w:rPr>
            </w:pPr>
            <w:r>
              <w:rPr>
                <w:szCs w:val="22"/>
              </w:rPr>
              <w:t>10.</w:t>
            </w:r>
          </w:p>
        </w:tc>
        <w:tc>
          <w:tcPr>
            <w:tcW w:w="2126" w:type="dxa"/>
            <w:noWrap/>
          </w:tcPr>
          <w:p>
            <w:pPr>
              <w:pStyle w:val="yTableNAm"/>
              <w:rPr>
                <w:szCs w:val="22"/>
              </w:rPr>
            </w:pPr>
            <w:r>
              <w:rPr>
                <w:szCs w:val="22"/>
              </w:rPr>
              <w:t>s. 54(2)(d)</w:t>
            </w:r>
          </w:p>
        </w:tc>
        <w:tc>
          <w:tcPr>
            <w:tcW w:w="2835" w:type="dxa"/>
            <w:noWrap/>
          </w:tcPr>
          <w:p>
            <w:pPr>
              <w:pStyle w:val="yTableNAm"/>
              <w:jc w:val="center"/>
              <w:rPr>
                <w:szCs w:val="22"/>
              </w:rPr>
            </w:pPr>
            <w:r>
              <w:rPr>
                <w:szCs w:val="22"/>
              </w:rPr>
              <w:t>7 190.00</w:t>
            </w:r>
          </w:p>
        </w:tc>
      </w:tr>
      <w:tr>
        <w:trPr>
          <w:jc w:val="center"/>
        </w:trPr>
        <w:tc>
          <w:tcPr>
            <w:tcW w:w="1276" w:type="dxa"/>
            <w:noWrap/>
          </w:tcPr>
          <w:p>
            <w:pPr>
              <w:pStyle w:val="yTableNAm"/>
              <w:jc w:val="center"/>
              <w:rPr>
                <w:szCs w:val="22"/>
              </w:rPr>
            </w:pPr>
            <w:r>
              <w:rPr>
                <w:szCs w:val="22"/>
              </w:rPr>
              <w:t>11.</w:t>
            </w:r>
          </w:p>
        </w:tc>
        <w:tc>
          <w:tcPr>
            <w:tcW w:w="2126" w:type="dxa"/>
            <w:noWrap/>
          </w:tcPr>
          <w:p>
            <w:pPr>
              <w:pStyle w:val="yTableNAm"/>
              <w:rPr>
                <w:szCs w:val="22"/>
              </w:rPr>
            </w:pPr>
            <w:r>
              <w:rPr>
                <w:szCs w:val="22"/>
              </w:rPr>
              <w:t>s. 60B(2)(d)</w:t>
            </w:r>
          </w:p>
        </w:tc>
        <w:tc>
          <w:tcPr>
            <w:tcW w:w="2835" w:type="dxa"/>
            <w:noWrap/>
          </w:tcPr>
          <w:p>
            <w:pPr>
              <w:pStyle w:val="yTableNAm"/>
              <w:jc w:val="center"/>
              <w:rPr>
                <w:szCs w:val="22"/>
              </w:rPr>
            </w:pPr>
            <w:r>
              <w:rPr>
                <w:szCs w:val="22"/>
              </w:rPr>
              <w:t>7 190.00</w:t>
            </w:r>
          </w:p>
        </w:tc>
      </w:tr>
      <w:tr>
        <w:trPr>
          <w:jc w:val="center"/>
        </w:trPr>
        <w:tc>
          <w:tcPr>
            <w:tcW w:w="1276" w:type="dxa"/>
            <w:noWrap/>
          </w:tcPr>
          <w:p>
            <w:pPr>
              <w:pStyle w:val="yTableNAm"/>
              <w:jc w:val="center"/>
              <w:rPr>
                <w:szCs w:val="22"/>
              </w:rPr>
            </w:pPr>
            <w:r>
              <w:rPr>
                <w:szCs w:val="22"/>
              </w:rPr>
              <w:t>12.</w:t>
            </w:r>
          </w:p>
        </w:tc>
        <w:tc>
          <w:tcPr>
            <w:tcW w:w="2126" w:type="dxa"/>
            <w:noWrap/>
          </w:tcPr>
          <w:p>
            <w:pPr>
              <w:pStyle w:val="yTableNAm"/>
              <w:rPr>
                <w:szCs w:val="22"/>
              </w:rPr>
            </w:pPr>
            <w:r>
              <w:rPr>
                <w:szCs w:val="22"/>
              </w:rPr>
              <w:t>s. 60J(2)(d)</w:t>
            </w:r>
          </w:p>
        </w:tc>
        <w:tc>
          <w:tcPr>
            <w:tcW w:w="2835" w:type="dxa"/>
            <w:noWrap/>
          </w:tcPr>
          <w:p>
            <w:pPr>
              <w:pStyle w:val="yTableNAm"/>
              <w:jc w:val="center"/>
              <w:rPr>
                <w:szCs w:val="22"/>
              </w:rPr>
            </w:pPr>
            <w:r>
              <w:rPr>
                <w:szCs w:val="22"/>
              </w:rPr>
              <w:t>7 190.00</w:t>
            </w:r>
          </w:p>
        </w:tc>
      </w:tr>
      <w:tr>
        <w:trPr>
          <w:jc w:val="center"/>
        </w:trPr>
        <w:tc>
          <w:tcPr>
            <w:tcW w:w="1276" w:type="dxa"/>
            <w:noWrap/>
          </w:tcPr>
          <w:p>
            <w:pPr>
              <w:pStyle w:val="yTableNAm"/>
              <w:jc w:val="center"/>
              <w:rPr>
                <w:szCs w:val="22"/>
              </w:rPr>
            </w:pPr>
            <w:r>
              <w:rPr>
                <w:szCs w:val="22"/>
              </w:rPr>
              <w:t>13.</w:t>
            </w:r>
          </w:p>
        </w:tc>
        <w:tc>
          <w:tcPr>
            <w:tcW w:w="2126" w:type="dxa"/>
            <w:noWrap/>
          </w:tcPr>
          <w:p>
            <w:pPr>
              <w:pStyle w:val="yTableNAm"/>
              <w:rPr>
                <w:szCs w:val="22"/>
              </w:rPr>
            </w:pPr>
            <w:r>
              <w:rPr>
                <w:szCs w:val="22"/>
              </w:rPr>
              <w:t>s. 64(1)(f)</w:t>
            </w:r>
          </w:p>
        </w:tc>
        <w:tc>
          <w:tcPr>
            <w:tcW w:w="2835" w:type="dxa"/>
            <w:noWrap/>
          </w:tcPr>
          <w:p>
            <w:pPr>
              <w:pStyle w:val="yTableNAm"/>
              <w:jc w:val="center"/>
              <w:rPr>
                <w:szCs w:val="22"/>
              </w:rPr>
            </w:pPr>
            <w:r>
              <w:rPr>
                <w:szCs w:val="22"/>
              </w:rPr>
              <w:t>7 190.00</w:t>
            </w:r>
          </w:p>
        </w:tc>
      </w:tr>
      <w:tr>
        <w:trPr>
          <w:jc w:val="center"/>
        </w:trPr>
        <w:tc>
          <w:tcPr>
            <w:tcW w:w="1276" w:type="dxa"/>
            <w:noWrap/>
          </w:tcPr>
          <w:p>
            <w:pPr>
              <w:pStyle w:val="yTableNAm"/>
              <w:jc w:val="center"/>
              <w:rPr>
                <w:szCs w:val="22"/>
              </w:rPr>
            </w:pPr>
            <w:r>
              <w:rPr>
                <w:szCs w:val="22"/>
              </w:rPr>
              <w:t>14.</w:t>
            </w:r>
          </w:p>
        </w:tc>
        <w:tc>
          <w:tcPr>
            <w:tcW w:w="2126" w:type="dxa"/>
            <w:noWrap/>
          </w:tcPr>
          <w:p>
            <w:pPr>
              <w:pStyle w:val="yTableNAm"/>
              <w:rPr>
                <w:szCs w:val="22"/>
              </w:rPr>
            </w:pPr>
            <w:r>
              <w:rPr>
                <w:szCs w:val="22"/>
              </w:rPr>
              <w:t>s. 71(2)(e)</w:t>
            </w:r>
          </w:p>
        </w:tc>
        <w:tc>
          <w:tcPr>
            <w:tcW w:w="2835" w:type="dxa"/>
            <w:noWrap/>
          </w:tcPr>
          <w:p>
            <w:pPr>
              <w:pStyle w:val="yTableNAm"/>
              <w:jc w:val="center"/>
              <w:rPr>
                <w:szCs w:val="22"/>
              </w:rPr>
            </w:pPr>
            <w:r>
              <w:rPr>
                <w:szCs w:val="22"/>
              </w:rPr>
              <w:t>7 190.00</w:t>
            </w:r>
          </w:p>
        </w:tc>
      </w:tr>
      <w:tr>
        <w:trPr>
          <w:jc w:val="center"/>
        </w:trPr>
        <w:tc>
          <w:tcPr>
            <w:tcW w:w="1276" w:type="dxa"/>
            <w:noWrap/>
          </w:tcPr>
          <w:p>
            <w:pPr>
              <w:pStyle w:val="yTableNAm"/>
              <w:jc w:val="center"/>
              <w:rPr>
                <w:szCs w:val="22"/>
              </w:rPr>
            </w:pPr>
            <w:r>
              <w:rPr>
                <w:szCs w:val="22"/>
              </w:rPr>
              <w:t>15.</w:t>
            </w:r>
          </w:p>
        </w:tc>
        <w:tc>
          <w:tcPr>
            <w:tcW w:w="2126" w:type="dxa"/>
            <w:noWrap/>
          </w:tcPr>
          <w:p>
            <w:pPr>
              <w:pStyle w:val="yTableNAm"/>
              <w:rPr>
                <w:szCs w:val="22"/>
              </w:rPr>
            </w:pPr>
            <w:r>
              <w:rPr>
                <w:szCs w:val="22"/>
              </w:rPr>
              <w:t>s. 79(2)</w:t>
            </w:r>
          </w:p>
        </w:tc>
        <w:tc>
          <w:tcPr>
            <w:tcW w:w="2835" w:type="dxa"/>
            <w:noWrap/>
          </w:tcPr>
          <w:p>
            <w:pPr>
              <w:pStyle w:val="yTableNAm"/>
              <w:jc w:val="center"/>
              <w:rPr>
                <w:szCs w:val="22"/>
              </w:rPr>
            </w:pPr>
            <w:r>
              <w:rPr>
                <w:szCs w:val="22"/>
              </w:rPr>
              <w:t>142.00</w:t>
            </w:r>
          </w:p>
        </w:tc>
      </w:tr>
      <w:tr>
        <w:trPr>
          <w:jc w:val="center"/>
        </w:trPr>
        <w:tc>
          <w:tcPr>
            <w:tcW w:w="1276" w:type="dxa"/>
            <w:noWrap/>
          </w:tcPr>
          <w:p>
            <w:pPr>
              <w:pStyle w:val="yTableNAm"/>
              <w:jc w:val="center"/>
              <w:rPr>
                <w:szCs w:val="22"/>
              </w:rPr>
            </w:pPr>
            <w:r>
              <w:rPr>
                <w:szCs w:val="22"/>
              </w:rPr>
              <w:t>16.</w:t>
            </w:r>
          </w:p>
        </w:tc>
        <w:tc>
          <w:tcPr>
            <w:tcW w:w="2126" w:type="dxa"/>
            <w:noWrap/>
          </w:tcPr>
          <w:p>
            <w:pPr>
              <w:pStyle w:val="yTableNAm"/>
              <w:rPr>
                <w:szCs w:val="22"/>
              </w:rPr>
            </w:pPr>
            <w:r>
              <w:rPr>
                <w:szCs w:val="22"/>
              </w:rPr>
              <w:t>s. 79(3)(b)</w:t>
            </w:r>
          </w:p>
        </w:tc>
        <w:tc>
          <w:tcPr>
            <w:tcW w:w="2835" w:type="dxa"/>
            <w:noWrap/>
          </w:tcPr>
          <w:p>
            <w:pPr>
              <w:pStyle w:val="yTableNAm"/>
              <w:jc w:val="center"/>
              <w:rPr>
                <w:szCs w:val="22"/>
              </w:rPr>
            </w:pPr>
            <w:r>
              <w:rPr>
                <w:szCs w:val="22"/>
              </w:rPr>
              <w:t>142.00</w:t>
            </w:r>
          </w:p>
        </w:tc>
      </w:tr>
      <w:tr>
        <w:trPr>
          <w:jc w:val="center"/>
        </w:trPr>
        <w:tc>
          <w:tcPr>
            <w:tcW w:w="1276" w:type="dxa"/>
            <w:noWrap/>
          </w:tcPr>
          <w:p>
            <w:pPr>
              <w:pStyle w:val="yTableNAm"/>
              <w:jc w:val="center"/>
              <w:rPr>
                <w:szCs w:val="22"/>
              </w:rPr>
            </w:pPr>
            <w:r>
              <w:rPr>
                <w:szCs w:val="22"/>
              </w:rPr>
              <w:t>17.</w:t>
            </w:r>
          </w:p>
        </w:tc>
        <w:tc>
          <w:tcPr>
            <w:tcW w:w="2126" w:type="dxa"/>
            <w:noWrap/>
          </w:tcPr>
          <w:p>
            <w:pPr>
              <w:pStyle w:val="yTableNAm"/>
              <w:rPr>
                <w:szCs w:val="22"/>
              </w:rPr>
            </w:pPr>
            <w:r>
              <w:rPr>
                <w:szCs w:val="22"/>
              </w:rPr>
              <w:t>s. 86(1)</w:t>
            </w:r>
          </w:p>
        </w:tc>
        <w:tc>
          <w:tcPr>
            <w:tcW w:w="2835" w:type="dxa"/>
            <w:noWrap/>
          </w:tcPr>
          <w:p>
            <w:pPr>
              <w:pStyle w:val="yTableNAm"/>
              <w:jc w:val="center"/>
              <w:rPr>
                <w:szCs w:val="22"/>
              </w:rPr>
            </w:pPr>
            <w:r>
              <w:rPr>
                <w:szCs w:val="22"/>
              </w:rPr>
              <w:t>142.00</w:t>
            </w:r>
          </w:p>
        </w:tc>
      </w:tr>
      <w:tr>
        <w:trPr>
          <w:jc w:val="center"/>
        </w:trPr>
        <w:tc>
          <w:tcPr>
            <w:tcW w:w="1276" w:type="dxa"/>
            <w:noWrap/>
          </w:tcPr>
          <w:p>
            <w:pPr>
              <w:pStyle w:val="yTableNAm"/>
              <w:jc w:val="center"/>
              <w:rPr>
                <w:szCs w:val="22"/>
              </w:rPr>
            </w:pPr>
            <w:r>
              <w:rPr>
                <w:szCs w:val="22"/>
              </w:rPr>
              <w:t>18.</w:t>
            </w:r>
          </w:p>
        </w:tc>
        <w:tc>
          <w:tcPr>
            <w:tcW w:w="2126" w:type="dxa"/>
            <w:noWrap/>
          </w:tcPr>
          <w:p>
            <w:pPr>
              <w:pStyle w:val="yTableNAm"/>
              <w:rPr>
                <w:szCs w:val="22"/>
              </w:rPr>
            </w:pPr>
            <w:r>
              <w:rPr>
                <w:szCs w:val="22"/>
              </w:rPr>
              <w:t>s. 87(3)</w:t>
            </w:r>
          </w:p>
        </w:tc>
        <w:tc>
          <w:tcPr>
            <w:tcW w:w="2835" w:type="dxa"/>
            <w:noWrap/>
          </w:tcPr>
          <w:p>
            <w:pPr>
              <w:pStyle w:val="yTableNAm"/>
              <w:jc w:val="center"/>
              <w:rPr>
                <w:szCs w:val="22"/>
              </w:rPr>
            </w:pPr>
            <w:r>
              <w:rPr>
                <w:szCs w:val="22"/>
              </w:rPr>
              <w:t>142.00</w:t>
            </w:r>
          </w:p>
        </w:tc>
      </w:tr>
      <w:tr>
        <w:trPr>
          <w:jc w:val="center"/>
        </w:trPr>
        <w:tc>
          <w:tcPr>
            <w:tcW w:w="1276" w:type="dxa"/>
            <w:noWrap/>
          </w:tcPr>
          <w:p>
            <w:pPr>
              <w:pStyle w:val="yTableNAm"/>
              <w:jc w:val="center"/>
              <w:rPr>
                <w:szCs w:val="22"/>
              </w:rPr>
            </w:pPr>
            <w:r>
              <w:rPr>
                <w:szCs w:val="22"/>
              </w:rPr>
              <w:t>19.</w:t>
            </w:r>
          </w:p>
        </w:tc>
        <w:tc>
          <w:tcPr>
            <w:tcW w:w="2126" w:type="dxa"/>
            <w:noWrap/>
          </w:tcPr>
          <w:p>
            <w:pPr>
              <w:pStyle w:val="yTableNAm"/>
              <w:rPr>
                <w:szCs w:val="22"/>
              </w:rPr>
            </w:pPr>
            <w:r>
              <w:rPr>
                <w:szCs w:val="22"/>
              </w:rPr>
              <w:t>s. 111(2)(d)</w:t>
            </w:r>
          </w:p>
        </w:tc>
        <w:tc>
          <w:tcPr>
            <w:tcW w:w="2835" w:type="dxa"/>
            <w:noWrap/>
          </w:tcPr>
          <w:p>
            <w:pPr>
              <w:pStyle w:val="yTableNAm"/>
              <w:jc w:val="center"/>
              <w:rPr>
                <w:szCs w:val="22"/>
              </w:rPr>
            </w:pPr>
            <w:r>
              <w:rPr>
                <w:szCs w:val="22"/>
              </w:rPr>
              <w:t>7 190.00</w:t>
            </w:r>
          </w:p>
        </w:tc>
      </w:tr>
      <w:tr>
        <w:trPr>
          <w:jc w:val="center"/>
        </w:trPr>
        <w:tc>
          <w:tcPr>
            <w:tcW w:w="1276" w:type="dxa"/>
            <w:noWrap/>
          </w:tcPr>
          <w:p>
            <w:pPr>
              <w:pStyle w:val="yTableNAm"/>
              <w:jc w:val="center"/>
              <w:rPr>
                <w:szCs w:val="22"/>
              </w:rPr>
            </w:pPr>
            <w:r>
              <w:rPr>
                <w:szCs w:val="22"/>
              </w:rPr>
              <w:t>20.</w:t>
            </w:r>
          </w:p>
        </w:tc>
        <w:tc>
          <w:tcPr>
            <w:tcW w:w="2126" w:type="dxa"/>
            <w:noWrap/>
          </w:tcPr>
          <w:p>
            <w:pPr>
              <w:pStyle w:val="yTableNAm"/>
              <w:rPr>
                <w:szCs w:val="22"/>
              </w:rPr>
            </w:pPr>
            <w:r>
              <w:rPr>
                <w:szCs w:val="22"/>
              </w:rPr>
              <w:t>s. 141</w:t>
            </w:r>
          </w:p>
        </w:tc>
        <w:tc>
          <w:tcPr>
            <w:tcW w:w="2835" w:type="dxa"/>
            <w:noWrap/>
          </w:tcPr>
          <w:p>
            <w:pPr>
              <w:pStyle w:val="yTableNAm"/>
              <w:jc w:val="center"/>
              <w:rPr>
                <w:szCs w:val="22"/>
              </w:rPr>
            </w:pPr>
            <w:r>
              <w:rPr>
                <w:szCs w:val="22"/>
              </w:rPr>
              <w:t>228.00</w:t>
            </w:r>
          </w:p>
        </w:tc>
      </w:tr>
    </w:tbl>
    <w:p>
      <w:pPr>
        <w:pStyle w:val="yFootnotesection"/>
      </w:pPr>
      <w:r>
        <w:tab/>
        <w:t>[Schedule 1 inserted: SL 2020/93 r. 26.]</w:t>
      </w:r>
    </w:p>
    <w:bookmarkEnd w:id="29"/>
    <w:p>
      <w:pPr>
        <w:pStyle w:val="yFootnotesection"/>
      </w:pP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31" w:name="_Toc74923173"/>
      <w:bookmarkStart w:id="32" w:name="_Toc74923284"/>
      <w:bookmarkStart w:id="33" w:name="_Toc75164830"/>
      <w:bookmarkStart w:id="34" w:name="_Toc44056399"/>
      <w:bookmarkStart w:id="35" w:name="_Toc44062732"/>
      <w:bookmarkStart w:id="36" w:name="_Toc44317417"/>
      <w:r>
        <w:rPr>
          <w:rStyle w:val="CharSchNo"/>
        </w:rPr>
        <w:t>Schedule 2</w:t>
      </w:r>
      <w:bookmarkEnd w:id="31"/>
      <w:bookmarkEnd w:id="32"/>
      <w:bookmarkEnd w:id="33"/>
      <w:bookmarkEnd w:id="34"/>
      <w:bookmarkEnd w:id="35"/>
      <w:bookmarkEnd w:id="36"/>
    </w:p>
    <w:p>
      <w:pPr>
        <w:pStyle w:val="yShoulderClause"/>
      </w:pPr>
      <w:r>
        <w:t>[Regulation 4]</w:t>
      </w:r>
    </w:p>
    <w:p>
      <w:pPr>
        <w:pStyle w:val="MiscellaneousHeading"/>
        <w:rPr>
          <w:i/>
          <w:snapToGrid w:val="0"/>
          <w:sz w:val="22"/>
        </w:rPr>
      </w:pPr>
      <w:r>
        <w:rPr>
          <w:i/>
          <w:snapToGrid w:val="0"/>
          <w:sz w:val="22"/>
        </w:rPr>
        <w:t>Petroleum (Submerged Lands) Act 1982</w:t>
      </w:r>
    </w:p>
    <w:p>
      <w:pPr>
        <w:pStyle w:val="MiscellaneousHeading"/>
        <w:spacing w:before="60"/>
        <w:rPr>
          <w:i/>
          <w:snapToGrid w:val="0"/>
          <w:sz w:val="22"/>
        </w:rPr>
      </w:pPr>
      <w:r>
        <w:rPr>
          <w:i/>
          <w:snapToGrid w:val="0"/>
          <w:sz w:val="22"/>
        </w:rPr>
        <w:t>Petroleum (Submerged Lands) Regulations 1990</w:t>
      </w:r>
    </w:p>
    <w:p>
      <w:pPr>
        <w:pStyle w:val="MiscellaneousHeading"/>
        <w:rPr>
          <w:b/>
        </w:rPr>
      </w:pPr>
      <w:r>
        <w:rPr>
          <w:rStyle w:val="CharSDivText"/>
          <w:b/>
        </w:rPr>
        <w:t xml:space="preserve">Form of Instrument of Transfer of Title under section 78 of </w:t>
      </w:r>
      <w:r>
        <w:rPr>
          <w:rStyle w:val="CharSDivText"/>
          <w:b/>
          <w:i/>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Gazette 23 Jun 2009 p. 2477.]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1590"/>
        </w:tabs>
        <w:sectPr>
          <w:headerReference w:type="even" r:id="rId25"/>
          <w:pgSz w:w="11907" w:h="16840" w:code="9"/>
          <w:pgMar w:top="2381" w:right="2409" w:bottom="3543" w:left="2409" w:header="720" w:footer="3380" w:gutter="0"/>
          <w:cols w:space="720"/>
          <w:noEndnote/>
          <w:docGrid w:linePitch="326"/>
        </w:sectPr>
      </w:pPr>
    </w:p>
    <w:p>
      <w:pPr>
        <w:pStyle w:val="nHeading2"/>
      </w:pPr>
      <w:bookmarkStart w:id="37" w:name="_Toc74923174"/>
      <w:bookmarkStart w:id="38" w:name="_Toc74923285"/>
      <w:bookmarkStart w:id="39" w:name="_Toc75164831"/>
      <w:bookmarkStart w:id="40" w:name="_Toc44056400"/>
      <w:bookmarkStart w:id="41" w:name="_Toc44062733"/>
      <w:bookmarkStart w:id="42" w:name="_Toc44317418"/>
      <w:r>
        <w:t>Notes</w:t>
      </w:r>
      <w:bookmarkEnd w:id="37"/>
      <w:bookmarkEnd w:id="38"/>
      <w:bookmarkEnd w:id="39"/>
      <w:bookmarkEnd w:id="40"/>
      <w:bookmarkEnd w:id="41"/>
      <w:bookmarkEnd w:id="42"/>
    </w:p>
    <w:p>
      <w:pPr>
        <w:pStyle w:val="nStatement"/>
      </w:pPr>
      <w:r>
        <w:t xml:space="preserve">This is a compilation of the </w:t>
      </w:r>
      <w:r>
        <w:rPr>
          <w:i/>
          <w:noProof/>
        </w:rPr>
        <w:t>Petroleum (Submerged Lands) Regulations</w:t>
      </w:r>
      <w:del w:id="43" w:author="Master Repository Process" w:date="2021-09-11T19:10:00Z">
        <w:r>
          <w:rPr>
            <w:i/>
            <w:noProof/>
          </w:rPr>
          <w:delText> </w:delText>
        </w:r>
      </w:del>
      <w:ins w:id="44" w:author="Master Repository Process" w:date="2021-09-11T19:10:00Z">
        <w:r>
          <w:rPr>
            <w:i/>
            <w:noProof/>
          </w:rPr>
          <w:t xml:space="preserve"> </w:t>
        </w:r>
      </w:ins>
      <w:r>
        <w:rPr>
          <w:i/>
          <w:noProof/>
        </w:rPr>
        <w:t>1990</w:t>
      </w:r>
      <w:r>
        <w:t xml:space="preserve"> and includes amendments made by other written laws. For provisions that have come into operation, and for information about any reprints, see the compilation table.</w:t>
      </w:r>
      <w:ins w:id="45" w:author="Master Repository Process" w:date="2021-09-11T19:10:00Z">
        <w:r>
          <w:t xml:space="preserve"> For provisions that have not yet come into operation see the uncommenced provisions table.</w:t>
        </w:r>
      </w:ins>
    </w:p>
    <w:p>
      <w:pPr>
        <w:pStyle w:val="nHeading3"/>
      </w:pPr>
      <w:bookmarkStart w:id="46" w:name="_Toc75164832"/>
      <w:bookmarkStart w:id="47" w:name="_Toc44317419"/>
      <w:r>
        <w:t>Compilation table</w:t>
      </w:r>
      <w:bookmarkEnd w:id="46"/>
      <w:bookmarkEnd w:id="47"/>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7"/>
      </w:tblGrid>
      <w:tr>
        <w:trPr>
          <w:gridAfter w:val="1"/>
          <w:wAfter w:w="37" w:type="dxa"/>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Regulations 1990</w:t>
            </w:r>
          </w:p>
        </w:tc>
        <w:tc>
          <w:tcPr>
            <w:tcW w:w="1276" w:type="dxa"/>
          </w:tcPr>
          <w:p>
            <w:pPr>
              <w:pStyle w:val="nTable"/>
              <w:spacing w:after="40"/>
            </w:pPr>
            <w:r>
              <w:t>28 Sep 1990 p. 5105</w:t>
            </w:r>
            <w:r>
              <w:noBreakHyphen/>
              <w:t>8</w:t>
            </w:r>
          </w:p>
        </w:tc>
        <w:tc>
          <w:tcPr>
            <w:tcW w:w="2693" w:type="dxa"/>
          </w:tcPr>
          <w:p>
            <w:pPr>
              <w:pStyle w:val="nTable"/>
              <w:spacing w:after="40"/>
            </w:pPr>
            <w:r>
              <w:t xml:space="preserve">1 Oct 1990 (see r. 2 and </w:t>
            </w:r>
            <w:r>
              <w:rPr>
                <w:i/>
              </w:rPr>
              <w:t>Gazette</w:t>
            </w:r>
            <w:r>
              <w:t xml:space="preserve"> 28 Sep 1990 p. 5099)</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1993</w:t>
            </w:r>
          </w:p>
        </w:tc>
        <w:tc>
          <w:tcPr>
            <w:tcW w:w="1276" w:type="dxa"/>
          </w:tcPr>
          <w:p>
            <w:pPr>
              <w:pStyle w:val="nTable"/>
              <w:spacing w:after="40"/>
            </w:pPr>
            <w:r>
              <w:t>24 Dec 1993 p. 6832</w:t>
            </w:r>
            <w:r>
              <w:br/>
              <w:t>(correction 31 Dec 1993 p. 6876)</w:t>
            </w:r>
          </w:p>
        </w:tc>
        <w:tc>
          <w:tcPr>
            <w:tcW w:w="2693" w:type="dxa"/>
          </w:tcPr>
          <w:p>
            <w:pPr>
              <w:pStyle w:val="nTable"/>
              <w:spacing w:after="40"/>
            </w:pPr>
            <w:r>
              <w:t>24 Dec 1993</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1994</w:t>
            </w:r>
          </w:p>
        </w:tc>
        <w:tc>
          <w:tcPr>
            <w:tcW w:w="1276" w:type="dxa"/>
          </w:tcPr>
          <w:p>
            <w:pPr>
              <w:pStyle w:val="nTable"/>
              <w:spacing w:after="40"/>
            </w:pPr>
            <w:r>
              <w:t>20 May 1994 p. 2125</w:t>
            </w:r>
            <w:r>
              <w:noBreakHyphen/>
              <w:t>6</w:t>
            </w:r>
          </w:p>
        </w:tc>
        <w:tc>
          <w:tcPr>
            <w:tcW w:w="2693" w:type="dxa"/>
          </w:tcPr>
          <w:p>
            <w:pPr>
              <w:pStyle w:val="nTable"/>
              <w:spacing w:after="40"/>
            </w:pPr>
            <w:r>
              <w:t>20 May 1994</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(No. 2) 1994</w:t>
            </w:r>
          </w:p>
        </w:tc>
        <w:tc>
          <w:tcPr>
            <w:tcW w:w="1276" w:type="dxa"/>
          </w:tcPr>
          <w:p>
            <w:pPr>
              <w:pStyle w:val="nTable"/>
              <w:spacing w:after="40"/>
            </w:pPr>
            <w:r>
              <w:t xml:space="preserve">22 Jul 1994 </w:t>
            </w:r>
            <w:r>
              <w:br/>
              <w:t>p. 3781</w:t>
            </w:r>
          </w:p>
        </w:tc>
        <w:tc>
          <w:tcPr>
            <w:tcW w:w="2693" w:type="dxa"/>
          </w:tcPr>
          <w:p>
            <w:pPr>
              <w:pStyle w:val="nTable"/>
              <w:spacing w:after="40"/>
            </w:pPr>
            <w:r>
              <w:t xml:space="preserve">22 Jul 1994 (see r. 2 and </w:t>
            </w:r>
            <w:r>
              <w:rPr>
                <w:i/>
              </w:rPr>
              <w:t>Gazette</w:t>
            </w:r>
            <w:r>
              <w:t xml:space="preserve"> 22 Jul 1994 p. 3728)</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2000</w:t>
            </w:r>
          </w:p>
        </w:tc>
        <w:tc>
          <w:tcPr>
            <w:tcW w:w="1276" w:type="dxa"/>
          </w:tcPr>
          <w:p>
            <w:pPr>
              <w:pStyle w:val="nTable"/>
              <w:spacing w:after="40"/>
            </w:pPr>
            <w:r>
              <w:t>8 Feb 2000 p. 456</w:t>
            </w:r>
            <w:r>
              <w:noBreakHyphen/>
              <w:t>7</w:t>
            </w:r>
          </w:p>
        </w:tc>
        <w:tc>
          <w:tcPr>
            <w:tcW w:w="2693" w:type="dxa"/>
          </w:tcPr>
          <w:p>
            <w:pPr>
              <w:pStyle w:val="nTable"/>
              <w:spacing w:after="40"/>
            </w:pPr>
            <w:r>
              <w:t>8 Feb 2000</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2000</w:t>
            </w:r>
          </w:p>
        </w:tc>
        <w:tc>
          <w:tcPr>
            <w:tcW w:w="1276" w:type="dxa"/>
          </w:tcPr>
          <w:p>
            <w:pPr>
              <w:pStyle w:val="nTable"/>
              <w:spacing w:after="40"/>
            </w:pPr>
            <w:r>
              <w:t>27 Jun 2000 p. 3253</w:t>
            </w:r>
            <w:r>
              <w:noBreakHyphen/>
              <w:t>4</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3) 2000</w:t>
            </w:r>
          </w:p>
        </w:tc>
        <w:tc>
          <w:tcPr>
            <w:tcW w:w="1276" w:type="dxa"/>
          </w:tcPr>
          <w:p>
            <w:pPr>
              <w:pStyle w:val="nTable"/>
              <w:spacing w:after="40"/>
            </w:pPr>
            <w:r>
              <w:t>15 Dec 2000 p. 7216</w:t>
            </w:r>
            <w:r>
              <w:noBreakHyphen/>
              <w:t>18</w:t>
            </w:r>
          </w:p>
        </w:tc>
        <w:tc>
          <w:tcPr>
            <w:tcW w:w="2693" w:type="dxa"/>
          </w:tcPr>
          <w:p>
            <w:pPr>
              <w:pStyle w:val="nTable"/>
              <w:spacing w:after="40"/>
            </w:pPr>
            <w:r>
              <w:t xml:space="preserve">16 Dec 2000 (see r. 2 and </w:t>
            </w:r>
            <w:r>
              <w:rPr>
                <w:i/>
              </w:rPr>
              <w:t xml:space="preserve">Gazette </w:t>
            </w:r>
            <w:r>
              <w:t>15 Dec 2000 p. 7201)</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pPr>
              <w:pStyle w:val="nTable"/>
              <w:spacing w:after="40"/>
            </w:pPr>
            <w:r>
              <w:rPr>
                <w:b/>
                <w:bCs/>
              </w:rPr>
              <w:t xml:space="preserve">Reprint of the </w:t>
            </w:r>
            <w:r>
              <w:rPr>
                <w:b/>
                <w:bCs/>
                <w:i/>
              </w:rPr>
              <w:t xml:space="preserve">Petroleum (Submerged Lands) Regulations 1990 </w:t>
            </w:r>
            <w:r>
              <w:rPr>
                <w:b/>
                <w:bCs/>
              </w:rPr>
              <w:t>as at 9 March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2002</w:t>
            </w:r>
          </w:p>
        </w:tc>
        <w:tc>
          <w:tcPr>
            <w:tcW w:w="1276" w:type="dxa"/>
          </w:tcPr>
          <w:p>
            <w:pPr>
              <w:pStyle w:val="nTable"/>
              <w:spacing w:after="40"/>
            </w:pPr>
            <w:r>
              <w:t>28 Jun 2002 p. 3092</w:t>
            </w:r>
            <w:r>
              <w:noBreakHyphen/>
              <w:t>4</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2003</w:t>
            </w:r>
          </w:p>
        </w:tc>
        <w:tc>
          <w:tcPr>
            <w:tcW w:w="1276" w:type="dxa"/>
          </w:tcPr>
          <w:p>
            <w:pPr>
              <w:pStyle w:val="nTable"/>
              <w:spacing w:after="40"/>
            </w:pPr>
            <w:r>
              <w:t>28 Feb 2003 p. 673</w:t>
            </w:r>
            <w:r>
              <w:noBreakHyphen/>
              <w:t>5</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2009</w:t>
            </w:r>
          </w:p>
        </w:tc>
        <w:tc>
          <w:tcPr>
            <w:tcW w:w="1276" w:type="dxa"/>
          </w:tcPr>
          <w:p>
            <w:pPr>
              <w:pStyle w:val="nTable"/>
              <w:spacing w:after="40"/>
            </w:pPr>
            <w:r>
              <w:t>23 Jun 2009 p. 2474</w:t>
            </w:r>
            <w:r>
              <w:noBreakHyphen/>
              <w:t>7</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2010</w:t>
            </w:r>
          </w:p>
        </w:tc>
        <w:tc>
          <w:tcPr>
            <w:tcW w:w="1276" w:type="dxa"/>
          </w:tcPr>
          <w:p>
            <w:pPr>
              <w:pStyle w:val="nTable"/>
              <w:spacing w:after="40"/>
            </w:pPr>
            <w:r>
              <w:t>9 Feb 2010 p. 270</w:t>
            </w:r>
          </w:p>
        </w:tc>
        <w:tc>
          <w:tcPr>
            <w:tcW w:w="2693" w:type="dxa"/>
          </w:tcPr>
          <w:p>
            <w:pPr>
              <w:pStyle w:val="nTable"/>
              <w:spacing w:after="40"/>
              <w:rPr>
                <w:snapToGrid w:val="0"/>
              </w:rPr>
            </w:pPr>
            <w:r>
              <w:rPr>
                <w:snapToGrid w:val="0"/>
              </w:rPr>
              <w:t>r. 1 and 2: 9 Feb 2010 (see r. 2(a));</w:t>
            </w:r>
            <w:r>
              <w:rPr>
                <w:snapToGrid w:val="0"/>
              </w:rPr>
              <w:br/>
              <w:t>Regulations other than r. 1 and 2: 10 Feb 2010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2010</w:t>
            </w:r>
          </w:p>
        </w:tc>
        <w:tc>
          <w:tcPr>
            <w:tcW w:w="1276" w:type="dxa"/>
          </w:tcPr>
          <w:p>
            <w:pPr>
              <w:pStyle w:val="nTable"/>
              <w:spacing w:after="40"/>
            </w:pPr>
            <w:r>
              <w:t>11 May 2010 p. 1819</w:t>
            </w:r>
            <w:r>
              <w:noBreakHyphen/>
              <w:t>21</w:t>
            </w:r>
          </w:p>
        </w:tc>
        <w:tc>
          <w:tcPr>
            <w:tcW w:w="2693" w:type="dxa"/>
          </w:tcPr>
          <w:p>
            <w:pPr>
              <w:pStyle w:val="nTable"/>
              <w:spacing w:after="40"/>
              <w:rPr>
                <w:snapToGrid w:val="0"/>
              </w:rPr>
            </w:pPr>
            <w:r>
              <w:rPr>
                <w:snapToGrid w:val="0"/>
              </w:rPr>
              <w:t>r. 1 and 2: 11 May 2010 (see r. 2(a));</w:t>
            </w:r>
            <w:r>
              <w:rPr>
                <w:snapToGrid w:val="0"/>
              </w:rPr>
              <w:br/>
              <w:t>Regulations other than r. 1 and 2: 12 May 2010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3) 2010</w:t>
            </w:r>
          </w:p>
        </w:tc>
        <w:tc>
          <w:tcPr>
            <w:tcW w:w="1276" w:type="dxa"/>
          </w:tcPr>
          <w:p>
            <w:pPr>
              <w:pStyle w:val="nTable"/>
              <w:spacing w:after="40"/>
            </w:pPr>
            <w:r>
              <w:t>16 Jul 2010 p. 3359</w:t>
            </w:r>
            <w:r>
              <w:noBreakHyphen/>
              <w:t>61</w:t>
            </w:r>
          </w:p>
        </w:tc>
        <w:tc>
          <w:tcPr>
            <w:tcW w:w="2693" w:type="dxa"/>
          </w:tcPr>
          <w:p>
            <w:pPr>
              <w:pStyle w:val="nTable"/>
              <w:spacing w:after="40"/>
              <w:rPr>
                <w:snapToGrid w:val="0"/>
              </w:rPr>
            </w:pPr>
            <w:r>
              <w:rPr>
                <w:snapToGrid w:val="0"/>
              </w:rPr>
              <w:t>r. 1 and 2: 16 Jul 2010 (see r. 2(a));</w:t>
            </w:r>
            <w:r>
              <w:rPr>
                <w:snapToGrid w:val="0"/>
              </w:rPr>
              <w:br/>
              <w:t>Regulations other than r. 1 and 2: 17 Jul 2010 (see r. 2(b)(ii))</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pPr>
              <w:pStyle w:val="nTable"/>
              <w:spacing w:after="40"/>
              <w:rPr>
                <w:snapToGrid w:val="0"/>
                <w:spacing w:val="-2"/>
              </w:rPr>
            </w:pPr>
            <w:r>
              <w:rPr>
                <w:b/>
                <w:bCs/>
              </w:rPr>
              <w:t xml:space="preserve">Reprint 2: The </w:t>
            </w:r>
            <w:r>
              <w:rPr>
                <w:b/>
                <w:bCs/>
                <w:i/>
              </w:rPr>
              <w:t xml:space="preserve">Petroleum (Submerged Lands) Regulations 1990 </w:t>
            </w:r>
            <w:r>
              <w:rPr>
                <w:b/>
                <w:bCs/>
              </w:rPr>
              <w:t>as at 24 Sep 2010</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2011</w:t>
            </w:r>
          </w:p>
        </w:tc>
        <w:tc>
          <w:tcPr>
            <w:tcW w:w="1276" w:type="dxa"/>
          </w:tcPr>
          <w:p>
            <w:pPr>
              <w:pStyle w:val="nTable"/>
              <w:spacing w:after="40"/>
            </w:pPr>
            <w:r>
              <w:t>24 May 2011 p. 1897-8</w:t>
            </w:r>
          </w:p>
        </w:tc>
        <w:tc>
          <w:tcPr>
            <w:tcW w:w="2693" w:type="dxa"/>
          </w:tcPr>
          <w:p>
            <w:pPr>
              <w:pStyle w:val="nTable"/>
              <w:spacing w:after="40"/>
              <w:rPr>
                <w:snapToGrid w:val="0"/>
              </w:rPr>
            </w:pPr>
            <w:r>
              <w:rPr>
                <w:snapToGrid w:val="0"/>
              </w:rPr>
              <w:t>r. 1 and 2: 24 May 2011 (see r. 2(a));</w:t>
            </w:r>
            <w:r>
              <w:rPr>
                <w:snapToGrid w:val="0"/>
              </w:rPr>
              <w:br/>
              <w:t xml:space="preserve">Regulations other than r. 1 and 2: 25 May 2011 (see r. 2(b) and </w:t>
            </w:r>
            <w:r>
              <w:rPr>
                <w:i/>
                <w:snapToGrid w:val="0"/>
              </w:rPr>
              <w:t>Gazette</w:t>
            </w:r>
            <w:r>
              <w:rPr>
                <w:snapToGrid w:val="0"/>
              </w:rPr>
              <w:t xml:space="preserve"> 24 May 2011 p. 1892)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2011</w:t>
            </w:r>
          </w:p>
        </w:tc>
        <w:tc>
          <w:tcPr>
            <w:tcW w:w="1276" w:type="dxa"/>
          </w:tcPr>
          <w:p>
            <w:pPr>
              <w:pStyle w:val="nTable"/>
              <w:spacing w:after="40"/>
            </w:pPr>
            <w:r>
              <w:t>1 Jul 2011 p. 2736</w:t>
            </w:r>
            <w:r>
              <w:noBreakHyphen/>
              <w:t>8</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2012</w:t>
            </w:r>
          </w:p>
        </w:tc>
        <w:tc>
          <w:tcPr>
            <w:tcW w:w="1276" w:type="dxa"/>
          </w:tcPr>
          <w:p>
            <w:pPr>
              <w:pStyle w:val="nTable"/>
              <w:spacing w:after="40"/>
            </w:pPr>
            <w:r>
              <w:t>12 Jun 2012 p. 2460</w:t>
            </w:r>
            <w:r>
              <w:noBreakHyphen/>
              <w:t>2</w:t>
            </w:r>
          </w:p>
        </w:tc>
        <w:tc>
          <w:tcPr>
            <w:tcW w:w="2693" w:type="dxa"/>
          </w:tcPr>
          <w:p>
            <w:pPr>
              <w:pStyle w:val="nTable"/>
              <w:spacing w:after="40"/>
              <w:rPr>
                <w:snapToGrid w:val="0"/>
              </w:rPr>
            </w:pPr>
            <w:r>
              <w:rPr>
                <w:snapToGrid w:val="0"/>
              </w:rPr>
              <w:t>r. 1 and 2: 12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2014</w:t>
            </w:r>
          </w:p>
        </w:tc>
        <w:tc>
          <w:tcPr>
            <w:tcW w:w="1276" w:type="dxa"/>
          </w:tcPr>
          <w:p>
            <w:pPr>
              <w:pStyle w:val="nTable"/>
              <w:spacing w:after="40"/>
              <w:rPr>
                <w:b/>
                <w:kern w:val="28"/>
              </w:rPr>
            </w:pPr>
            <w:r>
              <w:t>25 Feb 2014 p. 500</w:t>
            </w:r>
            <w:r>
              <w:noBreakHyphen/>
              <w:t>1</w:t>
            </w:r>
          </w:p>
        </w:tc>
        <w:tc>
          <w:tcPr>
            <w:tcW w:w="2693" w:type="dxa"/>
          </w:tcPr>
          <w:p>
            <w:pPr>
              <w:pStyle w:val="nTable"/>
              <w:spacing w:after="40"/>
              <w:rPr>
                <w:b/>
                <w:snapToGrid w:val="0"/>
                <w:kern w:val="28"/>
              </w:rPr>
            </w:pPr>
            <w:r>
              <w:rPr>
                <w:snapToGrid w:val="0"/>
              </w:rPr>
              <w:t>r. 1 and 2: 25 Feb 2014 (see r. 2(a));</w:t>
            </w:r>
            <w:r>
              <w:rPr>
                <w:snapToGrid w:val="0"/>
              </w:rPr>
              <w:br/>
              <w:t>Regulations other than r. 1 and 2: 26 Feb 2014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(No. 2) 2014</w:t>
            </w:r>
          </w:p>
        </w:tc>
        <w:tc>
          <w:tcPr>
            <w:tcW w:w="1276" w:type="dxa"/>
            <w:shd w:val="clear" w:color="auto" w:fill="auto"/>
          </w:tcPr>
          <w:p>
            <w:pPr>
              <w:pStyle w:val="nTable"/>
              <w:spacing w:after="40"/>
            </w:pPr>
            <w:r>
              <w:t>17 Jun 2014 p. 1983</w:t>
            </w:r>
            <w:r>
              <w:noBreakHyphen/>
              <w:t>5</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shd w:val="clear" w:color="auto" w:fill="auto"/>
          </w:tcPr>
          <w:p>
            <w:pPr>
              <w:pStyle w:val="nTable"/>
              <w:spacing w:after="40"/>
              <w:rPr>
                <w:bCs/>
                <w:snapToGrid w:val="0"/>
              </w:rPr>
            </w:pPr>
            <w:r>
              <w:rPr>
                <w:b/>
                <w:bCs/>
              </w:rPr>
              <w:t xml:space="preserve">Reprint 3: The </w:t>
            </w:r>
            <w:r>
              <w:rPr>
                <w:b/>
                <w:bCs/>
                <w:i/>
              </w:rPr>
              <w:t xml:space="preserve">Petroleum (Submerged Lands) Regulations 1990 </w:t>
            </w:r>
            <w:r>
              <w:rPr>
                <w:b/>
                <w:bCs/>
              </w:rPr>
              <w:t>as at 14 Nov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2015</w:t>
            </w:r>
          </w:p>
        </w:tc>
        <w:tc>
          <w:tcPr>
            <w:tcW w:w="1276" w:type="dxa"/>
            <w:shd w:val="clear" w:color="auto" w:fill="auto"/>
          </w:tcPr>
          <w:p>
            <w:pPr>
              <w:pStyle w:val="nTable"/>
              <w:spacing w:after="40"/>
            </w:pPr>
            <w:r>
              <w:t>30 Jun 2015 p. 2345</w:t>
            </w:r>
          </w:p>
        </w:tc>
        <w:tc>
          <w:tcPr>
            <w:tcW w:w="2693" w:type="dxa"/>
            <w:shd w:val="clear" w:color="auto" w:fill="auto"/>
          </w:tcPr>
          <w:p>
            <w:pPr>
              <w:pStyle w:val="nTable"/>
              <w:spacing w:after="40"/>
              <w:rPr>
                <w:snapToGrid w:val="0"/>
              </w:rPr>
            </w:pPr>
            <w:r>
              <w:rPr>
                <w:bCs/>
                <w:snapToGrid w:val="0"/>
              </w:rPr>
              <w:t>r. 1 and 2: 30 Jun 2015 (see r. 2(a));</w:t>
            </w:r>
            <w:r>
              <w:rPr>
                <w:bCs/>
                <w:snapToGrid w:val="0"/>
              </w:rPr>
              <w:br/>
              <w:t xml:space="preserve">Regulations other than r. 1 and 2: 1 Jul 2015 </w:t>
            </w:r>
            <w:r>
              <w:t xml:space="preserve">(see r. 2 and </w:t>
            </w:r>
            <w:r>
              <w:rPr>
                <w:i/>
              </w:rPr>
              <w:t xml:space="preserve">Gazette </w:t>
            </w:r>
            <w:r>
              <w:t>30 Jun 2015 p. 2321)</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(No. 2) 2015</w:t>
            </w:r>
          </w:p>
        </w:tc>
        <w:tc>
          <w:tcPr>
            <w:tcW w:w="1276" w:type="dxa"/>
            <w:shd w:val="clear" w:color="auto" w:fill="auto"/>
          </w:tcPr>
          <w:p>
            <w:pPr>
              <w:pStyle w:val="nTable"/>
              <w:spacing w:after="40"/>
            </w:pPr>
            <w:r>
              <w:t>30 Jun 2015 p. 2348</w:t>
            </w:r>
            <w:r>
              <w:noBreakHyphen/>
              <w:t>9</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pPr>
            <w:r>
              <w:rPr>
                <w:i/>
              </w:rPr>
              <w:t>Mines and Petroleum Regulations Amendment (Fees and Levies) Regulations 2016</w:t>
            </w:r>
            <w:r>
              <w:t xml:space="preserve"> Pt. 8</w:t>
            </w:r>
          </w:p>
        </w:tc>
        <w:tc>
          <w:tcPr>
            <w:tcW w:w="1276" w:type="dxa"/>
            <w:shd w:val="clear" w:color="auto" w:fill="auto"/>
          </w:tcPr>
          <w:p>
            <w:pPr>
              <w:pStyle w:val="nTable"/>
              <w:spacing w:after="40"/>
            </w:pPr>
            <w:r>
              <w:t>24 Jun 2016 p. 2325</w:t>
            </w:r>
            <w:r>
              <w:noBreakHyphen/>
              <w:t>34</w:t>
            </w:r>
          </w:p>
        </w:tc>
        <w:tc>
          <w:tcPr>
            <w:tcW w:w="2693" w:type="dxa"/>
            <w:shd w:val="clear" w:color="auto" w:fill="auto"/>
          </w:tcPr>
          <w:p>
            <w:pPr>
              <w:pStyle w:val="nTable"/>
              <w:spacing w:after="40"/>
              <w:rPr>
                <w:bCs/>
                <w:snapToGrid w:val="0"/>
              </w:rPr>
            </w:pPr>
            <w:r>
              <w:rPr>
                <w:bCs/>
                <w:snapToGrid w:val="0"/>
              </w:rPr>
              <w:t>1 Jul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12</w:t>
            </w:r>
          </w:p>
        </w:tc>
        <w:tc>
          <w:tcPr>
            <w:tcW w:w="1276" w:type="dxa"/>
            <w:tcBorders>
              <w:top w:val="nil"/>
              <w:bottom w:val="nil"/>
            </w:tcBorders>
          </w:tcPr>
          <w:p>
            <w:pPr>
              <w:pStyle w:val="nTable"/>
              <w:spacing w:after="40"/>
            </w:pPr>
            <w:r>
              <w:t>23 Jun 2017 p. 3279</w:t>
            </w:r>
            <w:r>
              <w:noBreakHyphen/>
              <w:t>309</w:t>
            </w:r>
          </w:p>
        </w:tc>
        <w:tc>
          <w:tcPr>
            <w:tcW w:w="2730"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2018</w:t>
            </w:r>
            <w:r>
              <w:t xml:space="preserve"> Pt. 12</w:t>
            </w:r>
          </w:p>
        </w:tc>
        <w:tc>
          <w:tcPr>
            <w:tcW w:w="1276" w:type="dxa"/>
            <w:tcBorders>
              <w:top w:val="nil"/>
              <w:bottom w:val="nil"/>
            </w:tcBorders>
          </w:tcPr>
          <w:p>
            <w:pPr>
              <w:pStyle w:val="nTable"/>
              <w:spacing w:after="40"/>
            </w:pPr>
            <w:r>
              <w:t>25 Jun 2018 p. 2297</w:t>
            </w:r>
            <w:r>
              <w:noBreakHyphen/>
              <w:t>324</w:t>
            </w:r>
          </w:p>
        </w:tc>
        <w:tc>
          <w:tcPr>
            <w:tcW w:w="2730" w:type="dxa"/>
            <w:gridSpan w:val="2"/>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11</w:t>
            </w:r>
          </w:p>
        </w:tc>
        <w:tc>
          <w:tcPr>
            <w:tcW w:w="1276" w:type="dxa"/>
            <w:tcBorders>
              <w:top w:val="nil"/>
              <w:bottom w:val="nil"/>
            </w:tcBorders>
          </w:tcPr>
          <w:p>
            <w:pPr>
              <w:pStyle w:val="nTable"/>
              <w:spacing w:after="40"/>
            </w:pPr>
            <w:r>
              <w:t>18 Jun 2019 p. 2040</w:t>
            </w:r>
            <w:r>
              <w:noBreakHyphen/>
              <w:t>56</w:t>
            </w:r>
          </w:p>
        </w:tc>
        <w:tc>
          <w:tcPr>
            <w:tcW w:w="2730" w:type="dxa"/>
            <w:gridSpan w:val="2"/>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rPr>
                <w:i/>
              </w:rPr>
            </w:pPr>
            <w:r>
              <w:rPr>
                <w:i/>
              </w:rPr>
              <w:t>Mines and Petroleum Regulations Amendment (Fees and Charges) Regulations 2020</w:t>
            </w:r>
            <w:r>
              <w:t xml:space="preserve"> Pt. 11</w:t>
            </w:r>
          </w:p>
        </w:tc>
        <w:tc>
          <w:tcPr>
            <w:tcW w:w="1276" w:type="dxa"/>
            <w:tcBorders>
              <w:top w:val="nil"/>
              <w:bottom w:val="single" w:sz="4" w:space="0" w:color="auto"/>
            </w:tcBorders>
          </w:tcPr>
          <w:p>
            <w:pPr>
              <w:pStyle w:val="nTable"/>
              <w:spacing w:after="40"/>
            </w:pPr>
            <w:r>
              <w:t>SL 2020/93 26 Jun 2020</w:t>
            </w:r>
          </w:p>
        </w:tc>
        <w:tc>
          <w:tcPr>
            <w:tcW w:w="2730" w:type="dxa"/>
            <w:gridSpan w:val="2"/>
            <w:tcBorders>
              <w:top w:val="nil"/>
              <w:bottom w:val="single" w:sz="4" w:space="0" w:color="auto"/>
            </w:tcBorders>
          </w:tcPr>
          <w:p>
            <w:pPr>
              <w:pStyle w:val="nTable"/>
              <w:spacing w:after="40"/>
            </w:pPr>
            <w:r>
              <w:t>1 Jul 2020 (see r. 2(b))</w:t>
            </w:r>
          </w:p>
        </w:tc>
      </w:tr>
    </w:tbl>
    <w:p>
      <w:pPr>
        <w:pStyle w:val="nHeading3"/>
        <w:rPr>
          <w:ins w:id="48" w:author="Master Repository Process" w:date="2021-09-11T19:10:00Z"/>
        </w:rPr>
      </w:pPr>
      <w:bookmarkStart w:id="49" w:name="_Toc75164833"/>
      <w:ins w:id="50" w:author="Master Repository Process" w:date="2021-09-11T19:10:00Z">
        <w:r>
          <w:t>Uncommenced provisions table</w:t>
        </w:r>
        <w:bookmarkEnd w:id="49"/>
      </w:ins>
    </w:p>
    <w:p>
      <w:pPr>
        <w:pStyle w:val="nStatement"/>
        <w:keepNext/>
        <w:spacing w:after="240"/>
        <w:rPr>
          <w:ins w:id="51" w:author="Master Repository Process" w:date="2021-09-11T19:10:00Z"/>
        </w:rPr>
      </w:pPr>
      <w:ins w:id="52" w:author="Master Repository Process" w:date="2021-09-11T19:10: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3" w:author="Master Repository Process" w:date="2021-09-11T19:10:00Z"/>
        </w:trPr>
        <w:tc>
          <w:tcPr>
            <w:tcW w:w="3118" w:type="dxa"/>
          </w:tcPr>
          <w:p>
            <w:pPr>
              <w:pStyle w:val="nTable"/>
              <w:spacing w:after="40"/>
              <w:rPr>
                <w:ins w:id="54" w:author="Master Repository Process" w:date="2021-09-11T19:10:00Z"/>
                <w:b/>
              </w:rPr>
            </w:pPr>
            <w:ins w:id="55" w:author="Master Repository Process" w:date="2021-09-11T19:10:00Z">
              <w:r>
                <w:rPr>
                  <w:b/>
                </w:rPr>
                <w:t>Citation</w:t>
              </w:r>
            </w:ins>
          </w:p>
        </w:tc>
        <w:tc>
          <w:tcPr>
            <w:tcW w:w="1276" w:type="dxa"/>
          </w:tcPr>
          <w:p>
            <w:pPr>
              <w:pStyle w:val="nTable"/>
              <w:spacing w:after="40"/>
              <w:rPr>
                <w:ins w:id="56" w:author="Master Repository Process" w:date="2021-09-11T19:10:00Z"/>
                <w:b/>
              </w:rPr>
            </w:pPr>
            <w:ins w:id="57" w:author="Master Repository Process" w:date="2021-09-11T19:10:00Z">
              <w:r>
                <w:rPr>
                  <w:b/>
                </w:rPr>
                <w:t>Published</w:t>
              </w:r>
            </w:ins>
          </w:p>
        </w:tc>
        <w:tc>
          <w:tcPr>
            <w:tcW w:w="2693" w:type="dxa"/>
          </w:tcPr>
          <w:p>
            <w:pPr>
              <w:pStyle w:val="nTable"/>
              <w:spacing w:after="40"/>
              <w:rPr>
                <w:ins w:id="58" w:author="Master Repository Process" w:date="2021-09-11T19:10:00Z"/>
                <w:b/>
              </w:rPr>
            </w:pPr>
            <w:ins w:id="59" w:author="Master Repository Process" w:date="2021-09-11T19:10:00Z">
              <w:r>
                <w:rPr>
                  <w:b/>
                </w:rPr>
                <w:t>Commencement</w:t>
              </w:r>
            </w:ins>
          </w:p>
        </w:tc>
      </w:tr>
      <w:tr>
        <w:trPr>
          <w:ins w:id="60" w:author="Master Repository Process" w:date="2021-09-11T19:10:00Z"/>
        </w:trPr>
        <w:tc>
          <w:tcPr>
            <w:tcW w:w="3118" w:type="dxa"/>
          </w:tcPr>
          <w:p>
            <w:pPr>
              <w:pStyle w:val="nTable"/>
              <w:spacing w:after="40"/>
              <w:rPr>
                <w:ins w:id="61" w:author="Master Repository Process" w:date="2021-09-11T19:10:00Z"/>
              </w:rPr>
            </w:pPr>
            <w:ins w:id="62" w:author="Master Repository Process" w:date="2021-09-11T19:10:00Z">
              <w:r>
                <w:rPr>
                  <w:i/>
                </w:rPr>
                <w:t>Mines and Petroleum Regulations Amendment (Fees and Charges) Regulations 2021</w:t>
              </w:r>
              <w:r>
                <w:t xml:space="preserve"> Pt. 15</w:t>
              </w:r>
            </w:ins>
          </w:p>
        </w:tc>
        <w:tc>
          <w:tcPr>
            <w:tcW w:w="1276" w:type="dxa"/>
          </w:tcPr>
          <w:p>
            <w:pPr>
              <w:pStyle w:val="nTable"/>
              <w:spacing w:after="40"/>
              <w:rPr>
                <w:ins w:id="63" w:author="Master Repository Process" w:date="2021-09-11T19:10:00Z"/>
              </w:rPr>
            </w:pPr>
            <w:ins w:id="64" w:author="Master Repository Process" w:date="2021-09-11T19:10:00Z">
              <w:r>
                <w:t>SL 2021/85 21 Jun 2021</w:t>
              </w:r>
            </w:ins>
          </w:p>
        </w:tc>
        <w:tc>
          <w:tcPr>
            <w:tcW w:w="2693" w:type="dxa"/>
          </w:tcPr>
          <w:p>
            <w:pPr>
              <w:pStyle w:val="nTable"/>
              <w:spacing w:after="40"/>
              <w:rPr>
                <w:ins w:id="65" w:author="Master Repository Process" w:date="2021-09-11T19:10:00Z"/>
              </w:rPr>
            </w:pPr>
            <w:ins w:id="66" w:author="Master Repository Process" w:date="2021-09-11T19:10:00Z">
              <w:r>
                <w:t>1 Jul 2021 (see r. 2(b))</w:t>
              </w:r>
            </w:ins>
          </w:p>
        </w:tc>
      </w:tr>
    </w:tbl>
    <w:p>
      <w:pPr>
        <w:pStyle w:val="nHeading3"/>
      </w:pPr>
      <w:bookmarkStart w:id="67" w:name="_Toc75164834"/>
      <w:bookmarkStart w:id="68" w:name="_Toc44317420"/>
      <w:r>
        <w:t>Other notes</w:t>
      </w:r>
      <w:bookmarkEnd w:id="67"/>
      <w:bookmarkEnd w:id="68"/>
    </w:p>
    <w:p>
      <w:pPr>
        <w:pStyle w:val="nNote"/>
        <w:spacing w:before="160"/>
      </w:pPr>
      <w:r>
        <w:rPr>
          <w:vertAlign w:val="superscript"/>
        </w:rPr>
        <w:t>1</w:t>
      </w:r>
      <w:r>
        <w:tab/>
        <w:t xml:space="preserve">Commencement day was 16 December 2000 (see </w:t>
      </w:r>
      <w:r>
        <w:rPr>
          <w:i/>
        </w:rPr>
        <w:t>Gazette</w:t>
      </w:r>
      <w:r>
        <w:t xml:space="preserve"> 15 Dec 2000 p. 7201).</w:t>
      </w:r>
    </w:p>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0" w:name="Schedule"/>
    <w:bookmarkEnd w:id="3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0" w:name="Coversheet"/>
    <w:bookmarkEnd w:id="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76E203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8153820"/>
    <w:docVar w:name="WAFER_20140123102927" w:val="RemoveTocBookmarks,RemoveUnusedBookmarks,RemoveLanguageTags,UsedStyles,ResetPageSize,UpdateArrangement"/>
    <w:docVar w:name="WAFER_20140123102927_GUID" w:val="0b0cecf6-3d47-4af9-8ab8-60b9b81e8e6c"/>
    <w:docVar w:name="WAFER_20140123110911" w:val="RemoveTocBookmarks,RunningHeaders"/>
    <w:docVar w:name="WAFER_20140123110911_GUID" w:val="01d1dd49-2ebe-499b-ba5b-6a5e9c46fe5b"/>
    <w:docVar w:name="WAFER_20140220161107" w:val="RemoveTocBookmarks,RemoveUnusedBookmarks,RemoveLanguageTags,UsedStyles,ResetPageSize,UpdateArrangement"/>
    <w:docVar w:name="WAFER_20140220161107_GUID" w:val="42871efd-2c3e-4e30-bcde-a9ba80c2c166"/>
    <w:docVar w:name="WAFER_20140811110024" w:val="RemoveTocBookmarks,RemoveUnusedBookmarks,RemoveLanguageTags,UsedStyles,ResetPageSize,RemoveCustomizations,UpdateArrangement"/>
    <w:docVar w:name="WAFER_20140811110024_GUID" w:val="800cd77e-01e3-49c8-b37e-337dddfc6f61"/>
    <w:docVar w:name="WAFER_20141031101933" w:val="RemoveTocBookmarks,RemoveUnusedBookmarks,RemoveLanguageTags,UsedStyles,RemoveTrackChanges"/>
    <w:docVar w:name="WAFER_20141031101933_GUID" w:val="89ffa167-3dda-46a0-9daa-8cb5d56410e2"/>
    <w:docVar w:name="WAFER_20141031101943" w:val="RemoveTocBookmarks,RemoveLanguageTags,RemoveTrackChanges,RunningHeaders"/>
    <w:docVar w:name="WAFER_20141031101943_GUID" w:val="4fe4e663-a288-4b70-b962-6e633f07ff17"/>
    <w:docVar w:name="WAFER_20141127095349" w:val="RemoveTocBookmarks,RemoveLanguageTags,RemoveTrackChanges,RunningHeaders"/>
    <w:docVar w:name="WAFER_20141127095349_GUID" w:val="e5c6d6a5-45ba-4188-b29d-d64b3b97cb18"/>
    <w:docVar w:name="WAFER_20150630075815" w:val="ResetPageSize,UpdateArrangement,UpdateNTable"/>
    <w:docVar w:name="WAFER_20150630075815_GUID" w:val="24ed2219-4d28-45c6-9db7-32716c23c9dc"/>
    <w:docVar w:name="WAFER_20151109113828" w:val="UpdateStyles,UsedStyles"/>
    <w:docVar w:name="WAFER_20151109113828_GUID" w:val="ee8aa088-9d60-41a4-8bcd-c8ec6bd901d1"/>
    <w:docVar w:name="WAFER_20200626092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2820_GUID" w:val="c34ae22b-a623-433d-92d7-7dfd10ef12ea"/>
    <w:docVar w:name="WAFER_20210618153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53820_GUID" w:val="d72083f5-92b5-447b-a1fb-8cbc011931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40C3EAD-3B02-48A5-8E9C-7E84CF42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A155B9-EB43-454F-B3E5-10FD2479C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3174</Words>
  <Characters>15494</Characters>
  <Application>Microsoft Office Word</Application>
  <DocSecurity>0</DocSecurity>
  <Lines>595</Lines>
  <Paragraphs>388</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18280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03-h0-00 - 03-i0-00</dc:title>
  <dc:subject/>
  <dc:creator/>
  <cp:keywords/>
  <dc:description/>
  <cp:lastModifiedBy>Master Repository Process</cp:lastModifiedBy>
  <cp:revision>2</cp:revision>
  <cp:lastPrinted>2014-11-25T02:07:00Z</cp:lastPrinted>
  <dcterms:created xsi:type="dcterms:W3CDTF">2021-09-11T11:10:00Z</dcterms:created>
  <dcterms:modified xsi:type="dcterms:W3CDTF">2021-09-11T11:10:00Z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DocumentType">
    <vt:lpwstr>Reg</vt:lpwstr>
  </property>
  <property fmtid="{D5CDD505-2E9C-101B-9397-08002B2CF9AE}" pid="4" name="OwlsUID">
    <vt:i4>4687</vt:i4>
  </property>
  <property fmtid="{D5CDD505-2E9C-101B-9397-08002B2CF9AE}" pid="5" name="ReprintNo">
    <vt:lpwstr>3</vt:lpwstr>
  </property>
  <property fmtid="{D5CDD505-2E9C-101B-9397-08002B2CF9AE}" pid="6" name="ReprintedAsAt">
    <vt:filetime>2014-11-13T16:00:00Z</vt:filetime>
  </property>
  <property fmtid="{D5CDD505-2E9C-101B-9397-08002B2CF9AE}" pid="7" name="CommencementDate">
    <vt:lpwstr>20210621</vt:lpwstr>
  </property>
  <property fmtid="{D5CDD505-2E9C-101B-9397-08002B2CF9AE}" pid="8" name="FromSuffix">
    <vt:lpwstr>03-h0-00</vt:lpwstr>
  </property>
  <property fmtid="{D5CDD505-2E9C-101B-9397-08002B2CF9AE}" pid="9" name="FromAsAtDate">
    <vt:lpwstr>01 Jul 2020</vt:lpwstr>
  </property>
  <property fmtid="{D5CDD505-2E9C-101B-9397-08002B2CF9AE}" pid="10" name="ToSuffix">
    <vt:lpwstr>03-i0-00</vt:lpwstr>
  </property>
  <property fmtid="{D5CDD505-2E9C-101B-9397-08002B2CF9AE}" pid="11" name="ToAsAtDate">
    <vt:lpwstr>21 Jun 2021</vt:lpwstr>
  </property>
</Properties>
</file>