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30F" w:rsidRDefault="00C3230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3230F" w:rsidRDefault="00C3230F">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rsidR="00C3230F" w:rsidRDefault="00C3230F">
      <w:pPr>
        <w:spacing w:after="800"/>
        <w:jc w:val="center"/>
      </w:pPr>
      <w:r>
        <w:t>Compare between:</w:t>
      </w:r>
    </w:p>
    <w:p w:rsidR="00C3230F" w:rsidRDefault="00C3230F">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04-g0-00</w:t>
      </w:r>
      <w:r>
        <w:fldChar w:fldCharType="end"/>
      </w:r>
      <w:r>
        <w:t>]</w:t>
      </w:r>
    </w:p>
    <w:p w:rsidR="00C3230F" w:rsidRDefault="00C3230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3230F" w:rsidRDefault="00C3230F"/>
    <w:p w:rsidR="004230DE" w:rsidRDefault="004230DE">
      <w:pPr>
        <w:jc w:val="center"/>
        <w:sectPr w:rsidR="004230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B5818" w:rsidRDefault="009B5818">
      <w:pPr>
        <w:pStyle w:val="WA"/>
      </w:pPr>
      <w:r>
        <w:lastRenderedPageBreak/>
        <w:t>Western Australia</w:t>
      </w:r>
    </w:p>
    <w:p w:rsidR="004230DE" w:rsidRDefault="00670E7C">
      <w:pPr>
        <w:pStyle w:val="NameofActReg"/>
        <w:spacing w:after="840"/>
      </w:pPr>
      <w:r>
        <w:t>Home Building Contracts Act 1991</w:t>
      </w:r>
    </w:p>
    <w:p w:rsidR="004230DE" w:rsidRDefault="00670E7C">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rsidR="004230DE" w:rsidRDefault="00670E7C">
      <w:pPr>
        <w:pStyle w:val="Footnotelongtitle"/>
      </w:pPr>
      <w:r>
        <w:tab/>
        <w:t>[Long title amended: No. 72 of 1996 s. 4; No. 37 of 2002 s. 4; No. 59 of 2004 s. 141.]</w:t>
      </w:r>
    </w:p>
    <w:p w:rsidR="004230DE" w:rsidRDefault="00670E7C">
      <w:pPr>
        <w:pStyle w:val="Heading2"/>
      </w:pPr>
      <w:bookmarkStart w:id="2" w:name="_Toc75339150"/>
      <w:bookmarkStart w:id="3" w:name="_Toc75339349"/>
      <w:bookmarkStart w:id="4" w:name="_Toc75344392"/>
      <w:bookmarkStart w:id="5" w:name="_Toc74650333"/>
      <w:bookmarkStart w:id="6" w:name="_Toc74650402"/>
      <w:bookmarkStart w:id="7" w:name="_Toc747324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4230DE" w:rsidRDefault="00670E7C">
      <w:pPr>
        <w:pStyle w:val="Heading5"/>
        <w:spacing w:before="200"/>
        <w:rPr>
          <w:snapToGrid w:val="0"/>
        </w:rPr>
      </w:pPr>
      <w:bookmarkStart w:id="8" w:name="_Toc75344393"/>
      <w:bookmarkStart w:id="9" w:name="_Toc74732486"/>
      <w:r>
        <w:rPr>
          <w:rStyle w:val="CharSectno"/>
        </w:rPr>
        <w:t>1</w:t>
      </w:r>
      <w:r>
        <w:rPr>
          <w:snapToGrid w:val="0"/>
        </w:rPr>
        <w:t>.</w:t>
      </w:r>
      <w:r>
        <w:rPr>
          <w:snapToGrid w:val="0"/>
        </w:rPr>
        <w:tab/>
        <w:t>Short title</w:t>
      </w:r>
      <w:bookmarkEnd w:id="8"/>
      <w:bookmarkEnd w:id="9"/>
    </w:p>
    <w:p w:rsidR="004230DE" w:rsidRDefault="00670E7C">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r>
        <w:rPr>
          <w:snapToGrid w:val="0"/>
        </w:rPr>
        <w:t>.</w:t>
      </w:r>
    </w:p>
    <w:p w:rsidR="004230DE" w:rsidRDefault="00670E7C">
      <w:pPr>
        <w:pStyle w:val="Heading5"/>
        <w:spacing w:before="200"/>
        <w:rPr>
          <w:snapToGrid w:val="0"/>
        </w:rPr>
      </w:pPr>
      <w:bookmarkStart w:id="10" w:name="_Toc75344394"/>
      <w:bookmarkStart w:id="11" w:name="_Toc74732487"/>
      <w:r>
        <w:rPr>
          <w:rStyle w:val="CharSectno"/>
        </w:rPr>
        <w:t>2</w:t>
      </w:r>
      <w:r>
        <w:rPr>
          <w:snapToGrid w:val="0"/>
        </w:rPr>
        <w:t>.</w:t>
      </w:r>
      <w:r>
        <w:rPr>
          <w:snapToGrid w:val="0"/>
        </w:rPr>
        <w:tab/>
        <w:t>Commencement</w:t>
      </w:r>
      <w:bookmarkEnd w:id="10"/>
      <w:bookmarkEnd w:id="11"/>
    </w:p>
    <w:p w:rsidR="004230DE" w:rsidRDefault="00670E7C">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rsidR="004230DE" w:rsidRDefault="00670E7C">
      <w:pPr>
        <w:pStyle w:val="Heading5"/>
        <w:spacing w:before="200"/>
        <w:rPr>
          <w:snapToGrid w:val="0"/>
        </w:rPr>
      </w:pPr>
      <w:bookmarkStart w:id="12" w:name="_Toc75344395"/>
      <w:bookmarkStart w:id="13" w:name="_Toc74732488"/>
      <w:r>
        <w:rPr>
          <w:rStyle w:val="CharSectno"/>
        </w:rPr>
        <w:t>3</w:t>
      </w:r>
      <w:r>
        <w:rPr>
          <w:snapToGrid w:val="0"/>
        </w:rPr>
        <w:t>.</w:t>
      </w:r>
      <w:r>
        <w:rPr>
          <w:snapToGrid w:val="0"/>
        </w:rPr>
        <w:tab/>
        <w:t>Terms used</w:t>
      </w:r>
      <w:bookmarkEnd w:id="12"/>
      <w:bookmarkEnd w:id="13"/>
    </w:p>
    <w:p w:rsidR="004230DE" w:rsidRDefault="00670E7C">
      <w:pPr>
        <w:pStyle w:val="Subsection"/>
        <w:spacing w:before="120"/>
        <w:rPr>
          <w:snapToGrid w:val="0"/>
        </w:rPr>
      </w:pPr>
      <w:r>
        <w:rPr>
          <w:snapToGrid w:val="0"/>
        </w:rPr>
        <w:tab/>
        <w:t>(1)</w:t>
      </w:r>
      <w:r>
        <w:rPr>
          <w:snapToGrid w:val="0"/>
        </w:rPr>
        <w:tab/>
        <w:t>In this Act unless the contrary intention appears —</w:t>
      </w:r>
    </w:p>
    <w:p w:rsidR="004230DE" w:rsidRDefault="00670E7C">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rsidR="004230DE" w:rsidRDefault="00670E7C">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rsidR="004230DE" w:rsidRDefault="00670E7C">
      <w:pPr>
        <w:pStyle w:val="Defstart"/>
        <w:spacing w:before="60"/>
      </w:pPr>
      <w:r>
        <w:tab/>
      </w:r>
      <w:r>
        <w:rPr>
          <w:rStyle w:val="CharDefText"/>
        </w:rPr>
        <w:t>Builders’ Registration Board</w:t>
      </w:r>
      <w:r>
        <w:t xml:space="preserve"> means the Builders’ Registration Board constituted under the repealed Act</w:t>
      </w:r>
      <w:r>
        <w:rPr>
          <w:iCs/>
        </w:rPr>
        <w:t>;</w:t>
      </w:r>
    </w:p>
    <w:p w:rsidR="004230DE" w:rsidRDefault="00670E7C">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rsidR="004230DE" w:rsidRDefault="00670E7C">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rsidR="004230DE" w:rsidRDefault="00670E7C">
      <w:pPr>
        <w:pStyle w:val="Defstart"/>
        <w:spacing w:before="60"/>
      </w:pPr>
      <w:r>
        <w:tab/>
      </w:r>
      <w:r>
        <w:rPr>
          <w:rStyle w:val="CharDefText"/>
        </w:rPr>
        <w:t>building permit</w:t>
      </w:r>
      <w:r>
        <w:t xml:space="preserve"> means building permit as defined in the </w:t>
      </w:r>
      <w:r>
        <w:rPr>
          <w:i/>
        </w:rPr>
        <w:t>Building Act 2011</w:t>
      </w:r>
      <w:r>
        <w:t xml:space="preserve"> section 3;</w:t>
      </w:r>
    </w:p>
    <w:p w:rsidR="004230DE" w:rsidRDefault="00670E7C">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rsidR="004230DE" w:rsidRDefault="00670E7C">
      <w:pPr>
        <w:pStyle w:val="Defpara"/>
        <w:spacing w:before="60"/>
      </w:pPr>
      <w:r>
        <w:tab/>
        <w:t>(a)</w:t>
      </w:r>
      <w:r>
        <w:tab/>
        <w:t>painting where that is part of the work included in a contract; and</w:t>
      </w:r>
    </w:p>
    <w:p w:rsidR="004230DE" w:rsidRDefault="00670E7C">
      <w:pPr>
        <w:pStyle w:val="Defpara"/>
      </w:pPr>
      <w:r>
        <w:tab/>
        <w:t>(b)</w:t>
      </w:r>
      <w:r>
        <w:tab/>
        <w:t>the provision of lighting, heating, water supply, drainage, sewerage, gas and other like services;</w:t>
      </w:r>
    </w:p>
    <w:p w:rsidR="004230DE" w:rsidRDefault="00670E7C">
      <w:pPr>
        <w:pStyle w:val="Defstart"/>
      </w:pPr>
      <w:r>
        <w:rPr>
          <w:b/>
        </w:rPr>
        <w:tab/>
      </w:r>
      <w:r>
        <w:rPr>
          <w:rStyle w:val="CharDefText"/>
        </w:rPr>
        <w:t>contract</w:t>
      </w:r>
      <w:r>
        <w:t xml:space="preserve"> means a home building work contract;</w:t>
      </w:r>
    </w:p>
    <w:p w:rsidR="004230DE" w:rsidRDefault="00670E7C">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rsidR="004230DE" w:rsidRDefault="00670E7C">
      <w:pPr>
        <w:pStyle w:val="Defpara"/>
      </w:pPr>
      <w:r>
        <w:tab/>
        <w:t>(a)</w:t>
      </w:r>
      <w:r>
        <w:tab/>
        <w:t>acquiring materials; and</w:t>
      </w:r>
    </w:p>
    <w:p w:rsidR="004230DE" w:rsidRDefault="00670E7C">
      <w:pPr>
        <w:pStyle w:val="Defpara"/>
      </w:pPr>
      <w:r>
        <w:tab/>
        <w:t>(b)</w:t>
      </w:r>
      <w:r>
        <w:tab/>
        <w:t>performing work,</w:t>
      </w:r>
    </w:p>
    <w:p w:rsidR="004230DE" w:rsidRDefault="00670E7C">
      <w:pPr>
        <w:pStyle w:val="Defstart"/>
      </w:pPr>
      <w:r>
        <w:tab/>
        <w:t>specified in the contract, together with an additional amount that comprises either —</w:t>
      </w:r>
    </w:p>
    <w:p w:rsidR="004230DE" w:rsidRDefault="00670E7C">
      <w:pPr>
        <w:pStyle w:val="Defpara"/>
      </w:pPr>
      <w:r>
        <w:tab/>
        <w:t>(c)</w:t>
      </w:r>
      <w:r>
        <w:tab/>
        <w:t>a sum calculated as a percentage of that cost; or</w:t>
      </w:r>
    </w:p>
    <w:p w:rsidR="004230DE" w:rsidRDefault="00670E7C">
      <w:pPr>
        <w:pStyle w:val="Defpara"/>
      </w:pPr>
      <w:r>
        <w:tab/>
        <w:t>(d)</w:t>
      </w:r>
      <w:r>
        <w:tab/>
        <w:t>a specified sum,</w:t>
      </w:r>
    </w:p>
    <w:p w:rsidR="004230DE" w:rsidRDefault="00670E7C">
      <w:pPr>
        <w:pStyle w:val="Defstart"/>
      </w:pPr>
      <w:r>
        <w:tab/>
        <w:t>or both;</w:t>
      </w:r>
    </w:p>
    <w:p w:rsidR="004230DE" w:rsidRDefault="00670E7C">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rsidR="004230DE" w:rsidRDefault="00670E7C">
      <w:pPr>
        <w:pStyle w:val="Defstart"/>
      </w:pPr>
      <w:r>
        <w:rPr>
          <w:b/>
        </w:rPr>
        <w:tab/>
      </w:r>
      <w:r>
        <w:rPr>
          <w:rStyle w:val="CharDefText"/>
        </w:rPr>
        <w:t>dwelling</w:t>
      </w:r>
      <w:r>
        <w:t xml:space="preserve"> means a building occupied or intended for occupation solely or mainly as a place of residence;</w:t>
      </w:r>
    </w:p>
    <w:p w:rsidR="004230DE" w:rsidRDefault="00670E7C">
      <w:pPr>
        <w:pStyle w:val="Defstart"/>
      </w:pPr>
      <w:r>
        <w:rPr>
          <w:b/>
        </w:rPr>
        <w:tab/>
      </w:r>
      <w:r>
        <w:rPr>
          <w:rStyle w:val="CharDefText"/>
        </w:rPr>
        <w:t>home building work</w:t>
      </w:r>
      <w:r>
        <w:t xml:space="preserve"> means the whole or part of the work of —</w:t>
      </w:r>
    </w:p>
    <w:p w:rsidR="004230DE" w:rsidRDefault="00670E7C">
      <w:pPr>
        <w:pStyle w:val="Defpara"/>
      </w:pPr>
      <w:r>
        <w:tab/>
        <w:t>(a)</w:t>
      </w:r>
      <w:r>
        <w:tab/>
        <w:t>constructing or re</w:t>
      </w:r>
      <w:r>
        <w:noBreakHyphen/>
        <w:t xml:space="preserve">constructing a dwelling including an existing dwelling and/or </w:t>
      </w:r>
      <w:r w:rsidR="009B5818">
        <w:t>strata</w:t>
      </w:r>
      <w:del w:id="14" w:author="Master Repository Process" w:date="2021-06-28T14:10:00Z">
        <w:r>
          <w:noBreakHyphen/>
          <w:delText>titled</w:delText>
        </w:r>
      </w:del>
      <w:ins w:id="15" w:author="Master Repository Process" w:date="2021-06-28T14:10:00Z">
        <w:r w:rsidR="009B5818">
          <w:t>/community title</w:t>
        </w:r>
      </w:ins>
      <w:r w:rsidR="009B5818">
        <w:t xml:space="preserve"> dwelling</w:t>
      </w:r>
      <w:r>
        <w:t>; or</w:t>
      </w:r>
    </w:p>
    <w:p w:rsidR="004230DE" w:rsidRDefault="00670E7C">
      <w:pPr>
        <w:pStyle w:val="Defpara"/>
      </w:pPr>
      <w:r>
        <w:tab/>
        <w:t>(b)</w:t>
      </w:r>
      <w:r>
        <w:tab/>
        <w:t>placing a dwelling on land; or</w:t>
      </w:r>
    </w:p>
    <w:p w:rsidR="004230DE" w:rsidRDefault="00670E7C">
      <w:pPr>
        <w:pStyle w:val="Defpara"/>
      </w:pPr>
      <w:r>
        <w:tab/>
        <w:t>(c)</w:t>
      </w:r>
      <w:r>
        <w:tab/>
        <w:t xml:space="preserve">altering, improving or repairing a dwelling, including a </w:t>
      </w:r>
      <w:r w:rsidR="009B5818">
        <w:t>strata</w:t>
      </w:r>
      <w:del w:id="16" w:author="Master Repository Process" w:date="2021-06-28T14:10:00Z">
        <w:r>
          <w:noBreakHyphen/>
          <w:delText>titled</w:delText>
        </w:r>
      </w:del>
      <w:ins w:id="17" w:author="Master Repository Process" w:date="2021-06-28T14:10:00Z">
        <w:r w:rsidR="009B5818">
          <w:t>/community title</w:t>
        </w:r>
      </w:ins>
      <w:r w:rsidR="009B5818">
        <w:t xml:space="preserve"> dwelling</w:t>
      </w:r>
      <w:r>
        <w:t>; or</w:t>
      </w:r>
    </w:p>
    <w:p w:rsidR="004230DE" w:rsidRDefault="00670E7C">
      <w:pPr>
        <w:pStyle w:val="Defpara"/>
      </w:pPr>
      <w:r>
        <w:tab/>
        <w:t>(d)</w:t>
      </w:r>
      <w:r>
        <w:tab/>
        <w:t>constructing or carrying out any associated work in connection with —</w:t>
      </w:r>
    </w:p>
    <w:p w:rsidR="004230DE" w:rsidRDefault="00670E7C">
      <w:pPr>
        <w:pStyle w:val="Defsubpara"/>
      </w:pPr>
      <w:r>
        <w:tab/>
        <w:t>(i)</w:t>
      </w:r>
      <w:r>
        <w:tab/>
        <w:t>any work referred to in paragraph (a) or (b); or</w:t>
      </w:r>
    </w:p>
    <w:p w:rsidR="004230DE" w:rsidRDefault="00670E7C">
      <w:pPr>
        <w:pStyle w:val="Defsubpara"/>
      </w:pPr>
      <w:r>
        <w:tab/>
        <w:t>(ii)</w:t>
      </w:r>
      <w:r>
        <w:tab/>
        <w:t xml:space="preserve">an existing dwelling, including a </w:t>
      </w:r>
      <w:r w:rsidR="009B5818">
        <w:t>strata</w:t>
      </w:r>
      <w:del w:id="18" w:author="Master Repository Process" w:date="2021-06-28T14:10:00Z">
        <w:r>
          <w:noBreakHyphen/>
          <w:delText>titled</w:delText>
        </w:r>
      </w:del>
      <w:ins w:id="19" w:author="Master Repository Process" w:date="2021-06-28T14:10:00Z">
        <w:r w:rsidR="009B5818">
          <w:t>/community title</w:t>
        </w:r>
      </w:ins>
      <w:r w:rsidR="009B5818">
        <w:t xml:space="preserve"> dwelling</w:t>
      </w:r>
      <w:r>
        <w:t>;</w:t>
      </w:r>
    </w:p>
    <w:p w:rsidR="004230DE" w:rsidRDefault="00670E7C">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rsidR="004230DE" w:rsidRDefault="00670E7C">
      <w:pPr>
        <w:pStyle w:val="Defpara"/>
      </w:pPr>
      <w:r>
        <w:tab/>
        <w:t>(a)</w:t>
      </w:r>
      <w:r>
        <w:tab/>
        <w:t>a cost plus contract;</w:t>
      </w:r>
    </w:p>
    <w:p w:rsidR="004230DE" w:rsidRDefault="00670E7C">
      <w:pPr>
        <w:pStyle w:val="Defpara"/>
        <w:keepNext/>
      </w:pPr>
      <w:r>
        <w:tab/>
        <w:t>(b)</w:t>
      </w:r>
      <w:r>
        <w:tab/>
        <w:t>a contract for the performance of home building work —</w:t>
      </w:r>
    </w:p>
    <w:p w:rsidR="004230DE" w:rsidRDefault="00670E7C">
      <w:pPr>
        <w:pStyle w:val="Defsubpara"/>
      </w:pPr>
      <w:r>
        <w:tab/>
        <w:t>(i)</w:t>
      </w:r>
      <w:r>
        <w:tab/>
        <w:t>for a builder who is in turn obliged to perform the work under another contract; or</w:t>
      </w:r>
    </w:p>
    <w:p w:rsidR="004230DE" w:rsidRDefault="00670E7C">
      <w:pPr>
        <w:pStyle w:val="Defsubpara"/>
      </w:pPr>
      <w:r>
        <w:tab/>
        <w:t>(ii)</w:t>
      </w:r>
      <w:r>
        <w:tab/>
        <w:t>if the amount stated in the contract as being payable under the contract for the work is $6 000, or such other amount as is prescribed, or less; or</w:t>
      </w:r>
    </w:p>
    <w:p w:rsidR="004230DE" w:rsidRDefault="00670E7C">
      <w:pPr>
        <w:pStyle w:val="Defsubpara"/>
      </w:pPr>
      <w:r>
        <w:tab/>
        <w:t>(iii)</w:t>
      </w:r>
      <w:r>
        <w:tab/>
        <w:t>if the amount stated in the contract as being payable under the contract for the work is $200 000, or such other amount as is prescribed, or more;</w:t>
      </w:r>
    </w:p>
    <w:p w:rsidR="004230DE" w:rsidRDefault="00670E7C">
      <w:pPr>
        <w:pStyle w:val="Defstart"/>
      </w:pPr>
      <w:r>
        <w:rPr>
          <w:b/>
        </w:rPr>
        <w:tab/>
      </w:r>
      <w:r>
        <w:rPr>
          <w:rStyle w:val="CharDefText"/>
        </w:rPr>
        <w:t>owner</w:t>
      </w:r>
      <w:r>
        <w:t xml:space="preserve"> in relation to a contract means the person for whom or which home building work is to be performed under the contract;</w:t>
      </w:r>
    </w:p>
    <w:p w:rsidR="004230DE" w:rsidRDefault="00670E7C">
      <w:pPr>
        <w:pStyle w:val="Defstart"/>
      </w:pPr>
      <w:r>
        <w:rPr>
          <w:b/>
        </w:rPr>
        <w:tab/>
      </w:r>
      <w:r>
        <w:rPr>
          <w:rStyle w:val="CharDefText"/>
        </w:rPr>
        <w:t>perform</w:t>
      </w:r>
      <w:r>
        <w:t xml:space="preserve"> in relation to home building work includes —</w:t>
      </w:r>
    </w:p>
    <w:p w:rsidR="004230DE" w:rsidRDefault="00670E7C">
      <w:pPr>
        <w:pStyle w:val="Defpara"/>
      </w:pPr>
      <w:r>
        <w:tab/>
        <w:t>(a)</w:t>
      </w:r>
      <w:r>
        <w:tab/>
        <w:t>causing the work to be performed; and</w:t>
      </w:r>
    </w:p>
    <w:p w:rsidR="004230DE" w:rsidRDefault="00670E7C">
      <w:pPr>
        <w:pStyle w:val="Defpara"/>
      </w:pPr>
      <w:r>
        <w:tab/>
        <w:t>(b)</w:t>
      </w:r>
      <w:r>
        <w:tab/>
        <w:t>organizing or arranging for the performance of the work;</w:t>
      </w:r>
    </w:p>
    <w:p w:rsidR="004230DE" w:rsidRDefault="00670E7C">
      <w:pPr>
        <w:pStyle w:val="Defstart"/>
      </w:pPr>
      <w:r>
        <w:rPr>
          <w:b/>
        </w:rPr>
        <w:tab/>
      </w:r>
      <w:r>
        <w:rPr>
          <w:rStyle w:val="CharDefText"/>
        </w:rPr>
        <w:t>prescribed</w:t>
      </w:r>
      <w:r>
        <w:t xml:space="preserve"> means prescribed by regulations;</w:t>
      </w:r>
    </w:p>
    <w:p w:rsidR="004230DE" w:rsidRDefault="00670E7C">
      <w:pPr>
        <w:pStyle w:val="Defstart"/>
      </w:pPr>
      <w:r>
        <w:tab/>
      </w:r>
      <w:r>
        <w:rPr>
          <w:rStyle w:val="CharDefText"/>
        </w:rPr>
        <w:t>repealed Act</w:t>
      </w:r>
      <w:r>
        <w:t xml:space="preserve"> means the </w:t>
      </w:r>
      <w:r>
        <w:rPr>
          <w:i/>
        </w:rPr>
        <w:t>Builders’ Registration Act 1939</w:t>
      </w:r>
      <w:r>
        <w:t>;</w:t>
      </w:r>
    </w:p>
    <w:p w:rsidR="009B5818" w:rsidRDefault="009B5818" w:rsidP="009B5818">
      <w:pPr>
        <w:pStyle w:val="Defstart"/>
      </w:pPr>
      <w:r>
        <w:tab/>
      </w:r>
      <w:r>
        <w:rPr>
          <w:rStyle w:val="CharDefText"/>
        </w:rPr>
        <w:t>strata</w:t>
      </w:r>
      <w:del w:id="20" w:author="Master Repository Process" w:date="2021-06-28T14:10:00Z">
        <w:r w:rsidR="00670E7C">
          <w:rPr>
            <w:rStyle w:val="CharDefText"/>
          </w:rPr>
          <w:noBreakHyphen/>
          <w:delText>titled</w:delText>
        </w:r>
      </w:del>
      <w:ins w:id="21" w:author="Master Repository Process" w:date="2021-06-28T14:10:00Z">
        <w:r>
          <w:rPr>
            <w:rStyle w:val="CharDefText"/>
          </w:rPr>
          <w:t>/community title</w:t>
        </w:r>
      </w:ins>
      <w:r>
        <w:rPr>
          <w:rStyle w:val="CharDefText"/>
        </w:rPr>
        <w:t xml:space="preserve"> dwelling</w:t>
      </w:r>
      <w:r>
        <w:t xml:space="preserve"> means a building or part of a building, occupied or intended for occupation solely or mainly as a place of residence, that is erected on a lot </w:t>
      </w:r>
      <w:del w:id="22" w:author="Master Repository Process" w:date="2021-06-28T14:10:00Z">
        <w:r w:rsidR="00670E7C">
          <w:delText>in respect of which a plan is registered under</w:delText>
        </w:r>
      </w:del>
      <w:ins w:id="23" w:author="Master Repository Process" w:date="2021-06-28T14:10:00Z">
        <w:r>
          <w:t xml:space="preserve">within the meaning of the </w:t>
        </w:r>
        <w:r>
          <w:rPr>
            <w:i/>
          </w:rPr>
          <w:t>Community Titles Act 2018</w:t>
        </w:r>
        <w:r>
          <w:t xml:space="preserve"> or</w:t>
        </w:r>
      </w:ins>
      <w:r>
        <w:t xml:space="preserve"> the </w:t>
      </w:r>
      <w:r>
        <w:rPr>
          <w:i/>
        </w:rPr>
        <w:t>Strata Titles Act 1985</w:t>
      </w:r>
      <w:r>
        <w:t>;</w:t>
      </w:r>
    </w:p>
    <w:p w:rsidR="004230DE" w:rsidRDefault="00670E7C">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rsidR="004230DE" w:rsidRDefault="00670E7C">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rsidR="004230DE" w:rsidRDefault="00670E7C">
      <w:pPr>
        <w:pStyle w:val="Footnotesection"/>
      </w:pPr>
      <w:r>
        <w:tab/>
        <w:t>[Section 3 amended: No. 58 of 1995 s. 97; No. 76 of 2000 s. 44; No. 37 of 2002 s. 5; No. 16 of 2011 s. 113; No. 19 of 2011 s. 148</w:t>
      </w:r>
      <w:ins w:id="24" w:author="Master Repository Process" w:date="2021-06-28T14:10:00Z">
        <w:r w:rsidR="009B5818">
          <w:t>; No. 32 of 2018 s. 214</w:t>
        </w:r>
      </w:ins>
      <w:r>
        <w:t>.]</w:t>
      </w:r>
    </w:p>
    <w:p w:rsidR="004230DE" w:rsidRDefault="00670E7C">
      <w:pPr>
        <w:pStyle w:val="Heading2"/>
      </w:pPr>
      <w:bookmarkStart w:id="25" w:name="_Toc75339154"/>
      <w:bookmarkStart w:id="26" w:name="_Toc75339353"/>
      <w:bookmarkStart w:id="27" w:name="_Toc75344396"/>
      <w:bookmarkStart w:id="28" w:name="_Toc74650337"/>
      <w:bookmarkStart w:id="29" w:name="_Toc74650406"/>
      <w:bookmarkStart w:id="30" w:name="_Toc74732489"/>
      <w:r>
        <w:rPr>
          <w:rStyle w:val="CharPartNo"/>
        </w:rPr>
        <w:t>Part 2</w:t>
      </w:r>
      <w:r>
        <w:rPr>
          <w:rStyle w:val="CharDivNo"/>
        </w:rPr>
        <w:t> </w:t>
      </w:r>
      <w:r>
        <w:t>—</w:t>
      </w:r>
      <w:r>
        <w:rPr>
          <w:rStyle w:val="CharDivText"/>
        </w:rPr>
        <w:t> </w:t>
      </w:r>
      <w:r>
        <w:rPr>
          <w:rStyle w:val="CharPartText"/>
        </w:rPr>
        <w:t>Home building work contracts</w:t>
      </w:r>
      <w:bookmarkEnd w:id="25"/>
      <w:bookmarkEnd w:id="26"/>
      <w:bookmarkEnd w:id="27"/>
      <w:bookmarkEnd w:id="28"/>
      <w:bookmarkEnd w:id="29"/>
      <w:bookmarkEnd w:id="30"/>
    </w:p>
    <w:p w:rsidR="004230DE" w:rsidRDefault="00670E7C">
      <w:pPr>
        <w:pStyle w:val="Heading5"/>
        <w:spacing w:before="160"/>
        <w:rPr>
          <w:snapToGrid w:val="0"/>
        </w:rPr>
      </w:pPr>
      <w:bookmarkStart w:id="31" w:name="_Toc75344397"/>
      <w:bookmarkStart w:id="32" w:name="_Toc74732490"/>
      <w:r>
        <w:rPr>
          <w:rStyle w:val="CharSectno"/>
        </w:rPr>
        <w:t>4</w:t>
      </w:r>
      <w:r>
        <w:rPr>
          <w:snapToGrid w:val="0"/>
        </w:rPr>
        <w:t>.</w:t>
      </w:r>
      <w:r>
        <w:rPr>
          <w:snapToGrid w:val="0"/>
        </w:rPr>
        <w:tab/>
        <w:t>Contracts to be in writing; prescribed explanatory notice to be given</w:t>
      </w:r>
      <w:bookmarkEnd w:id="31"/>
      <w:bookmarkEnd w:id="32"/>
    </w:p>
    <w:p w:rsidR="004230DE" w:rsidRDefault="00670E7C">
      <w:pPr>
        <w:pStyle w:val="Subsection"/>
        <w:spacing w:before="100"/>
        <w:rPr>
          <w:snapToGrid w:val="0"/>
        </w:rPr>
      </w:pPr>
      <w:r>
        <w:rPr>
          <w:snapToGrid w:val="0"/>
        </w:rPr>
        <w:tab/>
        <w:t>(1)</w:t>
      </w:r>
      <w:r>
        <w:rPr>
          <w:snapToGrid w:val="0"/>
        </w:rPr>
        <w:tab/>
        <w:t>A contract —</w:t>
      </w:r>
    </w:p>
    <w:p w:rsidR="004230DE" w:rsidRDefault="00670E7C">
      <w:pPr>
        <w:pStyle w:val="Indenta"/>
        <w:spacing w:before="70"/>
        <w:rPr>
          <w:snapToGrid w:val="0"/>
        </w:rPr>
      </w:pPr>
      <w:r>
        <w:rPr>
          <w:snapToGrid w:val="0"/>
        </w:rPr>
        <w:tab/>
        <w:t>(a)</w:t>
      </w:r>
      <w:r>
        <w:rPr>
          <w:snapToGrid w:val="0"/>
        </w:rPr>
        <w:tab/>
        <w:t>must be in writing —</w:t>
      </w:r>
    </w:p>
    <w:p w:rsidR="004230DE" w:rsidRDefault="00670E7C">
      <w:pPr>
        <w:pStyle w:val="Indenti"/>
        <w:spacing w:before="70"/>
        <w:rPr>
          <w:snapToGrid w:val="0"/>
        </w:rPr>
      </w:pPr>
      <w:r>
        <w:rPr>
          <w:snapToGrid w:val="0"/>
        </w:rPr>
        <w:tab/>
        <w:t>(i)</w:t>
      </w:r>
      <w:r>
        <w:rPr>
          <w:snapToGrid w:val="0"/>
        </w:rPr>
        <w:tab/>
        <w:t>setting out all of the terms, conditions and provisions of the contract; and</w:t>
      </w:r>
    </w:p>
    <w:p w:rsidR="004230DE" w:rsidRDefault="00670E7C">
      <w:pPr>
        <w:pStyle w:val="Indenti"/>
        <w:spacing w:before="70"/>
        <w:rPr>
          <w:snapToGrid w:val="0"/>
        </w:rPr>
      </w:pPr>
      <w:r>
        <w:rPr>
          <w:snapToGrid w:val="0"/>
        </w:rPr>
        <w:tab/>
        <w:t>(ii)</w:t>
      </w:r>
      <w:r>
        <w:rPr>
          <w:snapToGrid w:val="0"/>
        </w:rPr>
        <w:tab/>
        <w:t>showing the date of the contract;</w:t>
      </w:r>
    </w:p>
    <w:p w:rsidR="004230DE" w:rsidRDefault="00670E7C">
      <w:pPr>
        <w:pStyle w:val="Indenta"/>
        <w:spacing w:before="70"/>
        <w:rPr>
          <w:snapToGrid w:val="0"/>
        </w:rPr>
      </w:pPr>
      <w:r>
        <w:rPr>
          <w:snapToGrid w:val="0"/>
        </w:rPr>
        <w:tab/>
      </w:r>
      <w:r>
        <w:rPr>
          <w:snapToGrid w:val="0"/>
        </w:rPr>
        <w:tab/>
        <w:t>and</w:t>
      </w:r>
    </w:p>
    <w:p w:rsidR="004230DE" w:rsidRDefault="00670E7C">
      <w:pPr>
        <w:pStyle w:val="Indenta"/>
        <w:spacing w:before="70"/>
        <w:rPr>
          <w:snapToGrid w:val="0"/>
        </w:rPr>
      </w:pPr>
      <w:r>
        <w:rPr>
          <w:snapToGrid w:val="0"/>
        </w:rPr>
        <w:tab/>
        <w:t>(b)</w:t>
      </w:r>
      <w:r>
        <w:rPr>
          <w:snapToGrid w:val="0"/>
        </w:rPr>
        <w:tab/>
        <w:t>must be signed by the builder and the owner or their respective agents.</w:t>
      </w:r>
    </w:p>
    <w:p w:rsidR="004230DE" w:rsidRDefault="00670E7C">
      <w:pPr>
        <w:pStyle w:val="Subsection"/>
        <w:spacing w:before="100"/>
        <w:rPr>
          <w:snapToGrid w:val="0"/>
        </w:rPr>
      </w:pPr>
      <w:r>
        <w:rPr>
          <w:snapToGrid w:val="0"/>
        </w:rPr>
        <w:tab/>
        <w:t>(2)</w:t>
      </w:r>
      <w:r>
        <w:rPr>
          <w:snapToGrid w:val="0"/>
        </w:rPr>
        <w:tab/>
        <w:t>A notice containing an explanation of the relevant provisions of this Act is to be prescribed.</w:t>
      </w:r>
    </w:p>
    <w:p w:rsidR="004230DE" w:rsidRDefault="00670E7C">
      <w:pPr>
        <w:pStyle w:val="Subsection"/>
        <w:spacing w:before="100"/>
        <w:rPr>
          <w:snapToGrid w:val="0"/>
        </w:rPr>
      </w:pPr>
      <w:r>
        <w:rPr>
          <w:snapToGrid w:val="0"/>
        </w:rPr>
        <w:tab/>
        <w:t>(3)</w:t>
      </w:r>
      <w:r>
        <w:rPr>
          <w:snapToGrid w:val="0"/>
        </w:rPr>
        <w:tab/>
        <w:t>The owner must be given a notice referred to in subsection (2) before the owner signs a contract.</w:t>
      </w:r>
    </w:p>
    <w:p w:rsidR="004230DE" w:rsidRDefault="00670E7C">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rsidR="004230DE" w:rsidRDefault="00670E7C">
      <w:pPr>
        <w:pStyle w:val="Penstart"/>
        <w:rPr>
          <w:snapToGrid w:val="0"/>
        </w:rPr>
      </w:pPr>
      <w:r>
        <w:rPr>
          <w:snapToGrid w:val="0"/>
        </w:rPr>
        <w:tab/>
        <w:t>Penalty: $2 000.</w:t>
      </w:r>
    </w:p>
    <w:p w:rsidR="004230DE" w:rsidRDefault="00670E7C">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rsidR="004230DE" w:rsidRDefault="00670E7C">
      <w:pPr>
        <w:pStyle w:val="Heading5"/>
        <w:rPr>
          <w:snapToGrid w:val="0"/>
        </w:rPr>
      </w:pPr>
      <w:bookmarkStart w:id="33" w:name="_Toc75344398"/>
      <w:bookmarkStart w:id="34" w:name="_Toc74732491"/>
      <w:r>
        <w:rPr>
          <w:rStyle w:val="CharSectno"/>
        </w:rPr>
        <w:t>5</w:t>
      </w:r>
      <w:r>
        <w:rPr>
          <w:snapToGrid w:val="0"/>
        </w:rPr>
        <w:t>.</w:t>
      </w:r>
      <w:r>
        <w:rPr>
          <w:snapToGrid w:val="0"/>
        </w:rPr>
        <w:tab/>
        <w:t>Owner to be given copy of contract</w:t>
      </w:r>
      <w:bookmarkEnd w:id="33"/>
      <w:bookmarkEnd w:id="34"/>
    </w:p>
    <w:p w:rsidR="004230DE" w:rsidRDefault="00670E7C">
      <w:pPr>
        <w:pStyle w:val="Subsection"/>
        <w:spacing w:before="100"/>
        <w:rPr>
          <w:snapToGrid w:val="0"/>
        </w:rPr>
      </w:pPr>
      <w:r>
        <w:rPr>
          <w:snapToGrid w:val="0"/>
        </w:rPr>
        <w:tab/>
        <w:t>(1)</w:t>
      </w:r>
      <w:r>
        <w:rPr>
          <w:snapToGrid w:val="0"/>
        </w:rPr>
        <w:tab/>
        <w:t>The owner must be given a copy of the signed contract —</w:t>
      </w:r>
    </w:p>
    <w:p w:rsidR="004230DE" w:rsidRDefault="00670E7C">
      <w:pPr>
        <w:pStyle w:val="Indenta"/>
        <w:spacing w:before="60"/>
        <w:rPr>
          <w:snapToGrid w:val="0"/>
        </w:rPr>
      </w:pPr>
      <w:r>
        <w:rPr>
          <w:snapToGrid w:val="0"/>
        </w:rPr>
        <w:tab/>
        <w:t>(a)</w:t>
      </w:r>
      <w:r>
        <w:rPr>
          <w:snapToGrid w:val="0"/>
        </w:rPr>
        <w:tab/>
        <w:t>as soon as is reasonably practicable after a contract has been signed by both parties; and</w:t>
      </w:r>
    </w:p>
    <w:p w:rsidR="004230DE" w:rsidRDefault="00670E7C">
      <w:pPr>
        <w:pStyle w:val="Indenta"/>
        <w:spacing w:before="60"/>
        <w:rPr>
          <w:snapToGrid w:val="0"/>
        </w:rPr>
      </w:pPr>
      <w:r>
        <w:rPr>
          <w:snapToGrid w:val="0"/>
        </w:rPr>
        <w:tab/>
        <w:t>(b)</w:t>
      </w:r>
      <w:r>
        <w:rPr>
          <w:snapToGrid w:val="0"/>
        </w:rPr>
        <w:tab/>
        <w:t>before the home building work is commenced.</w:t>
      </w:r>
    </w:p>
    <w:p w:rsidR="004230DE" w:rsidRDefault="00670E7C">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(3)</w:t>
      </w:r>
      <w:r>
        <w:rPr>
          <w:snapToGrid w:val="0"/>
        </w:rPr>
        <w:tab/>
        <w:t>If —</w:t>
      </w:r>
    </w:p>
    <w:p w:rsidR="004230DE" w:rsidRDefault="00670E7C">
      <w:pPr>
        <w:pStyle w:val="Indenta"/>
        <w:rPr>
          <w:snapToGrid w:val="0"/>
        </w:rPr>
      </w:pPr>
      <w:r>
        <w:rPr>
          <w:snapToGrid w:val="0"/>
        </w:rPr>
        <w:tab/>
        <w:t>(a)</w:t>
      </w:r>
      <w:r>
        <w:rPr>
          <w:snapToGrid w:val="0"/>
        </w:rPr>
        <w:tab/>
        <w:t>subsection (1) is not complied with by a builder in respect of a signed contract; and</w:t>
      </w:r>
    </w:p>
    <w:p w:rsidR="004230DE" w:rsidRDefault="00670E7C">
      <w:pPr>
        <w:pStyle w:val="Indenta"/>
        <w:rPr>
          <w:snapToGrid w:val="0"/>
        </w:rPr>
      </w:pPr>
      <w:r>
        <w:rPr>
          <w:snapToGrid w:val="0"/>
        </w:rPr>
        <w:tab/>
        <w:t>(b)</w:t>
      </w:r>
      <w:r>
        <w:rPr>
          <w:snapToGrid w:val="0"/>
        </w:rPr>
        <w:tab/>
        <w:t>the owner in writing requests the builder to give to the owner a copy of the contract,</w:t>
      </w:r>
    </w:p>
    <w:p w:rsidR="004230DE" w:rsidRDefault="00670E7C">
      <w:pPr>
        <w:pStyle w:val="Subsection"/>
        <w:rPr>
          <w:snapToGrid w:val="0"/>
        </w:rPr>
      </w:pPr>
      <w:r>
        <w:rPr>
          <w:snapToGrid w:val="0"/>
        </w:rPr>
        <w:tab/>
      </w:r>
      <w:r>
        <w:rPr>
          <w:snapToGrid w:val="0"/>
        </w:rPr>
        <w:tab/>
        <w:t>the builder must comply with that request within 10 working days of receiving it.</w:t>
      </w:r>
    </w:p>
    <w:p w:rsidR="004230DE" w:rsidRDefault="00670E7C">
      <w:pPr>
        <w:pStyle w:val="Penstart"/>
      </w:pPr>
      <w:r>
        <w:tab/>
        <w:t>Penalty: $10 000.</w:t>
      </w:r>
    </w:p>
    <w:p w:rsidR="004230DE" w:rsidRDefault="00670E7C">
      <w:pPr>
        <w:pStyle w:val="Footnotesection"/>
      </w:pPr>
      <w:r>
        <w:tab/>
        <w:t>[Section 5 amended: No. 76 of 2000 s. 45.]</w:t>
      </w:r>
    </w:p>
    <w:p w:rsidR="004230DE" w:rsidRDefault="00670E7C">
      <w:pPr>
        <w:pStyle w:val="Heading5"/>
        <w:rPr>
          <w:snapToGrid w:val="0"/>
        </w:rPr>
      </w:pPr>
      <w:bookmarkStart w:id="35" w:name="_Toc75344399"/>
      <w:bookmarkStart w:id="36" w:name="_Toc74732492"/>
      <w:r>
        <w:rPr>
          <w:rStyle w:val="CharSectno"/>
        </w:rPr>
        <w:t>6</w:t>
      </w:r>
      <w:r>
        <w:rPr>
          <w:snapToGrid w:val="0"/>
        </w:rPr>
        <w:t>.</w:t>
      </w:r>
      <w:r>
        <w:rPr>
          <w:snapToGrid w:val="0"/>
        </w:rPr>
        <w:tab/>
        <w:t>Receipt of documents by owner, proof of</w:t>
      </w:r>
      <w:bookmarkEnd w:id="35"/>
      <w:bookmarkEnd w:id="36"/>
    </w:p>
    <w:p w:rsidR="004230DE" w:rsidRDefault="00670E7C">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rsidR="004230DE" w:rsidRDefault="00670E7C">
      <w:pPr>
        <w:pStyle w:val="Heading5"/>
        <w:rPr>
          <w:snapToGrid w:val="0"/>
        </w:rPr>
      </w:pPr>
      <w:bookmarkStart w:id="37" w:name="_Toc75344400"/>
      <w:bookmarkStart w:id="38" w:name="_Toc74732493"/>
      <w:r>
        <w:rPr>
          <w:rStyle w:val="CharSectno"/>
        </w:rPr>
        <w:t>7</w:t>
      </w:r>
      <w:r>
        <w:rPr>
          <w:snapToGrid w:val="0"/>
        </w:rPr>
        <w:t>.</w:t>
      </w:r>
      <w:r>
        <w:rPr>
          <w:snapToGrid w:val="0"/>
        </w:rPr>
        <w:tab/>
        <w:t>Variation of contract to be in writing and given to owner</w:t>
      </w:r>
      <w:bookmarkEnd w:id="37"/>
      <w:bookmarkEnd w:id="38"/>
    </w:p>
    <w:p w:rsidR="004230DE" w:rsidRDefault="00670E7C">
      <w:pPr>
        <w:pStyle w:val="Subsection"/>
        <w:rPr>
          <w:snapToGrid w:val="0"/>
        </w:rPr>
      </w:pPr>
      <w:r>
        <w:rPr>
          <w:snapToGrid w:val="0"/>
        </w:rPr>
        <w:tab/>
        <w:t>(1)</w:t>
      </w:r>
      <w:r>
        <w:rPr>
          <w:snapToGrid w:val="0"/>
        </w:rPr>
        <w:tab/>
        <w:t>A variation of a contract —</w:t>
      </w:r>
    </w:p>
    <w:p w:rsidR="004230DE" w:rsidRDefault="00670E7C">
      <w:pPr>
        <w:pStyle w:val="Indenta"/>
        <w:rPr>
          <w:snapToGrid w:val="0"/>
        </w:rPr>
      </w:pPr>
      <w:r>
        <w:rPr>
          <w:snapToGrid w:val="0"/>
        </w:rPr>
        <w:tab/>
        <w:t>(a)</w:t>
      </w:r>
      <w:r>
        <w:rPr>
          <w:snapToGrid w:val="0"/>
        </w:rPr>
        <w:tab/>
        <w:t>must be in writing —</w:t>
      </w:r>
    </w:p>
    <w:p w:rsidR="004230DE" w:rsidRDefault="00670E7C">
      <w:pPr>
        <w:pStyle w:val="Indenti"/>
        <w:rPr>
          <w:snapToGrid w:val="0"/>
        </w:rPr>
      </w:pPr>
      <w:r>
        <w:rPr>
          <w:snapToGrid w:val="0"/>
        </w:rPr>
        <w:tab/>
        <w:t>(i)</w:t>
      </w:r>
      <w:r>
        <w:rPr>
          <w:snapToGrid w:val="0"/>
        </w:rPr>
        <w:tab/>
        <w:t>setting out all of the terms of, and the cost of, the variation;</w:t>
      </w:r>
    </w:p>
    <w:p w:rsidR="004230DE" w:rsidRDefault="00670E7C">
      <w:pPr>
        <w:pStyle w:val="Indenti"/>
        <w:rPr>
          <w:snapToGrid w:val="0"/>
        </w:rPr>
      </w:pPr>
      <w:r>
        <w:rPr>
          <w:snapToGrid w:val="0"/>
        </w:rPr>
        <w:tab/>
        <w:t>(ii)</w:t>
      </w:r>
      <w:r>
        <w:rPr>
          <w:snapToGrid w:val="0"/>
        </w:rPr>
        <w:tab/>
        <w:t>showing the date of the variation;</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(b)</w:t>
      </w:r>
      <w:r>
        <w:rPr>
          <w:snapToGrid w:val="0"/>
        </w:rPr>
        <w:tab/>
        <w:t>must be signed by the builder and the owner or their respective agents.</w:t>
      </w:r>
    </w:p>
    <w:p w:rsidR="004230DE" w:rsidRDefault="00670E7C">
      <w:pPr>
        <w:pStyle w:val="Subsection"/>
        <w:keepNext/>
        <w:rPr>
          <w:snapToGrid w:val="0"/>
        </w:rPr>
      </w:pPr>
      <w:r>
        <w:rPr>
          <w:snapToGrid w:val="0"/>
        </w:rPr>
        <w:tab/>
        <w:t>(2)</w:t>
      </w:r>
      <w:r>
        <w:rPr>
          <w:snapToGrid w:val="0"/>
        </w:rPr>
        <w:tab/>
        <w:t>The owner or his agent must be given a copy of the signed variation —</w:t>
      </w:r>
    </w:p>
    <w:p w:rsidR="004230DE" w:rsidRDefault="00670E7C">
      <w:pPr>
        <w:pStyle w:val="Indenta"/>
        <w:rPr>
          <w:snapToGrid w:val="0"/>
        </w:rPr>
      </w:pPr>
      <w:r>
        <w:rPr>
          <w:snapToGrid w:val="0"/>
        </w:rPr>
        <w:tab/>
        <w:t>(a)</w:t>
      </w:r>
      <w:r>
        <w:rPr>
          <w:snapToGrid w:val="0"/>
        </w:rPr>
        <w:tab/>
        <w:t>as soon as is reasonably practicable after it has been signed by both parties; and</w:t>
      </w:r>
    </w:p>
    <w:p w:rsidR="004230DE" w:rsidRDefault="00670E7C">
      <w:pPr>
        <w:pStyle w:val="Indenta"/>
        <w:rPr>
          <w:snapToGrid w:val="0"/>
        </w:rPr>
      </w:pPr>
      <w:r>
        <w:rPr>
          <w:snapToGrid w:val="0"/>
        </w:rPr>
        <w:tab/>
        <w:t>(b)</w:t>
      </w:r>
      <w:r>
        <w:rPr>
          <w:snapToGrid w:val="0"/>
        </w:rPr>
        <w:tab/>
        <w:t>before the work to which the variation relates is commenced.</w:t>
      </w:r>
    </w:p>
    <w:p w:rsidR="004230DE" w:rsidRDefault="00670E7C">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(4)</w:t>
      </w:r>
      <w:r>
        <w:rPr>
          <w:snapToGrid w:val="0"/>
        </w:rPr>
        <w:tab/>
        <w:t>This section has effect subject to sections 8 and 13(4) and clause 5 of Schedule 1.</w:t>
      </w:r>
    </w:p>
    <w:p w:rsidR="004230DE" w:rsidRDefault="00670E7C">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rsidR="004230DE" w:rsidRDefault="00670E7C">
      <w:pPr>
        <w:pStyle w:val="Heading5"/>
        <w:rPr>
          <w:snapToGrid w:val="0"/>
        </w:rPr>
      </w:pPr>
      <w:bookmarkStart w:id="39" w:name="_Toc75344401"/>
      <w:bookmarkStart w:id="40" w:name="_Toc74732494"/>
      <w:r>
        <w:rPr>
          <w:rStyle w:val="CharSectno"/>
        </w:rPr>
        <w:t>8</w:t>
      </w:r>
      <w:r>
        <w:rPr>
          <w:snapToGrid w:val="0"/>
        </w:rPr>
        <w:t>.</w:t>
      </w:r>
      <w:r>
        <w:rPr>
          <w:snapToGrid w:val="0"/>
        </w:rPr>
        <w:tab/>
        <w:t>Exceptions to s. 7 and related provisions</w:t>
      </w:r>
      <w:bookmarkEnd w:id="39"/>
      <w:bookmarkEnd w:id="40"/>
    </w:p>
    <w:p w:rsidR="004230DE" w:rsidRDefault="00670E7C">
      <w:pPr>
        <w:pStyle w:val="Subsection"/>
        <w:rPr>
          <w:snapToGrid w:val="0"/>
        </w:rPr>
      </w:pPr>
      <w:r>
        <w:rPr>
          <w:snapToGrid w:val="0"/>
        </w:rPr>
        <w:tab/>
        <w:t>(1)</w:t>
      </w:r>
      <w:r>
        <w:rPr>
          <w:snapToGrid w:val="0"/>
        </w:rPr>
        <w:tab/>
        <w:t>Section 7(1) and (2) does not apply to a variation of a contract that is made necessary by —</w:t>
      </w:r>
    </w:p>
    <w:p w:rsidR="004230DE" w:rsidRDefault="00670E7C">
      <w:pPr>
        <w:pStyle w:val="Indenta"/>
        <w:rPr>
          <w:snapToGrid w:val="0"/>
        </w:rPr>
      </w:pPr>
      <w:r>
        <w:rPr>
          <w:snapToGrid w:val="0"/>
        </w:rPr>
        <w:tab/>
        <w:t>(a)</w:t>
      </w:r>
      <w:r>
        <w:rPr>
          <w:snapToGrid w:val="0"/>
        </w:rPr>
        <w:tab/>
        <w:t>any written direction lawfully given by a person acting under a written law; or</w:t>
      </w:r>
    </w:p>
    <w:p w:rsidR="004230DE" w:rsidRDefault="00670E7C">
      <w:pPr>
        <w:pStyle w:val="Indenta"/>
        <w:rPr>
          <w:snapToGrid w:val="0"/>
        </w:rPr>
      </w:pPr>
      <w:r>
        <w:rPr>
          <w:snapToGrid w:val="0"/>
        </w:rPr>
        <w:tab/>
        <w:t>(b)</w:t>
      </w:r>
      <w:r>
        <w:rPr>
          <w:snapToGrid w:val="0"/>
        </w:rPr>
        <w:tab/>
        <w:t>circumstances that could not reasonably have been foreseen by the builder at the time when the contract was entered into,</w:t>
      </w:r>
    </w:p>
    <w:p w:rsidR="004230DE" w:rsidRDefault="00670E7C">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rsidR="004230DE" w:rsidRDefault="00670E7C">
      <w:pPr>
        <w:pStyle w:val="Subsection"/>
        <w:rPr>
          <w:snapToGrid w:val="0"/>
        </w:rPr>
      </w:pPr>
      <w:r>
        <w:rPr>
          <w:snapToGrid w:val="0"/>
        </w:rPr>
        <w:tab/>
        <w:t>(2)</w:t>
      </w:r>
      <w:r>
        <w:rPr>
          <w:snapToGrid w:val="0"/>
        </w:rPr>
        <w:tab/>
        <w:t>A statement under subsection (1) must be given within 10 working days after the builder —</w:t>
      </w:r>
    </w:p>
    <w:p w:rsidR="004230DE" w:rsidRDefault="00670E7C">
      <w:pPr>
        <w:pStyle w:val="Indenta"/>
        <w:rPr>
          <w:snapToGrid w:val="0"/>
        </w:rPr>
      </w:pPr>
      <w:r>
        <w:rPr>
          <w:snapToGrid w:val="0"/>
        </w:rPr>
        <w:tab/>
        <w:t>(a)</w:t>
      </w:r>
      <w:r>
        <w:rPr>
          <w:snapToGrid w:val="0"/>
        </w:rPr>
        <w:tab/>
        <w:t>received notice of the direction under paragraph (a); or</w:t>
      </w:r>
    </w:p>
    <w:p w:rsidR="004230DE" w:rsidRDefault="00670E7C">
      <w:pPr>
        <w:pStyle w:val="Indenta"/>
        <w:rPr>
          <w:snapToGrid w:val="0"/>
        </w:rPr>
      </w:pPr>
      <w:r>
        <w:rPr>
          <w:snapToGrid w:val="0"/>
        </w:rPr>
        <w:tab/>
        <w:t>(b)</w:t>
      </w:r>
      <w:r>
        <w:rPr>
          <w:snapToGrid w:val="0"/>
        </w:rPr>
        <w:tab/>
        <w:t>became aware, or should reasonably have become aware, of the circumstances referred to in paragraph (b),</w:t>
      </w:r>
    </w:p>
    <w:p w:rsidR="004230DE" w:rsidRDefault="00670E7C">
      <w:pPr>
        <w:pStyle w:val="Subsection"/>
        <w:rPr>
          <w:snapToGrid w:val="0"/>
        </w:rPr>
      </w:pPr>
      <w:r>
        <w:rPr>
          <w:snapToGrid w:val="0"/>
        </w:rPr>
        <w:tab/>
      </w:r>
      <w:r>
        <w:rPr>
          <w:snapToGrid w:val="0"/>
        </w:rPr>
        <w:tab/>
        <w:t>of that subsection, as the case may be.</w:t>
      </w:r>
    </w:p>
    <w:p w:rsidR="004230DE" w:rsidRDefault="00670E7C">
      <w:pPr>
        <w:pStyle w:val="Subsection"/>
      </w:pPr>
      <w:r>
        <w:tab/>
        <w:t>(3)</w:t>
      </w:r>
      <w:r>
        <w:tab/>
        <w:t xml:space="preserve">Where — </w:t>
      </w:r>
    </w:p>
    <w:p w:rsidR="004230DE" w:rsidRDefault="00670E7C">
      <w:pPr>
        <w:pStyle w:val="Indenta"/>
      </w:pPr>
      <w:r>
        <w:tab/>
        <w:t>(a)</w:t>
      </w:r>
      <w:r>
        <w:tab/>
        <w:t>a statement is given to the owner by the builder for the purposes of subsection (1)(b); and</w:t>
      </w:r>
    </w:p>
    <w:p w:rsidR="004230DE" w:rsidRDefault="00670E7C">
      <w:pPr>
        <w:pStyle w:val="Indenta"/>
      </w:pPr>
      <w:r>
        <w:tab/>
        <w:t>(b)</w:t>
      </w:r>
      <w:r>
        <w:tab/>
        <w:t>the owner considers that the variation is not one to which subsection (1) applies,</w:t>
      </w:r>
    </w:p>
    <w:p w:rsidR="004230DE" w:rsidRDefault="00670E7C">
      <w:pPr>
        <w:pStyle w:val="Subsection"/>
      </w:pPr>
      <w:r>
        <w:tab/>
      </w:r>
      <w:r>
        <w:tab/>
        <w:t>the owner cannot make a complaint as provided in section 17 unless the owner makes the complaint within 10 working days after the statement was given to the owner.</w:t>
      </w:r>
    </w:p>
    <w:p w:rsidR="004230DE" w:rsidRDefault="00670E7C">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rsidR="004230DE" w:rsidRDefault="00670E7C">
      <w:pPr>
        <w:pStyle w:val="Footnotesection"/>
      </w:pPr>
      <w:r>
        <w:tab/>
        <w:t>[Section 8 amended: No. 14 of 1996 s. 4; No. 76 of 2000 s. 46; No. 16 of 2011 s. 114; No. 24 of 2011 s. 163(2) and (3).]</w:t>
      </w:r>
    </w:p>
    <w:p w:rsidR="004230DE" w:rsidRDefault="00670E7C">
      <w:pPr>
        <w:pStyle w:val="Heading5"/>
        <w:rPr>
          <w:snapToGrid w:val="0"/>
        </w:rPr>
      </w:pPr>
      <w:bookmarkStart w:id="41" w:name="_Toc75344402"/>
      <w:bookmarkStart w:id="42" w:name="_Toc74732495"/>
      <w:r>
        <w:rPr>
          <w:rStyle w:val="CharSectno"/>
        </w:rPr>
        <w:t>9</w:t>
      </w:r>
      <w:r>
        <w:rPr>
          <w:snapToGrid w:val="0"/>
        </w:rPr>
        <w:t>.</w:t>
      </w:r>
      <w:r>
        <w:rPr>
          <w:snapToGrid w:val="0"/>
        </w:rPr>
        <w:tab/>
        <w:t>Building permit etc., implied conditions and terms as to</w:t>
      </w:r>
      <w:bookmarkEnd w:id="41"/>
      <w:bookmarkEnd w:id="42"/>
    </w:p>
    <w:p w:rsidR="004230DE" w:rsidRDefault="00670E7C">
      <w:pPr>
        <w:pStyle w:val="Subsection"/>
        <w:rPr>
          <w:snapToGrid w:val="0"/>
        </w:rPr>
      </w:pPr>
      <w:r>
        <w:rPr>
          <w:snapToGrid w:val="0"/>
        </w:rPr>
        <w:tab/>
        <w:t>(1)</w:t>
      </w:r>
      <w:r>
        <w:rPr>
          <w:snapToGrid w:val="0"/>
        </w:rPr>
        <w:tab/>
        <w:t>Subject to subsection (5) every contract is conditional upon —</w:t>
      </w:r>
    </w:p>
    <w:p w:rsidR="004230DE" w:rsidRDefault="00670E7C">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rsidR="004230DE" w:rsidRDefault="00670E7C">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rsidR="004230DE" w:rsidRDefault="00670E7C">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rsidR="004230DE" w:rsidRDefault="00670E7C">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rsidR="004230DE" w:rsidRDefault="00670E7C">
      <w:pPr>
        <w:pStyle w:val="Subsection"/>
        <w:keepNext/>
        <w:rPr>
          <w:snapToGrid w:val="0"/>
        </w:rPr>
      </w:pPr>
      <w:r>
        <w:rPr>
          <w:snapToGrid w:val="0"/>
        </w:rPr>
        <w:tab/>
        <w:t>(2)</w:t>
      </w:r>
      <w:r>
        <w:rPr>
          <w:snapToGrid w:val="0"/>
        </w:rPr>
        <w:tab/>
        <w:t>It is a term of every contract that —</w:t>
      </w:r>
    </w:p>
    <w:p w:rsidR="004230DE" w:rsidRDefault="00670E7C">
      <w:pPr>
        <w:pStyle w:val="Indenta"/>
        <w:keepNext/>
        <w:rPr>
          <w:snapToGrid w:val="0"/>
        </w:rPr>
      </w:pPr>
      <w:r>
        <w:rPr>
          <w:snapToGrid w:val="0"/>
        </w:rPr>
        <w:tab/>
        <w:t>(a)</w:t>
      </w:r>
      <w:r>
        <w:rPr>
          <w:snapToGrid w:val="0"/>
        </w:rPr>
        <w:tab/>
        <w:t>the builder will —</w:t>
      </w:r>
    </w:p>
    <w:p w:rsidR="004230DE" w:rsidRDefault="00670E7C">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Indenta"/>
        <w:rPr>
          <w:snapToGrid w:val="0"/>
        </w:rPr>
      </w:pPr>
      <w:r>
        <w:rPr>
          <w:snapToGrid w:val="0"/>
        </w:rPr>
        <w:tab/>
        <w:t>(b)</w:t>
      </w:r>
      <w:r>
        <w:rPr>
          <w:snapToGrid w:val="0"/>
        </w:rPr>
        <w:tab/>
        <w:t>the owner will —</w:t>
      </w:r>
    </w:p>
    <w:p w:rsidR="004230DE" w:rsidRDefault="00670E7C">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rsidR="004230DE" w:rsidRDefault="00670E7C">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rsidR="004230DE" w:rsidRDefault="00670E7C">
      <w:pPr>
        <w:pStyle w:val="Subsection"/>
        <w:rPr>
          <w:snapToGrid w:val="0"/>
        </w:rPr>
      </w:pPr>
      <w:r>
        <w:rPr>
          <w:snapToGrid w:val="0"/>
        </w:rPr>
        <w:tab/>
        <w:t>(5)</w:t>
      </w:r>
      <w:r>
        <w:rPr>
          <w:snapToGrid w:val="0"/>
        </w:rPr>
        <w:tab/>
        <w:t>A condition referred to in a paragraph of subsection (1) does not apply to a contract —</w:t>
      </w:r>
    </w:p>
    <w:p w:rsidR="004230DE" w:rsidRDefault="00670E7C">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rsidR="004230DE" w:rsidRDefault="00670E7C">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rsidR="004230DE" w:rsidRDefault="00670E7C">
      <w:pPr>
        <w:pStyle w:val="Indenta"/>
        <w:spacing w:before="60"/>
        <w:rPr>
          <w:snapToGrid w:val="0"/>
        </w:rPr>
      </w:pPr>
      <w:r>
        <w:rPr>
          <w:snapToGrid w:val="0"/>
        </w:rPr>
        <w:tab/>
        <w:t>(c)</w:t>
      </w:r>
      <w:r>
        <w:rPr>
          <w:snapToGrid w:val="0"/>
        </w:rPr>
        <w:tab/>
        <w:t>for any other prescribed home building work.</w:t>
      </w:r>
    </w:p>
    <w:p w:rsidR="004230DE" w:rsidRDefault="00670E7C">
      <w:pPr>
        <w:pStyle w:val="Ednotesubsection"/>
      </w:pPr>
      <w:r>
        <w:tab/>
        <w:t>[(6)</w:t>
      </w:r>
      <w:r>
        <w:tab/>
        <w:t>Deleted.]</w:t>
      </w:r>
    </w:p>
    <w:p w:rsidR="004230DE" w:rsidRDefault="00670E7C">
      <w:pPr>
        <w:pStyle w:val="Footnotesection"/>
        <w:spacing w:before="100"/>
        <w:ind w:left="890" w:hanging="890"/>
        <w:rPr>
          <w:spacing w:val="-4"/>
        </w:rPr>
      </w:pPr>
      <w:r>
        <w:rPr>
          <w:spacing w:val="-4"/>
        </w:rPr>
        <w:tab/>
        <w:t>[Section 9 amended: No. 73 of 1995 s. 188; No. 14 of 1996 s. 4; No. 76 of 2000 s. 47; No. 37 of 2002 s. 6; No. 24 of 2011 s. 163(4) and (5); No. 25 of 2012 s. 217.]</w:t>
      </w:r>
    </w:p>
    <w:p w:rsidR="004230DE" w:rsidRDefault="00670E7C">
      <w:pPr>
        <w:pStyle w:val="Heading5"/>
        <w:spacing w:before="240"/>
        <w:rPr>
          <w:snapToGrid w:val="0"/>
        </w:rPr>
      </w:pPr>
      <w:bookmarkStart w:id="43" w:name="_Toc75344403"/>
      <w:bookmarkStart w:id="44" w:name="_Toc74732496"/>
      <w:r>
        <w:rPr>
          <w:rStyle w:val="CharSectno"/>
        </w:rPr>
        <w:t>10</w:t>
      </w:r>
      <w:r>
        <w:rPr>
          <w:snapToGrid w:val="0"/>
        </w:rPr>
        <w:t>.</w:t>
      </w:r>
      <w:r>
        <w:rPr>
          <w:snapToGrid w:val="0"/>
        </w:rPr>
        <w:tab/>
        <w:t>Deposits and progress payments, limits on terms as to</w:t>
      </w:r>
      <w:bookmarkEnd w:id="43"/>
      <w:bookmarkEnd w:id="44"/>
    </w:p>
    <w:p w:rsidR="004230DE" w:rsidRDefault="00670E7C">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rsidR="004230DE" w:rsidRDefault="00670E7C">
      <w:pPr>
        <w:pStyle w:val="Indenta"/>
        <w:rPr>
          <w:snapToGrid w:val="0"/>
        </w:rPr>
      </w:pPr>
      <w:r>
        <w:rPr>
          <w:snapToGrid w:val="0"/>
        </w:rPr>
        <w:tab/>
        <w:t>(a)</w:t>
      </w:r>
      <w:r>
        <w:rPr>
          <w:snapToGrid w:val="0"/>
        </w:rPr>
        <w:tab/>
        <w:t>before the commencement of the home building work to which the contract relates unless the payment is —</w:t>
      </w:r>
    </w:p>
    <w:p w:rsidR="004230DE" w:rsidRDefault="00670E7C">
      <w:pPr>
        <w:pStyle w:val="Indenti"/>
        <w:rPr>
          <w:snapToGrid w:val="0"/>
        </w:rPr>
      </w:pPr>
      <w:r>
        <w:rPr>
          <w:snapToGrid w:val="0"/>
        </w:rPr>
        <w:tab/>
        <w:t>(i)</w:t>
      </w:r>
      <w:r>
        <w:rPr>
          <w:snapToGrid w:val="0"/>
        </w:rPr>
        <w:tab/>
        <w:t>a deposit of not more than 6.5% of the total amount payable to the builder under the contract for the home building work; or</w:t>
      </w:r>
    </w:p>
    <w:p w:rsidR="004230DE" w:rsidRDefault="00670E7C">
      <w:pPr>
        <w:pStyle w:val="Indenti"/>
        <w:rPr>
          <w:snapToGrid w:val="0"/>
        </w:rPr>
      </w:pPr>
      <w:r>
        <w:rPr>
          <w:snapToGrid w:val="0"/>
        </w:rPr>
        <w:tab/>
        <w:t>(ii)</w:t>
      </w:r>
      <w:r>
        <w:rPr>
          <w:snapToGrid w:val="0"/>
        </w:rPr>
        <w:tab/>
        <w:t>of a prescribed kind;</w:t>
      </w:r>
    </w:p>
    <w:p w:rsidR="004230DE" w:rsidRDefault="00670E7C">
      <w:pPr>
        <w:pStyle w:val="Indenta"/>
        <w:rPr>
          <w:snapToGrid w:val="0"/>
        </w:rPr>
      </w:pPr>
      <w:r>
        <w:rPr>
          <w:snapToGrid w:val="0"/>
        </w:rPr>
        <w:tab/>
        <w:t>(b)</w:t>
      </w:r>
      <w:r>
        <w:rPr>
          <w:snapToGrid w:val="0"/>
        </w:rPr>
        <w:tab/>
        <w:t>after the commencement of the home building work unless the payment is —</w:t>
      </w:r>
    </w:p>
    <w:p w:rsidR="004230DE" w:rsidRDefault="00670E7C">
      <w:pPr>
        <w:pStyle w:val="Indenti"/>
        <w:rPr>
          <w:snapToGrid w:val="0"/>
        </w:rPr>
      </w:pPr>
      <w:r>
        <w:rPr>
          <w:snapToGrid w:val="0"/>
        </w:rPr>
        <w:tab/>
        <w:t>(i)</w:t>
      </w:r>
      <w:r>
        <w:rPr>
          <w:snapToGrid w:val="0"/>
        </w:rPr>
        <w:tab/>
        <w:t>a genuine progress payment for work already performed or materials or services already supplied; or</w:t>
      </w:r>
    </w:p>
    <w:p w:rsidR="004230DE" w:rsidRDefault="00670E7C">
      <w:pPr>
        <w:pStyle w:val="Indenti"/>
        <w:rPr>
          <w:snapToGrid w:val="0"/>
        </w:rPr>
      </w:pPr>
      <w:r>
        <w:rPr>
          <w:snapToGrid w:val="0"/>
        </w:rPr>
        <w:tab/>
        <w:t>(ii)</w:t>
      </w:r>
      <w:r>
        <w:rPr>
          <w:snapToGrid w:val="0"/>
        </w:rPr>
        <w:tab/>
        <w:t>is of a prescribed kind.</w:t>
      </w:r>
    </w:p>
    <w:p w:rsidR="004230DE" w:rsidRDefault="00670E7C">
      <w:pPr>
        <w:pStyle w:val="Penstart"/>
        <w:rPr>
          <w:snapToGrid w:val="0"/>
        </w:rPr>
      </w:pPr>
      <w:r>
        <w:rPr>
          <w:snapToGrid w:val="0"/>
        </w:rPr>
        <w:tab/>
        <w:t>Penalty: $10 000.</w:t>
      </w:r>
    </w:p>
    <w:p w:rsidR="004230DE" w:rsidRDefault="00670E7C">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rsidR="004230DE" w:rsidRDefault="00670E7C">
      <w:pPr>
        <w:pStyle w:val="Indenta"/>
        <w:rPr>
          <w:snapToGrid w:val="0"/>
        </w:rPr>
      </w:pPr>
      <w:r>
        <w:rPr>
          <w:snapToGrid w:val="0"/>
        </w:rPr>
        <w:tab/>
        <w:t>(a)</w:t>
      </w:r>
      <w:r>
        <w:rPr>
          <w:snapToGrid w:val="0"/>
        </w:rPr>
        <w:tab/>
        <w:t>if property in the materials or dwelling passes absolutely to the owner on the payment being made; and</w:t>
      </w:r>
    </w:p>
    <w:p w:rsidR="004230DE" w:rsidRDefault="00670E7C">
      <w:pPr>
        <w:pStyle w:val="Indenta"/>
        <w:rPr>
          <w:snapToGrid w:val="0"/>
        </w:rPr>
      </w:pPr>
      <w:r>
        <w:rPr>
          <w:snapToGrid w:val="0"/>
        </w:rPr>
        <w:tab/>
        <w:t>(b)</w:t>
      </w:r>
      <w:r>
        <w:rPr>
          <w:snapToGrid w:val="0"/>
        </w:rPr>
        <w:tab/>
        <w:t>notwithstanding that the materials or dwelling are not placed on or affixed to the land of the owner.</w:t>
      </w:r>
    </w:p>
    <w:p w:rsidR="004230DE" w:rsidRDefault="00670E7C">
      <w:pPr>
        <w:pStyle w:val="Subsection"/>
        <w:keepNext/>
        <w:rPr>
          <w:snapToGrid w:val="0"/>
        </w:rPr>
      </w:pPr>
      <w:r>
        <w:rPr>
          <w:snapToGrid w:val="0"/>
        </w:rPr>
        <w:tab/>
        <w:t>(3)</w:t>
      </w:r>
      <w:r>
        <w:rPr>
          <w:snapToGrid w:val="0"/>
        </w:rPr>
        <w:tab/>
        <w:t>Where —</w:t>
      </w:r>
    </w:p>
    <w:p w:rsidR="004230DE" w:rsidRDefault="00670E7C">
      <w:pPr>
        <w:pStyle w:val="Indenta"/>
        <w:rPr>
          <w:snapToGrid w:val="0"/>
        </w:rPr>
      </w:pPr>
      <w:r>
        <w:rPr>
          <w:snapToGrid w:val="0"/>
        </w:rPr>
        <w:tab/>
        <w:t>(a)</w:t>
      </w:r>
      <w:r>
        <w:rPr>
          <w:snapToGrid w:val="0"/>
        </w:rPr>
        <w:tab/>
        <w:t>a contract sets out a schedule of payments due at specified stages of the home building work; and</w:t>
      </w:r>
    </w:p>
    <w:p w:rsidR="004230DE" w:rsidRDefault="00670E7C">
      <w:pPr>
        <w:pStyle w:val="Indenta"/>
        <w:rPr>
          <w:snapToGrid w:val="0"/>
        </w:rPr>
      </w:pPr>
      <w:r>
        <w:rPr>
          <w:snapToGrid w:val="0"/>
        </w:rPr>
        <w:tab/>
        <w:t>(b)</w:t>
      </w:r>
      <w:r>
        <w:rPr>
          <w:snapToGrid w:val="0"/>
        </w:rPr>
        <w:tab/>
        <w:t>a payment is demanded or required in accordance with that schedule,</w:t>
      </w:r>
    </w:p>
    <w:p w:rsidR="004230DE" w:rsidRDefault="00670E7C">
      <w:pPr>
        <w:pStyle w:val="Subsection"/>
        <w:rPr>
          <w:snapToGrid w:val="0"/>
        </w:rPr>
      </w:pPr>
      <w:r>
        <w:rPr>
          <w:snapToGrid w:val="0"/>
        </w:rPr>
        <w:tab/>
      </w:r>
      <w:r>
        <w:rPr>
          <w:snapToGrid w:val="0"/>
        </w:rPr>
        <w:tab/>
        <w:t>the payment is to be taken to be a genuine progress payment for the purposes of subsection (1)(b)(i) until the contrary is shown.</w:t>
      </w:r>
    </w:p>
    <w:p w:rsidR="004230DE" w:rsidRDefault="00670E7C">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rsidR="004230DE" w:rsidRDefault="00670E7C">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rsidR="004230DE" w:rsidRDefault="00670E7C">
      <w:pPr>
        <w:pStyle w:val="Penstart"/>
      </w:pPr>
      <w:r>
        <w:tab/>
        <w:t>Penalty: $10 000.</w:t>
      </w:r>
    </w:p>
    <w:p w:rsidR="004230DE" w:rsidRDefault="00670E7C">
      <w:pPr>
        <w:pStyle w:val="Footnotesection"/>
        <w:rPr>
          <w:i w:val="0"/>
        </w:rPr>
      </w:pPr>
      <w:r>
        <w:tab/>
        <w:t>[Section 10 amended: No. 76 of 2000 s. 48.]</w:t>
      </w:r>
    </w:p>
    <w:p w:rsidR="004230DE" w:rsidRDefault="00670E7C">
      <w:pPr>
        <w:pStyle w:val="Heading5"/>
        <w:rPr>
          <w:snapToGrid w:val="0"/>
        </w:rPr>
      </w:pPr>
      <w:bookmarkStart w:id="45" w:name="_Toc75344404"/>
      <w:bookmarkStart w:id="46" w:name="_Toc74732497"/>
      <w:r>
        <w:rPr>
          <w:rStyle w:val="CharSectno"/>
        </w:rPr>
        <w:t>11</w:t>
      </w:r>
      <w:r>
        <w:rPr>
          <w:snapToGrid w:val="0"/>
        </w:rPr>
        <w:t>.</w:t>
      </w:r>
      <w:r>
        <w:rPr>
          <w:snapToGrid w:val="0"/>
        </w:rPr>
        <w:tab/>
        <w:t>Defects, implied condition as to liability for</w:t>
      </w:r>
      <w:bookmarkEnd w:id="45"/>
      <w:bookmarkEnd w:id="46"/>
    </w:p>
    <w:p w:rsidR="004230DE" w:rsidRDefault="00670E7C">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rsidR="004230DE" w:rsidRDefault="00670E7C">
      <w:pPr>
        <w:pStyle w:val="Subsection"/>
      </w:pPr>
      <w:r>
        <w:tab/>
        <w:t>(1a)</w:t>
      </w:r>
      <w:r>
        <w:tab/>
        <w:t>Nothing in subsection (1) prevents a contract from providing for a period greater than 4 months as the period within which the notification referred to in that subsection must be given.</w:t>
      </w:r>
    </w:p>
    <w:p w:rsidR="004230DE" w:rsidRDefault="00670E7C">
      <w:pPr>
        <w:pStyle w:val="Subsection"/>
        <w:rPr>
          <w:snapToGrid w:val="0"/>
        </w:rPr>
      </w:pPr>
      <w:r>
        <w:rPr>
          <w:snapToGrid w:val="0"/>
        </w:rPr>
        <w:tab/>
        <w:t>(2)</w:t>
      </w:r>
      <w:r>
        <w:rPr>
          <w:snapToGrid w:val="0"/>
        </w:rPr>
        <w:tab/>
        <w:t>In subsection (1) —</w:t>
      </w:r>
    </w:p>
    <w:p w:rsidR="004230DE" w:rsidRDefault="00670E7C">
      <w:pPr>
        <w:pStyle w:val="Defstart"/>
      </w:pPr>
      <w:r>
        <w:rPr>
          <w:b/>
        </w:rPr>
        <w:tab/>
      </w:r>
      <w:r>
        <w:rPr>
          <w:rStyle w:val="CharDefText"/>
        </w:rPr>
        <w:t>defect</w:t>
      </w:r>
      <w:r>
        <w:t xml:space="preserve"> means a failure —</w:t>
      </w:r>
    </w:p>
    <w:p w:rsidR="004230DE" w:rsidRDefault="00670E7C">
      <w:pPr>
        <w:pStyle w:val="Defpara"/>
      </w:pPr>
      <w:r>
        <w:tab/>
        <w:t>(a)</w:t>
      </w:r>
      <w:r>
        <w:tab/>
        <w:t>to perform the home building work in a proper and workmanlike manner and in accordance with the contract; or</w:t>
      </w:r>
    </w:p>
    <w:p w:rsidR="004230DE" w:rsidRDefault="00670E7C">
      <w:pPr>
        <w:pStyle w:val="Defpara"/>
      </w:pPr>
      <w:r>
        <w:tab/>
        <w:t>(b)</w:t>
      </w:r>
      <w:r>
        <w:tab/>
        <w:t>to supply materials that are of merchantable quality and reasonably fit for the purpose for which the owner required the home building work to be performed,</w:t>
      </w:r>
    </w:p>
    <w:p w:rsidR="004230DE" w:rsidRDefault="00670E7C">
      <w:pPr>
        <w:pStyle w:val="Defstart"/>
      </w:pPr>
      <w:r>
        <w:tab/>
        <w:t>not being a failure for which the builder is specifically declared by the contract to be not liable;</w:t>
      </w:r>
    </w:p>
    <w:p w:rsidR="004230DE" w:rsidRDefault="00670E7C">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rsidR="004230DE" w:rsidRDefault="00670E7C">
      <w:pPr>
        <w:pStyle w:val="Subsection"/>
        <w:rPr>
          <w:snapToGrid w:val="0"/>
        </w:rPr>
      </w:pPr>
      <w:r>
        <w:rPr>
          <w:snapToGrid w:val="0"/>
        </w:rPr>
        <w:tab/>
        <w:t>(3)</w:t>
      </w:r>
      <w:r>
        <w:rPr>
          <w:snapToGrid w:val="0"/>
        </w:rPr>
        <w:tab/>
        <w:t>The regulations may provide for exemptions from the requirements of this section.</w:t>
      </w:r>
    </w:p>
    <w:p w:rsidR="004230DE" w:rsidRDefault="00670E7C">
      <w:pPr>
        <w:pStyle w:val="Footnotesection"/>
      </w:pPr>
      <w:r>
        <w:tab/>
        <w:t>[Section 11 amended: No. 76 of 2000 s. 49.]</w:t>
      </w:r>
    </w:p>
    <w:p w:rsidR="004230DE" w:rsidRDefault="00670E7C">
      <w:pPr>
        <w:pStyle w:val="Heading5"/>
        <w:rPr>
          <w:snapToGrid w:val="0"/>
        </w:rPr>
      </w:pPr>
      <w:bookmarkStart w:id="47" w:name="_Toc75344405"/>
      <w:bookmarkStart w:id="48" w:name="_Toc74732498"/>
      <w:r>
        <w:rPr>
          <w:rStyle w:val="CharSectno"/>
        </w:rPr>
        <w:t>12</w:t>
      </w:r>
      <w:r>
        <w:rPr>
          <w:snapToGrid w:val="0"/>
        </w:rPr>
        <w:t>.</w:t>
      </w:r>
      <w:r>
        <w:rPr>
          <w:snapToGrid w:val="0"/>
        </w:rPr>
        <w:tab/>
        <w:t>Understatement of prime cost items etc. by builder, offence</w:t>
      </w:r>
      <w:bookmarkEnd w:id="47"/>
      <w:bookmarkEnd w:id="48"/>
    </w:p>
    <w:p w:rsidR="004230DE" w:rsidRDefault="00670E7C">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rsidR="004230DE" w:rsidRDefault="00670E7C">
      <w:pPr>
        <w:pStyle w:val="Heading5"/>
        <w:rPr>
          <w:snapToGrid w:val="0"/>
        </w:rPr>
      </w:pPr>
      <w:bookmarkStart w:id="49" w:name="_Toc75344406"/>
      <w:bookmarkStart w:id="50" w:name="_Toc74732499"/>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49"/>
      <w:bookmarkEnd w:id="50"/>
    </w:p>
    <w:p w:rsidR="004230DE" w:rsidRDefault="00670E7C">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rsidR="004230DE" w:rsidRDefault="00670E7C">
      <w:pPr>
        <w:pStyle w:val="Subsection"/>
        <w:keepLines/>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rsidR="004230DE" w:rsidRDefault="00670E7C">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rsidR="004230DE" w:rsidRDefault="00670E7C">
      <w:pPr>
        <w:pStyle w:val="Indenta"/>
        <w:rPr>
          <w:snapToGrid w:val="0"/>
        </w:rPr>
      </w:pPr>
      <w:r>
        <w:rPr>
          <w:snapToGrid w:val="0"/>
        </w:rPr>
        <w:tab/>
        <w:t>(a)</w:t>
      </w:r>
      <w:r>
        <w:rPr>
          <w:snapToGrid w:val="0"/>
        </w:rPr>
        <w:tab/>
        <w:t>as a direct consequence of a written law of the State or the Commonwealth; or</w:t>
      </w:r>
    </w:p>
    <w:p w:rsidR="004230DE" w:rsidRDefault="00670E7C">
      <w:pPr>
        <w:pStyle w:val="Indenta"/>
        <w:rPr>
          <w:snapToGrid w:val="0"/>
        </w:rPr>
      </w:pPr>
      <w:r>
        <w:rPr>
          <w:snapToGrid w:val="0"/>
        </w:rPr>
        <w:tab/>
        <w:t>(b)</w:t>
      </w:r>
      <w:r>
        <w:rPr>
          <w:snapToGrid w:val="0"/>
        </w:rPr>
        <w:tab/>
        <w:t>on account of an increase in any tax, duty or other charge imposed under any such law after the date of the contract; or</w:t>
      </w:r>
    </w:p>
    <w:p w:rsidR="004230DE" w:rsidRDefault="00670E7C">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rsidR="004230DE" w:rsidRDefault="00670E7C">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rsidR="004230DE" w:rsidRDefault="00670E7C">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rsidR="004230DE" w:rsidRDefault="00670E7C">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rsidR="004230DE" w:rsidRDefault="00670E7C">
      <w:pPr>
        <w:pStyle w:val="Heading5"/>
        <w:rPr>
          <w:snapToGrid w:val="0"/>
        </w:rPr>
      </w:pPr>
      <w:bookmarkStart w:id="51" w:name="_Toc75344407"/>
      <w:bookmarkStart w:id="52" w:name="_Toc74732500"/>
      <w:r>
        <w:rPr>
          <w:rStyle w:val="CharSectno"/>
        </w:rPr>
        <w:t>14</w:t>
      </w:r>
      <w:r>
        <w:rPr>
          <w:snapToGrid w:val="0"/>
        </w:rPr>
        <w:t>.</w:t>
      </w:r>
      <w:r>
        <w:rPr>
          <w:snapToGrid w:val="0"/>
        </w:rPr>
        <w:tab/>
        <w:t>Cost plus contracts, requirements as to</w:t>
      </w:r>
      <w:bookmarkEnd w:id="51"/>
      <w:bookmarkEnd w:id="52"/>
    </w:p>
    <w:p w:rsidR="004230DE" w:rsidRDefault="00670E7C">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rsidR="004230DE" w:rsidRDefault="00670E7C">
      <w:pPr>
        <w:pStyle w:val="Indenta"/>
        <w:rPr>
          <w:snapToGrid w:val="0"/>
        </w:rPr>
      </w:pPr>
      <w:r>
        <w:rPr>
          <w:snapToGrid w:val="0"/>
        </w:rPr>
        <w:tab/>
        <w:t>(a)</w:t>
      </w:r>
      <w:r>
        <w:rPr>
          <w:snapToGrid w:val="0"/>
        </w:rPr>
        <w:tab/>
        <w:t>has a heading at the beginning that includes the words “cost plus contract”; and</w:t>
      </w:r>
    </w:p>
    <w:p w:rsidR="004230DE" w:rsidRDefault="00670E7C">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rsidR="004230DE" w:rsidRDefault="00670E7C">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rsidR="004230DE" w:rsidRDefault="00670E7C">
      <w:pPr>
        <w:pStyle w:val="Footnotesection"/>
      </w:pPr>
      <w:r>
        <w:tab/>
        <w:t>[Section 14 amended: No. 37 of 2002 s. 7.]</w:t>
      </w:r>
    </w:p>
    <w:p w:rsidR="004230DE" w:rsidRDefault="00670E7C">
      <w:pPr>
        <w:pStyle w:val="Heading5"/>
        <w:rPr>
          <w:snapToGrid w:val="0"/>
        </w:rPr>
      </w:pPr>
      <w:bookmarkStart w:id="53" w:name="_Toc75344408"/>
      <w:bookmarkStart w:id="54" w:name="_Toc74732501"/>
      <w:r>
        <w:rPr>
          <w:rStyle w:val="CharSectno"/>
        </w:rPr>
        <w:t>15</w:t>
      </w:r>
      <w:r>
        <w:rPr>
          <w:snapToGrid w:val="0"/>
        </w:rPr>
        <w:t>.</w:t>
      </w:r>
      <w:r>
        <w:rPr>
          <w:snapToGrid w:val="0"/>
        </w:rPr>
        <w:tab/>
        <w:t>Unconscionable etc. conduct by builder as to contract etc.</w:t>
      </w:r>
      <w:bookmarkEnd w:id="53"/>
      <w:bookmarkEnd w:id="54"/>
    </w:p>
    <w:p w:rsidR="004230DE" w:rsidRDefault="00670E7C">
      <w:pPr>
        <w:pStyle w:val="Subsection"/>
        <w:rPr>
          <w:snapToGrid w:val="0"/>
        </w:rPr>
      </w:pPr>
      <w:r>
        <w:rPr>
          <w:snapToGrid w:val="0"/>
        </w:rPr>
        <w:tab/>
        <w:t>(1)</w:t>
      </w:r>
      <w:r>
        <w:rPr>
          <w:snapToGrid w:val="0"/>
        </w:rPr>
        <w:tab/>
        <w:t>A builder must not —</w:t>
      </w:r>
    </w:p>
    <w:p w:rsidR="004230DE" w:rsidRDefault="00670E7C">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rsidR="004230DE" w:rsidRDefault="00670E7C">
      <w:pPr>
        <w:pStyle w:val="Indenta"/>
        <w:rPr>
          <w:snapToGrid w:val="0"/>
        </w:rPr>
      </w:pPr>
      <w:r>
        <w:rPr>
          <w:snapToGrid w:val="0"/>
        </w:rPr>
        <w:tab/>
        <w:t>(b)</w:t>
      </w:r>
      <w:r>
        <w:rPr>
          <w:snapToGrid w:val="0"/>
        </w:rPr>
        <w:tab/>
        <w:t>enter into a contract that contains any provision that is unconscionable, harsh or oppressive.</w:t>
      </w:r>
    </w:p>
    <w:p w:rsidR="004230DE" w:rsidRDefault="00670E7C">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rsidR="004230DE" w:rsidRDefault="00670E7C">
      <w:pPr>
        <w:pStyle w:val="Indenta"/>
        <w:rPr>
          <w:snapToGrid w:val="0"/>
        </w:rPr>
      </w:pPr>
      <w:r>
        <w:rPr>
          <w:snapToGrid w:val="0"/>
        </w:rPr>
        <w:tab/>
        <w:t>(a)</w:t>
      </w:r>
      <w:r>
        <w:rPr>
          <w:snapToGrid w:val="0"/>
        </w:rPr>
        <w:tab/>
        <w:t>the relative strengths of the bargaining positions of the builder and the owner; and</w:t>
      </w:r>
    </w:p>
    <w:p w:rsidR="004230DE" w:rsidRDefault="00670E7C">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rsidR="004230DE" w:rsidRDefault="00670E7C">
      <w:pPr>
        <w:pStyle w:val="Indenta"/>
        <w:rPr>
          <w:snapToGrid w:val="0"/>
        </w:rPr>
      </w:pPr>
      <w:r>
        <w:rPr>
          <w:snapToGrid w:val="0"/>
        </w:rPr>
        <w:tab/>
        <w:t>(c)</w:t>
      </w:r>
      <w:r>
        <w:rPr>
          <w:snapToGrid w:val="0"/>
        </w:rPr>
        <w:tab/>
        <w:t>whether the owner was able to understand the contract; and</w:t>
      </w:r>
    </w:p>
    <w:p w:rsidR="004230DE" w:rsidRDefault="00670E7C">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rsidR="004230DE" w:rsidRDefault="00670E7C">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rsidR="004230DE" w:rsidRDefault="00670E7C">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rsidR="004230DE" w:rsidRDefault="00670E7C">
      <w:pPr>
        <w:pStyle w:val="Indenti"/>
        <w:rPr>
          <w:snapToGrid w:val="0"/>
        </w:rPr>
      </w:pPr>
      <w:r>
        <w:rPr>
          <w:snapToGrid w:val="0"/>
        </w:rPr>
        <w:tab/>
        <w:t>(i)</w:t>
      </w:r>
      <w:r>
        <w:rPr>
          <w:snapToGrid w:val="0"/>
        </w:rPr>
        <w:tab/>
        <w:t>that the owner has title to the land on which the work is to be performed; and</w:t>
      </w:r>
    </w:p>
    <w:p w:rsidR="004230DE" w:rsidRDefault="00670E7C">
      <w:pPr>
        <w:pStyle w:val="Indenti"/>
        <w:rPr>
          <w:snapToGrid w:val="0"/>
        </w:rPr>
      </w:pPr>
      <w:r>
        <w:rPr>
          <w:snapToGrid w:val="0"/>
        </w:rPr>
        <w:tab/>
        <w:t>(ii)</w:t>
      </w:r>
      <w:r>
        <w:rPr>
          <w:snapToGrid w:val="0"/>
        </w:rPr>
        <w:tab/>
        <w:t>by production of evidence in writing, that the owner is able to pay the contract price;</w:t>
      </w:r>
    </w:p>
    <w:p w:rsidR="004230DE" w:rsidRDefault="00670E7C">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rsidR="004230DE" w:rsidRDefault="00670E7C">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rsidR="004230DE" w:rsidRDefault="00670E7C">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rsidR="004230DE" w:rsidRDefault="00670E7C">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rsidR="004230DE" w:rsidRDefault="00670E7C">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rsidR="004230DE" w:rsidRDefault="00670E7C">
      <w:pPr>
        <w:pStyle w:val="Footnotesection"/>
      </w:pPr>
      <w:r>
        <w:tab/>
        <w:t>[Section 15 amended: No. 76 of 2000 s. 50 and 57; No. 37 of 2002 s. 20; No. 16 of 2011 s. 115.]</w:t>
      </w:r>
    </w:p>
    <w:p w:rsidR="004230DE" w:rsidRDefault="00670E7C">
      <w:pPr>
        <w:pStyle w:val="Heading5"/>
      </w:pPr>
      <w:bookmarkStart w:id="55" w:name="_Toc75344409"/>
      <w:bookmarkStart w:id="56" w:name="_Toc74732502"/>
      <w:r>
        <w:rPr>
          <w:rStyle w:val="CharSectno"/>
        </w:rPr>
        <w:t>15A</w:t>
      </w:r>
      <w:r>
        <w:t>.</w:t>
      </w:r>
      <w:r>
        <w:tab/>
        <w:t>Misleading or deceptive conduct by builder or owner as to contract</w:t>
      </w:r>
      <w:bookmarkEnd w:id="55"/>
      <w:bookmarkEnd w:id="56"/>
    </w:p>
    <w:p w:rsidR="004230DE" w:rsidRDefault="00670E7C">
      <w:pPr>
        <w:pStyle w:val="Subsection"/>
      </w:pPr>
      <w:r>
        <w:tab/>
      </w:r>
      <w:r>
        <w:tab/>
        <w:t>A person who is a builder or an owner must not, in connection with —</w:t>
      </w:r>
    </w:p>
    <w:p w:rsidR="004230DE" w:rsidRDefault="00670E7C">
      <w:pPr>
        <w:pStyle w:val="Indenta"/>
      </w:pPr>
      <w:r>
        <w:tab/>
        <w:t>(a)</w:t>
      </w:r>
      <w:r>
        <w:tab/>
        <w:t>the formation or execution of a contract; or</w:t>
      </w:r>
    </w:p>
    <w:p w:rsidR="004230DE" w:rsidRDefault="00670E7C">
      <w:pPr>
        <w:pStyle w:val="Indenta"/>
      </w:pPr>
      <w:r>
        <w:tab/>
        <w:t>(b)</w:t>
      </w:r>
      <w:r>
        <w:tab/>
        <w:t>negotiations to vary a contract after execution; or</w:t>
      </w:r>
    </w:p>
    <w:p w:rsidR="004230DE" w:rsidRDefault="00670E7C">
      <w:pPr>
        <w:pStyle w:val="Indenta"/>
      </w:pPr>
      <w:r>
        <w:tab/>
        <w:t>(c)</w:t>
      </w:r>
      <w:r>
        <w:tab/>
        <w:t>the circumstances in which a contract or variation of contract is entered into,</w:t>
      </w:r>
    </w:p>
    <w:p w:rsidR="004230DE" w:rsidRDefault="00670E7C">
      <w:pPr>
        <w:pStyle w:val="Subsection"/>
      </w:pPr>
      <w:r>
        <w:tab/>
      </w:r>
      <w:r>
        <w:tab/>
        <w:t>engage in conduct that is misleading or deceptive.</w:t>
      </w:r>
    </w:p>
    <w:p w:rsidR="004230DE" w:rsidRDefault="00670E7C">
      <w:pPr>
        <w:pStyle w:val="Footnotesection"/>
      </w:pPr>
      <w:r>
        <w:tab/>
        <w:t>[Section 15A inserted: No. 76 of 2000 s. 51.]</w:t>
      </w:r>
    </w:p>
    <w:p w:rsidR="004230DE" w:rsidRDefault="00670E7C">
      <w:pPr>
        <w:pStyle w:val="Heading2"/>
      </w:pPr>
      <w:bookmarkStart w:id="57" w:name="_Toc75339168"/>
      <w:bookmarkStart w:id="58" w:name="_Toc75339367"/>
      <w:bookmarkStart w:id="59" w:name="_Toc75344410"/>
      <w:bookmarkStart w:id="60" w:name="_Toc74650351"/>
      <w:bookmarkStart w:id="61" w:name="_Toc74650420"/>
      <w:bookmarkStart w:id="62" w:name="_Toc74732503"/>
      <w:r>
        <w:rPr>
          <w:rStyle w:val="CharPartNo"/>
        </w:rPr>
        <w:t>Part 3</w:t>
      </w:r>
      <w:r>
        <w:rPr>
          <w:rStyle w:val="CharDivNo"/>
        </w:rPr>
        <w:t> </w:t>
      </w:r>
      <w:r>
        <w:t>—</w:t>
      </w:r>
      <w:r>
        <w:rPr>
          <w:rStyle w:val="CharDivText"/>
        </w:rPr>
        <w:t> </w:t>
      </w:r>
      <w:r>
        <w:rPr>
          <w:rStyle w:val="CharPartText"/>
        </w:rPr>
        <w:t>Remedies</w:t>
      </w:r>
      <w:bookmarkEnd w:id="57"/>
      <w:bookmarkEnd w:id="58"/>
      <w:bookmarkEnd w:id="59"/>
      <w:bookmarkEnd w:id="60"/>
      <w:bookmarkEnd w:id="61"/>
      <w:bookmarkEnd w:id="62"/>
    </w:p>
    <w:p w:rsidR="004230DE" w:rsidRDefault="00670E7C">
      <w:pPr>
        <w:pStyle w:val="Ednotesection"/>
      </w:pPr>
      <w:r>
        <w:t>[</w:t>
      </w:r>
      <w:r>
        <w:rPr>
          <w:b/>
        </w:rPr>
        <w:t>16.</w:t>
      </w:r>
      <w:r>
        <w:tab/>
        <w:t>Deleted: No. 16 of 2011 s. 116]</w:t>
      </w:r>
    </w:p>
    <w:p w:rsidR="004230DE" w:rsidRDefault="00670E7C">
      <w:pPr>
        <w:pStyle w:val="Heading5"/>
      </w:pPr>
      <w:bookmarkStart w:id="63" w:name="_Toc75344411"/>
      <w:bookmarkStart w:id="64" w:name="_Toc74732504"/>
      <w:r>
        <w:rPr>
          <w:rStyle w:val="CharSectno"/>
        </w:rPr>
        <w:t>17</w:t>
      </w:r>
      <w:r>
        <w:t>.</w:t>
      </w:r>
      <w:r>
        <w:tab/>
        <w:t>Breach of contract or Part 2, or entitlement to compensation, procedure in case of</w:t>
      </w:r>
      <w:bookmarkEnd w:id="63"/>
      <w:bookmarkEnd w:id="64"/>
    </w:p>
    <w:p w:rsidR="004230DE" w:rsidRDefault="00670E7C">
      <w:pPr>
        <w:pStyle w:val="Subsection"/>
      </w:pPr>
      <w:r>
        <w:tab/>
      </w:r>
      <w:r>
        <w:tab/>
        <w:t xml:space="preserve">If an owner or builder under a contract claims that — </w:t>
      </w:r>
    </w:p>
    <w:p w:rsidR="004230DE" w:rsidRDefault="00670E7C">
      <w:pPr>
        <w:pStyle w:val="Indenta"/>
      </w:pPr>
      <w:r>
        <w:tab/>
        <w:t>(a)</w:t>
      </w:r>
      <w:r>
        <w:tab/>
        <w:t xml:space="preserve">there has been a breach of — </w:t>
      </w:r>
    </w:p>
    <w:p w:rsidR="004230DE" w:rsidRDefault="00670E7C">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rsidR="004230DE" w:rsidRDefault="00670E7C">
      <w:pPr>
        <w:pStyle w:val="Indenti"/>
      </w:pPr>
      <w:r>
        <w:tab/>
        <w:t>(ii)</w:t>
      </w:r>
      <w:r>
        <w:tab/>
        <w:t>a provision in Part 2;</w:t>
      </w:r>
    </w:p>
    <w:p w:rsidR="004230DE" w:rsidRDefault="00670E7C">
      <w:pPr>
        <w:pStyle w:val="Indenta"/>
      </w:pPr>
      <w:r>
        <w:tab/>
      </w:r>
      <w:r>
        <w:tab/>
        <w:t>or</w:t>
      </w:r>
    </w:p>
    <w:p w:rsidR="004230DE" w:rsidRDefault="00670E7C">
      <w:pPr>
        <w:pStyle w:val="Indenta"/>
      </w:pPr>
      <w:r>
        <w:tab/>
        <w:t>(b)</w:t>
      </w:r>
      <w:r>
        <w:tab/>
        <w:t>the owner or builder is entitled to compensation under Schedule 1,</w:t>
      </w:r>
    </w:p>
    <w:p w:rsidR="004230DE" w:rsidRDefault="00670E7C">
      <w:pPr>
        <w:pStyle w:val="Subsection"/>
      </w:pPr>
      <w:r>
        <w:tab/>
      </w:r>
      <w:r>
        <w:tab/>
        <w:t xml:space="preserve">then, subject to the </w:t>
      </w:r>
      <w:r>
        <w:rPr>
          <w:i/>
        </w:rPr>
        <w:t>Building Services (Complaint Resolution and Administration) Act 2011</w:t>
      </w:r>
      <w:r>
        <w:t>, the owner or builder may make a complaint under section 5(2) of that Act.</w:t>
      </w:r>
    </w:p>
    <w:p w:rsidR="004230DE" w:rsidRDefault="00670E7C">
      <w:pPr>
        <w:pStyle w:val="Footnotesection"/>
      </w:pPr>
      <w:r>
        <w:tab/>
        <w:t>[Section 17 inserted: No. 16 of 2011 s. 117.]</w:t>
      </w:r>
    </w:p>
    <w:p w:rsidR="004230DE" w:rsidRDefault="00670E7C">
      <w:pPr>
        <w:pStyle w:val="Ednotesection"/>
      </w:pPr>
      <w:r>
        <w:t>[</w:t>
      </w:r>
      <w:r>
        <w:rPr>
          <w:b/>
        </w:rPr>
        <w:t>18.</w:t>
      </w:r>
      <w:r>
        <w:tab/>
        <w:t>Deleted: No. 16 of 2011 s. 118]</w:t>
      </w:r>
    </w:p>
    <w:p w:rsidR="004230DE" w:rsidRDefault="00670E7C">
      <w:pPr>
        <w:pStyle w:val="Heading5"/>
        <w:rPr>
          <w:snapToGrid w:val="0"/>
        </w:rPr>
      </w:pPr>
      <w:bookmarkStart w:id="65" w:name="_Toc75344412"/>
      <w:bookmarkStart w:id="66" w:name="_Toc74732505"/>
      <w:r>
        <w:rPr>
          <w:rStyle w:val="CharSectno"/>
        </w:rPr>
        <w:t>19</w:t>
      </w:r>
      <w:r>
        <w:rPr>
          <w:snapToGrid w:val="0"/>
        </w:rPr>
        <w:t>.</w:t>
      </w:r>
      <w:r>
        <w:rPr>
          <w:snapToGrid w:val="0"/>
        </w:rPr>
        <w:tab/>
        <w:t>How contract terminated</w:t>
      </w:r>
      <w:bookmarkEnd w:id="65"/>
      <w:bookmarkEnd w:id="66"/>
    </w:p>
    <w:p w:rsidR="004230DE" w:rsidRDefault="00670E7C">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rsidR="004230DE" w:rsidRDefault="00670E7C">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rsidR="004230DE" w:rsidRDefault="00670E7C">
      <w:pPr>
        <w:pStyle w:val="Heading5"/>
      </w:pPr>
      <w:bookmarkStart w:id="67" w:name="_Toc75344413"/>
      <w:bookmarkStart w:id="68" w:name="_Toc74732506"/>
      <w:r>
        <w:rPr>
          <w:rStyle w:val="CharSectno"/>
        </w:rPr>
        <w:t>20</w:t>
      </w:r>
      <w:r>
        <w:t>.</w:t>
      </w:r>
      <w:r>
        <w:tab/>
        <w:t>Adjustment of rights in certain cases</w:t>
      </w:r>
      <w:bookmarkEnd w:id="67"/>
      <w:bookmarkEnd w:id="68"/>
    </w:p>
    <w:p w:rsidR="004230DE" w:rsidRDefault="00670E7C">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rsidR="004230DE" w:rsidRDefault="00670E7C">
      <w:pPr>
        <w:pStyle w:val="Indenta"/>
      </w:pPr>
      <w:r>
        <w:tab/>
        <w:t>(a)</w:t>
      </w:r>
      <w:r>
        <w:tab/>
        <w:t>the return or repayment of the whole or part of any consideration, or the value of any consideration, given by the owner under or in relation to the contract; or</w:t>
      </w:r>
    </w:p>
    <w:p w:rsidR="004230DE" w:rsidRDefault="00670E7C">
      <w:pPr>
        <w:pStyle w:val="Indenta"/>
      </w:pPr>
      <w:r>
        <w:tab/>
        <w:t>(b)</w:t>
      </w:r>
      <w:r>
        <w:tab/>
        <w:t xml:space="preserve">payment to the builder in respect of — </w:t>
      </w:r>
    </w:p>
    <w:p w:rsidR="004230DE" w:rsidRDefault="00670E7C">
      <w:pPr>
        <w:pStyle w:val="Indenti"/>
      </w:pPr>
      <w:r>
        <w:tab/>
        <w:t>(i)</w:t>
      </w:r>
      <w:r>
        <w:tab/>
        <w:t>any materials supplied by the builder; or</w:t>
      </w:r>
    </w:p>
    <w:p w:rsidR="004230DE" w:rsidRDefault="00670E7C">
      <w:pPr>
        <w:pStyle w:val="Indenti"/>
      </w:pPr>
      <w:r>
        <w:tab/>
        <w:t>(ii)</w:t>
      </w:r>
      <w:r>
        <w:tab/>
        <w:t>any home building work or other services performed by the builder; or</w:t>
      </w:r>
    </w:p>
    <w:p w:rsidR="004230DE" w:rsidRDefault="00670E7C">
      <w:pPr>
        <w:pStyle w:val="Indenti"/>
      </w:pPr>
      <w:r>
        <w:tab/>
        <w:t>(iii)</w:t>
      </w:r>
      <w:r>
        <w:tab/>
        <w:t>costs, including overhead expenses and loss of profit, incurred by the builder,</w:t>
      </w:r>
    </w:p>
    <w:p w:rsidR="004230DE" w:rsidRDefault="00670E7C">
      <w:pPr>
        <w:pStyle w:val="Indenta"/>
      </w:pPr>
      <w:r>
        <w:tab/>
      </w:r>
      <w:r>
        <w:tab/>
        <w:t>under or in relation to the contract.</w:t>
      </w:r>
    </w:p>
    <w:p w:rsidR="004230DE" w:rsidRDefault="00670E7C">
      <w:pPr>
        <w:pStyle w:val="Footnotesection"/>
      </w:pPr>
      <w:r>
        <w:tab/>
        <w:t>[Section 20 inserted: No. 16 of 2011 s. 119.]</w:t>
      </w:r>
    </w:p>
    <w:p w:rsidR="004230DE" w:rsidRDefault="00670E7C">
      <w:pPr>
        <w:pStyle w:val="Ednotesection"/>
      </w:pPr>
      <w:r>
        <w:t>[</w:t>
      </w:r>
      <w:r>
        <w:rPr>
          <w:b/>
        </w:rPr>
        <w:t>21</w:t>
      </w:r>
      <w:r>
        <w:rPr>
          <w:b/>
        </w:rPr>
        <w:noBreakHyphen/>
        <w:t>24.</w:t>
      </w:r>
      <w:r>
        <w:tab/>
        <w:t>Deleted: No. 16 of 2011 s. 120]</w:t>
      </w:r>
    </w:p>
    <w:p w:rsidR="004230DE" w:rsidRDefault="00670E7C">
      <w:pPr>
        <w:pStyle w:val="Ednotesection"/>
      </w:pPr>
      <w:r>
        <w:t>[</w:t>
      </w:r>
      <w:r>
        <w:rPr>
          <w:b/>
        </w:rPr>
        <w:t>25.</w:t>
      </w:r>
      <w:r>
        <w:tab/>
        <w:t>Deleted: No. 76 of 2000 s. 55.]</w:t>
      </w:r>
    </w:p>
    <w:p w:rsidR="004230DE" w:rsidRDefault="00670E7C">
      <w:pPr>
        <w:pStyle w:val="Heading2"/>
      </w:pPr>
      <w:bookmarkStart w:id="69" w:name="_Toc75339172"/>
      <w:bookmarkStart w:id="70" w:name="_Toc75339371"/>
      <w:bookmarkStart w:id="71" w:name="_Toc75344414"/>
      <w:bookmarkStart w:id="72" w:name="_Toc74650355"/>
      <w:bookmarkStart w:id="73" w:name="_Toc74650424"/>
      <w:bookmarkStart w:id="74" w:name="_Toc74732507"/>
      <w:r>
        <w:rPr>
          <w:rStyle w:val="CharPartNo"/>
        </w:rPr>
        <w:t>Part 3A</w:t>
      </w:r>
      <w:r>
        <w:t> — </w:t>
      </w:r>
      <w:r>
        <w:rPr>
          <w:rStyle w:val="CharPartText"/>
        </w:rPr>
        <w:t>Home indemnity insurance and corresponding cover</w:t>
      </w:r>
      <w:bookmarkEnd w:id="69"/>
      <w:bookmarkEnd w:id="70"/>
      <w:bookmarkEnd w:id="71"/>
      <w:bookmarkEnd w:id="72"/>
      <w:bookmarkEnd w:id="73"/>
      <w:bookmarkEnd w:id="74"/>
    </w:p>
    <w:p w:rsidR="004230DE" w:rsidRDefault="00670E7C">
      <w:pPr>
        <w:pStyle w:val="Footnoteheading"/>
        <w:rPr>
          <w:snapToGrid w:val="0"/>
        </w:rPr>
      </w:pPr>
      <w:r>
        <w:rPr>
          <w:snapToGrid w:val="0"/>
        </w:rPr>
        <w:tab/>
        <w:t>[Heading inserted: No. 72 of 1996 s. 5; amended: No. 37 of 2002 s. 8.]</w:t>
      </w:r>
    </w:p>
    <w:p w:rsidR="004230DE" w:rsidRDefault="00670E7C">
      <w:pPr>
        <w:pStyle w:val="Heading3"/>
      </w:pPr>
      <w:bookmarkStart w:id="75" w:name="_Toc75339173"/>
      <w:bookmarkStart w:id="76" w:name="_Toc75339372"/>
      <w:bookmarkStart w:id="77" w:name="_Toc75344415"/>
      <w:bookmarkStart w:id="78" w:name="_Toc74650356"/>
      <w:bookmarkStart w:id="79" w:name="_Toc74650425"/>
      <w:bookmarkStart w:id="80" w:name="_Toc74732508"/>
      <w:r>
        <w:rPr>
          <w:rStyle w:val="CharDivNo"/>
        </w:rPr>
        <w:t>Division 1</w:t>
      </w:r>
      <w:r>
        <w:rPr>
          <w:snapToGrid w:val="0"/>
        </w:rPr>
        <w:t> — </w:t>
      </w:r>
      <w:r>
        <w:rPr>
          <w:rStyle w:val="CharDivText"/>
        </w:rPr>
        <w:t>Introduction</w:t>
      </w:r>
      <w:bookmarkEnd w:id="75"/>
      <w:bookmarkEnd w:id="76"/>
      <w:bookmarkEnd w:id="77"/>
      <w:bookmarkEnd w:id="78"/>
      <w:bookmarkEnd w:id="79"/>
      <w:bookmarkEnd w:id="80"/>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81" w:name="_Toc75344416"/>
      <w:bookmarkStart w:id="82" w:name="_Toc74732509"/>
      <w:r>
        <w:rPr>
          <w:rStyle w:val="CharSectno"/>
        </w:rPr>
        <w:t>25A</w:t>
      </w:r>
      <w:r>
        <w:rPr>
          <w:snapToGrid w:val="0"/>
        </w:rPr>
        <w:t>.</w:t>
      </w:r>
      <w:r>
        <w:rPr>
          <w:snapToGrid w:val="0"/>
        </w:rPr>
        <w:tab/>
        <w:t>Terms used</w:t>
      </w:r>
      <w:bookmarkEnd w:id="81"/>
      <w:bookmarkEnd w:id="82"/>
    </w:p>
    <w:p w:rsidR="004230DE" w:rsidRDefault="00670E7C">
      <w:pPr>
        <w:pStyle w:val="Subsection"/>
        <w:rPr>
          <w:snapToGrid w:val="0"/>
        </w:rPr>
      </w:pPr>
      <w:r>
        <w:rPr>
          <w:snapToGrid w:val="0"/>
        </w:rPr>
        <w:tab/>
      </w:r>
      <w:r>
        <w:rPr>
          <w:snapToGrid w:val="0"/>
        </w:rPr>
        <w:tab/>
        <w:t>In this Part —</w:t>
      </w:r>
    </w:p>
    <w:p w:rsidR="004230DE" w:rsidRDefault="00670E7C">
      <w:pPr>
        <w:pStyle w:val="Defstart"/>
      </w:pPr>
      <w:r>
        <w:tab/>
      </w:r>
      <w:r>
        <w:rPr>
          <w:rStyle w:val="CharDefText"/>
        </w:rPr>
        <w:t>approved fund</w:t>
      </w:r>
      <w:r>
        <w:t xml:space="preserve"> means a fund that is approved under section 25GB;</w:t>
      </w:r>
    </w:p>
    <w:p w:rsidR="004230DE" w:rsidRDefault="00670E7C">
      <w:pPr>
        <w:pStyle w:val="Defstart"/>
      </w:pPr>
      <w:r>
        <w:tab/>
      </w:r>
      <w:r>
        <w:rPr>
          <w:rStyle w:val="CharDefText"/>
        </w:rPr>
        <w:t>builder</w:t>
      </w:r>
      <w:r>
        <w:t xml:space="preserve"> includes, in addition to the meaning given by the definition in section 3(1), a person who — </w:t>
      </w:r>
    </w:p>
    <w:p w:rsidR="004230DE" w:rsidRDefault="00670E7C">
      <w:pPr>
        <w:pStyle w:val="Defpara"/>
        <w:spacing w:before="60"/>
      </w:pPr>
      <w:r>
        <w:tab/>
        <w:t>(a)</w:t>
      </w:r>
      <w:r>
        <w:tab/>
        <w:t xml:space="preserve">was registered under the </w:t>
      </w:r>
      <w:r>
        <w:rPr>
          <w:iCs/>
        </w:rPr>
        <w:t>repealed Act</w:t>
      </w:r>
      <w:r>
        <w:t>; or</w:t>
      </w:r>
    </w:p>
    <w:p w:rsidR="004230DE" w:rsidRDefault="00670E7C">
      <w:pPr>
        <w:pStyle w:val="Defpara"/>
        <w:spacing w:before="60"/>
      </w:pPr>
      <w:r>
        <w:tab/>
        <w:t>(b)</w:t>
      </w:r>
      <w:r>
        <w:tab/>
        <w:t>is a building service contractor in a class of building service contractor prescribed by the regulations,</w:t>
      </w:r>
    </w:p>
    <w:p w:rsidR="004230DE" w:rsidRDefault="00670E7C">
      <w:pPr>
        <w:pStyle w:val="Defstart"/>
      </w:pPr>
      <w:r>
        <w:tab/>
        <w:t>whether or not the person carries on a business referred to in that definition;</w:t>
      </w:r>
    </w:p>
    <w:p w:rsidR="004230DE" w:rsidRDefault="00670E7C">
      <w:pPr>
        <w:pStyle w:val="Defstart"/>
      </w:pPr>
      <w:r>
        <w:tab/>
      </w:r>
      <w:r>
        <w:rPr>
          <w:rStyle w:val="CharDefText"/>
        </w:rPr>
        <w:t>building contract</w:t>
      </w:r>
      <w:r>
        <w:t xml:space="preserve"> means —</w:t>
      </w:r>
    </w:p>
    <w:p w:rsidR="004230DE" w:rsidRDefault="00670E7C">
      <w:pPr>
        <w:pStyle w:val="Defpara"/>
        <w:spacing w:before="60"/>
      </w:pPr>
      <w:r>
        <w:tab/>
        <w:t>(a)</w:t>
      </w:r>
      <w:r>
        <w:tab/>
        <w:t>a residential building work contract; or</w:t>
      </w:r>
    </w:p>
    <w:p w:rsidR="004230DE" w:rsidRDefault="00670E7C">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rsidR="004230DE" w:rsidRDefault="00670E7C">
      <w:pPr>
        <w:pStyle w:val="Defstart"/>
      </w:pPr>
      <w:r>
        <w:tab/>
      </w:r>
      <w:r>
        <w:rPr>
          <w:rStyle w:val="CharDefText"/>
        </w:rPr>
        <w:t>corresponding cover</w:t>
      </w:r>
      <w:r>
        <w:t> —</w:t>
      </w:r>
    </w:p>
    <w:p w:rsidR="004230DE" w:rsidRDefault="00670E7C">
      <w:pPr>
        <w:pStyle w:val="Defpara"/>
        <w:spacing w:before="60"/>
      </w:pPr>
      <w:r>
        <w:tab/>
        <w:t>(a)</w:t>
      </w:r>
      <w:r>
        <w:tab/>
        <w:t>in relation to residential building work performed by a builder, means the cover referred to in section 25DA; and</w:t>
      </w:r>
    </w:p>
    <w:p w:rsidR="004230DE" w:rsidRDefault="00670E7C">
      <w:pPr>
        <w:pStyle w:val="Defpara"/>
      </w:pPr>
      <w:r>
        <w:tab/>
        <w:t>(b)</w:t>
      </w:r>
      <w:r>
        <w:tab/>
        <w:t>in relation to residential building work performed by an owner</w:t>
      </w:r>
      <w:r>
        <w:noBreakHyphen/>
        <w:t>builder, means the cover referred to in section 25GA;</w:t>
      </w:r>
    </w:p>
    <w:p w:rsidR="004230DE" w:rsidRDefault="00670E7C">
      <w:pPr>
        <w:pStyle w:val="Defstart"/>
        <w:keepNext/>
      </w:pPr>
      <w:r>
        <w:rPr>
          <w:b/>
        </w:rPr>
        <w:tab/>
      </w:r>
      <w:r>
        <w:rPr>
          <w:rStyle w:val="CharDefText"/>
        </w:rPr>
        <w:t>cost of the building work</w:t>
      </w:r>
      <w:r>
        <w:t xml:space="preserve"> means —</w:t>
      </w:r>
    </w:p>
    <w:p w:rsidR="004230DE" w:rsidRDefault="00670E7C">
      <w:pPr>
        <w:pStyle w:val="Defpara"/>
      </w:pPr>
      <w:r>
        <w:tab/>
        <w:t>(a)</w:t>
      </w:r>
      <w:r>
        <w:tab/>
        <w:t>in relation to residential building work performed by a builder under a residential building work contract, the amount payable under the contract; or</w:t>
      </w:r>
    </w:p>
    <w:p w:rsidR="004230DE" w:rsidRDefault="00670E7C">
      <w:pPr>
        <w:pStyle w:val="Defpara"/>
      </w:pPr>
      <w:r>
        <w:tab/>
        <w:t>(b)</w:t>
      </w:r>
      <w:r>
        <w:tab/>
        <w:t>in relation to residential building work performed —</w:t>
      </w:r>
    </w:p>
    <w:p w:rsidR="004230DE" w:rsidRDefault="00670E7C">
      <w:pPr>
        <w:pStyle w:val="Defsubpara"/>
      </w:pPr>
      <w:r>
        <w:tab/>
        <w:t>(i)</w:t>
      </w:r>
      <w:r>
        <w:tab/>
        <w:t>by a builder on behalf of another person where the work is not performed under a residential building work contract; or</w:t>
      </w:r>
    </w:p>
    <w:p w:rsidR="004230DE" w:rsidRDefault="00670E7C">
      <w:pPr>
        <w:pStyle w:val="Defsubpara"/>
      </w:pPr>
      <w:r>
        <w:tab/>
        <w:t>(ii)</w:t>
      </w:r>
      <w:r>
        <w:tab/>
        <w:t>by a builder on the builder’s own behalf; or</w:t>
      </w:r>
    </w:p>
    <w:p w:rsidR="004230DE" w:rsidRDefault="00670E7C">
      <w:pPr>
        <w:pStyle w:val="Defsubpara"/>
      </w:pPr>
      <w:r>
        <w:tab/>
        <w:t>(iii)</w:t>
      </w:r>
      <w:r>
        <w:tab/>
        <w:t>by an owner</w:t>
      </w:r>
      <w:r>
        <w:noBreakHyphen/>
        <w:t>builder,</w:t>
      </w:r>
    </w:p>
    <w:p w:rsidR="004230DE" w:rsidRDefault="00670E7C">
      <w:pPr>
        <w:pStyle w:val="Defpara"/>
      </w:pPr>
      <w:r>
        <w:tab/>
      </w:r>
      <w:r>
        <w:tab/>
        <w:t>the estimated cost of construction specified in the application for a building permit;</w:t>
      </w:r>
    </w:p>
    <w:p w:rsidR="004230DE" w:rsidRDefault="00670E7C">
      <w:pPr>
        <w:pStyle w:val="Defstart"/>
      </w:pPr>
      <w:r>
        <w:tab/>
      </w:r>
      <w:r>
        <w:rPr>
          <w:rStyle w:val="CharDefText"/>
        </w:rPr>
        <w:t>developer</w:t>
      </w:r>
      <w:r>
        <w:t xml:space="preserve"> means a person for whom residential building work is performed under a building contract in relation to 4 or more dwellings;</w:t>
      </w:r>
    </w:p>
    <w:p w:rsidR="004230DE" w:rsidRDefault="00670E7C">
      <w:pPr>
        <w:pStyle w:val="Defstart"/>
      </w:pPr>
      <w:r>
        <w:rPr>
          <w:b/>
        </w:rPr>
        <w:tab/>
      </w:r>
      <w:r>
        <w:rPr>
          <w:rStyle w:val="CharDefText"/>
        </w:rPr>
        <w:t>insolvency</w:t>
      </w:r>
      <w:r>
        <w:t xml:space="preserve"> means —</w:t>
      </w:r>
    </w:p>
    <w:p w:rsidR="004230DE" w:rsidRDefault="00670E7C">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rsidR="004230DE" w:rsidRDefault="00670E7C">
      <w:pPr>
        <w:pStyle w:val="Defpara"/>
      </w:pPr>
      <w:r>
        <w:tab/>
        <w:t>(b)</w:t>
      </w:r>
      <w:r>
        <w:tab/>
        <w:t xml:space="preserve">in relation to a body corporate, subject to external administration under the </w:t>
      </w:r>
      <w:r>
        <w:rPr>
          <w:i/>
        </w:rPr>
        <w:t>Corporations Act 2001</w:t>
      </w:r>
      <w:r>
        <w:t xml:space="preserve"> of the Commonwealth;</w:t>
      </w:r>
    </w:p>
    <w:p w:rsidR="004230DE" w:rsidRDefault="00670E7C">
      <w:pPr>
        <w:pStyle w:val="Defstart"/>
      </w:pPr>
      <w:r>
        <w:rPr>
          <w:b/>
        </w:rPr>
        <w:tab/>
      </w:r>
      <w:r>
        <w:rPr>
          <w:rStyle w:val="CharDefText"/>
        </w:rPr>
        <w:t>minimum amount</w:t>
      </w:r>
      <w:r>
        <w:t xml:space="preserve"> means $10 000 or such other amount as is prescribed to be the minimum amount for the purposes of this section;</w:t>
      </w:r>
    </w:p>
    <w:p w:rsidR="004230DE" w:rsidRDefault="00670E7C">
      <w:pPr>
        <w:pStyle w:val="Defstart"/>
      </w:pPr>
      <w:r>
        <w:tab/>
      </w:r>
      <w:r>
        <w:rPr>
          <w:rStyle w:val="CharDefText"/>
        </w:rPr>
        <w:t>owner-builder</w:t>
      </w:r>
      <w:r>
        <w:t>, in relation to a dwelling, means —</w:t>
      </w:r>
    </w:p>
    <w:p w:rsidR="004230DE" w:rsidRDefault="00670E7C">
      <w:pPr>
        <w:pStyle w:val="Defpara"/>
      </w:pPr>
      <w:r>
        <w:tab/>
        <w:t>(a)</w:t>
      </w:r>
      <w:r>
        <w:tab/>
        <w:t>a person who constructs the dwelling under a building licence issued to that person in accordance with section 4A(1)(c) of the repealed Act</w:t>
      </w:r>
      <w:r>
        <w:rPr>
          <w:iCs/>
        </w:rPr>
        <w:t>; or</w:t>
      </w:r>
    </w:p>
    <w:p w:rsidR="004230DE" w:rsidRDefault="00670E7C">
      <w:pPr>
        <w:pStyle w:val="Defpara"/>
        <w:keepNext/>
      </w:pPr>
      <w:r>
        <w:tab/>
        <w:t>(b)</w:t>
      </w:r>
      <w:r>
        <w:tab/>
        <w:t>a person who —</w:t>
      </w:r>
    </w:p>
    <w:p w:rsidR="004230DE" w:rsidRDefault="00670E7C">
      <w:pPr>
        <w:pStyle w:val="Defsubpara"/>
        <w:spacing w:before="60"/>
      </w:pPr>
      <w:r>
        <w:tab/>
        <w:t>(i)</w:t>
      </w:r>
      <w:r>
        <w:tab/>
        <w:t xml:space="preserve">was registered under the </w:t>
      </w:r>
      <w:r>
        <w:rPr>
          <w:iCs/>
        </w:rPr>
        <w:t>repealed Act;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para"/>
        <w:spacing w:before="40"/>
      </w:pPr>
      <w:r>
        <w:tab/>
      </w:r>
      <w:r>
        <w:tab/>
        <w:t>or</w:t>
      </w:r>
    </w:p>
    <w:p w:rsidR="004230DE" w:rsidRDefault="00670E7C">
      <w:pPr>
        <w:pStyle w:val="Defpara"/>
        <w:spacing w:before="60"/>
      </w:pPr>
      <w:r>
        <w:rPr>
          <w:b/>
        </w:rPr>
        <w:tab/>
      </w:r>
      <w:r>
        <w:t>(c)</w:t>
      </w:r>
      <w:r>
        <w:tab/>
        <w:t xml:space="preserve">a person who — </w:t>
      </w:r>
    </w:p>
    <w:p w:rsidR="004230DE" w:rsidRDefault="00670E7C">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rsidR="004230DE" w:rsidRDefault="00670E7C">
      <w:pPr>
        <w:pStyle w:val="Defsubpara"/>
        <w:spacing w:before="60"/>
      </w:pPr>
      <w:r>
        <w:tab/>
        <w:t>(ii)</w:t>
      </w:r>
      <w:r>
        <w:tab/>
        <w:t>is issued a building licence or granted a building permit for the residential building work;</w:t>
      </w:r>
    </w:p>
    <w:p w:rsidR="004230DE" w:rsidRDefault="00670E7C">
      <w:pPr>
        <w:pStyle w:val="Defpara"/>
        <w:spacing w:before="60"/>
      </w:pPr>
      <w:r>
        <w:tab/>
      </w:r>
      <w:r>
        <w:tab/>
        <w:t>or</w:t>
      </w:r>
    </w:p>
    <w:p w:rsidR="004230DE" w:rsidRDefault="00670E7C">
      <w:pPr>
        <w:pStyle w:val="Defpara"/>
        <w:spacing w:before="60"/>
      </w:pPr>
      <w:r>
        <w:tab/>
        <w:t>(d)</w:t>
      </w:r>
      <w:r>
        <w:tab/>
        <w:t xml:space="preserve">a person who — </w:t>
      </w:r>
    </w:p>
    <w:p w:rsidR="004230DE" w:rsidRDefault="00670E7C">
      <w:pPr>
        <w:pStyle w:val="Defsubpara"/>
        <w:spacing w:before="60"/>
      </w:pPr>
      <w:r>
        <w:tab/>
        <w:t>(i)</w:t>
      </w:r>
      <w:r>
        <w:tab/>
        <w:t>is a building service contractor in a class of building service contractor prescribed by the regulations for the purpose of this definition;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start"/>
      </w:pPr>
      <w:r>
        <w:tab/>
      </w:r>
      <w:r>
        <w:rPr>
          <w:rStyle w:val="CharDefText"/>
        </w:rPr>
        <w:t>rescind</w:t>
      </w:r>
      <w:r>
        <w:t>, in relation to a contract, means to avoid the contract as from its beginning;</w:t>
      </w:r>
    </w:p>
    <w:p w:rsidR="004230DE" w:rsidRDefault="00670E7C">
      <w:pPr>
        <w:pStyle w:val="Defstart"/>
      </w:pPr>
      <w:r>
        <w:tab/>
      </w:r>
      <w:r>
        <w:rPr>
          <w:rStyle w:val="CharDefText"/>
        </w:rPr>
        <w:t>residential building work</w:t>
      </w:r>
      <w:r>
        <w:t xml:space="preserve"> means home building work that is —</w:t>
      </w:r>
    </w:p>
    <w:p w:rsidR="004230DE" w:rsidRDefault="00670E7C">
      <w:pPr>
        <w:pStyle w:val="Defpara"/>
      </w:pPr>
      <w:r>
        <w:tab/>
        <w:t>(a)</w:t>
      </w:r>
      <w:r>
        <w:tab/>
        <w:t>home building work described in paragraph (a), (b) or (c) of the definition of that term in section 3; or</w:t>
      </w:r>
    </w:p>
    <w:p w:rsidR="004230DE" w:rsidRDefault="00670E7C">
      <w:pPr>
        <w:pStyle w:val="Defpara"/>
      </w:pPr>
      <w:r>
        <w:tab/>
        <w:t>(b)</w:t>
      </w:r>
      <w:r>
        <w:tab/>
        <w:t>home building work described in paragraph (d) of the definition of that term in section 3, when —</w:t>
      </w:r>
    </w:p>
    <w:p w:rsidR="004230DE" w:rsidRDefault="00670E7C">
      <w:pPr>
        <w:pStyle w:val="Defsubpara"/>
      </w:pPr>
      <w:r>
        <w:tab/>
        <w:t>(i)</w:t>
      </w:r>
      <w:r>
        <w:tab/>
        <w:t>it is to be performed under a contract which also includes the performance of home building work described in paragraph (a), (b) or (c) of that definition; or</w:t>
      </w:r>
    </w:p>
    <w:p w:rsidR="004230DE" w:rsidRDefault="00670E7C">
      <w:pPr>
        <w:pStyle w:val="Defsubpara"/>
      </w:pPr>
      <w:r>
        <w:tab/>
        <w:t>(ii)</w:t>
      </w:r>
      <w:r>
        <w:tab/>
        <w:t>it is associated work of a prescribed kind,</w:t>
      </w:r>
    </w:p>
    <w:p w:rsidR="004230DE" w:rsidRDefault="00670E7C">
      <w:pPr>
        <w:pStyle w:val="Defstart"/>
      </w:pPr>
      <w:r>
        <w:tab/>
        <w:t>but does not include home building work where the cost of the building work is the minimum amount or less;</w:t>
      </w:r>
    </w:p>
    <w:p w:rsidR="004230DE" w:rsidRDefault="00670E7C">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pPr>
      <w:r>
        <w:tab/>
      </w:r>
      <w:r>
        <w:rPr>
          <w:rStyle w:val="CharDefText"/>
        </w:rPr>
        <w:t>sale contract</w:t>
      </w:r>
      <w:r>
        <w:t>, in respect of residential building work performed by a builder or owner</w:t>
      </w:r>
      <w:r>
        <w:noBreakHyphen/>
        <w:t>builder, means a contract to sell or otherwise dispose of —</w:t>
      </w:r>
    </w:p>
    <w:p w:rsidR="004230DE" w:rsidRDefault="00670E7C">
      <w:pPr>
        <w:pStyle w:val="Defpara"/>
      </w:pPr>
      <w:r>
        <w:tab/>
        <w:t>(a)</w:t>
      </w:r>
      <w:r>
        <w:tab/>
        <w:t>a dwelling constructed by the builder or the owner</w:t>
      </w:r>
      <w:r>
        <w:noBreakHyphen/>
        <w:t>builder; or</w:t>
      </w:r>
    </w:p>
    <w:p w:rsidR="004230DE" w:rsidRDefault="00670E7C">
      <w:pPr>
        <w:pStyle w:val="Defpara"/>
      </w:pPr>
      <w:r>
        <w:tab/>
        <w:t>(b)</w:t>
      </w:r>
      <w:r>
        <w:tab/>
        <w:t>the land on which the building is constructed;</w:t>
      </w:r>
    </w:p>
    <w:p w:rsidR="004230DE" w:rsidRDefault="00670E7C">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rsidR="004230DE" w:rsidRDefault="00670E7C">
      <w:pPr>
        <w:pStyle w:val="Footnotesection"/>
      </w:pPr>
      <w:r>
        <w:tab/>
        <w:t>[Section 25A inserted: No. 72 of 1996 s. 5; amended: No. 10 of 2001 s. 220; No. 37 of 2002 s. 9; No. 19 of 2011 s. 149; No. 24 of 2011 s. 163(6)</w:t>
      </w:r>
      <w:r>
        <w:rPr>
          <w:spacing w:val="-4"/>
        </w:rPr>
        <w:t>; No. 47 of 2011 s.</w:t>
      </w:r>
      <w:r>
        <w:t> 22.]</w:t>
      </w:r>
    </w:p>
    <w:p w:rsidR="004230DE" w:rsidRDefault="00670E7C">
      <w:pPr>
        <w:pStyle w:val="Heading3"/>
      </w:pPr>
      <w:bookmarkStart w:id="83" w:name="_Toc75339175"/>
      <w:bookmarkStart w:id="84" w:name="_Toc75339374"/>
      <w:bookmarkStart w:id="85" w:name="_Toc75344417"/>
      <w:bookmarkStart w:id="86" w:name="_Toc74650358"/>
      <w:bookmarkStart w:id="87" w:name="_Toc74650427"/>
      <w:bookmarkStart w:id="88" w:name="_Toc74732510"/>
      <w:r>
        <w:rPr>
          <w:rStyle w:val="CharDivNo"/>
        </w:rPr>
        <w:t>Division 2</w:t>
      </w:r>
      <w:r>
        <w:rPr>
          <w:snapToGrid w:val="0"/>
        </w:rPr>
        <w:t> — </w:t>
      </w:r>
      <w:r>
        <w:rPr>
          <w:rStyle w:val="CharDivText"/>
        </w:rPr>
        <w:t>Builders</w:t>
      </w:r>
      <w:bookmarkEnd w:id="83"/>
      <w:bookmarkEnd w:id="84"/>
      <w:bookmarkEnd w:id="85"/>
      <w:bookmarkEnd w:id="86"/>
      <w:bookmarkEnd w:id="87"/>
      <w:bookmarkEnd w:id="88"/>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89" w:name="_Toc75344418"/>
      <w:bookmarkStart w:id="90" w:name="_Toc74732511"/>
      <w:r>
        <w:rPr>
          <w:rStyle w:val="CharSectno"/>
        </w:rPr>
        <w:t>25B</w:t>
      </w:r>
      <w:r>
        <w:rPr>
          <w:snapToGrid w:val="0"/>
        </w:rPr>
        <w:t xml:space="preserve">. </w:t>
      </w:r>
      <w:r>
        <w:rPr>
          <w:snapToGrid w:val="0"/>
        </w:rPr>
        <w:tab/>
        <w:t>Application of this Division</w:t>
      </w:r>
      <w:bookmarkEnd w:id="89"/>
      <w:bookmarkEnd w:id="90"/>
    </w:p>
    <w:p w:rsidR="004230DE" w:rsidRDefault="00670E7C">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rsidR="004230DE" w:rsidRDefault="00670E7C">
      <w:pPr>
        <w:pStyle w:val="Subsection"/>
      </w:pPr>
      <w:r>
        <w:tab/>
        <w:t>(3)</w:t>
      </w:r>
      <w:r>
        <w:tab/>
        <w:t>This Division does not apply to residential building work that is, or is to be, performed by a builder who is a natural person, if —</w:t>
      </w:r>
    </w:p>
    <w:p w:rsidR="004230DE" w:rsidRDefault="00670E7C">
      <w:pPr>
        <w:pStyle w:val="Indenta"/>
      </w:pPr>
      <w:r>
        <w:tab/>
        <w:t>(a)</w:t>
      </w:r>
      <w:r>
        <w:tab/>
        <w:t>the residential building work is to construct a dwelling for the builder as his or her principal place of residence and not for immediate sale; and</w:t>
      </w:r>
    </w:p>
    <w:p w:rsidR="004230DE" w:rsidRDefault="00670E7C">
      <w:pPr>
        <w:pStyle w:val="Indenta"/>
      </w:pPr>
      <w:r>
        <w:tab/>
        <w:t>(b)</w:t>
      </w:r>
      <w:r>
        <w:tab/>
        <w:t xml:space="preserve">the builder — </w:t>
      </w:r>
    </w:p>
    <w:p w:rsidR="004230DE" w:rsidRDefault="00670E7C">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rsidR="004230DE" w:rsidRDefault="00670E7C">
      <w:pPr>
        <w:pStyle w:val="Indenti"/>
      </w:pPr>
      <w:r>
        <w:tab/>
        <w:t>(ii)</w:t>
      </w:r>
      <w:r>
        <w:tab/>
        <w:t>has given to the Building Commissioner a statutory declaration verifying that he or she has not, within the last 6 years, obtained a building licence or a building permit for residential building work,</w:t>
      </w:r>
    </w:p>
    <w:p w:rsidR="004230DE" w:rsidRDefault="00670E7C">
      <w:pPr>
        <w:pStyle w:val="Indenta"/>
      </w:pPr>
      <w:r>
        <w:tab/>
      </w:r>
      <w:r>
        <w:tab/>
        <w:t>in respect of which no insurance was required because of this subsection.</w:t>
      </w:r>
    </w:p>
    <w:p w:rsidR="004230DE" w:rsidRDefault="00670E7C">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rsidR="004230DE" w:rsidRDefault="00670E7C">
      <w:pPr>
        <w:pStyle w:val="Indenta"/>
        <w:rPr>
          <w:snapToGrid w:val="0"/>
        </w:rPr>
      </w:pPr>
      <w:r>
        <w:tab/>
        <w:t>(a)</w:t>
      </w:r>
      <w:r>
        <w:tab/>
      </w:r>
      <w:r>
        <w:rPr>
          <w:snapToGrid w:val="0"/>
        </w:rPr>
        <w:t>the application for the order arises from a change in the circumstances of the person; and</w:t>
      </w:r>
    </w:p>
    <w:p w:rsidR="004230DE" w:rsidRDefault="00670E7C">
      <w:pPr>
        <w:pStyle w:val="Indenta"/>
        <w:rPr>
          <w:snapToGrid w:val="0"/>
        </w:rPr>
      </w:pPr>
      <w:r>
        <w:tab/>
        <w:t>(b)</w:t>
      </w:r>
      <w:r>
        <w:tab/>
      </w:r>
      <w:r>
        <w:rPr>
          <w:snapToGrid w:val="0"/>
        </w:rPr>
        <w:t>the person would suffer hardship if the application were refused.</w:t>
      </w:r>
    </w:p>
    <w:p w:rsidR="004230DE" w:rsidRDefault="00670E7C">
      <w:pPr>
        <w:pStyle w:val="Subsection"/>
      </w:pPr>
      <w:r>
        <w:tab/>
        <w:t>(4A)</w:t>
      </w:r>
      <w:r>
        <w:tab/>
        <w:t xml:space="preserve">This Division does not apply to residential building work if — </w:t>
      </w:r>
    </w:p>
    <w:p w:rsidR="004230DE" w:rsidRDefault="00670E7C">
      <w:pPr>
        <w:pStyle w:val="Indenta"/>
      </w:pPr>
      <w:r>
        <w:tab/>
        <w:t>(a)</w:t>
      </w:r>
      <w:r>
        <w:tab/>
        <w:t xml:space="preserve">a building permit under the </w:t>
      </w:r>
      <w:r>
        <w:rPr>
          <w:i/>
        </w:rPr>
        <w:t>Building Act 2011</w:t>
      </w:r>
      <w:r>
        <w:t xml:space="preserve"> is not required for the work; or</w:t>
      </w:r>
    </w:p>
    <w:p w:rsidR="004230DE" w:rsidRDefault="00670E7C">
      <w:pPr>
        <w:pStyle w:val="Indenta"/>
        <w:rPr>
          <w:snapToGrid w:val="0"/>
        </w:rPr>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rsidR="004230DE" w:rsidRDefault="00670E7C">
      <w:pPr>
        <w:pStyle w:val="Subsection"/>
      </w:pPr>
      <w:r>
        <w:tab/>
        <w:t>(5)</w:t>
      </w:r>
      <w:r>
        <w:tab/>
        <w:t>In subsection (3) —</w:t>
      </w:r>
    </w:p>
    <w:p w:rsidR="004230DE" w:rsidRDefault="00670E7C">
      <w:pPr>
        <w:pStyle w:val="Defstart"/>
      </w:pPr>
      <w:r>
        <w:rPr>
          <w:b/>
        </w:rPr>
        <w:tab/>
      </w:r>
      <w:r>
        <w:rPr>
          <w:rStyle w:val="CharDefText"/>
        </w:rPr>
        <w:t>insurance</w:t>
      </w:r>
      <w:r>
        <w:t xml:space="preserve"> means a policy of insurance that complies with Division 2, or corresponding cover provided by an approved fund.</w:t>
      </w:r>
    </w:p>
    <w:p w:rsidR="004230DE" w:rsidRDefault="00670E7C">
      <w:pPr>
        <w:pStyle w:val="Footnotesection"/>
      </w:pPr>
      <w:r>
        <w:tab/>
        <w:t>[Section 25B inserted: No. 72 of 1996 s. 5; amended: No. 37 of 2002 s. 10; No. 19 of 2011 s. 150; No. 25 of 2019 s. 31.]</w:t>
      </w:r>
    </w:p>
    <w:p w:rsidR="004230DE" w:rsidRDefault="00670E7C">
      <w:pPr>
        <w:pStyle w:val="Heading5"/>
        <w:rPr>
          <w:snapToGrid w:val="0"/>
        </w:rPr>
      </w:pPr>
      <w:bookmarkStart w:id="91" w:name="_Toc75344419"/>
      <w:bookmarkStart w:id="92" w:name="_Toc74732512"/>
      <w:r>
        <w:rPr>
          <w:rStyle w:val="CharSectno"/>
        </w:rPr>
        <w:t>25C</w:t>
      </w:r>
      <w:r>
        <w:rPr>
          <w:snapToGrid w:val="0"/>
        </w:rPr>
        <w:t xml:space="preserve">. </w:t>
      </w:r>
      <w:r>
        <w:rPr>
          <w:snapToGrid w:val="0"/>
        </w:rPr>
        <w:tab/>
        <w:t>Builder doing residential building work without insurance or corresponding cover, offence</w:t>
      </w:r>
      <w:bookmarkEnd w:id="91"/>
      <w:bookmarkEnd w:id="92"/>
    </w:p>
    <w:p w:rsidR="004230DE" w:rsidRDefault="00670E7C">
      <w:pPr>
        <w:pStyle w:val="Subsection"/>
      </w:pPr>
      <w:r>
        <w:tab/>
        <w:t>(1)</w:t>
      </w:r>
      <w:r>
        <w:tab/>
        <w:t>A builder must not perform residential building work to which this Division applies unless —</w:t>
      </w:r>
    </w:p>
    <w:p w:rsidR="004230DE" w:rsidRDefault="00670E7C">
      <w:pPr>
        <w:pStyle w:val="Indenta"/>
      </w:pPr>
      <w:r>
        <w:tab/>
        <w:t>(a)</w:t>
      </w:r>
      <w:r>
        <w:tab/>
        <w:t>a policy of insurance that complies with this Division is in force in relation to the residential building work; or</w:t>
      </w:r>
    </w:p>
    <w:p w:rsidR="004230DE" w:rsidRDefault="00670E7C">
      <w:pPr>
        <w:pStyle w:val="Indenta"/>
      </w:pPr>
      <w:r>
        <w:tab/>
        <w:t>(b)</w:t>
      </w:r>
      <w:r>
        <w:tab/>
        <w:t>corresponding cover is provided by an approved fund in relation to the residential building work.</w:t>
      </w:r>
    </w:p>
    <w:p w:rsidR="004230DE" w:rsidRDefault="00670E7C">
      <w:pPr>
        <w:pStyle w:val="Penstart"/>
      </w:pPr>
      <w:r>
        <w:tab/>
        <w:t>Penalty: $10 000.</w:t>
      </w:r>
    </w:p>
    <w:p w:rsidR="004230DE" w:rsidRDefault="00670E7C">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rsidR="004230DE" w:rsidRDefault="00670E7C">
      <w:pPr>
        <w:pStyle w:val="Penstart"/>
        <w:rPr>
          <w:snapToGrid w:val="0"/>
        </w:rPr>
      </w:pPr>
      <w:r>
        <w:rPr>
          <w:snapToGrid w:val="0"/>
        </w:rPr>
        <w:tab/>
        <w:t>Penalty: $10 000.</w:t>
      </w:r>
    </w:p>
    <w:p w:rsidR="004230DE" w:rsidRDefault="00670E7C">
      <w:pPr>
        <w:pStyle w:val="Subsection"/>
      </w:pPr>
      <w:r>
        <w:tab/>
        <w:t>(3)</w:t>
      </w:r>
      <w:r>
        <w:tab/>
        <w:t>Subsections (1) and (2) do not apply to a builder who performs residential building work to which this Division applies if —</w:t>
      </w:r>
    </w:p>
    <w:p w:rsidR="004230DE" w:rsidRDefault="00670E7C">
      <w:pPr>
        <w:pStyle w:val="Indenta"/>
      </w:pPr>
      <w:r>
        <w:tab/>
        <w:t>(a)</w:t>
      </w:r>
      <w:r>
        <w:tab/>
        <w:t>the builder performs the residential building work during a period specified in an order made under section 25I for the purposes of this subsection; or</w:t>
      </w:r>
    </w:p>
    <w:p w:rsidR="004230DE" w:rsidRDefault="00670E7C">
      <w:pPr>
        <w:pStyle w:val="Indenta"/>
        <w:keepNext/>
      </w:pPr>
      <w:r>
        <w:tab/>
        <w:t>(b)</w:t>
      </w:r>
      <w:r>
        <w:tab/>
        <w:t>the builder performs the residential building work —</w:t>
      </w:r>
    </w:p>
    <w:p w:rsidR="004230DE" w:rsidRDefault="00670E7C">
      <w:pPr>
        <w:pStyle w:val="Indenti"/>
      </w:pPr>
      <w:r>
        <w:tab/>
        <w:t>(i)</w:t>
      </w:r>
      <w:r>
        <w:tab/>
        <w:t>after the end of a period specified in an order made under section 25I for the purposes of this subsection; and</w:t>
      </w:r>
    </w:p>
    <w:p w:rsidR="004230DE" w:rsidRDefault="00670E7C">
      <w:pPr>
        <w:pStyle w:val="Indenti"/>
      </w:pPr>
      <w:r>
        <w:tab/>
        <w:t>(ii)</w:t>
      </w:r>
      <w:r>
        <w:tab/>
        <w:t>under a building permit granted before or during that period.</w:t>
      </w:r>
    </w:p>
    <w:p w:rsidR="004230DE" w:rsidRDefault="00670E7C">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rsidR="004230DE" w:rsidRDefault="00670E7C">
      <w:pPr>
        <w:pStyle w:val="Footnotesection"/>
      </w:pPr>
      <w:r>
        <w:tab/>
        <w:t>[Section 25C inserted: No. 72 of 1996 s. 5; amended: No. 37 of 2002 s. 11 and 20; No. 24 of 2011 s. 163(7).]</w:t>
      </w:r>
    </w:p>
    <w:p w:rsidR="004230DE" w:rsidRDefault="00670E7C">
      <w:pPr>
        <w:pStyle w:val="Heading5"/>
        <w:rPr>
          <w:snapToGrid w:val="0"/>
        </w:rPr>
      </w:pPr>
      <w:bookmarkStart w:id="93" w:name="_Toc75344420"/>
      <w:bookmarkStart w:id="94" w:name="_Toc74732513"/>
      <w:r>
        <w:rPr>
          <w:rStyle w:val="CharSectno"/>
        </w:rPr>
        <w:t>25D</w:t>
      </w:r>
      <w:r>
        <w:rPr>
          <w:snapToGrid w:val="0"/>
        </w:rPr>
        <w:t xml:space="preserve">. </w:t>
      </w:r>
      <w:r>
        <w:rPr>
          <w:snapToGrid w:val="0"/>
        </w:rPr>
        <w:tab/>
        <w:t>Insurance policy for this Division, terms of</w:t>
      </w:r>
      <w:bookmarkEnd w:id="93"/>
      <w:bookmarkEnd w:id="94"/>
    </w:p>
    <w:p w:rsidR="004230DE" w:rsidRDefault="00670E7C">
      <w:pPr>
        <w:pStyle w:val="Subsection"/>
      </w:pPr>
      <w:r>
        <w:tab/>
        <w:t>(1A)</w:t>
      </w:r>
      <w:r>
        <w:tab/>
        <w:t xml:space="preserve">In this section — </w:t>
      </w:r>
    </w:p>
    <w:p w:rsidR="004230DE" w:rsidRDefault="00670E7C">
      <w:pPr>
        <w:pStyle w:val="Defstart"/>
      </w:pPr>
      <w:r>
        <w:tab/>
      </w:r>
      <w:r>
        <w:rPr>
          <w:rStyle w:val="CharDefText"/>
        </w:rPr>
        <w:t>relevant circumstance</w:t>
      </w:r>
      <w:r>
        <w:t xml:space="preserve">, in relation to a builder, means — </w:t>
      </w:r>
    </w:p>
    <w:p w:rsidR="004230DE" w:rsidRDefault="00670E7C">
      <w:pPr>
        <w:pStyle w:val="Defpara"/>
      </w:pPr>
      <w:r>
        <w:tab/>
        <w:t>(a)</w:t>
      </w:r>
      <w:r>
        <w:tab/>
        <w:t xml:space="preserve">if the builder is an individual — the builder — </w:t>
      </w:r>
    </w:p>
    <w:p w:rsidR="004230DE" w:rsidRDefault="00670E7C">
      <w:pPr>
        <w:pStyle w:val="Defsubpara"/>
      </w:pPr>
      <w:r>
        <w:tab/>
        <w:t>(i)</w:t>
      </w:r>
      <w:r>
        <w:tab/>
        <w:t>has died; or</w:t>
      </w:r>
    </w:p>
    <w:p w:rsidR="004230DE" w:rsidRDefault="00670E7C">
      <w:pPr>
        <w:pStyle w:val="Defsubpara"/>
      </w:pPr>
      <w:r>
        <w:tab/>
        <w:t>(ii)</w:t>
      </w:r>
      <w:r>
        <w:tab/>
        <w:t>after due search and enquiry, cannot be found in Australia;</w:t>
      </w:r>
    </w:p>
    <w:p w:rsidR="004230DE" w:rsidRDefault="00670E7C">
      <w:pPr>
        <w:pStyle w:val="Defpara"/>
      </w:pPr>
      <w:r>
        <w:tab/>
      </w:r>
      <w:r>
        <w:tab/>
        <w:t>or</w:t>
      </w:r>
    </w:p>
    <w:p w:rsidR="004230DE" w:rsidRDefault="00670E7C">
      <w:pPr>
        <w:pStyle w:val="Defpara"/>
      </w:pPr>
      <w:r>
        <w:tab/>
        <w:t>(b)</w:t>
      </w:r>
      <w:r>
        <w:tab/>
        <w:t>if the builder is not an individual — the builder ceased to exist; or</w:t>
      </w:r>
    </w:p>
    <w:p w:rsidR="004230DE" w:rsidRDefault="00670E7C">
      <w:pPr>
        <w:pStyle w:val="Defpara"/>
      </w:pPr>
      <w:r>
        <w:tab/>
        <w:t>(c)</w:t>
      </w:r>
      <w:r>
        <w:tab/>
        <w:t>the builder is insolvent; or</w:t>
      </w:r>
    </w:p>
    <w:p w:rsidR="004230DE" w:rsidRDefault="00670E7C">
      <w:pPr>
        <w:pStyle w:val="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rsidR="004230DE" w:rsidRDefault="00670E7C">
      <w:pPr>
        <w:pStyle w:val="Indenti"/>
      </w:pPr>
      <w:r>
        <w:tab/>
        <w:t>(i)</w:t>
      </w:r>
      <w:r>
        <w:tab/>
        <w:t>loss of an amount paid by way of deposit under the residential building work contract, up to a limit of $20 000 or another prescribed limit;</w:t>
      </w:r>
    </w:p>
    <w:p w:rsidR="004230DE" w:rsidRDefault="00670E7C">
      <w:pPr>
        <w:pStyle w:val="Indenti"/>
      </w:pPr>
      <w:r>
        <w:tab/>
        <w:t>(ii)</w:t>
      </w:r>
      <w:r>
        <w:tab/>
        <w:t>loss, other than indirect, incidental or consequential loss, resulting from non</w:t>
      </w:r>
      <w:r>
        <w:noBreakHyphen/>
        <w:t>completion of the residential building work;</w:t>
      </w:r>
    </w:p>
    <w:p w:rsidR="004230DE" w:rsidRDefault="00670E7C">
      <w:pPr>
        <w:pStyle w:val="Indenta"/>
      </w:pPr>
      <w:r>
        <w:tab/>
      </w:r>
      <w:r>
        <w:tab/>
        <w:t>and</w:t>
      </w:r>
    </w:p>
    <w:p w:rsidR="004230DE" w:rsidRDefault="00670E7C">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t xml:space="preserve">because a relevant circumstance exists in relation to the builder; and </w:t>
      </w:r>
    </w:p>
    <w:p w:rsidR="004230DE" w:rsidRDefault="00670E7C">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rsidR="004230DE" w:rsidRDefault="00670E7C">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rsidR="004230DE" w:rsidRDefault="00670E7C">
      <w:pPr>
        <w:pStyle w:val="Indenta"/>
        <w:rPr>
          <w:snapToGrid w:val="0"/>
        </w:rPr>
      </w:pPr>
      <w:r>
        <w:rPr>
          <w:snapToGrid w:val="0"/>
        </w:rPr>
        <w:tab/>
        <w:t>(e)</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rPr>
          <w:snapToGrid w:val="0"/>
        </w:rPr>
      </w:pPr>
      <w:r>
        <w:rPr>
          <w:snapToGrid w:val="0"/>
        </w:rPr>
        <w:tab/>
        <w:t>(f)</w:t>
      </w:r>
      <w:r>
        <w:rPr>
          <w:snapToGrid w:val="0"/>
        </w:rPr>
        <w:tab/>
        <w:t>it is issued by or on behalf of an insurer who is —</w:t>
      </w:r>
    </w:p>
    <w:p w:rsidR="004230DE" w:rsidRDefault="00670E7C">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(g)</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keepNext/>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rsidR="004230DE" w:rsidRDefault="00670E7C">
      <w:pPr>
        <w:pStyle w:val="Indenta"/>
        <w:rPr>
          <w:snapToGrid w:val="0"/>
        </w:rPr>
      </w:pPr>
      <w:r>
        <w:rPr>
          <w:snapToGrid w:val="0"/>
        </w:rPr>
        <w:tab/>
        <w:t>(a)</w:t>
      </w:r>
      <w:r>
        <w:rPr>
          <w:snapToGrid w:val="0"/>
        </w:rPr>
        <w:tab/>
        <w:t>the dwelling; and</w:t>
      </w:r>
    </w:p>
    <w:p w:rsidR="004230DE" w:rsidRDefault="00670E7C">
      <w:pPr>
        <w:pStyle w:val="Indenta"/>
        <w:rPr>
          <w:snapToGrid w:val="0"/>
        </w:rPr>
      </w:pPr>
      <w:r>
        <w:rPr>
          <w:snapToGrid w:val="0"/>
        </w:rPr>
        <w:tab/>
        <w:t>(b)</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(c)</w:t>
      </w:r>
      <w:r>
        <w:rPr>
          <w:snapToGrid w:val="0"/>
        </w:rPr>
        <w:tab/>
        <w:t>any building work to the dwelling after placement.</w:t>
      </w:r>
    </w:p>
    <w:p w:rsidR="004230DE" w:rsidRDefault="00670E7C">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rsidR="004230DE" w:rsidRDefault="00670E7C">
      <w:pPr>
        <w:pStyle w:val="Indenta"/>
        <w:rPr>
          <w:snapToGrid w:val="0"/>
        </w:rPr>
      </w:pPr>
      <w:r>
        <w:rPr>
          <w:snapToGrid w:val="0"/>
        </w:rPr>
        <w:tab/>
        <w:t>(a)</w:t>
      </w:r>
      <w:r>
        <w:rPr>
          <w:snapToGrid w:val="0"/>
        </w:rPr>
        <w:tab/>
        <w:t>by the builder; or</w:t>
      </w:r>
    </w:p>
    <w:p w:rsidR="004230DE" w:rsidRDefault="00670E7C">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rsidR="004230DE" w:rsidRDefault="00670E7C">
      <w:pPr>
        <w:pStyle w:val="Footnotesection"/>
      </w:pPr>
      <w:r>
        <w:tab/>
        <w:t>[Section 25D inserted: No. 72 of 1996 s. 5; amended: No. 37 of 2002 s. 12; No. 16 of 2011 s. 121; No. 25 of 2019 s. 32.]</w:t>
      </w:r>
    </w:p>
    <w:p w:rsidR="004230DE" w:rsidRDefault="00670E7C">
      <w:pPr>
        <w:pStyle w:val="Heading5"/>
      </w:pPr>
      <w:bookmarkStart w:id="95" w:name="_Toc75344421"/>
      <w:bookmarkStart w:id="96" w:name="_Toc74732514"/>
      <w:r>
        <w:rPr>
          <w:rStyle w:val="CharSectno"/>
        </w:rPr>
        <w:t>25DA</w:t>
      </w:r>
      <w:r>
        <w:t>.</w:t>
      </w:r>
      <w:r>
        <w:tab/>
        <w:t>Corresponding cover by an approved fund for builders</w:t>
      </w:r>
      <w:bookmarkEnd w:id="95"/>
      <w:bookmarkEnd w:id="96"/>
    </w:p>
    <w:p w:rsidR="004230DE" w:rsidRDefault="00670E7C">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25DA inserted: No. 37 of 2002 s. 13.]</w:t>
      </w:r>
    </w:p>
    <w:p w:rsidR="004230DE" w:rsidRDefault="00670E7C">
      <w:pPr>
        <w:pStyle w:val="Heading3"/>
      </w:pPr>
      <w:bookmarkStart w:id="97" w:name="_Toc75339180"/>
      <w:bookmarkStart w:id="98" w:name="_Toc75339379"/>
      <w:bookmarkStart w:id="99" w:name="_Toc75344422"/>
      <w:bookmarkStart w:id="100" w:name="_Toc74650363"/>
      <w:bookmarkStart w:id="101" w:name="_Toc74650432"/>
      <w:bookmarkStart w:id="102" w:name="_Toc74732515"/>
      <w:r>
        <w:rPr>
          <w:rStyle w:val="CharDivNo"/>
        </w:rPr>
        <w:t>Division 3</w:t>
      </w:r>
      <w:r>
        <w:rPr>
          <w:snapToGrid w:val="0"/>
        </w:rPr>
        <w:t> — </w:t>
      </w:r>
      <w:r>
        <w:rPr>
          <w:rStyle w:val="CharDivText"/>
        </w:rPr>
        <w:t>Owner</w:t>
      </w:r>
      <w:r>
        <w:rPr>
          <w:rStyle w:val="CharDivText"/>
        </w:rPr>
        <w:noBreakHyphen/>
        <w:t>builders</w:t>
      </w:r>
      <w:bookmarkEnd w:id="97"/>
      <w:bookmarkEnd w:id="98"/>
      <w:bookmarkEnd w:id="99"/>
      <w:bookmarkEnd w:id="100"/>
      <w:bookmarkEnd w:id="101"/>
      <w:bookmarkEnd w:id="102"/>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103" w:name="_Toc75344423"/>
      <w:bookmarkStart w:id="104" w:name="_Toc74732516"/>
      <w:r>
        <w:rPr>
          <w:rStyle w:val="CharSectno"/>
        </w:rPr>
        <w:t>25E</w:t>
      </w:r>
      <w:r>
        <w:rPr>
          <w:snapToGrid w:val="0"/>
        </w:rPr>
        <w:t xml:space="preserve">. </w:t>
      </w:r>
      <w:r>
        <w:rPr>
          <w:snapToGrid w:val="0"/>
        </w:rPr>
        <w:tab/>
        <w:t>Application of this Division</w:t>
      </w:r>
      <w:bookmarkEnd w:id="103"/>
      <w:bookmarkEnd w:id="104"/>
    </w:p>
    <w:p w:rsidR="004230DE" w:rsidRDefault="00670E7C">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rsidR="004230DE" w:rsidRDefault="00670E7C">
      <w:pPr>
        <w:pStyle w:val="Footnotesection"/>
      </w:pPr>
      <w:r>
        <w:tab/>
        <w:t>[Section 25E inserted: No. 72 of 1996 s. 5; amended: No. 74 of 2003 s. 66; No. 8 of 2009 s. 75.]</w:t>
      </w:r>
    </w:p>
    <w:p w:rsidR="004230DE" w:rsidRDefault="00670E7C">
      <w:pPr>
        <w:pStyle w:val="Heading5"/>
      </w:pPr>
      <w:bookmarkStart w:id="105" w:name="_Toc75344424"/>
      <w:bookmarkStart w:id="106" w:name="_Toc74732517"/>
      <w:r>
        <w:rPr>
          <w:rStyle w:val="CharSectno"/>
        </w:rPr>
        <w:t>25F</w:t>
      </w:r>
      <w:r>
        <w:t>.</w:t>
      </w:r>
      <w:r>
        <w:tab/>
        <w:t>Sale by owner</w:t>
      </w:r>
      <w:r>
        <w:noBreakHyphen/>
        <w:t>builder, restrictions on</w:t>
      </w:r>
      <w:bookmarkEnd w:id="105"/>
      <w:bookmarkEnd w:id="106"/>
    </w:p>
    <w:p w:rsidR="004230DE" w:rsidRDefault="00670E7C">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rsidR="004230DE" w:rsidRDefault="00670E7C">
      <w:pPr>
        <w:pStyle w:val="Indenta"/>
      </w:pPr>
      <w:r>
        <w:tab/>
        <w:t>(a)</w:t>
      </w:r>
      <w:r>
        <w:tab/>
        <w:t>either —</w:t>
      </w:r>
    </w:p>
    <w:p w:rsidR="004230DE" w:rsidRDefault="00670E7C">
      <w:pPr>
        <w:pStyle w:val="Indenti"/>
      </w:pPr>
      <w:r>
        <w:tab/>
        <w:t>(i)</w:t>
      </w:r>
      <w:r>
        <w:tab/>
        <w:t>a policy of insurance that complies with this Division is in force in relation to the residential building work; or</w:t>
      </w:r>
    </w:p>
    <w:p w:rsidR="004230DE" w:rsidRDefault="00670E7C">
      <w:pPr>
        <w:pStyle w:val="Indenti"/>
      </w:pPr>
      <w:r>
        <w:tab/>
        <w:t>(ii)</w:t>
      </w:r>
      <w:r>
        <w:tab/>
        <w:t>corresponding cover is provided by an approved fund in relation to the residential building work;</w:t>
      </w:r>
    </w:p>
    <w:p w:rsidR="004230DE" w:rsidRDefault="00670E7C">
      <w:pPr>
        <w:pStyle w:val="Indenta"/>
      </w:pPr>
      <w:r>
        <w:tab/>
      </w:r>
      <w:r>
        <w:tab/>
        <w:t>and</w:t>
      </w:r>
    </w:p>
    <w:p w:rsidR="004230DE" w:rsidRDefault="00670E7C">
      <w:pPr>
        <w:pStyle w:val="Indenta"/>
      </w:pPr>
      <w:r>
        <w:tab/>
        <w:t>(b)</w:t>
      </w:r>
      <w:r>
        <w:tab/>
        <w:t>the purchaser has been given a certificate, in a form approved by the Minister, that evidences the taking out of the policy referred to in paragraph (a)(i) or the provision of the cover referred to in paragraph (a)(ii).</w:t>
      </w:r>
    </w:p>
    <w:p w:rsidR="004230DE" w:rsidRDefault="00670E7C">
      <w:pPr>
        <w:pStyle w:val="Penstart"/>
      </w:pPr>
      <w:r>
        <w:tab/>
        <w:t>Penalty: $10 000.</w:t>
      </w:r>
    </w:p>
    <w:p w:rsidR="004230DE" w:rsidRDefault="00670E7C">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rsidR="004230DE" w:rsidRDefault="00670E7C">
      <w:pPr>
        <w:pStyle w:val="Footnotesection"/>
      </w:pPr>
      <w:r>
        <w:tab/>
        <w:t>[Section 25F inserted: No. 37 of 2002 s. 14; amended: No. 19 of 2011 s. 151.]</w:t>
      </w:r>
    </w:p>
    <w:p w:rsidR="004230DE" w:rsidRDefault="00670E7C">
      <w:pPr>
        <w:pStyle w:val="Heading5"/>
      </w:pPr>
      <w:bookmarkStart w:id="107" w:name="_Toc75344425"/>
      <w:bookmarkStart w:id="108" w:name="_Toc74732518"/>
      <w:r>
        <w:rPr>
          <w:rStyle w:val="CharSectno"/>
        </w:rPr>
        <w:t>25FA</w:t>
      </w:r>
      <w:r>
        <w:t>.</w:t>
      </w:r>
      <w:r>
        <w:tab/>
        <w:t>Sale by certain owner-builders, further restrictions on</w:t>
      </w:r>
      <w:bookmarkEnd w:id="107"/>
      <w:bookmarkEnd w:id="108"/>
    </w:p>
    <w:p w:rsidR="004230DE" w:rsidRDefault="00670E7C">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w:t>
      </w:r>
      <w:r>
        <w:tab/>
        <w:t>Before making an order under subsection (1) or (2A), the Minister is to be satisfied that —</w:t>
      </w:r>
    </w:p>
    <w:p w:rsidR="004230DE" w:rsidRDefault="00670E7C">
      <w:pPr>
        <w:pStyle w:val="Indenta"/>
      </w:pPr>
      <w:r>
        <w:tab/>
        <w:t>(a)</w:t>
      </w:r>
      <w:r>
        <w:tab/>
      </w:r>
      <w:r>
        <w:rPr>
          <w:snapToGrid w:val="0"/>
        </w:rPr>
        <w:t xml:space="preserve">the application for the order arises from a change in </w:t>
      </w:r>
      <w:r>
        <w:t>the circumstances of the person; and</w:t>
      </w:r>
    </w:p>
    <w:p w:rsidR="004230DE" w:rsidRDefault="00670E7C">
      <w:pPr>
        <w:pStyle w:val="Indenta"/>
        <w:rPr>
          <w:snapToGrid w:val="0"/>
        </w:rPr>
      </w:pPr>
      <w:r>
        <w:tab/>
        <w:t>(b)</w:t>
      </w:r>
      <w:r>
        <w:tab/>
        <w:t>the person would</w:t>
      </w:r>
      <w:r>
        <w:rPr>
          <w:snapToGrid w:val="0"/>
        </w:rPr>
        <w:t xml:space="preserve"> suffer hardship if the application were refused.</w:t>
      </w:r>
    </w:p>
    <w:p w:rsidR="004230DE" w:rsidRDefault="00670E7C">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rsidR="004230DE" w:rsidRDefault="00670E7C">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rsidR="004230DE" w:rsidRDefault="00670E7C">
      <w:pPr>
        <w:pStyle w:val="Footnotesection"/>
      </w:pPr>
      <w:r>
        <w:tab/>
        <w:t>[Section 25FA inserted: No. 37 of 2002 s. 14; amended: No. 19 of 2011 s. 152.]</w:t>
      </w:r>
    </w:p>
    <w:p w:rsidR="004230DE" w:rsidRDefault="00670E7C">
      <w:pPr>
        <w:pStyle w:val="Heading5"/>
        <w:rPr>
          <w:snapToGrid w:val="0"/>
        </w:rPr>
      </w:pPr>
      <w:bookmarkStart w:id="109" w:name="_Toc75344426"/>
      <w:bookmarkStart w:id="110" w:name="_Toc74732519"/>
      <w:r>
        <w:rPr>
          <w:rStyle w:val="CharSectno"/>
        </w:rPr>
        <w:t>25G</w:t>
      </w:r>
      <w:r>
        <w:rPr>
          <w:snapToGrid w:val="0"/>
        </w:rPr>
        <w:t xml:space="preserve">. </w:t>
      </w:r>
      <w:r>
        <w:rPr>
          <w:snapToGrid w:val="0"/>
        </w:rPr>
        <w:tab/>
        <w:t>Insurance policy for this Division, terms of</w:t>
      </w:r>
      <w:bookmarkEnd w:id="109"/>
      <w:bookmarkEnd w:id="110"/>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rsidR="004230DE" w:rsidRDefault="00670E7C">
      <w:pPr>
        <w:pStyle w:val="Indenta"/>
      </w:pPr>
      <w:r>
        <w:tab/>
        <w:t>(b)</w:t>
      </w:r>
      <w:r>
        <w:tab/>
        <w:t xml:space="preserve">it provides that claims may be made under it at any time before the expiration of a period of 7 years from — </w:t>
      </w:r>
    </w:p>
    <w:p w:rsidR="004230DE" w:rsidRDefault="00670E7C">
      <w:pPr>
        <w:pStyle w:val="Indenti"/>
      </w:pPr>
      <w:r>
        <w:tab/>
        <w:t>(i)</w:t>
      </w:r>
      <w:r>
        <w:tab/>
        <w:t>the date of issue to the owner</w:t>
      </w:r>
      <w:r>
        <w:noBreakHyphen/>
        <w:t>builder of the relevant building licence for the building work; or</w:t>
      </w:r>
    </w:p>
    <w:p w:rsidR="004230DE" w:rsidRDefault="00670E7C">
      <w:pPr>
        <w:pStyle w:val="Indenti"/>
      </w:pPr>
      <w:r>
        <w:tab/>
        <w:t>(ii)</w:t>
      </w:r>
      <w:r>
        <w:tab/>
        <w:t>the date of grant to the owner</w:t>
      </w:r>
      <w:r>
        <w:noBreakHyphen/>
        <w:t>builder of the relevant building permit for the building work;</w:t>
      </w:r>
    </w:p>
    <w:p w:rsidR="004230DE" w:rsidRDefault="00670E7C">
      <w:pPr>
        <w:pStyle w:val="Indenta"/>
      </w:pPr>
      <w:r>
        <w:tab/>
      </w:r>
      <w:r>
        <w:tab/>
        <w:t>and</w:t>
      </w:r>
    </w:p>
    <w:p w:rsidR="004230DE" w:rsidRDefault="00670E7C">
      <w:pPr>
        <w:pStyle w:val="Indenta"/>
        <w:rPr>
          <w:snapToGrid w:val="0"/>
        </w:rPr>
      </w:pPr>
      <w:r>
        <w:rPr>
          <w:snapToGrid w:val="0"/>
        </w:rPr>
        <w:tab/>
        <w:t>(c)</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keepNext/>
        <w:rPr>
          <w:snapToGrid w:val="0"/>
        </w:rPr>
      </w:pPr>
      <w:r>
        <w:rPr>
          <w:snapToGrid w:val="0"/>
        </w:rPr>
        <w:tab/>
        <w:t>(d)</w:t>
      </w:r>
      <w:r>
        <w:rPr>
          <w:snapToGrid w:val="0"/>
        </w:rPr>
        <w:tab/>
        <w:t>it is issued by or on behalf of an insurer who is —</w:t>
      </w:r>
    </w:p>
    <w:p w:rsidR="004230DE" w:rsidRDefault="00670E7C">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(e)</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rsidR="004230DE" w:rsidRDefault="00670E7C">
      <w:pPr>
        <w:pStyle w:val="Footnotesection"/>
      </w:pPr>
      <w:r>
        <w:tab/>
        <w:t>[Section 25G inserted: No. 72 of 1996 s. 5; amended: No. 16 of 2011 s. 122; No. 19 of 2011 s. 153.]</w:t>
      </w:r>
    </w:p>
    <w:p w:rsidR="004230DE" w:rsidRDefault="00670E7C">
      <w:pPr>
        <w:pStyle w:val="Heading5"/>
      </w:pPr>
      <w:bookmarkStart w:id="111" w:name="_Toc75344427"/>
      <w:bookmarkStart w:id="112" w:name="_Toc74732520"/>
      <w:r>
        <w:rPr>
          <w:rStyle w:val="CharSectno"/>
        </w:rPr>
        <w:t>25GA</w:t>
      </w:r>
      <w:r>
        <w:t>.</w:t>
      </w:r>
      <w:r>
        <w:tab/>
        <w:t>Corresponding cover by an approved fund for owner</w:t>
      </w:r>
      <w:r>
        <w:noBreakHyphen/>
        <w:t>builders</w:t>
      </w:r>
      <w:bookmarkEnd w:id="111"/>
      <w:bookmarkEnd w:id="112"/>
    </w:p>
    <w:p w:rsidR="004230DE" w:rsidRDefault="00670E7C">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25GA inserted: No. 37 of 2002 s. 15.]</w:t>
      </w:r>
    </w:p>
    <w:p w:rsidR="004230DE" w:rsidRDefault="00670E7C">
      <w:pPr>
        <w:pStyle w:val="Heading3"/>
      </w:pPr>
      <w:bookmarkStart w:id="113" w:name="_Toc75339186"/>
      <w:bookmarkStart w:id="114" w:name="_Toc75339385"/>
      <w:bookmarkStart w:id="115" w:name="_Toc75344428"/>
      <w:bookmarkStart w:id="116" w:name="_Toc74650369"/>
      <w:bookmarkStart w:id="117" w:name="_Toc74650438"/>
      <w:bookmarkStart w:id="118" w:name="_Toc74732521"/>
      <w:r>
        <w:rPr>
          <w:rStyle w:val="CharDivNo"/>
        </w:rPr>
        <w:t>Division 3A</w:t>
      </w:r>
      <w:r>
        <w:t> — </w:t>
      </w:r>
      <w:r>
        <w:rPr>
          <w:rStyle w:val="CharDivText"/>
        </w:rPr>
        <w:t>Approved funds</w:t>
      </w:r>
      <w:bookmarkEnd w:id="113"/>
      <w:bookmarkEnd w:id="114"/>
      <w:bookmarkEnd w:id="115"/>
      <w:bookmarkEnd w:id="116"/>
      <w:bookmarkEnd w:id="117"/>
      <w:bookmarkEnd w:id="118"/>
    </w:p>
    <w:p w:rsidR="004230DE" w:rsidRDefault="00670E7C">
      <w:pPr>
        <w:pStyle w:val="Footnoteheading"/>
        <w:keepNext/>
        <w:rPr>
          <w:snapToGrid w:val="0"/>
        </w:rPr>
      </w:pPr>
      <w:r>
        <w:rPr>
          <w:snapToGrid w:val="0"/>
        </w:rPr>
        <w:tab/>
        <w:t>[Heading inserted: No. 37 of 2002 s. 16.]</w:t>
      </w:r>
    </w:p>
    <w:p w:rsidR="004230DE" w:rsidRDefault="00670E7C">
      <w:pPr>
        <w:pStyle w:val="Heading5"/>
      </w:pPr>
      <w:bookmarkStart w:id="119" w:name="_Toc75344429"/>
      <w:bookmarkStart w:id="120" w:name="_Toc74732522"/>
      <w:r>
        <w:rPr>
          <w:rStyle w:val="CharSectno"/>
        </w:rPr>
        <w:t>25GB</w:t>
      </w:r>
      <w:r>
        <w:t>.</w:t>
      </w:r>
      <w:r>
        <w:tab/>
        <w:t>Approval of fund by Minister</w:t>
      </w:r>
      <w:bookmarkEnd w:id="119"/>
      <w:bookmarkEnd w:id="120"/>
    </w:p>
    <w:p w:rsidR="004230DE" w:rsidRDefault="00670E7C">
      <w:pPr>
        <w:pStyle w:val="Subsection"/>
      </w:pPr>
      <w:r>
        <w:tab/>
        <w:t>(1)</w:t>
      </w:r>
      <w:r>
        <w:tab/>
        <w:t xml:space="preserve">The Minister may, by order published in the </w:t>
      </w:r>
      <w:r>
        <w:rPr>
          <w:i/>
        </w:rPr>
        <w:t>Gazette</w:t>
      </w:r>
      <w:r>
        <w:t>, approve a fund for the purposes of this Part.</w:t>
      </w:r>
    </w:p>
    <w:p w:rsidR="004230DE" w:rsidRDefault="00670E7C">
      <w:pPr>
        <w:pStyle w:val="Subsection"/>
      </w:pPr>
      <w:r>
        <w:tab/>
        <w:t>(2)</w:t>
      </w:r>
      <w:r>
        <w:tab/>
        <w:t>The Minister is not to approve a fund unless —</w:t>
      </w:r>
    </w:p>
    <w:p w:rsidR="004230DE" w:rsidRDefault="00670E7C">
      <w:pPr>
        <w:pStyle w:val="Indenta"/>
      </w:pPr>
      <w:r>
        <w:tab/>
        <w:t>(a)</w:t>
      </w:r>
      <w:r>
        <w:tab/>
        <w:t>the fund is, or is similar to, a mutual fund; and</w:t>
      </w:r>
    </w:p>
    <w:p w:rsidR="004230DE" w:rsidRDefault="00670E7C">
      <w:pPr>
        <w:pStyle w:val="Indenta"/>
      </w:pPr>
      <w:r>
        <w:tab/>
        <w:t>(b)</w:t>
      </w:r>
      <w:r>
        <w:tab/>
        <w:t>the rules of the fund (however described) are approved by the Minister; and</w:t>
      </w:r>
    </w:p>
    <w:p w:rsidR="004230DE" w:rsidRDefault="00670E7C">
      <w:pPr>
        <w:pStyle w:val="Indenta"/>
      </w:pPr>
      <w:r>
        <w:tab/>
        <w:t>(c)</w:t>
      </w:r>
      <w:r>
        <w:tab/>
        <w:t>each person responsible for the management of the fund is approved by the Minister in relation to the fund; and</w:t>
      </w:r>
    </w:p>
    <w:p w:rsidR="004230DE" w:rsidRDefault="00670E7C">
      <w:pPr>
        <w:pStyle w:val="Indenta"/>
      </w:pPr>
      <w:r>
        <w:tab/>
        <w:t>(d)</w:t>
      </w:r>
      <w:r>
        <w:tab/>
        <w:t>the Minister is satisfied that there is, or will be, adequate insurance or other provision for excess losses of the fund; and</w:t>
      </w:r>
    </w:p>
    <w:p w:rsidR="004230DE" w:rsidRDefault="00670E7C">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rsidR="004230DE" w:rsidRDefault="00670E7C">
      <w:pPr>
        <w:pStyle w:val="Subsection"/>
      </w:pPr>
      <w:r>
        <w:tab/>
        <w:t>(3)</w:t>
      </w:r>
      <w:r>
        <w:tab/>
        <w:t>In deciding whether to approve a fund, the Minister may take into account —</w:t>
      </w:r>
    </w:p>
    <w:p w:rsidR="004230DE" w:rsidRDefault="00670E7C">
      <w:pPr>
        <w:pStyle w:val="Indenta"/>
      </w:pPr>
      <w:r>
        <w:tab/>
        <w:t>(a)</w:t>
      </w:r>
      <w:r>
        <w:tab/>
        <w:t>the independence of the persons involved in, or responsible for, the management, provision for excess losses and auditing of the fund; and</w:t>
      </w:r>
    </w:p>
    <w:p w:rsidR="004230DE" w:rsidRDefault="00670E7C">
      <w:pPr>
        <w:pStyle w:val="Indenta"/>
      </w:pPr>
      <w:r>
        <w:tab/>
        <w:t>(b)</w:t>
      </w:r>
      <w:r>
        <w:tab/>
        <w:t>matters that do not necessarily relate to the particular fund but which relate to the building or insurance industries generally; and</w:t>
      </w:r>
    </w:p>
    <w:p w:rsidR="004230DE" w:rsidRDefault="00670E7C">
      <w:pPr>
        <w:pStyle w:val="Indenta"/>
      </w:pPr>
      <w:r>
        <w:tab/>
        <w:t>(c)</w:t>
      </w:r>
      <w:r>
        <w:tab/>
        <w:t>any other relevant matter.</w:t>
      </w:r>
    </w:p>
    <w:p w:rsidR="004230DE" w:rsidRDefault="00670E7C">
      <w:pPr>
        <w:pStyle w:val="Subsection"/>
      </w:pPr>
      <w:r>
        <w:tab/>
        <w:t>(4)</w:t>
      </w:r>
      <w:r>
        <w:tab/>
        <w:t>The Minister may impose conditions on the approval and vary those conditions at any time.</w:t>
      </w:r>
    </w:p>
    <w:p w:rsidR="004230DE" w:rsidRDefault="00670E7C">
      <w:pPr>
        <w:pStyle w:val="Footnotesection"/>
      </w:pPr>
      <w:r>
        <w:tab/>
        <w:t>[Section 25GB inserted: No. 37 of 2002 s. 16.]</w:t>
      </w:r>
    </w:p>
    <w:p w:rsidR="004230DE" w:rsidRDefault="00670E7C">
      <w:pPr>
        <w:pStyle w:val="Heading5"/>
      </w:pPr>
      <w:bookmarkStart w:id="121" w:name="_Toc75344430"/>
      <w:bookmarkStart w:id="122" w:name="_Toc74732523"/>
      <w:r>
        <w:rPr>
          <w:rStyle w:val="CharSectno"/>
        </w:rPr>
        <w:t>25GC</w:t>
      </w:r>
      <w:r>
        <w:t>.</w:t>
      </w:r>
      <w:r>
        <w:tab/>
        <w:t>Certain changes to approved fund require Minister’s consent</w:t>
      </w:r>
      <w:bookmarkEnd w:id="121"/>
      <w:bookmarkEnd w:id="122"/>
    </w:p>
    <w:p w:rsidR="004230DE" w:rsidRDefault="00670E7C">
      <w:pPr>
        <w:pStyle w:val="Subsection"/>
      </w:pPr>
      <w:r>
        <w:tab/>
      </w:r>
      <w:r>
        <w:tab/>
        <w:t>The matters set out in section 25GB(2)(a), (b) and (c), as they apply to an approved fund, must not change in respect of the fund without the Minister’s written consent.</w:t>
      </w:r>
    </w:p>
    <w:p w:rsidR="004230DE" w:rsidRDefault="00670E7C">
      <w:pPr>
        <w:pStyle w:val="Footnotesection"/>
      </w:pPr>
      <w:r>
        <w:tab/>
        <w:t>[Section 25GC inserted: No. 37 of 2002 s. 16.]</w:t>
      </w:r>
    </w:p>
    <w:p w:rsidR="004230DE" w:rsidRDefault="00670E7C">
      <w:pPr>
        <w:pStyle w:val="Heading5"/>
      </w:pPr>
      <w:bookmarkStart w:id="123" w:name="_Toc75344431"/>
      <w:bookmarkStart w:id="124" w:name="_Toc74732524"/>
      <w:r>
        <w:rPr>
          <w:rStyle w:val="CharSectno"/>
        </w:rPr>
        <w:t>25GD</w:t>
      </w:r>
      <w:r>
        <w:t>.</w:t>
      </w:r>
      <w:r>
        <w:tab/>
        <w:t>Approval of fund, revoking</w:t>
      </w:r>
      <w:bookmarkEnd w:id="123"/>
      <w:bookmarkEnd w:id="124"/>
    </w:p>
    <w:p w:rsidR="004230DE" w:rsidRDefault="00670E7C">
      <w:pPr>
        <w:pStyle w:val="Subsection"/>
      </w:pPr>
      <w:r>
        <w:tab/>
      </w:r>
      <w:r>
        <w:tab/>
        <w:t xml:space="preserve">The Minister may, by order published in the </w:t>
      </w:r>
      <w:r>
        <w:rPr>
          <w:i/>
        </w:rPr>
        <w:t>Gazette</w:t>
      </w:r>
      <w:r>
        <w:t>, revoke the Minister’s approval of a fund if —</w:t>
      </w:r>
    </w:p>
    <w:p w:rsidR="004230DE" w:rsidRDefault="00670E7C">
      <w:pPr>
        <w:pStyle w:val="Indenta"/>
      </w:pPr>
      <w:r>
        <w:tab/>
        <w:t>(a)</w:t>
      </w:r>
      <w:r>
        <w:tab/>
        <w:t>a matter, as it applies to an approved fund, has changed in contravention of section 25GC; or</w:t>
      </w:r>
    </w:p>
    <w:p w:rsidR="004230DE" w:rsidRDefault="00670E7C">
      <w:pPr>
        <w:pStyle w:val="Indenta"/>
      </w:pPr>
      <w:r>
        <w:tab/>
        <w:t>(b)</w:t>
      </w:r>
      <w:r>
        <w:tab/>
        <w:t>the Minister is no longer satisfied that there is adequate insurance or other provision for excess losses of the fund as referred to in section 25GB(2)(d); or</w:t>
      </w:r>
    </w:p>
    <w:p w:rsidR="004230DE" w:rsidRDefault="00670E7C">
      <w:pPr>
        <w:pStyle w:val="Indenta"/>
        <w:keepNext/>
      </w:pPr>
      <w:r>
        <w:tab/>
        <w:t>(c)</w:t>
      </w:r>
      <w:r>
        <w:tab/>
        <w:t>an insurer referred to in section 25GB(2)(e) —</w:t>
      </w:r>
    </w:p>
    <w:p w:rsidR="004230DE" w:rsidRDefault="00670E7C">
      <w:pPr>
        <w:pStyle w:val="Indenti"/>
      </w:pPr>
      <w:r>
        <w:tab/>
        <w:t>(i)</w:t>
      </w:r>
      <w:r>
        <w:tab/>
        <w:t>is not, or is no longer, authorised; or</w:t>
      </w:r>
    </w:p>
    <w:p w:rsidR="004230DE" w:rsidRDefault="00670E7C">
      <w:pPr>
        <w:pStyle w:val="Indenti"/>
      </w:pPr>
      <w:r>
        <w:tab/>
        <w:t>(ii)</w:t>
      </w:r>
      <w:r>
        <w:tab/>
        <w:t>is not, or is no longer, approved,</w:t>
      </w:r>
    </w:p>
    <w:p w:rsidR="004230DE" w:rsidRDefault="00670E7C">
      <w:pPr>
        <w:pStyle w:val="Indenta"/>
      </w:pPr>
      <w:r>
        <w:tab/>
      </w:r>
      <w:r>
        <w:tab/>
        <w:t>as required by that provision.</w:t>
      </w:r>
    </w:p>
    <w:p w:rsidR="004230DE" w:rsidRDefault="00670E7C">
      <w:pPr>
        <w:pStyle w:val="Footnotesection"/>
      </w:pPr>
      <w:r>
        <w:tab/>
        <w:t>[Section 25GD inserted: No. 37 of 2002 s. 16.]</w:t>
      </w:r>
    </w:p>
    <w:p w:rsidR="004230DE" w:rsidRDefault="00670E7C">
      <w:pPr>
        <w:pStyle w:val="Heading3"/>
      </w:pPr>
      <w:bookmarkStart w:id="125" w:name="_Toc75339190"/>
      <w:bookmarkStart w:id="126" w:name="_Toc75339389"/>
      <w:bookmarkStart w:id="127" w:name="_Toc75344432"/>
      <w:bookmarkStart w:id="128" w:name="_Toc74650373"/>
      <w:bookmarkStart w:id="129" w:name="_Toc74650442"/>
      <w:bookmarkStart w:id="130" w:name="_Toc74732525"/>
      <w:r>
        <w:rPr>
          <w:rStyle w:val="CharDivNo"/>
        </w:rPr>
        <w:t>Division 4</w:t>
      </w:r>
      <w:r>
        <w:rPr>
          <w:snapToGrid w:val="0"/>
        </w:rPr>
        <w:t> — </w:t>
      </w:r>
      <w:r>
        <w:rPr>
          <w:rStyle w:val="CharDivText"/>
        </w:rPr>
        <w:t>Review</w:t>
      </w:r>
      <w:bookmarkEnd w:id="125"/>
      <w:bookmarkEnd w:id="126"/>
      <w:bookmarkEnd w:id="127"/>
      <w:bookmarkEnd w:id="128"/>
      <w:bookmarkEnd w:id="129"/>
      <w:bookmarkEnd w:id="130"/>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131" w:name="_Toc75344433"/>
      <w:bookmarkStart w:id="132" w:name="_Toc74732526"/>
      <w:r>
        <w:rPr>
          <w:rStyle w:val="CharSectno"/>
        </w:rPr>
        <w:t>25H</w:t>
      </w:r>
      <w:r>
        <w:rPr>
          <w:snapToGrid w:val="0"/>
        </w:rPr>
        <w:t xml:space="preserve">. </w:t>
      </w:r>
      <w:r>
        <w:rPr>
          <w:snapToGrid w:val="0"/>
        </w:rPr>
        <w:tab/>
        <w:t>Review of this Part by Minister</w:t>
      </w:r>
      <w:bookmarkEnd w:id="131"/>
      <w:bookmarkEnd w:id="13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rsidR="004230DE" w:rsidRDefault="00670E7C">
      <w:pPr>
        <w:pStyle w:val="Indenta"/>
        <w:rPr>
          <w:snapToGrid w:val="0"/>
        </w:rPr>
      </w:pPr>
      <w:r>
        <w:rPr>
          <w:snapToGrid w:val="0"/>
        </w:rPr>
        <w:tab/>
        <w:t>(a)</w:t>
      </w:r>
      <w:r>
        <w:rPr>
          <w:snapToGrid w:val="0"/>
        </w:rPr>
        <w:tab/>
        <w:t>the effectiveness of the scheme of insurance under this Part; and</w:t>
      </w:r>
    </w:p>
    <w:p w:rsidR="004230DE" w:rsidRDefault="00670E7C">
      <w:pPr>
        <w:pStyle w:val="Indenta"/>
        <w:rPr>
          <w:snapToGrid w:val="0"/>
        </w:rPr>
      </w:pPr>
      <w:r>
        <w:rPr>
          <w:snapToGrid w:val="0"/>
        </w:rPr>
        <w:tab/>
        <w:t>(b)</w:t>
      </w:r>
      <w:r>
        <w:rPr>
          <w:snapToGrid w:val="0"/>
        </w:rPr>
        <w:tab/>
        <w:t>such other matters as appear to the Minister to be relevant to the operation and effectiveness of this Part.</w:t>
      </w:r>
    </w:p>
    <w:p w:rsidR="004230DE" w:rsidRDefault="00670E7C">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25H inserted: No. 72 of 1996 s. 5; amended: No. 37 of 2002 s. 20.]</w:t>
      </w:r>
    </w:p>
    <w:p w:rsidR="004230DE" w:rsidRDefault="00670E7C">
      <w:pPr>
        <w:pStyle w:val="Heading3"/>
      </w:pPr>
      <w:bookmarkStart w:id="133" w:name="_Toc75339192"/>
      <w:bookmarkStart w:id="134" w:name="_Toc75339391"/>
      <w:bookmarkStart w:id="135" w:name="_Toc75344434"/>
      <w:bookmarkStart w:id="136" w:name="_Toc74650375"/>
      <w:bookmarkStart w:id="137" w:name="_Toc74650444"/>
      <w:bookmarkStart w:id="138" w:name="_Toc74732527"/>
      <w:r>
        <w:rPr>
          <w:rStyle w:val="CharDivNo"/>
        </w:rPr>
        <w:t>Division 5</w:t>
      </w:r>
      <w:r>
        <w:t> — </w:t>
      </w:r>
      <w:r>
        <w:rPr>
          <w:rStyle w:val="CharDivText"/>
        </w:rPr>
        <w:t>Provisions about non</w:t>
      </w:r>
      <w:r>
        <w:rPr>
          <w:rStyle w:val="CharDivText"/>
        </w:rPr>
        <w:noBreakHyphen/>
        <w:t>application of sections 25C(1) and (2) and 25F(1)</w:t>
      </w:r>
      <w:bookmarkEnd w:id="133"/>
      <w:bookmarkEnd w:id="134"/>
      <w:bookmarkEnd w:id="135"/>
      <w:bookmarkEnd w:id="136"/>
      <w:bookmarkEnd w:id="137"/>
      <w:bookmarkEnd w:id="138"/>
    </w:p>
    <w:p w:rsidR="004230DE" w:rsidRDefault="00670E7C">
      <w:pPr>
        <w:pStyle w:val="Footnoteheading"/>
        <w:keepNext/>
        <w:rPr>
          <w:snapToGrid w:val="0"/>
        </w:rPr>
      </w:pPr>
      <w:r>
        <w:rPr>
          <w:snapToGrid w:val="0"/>
        </w:rPr>
        <w:tab/>
        <w:t>[Heading inserted: No. 37 of 2002 s. 17.]</w:t>
      </w:r>
    </w:p>
    <w:p w:rsidR="004230DE" w:rsidRDefault="00670E7C">
      <w:pPr>
        <w:pStyle w:val="Heading5"/>
      </w:pPr>
      <w:bookmarkStart w:id="139" w:name="_Toc75344435"/>
      <w:bookmarkStart w:id="140" w:name="_Toc74732528"/>
      <w:r>
        <w:rPr>
          <w:rStyle w:val="CharSectno"/>
        </w:rPr>
        <w:t>25I</w:t>
      </w:r>
      <w:r>
        <w:t>.</w:t>
      </w:r>
      <w:r>
        <w:tab/>
        <w:t>Periods for s. 25C(3) and 25F(2), Minister may specify</w:t>
      </w:r>
      <w:bookmarkEnd w:id="139"/>
      <w:bookmarkEnd w:id="140"/>
    </w:p>
    <w:p w:rsidR="004230DE" w:rsidRDefault="00670E7C">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rsidR="004230DE" w:rsidRDefault="00670E7C">
      <w:pPr>
        <w:pStyle w:val="Subsection"/>
      </w:pPr>
      <w:r>
        <w:tab/>
        <w:t>(2)</w:t>
      </w:r>
      <w:r>
        <w:tab/>
        <w:t>The Minister may make no more than 4 orders for the purposes of section 25C(3) and no more than 4 orders for the purposes of section 25F(2).</w:t>
      </w:r>
    </w:p>
    <w:p w:rsidR="004230DE" w:rsidRDefault="00670E7C">
      <w:pPr>
        <w:pStyle w:val="Footnotesection"/>
      </w:pPr>
      <w:r>
        <w:tab/>
        <w:t>[Section 25I inserted: No. 37 of 2002 s. 17.]</w:t>
      </w:r>
    </w:p>
    <w:p w:rsidR="004230DE" w:rsidRDefault="00670E7C">
      <w:pPr>
        <w:pStyle w:val="Heading5"/>
      </w:pPr>
      <w:bookmarkStart w:id="141" w:name="_Toc75344436"/>
      <w:bookmarkStart w:id="142" w:name="_Toc74732529"/>
      <w:r>
        <w:rPr>
          <w:rStyle w:val="CharSectno"/>
        </w:rPr>
        <w:t>25J</w:t>
      </w:r>
      <w:r>
        <w:t>.</w:t>
      </w:r>
      <w:r>
        <w:tab/>
        <w:t>Contracts with builders, builders to give prescribed notice to other party</w:t>
      </w:r>
      <w:bookmarkEnd w:id="141"/>
      <w:bookmarkEnd w:id="142"/>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25C(3).</w:t>
      </w:r>
    </w:p>
    <w:p w:rsidR="004230DE" w:rsidRDefault="00670E7C">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(4)</w:t>
      </w:r>
      <w:r>
        <w:tab/>
        <w:t>A failure to provide a notice in accordance with subsection (2) or (3) does not, of itself, invalidate a contract.</w:t>
      </w:r>
    </w:p>
    <w:p w:rsidR="004230DE" w:rsidRDefault="00670E7C">
      <w:pPr>
        <w:pStyle w:val="Subsection"/>
      </w:pPr>
      <w:r>
        <w:tab/>
        <w:t>(5)</w:t>
      </w:r>
      <w:r>
        <w:tab/>
        <w:t>If —</w:t>
      </w:r>
    </w:p>
    <w:p w:rsidR="004230DE" w:rsidRDefault="00670E7C">
      <w:pPr>
        <w:pStyle w:val="Indenta"/>
      </w:pPr>
      <w:r>
        <w:tab/>
        <w:t>(a)</w:t>
      </w:r>
      <w:r>
        <w:tab/>
        <w:t>at a time that is not during a specified period, a builder enters into a building contract or sale contract in respect of residential building work; and</w:t>
      </w:r>
    </w:p>
    <w:p w:rsidR="004230DE" w:rsidRDefault="00670E7C">
      <w:pPr>
        <w:pStyle w:val="Indenta"/>
      </w:pPr>
      <w:r>
        <w:tab/>
        <w:t>(b)</w:t>
      </w:r>
      <w:r>
        <w:tab/>
        <w:t>a specified period commences before a building permit for the residential building work is granted,</w:t>
      </w:r>
    </w:p>
    <w:p w:rsidR="004230DE" w:rsidRDefault="00670E7C">
      <w:pPr>
        <w:pStyle w:val="Subsection"/>
      </w:pPr>
      <w:r>
        <w:tab/>
      </w:r>
      <w:r>
        <w:tab/>
        <w:t>the builder must give the other party to the contract a notice in the form prescribed by the regulations as soon as practicable after the specified period commences.</w:t>
      </w:r>
    </w:p>
    <w:p w:rsidR="004230DE" w:rsidRDefault="00670E7C">
      <w:pPr>
        <w:pStyle w:val="Penstart"/>
      </w:pPr>
      <w:r>
        <w:tab/>
        <w:t>Penalty: $10 000.</w:t>
      </w:r>
    </w:p>
    <w:p w:rsidR="004230DE" w:rsidRDefault="00670E7C">
      <w:pPr>
        <w:pStyle w:val="Subsection"/>
      </w:pPr>
      <w:r>
        <w:tab/>
        <w:t>(6)</w:t>
      </w:r>
      <w:r>
        <w:tab/>
        <w:t>If the party to whom a notice must be given under subsection (5) is not a developer, the party may rescind the contract.</w:t>
      </w:r>
    </w:p>
    <w:p w:rsidR="004230DE" w:rsidRDefault="00670E7C">
      <w:pPr>
        <w:pStyle w:val="Subsection"/>
      </w:pPr>
      <w:r>
        <w:tab/>
        <w:t>(7)</w:t>
      </w:r>
      <w:r>
        <w:tab/>
        <w:t>To rescind the contract, the party must give notice of the exercise of the right to rescind to the builder before the earlier of —</w:t>
      </w:r>
    </w:p>
    <w:p w:rsidR="004230DE" w:rsidRDefault="00670E7C">
      <w:pPr>
        <w:pStyle w:val="Indenta"/>
      </w:pPr>
      <w:r>
        <w:tab/>
        <w:t>(a)</w:t>
      </w:r>
      <w:r>
        <w:tab/>
        <w:t>the expiration of one month after the day on which the notice referred to in subsection (5) is received by the party; or</w:t>
      </w:r>
    </w:p>
    <w:p w:rsidR="004230DE" w:rsidRDefault="00670E7C">
      <w:pPr>
        <w:pStyle w:val="Indenta"/>
      </w:pPr>
      <w:r>
        <w:tab/>
        <w:t>(b)</w:t>
      </w:r>
      <w:r>
        <w:tab/>
        <w:t>settlement (in the case of a sale contract) or practical completion (in all other cases).</w:t>
      </w:r>
    </w:p>
    <w:p w:rsidR="004230DE" w:rsidRDefault="00670E7C">
      <w:pPr>
        <w:pStyle w:val="Footnotesection"/>
      </w:pPr>
      <w:r>
        <w:tab/>
        <w:t>[Section 25J inserted: No. 37 of 2002 s. 17; amended: No. 24 of 2011 s. 163(8) and (9).]</w:t>
      </w:r>
    </w:p>
    <w:p w:rsidR="004230DE" w:rsidRDefault="00670E7C">
      <w:pPr>
        <w:pStyle w:val="Heading5"/>
      </w:pPr>
      <w:bookmarkStart w:id="143" w:name="_Toc75344437"/>
      <w:bookmarkStart w:id="144" w:name="_Toc74732530"/>
      <w:r>
        <w:rPr>
          <w:rStyle w:val="CharSectno"/>
        </w:rPr>
        <w:t>25K</w:t>
      </w:r>
      <w:r>
        <w:t>.</w:t>
      </w:r>
      <w:r>
        <w:tab/>
        <w:t>Sale contract with owner-builder, owner-builder to give prescribed notice to other party</w:t>
      </w:r>
      <w:bookmarkEnd w:id="143"/>
      <w:bookmarkEnd w:id="144"/>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25F(2).</w:t>
      </w:r>
    </w:p>
    <w:p w:rsidR="004230DE" w:rsidRDefault="00670E7C">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rsidR="004230DE" w:rsidRDefault="00670E7C">
      <w:pPr>
        <w:pStyle w:val="Penstart"/>
      </w:pPr>
      <w:r>
        <w:tab/>
        <w:t>Penalty: $10 000.</w:t>
      </w:r>
    </w:p>
    <w:p w:rsidR="004230DE" w:rsidRDefault="00670E7C">
      <w:pPr>
        <w:pStyle w:val="Subsection"/>
      </w:pPr>
      <w:r>
        <w:tab/>
        <w:t>(3)</w:t>
      </w:r>
      <w:r>
        <w:tab/>
        <w:t>A failure to provide a notice in accordance with subsection (2) does not, of itself, invalidate a contract.</w:t>
      </w:r>
    </w:p>
    <w:p w:rsidR="004230DE" w:rsidRDefault="00670E7C">
      <w:pPr>
        <w:pStyle w:val="Footnotesection"/>
      </w:pPr>
      <w:r>
        <w:tab/>
        <w:t>[Section 25K inserted: No. 37 of 2002 s. 17.]</w:t>
      </w:r>
    </w:p>
    <w:p w:rsidR="004230DE" w:rsidRDefault="00670E7C">
      <w:pPr>
        <w:pStyle w:val="Heading5"/>
      </w:pPr>
      <w:bookmarkStart w:id="145" w:name="_Toc75344438"/>
      <w:bookmarkStart w:id="146" w:name="_Toc74732531"/>
      <w:r>
        <w:rPr>
          <w:rStyle w:val="CharSectno"/>
        </w:rPr>
        <w:t>25L</w:t>
      </w:r>
      <w:r>
        <w:t>.</w:t>
      </w:r>
      <w:r>
        <w:tab/>
        <w:t>Subsequent purchaser to be given notice given under s. 25J in some cases</w:t>
      </w:r>
      <w:bookmarkEnd w:id="145"/>
      <w:bookmarkEnd w:id="146"/>
    </w:p>
    <w:p w:rsidR="004230DE" w:rsidRDefault="00670E7C">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rsidR="004230DE" w:rsidRDefault="00670E7C">
      <w:pPr>
        <w:pStyle w:val="Penstart"/>
      </w:pPr>
      <w:r>
        <w:tab/>
        <w:t>Penalty: $10 000.</w:t>
      </w:r>
    </w:p>
    <w:p w:rsidR="004230DE" w:rsidRDefault="00670E7C">
      <w:pPr>
        <w:pStyle w:val="Subsection"/>
      </w:pPr>
      <w:r>
        <w:tab/>
        <w:t>(2)</w:t>
      </w:r>
      <w:r>
        <w:tab/>
        <w:t>A failure to provide a notice in accordance with subsection (1) does not, of itself, invalidate a contract.</w:t>
      </w:r>
    </w:p>
    <w:p w:rsidR="004230DE" w:rsidRDefault="00670E7C">
      <w:pPr>
        <w:pStyle w:val="Footnotesection"/>
      </w:pPr>
      <w:r>
        <w:tab/>
        <w:t>[Section 25L inserted: No. 37 of 2002 s. 17.]</w:t>
      </w:r>
    </w:p>
    <w:p w:rsidR="004230DE" w:rsidRDefault="00670E7C">
      <w:pPr>
        <w:pStyle w:val="Heading2"/>
      </w:pPr>
      <w:bookmarkStart w:id="147" w:name="_Toc75339197"/>
      <w:bookmarkStart w:id="148" w:name="_Toc75339396"/>
      <w:bookmarkStart w:id="149" w:name="_Toc75344439"/>
      <w:bookmarkStart w:id="150" w:name="_Toc74650380"/>
      <w:bookmarkStart w:id="151" w:name="_Toc74650449"/>
      <w:bookmarkStart w:id="152" w:name="_Toc74732532"/>
      <w:r>
        <w:rPr>
          <w:rStyle w:val="CharPartNo"/>
        </w:rPr>
        <w:t>Part 4</w:t>
      </w:r>
      <w:r>
        <w:rPr>
          <w:rStyle w:val="CharDivNo"/>
        </w:rPr>
        <w:t> </w:t>
      </w:r>
      <w:r>
        <w:t>—</w:t>
      </w:r>
      <w:r>
        <w:rPr>
          <w:rStyle w:val="CharDivText"/>
        </w:rPr>
        <w:t> </w:t>
      </w:r>
      <w:r>
        <w:rPr>
          <w:rStyle w:val="CharPartText"/>
        </w:rPr>
        <w:t>General</w:t>
      </w:r>
      <w:bookmarkEnd w:id="147"/>
      <w:bookmarkEnd w:id="148"/>
      <w:bookmarkEnd w:id="149"/>
      <w:bookmarkEnd w:id="150"/>
      <w:bookmarkEnd w:id="151"/>
      <w:bookmarkEnd w:id="152"/>
    </w:p>
    <w:p w:rsidR="004230DE" w:rsidRDefault="00670E7C">
      <w:pPr>
        <w:pStyle w:val="Heading5"/>
        <w:rPr>
          <w:snapToGrid w:val="0"/>
        </w:rPr>
      </w:pPr>
      <w:bookmarkStart w:id="153" w:name="_Toc75344440"/>
      <w:bookmarkStart w:id="154" w:name="_Toc74732533"/>
      <w:r>
        <w:rPr>
          <w:rStyle w:val="CharSectno"/>
        </w:rPr>
        <w:t>26</w:t>
      </w:r>
      <w:r>
        <w:rPr>
          <w:snapToGrid w:val="0"/>
        </w:rPr>
        <w:t>.</w:t>
      </w:r>
      <w:r>
        <w:rPr>
          <w:snapToGrid w:val="0"/>
        </w:rPr>
        <w:tab/>
        <w:t>Inspection by owner etc. of building work, prevention of etc.</w:t>
      </w:r>
      <w:bookmarkEnd w:id="153"/>
      <w:bookmarkEnd w:id="154"/>
    </w:p>
    <w:p w:rsidR="004230DE" w:rsidRDefault="00670E7C">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rsidR="004230DE" w:rsidRDefault="00670E7C">
      <w:pPr>
        <w:pStyle w:val="Indenta"/>
        <w:rPr>
          <w:snapToGrid w:val="0"/>
        </w:rPr>
      </w:pPr>
      <w:r>
        <w:rPr>
          <w:snapToGrid w:val="0"/>
        </w:rPr>
        <w:tab/>
        <w:t>(a)</w:t>
      </w:r>
      <w:r>
        <w:rPr>
          <w:snapToGrid w:val="0"/>
        </w:rPr>
        <w:tab/>
        <w:t>the contract; and</w:t>
      </w:r>
    </w:p>
    <w:p w:rsidR="004230DE" w:rsidRDefault="00670E7C">
      <w:pPr>
        <w:pStyle w:val="Indenta"/>
        <w:rPr>
          <w:snapToGrid w:val="0"/>
        </w:rPr>
      </w:pPr>
      <w:r>
        <w:rPr>
          <w:snapToGrid w:val="0"/>
        </w:rPr>
        <w:tab/>
        <w:t>(b)</w:t>
      </w:r>
      <w:r>
        <w:rPr>
          <w:snapToGrid w:val="0"/>
        </w:rPr>
        <w:tab/>
        <w:t>such provisions as are prescribed.</w:t>
      </w:r>
    </w:p>
    <w:p w:rsidR="004230DE" w:rsidRDefault="00670E7C">
      <w:pPr>
        <w:pStyle w:val="Penstart"/>
        <w:rPr>
          <w:snapToGrid w:val="0"/>
        </w:rPr>
      </w:pPr>
      <w:r>
        <w:rPr>
          <w:snapToGrid w:val="0"/>
        </w:rPr>
        <w:tab/>
        <w:t>Penalty: $1 000.</w:t>
      </w:r>
    </w:p>
    <w:p w:rsidR="004230DE" w:rsidRDefault="00670E7C">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rsidR="004230DE" w:rsidRDefault="00670E7C">
      <w:pPr>
        <w:pStyle w:val="Indenta"/>
        <w:rPr>
          <w:snapToGrid w:val="0"/>
        </w:rPr>
      </w:pPr>
      <w:r>
        <w:rPr>
          <w:snapToGrid w:val="0"/>
        </w:rPr>
        <w:tab/>
        <w:t>(a)</w:t>
      </w:r>
      <w:r>
        <w:rPr>
          <w:snapToGrid w:val="0"/>
        </w:rPr>
        <w:tab/>
        <w:t>restricts inspection to the builder’s normal working hours; or</w:t>
      </w:r>
    </w:p>
    <w:p w:rsidR="004230DE" w:rsidRDefault="00670E7C">
      <w:pPr>
        <w:pStyle w:val="Indenta"/>
        <w:rPr>
          <w:snapToGrid w:val="0"/>
        </w:rPr>
      </w:pPr>
      <w:r>
        <w:rPr>
          <w:snapToGrid w:val="0"/>
        </w:rPr>
        <w:tab/>
        <w:t>(b)</w:t>
      </w:r>
      <w:r>
        <w:rPr>
          <w:snapToGrid w:val="0"/>
        </w:rPr>
        <w:tab/>
        <w:t>precludes inspection that would unreasonably impede or interfere with the building work.</w:t>
      </w:r>
    </w:p>
    <w:p w:rsidR="004230DE" w:rsidRDefault="00670E7C">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rsidR="004230DE" w:rsidRDefault="00670E7C">
      <w:pPr>
        <w:pStyle w:val="Indenta"/>
        <w:rPr>
          <w:snapToGrid w:val="0"/>
        </w:rPr>
      </w:pPr>
      <w:r>
        <w:rPr>
          <w:snapToGrid w:val="0"/>
        </w:rPr>
        <w:tab/>
        <w:t>(a)</w:t>
      </w:r>
      <w:r>
        <w:rPr>
          <w:snapToGrid w:val="0"/>
        </w:rPr>
        <w:tab/>
        <w:t>a person acting on behalf of the owner under an authority in writing; and</w:t>
      </w:r>
    </w:p>
    <w:p w:rsidR="004230DE" w:rsidRDefault="00670E7C">
      <w:pPr>
        <w:pStyle w:val="Indenta"/>
        <w:rPr>
          <w:snapToGrid w:val="0"/>
        </w:rPr>
      </w:pPr>
      <w:r>
        <w:rPr>
          <w:snapToGrid w:val="0"/>
        </w:rPr>
        <w:tab/>
        <w:t>(b)</w:t>
      </w:r>
      <w:r>
        <w:rPr>
          <w:snapToGrid w:val="0"/>
        </w:rPr>
        <w:tab/>
        <w:t>a person who is providing finance for the home building work or a person acting on behalf of such a person.</w:t>
      </w:r>
    </w:p>
    <w:p w:rsidR="004230DE" w:rsidRDefault="00670E7C">
      <w:pPr>
        <w:pStyle w:val="Heading5"/>
        <w:rPr>
          <w:snapToGrid w:val="0"/>
        </w:rPr>
      </w:pPr>
      <w:bookmarkStart w:id="155" w:name="_Toc75344441"/>
      <w:bookmarkStart w:id="156" w:name="_Toc74732534"/>
      <w:r>
        <w:rPr>
          <w:rStyle w:val="CharSectno"/>
        </w:rPr>
        <w:t>27</w:t>
      </w:r>
      <w:r>
        <w:rPr>
          <w:snapToGrid w:val="0"/>
        </w:rPr>
        <w:t>.</w:t>
      </w:r>
      <w:r>
        <w:rPr>
          <w:snapToGrid w:val="0"/>
        </w:rPr>
        <w:tab/>
        <w:t>Breach of Act, effect of on contract</w:t>
      </w:r>
      <w:bookmarkEnd w:id="155"/>
      <w:bookmarkEnd w:id="156"/>
    </w:p>
    <w:p w:rsidR="004230DE" w:rsidRDefault="00670E7C">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rsidR="004230DE" w:rsidRDefault="00670E7C">
      <w:pPr>
        <w:pStyle w:val="Subsection"/>
        <w:rPr>
          <w:snapToGrid w:val="0"/>
        </w:rPr>
      </w:pPr>
      <w:r>
        <w:rPr>
          <w:snapToGrid w:val="0"/>
        </w:rPr>
        <w:tab/>
        <w:t>(2)</w:t>
      </w:r>
      <w:r>
        <w:rPr>
          <w:snapToGrid w:val="0"/>
        </w:rPr>
        <w:tab/>
        <w:t>Nothing in subsection (1) affects the operation of section 28.</w:t>
      </w:r>
    </w:p>
    <w:p w:rsidR="004230DE" w:rsidRDefault="00670E7C">
      <w:pPr>
        <w:pStyle w:val="Footnotesection"/>
      </w:pPr>
      <w:r>
        <w:tab/>
        <w:t>[Section 27 amended: No. 16 of 2011 s. 123.]</w:t>
      </w:r>
    </w:p>
    <w:p w:rsidR="004230DE" w:rsidRDefault="00670E7C">
      <w:pPr>
        <w:pStyle w:val="Heading5"/>
        <w:rPr>
          <w:snapToGrid w:val="0"/>
        </w:rPr>
      </w:pPr>
      <w:bookmarkStart w:id="157" w:name="_Toc75344442"/>
      <w:bookmarkStart w:id="158" w:name="_Toc74732535"/>
      <w:r>
        <w:rPr>
          <w:rStyle w:val="CharSectno"/>
        </w:rPr>
        <w:t>28</w:t>
      </w:r>
      <w:r>
        <w:rPr>
          <w:snapToGrid w:val="0"/>
        </w:rPr>
        <w:t>.</w:t>
      </w:r>
      <w:r>
        <w:rPr>
          <w:snapToGrid w:val="0"/>
        </w:rPr>
        <w:tab/>
        <w:t>Contracting out prohibited</w:t>
      </w:r>
      <w:bookmarkEnd w:id="157"/>
      <w:bookmarkEnd w:id="158"/>
    </w:p>
    <w:p w:rsidR="004230DE" w:rsidRDefault="00670E7C">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rsidR="004230DE" w:rsidRDefault="00670E7C">
      <w:pPr>
        <w:pStyle w:val="Subsection"/>
        <w:spacing w:before="120"/>
        <w:rPr>
          <w:snapToGrid w:val="0"/>
        </w:rPr>
      </w:pPr>
      <w:r>
        <w:rPr>
          <w:snapToGrid w:val="0"/>
        </w:rPr>
        <w:tab/>
        <w:t>(2)</w:t>
      </w:r>
      <w:r>
        <w:rPr>
          <w:snapToGrid w:val="0"/>
        </w:rPr>
        <w:tab/>
        <w:t>A purported waiver of a right conferred by or under this Act is void.</w:t>
      </w:r>
    </w:p>
    <w:p w:rsidR="004230DE" w:rsidRDefault="00670E7C">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rsidR="004230DE" w:rsidRDefault="00670E7C">
      <w:pPr>
        <w:pStyle w:val="Penstart"/>
        <w:rPr>
          <w:snapToGrid w:val="0"/>
        </w:rPr>
      </w:pPr>
      <w:r>
        <w:rPr>
          <w:snapToGrid w:val="0"/>
        </w:rPr>
        <w:tab/>
        <w:t>Penalty: $10 000.</w:t>
      </w:r>
    </w:p>
    <w:p w:rsidR="004230DE" w:rsidRDefault="00670E7C">
      <w:pPr>
        <w:pStyle w:val="Heading5"/>
        <w:spacing w:before="180"/>
        <w:rPr>
          <w:snapToGrid w:val="0"/>
        </w:rPr>
      </w:pPr>
      <w:bookmarkStart w:id="159" w:name="_Toc75344443"/>
      <w:bookmarkStart w:id="160" w:name="_Toc74732536"/>
      <w:r>
        <w:rPr>
          <w:rStyle w:val="CharSectno"/>
        </w:rPr>
        <w:t>29</w:t>
      </w:r>
      <w:r>
        <w:rPr>
          <w:snapToGrid w:val="0"/>
        </w:rPr>
        <w:t>.</w:t>
      </w:r>
      <w:r>
        <w:rPr>
          <w:snapToGrid w:val="0"/>
        </w:rPr>
        <w:tab/>
        <w:t>Other laws not affected</w:t>
      </w:r>
      <w:bookmarkEnd w:id="159"/>
      <w:bookmarkEnd w:id="160"/>
    </w:p>
    <w:p w:rsidR="004230DE" w:rsidRDefault="00670E7C">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rsidR="004230DE" w:rsidRDefault="00670E7C">
      <w:pPr>
        <w:pStyle w:val="Subsection"/>
        <w:spacing w:before="120"/>
        <w:rPr>
          <w:snapToGrid w:val="0"/>
        </w:rPr>
      </w:pPr>
      <w:r>
        <w:rPr>
          <w:snapToGrid w:val="0"/>
        </w:rPr>
        <w:tab/>
        <w:t>(2)</w:t>
      </w:r>
      <w:r>
        <w:rPr>
          <w:snapToGrid w:val="0"/>
        </w:rPr>
        <w:tab/>
        <w:t>This Act does not limit or derogate from any civil remedy at law or in equity.</w:t>
      </w:r>
    </w:p>
    <w:p w:rsidR="004230DE" w:rsidRDefault="00670E7C">
      <w:pPr>
        <w:pStyle w:val="Heading5"/>
        <w:spacing w:before="180"/>
        <w:rPr>
          <w:snapToGrid w:val="0"/>
        </w:rPr>
      </w:pPr>
      <w:bookmarkStart w:id="161" w:name="_Toc75344444"/>
      <w:bookmarkStart w:id="162" w:name="_Toc74732537"/>
      <w:r>
        <w:rPr>
          <w:rStyle w:val="CharSectno"/>
        </w:rPr>
        <w:t>30</w:t>
      </w:r>
      <w:r>
        <w:rPr>
          <w:snapToGrid w:val="0"/>
        </w:rPr>
        <w:t>.</w:t>
      </w:r>
      <w:r>
        <w:rPr>
          <w:snapToGrid w:val="0"/>
        </w:rPr>
        <w:tab/>
        <w:t>Offences by body corporate, liability of officers for</w:t>
      </w:r>
      <w:bookmarkEnd w:id="161"/>
      <w:bookmarkEnd w:id="162"/>
    </w:p>
    <w:p w:rsidR="004230DE" w:rsidRDefault="00670E7C">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4230DE" w:rsidRDefault="00670E7C">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rsidR="004230DE" w:rsidRDefault="00670E7C">
      <w:pPr>
        <w:pStyle w:val="Footnotesection"/>
      </w:pPr>
      <w:r>
        <w:tab/>
        <w:t>[Section 30 amended: No. 10 of 2001 s. 220.]</w:t>
      </w:r>
    </w:p>
    <w:p w:rsidR="004230DE" w:rsidRDefault="00670E7C">
      <w:pPr>
        <w:pStyle w:val="Heading5"/>
      </w:pPr>
      <w:bookmarkStart w:id="163" w:name="_Toc75344445"/>
      <w:bookmarkStart w:id="164" w:name="_Toc74732538"/>
      <w:r>
        <w:rPr>
          <w:rStyle w:val="CharSectno"/>
        </w:rPr>
        <w:t>31</w:t>
      </w:r>
      <w:r>
        <w:t>.</w:t>
      </w:r>
      <w:r>
        <w:tab/>
        <w:t>Prosecutions</w:t>
      </w:r>
      <w:bookmarkEnd w:id="163"/>
      <w:bookmarkEnd w:id="164"/>
    </w:p>
    <w:p w:rsidR="004230DE" w:rsidRDefault="00670E7C">
      <w:pPr>
        <w:pStyle w:val="Subsection"/>
      </w:pPr>
      <w:r>
        <w:tab/>
        <w:t>(1)</w:t>
      </w:r>
      <w:r>
        <w:tab/>
        <w:t>A prosecution for an offence against this Act can only be commenced by the Building Commissioner or a person authorised to do so by the Building Commissioner.</w:t>
      </w:r>
    </w:p>
    <w:p w:rsidR="004230DE" w:rsidRDefault="00670E7C">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rsidR="004230DE" w:rsidRDefault="00670E7C">
      <w:pPr>
        <w:pStyle w:val="Subsection"/>
      </w:pPr>
      <w:r>
        <w:tab/>
        <w:t>(3)</w:t>
      </w:r>
      <w:r>
        <w:tab/>
        <w:t>A prosecution for an offence against this Act may be commenced within 3 years after the date on which the offence was allegedly committed, but not later.</w:t>
      </w:r>
    </w:p>
    <w:p w:rsidR="004230DE" w:rsidRDefault="00670E7C">
      <w:pPr>
        <w:pStyle w:val="Subsection"/>
      </w:pPr>
      <w:r>
        <w:tab/>
        <w:t>(4)</w:t>
      </w:r>
      <w:r>
        <w:tab/>
        <w:t>All prosecutions for offences against this Act are to be heard by a court of summary jurisdiction constituted by a magistrate.</w:t>
      </w:r>
    </w:p>
    <w:p w:rsidR="004230DE" w:rsidRDefault="00670E7C">
      <w:pPr>
        <w:pStyle w:val="Subsection"/>
      </w:pPr>
      <w:r>
        <w:tab/>
        <w:t>(5)</w:t>
      </w:r>
      <w:r>
        <w:tab/>
        <w:t xml:space="preserve">In the absence of evidence to the contrary, proof is not required in any proceeding for an offence against this Act — </w:t>
      </w:r>
    </w:p>
    <w:p w:rsidR="004230DE" w:rsidRDefault="00670E7C">
      <w:pPr>
        <w:pStyle w:val="Indenta"/>
      </w:pPr>
      <w:r>
        <w:tab/>
        <w:t>(a)</w:t>
      </w:r>
      <w:r>
        <w:tab/>
        <w:t>of the authority of a person to take the proceeding; or</w:t>
      </w:r>
    </w:p>
    <w:p w:rsidR="004230DE" w:rsidRDefault="00670E7C">
      <w:pPr>
        <w:pStyle w:val="Indenta"/>
      </w:pPr>
      <w:r>
        <w:tab/>
        <w:t>(b)</w:t>
      </w:r>
      <w:r>
        <w:tab/>
        <w:t>that a signature on a prosecution notice alleging the offence is the signature of a person authorised to take the proceeding.</w:t>
      </w:r>
    </w:p>
    <w:p w:rsidR="004230DE" w:rsidRDefault="00670E7C">
      <w:pPr>
        <w:pStyle w:val="Footnotesection"/>
      </w:pPr>
      <w:r>
        <w:tab/>
        <w:t>[Section 31 inserted: No. 16 of 2011 s. 124.]</w:t>
      </w:r>
    </w:p>
    <w:p w:rsidR="004230DE" w:rsidRDefault="00670E7C">
      <w:pPr>
        <w:pStyle w:val="Ednotesection"/>
      </w:pPr>
      <w:r>
        <w:t>[</w:t>
      </w:r>
      <w:r>
        <w:rPr>
          <w:b/>
        </w:rPr>
        <w:t>31A.</w:t>
      </w:r>
      <w:r>
        <w:tab/>
        <w:t>Deleted: No. 16 of 2011 s. 125]</w:t>
      </w:r>
    </w:p>
    <w:p w:rsidR="004230DE" w:rsidRDefault="00670E7C">
      <w:pPr>
        <w:pStyle w:val="Heading5"/>
        <w:rPr>
          <w:snapToGrid w:val="0"/>
        </w:rPr>
      </w:pPr>
      <w:bookmarkStart w:id="165" w:name="_Toc75344446"/>
      <w:bookmarkStart w:id="166" w:name="_Toc74732539"/>
      <w:r>
        <w:rPr>
          <w:rStyle w:val="CharSectno"/>
        </w:rPr>
        <w:t>31B</w:t>
      </w:r>
      <w:r>
        <w:t>.</w:t>
      </w:r>
      <w:r>
        <w:tab/>
      </w:r>
      <w:r>
        <w:rPr>
          <w:snapToGrid w:val="0"/>
        </w:rPr>
        <w:t>Infringement notices</w:t>
      </w:r>
      <w:bookmarkEnd w:id="165"/>
      <w:bookmarkEnd w:id="166"/>
    </w:p>
    <w:p w:rsidR="004230DE" w:rsidRDefault="00670E7C">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rsidR="004230DE" w:rsidRDefault="00670E7C">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4230DE" w:rsidRDefault="00670E7C">
      <w:pPr>
        <w:pStyle w:val="Subsection"/>
        <w:rPr>
          <w:snapToGrid w:val="0"/>
        </w:rPr>
      </w:pPr>
      <w:r>
        <w:rPr>
          <w:snapToGrid w:val="0"/>
        </w:rPr>
        <w:tab/>
        <w:t>(3)</w:t>
      </w:r>
      <w:r>
        <w:rPr>
          <w:snapToGrid w:val="0"/>
        </w:rPr>
        <w:tab/>
        <w:t>An infringement notice is to be in the prescribed form and is to —</w:t>
      </w:r>
    </w:p>
    <w:p w:rsidR="004230DE" w:rsidRDefault="00670E7C">
      <w:pPr>
        <w:pStyle w:val="Indenta"/>
        <w:rPr>
          <w:snapToGrid w:val="0"/>
        </w:rPr>
      </w:pPr>
      <w:r>
        <w:rPr>
          <w:snapToGrid w:val="0"/>
        </w:rPr>
        <w:tab/>
        <w:t>(a)</w:t>
      </w:r>
      <w:r>
        <w:rPr>
          <w:snapToGrid w:val="0"/>
        </w:rPr>
        <w:tab/>
        <w:t>contain a description of the alleged offence; and</w:t>
      </w:r>
    </w:p>
    <w:p w:rsidR="004230DE" w:rsidRDefault="00670E7C">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4230DE" w:rsidRDefault="00670E7C">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230DE" w:rsidRDefault="00670E7C">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4230DE" w:rsidRDefault="00670E7C">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4230DE" w:rsidRDefault="00670E7C">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4230DE" w:rsidRDefault="00670E7C">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230DE" w:rsidRDefault="00670E7C">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4230DE" w:rsidRDefault="00670E7C">
      <w:pPr>
        <w:pStyle w:val="Subsection"/>
        <w:rPr>
          <w:snapToGrid w:val="0"/>
        </w:rPr>
      </w:pPr>
      <w:r>
        <w:rPr>
          <w:snapToGrid w:val="0"/>
        </w:rPr>
        <w:tab/>
        <w:t>(8)</w:t>
      </w:r>
      <w:r>
        <w:rPr>
          <w:snapToGrid w:val="0"/>
        </w:rPr>
        <w:tab/>
        <w:t>If an infringement notice is withdrawn after the modified penalty has been paid, the amount is to be refunded.</w:t>
      </w:r>
    </w:p>
    <w:p w:rsidR="004230DE" w:rsidRDefault="00670E7C">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4230DE" w:rsidRDefault="00670E7C">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4230DE" w:rsidRDefault="00670E7C">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rsidR="004230DE" w:rsidRDefault="00670E7C">
      <w:pPr>
        <w:pStyle w:val="Footnotesection"/>
        <w:spacing w:before="100"/>
        <w:ind w:left="890" w:hanging="890"/>
      </w:pPr>
      <w:r>
        <w:tab/>
        <w:t>[Section 31B inserted: No. 76 of 2000 s. 56; amended: No. 37 of 2002 s. 20; No. 84 of 2004 s. 80; No. 19 of 2011 s. 154.]</w:t>
      </w:r>
    </w:p>
    <w:p w:rsidR="004230DE" w:rsidRDefault="00670E7C">
      <w:pPr>
        <w:pStyle w:val="Heading5"/>
        <w:rPr>
          <w:snapToGrid w:val="0"/>
        </w:rPr>
      </w:pPr>
      <w:bookmarkStart w:id="167" w:name="_Toc75344447"/>
      <w:bookmarkStart w:id="168" w:name="_Toc74732540"/>
      <w:r>
        <w:rPr>
          <w:rStyle w:val="CharSectno"/>
        </w:rPr>
        <w:t>32</w:t>
      </w:r>
      <w:r>
        <w:rPr>
          <w:snapToGrid w:val="0"/>
        </w:rPr>
        <w:t>.</w:t>
      </w:r>
      <w:r>
        <w:rPr>
          <w:snapToGrid w:val="0"/>
        </w:rPr>
        <w:tab/>
        <w:t>Regulations</w:t>
      </w:r>
      <w:bookmarkEnd w:id="167"/>
      <w:bookmarkEnd w:id="168"/>
    </w:p>
    <w:p w:rsidR="004230DE" w:rsidRDefault="00670E7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230DE" w:rsidRDefault="00670E7C">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rsidR="004230DE" w:rsidRDefault="00670E7C">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rsidR="004230DE" w:rsidRDefault="00670E7C">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rsidR="004230DE" w:rsidRDefault="00670E7C">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rsidR="004230DE" w:rsidRDefault="00670E7C">
      <w:pPr>
        <w:pStyle w:val="Subsection"/>
      </w:pPr>
      <w:r>
        <w:tab/>
        <w:t>(3)</w:t>
      </w:r>
      <w:r>
        <w:tab/>
        <w:t>The regulations may provide that a contravention of a regulation or a provision of a regulation constitutes an offence and provide for penalties not exceeding a fine of $5 000.</w:t>
      </w:r>
    </w:p>
    <w:p w:rsidR="004230DE" w:rsidRDefault="00670E7C">
      <w:pPr>
        <w:pStyle w:val="Footnotesection"/>
        <w:ind w:left="890" w:hanging="890"/>
      </w:pPr>
      <w:r>
        <w:tab/>
        <w:t>[Section 32 amended: No. 72 of 1996 s. 6; No. 37 of 2002 s. 18.]</w:t>
      </w:r>
    </w:p>
    <w:p w:rsidR="004230DE" w:rsidRDefault="00670E7C">
      <w:pPr>
        <w:pStyle w:val="Heading5"/>
        <w:rPr>
          <w:snapToGrid w:val="0"/>
        </w:rPr>
      </w:pPr>
      <w:bookmarkStart w:id="169" w:name="_Toc75344448"/>
      <w:bookmarkStart w:id="170" w:name="_Toc74732541"/>
      <w:r>
        <w:rPr>
          <w:rStyle w:val="CharSectno"/>
        </w:rPr>
        <w:t>33</w:t>
      </w:r>
      <w:r>
        <w:rPr>
          <w:snapToGrid w:val="0"/>
        </w:rPr>
        <w:t>.</w:t>
      </w:r>
      <w:r>
        <w:rPr>
          <w:snapToGrid w:val="0"/>
        </w:rPr>
        <w:tab/>
        <w:t>Retrospectivity of Act</w:t>
      </w:r>
      <w:bookmarkEnd w:id="169"/>
      <w:bookmarkEnd w:id="170"/>
    </w:p>
    <w:p w:rsidR="004230DE" w:rsidRDefault="00670E7C">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rsidR="004230DE" w:rsidRDefault="00670E7C">
      <w:pPr>
        <w:pStyle w:val="Footnotesection"/>
      </w:pPr>
      <w:r>
        <w:tab/>
        <w:t>[Section 33 amended: No. 37 of 2002 s. 19.]</w:t>
      </w:r>
    </w:p>
    <w:p w:rsidR="004230DE" w:rsidRDefault="00670E7C">
      <w:pPr>
        <w:pStyle w:val="Heading5"/>
        <w:rPr>
          <w:snapToGrid w:val="0"/>
        </w:rPr>
      </w:pPr>
      <w:bookmarkStart w:id="171" w:name="_Toc75344449"/>
      <w:bookmarkStart w:id="172" w:name="_Toc74732542"/>
      <w:r>
        <w:rPr>
          <w:rStyle w:val="CharSectno"/>
        </w:rPr>
        <w:t>34</w:t>
      </w:r>
      <w:r>
        <w:rPr>
          <w:snapToGrid w:val="0"/>
        </w:rPr>
        <w:t>.</w:t>
      </w:r>
      <w:r>
        <w:rPr>
          <w:snapToGrid w:val="0"/>
        </w:rPr>
        <w:tab/>
        <w:t>Review of Act</w:t>
      </w:r>
      <w:bookmarkEnd w:id="171"/>
      <w:bookmarkEnd w:id="17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rsidR="004230DE" w:rsidRDefault="00670E7C">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rsidR="004230DE" w:rsidRDefault="00670E7C">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34 amended: No. 37 of 2002 s. 20.]</w:t>
      </w:r>
    </w:p>
    <w:p w:rsidR="004230DE" w:rsidRDefault="00670E7C">
      <w:pPr>
        <w:pStyle w:val="Ednotesection"/>
        <w:ind w:left="890" w:hanging="890"/>
      </w:pPr>
      <w:r>
        <w:t>[</w:t>
      </w:r>
      <w:r>
        <w:rPr>
          <w:b/>
        </w:rPr>
        <w:t>35.</w:t>
      </w:r>
      <w:r>
        <w:tab/>
        <w:t>Omitted under the Reprints Act 1984 s. 7(4)(e).]</w:t>
      </w:r>
    </w:p>
    <w:p w:rsidR="004230DE" w:rsidRDefault="004230DE">
      <w:pPr>
        <w:sectPr w:rsidR="004230D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4230DE" w:rsidRDefault="00670E7C">
      <w:pPr>
        <w:pStyle w:val="yScheduleHeading"/>
      </w:pPr>
      <w:bookmarkStart w:id="173" w:name="_Toc75339208"/>
      <w:bookmarkStart w:id="174" w:name="_Toc75339407"/>
      <w:bookmarkStart w:id="175" w:name="_Toc75344450"/>
      <w:bookmarkStart w:id="176" w:name="_Toc74650391"/>
      <w:bookmarkStart w:id="177" w:name="_Toc74650460"/>
      <w:bookmarkStart w:id="178" w:name="_Toc74732543"/>
      <w:r>
        <w:rPr>
          <w:rStyle w:val="CharSchNo"/>
        </w:rPr>
        <w:t>Schedule 1</w:t>
      </w:r>
      <w:r>
        <w:t xml:space="preserve"> — </w:t>
      </w:r>
      <w:r>
        <w:rPr>
          <w:rStyle w:val="CharSchText"/>
        </w:rPr>
        <w:t>Consequences of non</w:t>
      </w:r>
      <w:r>
        <w:rPr>
          <w:rStyle w:val="CharSchText"/>
        </w:rPr>
        <w:noBreakHyphen/>
        <w:t>fulfilment of conditions</w:t>
      </w:r>
      <w:bookmarkEnd w:id="173"/>
      <w:bookmarkEnd w:id="174"/>
      <w:bookmarkEnd w:id="175"/>
      <w:bookmarkEnd w:id="176"/>
      <w:bookmarkEnd w:id="177"/>
      <w:bookmarkEnd w:id="178"/>
    </w:p>
    <w:p w:rsidR="004230DE" w:rsidRDefault="00670E7C">
      <w:pPr>
        <w:pStyle w:val="yShoulderClause"/>
        <w:rPr>
          <w:snapToGrid w:val="0"/>
        </w:rPr>
      </w:pPr>
      <w:r>
        <w:rPr>
          <w:snapToGrid w:val="0"/>
        </w:rPr>
        <w:t>[s. 7(4), 8(4), 9(4), 13(5), 19 and 20]</w:t>
      </w:r>
    </w:p>
    <w:p w:rsidR="004230DE" w:rsidRDefault="00670E7C">
      <w:pPr>
        <w:pStyle w:val="yFootnoteheading"/>
      </w:pPr>
      <w:r>
        <w:tab/>
        <w:t>[Heading amended: No. 19 of 2010 s. 4.]</w:t>
      </w:r>
    </w:p>
    <w:p w:rsidR="004230DE" w:rsidRDefault="00670E7C">
      <w:pPr>
        <w:pStyle w:val="yHeading5"/>
        <w:rPr>
          <w:snapToGrid w:val="0"/>
        </w:rPr>
      </w:pPr>
      <w:bookmarkStart w:id="179" w:name="_Toc75344451"/>
      <w:bookmarkStart w:id="180" w:name="_Toc74732544"/>
      <w:r>
        <w:rPr>
          <w:rStyle w:val="CharSClsNo"/>
        </w:rPr>
        <w:t>1</w:t>
      </w:r>
      <w:r>
        <w:rPr>
          <w:snapToGrid w:val="0"/>
        </w:rPr>
        <w:t>.</w:t>
      </w:r>
      <w:r>
        <w:rPr>
          <w:snapToGrid w:val="0"/>
        </w:rPr>
        <w:tab/>
        <w:t>Condition in s. 9(1), non-fulfilment of by builder</w:t>
      </w:r>
      <w:bookmarkEnd w:id="179"/>
      <w:bookmarkEnd w:id="180"/>
    </w:p>
    <w:p w:rsidR="004230DE" w:rsidRDefault="00670E7C">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rsidR="004230DE" w:rsidRDefault="00670E7C">
      <w:pPr>
        <w:pStyle w:val="yFootnotesection"/>
      </w:pPr>
      <w:r>
        <w:tab/>
        <w:t>[Clause 1 amended: No. 19 of 2010 s. 51.]</w:t>
      </w:r>
    </w:p>
    <w:p w:rsidR="004230DE" w:rsidRDefault="00670E7C">
      <w:pPr>
        <w:pStyle w:val="yHeading5"/>
        <w:rPr>
          <w:snapToGrid w:val="0"/>
        </w:rPr>
      </w:pPr>
      <w:bookmarkStart w:id="181" w:name="_Toc75344452"/>
      <w:bookmarkStart w:id="182" w:name="_Toc74732545"/>
      <w:r>
        <w:rPr>
          <w:rStyle w:val="CharSClsNo"/>
        </w:rPr>
        <w:t>2</w:t>
      </w:r>
      <w:r>
        <w:rPr>
          <w:snapToGrid w:val="0"/>
        </w:rPr>
        <w:t>.</w:t>
      </w:r>
      <w:r>
        <w:rPr>
          <w:snapToGrid w:val="0"/>
        </w:rPr>
        <w:tab/>
        <w:t>Condition in s. 9(1), non-fulfilment of by owner</w:t>
      </w:r>
      <w:bookmarkEnd w:id="181"/>
      <w:bookmarkEnd w:id="182"/>
    </w:p>
    <w:p w:rsidR="004230DE" w:rsidRDefault="00670E7C">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2 amended: No. 76 of 2000 s. 58(a); No. 19 of 2010 s. 51.]</w:t>
      </w:r>
    </w:p>
    <w:p w:rsidR="004230DE" w:rsidRDefault="00670E7C">
      <w:pPr>
        <w:pStyle w:val="yHeading5"/>
        <w:rPr>
          <w:snapToGrid w:val="0"/>
        </w:rPr>
      </w:pPr>
      <w:bookmarkStart w:id="183" w:name="_Toc75344453"/>
      <w:bookmarkStart w:id="184" w:name="_Toc74732546"/>
      <w:r>
        <w:rPr>
          <w:rStyle w:val="CharSClsNo"/>
        </w:rPr>
        <w:t>3</w:t>
      </w:r>
      <w:r>
        <w:rPr>
          <w:snapToGrid w:val="0"/>
        </w:rPr>
        <w:t>.</w:t>
      </w:r>
      <w:r>
        <w:rPr>
          <w:snapToGrid w:val="0"/>
        </w:rPr>
        <w:tab/>
        <w:t>Condition in s. 9(1), non-fulfilment of by builder and owner</w:t>
      </w:r>
      <w:bookmarkEnd w:id="183"/>
      <w:bookmarkEnd w:id="184"/>
    </w:p>
    <w:p w:rsidR="004230DE" w:rsidRDefault="00670E7C">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3 amended: No. 76 of 2000 s. 58(b); No. 19 of 2010 s. 51.]</w:t>
      </w:r>
    </w:p>
    <w:p w:rsidR="004230DE" w:rsidRDefault="00670E7C">
      <w:pPr>
        <w:pStyle w:val="yHeading5"/>
        <w:rPr>
          <w:snapToGrid w:val="0"/>
        </w:rPr>
      </w:pPr>
      <w:bookmarkStart w:id="185" w:name="_Toc75344454"/>
      <w:bookmarkStart w:id="186" w:name="_Toc74732547"/>
      <w:r>
        <w:rPr>
          <w:rStyle w:val="CharSClsNo"/>
        </w:rPr>
        <w:t>4</w:t>
      </w:r>
      <w:r>
        <w:rPr>
          <w:snapToGrid w:val="0"/>
        </w:rPr>
        <w:t>.</w:t>
      </w:r>
      <w:r>
        <w:rPr>
          <w:snapToGrid w:val="0"/>
        </w:rPr>
        <w:tab/>
        <w:t>Rights of builder and owner if cl. 2 or 3 or s. 13(4)(c) applies</w:t>
      </w:r>
      <w:bookmarkEnd w:id="185"/>
      <w:bookmarkEnd w:id="186"/>
    </w:p>
    <w:p w:rsidR="004230DE" w:rsidRDefault="00670E7C">
      <w:pPr>
        <w:pStyle w:val="ySubsection"/>
        <w:rPr>
          <w:snapToGrid w:val="0"/>
        </w:rPr>
      </w:pPr>
      <w:r>
        <w:rPr>
          <w:snapToGrid w:val="0"/>
        </w:rPr>
        <w:tab/>
      </w:r>
      <w:r>
        <w:rPr>
          <w:snapToGrid w:val="0"/>
        </w:rPr>
        <w:tab/>
        <w:t>Where clause 2 or 3 or section 13(4)(c) applies —</w:t>
      </w:r>
    </w:p>
    <w:p w:rsidR="004230DE" w:rsidRDefault="00670E7C">
      <w:pPr>
        <w:pStyle w:val="yIndenta"/>
        <w:rPr>
          <w:snapToGrid w:val="0"/>
        </w:rPr>
      </w:pPr>
      <w:r>
        <w:rPr>
          <w:snapToGrid w:val="0"/>
        </w:rPr>
        <w:tab/>
        <w:t>(a)</w:t>
      </w:r>
      <w:r>
        <w:rPr>
          <w:snapToGrid w:val="0"/>
        </w:rPr>
        <w:tab/>
        <w:t>the builder may by notice in writing to the owner —</w:t>
      </w:r>
    </w:p>
    <w:p w:rsidR="004230DE" w:rsidRDefault="00670E7C">
      <w:pPr>
        <w:pStyle w:val="yIndenti0"/>
        <w:rPr>
          <w:snapToGrid w:val="0"/>
        </w:rPr>
      </w:pPr>
      <w:r>
        <w:rPr>
          <w:snapToGrid w:val="0"/>
        </w:rPr>
        <w:tab/>
        <w:t>(i)</w:t>
      </w:r>
      <w:r>
        <w:rPr>
          <w:snapToGrid w:val="0"/>
        </w:rPr>
        <w:tab/>
        <w:t>increase the price stipulated in the contract by an amount set out in the notice; and</w:t>
      </w:r>
    </w:p>
    <w:p w:rsidR="004230DE" w:rsidRDefault="00670E7C">
      <w:pPr>
        <w:pStyle w:val="yIndenti0"/>
        <w:rPr>
          <w:snapToGrid w:val="0"/>
        </w:rPr>
      </w:pPr>
      <w:r>
        <w:rPr>
          <w:snapToGrid w:val="0"/>
        </w:rPr>
        <w:tab/>
        <w:t>(ii)</w:t>
      </w:r>
      <w:r>
        <w:rPr>
          <w:snapToGrid w:val="0"/>
        </w:rPr>
        <w:tab/>
        <w:t>specify when any increased amount is payable, which must be either —</w:t>
      </w:r>
    </w:p>
    <w:p w:rsidR="004230DE" w:rsidRDefault="00670E7C">
      <w:pPr>
        <w:pStyle w:val="yIndentI"/>
        <w:rPr>
          <w:snapToGrid w:val="0"/>
        </w:rPr>
      </w:pPr>
      <w:r>
        <w:rPr>
          <w:snapToGrid w:val="0"/>
        </w:rPr>
        <w:tab/>
        <w:t>(A)</w:t>
      </w:r>
      <w:r>
        <w:rPr>
          <w:snapToGrid w:val="0"/>
        </w:rPr>
        <w:tab/>
        <w:t>not later than 10 working days after the notice is given; or</w:t>
      </w:r>
    </w:p>
    <w:p w:rsidR="004230DE" w:rsidRDefault="00670E7C">
      <w:pPr>
        <w:pStyle w:val="yIndentI"/>
        <w:rPr>
          <w:snapToGrid w:val="0"/>
        </w:rPr>
      </w:pPr>
      <w:r>
        <w:rPr>
          <w:snapToGrid w:val="0"/>
        </w:rPr>
        <w:tab/>
        <w:t>(B)</w:t>
      </w:r>
      <w:r>
        <w:rPr>
          <w:snapToGrid w:val="0"/>
        </w:rPr>
        <w:tab/>
        <w:t>at the time of a progress payment;</w:t>
      </w:r>
    </w:p>
    <w:p w:rsidR="004230DE" w:rsidRDefault="00670E7C">
      <w:pPr>
        <w:pStyle w:val="yIndenta"/>
        <w:rPr>
          <w:snapToGrid w:val="0"/>
        </w:rPr>
      </w:pPr>
      <w:r>
        <w:rPr>
          <w:snapToGrid w:val="0"/>
        </w:rPr>
        <w:tab/>
      </w:r>
      <w:r>
        <w:rPr>
          <w:snapToGrid w:val="0"/>
        </w:rPr>
        <w:tab/>
        <w:t>and</w:t>
      </w:r>
    </w:p>
    <w:p w:rsidR="004230DE" w:rsidRDefault="00670E7C">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rsidR="004230DE" w:rsidRDefault="00670E7C">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rsidR="004230DE" w:rsidRDefault="00670E7C">
      <w:pPr>
        <w:pStyle w:val="yFootnotesection"/>
      </w:pPr>
      <w:r>
        <w:tab/>
        <w:t>[Clause 4 amended: No. 57 of 1997 s. 73; No. 19 of 2010 s. 51.]</w:t>
      </w:r>
    </w:p>
    <w:p w:rsidR="004230DE" w:rsidRDefault="00670E7C">
      <w:pPr>
        <w:pStyle w:val="yHeading5"/>
        <w:rPr>
          <w:snapToGrid w:val="0"/>
        </w:rPr>
      </w:pPr>
      <w:bookmarkStart w:id="187" w:name="_Toc75344455"/>
      <w:bookmarkStart w:id="188" w:name="_Toc74732548"/>
      <w:r>
        <w:rPr>
          <w:rStyle w:val="CharSClsNo"/>
        </w:rPr>
        <w:t>5</w:t>
      </w:r>
      <w:r>
        <w:rPr>
          <w:snapToGrid w:val="0"/>
        </w:rPr>
        <w:t>.</w:t>
      </w:r>
      <w:r>
        <w:rPr>
          <w:snapToGrid w:val="0"/>
        </w:rPr>
        <w:tab/>
        <w:t>Price increase, review of</w:t>
      </w:r>
      <w:bookmarkEnd w:id="187"/>
      <w:bookmarkEnd w:id="188"/>
    </w:p>
    <w:p w:rsidR="004230DE" w:rsidRDefault="00670E7C">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rsidR="004230DE" w:rsidRDefault="00670E7C">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rsidR="004230DE" w:rsidRDefault="00670E7C">
      <w:pPr>
        <w:pStyle w:val="yFootnotesection"/>
      </w:pPr>
      <w:r>
        <w:tab/>
        <w:t>[Clause 5 amended: No. 76 of 2000 s. 57 and 58(c); No. 37 of 2002 s. 20; No. 19 of 2010 s. 51; No. 16 of 2011 s. 126.]</w:t>
      </w:r>
    </w:p>
    <w:p w:rsidR="004230DE" w:rsidRDefault="00670E7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230DE" w:rsidRDefault="004230DE">
      <w:pPr>
        <w:sectPr w:rsidR="004230DE">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262388" w:rsidRDefault="00262388">
      <w:pPr>
        <w:pStyle w:val="nHeading2"/>
      </w:pPr>
      <w:bookmarkStart w:id="190" w:name="_Toc75339214"/>
      <w:bookmarkStart w:id="191" w:name="_Toc75339413"/>
      <w:bookmarkStart w:id="192" w:name="_Toc75344456"/>
      <w:bookmarkStart w:id="193" w:name="_Toc74650397"/>
      <w:bookmarkStart w:id="194" w:name="_Toc74650466"/>
      <w:bookmarkStart w:id="195" w:name="_Toc74732549"/>
      <w:r>
        <w:t>Notes</w:t>
      </w:r>
      <w:bookmarkEnd w:id="190"/>
      <w:bookmarkEnd w:id="191"/>
      <w:bookmarkEnd w:id="192"/>
      <w:bookmarkEnd w:id="193"/>
      <w:bookmarkEnd w:id="194"/>
      <w:bookmarkEnd w:id="195"/>
    </w:p>
    <w:p w:rsidR="00262388" w:rsidRDefault="00262388">
      <w:pPr>
        <w:pStyle w:val="nStatement"/>
      </w:pPr>
      <w:r>
        <w:t xml:space="preserve">This is a compilation of the </w:t>
      </w:r>
      <w:r>
        <w:rPr>
          <w:i/>
          <w:noProof/>
        </w:rPr>
        <w:t>Home Building Contracts Act 1991</w:t>
      </w:r>
      <w:r>
        <w:t xml:space="preserve"> and includes amendments made by other written laws </w:t>
      </w:r>
      <w:r>
        <w:rPr>
          <w:vertAlign w:val="superscript"/>
        </w:rPr>
        <w:t>1</w:t>
      </w:r>
      <w:r>
        <w:t xml:space="preserve">. For provisions that have come into operation, and for information about any reprints, see the compilation table. </w:t>
      </w:r>
      <w:del w:id="196" w:author="Master Repository Process" w:date="2021-06-28T14:10:00Z">
        <w:r>
          <w:delText>For provisions that have not yet come into operation see the uncommenced provisions table.</w:delText>
        </w:r>
      </w:del>
    </w:p>
    <w:p w:rsidR="00262388" w:rsidRDefault="00262388">
      <w:pPr>
        <w:pStyle w:val="nHeading3"/>
      </w:pPr>
      <w:bookmarkStart w:id="197" w:name="_Toc75344457"/>
      <w:bookmarkStart w:id="198" w:name="_Toc74732550"/>
      <w:r>
        <w:t>Compilation table</w:t>
      </w:r>
      <w:bookmarkEnd w:id="197"/>
      <w:bookmarkEnd w:id="19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62388" w:rsidTr="009B5818">
        <w:trPr>
          <w:cantSplit/>
          <w:tblHeader/>
        </w:trPr>
        <w:tc>
          <w:tcPr>
            <w:tcW w:w="2268" w:type="dxa"/>
            <w:tcBorders>
              <w:top w:val="single" w:sz="8" w:space="0" w:color="auto"/>
              <w:bottom w:val="single" w:sz="8" w:space="0" w:color="auto"/>
            </w:tcBorders>
            <w:shd w:val="clear" w:color="auto" w:fill="auto"/>
          </w:tcPr>
          <w:p w:rsidR="00262388" w:rsidRDefault="00262388" w:rsidP="00DB70D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Commencement</w:t>
            </w:r>
          </w:p>
        </w:tc>
      </w:tr>
      <w:tr w:rsidR="00262388" w:rsidTr="009B5818">
        <w:trPr>
          <w:cantSplit/>
        </w:trPr>
        <w:tc>
          <w:tcPr>
            <w:tcW w:w="2268" w:type="dxa"/>
            <w:tcBorders>
              <w:top w:val="single" w:sz="8" w:space="0" w:color="auto"/>
            </w:tcBorders>
          </w:tcPr>
          <w:p w:rsidR="00262388" w:rsidRDefault="00262388" w:rsidP="00DB70DE">
            <w:pPr>
              <w:pStyle w:val="nTable"/>
              <w:spacing w:after="40"/>
              <w:ind w:right="113"/>
            </w:pPr>
            <w:r>
              <w:rPr>
                <w:i/>
              </w:rPr>
              <w:t>Home Building Contracts Act 1991</w:t>
            </w:r>
          </w:p>
        </w:tc>
        <w:tc>
          <w:tcPr>
            <w:tcW w:w="1134" w:type="dxa"/>
            <w:tcBorders>
              <w:top w:val="single" w:sz="8" w:space="0" w:color="auto"/>
            </w:tcBorders>
          </w:tcPr>
          <w:p w:rsidR="00262388" w:rsidRDefault="00262388" w:rsidP="00DB70DE">
            <w:pPr>
              <w:pStyle w:val="nTable"/>
              <w:spacing w:after="40"/>
            </w:pPr>
            <w:r>
              <w:t>61 of 1991</w:t>
            </w:r>
          </w:p>
        </w:tc>
        <w:tc>
          <w:tcPr>
            <w:tcW w:w="1134" w:type="dxa"/>
            <w:tcBorders>
              <w:top w:val="single" w:sz="8" w:space="0" w:color="auto"/>
            </w:tcBorders>
          </w:tcPr>
          <w:p w:rsidR="00262388" w:rsidRDefault="00262388" w:rsidP="00DB70DE">
            <w:pPr>
              <w:pStyle w:val="nTable"/>
              <w:spacing w:after="40"/>
            </w:pPr>
            <w:r>
              <w:t>30 Dec 1991</w:t>
            </w:r>
          </w:p>
        </w:tc>
        <w:tc>
          <w:tcPr>
            <w:tcW w:w="2552" w:type="dxa"/>
            <w:tcBorders>
              <w:top w:val="single" w:sz="8" w:space="0" w:color="auto"/>
            </w:tcBorders>
          </w:tcPr>
          <w:p w:rsidR="00262388" w:rsidRDefault="00262388" w:rsidP="00DB70DE">
            <w:pPr>
              <w:pStyle w:val="nTable"/>
              <w:spacing w:after="40"/>
            </w:pPr>
            <w:r>
              <w:t>s. 1 and 2: 30 Dec 1991;</w:t>
            </w:r>
            <w:r>
              <w:br/>
              <w:t xml:space="preserve">Act other than s. 1 and 2: 4 Apr 1992 (see s. 2 and </w:t>
            </w:r>
            <w:r>
              <w:rPr>
                <w:i/>
              </w:rPr>
              <w:t>Gazette</w:t>
            </w:r>
            <w:r>
              <w:t xml:space="preserve"> 3 Apr 1992 p. 1461)</w:t>
            </w:r>
          </w:p>
        </w:tc>
      </w:tr>
      <w:tr w:rsidR="00262388" w:rsidTr="009B5818">
        <w:trPr>
          <w:cantSplit/>
        </w:trPr>
        <w:tc>
          <w:tcPr>
            <w:tcW w:w="2268" w:type="dxa"/>
          </w:tcPr>
          <w:p w:rsidR="00262388" w:rsidRDefault="00262388" w:rsidP="00DB70DE">
            <w:pPr>
              <w:pStyle w:val="nTable"/>
              <w:spacing w:after="40"/>
              <w:ind w:right="113"/>
            </w:pPr>
            <w:r>
              <w:rPr>
                <w:i/>
              </w:rPr>
              <w:t xml:space="preserve">Strata Titles Amendment Act 1995 </w:t>
            </w:r>
            <w:r>
              <w:t>s. 97</w:t>
            </w:r>
          </w:p>
        </w:tc>
        <w:tc>
          <w:tcPr>
            <w:tcW w:w="1134" w:type="dxa"/>
          </w:tcPr>
          <w:p w:rsidR="00262388" w:rsidRDefault="00262388" w:rsidP="00DB70DE">
            <w:pPr>
              <w:pStyle w:val="nTable"/>
              <w:spacing w:after="40"/>
            </w:pPr>
            <w:r>
              <w:t>58 of 1995</w:t>
            </w:r>
          </w:p>
        </w:tc>
        <w:tc>
          <w:tcPr>
            <w:tcW w:w="1134" w:type="dxa"/>
          </w:tcPr>
          <w:p w:rsidR="00262388" w:rsidRDefault="00262388" w:rsidP="00DB70DE">
            <w:pPr>
              <w:pStyle w:val="nTable"/>
              <w:spacing w:after="40"/>
            </w:pPr>
            <w:r>
              <w:t>20 Dec 1995</w:t>
            </w:r>
          </w:p>
        </w:tc>
        <w:tc>
          <w:tcPr>
            <w:tcW w:w="2552" w:type="dxa"/>
          </w:tcPr>
          <w:p w:rsidR="00262388" w:rsidRDefault="00262388" w:rsidP="00DB70DE">
            <w:pPr>
              <w:pStyle w:val="nTable"/>
              <w:spacing w:after="40"/>
            </w:pPr>
            <w:r>
              <w:t xml:space="preserve">14 Apr 1996 (see s. 2 and </w:t>
            </w:r>
            <w:r>
              <w:rPr>
                <w:i/>
              </w:rPr>
              <w:t>Gazette</w:t>
            </w:r>
            <w:r>
              <w:t xml:space="preserve"> 15 Mar 1996 p. 981)</w:t>
            </w:r>
          </w:p>
        </w:tc>
      </w:tr>
      <w:tr w:rsidR="00262388" w:rsidTr="009B5818">
        <w:trPr>
          <w:cantSplit/>
        </w:trPr>
        <w:tc>
          <w:tcPr>
            <w:tcW w:w="2268" w:type="dxa"/>
          </w:tcPr>
          <w:p w:rsidR="00262388" w:rsidRDefault="00262388" w:rsidP="00DB70DE">
            <w:pPr>
              <w:pStyle w:val="nTable"/>
              <w:spacing w:after="40"/>
              <w:ind w:right="113"/>
            </w:pPr>
            <w:r>
              <w:rPr>
                <w:i/>
              </w:rPr>
              <w:t xml:space="preserve">Water Agencies Restructure (Transitional and Consequential Provisions) Act 1995 </w:t>
            </w:r>
            <w:r>
              <w:t>s. 188</w:t>
            </w:r>
          </w:p>
        </w:tc>
        <w:tc>
          <w:tcPr>
            <w:tcW w:w="1134" w:type="dxa"/>
          </w:tcPr>
          <w:p w:rsidR="00262388" w:rsidRDefault="00262388" w:rsidP="00DB70DE">
            <w:pPr>
              <w:pStyle w:val="nTable"/>
              <w:spacing w:after="40"/>
            </w:pPr>
            <w:r>
              <w:t>73 of 1995</w:t>
            </w:r>
          </w:p>
        </w:tc>
        <w:tc>
          <w:tcPr>
            <w:tcW w:w="1134" w:type="dxa"/>
          </w:tcPr>
          <w:p w:rsidR="00262388" w:rsidRDefault="00262388" w:rsidP="00DB70DE">
            <w:pPr>
              <w:pStyle w:val="nTable"/>
              <w:spacing w:after="40"/>
            </w:pPr>
            <w:r>
              <w:t>27 Dec 1995</w:t>
            </w:r>
          </w:p>
        </w:tc>
        <w:tc>
          <w:tcPr>
            <w:tcW w:w="2552" w:type="dxa"/>
          </w:tcPr>
          <w:p w:rsidR="00262388" w:rsidRDefault="00262388" w:rsidP="00DB70DE">
            <w:pPr>
              <w:pStyle w:val="nTable"/>
              <w:spacing w:after="40"/>
            </w:pPr>
            <w:r>
              <w:t xml:space="preserve">1 Jan 1996 (see s. 2(2) and </w:t>
            </w:r>
            <w:r>
              <w:rPr>
                <w:i/>
              </w:rPr>
              <w:t>Gazette</w:t>
            </w:r>
            <w:r>
              <w:t xml:space="preserve"> 29 Dec 1995 p. 6291)</w:t>
            </w:r>
          </w:p>
        </w:tc>
      </w:tr>
      <w:tr w:rsidR="00262388" w:rsidTr="009B5818">
        <w:trPr>
          <w:cantSplit/>
        </w:trPr>
        <w:tc>
          <w:tcPr>
            <w:tcW w:w="2268" w:type="dxa"/>
          </w:tcPr>
          <w:p w:rsidR="00262388" w:rsidRDefault="00262388" w:rsidP="00DB70DE">
            <w:pPr>
              <w:pStyle w:val="nTable"/>
              <w:spacing w:after="40"/>
              <w:ind w:right="113"/>
            </w:pPr>
            <w:r>
              <w:rPr>
                <w:i/>
              </w:rPr>
              <w:t xml:space="preserve">Local Government (Consequential Amendments) Act 1996 </w:t>
            </w:r>
            <w:r>
              <w:t>s. 4</w:t>
            </w:r>
          </w:p>
        </w:tc>
        <w:tc>
          <w:tcPr>
            <w:tcW w:w="1134" w:type="dxa"/>
          </w:tcPr>
          <w:p w:rsidR="00262388" w:rsidRDefault="00262388" w:rsidP="00DB70DE">
            <w:pPr>
              <w:pStyle w:val="nTable"/>
              <w:spacing w:after="40"/>
            </w:pPr>
            <w:r>
              <w:t>14 of 1996</w:t>
            </w:r>
          </w:p>
        </w:tc>
        <w:tc>
          <w:tcPr>
            <w:tcW w:w="1134" w:type="dxa"/>
          </w:tcPr>
          <w:p w:rsidR="00262388" w:rsidRDefault="00262388" w:rsidP="00DB70DE">
            <w:pPr>
              <w:pStyle w:val="nTable"/>
              <w:spacing w:after="40"/>
            </w:pPr>
            <w:r>
              <w:t>28 Jun 1996</w:t>
            </w:r>
          </w:p>
        </w:tc>
        <w:tc>
          <w:tcPr>
            <w:tcW w:w="2552" w:type="dxa"/>
          </w:tcPr>
          <w:p w:rsidR="00262388" w:rsidRDefault="00262388" w:rsidP="00DB70DE">
            <w:pPr>
              <w:pStyle w:val="nTable"/>
              <w:spacing w:after="40"/>
            </w:pPr>
            <w:r>
              <w:t>1 Jul 1996 (see s. 2)</w:t>
            </w:r>
          </w:p>
        </w:tc>
      </w:tr>
      <w:tr w:rsidR="00262388" w:rsidTr="009B5818">
        <w:trPr>
          <w:cantSplit/>
        </w:trPr>
        <w:tc>
          <w:tcPr>
            <w:tcW w:w="2268" w:type="dxa"/>
          </w:tcPr>
          <w:p w:rsidR="00262388" w:rsidRDefault="00262388" w:rsidP="00DB70DE">
            <w:pPr>
              <w:pStyle w:val="nTable"/>
              <w:spacing w:after="40"/>
              <w:ind w:right="113"/>
            </w:pPr>
            <w:r>
              <w:rPr>
                <w:i/>
              </w:rPr>
              <w:t>Home Building Contracts Amendment Act 1996</w:t>
            </w:r>
          </w:p>
        </w:tc>
        <w:tc>
          <w:tcPr>
            <w:tcW w:w="1134" w:type="dxa"/>
          </w:tcPr>
          <w:p w:rsidR="00262388" w:rsidRDefault="00262388" w:rsidP="00DB70DE">
            <w:pPr>
              <w:pStyle w:val="nTable"/>
              <w:spacing w:after="40"/>
            </w:pPr>
            <w:r>
              <w:t>72 of 1996</w:t>
            </w:r>
          </w:p>
        </w:tc>
        <w:tc>
          <w:tcPr>
            <w:tcW w:w="1134" w:type="dxa"/>
          </w:tcPr>
          <w:p w:rsidR="00262388" w:rsidRDefault="00262388" w:rsidP="00DB70DE">
            <w:pPr>
              <w:pStyle w:val="nTable"/>
              <w:spacing w:after="40"/>
            </w:pPr>
            <w:r>
              <w:t>13 Nov 1996</w:t>
            </w:r>
          </w:p>
        </w:tc>
        <w:tc>
          <w:tcPr>
            <w:tcW w:w="2552" w:type="dxa"/>
          </w:tcPr>
          <w:p w:rsidR="00262388" w:rsidRDefault="00262388" w:rsidP="00DB70DE">
            <w:pPr>
              <w:pStyle w:val="nTable"/>
              <w:spacing w:after="40"/>
            </w:pPr>
            <w:r>
              <w:t>s. 1 and 2: 13 Nov 1996;</w:t>
            </w:r>
            <w:r>
              <w:br/>
              <w:t xml:space="preserve">Act other than s. 1 and 2: 1 Feb 1997 (see s. 2 and </w:t>
            </w:r>
            <w:r>
              <w:rPr>
                <w:i/>
              </w:rPr>
              <w:t>Gazette</w:t>
            </w:r>
            <w:r>
              <w:t xml:space="preserve"> 24 Jan 1997 p. 543)</w:t>
            </w:r>
          </w:p>
        </w:tc>
      </w:tr>
      <w:tr w:rsidR="00262388" w:rsidTr="009B5818">
        <w:trPr>
          <w:cantSplit/>
        </w:trPr>
        <w:tc>
          <w:tcPr>
            <w:tcW w:w="2268" w:type="dxa"/>
          </w:tcPr>
          <w:p w:rsidR="00262388" w:rsidRDefault="00262388" w:rsidP="00DB70DE">
            <w:pPr>
              <w:pStyle w:val="nTable"/>
              <w:spacing w:after="40"/>
              <w:ind w:right="113"/>
            </w:pPr>
            <w:r>
              <w:rPr>
                <w:i/>
              </w:rPr>
              <w:t xml:space="preserve">Trustees Amendment Act 1997 </w:t>
            </w:r>
            <w:r>
              <w:t>s. 18</w:t>
            </w:r>
          </w:p>
        </w:tc>
        <w:tc>
          <w:tcPr>
            <w:tcW w:w="1134" w:type="dxa"/>
          </w:tcPr>
          <w:p w:rsidR="00262388" w:rsidRDefault="00262388" w:rsidP="00DB70DE">
            <w:pPr>
              <w:pStyle w:val="nTable"/>
              <w:spacing w:after="40"/>
            </w:pPr>
            <w:r>
              <w:t>1 of 1997</w:t>
            </w:r>
          </w:p>
        </w:tc>
        <w:tc>
          <w:tcPr>
            <w:tcW w:w="1134" w:type="dxa"/>
          </w:tcPr>
          <w:p w:rsidR="00262388" w:rsidRDefault="00262388" w:rsidP="00DB70DE">
            <w:pPr>
              <w:pStyle w:val="nTable"/>
              <w:spacing w:after="40"/>
            </w:pPr>
            <w:r>
              <w:t>6 May 1997</w:t>
            </w:r>
          </w:p>
        </w:tc>
        <w:tc>
          <w:tcPr>
            <w:tcW w:w="2552" w:type="dxa"/>
          </w:tcPr>
          <w:p w:rsidR="00262388" w:rsidRDefault="00262388" w:rsidP="00DB70DE">
            <w:pPr>
              <w:pStyle w:val="nTable"/>
              <w:spacing w:after="40"/>
            </w:pPr>
            <w:r>
              <w:t xml:space="preserve">16 Jun 1997 (see s. 2 and </w:t>
            </w:r>
            <w:r>
              <w:rPr>
                <w:i/>
              </w:rPr>
              <w:t>Gazette</w:t>
            </w:r>
            <w:r>
              <w:t xml:space="preserve"> 10 Jun 1997 p. 2661)</w:t>
            </w:r>
          </w:p>
        </w:tc>
      </w:tr>
      <w:tr w:rsidR="00262388" w:rsidTr="009B5818">
        <w:trPr>
          <w:cantSplit/>
        </w:trPr>
        <w:tc>
          <w:tcPr>
            <w:tcW w:w="2268" w:type="dxa"/>
          </w:tcPr>
          <w:p w:rsidR="00262388" w:rsidRDefault="00262388" w:rsidP="00DB70DE">
            <w:pPr>
              <w:pStyle w:val="nTable"/>
              <w:spacing w:after="40"/>
              <w:ind w:right="113"/>
            </w:pPr>
            <w:r>
              <w:br w:type="page"/>
            </w:r>
            <w:r>
              <w:rPr>
                <w:i/>
              </w:rPr>
              <w:t xml:space="preserve">Statutes (Repeals and Minor Amendments) Act 1997 </w:t>
            </w:r>
            <w:r>
              <w:t>s. 73</w:t>
            </w:r>
          </w:p>
        </w:tc>
        <w:tc>
          <w:tcPr>
            <w:tcW w:w="1134" w:type="dxa"/>
          </w:tcPr>
          <w:p w:rsidR="00262388" w:rsidRDefault="00262388" w:rsidP="00DB70DE">
            <w:pPr>
              <w:pStyle w:val="nTable"/>
              <w:spacing w:after="40"/>
            </w:pPr>
            <w:r>
              <w:t>57 of 1997</w:t>
            </w:r>
          </w:p>
        </w:tc>
        <w:tc>
          <w:tcPr>
            <w:tcW w:w="1134" w:type="dxa"/>
          </w:tcPr>
          <w:p w:rsidR="00262388" w:rsidRDefault="00262388" w:rsidP="00DB70DE">
            <w:pPr>
              <w:pStyle w:val="nTable"/>
              <w:spacing w:after="40"/>
            </w:pPr>
            <w:r>
              <w:t>15 Dec 1997</w:t>
            </w:r>
          </w:p>
        </w:tc>
        <w:tc>
          <w:tcPr>
            <w:tcW w:w="2552" w:type="dxa"/>
          </w:tcPr>
          <w:p w:rsidR="00262388" w:rsidRDefault="00262388" w:rsidP="00DB70DE">
            <w:pPr>
              <w:pStyle w:val="nTable"/>
              <w:spacing w:after="40"/>
            </w:pPr>
            <w:r>
              <w:t>15 Dec 1997 (see s. 2(1))</w:t>
            </w:r>
          </w:p>
        </w:tc>
      </w:tr>
      <w:tr w:rsidR="00262388" w:rsidTr="009B5818">
        <w:trPr>
          <w:cantSplit/>
        </w:trPr>
        <w:tc>
          <w:tcPr>
            <w:tcW w:w="7088" w:type="dxa"/>
            <w:gridSpan w:val="4"/>
          </w:tcPr>
          <w:p w:rsidR="00262388" w:rsidRDefault="00262388" w:rsidP="00DB70DE">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rsidR="00262388" w:rsidTr="009B5818">
        <w:trPr>
          <w:cantSplit/>
        </w:trPr>
        <w:tc>
          <w:tcPr>
            <w:tcW w:w="2268" w:type="dxa"/>
          </w:tcPr>
          <w:p w:rsidR="00262388" w:rsidRDefault="00262388" w:rsidP="00DB70DE">
            <w:pPr>
              <w:pStyle w:val="nTable"/>
              <w:spacing w:after="40"/>
              <w:ind w:right="113"/>
              <w:rPr>
                <w:vertAlign w:val="superscript"/>
              </w:rPr>
            </w:pPr>
            <w:r>
              <w:rPr>
                <w:i/>
              </w:rPr>
              <w:t xml:space="preserve">Building Legislation Amendment Act 2000 </w:t>
            </w:r>
            <w:r>
              <w:t>Pt. 3 and s. 59 and 62</w:t>
            </w:r>
            <w:r w:rsidRPr="00AE2A3F">
              <w:rPr>
                <w:vertAlign w:val="superscript"/>
              </w:rPr>
              <w:t> 2</w:t>
            </w:r>
          </w:p>
        </w:tc>
        <w:tc>
          <w:tcPr>
            <w:tcW w:w="1134" w:type="dxa"/>
          </w:tcPr>
          <w:p w:rsidR="00262388" w:rsidRDefault="00262388" w:rsidP="00DB70DE">
            <w:pPr>
              <w:pStyle w:val="nTable"/>
              <w:spacing w:after="40"/>
            </w:pPr>
            <w:r>
              <w:t>76 of 2000</w:t>
            </w:r>
          </w:p>
        </w:tc>
        <w:tc>
          <w:tcPr>
            <w:tcW w:w="1134" w:type="dxa"/>
          </w:tcPr>
          <w:p w:rsidR="00262388" w:rsidRDefault="00262388" w:rsidP="00DB70DE">
            <w:pPr>
              <w:pStyle w:val="nTable"/>
              <w:spacing w:after="40"/>
            </w:pPr>
            <w:r>
              <w:t>7 Dec 2000</w:t>
            </w:r>
          </w:p>
        </w:tc>
        <w:tc>
          <w:tcPr>
            <w:tcW w:w="2552" w:type="dxa"/>
          </w:tcPr>
          <w:p w:rsidR="00262388" w:rsidRDefault="00262388" w:rsidP="00DB70DE">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rsidR="00262388" w:rsidTr="009B5818">
        <w:trPr>
          <w:cantSplit/>
        </w:trPr>
        <w:tc>
          <w:tcPr>
            <w:tcW w:w="2268" w:type="dxa"/>
          </w:tcPr>
          <w:p w:rsidR="00262388" w:rsidRDefault="00262388" w:rsidP="00F72274">
            <w:pPr>
              <w:pStyle w:val="nTable"/>
              <w:spacing w:before="60" w:after="60"/>
              <w:ind w:right="113"/>
            </w:pPr>
            <w:r>
              <w:rPr>
                <w:i/>
              </w:rPr>
              <w:t xml:space="preserve">Corporations (Consequential Amendments) Act 2001 </w:t>
            </w:r>
            <w:r>
              <w:t>s. 220</w:t>
            </w:r>
          </w:p>
        </w:tc>
        <w:tc>
          <w:tcPr>
            <w:tcW w:w="1134" w:type="dxa"/>
          </w:tcPr>
          <w:p w:rsidR="00262388" w:rsidRDefault="00262388" w:rsidP="00DB70DE">
            <w:pPr>
              <w:pStyle w:val="nTable"/>
              <w:keepNext/>
              <w:spacing w:before="60" w:after="60"/>
            </w:pPr>
            <w:r>
              <w:t>10 of 2001</w:t>
            </w:r>
          </w:p>
        </w:tc>
        <w:tc>
          <w:tcPr>
            <w:tcW w:w="1134" w:type="dxa"/>
          </w:tcPr>
          <w:p w:rsidR="00262388" w:rsidRDefault="00262388" w:rsidP="00DB70DE">
            <w:pPr>
              <w:pStyle w:val="nTable"/>
              <w:keepNext/>
              <w:spacing w:before="60" w:after="60"/>
            </w:pPr>
            <w:r>
              <w:t>28 Jun 2001</w:t>
            </w:r>
          </w:p>
        </w:tc>
        <w:tc>
          <w:tcPr>
            <w:tcW w:w="2552" w:type="dxa"/>
          </w:tcPr>
          <w:p w:rsidR="00262388" w:rsidRDefault="00262388" w:rsidP="00DB70DE">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rsidR="00262388" w:rsidTr="009B5818">
        <w:trPr>
          <w:cantSplit/>
        </w:trPr>
        <w:tc>
          <w:tcPr>
            <w:tcW w:w="7088" w:type="dxa"/>
            <w:gridSpan w:val="4"/>
          </w:tcPr>
          <w:p w:rsidR="00262388" w:rsidRDefault="00262388" w:rsidP="00DB70DE">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rsidR="00262388" w:rsidTr="009B5818">
        <w:trPr>
          <w:cantSplit/>
        </w:trPr>
        <w:tc>
          <w:tcPr>
            <w:tcW w:w="2268" w:type="dxa"/>
          </w:tcPr>
          <w:p w:rsidR="00262388" w:rsidRDefault="00262388" w:rsidP="00DB70DE">
            <w:pPr>
              <w:pStyle w:val="nTable"/>
              <w:spacing w:before="60" w:after="60"/>
              <w:ind w:right="113"/>
            </w:pPr>
            <w:r>
              <w:rPr>
                <w:i/>
              </w:rPr>
              <w:t>Home Building Contracts Amendment Act 2002</w:t>
            </w:r>
          </w:p>
        </w:tc>
        <w:tc>
          <w:tcPr>
            <w:tcW w:w="1134" w:type="dxa"/>
          </w:tcPr>
          <w:p w:rsidR="00262388" w:rsidRDefault="00262388" w:rsidP="00DB70DE">
            <w:pPr>
              <w:pStyle w:val="nTable"/>
              <w:spacing w:before="60" w:after="60"/>
            </w:pPr>
            <w:r>
              <w:t>37 of 2002</w:t>
            </w:r>
          </w:p>
        </w:tc>
        <w:tc>
          <w:tcPr>
            <w:tcW w:w="1134" w:type="dxa"/>
          </w:tcPr>
          <w:p w:rsidR="00262388" w:rsidRDefault="00262388" w:rsidP="00DB70DE">
            <w:pPr>
              <w:pStyle w:val="nTable"/>
              <w:spacing w:before="60" w:after="60"/>
            </w:pPr>
            <w:r>
              <w:t>20 Nov 2002</w:t>
            </w:r>
          </w:p>
        </w:tc>
        <w:tc>
          <w:tcPr>
            <w:tcW w:w="2552" w:type="dxa"/>
          </w:tcPr>
          <w:p w:rsidR="00262388" w:rsidRDefault="00262388" w:rsidP="00DB70DE">
            <w:pPr>
              <w:pStyle w:val="nTable"/>
              <w:spacing w:before="60" w:after="60"/>
            </w:pPr>
            <w:r>
              <w:t>20 Nov 2002 (see s. 2)</w:t>
            </w:r>
          </w:p>
        </w:tc>
      </w:tr>
      <w:tr w:rsidR="00262388" w:rsidTr="009B5818">
        <w:trPr>
          <w:cantSplit/>
        </w:trPr>
        <w:tc>
          <w:tcPr>
            <w:tcW w:w="2268" w:type="dxa"/>
          </w:tcPr>
          <w:p w:rsidR="00262388" w:rsidRDefault="00262388" w:rsidP="00DB70DE">
            <w:pPr>
              <w:pStyle w:val="nTable"/>
              <w:spacing w:before="60" w:after="60"/>
              <w:ind w:right="113"/>
            </w:pPr>
            <w:r>
              <w:rPr>
                <w:i/>
              </w:rPr>
              <w:t>Statutes (Repeals and Minor Amendments) Act 2003</w:t>
            </w:r>
            <w:r>
              <w:t xml:space="preserve"> s. 66</w:t>
            </w:r>
          </w:p>
        </w:tc>
        <w:tc>
          <w:tcPr>
            <w:tcW w:w="1134" w:type="dxa"/>
          </w:tcPr>
          <w:p w:rsidR="00262388" w:rsidRDefault="00262388" w:rsidP="00DB70DE">
            <w:pPr>
              <w:pStyle w:val="nTable"/>
              <w:spacing w:before="60" w:after="60"/>
            </w:pPr>
            <w:r>
              <w:t>74 of 2003</w:t>
            </w:r>
          </w:p>
        </w:tc>
        <w:tc>
          <w:tcPr>
            <w:tcW w:w="1134" w:type="dxa"/>
          </w:tcPr>
          <w:p w:rsidR="00262388" w:rsidRDefault="00262388" w:rsidP="00DB70DE">
            <w:pPr>
              <w:pStyle w:val="nTable"/>
              <w:spacing w:before="60" w:after="60"/>
            </w:pPr>
            <w:r>
              <w:t>15 Dec 2003</w:t>
            </w:r>
          </w:p>
        </w:tc>
        <w:tc>
          <w:tcPr>
            <w:tcW w:w="2552" w:type="dxa"/>
          </w:tcPr>
          <w:p w:rsidR="00262388" w:rsidRDefault="00262388" w:rsidP="00DB70DE">
            <w:pPr>
              <w:pStyle w:val="nTable"/>
              <w:spacing w:before="60" w:after="60"/>
            </w:pPr>
            <w:r>
              <w:rPr>
                <w:spacing w:val="-2"/>
              </w:rPr>
              <w:t>15 Dec 2003 (see s. 2)</w:t>
            </w:r>
          </w:p>
        </w:tc>
      </w:tr>
      <w:tr w:rsidR="00262388" w:rsidTr="009B5818">
        <w:trPr>
          <w:cantSplit/>
        </w:trPr>
        <w:tc>
          <w:tcPr>
            <w:tcW w:w="2268" w:type="dxa"/>
          </w:tcPr>
          <w:p w:rsidR="00262388" w:rsidRDefault="00262388" w:rsidP="00DB70DE">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rsidR="00262388" w:rsidRDefault="00262388" w:rsidP="00DB70DE">
            <w:pPr>
              <w:pStyle w:val="nTable"/>
              <w:spacing w:before="60" w:after="60"/>
            </w:pPr>
            <w:r>
              <w:rPr>
                <w:snapToGrid w:val="0"/>
              </w:rPr>
              <w:t>59 of 2004</w:t>
            </w:r>
          </w:p>
        </w:tc>
        <w:tc>
          <w:tcPr>
            <w:tcW w:w="1134" w:type="dxa"/>
          </w:tcPr>
          <w:p w:rsidR="00262388" w:rsidRDefault="00262388" w:rsidP="00DB70DE">
            <w:pPr>
              <w:pStyle w:val="nTable"/>
              <w:spacing w:before="60" w:after="60"/>
            </w:pPr>
            <w:r>
              <w:rPr>
                <w:snapToGrid w:val="0"/>
              </w:rPr>
              <w:t>23 Nov 2004</w:t>
            </w:r>
          </w:p>
        </w:tc>
        <w:tc>
          <w:tcPr>
            <w:tcW w:w="2552" w:type="dxa"/>
          </w:tcPr>
          <w:p w:rsidR="00262388" w:rsidRDefault="00262388" w:rsidP="00DB70DE">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rsidR="00262388" w:rsidRDefault="00262388" w:rsidP="00DB70DE">
            <w:pPr>
              <w:pStyle w:val="nTable"/>
              <w:spacing w:before="60" w:after="60"/>
              <w:rPr>
                <w:snapToGrid w:val="0"/>
              </w:rPr>
            </w:pPr>
            <w:r>
              <w:rPr>
                <w:snapToGrid w:val="0"/>
              </w:rPr>
              <w:t>84 of 2004</w:t>
            </w:r>
          </w:p>
        </w:tc>
        <w:tc>
          <w:tcPr>
            <w:tcW w:w="1134" w:type="dxa"/>
          </w:tcPr>
          <w:p w:rsidR="00262388" w:rsidRDefault="00262388" w:rsidP="00DB70DE">
            <w:pPr>
              <w:pStyle w:val="nTable"/>
              <w:spacing w:before="60" w:after="60"/>
              <w:rPr>
                <w:snapToGrid w:val="0"/>
              </w:rPr>
            </w:pPr>
            <w:r>
              <w:t>16 Dec 2004</w:t>
            </w:r>
          </w:p>
        </w:tc>
        <w:tc>
          <w:tcPr>
            <w:tcW w:w="2552" w:type="dxa"/>
          </w:tcPr>
          <w:p w:rsidR="00262388" w:rsidRDefault="00262388" w:rsidP="00DB70DE">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2388" w:rsidTr="009B5818">
        <w:trPr>
          <w:cantSplit/>
        </w:trPr>
        <w:tc>
          <w:tcPr>
            <w:tcW w:w="7088" w:type="dxa"/>
            <w:gridSpan w:val="4"/>
          </w:tcPr>
          <w:p w:rsidR="00262388" w:rsidRDefault="00262388" w:rsidP="00DB70DE">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rsidR="00262388" w:rsidTr="009B5818">
        <w:trPr>
          <w:cantSplit/>
        </w:trPr>
        <w:tc>
          <w:tcPr>
            <w:tcW w:w="2268" w:type="dxa"/>
          </w:tcPr>
          <w:p w:rsidR="00262388" w:rsidRDefault="00262388" w:rsidP="00DB70DE">
            <w:pPr>
              <w:pStyle w:val="nTable"/>
              <w:spacing w:before="60" w:after="60"/>
              <w:ind w:right="113"/>
              <w:rPr>
                <w:iCs/>
              </w:rPr>
            </w:pPr>
            <w:r>
              <w:rPr>
                <w:i/>
              </w:rPr>
              <w:t>Statutes (Repeals and Miscellaneous Amendments) Act 2009</w:t>
            </w:r>
            <w:r>
              <w:rPr>
                <w:iCs/>
              </w:rPr>
              <w:t xml:space="preserve"> s. 75</w:t>
            </w:r>
          </w:p>
        </w:tc>
        <w:tc>
          <w:tcPr>
            <w:tcW w:w="1134" w:type="dxa"/>
          </w:tcPr>
          <w:p w:rsidR="00262388" w:rsidRDefault="00262388" w:rsidP="00DB70DE">
            <w:pPr>
              <w:pStyle w:val="nTable"/>
              <w:spacing w:before="60" w:after="60"/>
            </w:pPr>
            <w:r>
              <w:t xml:space="preserve">8 of 2009 </w:t>
            </w:r>
          </w:p>
        </w:tc>
        <w:tc>
          <w:tcPr>
            <w:tcW w:w="1134" w:type="dxa"/>
          </w:tcPr>
          <w:p w:rsidR="00262388" w:rsidRDefault="00262388" w:rsidP="00DB70DE">
            <w:pPr>
              <w:pStyle w:val="nTable"/>
              <w:spacing w:before="60" w:after="60"/>
            </w:pPr>
            <w:r>
              <w:t>21 May 2009</w:t>
            </w:r>
          </w:p>
        </w:tc>
        <w:tc>
          <w:tcPr>
            <w:tcW w:w="2552" w:type="dxa"/>
          </w:tcPr>
          <w:p w:rsidR="00262388" w:rsidRDefault="00262388" w:rsidP="00DB70DE">
            <w:pPr>
              <w:pStyle w:val="nTable"/>
              <w:spacing w:before="60" w:after="60"/>
            </w:pPr>
            <w:r>
              <w:t>22 May 2009 (see s. 2(b))</w:t>
            </w:r>
          </w:p>
        </w:tc>
      </w:tr>
      <w:tr w:rsidR="00262388" w:rsidTr="009B5818">
        <w:trPr>
          <w:cantSplit/>
        </w:trPr>
        <w:tc>
          <w:tcPr>
            <w:tcW w:w="2268" w:type="dxa"/>
          </w:tcPr>
          <w:p w:rsidR="00262388" w:rsidRDefault="00262388" w:rsidP="00DB70DE">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rsidR="00262388" w:rsidRDefault="00262388" w:rsidP="00DB70DE">
            <w:pPr>
              <w:pStyle w:val="nTable"/>
              <w:spacing w:before="60" w:after="60"/>
            </w:pPr>
            <w:r>
              <w:rPr>
                <w:snapToGrid w:val="0"/>
              </w:rPr>
              <w:t>19 of 2010</w:t>
            </w:r>
          </w:p>
        </w:tc>
        <w:tc>
          <w:tcPr>
            <w:tcW w:w="1134" w:type="dxa"/>
          </w:tcPr>
          <w:p w:rsidR="00262388" w:rsidRDefault="00262388" w:rsidP="00DB70DE">
            <w:pPr>
              <w:pStyle w:val="nTable"/>
              <w:spacing w:before="60" w:after="60"/>
            </w:pPr>
            <w:r>
              <w:rPr>
                <w:snapToGrid w:val="0"/>
              </w:rPr>
              <w:t>28 Jun 2010</w:t>
            </w:r>
          </w:p>
        </w:tc>
        <w:tc>
          <w:tcPr>
            <w:tcW w:w="2552" w:type="dxa"/>
          </w:tcPr>
          <w:p w:rsidR="00262388" w:rsidRDefault="00262388" w:rsidP="00DB70DE">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rsidR="00262388" w:rsidRDefault="00262388" w:rsidP="00DB70DE">
            <w:pPr>
              <w:pStyle w:val="nTable"/>
              <w:spacing w:before="60" w:after="60"/>
              <w:rPr>
                <w:snapToGrid w:val="0"/>
              </w:rPr>
            </w:pPr>
            <w:r>
              <w:rPr>
                <w:snapToGrid w:val="0"/>
              </w:rPr>
              <w:t>16 of 2011</w:t>
            </w:r>
          </w:p>
        </w:tc>
        <w:tc>
          <w:tcPr>
            <w:tcW w:w="1134" w:type="dxa"/>
          </w:tcPr>
          <w:p w:rsidR="00262388" w:rsidRDefault="00262388" w:rsidP="00DB70DE">
            <w:pPr>
              <w:pStyle w:val="nTable"/>
              <w:spacing w:before="60" w:after="60"/>
              <w:rPr>
                <w:snapToGrid w:val="0"/>
              </w:rPr>
            </w:pPr>
            <w:r>
              <w:rPr>
                <w:snapToGrid w:val="0"/>
              </w:rPr>
              <w:t>25 May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rsidR="00262388" w:rsidRDefault="00262388" w:rsidP="00DB70DE">
            <w:pPr>
              <w:pStyle w:val="nTable"/>
              <w:spacing w:before="60" w:after="60"/>
              <w:rPr>
                <w:snapToGrid w:val="0"/>
              </w:rPr>
            </w:pPr>
            <w:r>
              <w:rPr>
                <w:snapToGrid w:val="0"/>
              </w:rPr>
              <w:t>19 of 2011</w:t>
            </w:r>
          </w:p>
        </w:tc>
        <w:tc>
          <w:tcPr>
            <w:tcW w:w="1134" w:type="dxa"/>
          </w:tcPr>
          <w:p w:rsidR="00262388" w:rsidRDefault="00262388" w:rsidP="00DB70DE">
            <w:pPr>
              <w:pStyle w:val="nTable"/>
              <w:spacing w:before="60" w:after="60"/>
              <w:rPr>
                <w:snapToGrid w:val="0"/>
              </w:rPr>
            </w:pPr>
            <w:r>
              <w:rPr>
                <w:snapToGrid w:val="0"/>
              </w:rPr>
              <w:t>22 Jun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Building Act 2011</w:t>
            </w:r>
            <w:r>
              <w:rPr>
                <w:snapToGrid w:val="0"/>
              </w:rPr>
              <w:t xml:space="preserve"> s. 163</w:t>
            </w:r>
          </w:p>
        </w:tc>
        <w:tc>
          <w:tcPr>
            <w:tcW w:w="1134" w:type="dxa"/>
          </w:tcPr>
          <w:p w:rsidR="00262388" w:rsidRDefault="00262388" w:rsidP="00DB70DE">
            <w:pPr>
              <w:pStyle w:val="nTable"/>
              <w:spacing w:before="60" w:after="60"/>
              <w:rPr>
                <w:snapToGrid w:val="0"/>
              </w:rPr>
            </w:pPr>
            <w:r>
              <w:rPr>
                <w:snapToGrid w:val="0"/>
              </w:rPr>
              <w:t>24 of 2011</w:t>
            </w:r>
          </w:p>
        </w:tc>
        <w:tc>
          <w:tcPr>
            <w:tcW w:w="1134" w:type="dxa"/>
          </w:tcPr>
          <w:p w:rsidR="00262388" w:rsidRDefault="00262388" w:rsidP="00DB70DE">
            <w:pPr>
              <w:pStyle w:val="nTable"/>
              <w:spacing w:before="60" w:after="60"/>
              <w:rPr>
                <w:snapToGrid w:val="0"/>
              </w:rPr>
            </w:pPr>
            <w:r>
              <w:rPr>
                <w:snapToGrid w:val="0"/>
              </w:rPr>
              <w:t>11 Jul 2011</w:t>
            </w:r>
          </w:p>
        </w:tc>
        <w:tc>
          <w:tcPr>
            <w:tcW w:w="2552" w:type="dxa"/>
          </w:tcPr>
          <w:p w:rsidR="00262388" w:rsidRDefault="00262388" w:rsidP="00DB70DE">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rsidR="00262388" w:rsidTr="009B5818">
        <w:trPr>
          <w:cantSplit/>
        </w:trPr>
        <w:tc>
          <w:tcPr>
            <w:tcW w:w="2268" w:type="dxa"/>
            <w:shd w:val="clear" w:color="auto" w:fill="auto"/>
          </w:tcPr>
          <w:p w:rsidR="00262388" w:rsidRDefault="00262388" w:rsidP="00DB70DE">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rsidR="00262388" w:rsidRDefault="00262388" w:rsidP="00DB70DE">
            <w:pPr>
              <w:pStyle w:val="nTable"/>
              <w:spacing w:after="40"/>
              <w:rPr>
                <w:snapToGrid w:val="0"/>
              </w:rPr>
            </w:pPr>
            <w:r>
              <w:rPr>
                <w:snapToGrid w:val="0"/>
              </w:rPr>
              <w:t>47 of 2011</w:t>
            </w:r>
          </w:p>
        </w:tc>
        <w:tc>
          <w:tcPr>
            <w:tcW w:w="1134" w:type="dxa"/>
            <w:shd w:val="clear" w:color="auto" w:fill="auto"/>
          </w:tcPr>
          <w:p w:rsidR="00262388" w:rsidRDefault="00262388" w:rsidP="00DB70DE">
            <w:pPr>
              <w:pStyle w:val="nTable"/>
              <w:spacing w:after="40"/>
              <w:rPr>
                <w:snapToGrid w:val="0"/>
              </w:rPr>
            </w:pPr>
            <w:r>
              <w:rPr>
                <w:snapToGrid w:val="0"/>
              </w:rPr>
              <w:t>25 Oct 2011</w:t>
            </w:r>
          </w:p>
        </w:tc>
        <w:tc>
          <w:tcPr>
            <w:tcW w:w="2552" w:type="dxa"/>
            <w:shd w:val="clear" w:color="auto" w:fill="auto"/>
          </w:tcPr>
          <w:p w:rsidR="00262388" w:rsidRDefault="00262388" w:rsidP="00DB70DE">
            <w:pPr>
              <w:pStyle w:val="nTable"/>
              <w:spacing w:after="40"/>
              <w:rPr>
                <w:snapToGrid w:val="0"/>
              </w:rPr>
            </w:pPr>
            <w:r>
              <w:rPr>
                <w:snapToGrid w:val="0"/>
              </w:rPr>
              <w:t>26 Oct 2011 (see s. 2(b))</w:t>
            </w:r>
          </w:p>
        </w:tc>
      </w:tr>
      <w:tr w:rsidR="00262388" w:rsidTr="009B5818">
        <w:trPr>
          <w:cantSplit/>
        </w:trPr>
        <w:tc>
          <w:tcPr>
            <w:tcW w:w="7088" w:type="dxa"/>
            <w:gridSpan w:val="4"/>
            <w:shd w:val="clear" w:color="auto" w:fill="auto"/>
          </w:tcPr>
          <w:p w:rsidR="00262388" w:rsidRDefault="00262388" w:rsidP="00DB70DE">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rsidR="00262388" w:rsidTr="009B5818">
        <w:trPr>
          <w:cantSplit/>
        </w:trPr>
        <w:tc>
          <w:tcPr>
            <w:tcW w:w="2268" w:type="dxa"/>
            <w:shd w:val="clear" w:color="auto" w:fill="auto"/>
          </w:tcPr>
          <w:p w:rsidR="00262388" w:rsidRDefault="00262388" w:rsidP="00DB70DE">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shd w:val="clear" w:color="auto" w:fill="auto"/>
          </w:tcPr>
          <w:p w:rsidR="00262388" w:rsidRDefault="00262388" w:rsidP="00DB70DE">
            <w:pPr>
              <w:pStyle w:val="nTable"/>
              <w:spacing w:after="40"/>
              <w:rPr>
                <w:snapToGrid w:val="0"/>
              </w:rPr>
            </w:pPr>
            <w:r>
              <w:rPr>
                <w:snapToGrid w:val="0"/>
              </w:rPr>
              <w:t>25 of 2012</w:t>
            </w:r>
          </w:p>
        </w:tc>
        <w:tc>
          <w:tcPr>
            <w:tcW w:w="1134" w:type="dxa"/>
            <w:shd w:val="clear" w:color="auto" w:fill="auto"/>
          </w:tcPr>
          <w:p w:rsidR="00262388" w:rsidRDefault="00262388" w:rsidP="00DB70DE">
            <w:pPr>
              <w:pStyle w:val="nTable"/>
              <w:spacing w:after="40"/>
              <w:rPr>
                <w:snapToGrid w:val="0"/>
              </w:rPr>
            </w:pPr>
            <w:r>
              <w:t>3 Sep 2012</w:t>
            </w:r>
          </w:p>
        </w:tc>
        <w:tc>
          <w:tcPr>
            <w:tcW w:w="2552" w:type="dxa"/>
            <w:shd w:val="clear" w:color="auto" w:fill="auto"/>
          </w:tcPr>
          <w:p w:rsidR="00262388" w:rsidRDefault="00262388" w:rsidP="00DB70DE">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B5818" w:rsidTr="009B5818">
        <w:trPr>
          <w:cantSplit/>
          <w:ins w:id="199" w:author="Master Repository Process" w:date="2021-06-28T14:10:00Z"/>
        </w:trPr>
        <w:tc>
          <w:tcPr>
            <w:tcW w:w="2268" w:type="dxa"/>
            <w:shd w:val="clear" w:color="auto" w:fill="auto"/>
          </w:tcPr>
          <w:p w:rsidR="009B5818" w:rsidRDefault="009B5818" w:rsidP="009B5818">
            <w:pPr>
              <w:pStyle w:val="nTable"/>
              <w:spacing w:after="40"/>
              <w:ind w:right="113"/>
              <w:rPr>
                <w:ins w:id="200" w:author="Master Repository Process" w:date="2021-06-28T14:10:00Z"/>
                <w:i/>
                <w:snapToGrid w:val="0"/>
              </w:rPr>
            </w:pPr>
            <w:ins w:id="201" w:author="Master Repository Process" w:date="2021-06-28T14:10:00Z">
              <w:r>
                <w:rPr>
                  <w:i/>
                </w:rPr>
                <w:t>Community Titles Act 2018</w:t>
              </w:r>
              <w:r>
                <w:t xml:space="preserve"> Pt. 14 Div. 10</w:t>
              </w:r>
            </w:ins>
          </w:p>
        </w:tc>
        <w:tc>
          <w:tcPr>
            <w:tcW w:w="1134" w:type="dxa"/>
            <w:shd w:val="clear" w:color="auto" w:fill="auto"/>
          </w:tcPr>
          <w:p w:rsidR="009B5818" w:rsidRDefault="009B5818" w:rsidP="009B5818">
            <w:pPr>
              <w:pStyle w:val="nTable"/>
              <w:spacing w:after="40"/>
              <w:rPr>
                <w:ins w:id="202" w:author="Master Repository Process" w:date="2021-06-28T14:10:00Z"/>
                <w:snapToGrid w:val="0"/>
              </w:rPr>
            </w:pPr>
            <w:ins w:id="203" w:author="Master Repository Process" w:date="2021-06-28T14:10:00Z">
              <w:r>
                <w:t>32 of 2018</w:t>
              </w:r>
            </w:ins>
          </w:p>
        </w:tc>
        <w:tc>
          <w:tcPr>
            <w:tcW w:w="1134" w:type="dxa"/>
            <w:shd w:val="clear" w:color="auto" w:fill="auto"/>
          </w:tcPr>
          <w:p w:rsidR="009B5818" w:rsidRDefault="009B5818" w:rsidP="009B5818">
            <w:pPr>
              <w:pStyle w:val="nTable"/>
              <w:spacing w:after="40"/>
              <w:rPr>
                <w:ins w:id="204" w:author="Master Repository Process" w:date="2021-06-28T14:10:00Z"/>
              </w:rPr>
            </w:pPr>
            <w:ins w:id="205" w:author="Master Repository Process" w:date="2021-06-28T14:10:00Z">
              <w:r>
                <w:t>19 Nov 2018</w:t>
              </w:r>
            </w:ins>
          </w:p>
        </w:tc>
        <w:tc>
          <w:tcPr>
            <w:tcW w:w="2552" w:type="dxa"/>
            <w:shd w:val="clear" w:color="auto" w:fill="auto"/>
          </w:tcPr>
          <w:p w:rsidR="009B5818" w:rsidRDefault="009B5818" w:rsidP="009B5818">
            <w:pPr>
              <w:pStyle w:val="nTable"/>
              <w:spacing w:after="40"/>
              <w:rPr>
                <w:ins w:id="206" w:author="Master Repository Process" w:date="2021-06-28T14:10:00Z"/>
                <w:snapToGrid w:val="0"/>
              </w:rPr>
            </w:pPr>
            <w:ins w:id="207" w:author="Master Repository Process" w:date="2021-06-28T14:10:00Z">
              <w:r>
                <w:t>30 Jun 2021 (see s. 2(b) and SL 2021/69 cl. 2)</w:t>
              </w:r>
            </w:ins>
          </w:p>
        </w:tc>
      </w:tr>
      <w:tr w:rsidR="009B5818" w:rsidTr="009B5818">
        <w:trPr>
          <w:cantSplit/>
        </w:trPr>
        <w:tc>
          <w:tcPr>
            <w:tcW w:w="2268" w:type="dxa"/>
            <w:tcBorders>
              <w:bottom w:val="single" w:sz="4" w:space="0" w:color="auto"/>
            </w:tcBorders>
            <w:shd w:val="clear" w:color="auto" w:fill="auto"/>
          </w:tcPr>
          <w:p w:rsidR="009B5818" w:rsidRDefault="009B5818" w:rsidP="009B5818">
            <w:pPr>
              <w:pStyle w:val="nTable"/>
              <w:spacing w:after="40"/>
              <w:ind w:right="113"/>
              <w:rPr>
                <w:i/>
                <w:snapToGrid w:val="0"/>
              </w:rPr>
            </w:pPr>
            <w:r>
              <w:rPr>
                <w:i/>
              </w:rPr>
              <w:t xml:space="preserve">Consumer Protection Legislation Amendment Act 2019 </w:t>
            </w:r>
            <w:r>
              <w:t>Pt. 6</w:t>
            </w:r>
          </w:p>
        </w:tc>
        <w:tc>
          <w:tcPr>
            <w:tcW w:w="1134" w:type="dxa"/>
            <w:tcBorders>
              <w:bottom w:val="single" w:sz="4" w:space="0" w:color="auto"/>
            </w:tcBorders>
            <w:shd w:val="clear" w:color="auto" w:fill="auto"/>
          </w:tcPr>
          <w:p w:rsidR="009B5818" w:rsidRDefault="009B5818" w:rsidP="009B5818">
            <w:pPr>
              <w:pStyle w:val="nTable"/>
              <w:spacing w:after="40"/>
              <w:rPr>
                <w:snapToGrid w:val="0"/>
              </w:rPr>
            </w:pPr>
            <w:r>
              <w:t>25 of 2019</w:t>
            </w:r>
          </w:p>
        </w:tc>
        <w:tc>
          <w:tcPr>
            <w:tcW w:w="1134" w:type="dxa"/>
            <w:tcBorders>
              <w:bottom w:val="single" w:sz="4" w:space="0" w:color="auto"/>
            </w:tcBorders>
            <w:shd w:val="clear" w:color="auto" w:fill="auto"/>
          </w:tcPr>
          <w:p w:rsidR="009B5818" w:rsidRDefault="009B5818" w:rsidP="009B5818">
            <w:pPr>
              <w:pStyle w:val="nTable"/>
              <w:spacing w:after="40"/>
            </w:pPr>
            <w:r>
              <w:t>24 Oct 2019</w:t>
            </w:r>
          </w:p>
        </w:tc>
        <w:tc>
          <w:tcPr>
            <w:tcW w:w="2552" w:type="dxa"/>
            <w:tcBorders>
              <w:bottom w:val="single" w:sz="4" w:space="0" w:color="auto"/>
            </w:tcBorders>
            <w:shd w:val="clear" w:color="auto" w:fill="auto"/>
          </w:tcPr>
          <w:p w:rsidR="009B5818" w:rsidRDefault="009B5818" w:rsidP="009B5818">
            <w:pPr>
              <w:pStyle w:val="nTable"/>
              <w:spacing w:after="40"/>
              <w:rPr>
                <w:snapToGrid w:val="0"/>
              </w:rPr>
            </w:pPr>
            <w:r>
              <w:rPr>
                <w:snapToGrid w:val="0"/>
              </w:rPr>
              <w:t xml:space="preserve">30 Nov 2019 (see s. 2(b) and </w:t>
            </w:r>
            <w:r>
              <w:rPr>
                <w:i/>
                <w:snapToGrid w:val="0"/>
              </w:rPr>
              <w:t>Gazette</w:t>
            </w:r>
            <w:r>
              <w:rPr>
                <w:snapToGrid w:val="0"/>
              </w:rPr>
              <w:t xml:space="preserve"> 29 Nov. 2019 p. 4101)</w:t>
            </w:r>
          </w:p>
        </w:tc>
      </w:tr>
    </w:tbl>
    <w:p w:rsidR="00262388" w:rsidRDefault="00262388">
      <w:pPr>
        <w:pStyle w:val="nHeading3"/>
        <w:rPr>
          <w:del w:id="208" w:author="Master Repository Process" w:date="2021-06-28T14:10:00Z"/>
        </w:rPr>
      </w:pPr>
      <w:bookmarkStart w:id="209" w:name="_Toc74732551"/>
      <w:del w:id="210" w:author="Master Repository Process" w:date="2021-06-28T14:10:00Z">
        <w:r>
          <w:delText>Uncommenced provisions table</w:delText>
        </w:r>
        <w:bookmarkEnd w:id="209"/>
      </w:del>
    </w:p>
    <w:p w:rsidR="00262388" w:rsidRDefault="00262388">
      <w:pPr>
        <w:pStyle w:val="nStatement"/>
        <w:keepNext/>
        <w:spacing w:after="240"/>
        <w:rPr>
          <w:del w:id="211" w:author="Master Repository Process" w:date="2021-06-28T14:10:00Z"/>
        </w:rPr>
      </w:pPr>
      <w:del w:id="212" w:author="Master Repository Process" w:date="2021-06-28T14: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tblGrid>
      <w:tr w:rsidR="00262388" w:rsidTr="00DB70DE">
        <w:trPr>
          <w:tblHeader/>
          <w:del w:id="213" w:author="Master Repository Process" w:date="2021-06-28T14:10:00Z"/>
        </w:trPr>
        <w:tc>
          <w:tcPr>
            <w:tcW w:w="2273" w:type="dxa"/>
            <w:tcBorders>
              <w:bottom w:val="single" w:sz="8" w:space="0" w:color="auto"/>
            </w:tcBorders>
          </w:tcPr>
          <w:p w:rsidR="00262388" w:rsidRDefault="00262388" w:rsidP="00DB70DE">
            <w:pPr>
              <w:pStyle w:val="nTable"/>
              <w:spacing w:after="40"/>
              <w:rPr>
                <w:del w:id="214" w:author="Master Repository Process" w:date="2021-06-28T14:10:00Z"/>
                <w:b/>
              </w:rPr>
            </w:pPr>
            <w:del w:id="215" w:author="Master Repository Process" w:date="2021-06-28T14:10:00Z">
              <w:r>
                <w:rPr>
                  <w:b/>
                </w:rPr>
                <w:delText>Short title</w:delText>
              </w:r>
            </w:del>
          </w:p>
        </w:tc>
        <w:tc>
          <w:tcPr>
            <w:tcW w:w="1139" w:type="dxa"/>
            <w:tcBorders>
              <w:bottom w:val="single" w:sz="8" w:space="0" w:color="auto"/>
            </w:tcBorders>
          </w:tcPr>
          <w:p w:rsidR="00262388" w:rsidRDefault="00262388" w:rsidP="00DB70DE">
            <w:pPr>
              <w:pStyle w:val="nTable"/>
              <w:spacing w:after="40"/>
              <w:rPr>
                <w:del w:id="216" w:author="Master Repository Process" w:date="2021-06-28T14:10:00Z"/>
                <w:b/>
              </w:rPr>
            </w:pPr>
            <w:del w:id="217" w:author="Master Repository Process" w:date="2021-06-28T14:10:00Z">
              <w:r>
                <w:rPr>
                  <w:b/>
                </w:rPr>
                <w:delText>Number and year</w:delText>
              </w:r>
            </w:del>
          </w:p>
        </w:tc>
        <w:tc>
          <w:tcPr>
            <w:tcW w:w="1138" w:type="dxa"/>
            <w:tcBorders>
              <w:bottom w:val="single" w:sz="8" w:space="0" w:color="auto"/>
            </w:tcBorders>
          </w:tcPr>
          <w:p w:rsidR="00262388" w:rsidRDefault="00262388" w:rsidP="00DB70DE">
            <w:pPr>
              <w:pStyle w:val="nTable"/>
              <w:spacing w:after="40"/>
              <w:rPr>
                <w:del w:id="218" w:author="Master Repository Process" w:date="2021-06-28T14:10:00Z"/>
                <w:b/>
              </w:rPr>
            </w:pPr>
            <w:del w:id="219" w:author="Master Repository Process" w:date="2021-06-28T14:10:00Z">
              <w:r>
                <w:rPr>
                  <w:b/>
                </w:rPr>
                <w:delText>Assent</w:delText>
              </w:r>
            </w:del>
          </w:p>
        </w:tc>
        <w:tc>
          <w:tcPr>
            <w:tcW w:w="2552" w:type="dxa"/>
            <w:tcBorders>
              <w:bottom w:val="single" w:sz="8" w:space="0" w:color="auto"/>
            </w:tcBorders>
          </w:tcPr>
          <w:p w:rsidR="00262388" w:rsidRDefault="00262388" w:rsidP="00DB70DE">
            <w:pPr>
              <w:pStyle w:val="nTable"/>
              <w:spacing w:after="40"/>
              <w:rPr>
                <w:del w:id="220" w:author="Master Repository Process" w:date="2021-06-28T14:10:00Z"/>
                <w:b/>
              </w:rPr>
            </w:pPr>
            <w:del w:id="221" w:author="Master Repository Process" w:date="2021-06-28T14:10:00Z">
              <w:r>
                <w:rPr>
                  <w:b/>
                </w:rPr>
                <w:delText>Commencement</w:delText>
              </w:r>
            </w:del>
          </w:p>
        </w:tc>
      </w:tr>
      <w:tr w:rsidR="00262388" w:rsidTr="00DB70DE">
        <w:trPr>
          <w:del w:id="222" w:author="Master Repository Process" w:date="2021-06-28T14:10:00Z"/>
        </w:trPr>
        <w:tc>
          <w:tcPr>
            <w:tcW w:w="2273" w:type="dxa"/>
            <w:tcBorders>
              <w:bottom w:val="single" w:sz="4" w:space="0" w:color="auto"/>
            </w:tcBorders>
          </w:tcPr>
          <w:p w:rsidR="00262388" w:rsidRDefault="00262388" w:rsidP="00DB70DE">
            <w:pPr>
              <w:pStyle w:val="nTable"/>
              <w:spacing w:after="40"/>
              <w:rPr>
                <w:del w:id="223" w:author="Master Repository Process" w:date="2021-06-28T14:10:00Z"/>
              </w:rPr>
            </w:pPr>
            <w:del w:id="224" w:author="Master Repository Process" w:date="2021-06-28T14:10:00Z">
              <w:r>
                <w:rPr>
                  <w:i/>
                </w:rPr>
                <w:delText>Community Titles Act 2018</w:delText>
              </w:r>
              <w:r>
                <w:delText xml:space="preserve"> Pt. 14 Div. 10</w:delText>
              </w:r>
            </w:del>
          </w:p>
        </w:tc>
        <w:tc>
          <w:tcPr>
            <w:tcW w:w="1139" w:type="dxa"/>
            <w:tcBorders>
              <w:bottom w:val="single" w:sz="4" w:space="0" w:color="auto"/>
            </w:tcBorders>
          </w:tcPr>
          <w:p w:rsidR="00262388" w:rsidRDefault="00262388" w:rsidP="00DB70DE">
            <w:pPr>
              <w:pStyle w:val="nTable"/>
              <w:spacing w:after="40"/>
              <w:rPr>
                <w:del w:id="225" w:author="Master Repository Process" w:date="2021-06-28T14:10:00Z"/>
              </w:rPr>
            </w:pPr>
            <w:del w:id="226" w:author="Master Repository Process" w:date="2021-06-28T14:10:00Z">
              <w:r>
                <w:delText>32 of 2018</w:delText>
              </w:r>
            </w:del>
          </w:p>
        </w:tc>
        <w:tc>
          <w:tcPr>
            <w:tcW w:w="1138" w:type="dxa"/>
            <w:tcBorders>
              <w:bottom w:val="single" w:sz="4" w:space="0" w:color="auto"/>
            </w:tcBorders>
          </w:tcPr>
          <w:p w:rsidR="00262388" w:rsidRDefault="00262388" w:rsidP="00DB70DE">
            <w:pPr>
              <w:pStyle w:val="nTable"/>
              <w:spacing w:after="40"/>
              <w:rPr>
                <w:del w:id="227" w:author="Master Repository Process" w:date="2021-06-28T14:10:00Z"/>
              </w:rPr>
            </w:pPr>
            <w:del w:id="228" w:author="Master Repository Process" w:date="2021-06-28T14:10:00Z">
              <w:r>
                <w:delText>19 Nov 2018</w:delText>
              </w:r>
            </w:del>
          </w:p>
        </w:tc>
        <w:tc>
          <w:tcPr>
            <w:tcW w:w="2552" w:type="dxa"/>
            <w:tcBorders>
              <w:bottom w:val="single" w:sz="4" w:space="0" w:color="auto"/>
            </w:tcBorders>
          </w:tcPr>
          <w:p w:rsidR="00262388" w:rsidRDefault="00F203F8" w:rsidP="00DB70DE">
            <w:pPr>
              <w:pStyle w:val="nTable"/>
              <w:spacing w:after="40"/>
              <w:rPr>
                <w:del w:id="229" w:author="Master Repository Process" w:date="2021-06-28T14:10:00Z"/>
              </w:rPr>
            </w:pPr>
            <w:del w:id="230" w:author="Master Repository Process" w:date="2021-06-28T14:10:00Z">
              <w:r>
                <w:delText xml:space="preserve">30 Jun 2021 </w:delText>
              </w:r>
              <w:r w:rsidR="00262388">
                <w:delText>(see s. 2(b)</w:delText>
              </w:r>
              <w:r>
                <w:delText xml:space="preserve"> and SL 2021/69 cl. 2</w:delText>
              </w:r>
              <w:r w:rsidR="00262388">
                <w:delText>)</w:delText>
              </w:r>
            </w:del>
          </w:p>
        </w:tc>
      </w:tr>
    </w:tbl>
    <w:p w:rsidR="00262388" w:rsidRDefault="00262388">
      <w:pPr>
        <w:pStyle w:val="nHeading3"/>
      </w:pPr>
      <w:bookmarkStart w:id="231" w:name="_Toc75344458"/>
      <w:bookmarkStart w:id="232" w:name="_Toc74732552"/>
      <w:r>
        <w:t>Other notes</w:t>
      </w:r>
      <w:bookmarkEnd w:id="231"/>
      <w:bookmarkEnd w:id="232"/>
    </w:p>
    <w:p w:rsidR="00262388" w:rsidRDefault="00262388" w:rsidP="00262388">
      <w:pPr>
        <w:pStyle w:val="nNote"/>
        <w:keepNext/>
        <w:keepLines/>
      </w:pPr>
      <w:r>
        <w:rPr>
          <w:vertAlign w:val="superscript"/>
        </w:rPr>
        <w:t>1</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rsidR="00262388" w:rsidRDefault="00262388" w:rsidP="00262388">
      <w:pPr>
        <w:pStyle w:val="nNote"/>
      </w:pPr>
      <w:r>
        <w:rPr>
          <w:vertAlign w:val="superscript"/>
        </w:rPr>
        <w:t>2</w:t>
      </w:r>
      <w:r>
        <w:tab/>
        <w:t xml:space="preserve">The </w:t>
      </w:r>
      <w:r>
        <w:rPr>
          <w:i/>
        </w:rPr>
        <w:t xml:space="preserve">Building Legislation Amendment Act 2000 </w:t>
      </w:r>
      <w:r>
        <w:t>s. 59 and 62 read as follows:</w:t>
      </w:r>
    </w:p>
    <w:p w:rsidR="00262388" w:rsidRDefault="00262388" w:rsidP="00262388">
      <w:pPr>
        <w:pStyle w:val="BlankOpen"/>
      </w:pPr>
    </w:p>
    <w:p w:rsidR="00262388" w:rsidRDefault="00262388" w:rsidP="00262388">
      <w:pPr>
        <w:pStyle w:val="nzHeading5"/>
        <w:spacing w:before="60"/>
        <w:rPr>
          <w:snapToGrid w:val="0"/>
        </w:rPr>
      </w:pPr>
      <w:r>
        <w:rPr>
          <w:rStyle w:val="CharSectno"/>
        </w:rPr>
        <w:t>59</w:t>
      </w:r>
      <w:r>
        <w:rPr>
          <w:snapToGrid w:val="0"/>
        </w:rPr>
        <w:t>.</w:t>
      </w:r>
      <w:r>
        <w:rPr>
          <w:snapToGrid w:val="0"/>
        </w:rPr>
        <w:tab/>
        <w:t>References to Committee in other written laws</w:t>
      </w:r>
    </w:p>
    <w:p w:rsidR="00262388" w:rsidRDefault="00262388" w:rsidP="00262388">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262388" w:rsidRDefault="00262388" w:rsidP="00262388">
      <w:pPr>
        <w:pStyle w:val="nzHeading5"/>
      </w:pPr>
      <w:r>
        <w:rPr>
          <w:rStyle w:val="CharSectno"/>
        </w:rPr>
        <w:t>62</w:t>
      </w:r>
      <w:r>
        <w:t>.</w:t>
      </w:r>
      <w:r>
        <w:tab/>
        <w:t>Review</w:t>
      </w:r>
    </w:p>
    <w:p w:rsidR="00262388" w:rsidRDefault="00262388" w:rsidP="00262388">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rsidR="00262388" w:rsidRDefault="00262388" w:rsidP="00262388">
      <w:pPr>
        <w:pStyle w:val="nzSubsection"/>
      </w:pPr>
      <w:r>
        <w:tab/>
        <w:t>(2)</w:t>
      </w:r>
      <w:r>
        <w:tab/>
        <w:t>The Minister is to prepare a report based on the review made under subsection (1) and, as soon as is practicable after the report is prepared, is to cause it to be laid before each House of Parliament.</w:t>
      </w:r>
    </w:p>
    <w:p w:rsidR="00262388" w:rsidRDefault="00262388" w:rsidP="00262388">
      <w:pPr>
        <w:pStyle w:val="BlankClose"/>
      </w:pPr>
    </w:p>
    <w:p w:rsidR="00262388" w:rsidRDefault="00262388"/>
    <w:p w:rsidR="00262388" w:rsidRDefault="00262388">
      <w:pPr>
        <w:sectPr w:rsidR="00262388">
          <w:headerReference w:type="even" r:id="rId25"/>
          <w:headerReference w:type="default" r:id="rId26"/>
          <w:pgSz w:w="11907" w:h="16840" w:code="9"/>
          <w:pgMar w:top="2376" w:right="2405" w:bottom="3542" w:left="2405" w:header="706" w:footer="3380" w:gutter="0"/>
          <w:cols w:space="720"/>
          <w:noEndnote/>
          <w:docGrid w:linePitch="326"/>
        </w:sectPr>
      </w:pPr>
    </w:p>
    <w:p w:rsidR="004230DE" w:rsidRDefault="004230DE"/>
    <w:sectPr w:rsidR="004230DE">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B5D" w:rsidRDefault="00160B5D">
      <w:r>
        <w:separator/>
      </w:r>
    </w:p>
  </w:endnote>
  <w:endnote w:type="continuationSeparator" w:id="0">
    <w:p w:rsidR="00160B5D" w:rsidRDefault="00160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C3230F" w:rsidRDefault="00262388" w:rsidP="00C32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C3230F" w:rsidRDefault="00262388" w:rsidP="00C32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Pr="00C3230F" w:rsidRDefault="00262388" w:rsidP="00C323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30F" w:rsidRDefault="00C3230F">
    <w:pPr>
      <w:pStyle w:val="Footer"/>
      <w:pBdr>
        <w:bottom w:val="single" w:sz="4" w:space="1" w:color="auto"/>
      </w:pBdr>
      <w:rPr>
        <w:sz w:val="20"/>
      </w:rPr>
    </w:pPr>
  </w:p>
  <w:p w:rsidR="00C3230F" w:rsidRDefault="00C3230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rsidR="00C3230F" w:rsidRDefault="00C3230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30F" w:rsidRDefault="00C3230F">
    <w:pPr>
      <w:pStyle w:val="Footer"/>
      <w:pBdr>
        <w:bottom w:val="single" w:sz="4" w:space="1" w:color="auto"/>
      </w:pBdr>
      <w:rPr>
        <w:sz w:val="20"/>
      </w:rPr>
    </w:pPr>
  </w:p>
  <w:p w:rsidR="00C3230F" w:rsidRDefault="00C3230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3230F" w:rsidRDefault="00C3230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30F" w:rsidRDefault="00C3230F">
    <w:pPr>
      <w:pStyle w:val="Footer"/>
      <w:pBdr>
        <w:bottom w:val="single" w:sz="4" w:space="1" w:color="auto"/>
      </w:pBdr>
      <w:rPr>
        <w:sz w:val="20"/>
      </w:rPr>
    </w:pPr>
  </w:p>
  <w:p w:rsidR="00C3230F" w:rsidRDefault="00C3230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3230F" w:rsidRDefault="00C3230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B5D" w:rsidRDefault="00160B5D">
      <w:r>
        <w:separator/>
      </w:r>
    </w:p>
  </w:footnote>
  <w:footnote w:type="continuationSeparator" w:id="0">
    <w:p w:rsidR="00160B5D" w:rsidRDefault="00160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681" w:rsidRDefault="00056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681" w:rsidRDefault="000566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C3230F">
            <w:rPr>
              <w:b/>
              <w:i/>
            </w:rPr>
            <w:t>Home Building Contracts Act 1991</w:t>
          </w:r>
          <w:r>
            <w:rPr>
              <w:b/>
              <w:i/>
            </w:rP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styleref CharPartNo</w:instrText>
          </w:r>
          <w:r w:rsidR="00C3230F">
            <w:rPr>
              <w:b/>
            </w:rPr>
            <w:fldChar w:fldCharType="separate"/>
          </w:r>
          <w:r w:rsidR="00C3230F">
            <w:rPr>
              <w:b/>
            </w:rPr>
            <w:t>Part 1</w:t>
          </w:r>
          <w:r>
            <w:rPr>
              <w:b/>
            </w:rPr>
            <w:fldChar w:fldCharType="end"/>
          </w:r>
        </w:p>
      </w:tc>
      <w:tc>
        <w:tcPr>
          <w:tcW w:w="5715" w:type="dxa"/>
          <w:vAlign w:val="bottom"/>
        </w:tcPr>
        <w:p w:rsidR="004230DE" w:rsidRDefault="00670E7C">
          <w:pPr>
            <w:pStyle w:val="Header"/>
            <w:spacing w:before="40"/>
          </w:pPr>
          <w:r>
            <w:fldChar w:fldCharType="begin"/>
          </w:r>
          <w:r>
            <w:instrText>styleref CharPartText</w:instrText>
          </w:r>
          <w:r w:rsidR="00C3230F">
            <w:fldChar w:fldCharType="separate"/>
          </w:r>
          <w:r w:rsidR="00C3230F">
            <w:t>Preliminary</w:t>
          </w:r>
          <w: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4230DE" w:rsidRDefault="00670E7C">
          <w:pPr>
            <w:pStyle w:val="Header"/>
            <w:spacing w:before="40"/>
          </w:pPr>
          <w:r>
            <w:fldChar w:fldCharType="begin"/>
          </w:r>
          <w:r>
            <w:instrText xml:space="preserve"> styleref CharDivText </w:instrText>
          </w:r>
          <w:r>
            <w:fldChar w:fldCharType="end"/>
          </w:r>
        </w:p>
      </w:tc>
    </w:tr>
    <w:tr w:rsidR="004230DE" w:rsidTr="00CD4D9B">
      <w:trPr>
        <w:cantSplit/>
        <w:jc w:val="center"/>
      </w:trPr>
      <w:tc>
        <w:tcPr>
          <w:tcW w:w="7263" w:type="dxa"/>
          <w:gridSpan w:val="2"/>
        </w:tcPr>
        <w:p w:rsidR="004230DE" w:rsidRDefault="00670E7C">
          <w:pPr>
            <w:pStyle w:val="Header"/>
            <w:spacing w:before="40"/>
          </w:pPr>
          <w:r>
            <w:rPr>
              <w:b/>
            </w:rPr>
            <w:t xml:space="preserve">s. </w:t>
          </w:r>
          <w:r>
            <w:rPr>
              <w:b/>
            </w:rPr>
            <w:fldChar w:fldCharType="begin"/>
          </w:r>
          <w:r>
            <w:rPr>
              <w:b/>
            </w:rPr>
            <w:instrText xml:space="preserve"> styleref CharSectno </w:instrText>
          </w:r>
          <w:r>
            <w:rPr>
              <w:b/>
            </w:rPr>
            <w:fldChar w:fldCharType="separate"/>
          </w:r>
          <w:r w:rsidR="00C3230F">
            <w:rPr>
              <w:b/>
            </w:rPr>
            <w:t>1</w:t>
          </w:r>
          <w:r>
            <w:rPr>
              <w:b/>
            </w:rPr>
            <w:fldChar w:fldCharType="end"/>
          </w:r>
        </w:p>
      </w:tc>
    </w:tr>
  </w:tbl>
  <w:p w:rsidR="004230DE" w:rsidRDefault="004230D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30DE" w:rsidTr="00CD4D9B">
      <w:trPr>
        <w:cantSplit/>
        <w:jc w:val="center"/>
      </w:trPr>
      <w:tc>
        <w:tcPr>
          <w:tcW w:w="7263" w:type="dxa"/>
          <w:gridSpan w:val="2"/>
        </w:tcPr>
        <w:p w:rsidR="004230DE" w:rsidRDefault="00670E7C">
          <w:pPr>
            <w:pStyle w:val="Header"/>
            <w:ind w:right="17"/>
            <w:jc w:val="right"/>
          </w:pPr>
          <w:r>
            <w:rPr>
              <w:b/>
              <w:i/>
            </w:rPr>
            <w:fldChar w:fldCharType="begin"/>
          </w:r>
          <w:r>
            <w:rPr>
              <w:b/>
              <w:i/>
            </w:rPr>
            <w:instrText xml:space="preserve"> Styleref "Name of Act/Reg" </w:instrText>
          </w:r>
          <w:r>
            <w:rPr>
              <w:b/>
              <w:i/>
            </w:rPr>
            <w:fldChar w:fldCharType="separate"/>
          </w:r>
          <w:r w:rsidR="00C3230F">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CharPartText</w:instrText>
          </w:r>
          <w:r>
            <w:fldChar w:fldCharType="end"/>
          </w:r>
        </w:p>
      </w:tc>
      <w:tc>
        <w:tcPr>
          <w:tcW w:w="1548" w:type="dxa"/>
        </w:tcPr>
        <w:p w:rsidR="004230DE" w:rsidRDefault="00670E7C">
          <w:pPr>
            <w:pStyle w:val="Header"/>
            <w:spacing w:before="40"/>
            <w:ind w:right="17"/>
            <w:jc w:val="right"/>
          </w:pPr>
          <w:r>
            <w:rPr>
              <w:b/>
            </w:rPr>
            <w:fldChar w:fldCharType="begin"/>
          </w:r>
          <w:r>
            <w:rPr>
              <w:b/>
            </w:rPr>
            <w:instrText>styleref CharPartNo</w:instrText>
          </w:r>
          <w:r>
            <w:rPr>
              <w:b/>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 xml:space="preserve"> styleref CharDivText </w:instrText>
          </w:r>
          <w:r>
            <w:fldChar w:fldCharType="end"/>
          </w:r>
        </w:p>
      </w:tc>
      <w:tc>
        <w:tcPr>
          <w:tcW w:w="1548" w:type="dxa"/>
        </w:tcPr>
        <w:p w:rsidR="004230DE" w:rsidRDefault="00670E7C">
          <w:pPr>
            <w:pStyle w:val="Header"/>
            <w:spacing w:before="40"/>
            <w:ind w:right="17"/>
            <w:jc w:val="right"/>
          </w:pPr>
          <w:r>
            <w:rPr>
              <w:b/>
            </w:rPr>
            <w:fldChar w:fldCharType="begin"/>
          </w:r>
          <w:r>
            <w:rPr>
              <w:b/>
            </w:rPr>
            <w:instrText xml:space="preserve"> styleref CharDivNo </w:instrText>
          </w:r>
          <w:r>
            <w:rPr>
              <w:b/>
            </w:rPr>
            <w:fldChar w:fldCharType="end"/>
          </w:r>
        </w:p>
      </w:tc>
    </w:tr>
    <w:tr w:rsidR="004230DE" w:rsidTr="00CD4D9B">
      <w:trPr>
        <w:cantSplit/>
        <w:jc w:val="center"/>
      </w:trPr>
      <w:tc>
        <w:tcPr>
          <w:tcW w:w="7263" w:type="dxa"/>
          <w:gridSpan w:val="2"/>
        </w:tcPr>
        <w:p w:rsidR="004230DE" w:rsidRDefault="00670E7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3230F">
            <w:rPr>
              <w:b/>
            </w:rPr>
            <w:t>1</w:t>
          </w:r>
          <w:r>
            <w:rPr>
              <w:b/>
            </w:rPr>
            <w:fldChar w:fldCharType="end"/>
          </w:r>
        </w:p>
      </w:tc>
    </w:tr>
  </w:tbl>
  <w:p w:rsidR="004230DE" w:rsidRDefault="004230D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4230DE" w:rsidTr="00CD4D9B">
      <w:trPr>
        <w:cantSplit/>
        <w:jc w:val="center"/>
      </w:trPr>
      <w:tc>
        <w:tcPr>
          <w:tcW w:w="7258"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C3230F">
            <w:rPr>
              <w:b/>
              <w:i/>
            </w:rPr>
            <w:t>Home Building Contracts Act 1991</w:t>
          </w:r>
          <w:r>
            <w:rPr>
              <w:b/>
              <w:i/>
            </w:rPr>
            <w:fldChar w:fldCharType="end"/>
          </w:r>
        </w:p>
      </w:tc>
    </w:tr>
    <w:tr w:rsidR="004230DE" w:rsidTr="00CD4D9B">
      <w:trPr>
        <w:jc w:val="center"/>
      </w:trPr>
      <w:tc>
        <w:tcPr>
          <w:tcW w:w="1490" w:type="dxa"/>
        </w:tcPr>
        <w:p w:rsidR="004230DE" w:rsidRDefault="00670E7C">
          <w:pPr>
            <w:pStyle w:val="Header"/>
            <w:spacing w:before="40"/>
          </w:pPr>
          <w:r>
            <w:rPr>
              <w:b/>
            </w:rPr>
            <w:fldChar w:fldCharType="begin"/>
          </w:r>
          <w:r>
            <w:rPr>
              <w:b/>
            </w:rPr>
            <w:instrText>STYLEREF CharSchNo</w:instrText>
          </w:r>
          <w:r>
            <w:rPr>
              <w:b/>
            </w:rPr>
            <w:fldChar w:fldCharType="end"/>
          </w:r>
        </w:p>
      </w:tc>
      <w:tc>
        <w:tcPr>
          <w:tcW w:w="5773" w:type="dxa"/>
        </w:tcPr>
        <w:p w:rsidR="004230DE" w:rsidRDefault="00670E7C">
          <w:pPr>
            <w:pStyle w:val="Header"/>
            <w:spacing w:before="40"/>
          </w:pPr>
          <w:r>
            <w:fldChar w:fldCharType="begin"/>
          </w:r>
          <w:r>
            <w:instrText xml:space="preserve"> STYLEREF CharSchText </w:instrText>
          </w:r>
          <w:r>
            <w:fldChar w:fldCharType="end"/>
          </w:r>
        </w:p>
      </w:tc>
    </w:tr>
    <w:tr w:rsidR="004230DE" w:rsidTr="00CD4D9B">
      <w:trPr>
        <w:jc w:val="center"/>
      </w:trPr>
      <w:tc>
        <w:tcPr>
          <w:tcW w:w="1490" w:type="dxa"/>
        </w:tcPr>
        <w:p w:rsidR="004230DE" w:rsidRDefault="004230DE">
          <w:pPr>
            <w:pStyle w:val="Header"/>
            <w:spacing w:before="40"/>
          </w:pPr>
        </w:p>
      </w:tc>
      <w:tc>
        <w:tcPr>
          <w:tcW w:w="5773" w:type="dxa"/>
        </w:tcPr>
        <w:p w:rsidR="004230DE" w:rsidRDefault="004230DE">
          <w:pPr>
            <w:pStyle w:val="Header"/>
            <w:spacing w:before="40"/>
          </w:pPr>
        </w:p>
      </w:tc>
    </w:tr>
    <w:tr w:rsidR="004230DE" w:rsidTr="00CD4D9B">
      <w:trPr>
        <w:cantSplit/>
        <w:jc w:val="center"/>
      </w:trPr>
      <w:tc>
        <w:tcPr>
          <w:tcW w:w="1490" w:type="dxa"/>
        </w:tcPr>
        <w:p w:rsidR="004230DE" w:rsidRDefault="00670E7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230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230F">
            <w:rPr>
              <w:b/>
            </w:rPr>
            <w:instrText>1</w:instrText>
          </w:r>
          <w:r>
            <w:rPr>
              <w:b/>
            </w:rPr>
            <w:fldChar w:fldCharType="end"/>
          </w:r>
          <w:r>
            <w:rPr>
              <w:b/>
            </w:rPr>
            <w:instrText xml:space="preserve"> </w:instrText>
          </w:r>
          <w:r>
            <w:rPr>
              <w:b/>
            </w:rPr>
            <w:fldChar w:fldCharType="separate"/>
          </w:r>
          <w:r w:rsidR="00C3230F">
            <w:rPr>
              <w:b/>
            </w:rPr>
            <w:t>1</w:t>
          </w:r>
          <w:r>
            <w:rPr>
              <w:b/>
            </w:rPr>
            <w:fldChar w:fldCharType="end"/>
          </w:r>
        </w:p>
      </w:tc>
      <w:tc>
        <w:tcPr>
          <w:tcW w:w="5768" w:type="dxa"/>
        </w:tcPr>
        <w:p w:rsidR="004230DE" w:rsidRDefault="004230DE">
          <w:pPr>
            <w:pStyle w:val="Header"/>
            <w:spacing w:before="40"/>
          </w:pPr>
        </w:p>
      </w:tc>
    </w:tr>
  </w:tbl>
  <w:p w:rsidR="004230DE" w:rsidRDefault="004230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30DE" w:rsidTr="00CD4D9B">
      <w:trPr>
        <w:cantSplit/>
        <w:jc w:val="center"/>
      </w:trPr>
      <w:tc>
        <w:tcPr>
          <w:tcW w:w="7160" w:type="dxa"/>
          <w:gridSpan w:val="2"/>
        </w:tcPr>
        <w:p w:rsidR="004230DE" w:rsidRDefault="00670E7C">
          <w:pPr>
            <w:pStyle w:val="Header"/>
            <w:ind w:right="17"/>
            <w:jc w:val="right"/>
          </w:pPr>
          <w:r>
            <w:rPr>
              <w:b/>
              <w:i/>
            </w:rPr>
            <w:fldChar w:fldCharType="begin"/>
          </w:r>
          <w:r>
            <w:rPr>
              <w:b/>
              <w:i/>
            </w:rPr>
            <w:instrText>STYLEREF "Name of Act/Reg"</w:instrText>
          </w:r>
          <w:r>
            <w:rPr>
              <w:b/>
              <w:i/>
            </w:rPr>
            <w:fldChar w:fldCharType="separate"/>
          </w:r>
          <w:r w:rsidR="00C3230F">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CharSchText</w:instrText>
          </w:r>
          <w:r>
            <w:fldChar w:fldCharType="end"/>
          </w:r>
        </w:p>
      </w:tc>
      <w:tc>
        <w:tcPr>
          <w:tcW w:w="1445" w:type="dxa"/>
        </w:tcPr>
        <w:p w:rsidR="004230DE" w:rsidRDefault="00670E7C">
          <w:pPr>
            <w:pStyle w:val="Header"/>
            <w:spacing w:before="40"/>
            <w:ind w:right="17"/>
            <w:jc w:val="right"/>
          </w:pPr>
          <w:r>
            <w:rPr>
              <w:b/>
            </w:rPr>
            <w:fldChar w:fldCharType="begin"/>
          </w:r>
          <w:r>
            <w:rPr>
              <w:b/>
            </w:rPr>
            <w:instrText>styleref CharSchno</w:instrText>
          </w:r>
          <w:r>
            <w:rPr>
              <w:b/>
            </w:rPr>
            <w:fldChar w:fldCharType="end"/>
          </w:r>
        </w:p>
      </w:tc>
    </w:tr>
    <w:tr w:rsidR="004230DE" w:rsidTr="00CD4D9B">
      <w:trPr>
        <w:jc w:val="center"/>
      </w:trPr>
      <w:tc>
        <w:tcPr>
          <w:tcW w:w="5715" w:type="dxa"/>
          <w:vAlign w:val="bottom"/>
        </w:tcPr>
        <w:p w:rsidR="004230DE" w:rsidRDefault="004230DE">
          <w:pPr>
            <w:pStyle w:val="Header"/>
            <w:spacing w:before="40"/>
            <w:jc w:val="right"/>
          </w:pPr>
        </w:p>
      </w:tc>
      <w:tc>
        <w:tcPr>
          <w:tcW w:w="1445" w:type="dxa"/>
        </w:tcPr>
        <w:p w:rsidR="004230DE" w:rsidRDefault="004230DE">
          <w:pPr>
            <w:pStyle w:val="Header"/>
            <w:spacing w:before="40"/>
            <w:ind w:right="17"/>
            <w:jc w:val="right"/>
          </w:pPr>
        </w:p>
      </w:tc>
    </w:tr>
    <w:tr w:rsidR="004230DE" w:rsidTr="00CD4D9B">
      <w:trPr>
        <w:jc w:val="center"/>
      </w:trPr>
      <w:tc>
        <w:tcPr>
          <w:tcW w:w="5715" w:type="dxa"/>
        </w:tcPr>
        <w:p w:rsidR="004230DE" w:rsidRDefault="004230DE">
          <w:pPr>
            <w:pStyle w:val="Header"/>
            <w:spacing w:before="40"/>
            <w:jc w:val="right"/>
          </w:pPr>
        </w:p>
      </w:tc>
      <w:tc>
        <w:tcPr>
          <w:tcW w:w="1445" w:type="dxa"/>
        </w:tcPr>
        <w:p w:rsidR="004230DE" w:rsidRDefault="00670E7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230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230F">
            <w:rPr>
              <w:b/>
            </w:rPr>
            <w:instrText>1</w:instrText>
          </w:r>
          <w:r>
            <w:rPr>
              <w:b/>
            </w:rPr>
            <w:fldChar w:fldCharType="end"/>
          </w:r>
          <w:r>
            <w:rPr>
              <w:b/>
            </w:rPr>
            <w:instrText xml:space="preserve"> </w:instrText>
          </w:r>
          <w:r>
            <w:rPr>
              <w:b/>
            </w:rPr>
            <w:fldChar w:fldCharType="separate"/>
          </w:r>
          <w:r w:rsidR="00C3230F">
            <w:rPr>
              <w:b/>
            </w:rPr>
            <w:t>1</w:t>
          </w:r>
          <w:r>
            <w:rPr>
              <w:b/>
            </w:rPr>
            <w:fldChar w:fldCharType="end"/>
          </w:r>
        </w:p>
      </w:tc>
    </w:tr>
  </w:tbl>
  <w:p w:rsidR="004230DE" w:rsidRDefault="004230DE">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2388" w:rsidTr="00CD4D9B">
      <w:trPr>
        <w:cantSplit/>
        <w:jc w:val="center"/>
      </w:trPr>
      <w:tc>
        <w:tcPr>
          <w:tcW w:w="7312"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C3230F">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r>
            <w:rPr>
              <w:b/>
            </w:rPr>
            <w:fldChar w:fldCharType="begin"/>
          </w:r>
          <w:r>
            <w:rPr>
              <w:b/>
            </w:rPr>
            <w:instrText xml:space="preserve"> STYLEREF "nHeading 2" </w:instrText>
          </w:r>
          <w:r>
            <w:rPr>
              <w:b/>
            </w:rPr>
            <w:fldChar w:fldCharType="separate"/>
          </w:r>
          <w:r w:rsidR="00C3230F">
            <w:rPr>
              <w:b/>
            </w:rPr>
            <w:t>Notes</w:t>
          </w:r>
          <w:r>
            <w:rPr>
              <w:b/>
            </w:rPr>
            <w:fldChar w:fldCharType="end"/>
          </w:r>
        </w:p>
      </w:tc>
      <w:tc>
        <w:tcPr>
          <w:tcW w:w="5764" w:type="dxa"/>
        </w:tcPr>
        <w:p w:rsidR="00262388" w:rsidRDefault="00262388">
          <w:pPr>
            <w:pStyle w:val="Header"/>
            <w:spacing w:before="40"/>
          </w:pPr>
          <w:r>
            <w:fldChar w:fldCharType="begin"/>
          </w:r>
          <w:r>
            <w:instrText xml:space="preserve"> STYLEREF "nHeading 3" </w:instrText>
          </w:r>
          <w:r>
            <w:fldChar w:fldCharType="separate"/>
          </w:r>
          <w:r w:rsidR="00C3230F">
            <w:t>Compilation table</w:t>
          </w:r>
          <w:r>
            <w:fldChar w:fldCharType="end"/>
          </w:r>
        </w:p>
      </w:tc>
    </w:tr>
    <w:tr w:rsidR="00262388" w:rsidTr="00CD4D9B">
      <w:trPr>
        <w:jc w:val="center"/>
      </w:trPr>
      <w:tc>
        <w:tcPr>
          <w:tcW w:w="1548" w:type="dxa"/>
        </w:tcPr>
        <w:p w:rsidR="00262388" w:rsidRDefault="00262388">
          <w:pPr>
            <w:pStyle w:val="Header"/>
            <w:spacing w:before="40"/>
          </w:pPr>
        </w:p>
      </w:tc>
      <w:tc>
        <w:tcPr>
          <w:tcW w:w="5764" w:type="dxa"/>
        </w:tcPr>
        <w:p w:rsidR="00262388" w:rsidRDefault="00262388">
          <w:pPr>
            <w:pStyle w:val="Header"/>
            <w:spacing w:before="40"/>
          </w:pPr>
        </w:p>
      </w:tc>
    </w:tr>
    <w:tr w:rsidR="00262388" w:rsidTr="00CD4D9B">
      <w:trPr>
        <w:cantSplit/>
        <w:jc w:val="center"/>
      </w:trPr>
      <w:tc>
        <w:tcPr>
          <w:tcW w:w="7312" w:type="dxa"/>
          <w:gridSpan w:val="2"/>
        </w:tcPr>
        <w:p w:rsidR="00262388" w:rsidRDefault="00262388">
          <w:pPr>
            <w:pStyle w:val="Header"/>
            <w:spacing w:before="40"/>
          </w:pPr>
        </w:p>
      </w:tc>
    </w:tr>
  </w:tbl>
  <w:p w:rsidR="00262388" w:rsidRDefault="002623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2388" w:rsidTr="00CD4D9B">
      <w:trPr>
        <w:cantSplit/>
        <w:jc w:val="center"/>
      </w:trPr>
      <w:tc>
        <w:tcPr>
          <w:tcW w:w="7312"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C3230F">
            <w:rPr>
              <w:b/>
              <w:i/>
            </w:rPr>
            <w:t>Home Building Contracts Act 1991</w:t>
          </w:r>
          <w:r>
            <w:rPr>
              <w:b/>
              <w:i/>
            </w:rPr>
            <w:fldChar w:fldCharType="end"/>
          </w:r>
        </w:p>
      </w:tc>
    </w:tr>
    <w:tr w:rsidR="00262388" w:rsidTr="00CD4D9B">
      <w:trPr>
        <w:jc w:val="center"/>
      </w:trPr>
      <w:tc>
        <w:tcPr>
          <w:tcW w:w="5760" w:type="dxa"/>
        </w:tcPr>
        <w:p w:rsidR="00262388" w:rsidRDefault="00262388">
          <w:pPr>
            <w:pStyle w:val="Header"/>
            <w:spacing w:before="40"/>
            <w:jc w:val="right"/>
          </w:pPr>
          <w:r>
            <w:fldChar w:fldCharType="begin"/>
          </w:r>
          <w:r>
            <w:instrText xml:space="preserve"> STYLEREF "nHeading 3" </w:instrText>
          </w:r>
          <w:r>
            <w:fldChar w:fldCharType="separate"/>
          </w:r>
          <w:r w:rsidR="00C3230F">
            <w:t>Compilation table</w:t>
          </w:r>
          <w:r>
            <w:fldChar w:fldCharType="end"/>
          </w:r>
        </w:p>
      </w:tc>
      <w:tc>
        <w:tcPr>
          <w:tcW w:w="1552" w:type="dxa"/>
        </w:tcPr>
        <w:p w:rsidR="00262388" w:rsidRDefault="00262388">
          <w:pPr>
            <w:pStyle w:val="Header"/>
            <w:spacing w:before="40"/>
            <w:ind w:right="17"/>
            <w:jc w:val="right"/>
          </w:pPr>
          <w:r>
            <w:rPr>
              <w:b/>
            </w:rPr>
            <w:fldChar w:fldCharType="begin"/>
          </w:r>
          <w:r>
            <w:rPr>
              <w:b/>
            </w:rPr>
            <w:instrText xml:space="preserve"> STYLEREF "nHeading 2" </w:instrText>
          </w:r>
          <w:r>
            <w:rPr>
              <w:b/>
            </w:rPr>
            <w:fldChar w:fldCharType="separate"/>
          </w:r>
          <w:r w:rsidR="00C3230F">
            <w:rPr>
              <w:b/>
            </w:rPr>
            <w:t>Notes</w:t>
          </w:r>
          <w:r>
            <w:rPr>
              <w:b/>
            </w:rPr>
            <w:fldChar w:fldCharType="end"/>
          </w:r>
        </w:p>
      </w:tc>
    </w:tr>
    <w:tr w:rsidR="00262388" w:rsidTr="00CD4D9B">
      <w:trPr>
        <w:jc w:val="center"/>
      </w:trPr>
      <w:tc>
        <w:tcPr>
          <w:tcW w:w="5760" w:type="dxa"/>
        </w:tcPr>
        <w:p w:rsidR="00262388" w:rsidRDefault="00262388">
          <w:pPr>
            <w:pStyle w:val="Header"/>
            <w:spacing w:before="40"/>
            <w:jc w:val="right"/>
          </w:pPr>
        </w:p>
      </w:tc>
      <w:tc>
        <w:tcPr>
          <w:tcW w:w="1552" w:type="dxa"/>
        </w:tcPr>
        <w:p w:rsidR="00262388" w:rsidRDefault="00262388">
          <w:pPr>
            <w:pStyle w:val="Header"/>
            <w:spacing w:before="40"/>
            <w:ind w:right="17"/>
            <w:jc w:val="right"/>
          </w:pPr>
        </w:p>
      </w:tc>
    </w:tr>
    <w:tr w:rsidR="00262388" w:rsidTr="00CD4D9B">
      <w:trPr>
        <w:cantSplit/>
        <w:jc w:val="center"/>
      </w:trPr>
      <w:tc>
        <w:tcPr>
          <w:tcW w:w="7312" w:type="dxa"/>
          <w:gridSpan w:val="2"/>
        </w:tcPr>
        <w:p w:rsidR="00262388" w:rsidRDefault="00262388">
          <w:pPr>
            <w:pStyle w:val="Header"/>
            <w:spacing w:before="40"/>
            <w:ind w:right="17"/>
            <w:jc w:val="right"/>
          </w:pPr>
        </w:p>
      </w:tc>
    </w:tr>
  </w:tbl>
  <w:p w:rsidR="00262388" w:rsidRDefault="00262388">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03"/>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 w:name="WAFER_20210623103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03_GUID" w:val="5bd9d4de-023e-425e-a016-db8b47f1e67b"/>
  </w:docVars>
  <w:rsids>
    <w:rsidRoot w:val="004230DE"/>
    <w:rsid w:val="00056681"/>
    <w:rsid w:val="000F7762"/>
    <w:rsid w:val="00160B5D"/>
    <w:rsid w:val="00262388"/>
    <w:rsid w:val="002C4FCB"/>
    <w:rsid w:val="00381FA4"/>
    <w:rsid w:val="003F4B82"/>
    <w:rsid w:val="004230DE"/>
    <w:rsid w:val="0055074A"/>
    <w:rsid w:val="006365A4"/>
    <w:rsid w:val="00670E7C"/>
    <w:rsid w:val="006954D6"/>
    <w:rsid w:val="00726703"/>
    <w:rsid w:val="007913AE"/>
    <w:rsid w:val="00823AAC"/>
    <w:rsid w:val="008957FC"/>
    <w:rsid w:val="008B4838"/>
    <w:rsid w:val="0091260B"/>
    <w:rsid w:val="009A2F76"/>
    <w:rsid w:val="009B5818"/>
    <w:rsid w:val="00A0229E"/>
    <w:rsid w:val="00A35253"/>
    <w:rsid w:val="00AE2A3F"/>
    <w:rsid w:val="00C3230F"/>
    <w:rsid w:val="00CA239B"/>
    <w:rsid w:val="00CB2DFB"/>
    <w:rsid w:val="00CD3E70"/>
    <w:rsid w:val="00CD4D9B"/>
    <w:rsid w:val="00E61631"/>
    <w:rsid w:val="00EE008B"/>
    <w:rsid w:val="00F203F8"/>
    <w:rsid w:val="00F722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60B5D"/>
    <w:rPr>
      <w:sz w:val="24"/>
    </w:rPr>
  </w:style>
  <w:style w:type="character" w:customStyle="1" w:styleId="FooterChar">
    <w:name w:val="Footer Char"/>
    <w:basedOn w:val="DefaultParagraphFont"/>
    <w:link w:val="Footer"/>
    <w:rsid w:val="00C3230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09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76FE7-CBB0-40D8-9BCA-FA2B1D61D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12397</Words>
  <Characters>57896</Characters>
  <Application>Microsoft Office Word</Application>
  <DocSecurity>0</DocSecurity>
  <Lines>1608</Lines>
  <Paragraphs>867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04-f0-02 - 04-g0-00</dc:title>
  <dc:subject/>
  <dc:creator/>
  <cp:keywords/>
  <dc:description/>
  <cp:lastModifiedBy>Master Repository Process</cp:lastModifiedBy>
  <cp:revision>2</cp:revision>
  <cp:lastPrinted>2012-06-01T02:25:00Z</cp:lastPrinted>
  <dcterms:created xsi:type="dcterms:W3CDTF">2021-06-28T06:10:00Z</dcterms:created>
  <dcterms:modified xsi:type="dcterms:W3CDTF">2021-06-28T06:10:00Z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20210630</vt:lpwstr>
  </property>
  <property fmtid="{D5CDD505-2E9C-101B-9397-08002B2CF9AE}" pid="8" name="FromSuffix">
    <vt:lpwstr>04-f0-02</vt:lpwstr>
  </property>
  <property fmtid="{D5CDD505-2E9C-101B-9397-08002B2CF9AE}" pid="9" name="FromAsAtDate">
    <vt:lpwstr>30 Nov 2019</vt:lpwstr>
  </property>
  <property fmtid="{D5CDD505-2E9C-101B-9397-08002B2CF9AE}" pid="10" name="ToSuffix">
    <vt:lpwstr>04-g0-00</vt:lpwstr>
  </property>
  <property fmtid="{D5CDD505-2E9C-101B-9397-08002B2CF9AE}" pid="11" name="ToAsAtDate">
    <vt:lpwstr>30 Jun 2021</vt:lpwstr>
  </property>
</Properties>
</file>