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Produce Commission Act 1988 </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332102246"/>
      <w:bookmarkStart w:id="8" w:name="_Toc3321020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90644890"/>
      <w:bookmarkStart w:id="10" w:name="_Toc4205621"/>
      <w:bookmarkStart w:id="11" w:name="_Toc6113152"/>
      <w:bookmarkStart w:id="12" w:name="_Toc139269138"/>
      <w:bookmarkStart w:id="13" w:name="_Toc332102247"/>
      <w:bookmarkStart w:id="14" w:name="_Toc332102099"/>
      <w:r>
        <w:rPr>
          <w:rStyle w:val="CharSectno"/>
        </w:rPr>
        <w:t>1</w:t>
      </w:r>
      <w:r>
        <w:rPr>
          <w:snapToGrid w:val="0"/>
        </w:rPr>
        <w:t>.</w:t>
      </w:r>
      <w:r>
        <w:rPr>
          <w:snapToGrid w:val="0"/>
        </w:rPr>
        <w:tab/>
        <w:t>Short title</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15" w:name="_Toc490644891"/>
      <w:bookmarkStart w:id="16" w:name="_Toc4205622"/>
      <w:bookmarkStart w:id="17" w:name="_Toc6113153"/>
      <w:bookmarkStart w:id="18" w:name="_Toc139269139"/>
      <w:bookmarkStart w:id="19" w:name="_Toc332102248"/>
      <w:bookmarkStart w:id="20" w:name="_Toc332102100"/>
      <w:r>
        <w:rPr>
          <w:rStyle w:val="CharSectno"/>
        </w:rPr>
        <w:t>2</w:t>
      </w:r>
      <w:r>
        <w:rPr>
          <w:snapToGrid w:val="0"/>
        </w:rPr>
        <w:t>.</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1" w:name="_Toc490644892"/>
      <w:bookmarkStart w:id="22" w:name="_Toc4205623"/>
      <w:bookmarkStart w:id="23" w:name="_Toc6113154"/>
      <w:bookmarkStart w:id="24" w:name="_Toc139269140"/>
      <w:bookmarkStart w:id="25" w:name="_Toc332102249"/>
      <w:bookmarkStart w:id="26" w:name="_Toc332102101"/>
      <w:r>
        <w:rPr>
          <w:rStyle w:val="CharSectno"/>
        </w:rPr>
        <w:t>3</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pPr>
        <w:pStyle w:val="Defstart"/>
      </w:pPr>
      <w:r>
        <w:tab/>
      </w:r>
      <w:r>
        <w:rPr>
          <w:b/>
        </w:rPr>
        <w:t>“</w:t>
      </w:r>
      <w:r>
        <w:rPr>
          <w:rStyle w:val="CharDefText"/>
        </w:rPr>
        <w:t>agricultural produce</w:t>
      </w:r>
      <w:r>
        <w:rPr>
          <w:b/>
        </w:rPr>
        <w:t>”</w:t>
      </w:r>
      <w:r>
        <w:t xml:space="preserve"> means the produce of an agricultural industry;</w:t>
      </w:r>
    </w:p>
    <w:p>
      <w:pPr>
        <w:pStyle w:val="Defstart"/>
      </w:pPr>
      <w:r>
        <w:rPr>
          <w:b/>
        </w:rPr>
        <w:tab/>
        <w:t>“</w:t>
      </w:r>
      <w:r>
        <w:rPr>
          <w:rStyle w:val="CharDefText"/>
        </w:rPr>
        <w:t>Commission</w:t>
      </w:r>
      <w:r>
        <w:rPr>
          <w:b/>
        </w:rPr>
        <w:t>”</w:t>
      </w:r>
      <w:r>
        <w:t xml:space="preserve"> means the Agricultural Produce Commission established under section 4;</w:t>
      </w:r>
    </w:p>
    <w:p>
      <w:pPr>
        <w:pStyle w:val="Defstart"/>
      </w:pPr>
      <w:r>
        <w:rPr>
          <w:b/>
        </w:rPr>
        <w:tab/>
        <w:t>“</w:t>
      </w:r>
      <w:r>
        <w:rPr>
          <w:rStyle w:val="CharDefText"/>
        </w:rPr>
        <w:t>member</w:t>
      </w:r>
      <w:r>
        <w:rPr>
          <w:b/>
        </w:rPr>
        <w:t>”</w:t>
      </w:r>
      <w:r>
        <w:t xml:space="preserve"> in relation to —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t>“</w:t>
      </w:r>
      <w:r>
        <w:rPr>
          <w:rStyle w:val="CharDefText"/>
        </w:rPr>
        <w:t>producers’ committee</w:t>
      </w:r>
      <w:r>
        <w:rPr>
          <w:b/>
        </w:rPr>
        <w:t>”</w:t>
      </w:r>
      <w:r>
        <w:t xml:space="preserve"> means a producers’ committee established under section 11.</w:t>
      </w:r>
    </w:p>
    <w:p>
      <w:pPr>
        <w:pStyle w:val="Ednotesubsection"/>
      </w:pPr>
      <w:r>
        <w:tab/>
        <w:t>[(2)</w:t>
      </w:r>
      <w:r>
        <w:tab/>
        <w:t>repealed]</w:t>
      </w:r>
    </w:p>
    <w:p>
      <w:pPr>
        <w:pStyle w:val="Footnotesection"/>
      </w:pPr>
      <w:r>
        <w:tab/>
        <w:t>[Section 3 amended by No. 9 of 1998 s. 16; No. 20 of 2000 s. 6.]</w:t>
      </w:r>
    </w:p>
    <w:p>
      <w:pPr>
        <w:pStyle w:val="Heading2"/>
      </w:pPr>
      <w:bookmarkStart w:id="27" w:name="_Toc89162846"/>
      <w:bookmarkStart w:id="28" w:name="_Toc92439476"/>
      <w:bookmarkStart w:id="29" w:name="_Toc139269141"/>
      <w:bookmarkStart w:id="30" w:name="_Toc139269205"/>
      <w:bookmarkStart w:id="31" w:name="_Toc139427327"/>
      <w:bookmarkStart w:id="32" w:name="_Toc157830462"/>
      <w:bookmarkStart w:id="33" w:name="_Toc332102250"/>
      <w:bookmarkStart w:id="34" w:name="_Toc332102102"/>
      <w:r>
        <w:rPr>
          <w:rStyle w:val="CharPartNo"/>
        </w:rPr>
        <w:t>Part 2</w:t>
      </w:r>
      <w:r>
        <w:t> — </w:t>
      </w:r>
      <w:r>
        <w:rPr>
          <w:rStyle w:val="CharPartText"/>
        </w:rPr>
        <w:t>Agricultural Produce Commission</w:t>
      </w:r>
      <w:bookmarkEnd w:id="27"/>
      <w:bookmarkEnd w:id="28"/>
      <w:bookmarkEnd w:id="29"/>
      <w:bookmarkEnd w:id="30"/>
      <w:bookmarkEnd w:id="31"/>
      <w:bookmarkEnd w:id="32"/>
      <w:bookmarkEnd w:id="33"/>
      <w:bookmarkEnd w:id="34"/>
    </w:p>
    <w:p>
      <w:pPr>
        <w:pStyle w:val="Footnoteheading"/>
        <w:ind w:left="890"/>
      </w:pPr>
      <w:r>
        <w:tab/>
        <w:t>[Heading inserted by No. 20 of 2000 s. 7.]</w:t>
      </w:r>
    </w:p>
    <w:p>
      <w:pPr>
        <w:pStyle w:val="Heading5"/>
        <w:rPr>
          <w:snapToGrid w:val="0"/>
        </w:rPr>
      </w:pPr>
      <w:bookmarkStart w:id="35" w:name="_Toc490644893"/>
      <w:bookmarkStart w:id="36" w:name="_Toc4205624"/>
      <w:bookmarkStart w:id="37" w:name="_Toc6113155"/>
      <w:bookmarkStart w:id="38" w:name="_Toc139269142"/>
      <w:bookmarkStart w:id="39" w:name="_Toc332102251"/>
      <w:bookmarkStart w:id="40" w:name="_Toc332102103"/>
      <w:r>
        <w:rPr>
          <w:rStyle w:val="CharSectno"/>
        </w:rPr>
        <w:t>4</w:t>
      </w:r>
      <w:r>
        <w:rPr>
          <w:snapToGrid w:val="0"/>
        </w:rPr>
        <w:t>.</w:t>
      </w:r>
      <w:r>
        <w:rPr>
          <w:snapToGrid w:val="0"/>
        </w:rPr>
        <w:tab/>
      </w:r>
      <w:r>
        <w:t>Agricultural</w:t>
      </w:r>
      <w:r>
        <w:rPr>
          <w:snapToGrid w:val="0"/>
        </w:rPr>
        <w:t xml:space="preserve"> Produce Commission established</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41" w:name="_Toc490644894"/>
      <w:bookmarkStart w:id="42" w:name="_Toc4205625"/>
      <w:bookmarkStart w:id="43" w:name="_Toc6113156"/>
      <w:bookmarkStart w:id="44" w:name="_Toc139269143"/>
      <w:bookmarkStart w:id="45" w:name="_Toc332102252"/>
      <w:bookmarkStart w:id="46" w:name="_Toc332102104"/>
      <w:r>
        <w:rPr>
          <w:rStyle w:val="CharSectno"/>
        </w:rPr>
        <w:t>5</w:t>
      </w:r>
      <w:r>
        <w:t>.</w:t>
      </w:r>
      <w:r>
        <w:tab/>
        <w:t>Constitution of the Commission</w:t>
      </w:r>
      <w:bookmarkEnd w:id="41"/>
      <w:bookmarkEnd w:id="42"/>
      <w:bookmarkEnd w:id="43"/>
      <w:bookmarkEnd w:id="44"/>
      <w:bookmarkEnd w:id="45"/>
      <w:bookmarkEnd w:id="46"/>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47" w:name="_Toc490644895"/>
      <w:bookmarkStart w:id="48" w:name="_Toc4205626"/>
      <w:bookmarkStart w:id="49" w:name="_Toc6113157"/>
      <w:bookmarkStart w:id="50" w:name="_Toc139269144"/>
      <w:bookmarkStart w:id="51" w:name="_Toc332102253"/>
      <w:bookmarkStart w:id="52" w:name="_Toc332102105"/>
      <w:r>
        <w:rPr>
          <w:rStyle w:val="CharSectno"/>
        </w:rPr>
        <w:t>6</w:t>
      </w:r>
      <w:r>
        <w:rPr>
          <w:snapToGrid w:val="0"/>
        </w:rPr>
        <w:t>.</w:t>
      </w:r>
      <w:r>
        <w:rPr>
          <w:snapToGrid w:val="0"/>
        </w:rPr>
        <w:tab/>
        <w:t>Functions of the Commission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 xml:space="preserve">[Section 6 amended by No. 29 of 1993 s. 4; No. 20 of 2000 s. 10, 28 and 31.] </w:t>
      </w:r>
    </w:p>
    <w:p>
      <w:pPr>
        <w:pStyle w:val="Heading5"/>
        <w:rPr>
          <w:snapToGrid w:val="0"/>
        </w:rPr>
      </w:pPr>
      <w:bookmarkStart w:id="53" w:name="_Toc490644896"/>
      <w:bookmarkStart w:id="54" w:name="_Toc4205627"/>
      <w:bookmarkStart w:id="55" w:name="_Toc6113158"/>
      <w:bookmarkStart w:id="56" w:name="_Toc139269145"/>
      <w:bookmarkStart w:id="57" w:name="_Toc332102254"/>
      <w:bookmarkStart w:id="58" w:name="_Toc332102106"/>
      <w:r>
        <w:rPr>
          <w:rStyle w:val="CharSectno"/>
        </w:rPr>
        <w:t>6A</w:t>
      </w:r>
      <w:r>
        <w:rPr>
          <w:snapToGrid w:val="0"/>
        </w:rPr>
        <w:t xml:space="preserve">. </w:t>
      </w:r>
      <w:r>
        <w:rPr>
          <w:snapToGrid w:val="0"/>
        </w:rPr>
        <w:tab/>
        <w:t>Directions by Minister</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del w:id="59" w:author="svcMRProcess" w:date="2015-10-27T06:38:00Z">
        <w:r>
          <w:rPr>
            <w:snapToGrid w:val="0"/>
          </w:rPr>
          <w:delText>section 66</w:delText>
        </w:r>
      </w:del>
      <w:ins w:id="60" w:author="svcMRProcess" w:date="2015-10-27T06:38:00Z">
        <w:r>
          <w:t>Part 5</w:t>
        </w:r>
      </w:ins>
      <w:r>
        <w:t xml:space="preserve"> of the </w:t>
      </w:r>
      <w:r>
        <w:rPr>
          <w:i/>
          <w:iCs/>
        </w:rPr>
        <w:t xml:space="preserve">Financial </w:t>
      </w:r>
      <w:del w:id="61" w:author="svcMRProcess" w:date="2015-10-27T06:38:00Z">
        <w:r>
          <w:rPr>
            <w:i/>
            <w:snapToGrid w:val="0"/>
          </w:rPr>
          <w:delText>Administration and Audit</w:delText>
        </w:r>
      </w:del>
      <w:ins w:id="62" w:author="svcMRProcess" w:date="2015-10-27T06:38:00Z">
        <w:r>
          <w:rPr>
            <w:i/>
            <w:iCs/>
          </w:rPr>
          <w:t>Management</w:t>
        </w:r>
      </w:ins>
      <w:r>
        <w:rPr>
          <w:i/>
          <w:iCs/>
        </w:rPr>
        <w:t xml:space="preserve"> Act </w:t>
      </w:r>
      <w:del w:id="63" w:author="svcMRProcess" w:date="2015-10-27T06:38:00Z">
        <w:r>
          <w:rPr>
            <w:i/>
            <w:snapToGrid w:val="0"/>
          </w:rPr>
          <w:delText>1985</w:delText>
        </w:r>
      </w:del>
      <w:ins w:id="64" w:author="svcMRProcess" w:date="2015-10-27T06:38:00Z">
        <w:r>
          <w:rPr>
            <w:i/>
            <w:iCs/>
          </w:rPr>
          <w:t>2006</w:t>
        </w:r>
      </w:ins>
      <w:r>
        <w:t>.</w:t>
      </w:r>
    </w:p>
    <w:p>
      <w:pPr>
        <w:pStyle w:val="Footnotesection"/>
      </w:pPr>
      <w:r>
        <w:tab/>
        <w:t>[Section 6A inserted by No. 29 of 1993 s. </w:t>
      </w:r>
      <w:del w:id="65" w:author="svcMRProcess" w:date="2015-10-27T06:38:00Z">
        <w:r>
          <w:delText>5</w:delText>
        </w:r>
      </w:del>
      <w:ins w:id="66" w:author="svcMRProcess" w:date="2015-10-27T06:38:00Z">
        <w:r>
          <w:t>5; amended by No. 77 of 2006 s. 17</w:t>
        </w:r>
      </w:ins>
      <w:r>
        <w:t xml:space="preserve">.] </w:t>
      </w:r>
    </w:p>
    <w:p>
      <w:pPr>
        <w:pStyle w:val="Heading5"/>
        <w:rPr>
          <w:snapToGrid w:val="0"/>
        </w:rPr>
      </w:pPr>
      <w:bookmarkStart w:id="67" w:name="_Toc490644897"/>
      <w:bookmarkStart w:id="68" w:name="_Toc4205628"/>
      <w:bookmarkStart w:id="69" w:name="_Toc6113159"/>
      <w:bookmarkStart w:id="70" w:name="_Toc139269146"/>
      <w:bookmarkStart w:id="71" w:name="_Toc332102255"/>
      <w:bookmarkStart w:id="72" w:name="_Toc332102107"/>
      <w:r>
        <w:rPr>
          <w:rStyle w:val="CharSectno"/>
        </w:rPr>
        <w:t>6B</w:t>
      </w:r>
      <w:r>
        <w:rPr>
          <w:snapToGrid w:val="0"/>
        </w:rPr>
        <w:t xml:space="preserve">. </w:t>
      </w:r>
      <w:r>
        <w:rPr>
          <w:snapToGrid w:val="0"/>
        </w:rPr>
        <w:tab/>
        <w:t>Minister to have access to information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bookmarkStart w:id="73" w:name="endcomma"/>
      <w:bookmarkEnd w:id="73"/>
      <w:r>
        <w:rPr>
          <w:rStyle w:val="CharDefText"/>
        </w:rPr>
        <w:t>parliamentary purposes</w:t>
      </w:r>
      <w:r>
        <w:rPr>
          <w:b/>
        </w:rPr>
        <w:t>”</w:t>
      </w:r>
      <w:r>
        <w:t xml:space="preserve"> </w:t>
      </w:r>
      <w:bookmarkStart w:id="74" w:name="comma"/>
      <w:bookmarkEnd w:id="74"/>
      <w:r>
        <w:t>means the purpose of —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6B inserted by No. 29 of 1993 s. 5.] </w:t>
      </w:r>
    </w:p>
    <w:p>
      <w:pPr>
        <w:pStyle w:val="Heading5"/>
        <w:rPr>
          <w:snapToGrid w:val="0"/>
        </w:rPr>
      </w:pPr>
      <w:bookmarkStart w:id="75" w:name="_Toc490644898"/>
      <w:bookmarkStart w:id="76" w:name="_Toc4205629"/>
      <w:bookmarkStart w:id="77" w:name="_Toc6113160"/>
      <w:bookmarkStart w:id="78" w:name="_Toc139269147"/>
      <w:bookmarkStart w:id="79" w:name="_Toc332102256"/>
      <w:bookmarkStart w:id="80" w:name="_Toc332102108"/>
      <w:r>
        <w:rPr>
          <w:rStyle w:val="CharSectno"/>
        </w:rPr>
        <w:t>7</w:t>
      </w:r>
      <w:r>
        <w:rPr>
          <w:snapToGrid w:val="0"/>
        </w:rPr>
        <w:t>.</w:t>
      </w:r>
      <w:r>
        <w:rPr>
          <w:snapToGrid w:val="0"/>
        </w:rPr>
        <w:tab/>
        <w:t>Funds of the Commission</w:t>
      </w:r>
      <w:bookmarkEnd w:id="75"/>
      <w:bookmarkEnd w:id="76"/>
      <w:bookmarkEnd w:id="77"/>
      <w:bookmarkEnd w:id="78"/>
      <w:bookmarkEnd w:id="79"/>
      <w:bookmarkEnd w:id="80"/>
      <w:r>
        <w:rPr>
          <w:snapToGrid w:val="0"/>
        </w:rPr>
        <w:t xml:space="preserve"> </w:t>
      </w:r>
    </w:p>
    <w:p>
      <w:pPr>
        <w:pStyle w:val="Subsection"/>
        <w:spacing w:before="100"/>
        <w:rPr>
          <w:snapToGrid w:val="0"/>
        </w:rPr>
      </w:pPr>
      <w:r>
        <w:rPr>
          <w:snapToGrid w:val="0"/>
        </w:rPr>
        <w:tab/>
        <w:t>(1)</w:t>
      </w:r>
      <w:r>
        <w:rPr>
          <w:snapToGrid w:val="0"/>
        </w:rPr>
        <w:tab/>
        <w:t>The funds of the Commission shall consist of —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w:t>
      </w:r>
      <w:ins w:id="81" w:author="svcMRProcess" w:date="2015-10-27T06:38:00Z">
        <w:r>
          <w:t xml:space="preserve">agency special purpose </w:t>
        </w:r>
      </w:ins>
      <w:r>
        <w:t xml:space="preserve">account </w:t>
      </w:r>
      <w:del w:id="82" w:author="svcMRProcess" w:date="2015-10-27T06:38:00Z">
        <w:r>
          <w:rPr>
            <w:snapToGrid w:val="0"/>
          </w:rPr>
          <w:delText>to be known as</w:delText>
        </w:r>
      </w:del>
      <w:ins w:id="83" w:author="svcMRProcess" w:date="2015-10-27T06:38:00Z">
        <w:r>
          <w:t>called</w:t>
        </w:r>
      </w:ins>
      <w:r>
        <w:t xml:space="preserve"> the Agricultural Produce Commission Account </w:t>
      </w:r>
      <w:del w:id="84" w:author="svcMRProcess" w:date="2015-10-27T06:38:00Z">
        <w:r>
          <w:rPr>
            <w:snapToGrid w:val="0"/>
          </w:rPr>
          <w:delText>shall be maintained as part of the Trust Fund constituted</w:delText>
        </w:r>
      </w:del>
      <w:ins w:id="85" w:author="svcMRProcess" w:date="2015-10-27T06:38:00Z">
        <w:r>
          <w:t>is established</w:t>
        </w:r>
      </w:ins>
      <w:r>
        <w:t xml:space="preserve"> under section </w:t>
      </w:r>
      <w:del w:id="86" w:author="svcMRProcess" w:date="2015-10-27T06:38:00Z">
        <w:r>
          <w:rPr>
            <w:snapToGrid w:val="0"/>
          </w:rPr>
          <w:delText>9</w:delText>
        </w:r>
      </w:del>
      <w:ins w:id="87" w:author="svcMRProcess" w:date="2015-10-27T06:38:00Z">
        <w:r>
          <w:t>16</w:t>
        </w:r>
      </w:ins>
      <w:r>
        <w:t xml:space="preserve"> of the </w:t>
      </w:r>
      <w:r>
        <w:rPr>
          <w:i/>
          <w:iCs/>
        </w:rPr>
        <w:t xml:space="preserve">Financial </w:t>
      </w:r>
      <w:del w:id="88" w:author="svcMRProcess" w:date="2015-10-27T06:38:00Z">
        <w:r>
          <w:rPr>
            <w:i/>
            <w:snapToGrid w:val="0"/>
          </w:rPr>
          <w:delText>Administration and Audit</w:delText>
        </w:r>
      </w:del>
      <w:ins w:id="89" w:author="svcMRProcess" w:date="2015-10-27T06:38:00Z">
        <w:r>
          <w:rPr>
            <w:i/>
            <w:iCs/>
          </w:rPr>
          <w:t>Management</w:t>
        </w:r>
      </w:ins>
      <w:r>
        <w:rPr>
          <w:i/>
          <w:iCs/>
        </w:rPr>
        <w:t xml:space="preserve"> Act </w:t>
      </w:r>
      <w:del w:id="90" w:author="svcMRProcess" w:date="2015-10-27T06:38:00Z">
        <w:r>
          <w:rPr>
            <w:i/>
            <w:snapToGrid w:val="0"/>
          </w:rPr>
          <w:delText>1985</w:delText>
        </w:r>
      </w:del>
      <w:ins w:id="91" w:author="svcMRProcess" w:date="2015-10-27T06:38:00Z">
        <w:r>
          <w:rPr>
            <w:i/>
            <w:iCs/>
          </w:rPr>
          <w:t>2006</w:t>
        </w:r>
      </w:ins>
      <w:r>
        <w:t>.</w:t>
      </w:r>
    </w:p>
    <w:p>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w:t>
      </w:r>
      <w:del w:id="92" w:author="svcMRProcess" w:date="2015-10-27T06:38:00Z">
        <w:r>
          <w:delText>7</w:delText>
        </w:r>
      </w:del>
      <w:ins w:id="93" w:author="svcMRProcess" w:date="2015-10-27T06:38:00Z">
        <w:r>
          <w:t>7; No. 77 of 2006 s. 17</w:t>
        </w:r>
      </w:ins>
      <w:r>
        <w:t xml:space="preserve">.] </w:t>
      </w:r>
    </w:p>
    <w:p>
      <w:pPr>
        <w:pStyle w:val="Heading5"/>
        <w:spacing w:before="120"/>
        <w:rPr>
          <w:snapToGrid w:val="0"/>
        </w:rPr>
      </w:pPr>
      <w:bookmarkStart w:id="94" w:name="_Toc490644899"/>
      <w:bookmarkStart w:id="95" w:name="_Toc4205630"/>
      <w:bookmarkStart w:id="96" w:name="_Toc6113161"/>
      <w:bookmarkStart w:id="97" w:name="_Toc139269148"/>
      <w:bookmarkStart w:id="98" w:name="_Toc332102257"/>
      <w:bookmarkStart w:id="99" w:name="_Toc332102109"/>
      <w:r>
        <w:rPr>
          <w:rStyle w:val="CharSectno"/>
        </w:rPr>
        <w:t>8</w:t>
      </w:r>
      <w:r>
        <w:rPr>
          <w:snapToGrid w:val="0"/>
        </w:rPr>
        <w:t>.</w:t>
      </w:r>
      <w:r>
        <w:rPr>
          <w:snapToGrid w:val="0"/>
        </w:rPr>
        <w:tab/>
        <w:t>Application of funds</w:t>
      </w:r>
      <w:bookmarkEnd w:id="94"/>
      <w:bookmarkEnd w:id="95"/>
      <w:bookmarkEnd w:id="96"/>
      <w:bookmarkEnd w:id="97"/>
      <w:bookmarkEnd w:id="98"/>
      <w:bookmarkEnd w:id="99"/>
      <w:r>
        <w:rPr>
          <w:snapToGrid w:val="0"/>
        </w:rPr>
        <w:t xml:space="preserve"> </w:t>
      </w:r>
    </w:p>
    <w:p>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20"/>
        <w:rPr>
          <w:snapToGrid w:val="0"/>
        </w:rPr>
      </w:pPr>
      <w:bookmarkStart w:id="100" w:name="_Toc490644900"/>
      <w:bookmarkStart w:id="101" w:name="_Toc4205631"/>
      <w:bookmarkStart w:id="102" w:name="_Toc6113162"/>
      <w:bookmarkStart w:id="103" w:name="_Toc139269149"/>
      <w:bookmarkStart w:id="104" w:name="_Toc332102258"/>
      <w:bookmarkStart w:id="105" w:name="_Toc332102110"/>
      <w:r>
        <w:rPr>
          <w:rStyle w:val="CharSectno"/>
        </w:rPr>
        <w:t>9</w:t>
      </w:r>
      <w:r>
        <w:rPr>
          <w:snapToGrid w:val="0"/>
        </w:rPr>
        <w:t>.</w:t>
      </w:r>
      <w:r>
        <w:rPr>
          <w:snapToGrid w:val="0"/>
        </w:rPr>
        <w:tab/>
        <w:t>Officers</w:t>
      </w:r>
      <w:bookmarkEnd w:id="100"/>
      <w:bookmarkEnd w:id="101"/>
      <w:bookmarkEnd w:id="102"/>
      <w:bookmarkEnd w:id="103"/>
      <w:bookmarkEnd w:id="104"/>
      <w:bookmarkEnd w:id="105"/>
      <w:r>
        <w:rPr>
          <w:snapToGrid w:val="0"/>
        </w:rPr>
        <w:t xml:space="preserve"> </w:t>
      </w:r>
    </w:p>
    <w:p>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06" w:name="_Toc89162855"/>
      <w:bookmarkStart w:id="107" w:name="_Toc92439485"/>
      <w:bookmarkStart w:id="108" w:name="_Toc139269150"/>
      <w:bookmarkStart w:id="109" w:name="_Toc139269214"/>
      <w:bookmarkStart w:id="110" w:name="_Toc139427336"/>
      <w:bookmarkStart w:id="111" w:name="_Toc157830471"/>
      <w:bookmarkStart w:id="112" w:name="_Toc332102259"/>
      <w:bookmarkStart w:id="113" w:name="_Toc332102111"/>
      <w:r>
        <w:rPr>
          <w:rStyle w:val="CharPartNo"/>
        </w:rPr>
        <w:t>Part 3</w:t>
      </w:r>
      <w:r>
        <w:t> — </w:t>
      </w:r>
      <w:r>
        <w:rPr>
          <w:rStyle w:val="CharPartText"/>
        </w:rPr>
        <w:t>Producers’ committees</w:t>
      </w:r>
      <w:bookmarkEnd w:id="106"/>
      <w:bookmarkEnd w:id="107"/>
      <w:bookmarkEnd w:id="108"/>
      <w:bookmarkEnd w:id="109"/>
      <w:bookmarkEnd w:id="110"/>
      <w:bookmarkEnd w:id="111"/>
      <w:bookmarkEnd w:id="112"/>
      <w:bookmarkEnd w:id="113"/>
    </w:p>
    <w:p>
      <w:pPr>
        <w:pStyle w:val="Footnoteheading"/>
        <w:ind w:left="890"/>
      </w:pPr>
      <w:r>
        <w:tab/>
        <w:t>[Heading inserted by No. 20 of 2000 s. 12.]</w:t>
      </w:r>
    </w:p>
    <w:p>
      <w:pPr>
        <w:pStyle w:val="Heading5"/>
        <w:rPr>
          <w:snapToGrid w:val="0"/>
        </w:rPr>
      </w:pPr>
      <w:bookmarkStart w:id="114" w:name="_Toc490644901"/>
      <w:bookmarkStart w:id="115" w:name="_Toc4205632"/>
      <w:bookmarkStart w:id="116" w:name="_Toc6113163"/>
      <w:bookmarkStart w:id="117" w:name="_Toc139269151"/>
      <w:bookmarkStart w:id="118" w:name="_Toc332102260"/>
      <w:bookmarkStart w:id="119" w:name="_Toc332102112"/>
      <w:r>
        <w:rPr>
          <w:rStyle w:val="CharSectno"/>
        </w:rPr>
        <w:t>10</w:t>
      </w:r>
      <w:r>
        <w:rPr>
          <w:snapToGrid w:val="0"/>
        </w:rPr>
        <w:t>.</w:t>
      </w:r>
      <w:r>
        <w:rPr>
          <w:snapToGrid w:val="0"/>
        </w:rPr>
        <w:tab/>
        <w:t>Preliminary requirements for the establishment of producers’ committees</w:t>
      </w:r>
      <w:bookmarkEnd w:id="114"/>
      <w:bookmarkEnd w:id="115"/>
      <w:bookmarkEnd w:id="116"/>
      <w:bookmarkEnd w:id="117"/>
      <w:bookmarkEnd w:id="118"/>
      <w:bookmarkEnd w:id="119"/>
      <w:r>
        <w:rPr>
          <w:snapToGrid w:val="0"/>
        </w:rPr>
        <w:t xml:space="preserve"> </w:t>
      </w:r>
    </w:p>
    <w:p>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spacing w:before="100"/>
        <w:rPr>
          <w:snapToGrid w:val="0"/>
        </w:rPr>
      </w:pPr>
      <w:r>
        <w:rPr>
          <w:snapToGrid w:val="0"/>
        </w:rPr>
        <w:tab/>
        <w:t>(2)</w:t>
      </w:r>
      <w:r>
        <w:rPr>
          <w:snapToGrid w:val="0"/>
        </w:rPr>
        <w:tab/>
        <w:t>A notice referred to in subsection (1) —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repealed]</w:t>
      </w:r>
    </w:p>
    <w:p>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 xml:space="preserve">[Section 10 amended by No. 29 of 1993 s. 6; No. 20 of 2000 s. 13, 28, 29, 30 and 31.] </w:t>
      </w:r>
    </w:p>
    <w:p>
      <w:pPr>
        <w:pStyle w:val="Heading5"/>
        <w:rPr>
          <w:snapToGrid w:val="0"/>
        </w:rPr>
      </w:pPr>
      <w:bookmarkStart w:id="120" w:name="_Toc490644902"/>
      <w:bookmarkStart w:id="121" w:name="_Toc4205633"/>
      <w:bookmarkStart w:id="122" w:name="_Toc6113164"/>
      <w:bookmarkStart w:id="123" w:name="_Toc139269152"/>
      <w:bookmarkStart w:id="124" w:name="_Toc332102261"/>
      <w:bookmarkStart w:id="125" w:name="_Toc332102113"/>
      <w:r>
        <w:rPr>
          <w:rStyle w:val="CharSectno"/>
        </w:rPr>
        <w:t>11</w:t>
      </w:r>
      <w:r>
        <w:rPr>
          <w:snapToGrid w:val="0"/>
        </w:rPr>
        <w:t>.</w:t>
      </w:r>
      <w:r>
        <w:rPr>
          <w:snapToGrid w:val="0"/>
        </w:rPr>
        <w:tab/>
        <w:t>Establishment of a producers’ committee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pPr>
        <w:pStyle w:val="Indenta"/>
        <w:rPr>
          <w:snapToGrid w:val="0"/>
        </w:rPr>
      </w:pPr>
      <w:r>
        <w:rPr>
          <w:snapToGrid w:val="0"/>
        </w:rPr>
        <w:tab/>
        <w:t>(a)</w:t>
      </w:r>
      <w:r>
        <w:rPr>
          <w:snapToGrid w:val="0"/>
        </w:rPr>
        <w:tab/>
        <w:t>specify —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26" w:name="_Toc490644903"/>
      <w:bookmarkStart w:id="127" w:name="_Toc4205634"/>
      <w:bookmarkStart w:id="128" w:name="_Toc6113165"/>
      <w:bookmarkStart w:id="129" w:name="_Toc139269153"/>
      <w:bookmarkStart w:id="130" w:name="_Toc332102262"/>
      <w:bookmarkStart w:id="131" w:name="_Toc332102114"/>
      <w:r>
        <w:rPr>
          <w:rStyle w:val="CharSectno"/>
        </w:rPr>
        <w:t>12</w:t>
      </w:r>
      <w:r>
        <w:rPr>
          <w:snapToGrid w:val="0"/>
        </w:rPr>
        <w:t>.</w:t>
      </w:r>
      <w:r>
        <w:rPr>
          <w:snapToGrid w:val="0"/>
        </w:rPr>
        <w:tab/>
        <w:t>Functions of a producers’ committee</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 xml:space="preserve">[Section 12 amended by No. 73 of 1994 s. 4; No. 49 of 1996 s. 64; No. 20 of 2000 s. 15, 28, 30 and 31.] </w:t>
      </w:r>
    </w:p>
    <w:p>
      <w:pPr>
        <w:pStyle w:val="Heading5"/>
        <w:rPr>
          <w:snapToGrid w:val="0"/>
        </w:rPr>
      </w:pPr>
      <w:bookmarkStart w:id="132" w:name="_Toc490644904"/>
      <w:bookmarkStart w:id="133" w:name="_Toc4205635"/>
      <w:bookmarkStart w:id="134" w:name="_Toc6113166"/>
      <w:bookmarkStart w:id="135" w:name="_Toc139269154"/>
      <w:bookmarkStart w:id="136" w:name="_Toc332102263"/>
      <w:bookmarkStart w:id="137" w:name="_Toc332102115"/>
      <w:r>
        <w:rPr>
          <w:rStyle w:val="CharSectno"/>
        </w:rPr>
        <w:t>13</w:t>
      </w:r>
      <w:r>
        <w:rPr>
          <w:snapToGrid w:val="0"/>
        </w:rPr>
        <w:t>.</w:t>
      </w:r>
      <w:r>
        <w:rPr>
          <w:snapToGrid w:val="0"/>
        </w:rPr>
        <w:tab/>
        <w:t>Power to require information</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38" w:name="_Toc490644905"/>
      <w:bookmarkStart w:id="139" w:name="_Toc4205636"/>
      <w:bookmarkStart w:id="140" w:name="_Toc6113167"/>
      <w:bookmarkStart w:id="141" w:name="_Toc139269155"/>
      <w:bookmarkStart w:id="142" w:name="_Toc332102264"/>
      <w:bookmarkStart w:id="143" w:name="_Toc332102116"/>
      <w:r>
        <w:rPr>
          <w:rStyle w:val="CharSectno"/>
        </w:rPr>
        <w:t>14</w:t>
      </w:r>
      <w:r>
        <w:t>.</w:t>
      </w:r>
      <w:r>
        <w:tab/>
        <w:t>Imposition of charges for services</w:t>
      </w:r>
      <w:bookmarkEnd w:id="138"/>
      <w:bookmarkEnd w:id="139"/>
      <w:bookmarkEnd w:id="140"/>
      <w:bookmarkEnd w:id="141"/>
      <w:bookmarkEnd w:id="142"/>
      <w:bookmarkEnd w:id="143"/>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44" w:name="_Toc490644906"/>
      <w:bookmarkStart w:id="145" w:name="_Toc4205637"/>
      <w:bookmarkStart w:id="146" w:name="_Toc6113168"/>
      <w:bookmarkStart w:id="147" w:name="_Toc139269156"/>
      <w:bookmarkStart w:id="148" w:name="_Toc332102265"/>
      <w:bookmarkStart w:id="149" w:name="_Toc332102117"/>
      <w:r>
        <w:rPr>
          <w:rStyle w:val="CharSectno"/>
        </w:rPr>
        <w:t>15</w:t>
      </w:r>
      <w:r>
        <w:rPr>
          <w:snapToGrid w:val="0"/>
        </w:rPr>
        <w:t>.</w:t>
      </w:r>
      <w:r>
        <w:rPr>
          <w:snapToGrid w:val="0"/>
        </w:rPr>
        <w:tab/>
        <w:t>Dissolution of a producers’ committee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rPr>
          <w:snapToGrid w:val="0"/>
        </w:rPr>
      </w:pPr>
      <w:bookmarkStart w:id="150" w:name="_Toc490644907"/>
      <w:bookmarkStart w:id="151" w:name="_Toc4205638"/>
      <w:bookmarkStart w:id="152" w:name="_Toc6113169"/>
      <w:bookmarkStart w:id="153" w:name="_Toc139269157"/>
      <w:bookmarkStart w:id="154" w:name="_Toc332102266"/>
      <w:bookmarkStart w:id="155" w:name="_Toc332102118"/>
      <w:r>
        <w:rPr>
          <w:rStyle w:val="CharSectno"/>
        </w:rPr>
        <w:t>16</w:t>
      </w:r>
      <w:r>
        <w:rPr>
          <w:snapToGrid w:val="0"/>
        </w:rPr>
        <w:t>.</w:t>
      </w:r>
      <w:r>
        <w:rPr>
          <w:snapToGrid w:val="0"/>
        </w:rPr>
        <w:tab/>
        <w:t>List of producers</w:t>
      </w:r>
      <w:bookmarkEnd w:id="150"/>
      <w:bookmarkEnd w:id="151"/>
      <w:bookmarkEnd w:id="152"/>
      <w:bookmarkEnd w:id="153"/>
      <w:bookmarkEnd w:id="154"/>
      <w:bookmarkEnd w:id="155"/>
    </w:p>
    <w:p>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Ednotesubsection"/>
      </w:pPr>
      <w:r>
        <w:tab/>
        <w:t>[(3)</w:t>
      </w:r>
      <w:r>
        <w:tab/>
        <w:t>repealed]</w:t>
      </w:r>
    </w:p>
    <w:p>
      <w:pPr>
        <w:pStyle w:val="Footnotesection"/>
      </w:pPr>
      <w:r>
        <w:tab/>
        <w:t>[Section 16 amended by No. 20 of 2000 s. 19, 30 and 31; No. 55 of 2004 s. 22.]</w:t>
      </w:r>
    </w:p>
    <w:p>
      <w:pPr>
        <w:pStyle w:val="Heading5"/>
        <w:rPr>
          <w:snapToGrid w:val="0"/>
        </w:rPr>
      </w:pPr>
      <w:bookmarkStart w:id="156" w:name="_Toc490644908"/>
      <w:bookmarkStart w:id="157" w:name="_Toc4205639"/>
      <w:bookmarkStart w:id="158" w:name="_Toc6113170"/>
      <w:bookmarkStart w:id="159" w:name="_Toc139269158"/>
      <w:bookmarkStart w:id="160" w:name="_Toc332102267"/>
      <w:bookmarkStart w:id="161" w:name="_Toc332102119"/>
      <w:r>
        <w:rPr>
          <w:rStyle w:val="CharSectno"/>
        </w:rPr>
        <w:t>17</w:t>
      </w:r>
      <w:r>
        <w:rPr>
          <w:snapToGrid w:val="0"/>
        </w:rPr>
        <w:t>.</w:t>
      </w:r>
      <w:r>
        <w:rPr>
          <w:snapToGrid w:val="0"/>
        </w:rPr>
        <w:tab/>
        <w:t>Conduct of polls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62" w:name="_Toc490644909"/>
      <w:bookmarkStart w:id="163" w:name="_Toc4205640"/>
      <w:bookmarkStart w:id="164" w:name="_Toc6113171"/>
      <w:bookmarkStart w:id="165" w:name="_Toc139269159"/>
      <w:bookmarkStart w:id="166" w:name="_Toc332102268"/>
      <w:bookmarkStart w:id="167" w:name="_Toc332102120"/>
      <w:r>
        <w:rPr>
          <w:rStyle w:val="CharSectno"/>
        </w:rPr>
        <w:t>18</w:t>
      </w:r>
      <w:r>
        <w:rPr>
          <w:snapToGrid w:val="0"/>
        </w:rPr>
        <w:t>.</w:t>
      </w:r>
      <w:r>
        <w:rPr>
          <w:snapToGrid w:val="0"/>
        </w:rPr>
        <w:tab/>
        <w:t>Accounts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 xml:space="preserve">[Section 18 amended by No. 49 of 1996 s. 64; No. 20 of 2000 s. 20 and 31.] </w:t>
      </w:r>
    </w:p>
    <w:p>
      <w:pPr>
        <w:pStyle w:val="Heading5"/>
        <w:rPr>
          <w:snapToGrid w:val="0"/>
        </w:rPr>
      </w:pPr>
      <w:bookmarkStart w:id="168" w:name="_Toc490644910"/>
      <w:bookmarkStart w:id="169" w:name="_Toc4205641"/>
      <w:bookmarkStart w:id="170" w:name="_Toc6113172"/>
      <w:bookmarkStart w:id="171" w:name="_Toc139269160"/>
      <w:bookmarkStart w:id="172" w:name="_Toc332102269"/>
      <w:bookmarkStart w:id="173" w:name="_Toc332102121"/>
      <w:r>
        <w:rPr>
          <w:rStyle w:val="CharSectno"/>
        </w:rPr>
        <w:t>19</w:t>
      </w:r>
      <w:r>
        <w:rPr>
          <w:snapToGrid w:val="0"/>
        </w:rPr>
        <w:t>.</w:t>
      </w:r>
      <w:r>
        <w:rPr>
          <w:snapToGrid w:val="0"/>
        </w:rPr>
        <w:tab/>
        <w:t>Voluntary associations of producers</w:t>
      </w:r>
      <w:bookmarkEnd w:id="168"/>
      <w:bookmarkEnd w:id="169"/>
      <w:bookmarkEnd w:id="170"/>
      <w:bookmarkEnd w:id="171"/>
      <w:bookmarkEnd w:id="172"/>
      <w:bookmarkEnd w:id="173"/>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74" w:name="_Toc490644911"/>
      <w:bookmarkStart w:id="175" w:name="_Toc4205642"/>
      <w:bookmarkStart w:id="176" w:name="_Toc6113173"/>
      <w:bookmarkStart w:id="177" w:name="_Toc139269161"/>
      <w:bookmarkStart w:id="178" w:name="_Toc332102270"/>
      <w:bookmarkStart w:id="179" w:name="_Toc332102122"/>
      <w:r>
        <w:rPr>
          <w:rStyle w:val="CharSectno"/>
        </w:rPr>
        <w:t>19A</w:t>
      </w:r>
      <w:r>
        <w:t>.</w:t>
      </w:r>
      <w:r>
        <w:tab/>
        <w:t>Application to commercial and non</w:t>
      </w:r>
      <w:r>
        <w:noBreakHyphen/>
        <w:t>commercial producers of provisions relating to the control of certain pests or diseases</w:t>
      </w:r>
      <w:bookmarkEnd w:id="174"/>
      <w:bookmarkEnd w:id="175"/>
      <w:bookmarkEnd w:id="176"/>
      <w:bookmarkEnd w:id="177"/>
      <w:bookmarkEnd w:id="178"/>
      <w:bookmarkEnd w:id="179"/>
    </w:p>
    <w:p>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80" w:name="_Toc89162867"/>
      <w:bookmarkStart w:id="181" w:name="_Toc92439497"/>
      <w:bookmarkStart w:id="182" w:name="_Toc139269162"/>
      <w:bookmarkStart w:id="183" w:name="_Toc139269226"/>
      <w:bookmarkStart w:id="184" w:name="_Toc139427348"/>
      <w:bookmarkStart w:id="185" w:name="_Toc157830483"/>
      <w:bookmarkStart w:id="186" w:name="_Toc332102271"/>
      <w:bookmarkStart w:id="187" w:name="_Toc332102123"/>
      <w:r>
        <w:rPr>
          <w:rStyle w:val="CharPartNo"/>
        </w:rPr>
        <w:t>Part 4</w:t>
      </w:r>
      <w:r>
        <w:rPr>
          <w:rStyle w:val="CharDivNo"/>
        </w:rPr>
        <w:t> </w:t>
      </w:r>
      <w:r>
        <w:t>—</w:t>
      </w:r>
      <w:r>
        <w:rPr>
          <w:rStyle w:val="CharDivText"/>
        </w:rPr>
        <w:t> </w:t>
      </w:r>
      <w:r>
        <w:rPr>
          <w:rStyle w:val="CharPartText"/>
        </w:rPr>
        <w:t>Miscellaneous</w:t>
      </w:r>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90644912"/>
      <w:bookmarkStart w:id="189" w:name="_Toc4205643"/>
      <w:bookmarkStart w:id="190" w:name="_Toc6113174"/>
      <w:bookmarkStart w:id="191" w:name="_Toc139269163"/>
      <w:bookmarkStart w:id="192" w:name="_Toc332102272"/>
      <w:bookmarkStart w:id="193" w:name="_Toc332102124"/>
      <w:r>
        <w:rPr>
          <w:rStyle w:val="CharSectno"/>
        </w:rPr>
        <w:t>20</w:t>
      </w:r>
      <w:r>
        <w:rPr>
          <w:snapToGrid w:val="0"/>
        </w:rPr>
        <w:t>.</w:t>
      </w:r>
      <w:r>
        <w:rPr>
          <w:snapToGrid w:val="0"/>
        </w:rPr>
        <w:tab/>
        <w:t>Financial provisions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The provisions of the </w:t>
      </w:r>
      <w:r>
        <w:rPr>
          <w:i/>
          <w:iCs/>
        </w:rPr>
        <w:t xml:space="preserve">Financial </w:t>
      </w:r>
      <w:del w:id="194" w:author="svcMRProcess" w:date="2015-10-27T06:38:00Z">
        <w:r>
          <w:rPr>
            <w:i/>
            <w:snapToGrid w:val="0"/>
          </w:rPr>
          <w:delText>Administration</w:delText>
        </w:r>
      </w:del>
      <w:ins w:id="195" w:author="svcMRProcess" w:date="2015-10-27T06:38:00Z">
        <w:r>
          <w:rPr>
            <w:i/>
            <w:iCs/>
          </w:rPr>
          <w:t>Management Act 2006</w:t>
        </w:r>
      </w:ins>
      <w:r>
        <w:t xml:space="preserve"> and </w:t>
      </w:r>
      <w:del w:id="196" w:author="svcMRProcess" w:date="2015-10-27T06:38:00Z">
        <w:r>
          <w:rPr>
            <w:i/>
            <w:snapToGrid w:val="0"/>
          </w:rPr>
          <w:delText>Audit</w:delText>
        </w:r>
      </w:del>
      <w:ins w:id="197" w:author="svcMRProcess" w:date="2015-10-27T06:38:00Z">
        <w:r>
          <w:t xml:space="preserve">the </w:t>
        </w:r>
        <w:r>
          <w:rPr>
            <w:i/>
            <w:iCs/>
          </w:rPr>
          <w:t>Auditor General</w:t>
        </w:r>
      </w:ins>
      <w:r>
        <w:rPr>
          <w:i/>
          <w:iCs/>
        </w:rPr>
        <w:t xml:space="preserve"> Act </w:t>
      </w:r>
      <w:del w:id="198" w:author="svcMRProcess" w:date="2015-10-27T06:38:00Z">
        <w:r>
          <w:rPr>
            <w:i/>
            <w:snapToGrid w:val="0"/>
          </w:rPr>
          <w:delText>1985</w:delText>
        </w:r>
      </w:del>
      <w:ins w:id="199" w:author="svcMRProcess" w:date="2015-10-27T06:38:00Z">
        <w:r>
          <w:rPr>
            <w:i/>
            <w:iCs/>
          </w:rPr>
          <w:t>2006</w:t>
        </w:r>
      </w:ins>
      <w:r>
        <w:rPr>
          <w:i/>
          <w:iCs/>
        </w:rPr>
        <w:t xml:space="preserve">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w:t>
      </w:r>
      <w:del w:id="200" w:author="svcMRProcess" w:date="2015-10-27T06:38:00Z">
        <w:r>
          <w:delText>31</w:delText>
        </w:r>
      </w:del>
      <w:ins w:id="201" w:author="svcMRProcess" w:date="2015-10-27T06:38:00Z">
        <w:r>
          <w:t>31; No. 77 of 2006 s. 17</w:t>
        </w:r>
      </w:ins>
      <w:r>
        <w:t>.]</w:t>
      </w:r>
    </w:p>
    <w:p>
      <w:pPr>
        <w:pStyle w:val="Heading5"/>
        <w:rPr>
          <w:snapToGrid w:val="0"/>
        </w:rPr>
      </w:pPr>
      <w:bookmarkStart w:id="202" w:name="_Toc490644913"/>
      <w:bookmarkStart w:id="203" w:name="_Toc4205644"/>
      <w:bookmarkStart w:id="204" w:name="_Toc6113175"/>
      <w:bookmarkStart w:id="205" w:name="_Toc139269164"/>
      <w:bookmarkStart w:id="206" w:name="_Toc332102273"/>
      <w:bookmarkStart w:id="207" w:name="_Toc332102125"/>
      <w:r>
        <w:rPr>
          <w:rStyle w:val="CharSectno"/>
        </w:rPr>
        <w:t>21</w:t>
      </w:r>
      <w:r>
        <w:rPr>
          <w:snapToGrid w:val="0"/>
        </w:rPr>
        <w:t>.</w:t>
      </w:r>
      <w:r>
        <w:rPr>
          <w:snapToGrid w:val="0"/>
        </w:rPr>
        <w:tab/>
        <w:t>Authentication</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08" w:name="_Toc490644914"/>
      <w:bookmarkStart w:id="209" w:name="_Toc4205645"/>
      <w:bookmarkStart w:id="210" w:name="_Toc6113176"/>
      <w:bookmarkStart w:id="211" w:name="_Toc139269165"/>
      <w:bookmarkStart w:id="212" w:name="_Toc332102274"/>
      <w:bookmarkStart w:id="213" w:name="_Toc332102126"/>
      <w:r>
        <w:rPr>
          <w:rStyle w:val="CharSectno"/>
        </w:rPr>
        <w:t>22</w:t>
      </w:r>
      <w:r>
        <w:rPr>
          <w:snapToGrid w:val="0"/>
        </w:rPr>
        <w:t>.</w:t>
      </w:r>
      <w:r>
        <w:rPr>
          <w:snapToGrid w:val="0"/>
        </w:rPr>
        <w:tab/>
        <w:t>Recovery of charges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repealed]</w:t>
      </w:r>
    </w:p>
    <w:p>
      <w:pPr>
        <w:pStyle w:val="Footnotesection"/>
      </w:pPr>
      <w:r>
        <w:tab/>
        <w:t xml:space="preserve">[Section 22 amended by No. 49 of 1996 s. 64; No. 20 of 2000 s. 23 and 31.] </w:t>
      </w:r>
    </w:p>
    <w:p>
      <w:pPr>
        <w:pStyle w:val="Heading5"/>
        <w:rPr>
          <w:snapToGrid w:val="0"/>
        </w:rPr>
      </w:pPr>
      <w:bookmarkStart w:id="214" w:name="_Toc490644915"/>
      <w:bookmarkStart w:id="215" w:name="_Toc4205646"/>
      <w:bookmarkStart w:id="216" w:name="_Toc6113177"/>
      <w:bookmarkStart w:id="217" w:name="_Toc139269166"/>
      <w:bookmarkStart w:id="218" w:name="_Toc332102275"/>
      <w:bookmarkStart w:id="219" w:name="_Toc332102127"/>
      <w:r>
        <w:rPr>
          <w:rStyle w:val="CharSectno"/>
        </w:rPr>
        <w:t>23</w:t>
      </w:r>
      <w:r>
        <w:rPr>
          <w:snapToGrid w:val="0"/>
        </w:rPr>
        <w:t>.</w:t>
      </w:r>
      <w:r>
        <w:rPr>
          <w:snapToGrid w:val="0"/>
        </w:rPr>
        <w:tab/>
        <w:t>Evidentiary</w:t>
      </w:r>
      <w:bookmarkEnd w:id="214"/>
      <w:bookmarkEnd w:id="215"/>
      <w:bookmarkEnd w:id="216"/>
      <w:bookmarkEnd w:id="217"/>
      <w:bookmarkEnd w:id="218"/>
      <w:bookmarkEnd w:id="219"/>
      <w:r>
        <w:rPr>
          <w:snapToGrid w:val="0"/>
        </w:rPr>
        <w:t xml:space="preserve"> </w:t>
      </w:r>
    </w:p>
    <w:p>
      <w:pPr>
        <w:pStyle w:val="Subsection"/>
        <w:keepNext/>
        <w:keepLines/>
        <w:rPr>
          <w:snapToGrid w:val="0"/>
        </w:rPr>
      </w:pPr>
      <w:r>
        <w:rPr>
          <w:snapToGrid w:val="0"/>
        </w:rPr>
        <w:tab/>
      </w:r>
      <w:r>
        <w:rPr>
          <w:snapToGrid w:val="0"/>
        </w:rPr>
        <w:tab/>
        <w:t>In any legal proceedings — </w:t>
      </w:r>
    </w:p>
    <w:p>
      <w:pPr>
        <w:pStyle w:val="Indenta"/>
        <w:rPr>
          <w:snapToGrid w:val="0"/>
        </w:rPr>
      </w:pPr>
      <w:r>
        <w:rPr>
          <w:snapToGrid w:val="0"/>
        </w:rPr>
        <w:tab/>
        <w:t>(a)</w:t>
      </w:r>
      <w:r>
        <w:rPr>
          <w:snapToGrid w:val="0"/>
        </w:rPr>
        <w:tab/>
        <w:t>until evidence is given to the contrary proof is not required of —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20" w:name="_Toc490644916"/>
      <w:bookmarkStart w:id="221" w:name="_Toc4205647"/>
      <w:bookmarkStart w:id="222" w:name="_Toc6113178"/>
      <w:bookmarkStart w:id="223" w:name="_Toc139269167"/>
      <w:bookmarkStart w:id="224" w:name="_Toc332102276"/>
      <w:bookmarkStart w:id="225" w:name="_Toc332102128"/>
      <w:r>
        <w:rPr>
          <w:rStyle w:val="CharSectno"/>
        </w:rPr>
        <w:t>24</w:t>
      </w:r>
      <w:r>
        <w:rPr>
          <w:snapToGrid w:val="0"/>
        </w:rPr>
        <w:t>.</w:t>
      </w:r>
      <w:r>
        <w:rPr>
          <w:snapToGrid w:val="0"/>
        </w:rPr>
        <w:tab/>
        <w:t>Protection of members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26" w:name="_Toc490644917"/>
      <w:bookmarkStart w:id="227" w:name="_Toc4205648"/>
      <w:bookmarkStart w:id="228" w:name="_Toc6113179"/>
      <w:bookmarkStart w:id="229" w:name="_Toc139269168"/>
      <w:bookmarkStart w:id="230" w:name="_Toc332102277"/>
      <w:bookmarkStart w:id="231" w:name="_Toc332102129"/>
      <w:r>
        <w:rPr>
          <w:rStyle w:val="CharSectno"/>
        </w:rPr>
        <w:t>25</w:t>
      </w:r>
      <w:r>
        <w:rPr>
          <w:snapToGrid w:val="0"/>
        </w:rPr>
        <w:t>.</w:t>
      </w:r>
      <w:r>
        <w:rPr>
          <w:snapToGrid w:val="0"/>
        </w:rPr>
        <w:tab/>
        <w:t>Regulations</w:t>
      </w:r>
      <w:bookmarkEnd w:id="226"/>
      <w:bookmarkEnd w:id="227"/>
      <w:bookmarkEnd w:id="228"/>
      <w:bookmarkEnd w:id="229"/>
      <w:bookmarkEnd w:id="230"/>
      <w:bookmarkEnd w:id="231"/>
      <w:r>
        <w:rPr>
          <w:snapToGrid w:val="0"/>
        </w:rPr>
        <w:t xml:space="preserve"> </w:t>
      </w:r>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 xml:space="preserve">[Section 25 amended by No. 29 of 1993 s. 7; No. 20 of 2000 s. 24 and 30.] </w:t>
      </w:r>
    </w:p>
    <w:p>
      <w:pPr>
        <w:pStyle w:val="Heading5"/>
        <w:rPr>
          <w:snapToGrid w:val="0"/>
        </w:rPr>
      </w:pPr>
      <w:bookmarkStart w:id="232" w:name="_Toc490644918"/>
      <w:bookmarkStart w:id="233" w:name="_Toc4205649"/>
      <w:bookmarkStart w:id="234" w:name="_Toc6113180"/>
      <w:bookmarkStart w:id="235" w:name="_Toc139269169"/>
      <w:bookmarkStart w:id="236" w:name="_Toc332102278"/>
      <w:bookmarkStart w:id="237" w:name="_Toc332102130"/>
      <w:r>
        <w:rPr>
          <w:rStyle w:val="CharSectno"/>
        </w:rPr>
        <w:t>26</w:t>
      </w:r>
      <w:r>
        <w:rPr>
          <w:snapToGrid w:val="0"/>
        </w:rPr>
        <w:t>.</w:t>
      </w:r>
      <w:r>
        <w:rPr>
          <w:snapToGrid w:val="0"/>
        </w:rPr>
        <w:tab/>
        <w:t>Review</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38" w:name="_Toc6113181"/>
      <w:bookmarkStart w:id="239" w:name="_Toc139269170"/>
      <w:bookmarkStart w:id="240" w:name="_Toc139269234"/>
      <w:bookmarkStart w:id="241" w:name="_Toc139427356"/>
      <w:bookmarkStart w:id="242" w:name="_Toc157830491"/>
      <w:bookmarkStart w:id="243" w:name="_Toc332102279"/>
      <w:bookmarkStart w:id="244" w:name="_Toc332102131"/>
      <w:r>
        <w:rPr>
          <w:rStyle w:val="CharSchNo"/>
        </w:rPr>
        <w:t>Schedule</w:t>
      </w:r>
      <w:bookmarkEnd w:id="238"/>
      <w:bookmarkEnd w:id="239"/>
      <w:bookmarkEnd w:id="240"/>
      <w:bookmarkEnd w:id="241"/>
      <w:bookmarkEnd w:id="242"/>
      <w:bookmarkEnd w:id="243"/>
      <w:bookmarkEnd w:id="244"/>
      <w:r>
        <w:rPr>
          <w:rStyle w:val="CharSchText"/>
        </w:rPr>
        <w:t xml:space="preserve"> </w:t>
      </w:r>
    </w:p>
    <w:p>
      <w:pPr>
        <w:pStyle w:val="yShoulderClause"/>
        <w:rPr>
          <w:snapToGrid w:val="0"/>
        </w:rPr>
      </w:pPr>
      <w:r>
        <w:rPr>
          <w:snapToGrid w:val="0"/>
        </w:rPr>
        <w:t>[Section 5(3)]</w:t>
      </w:r>
    </w:p>
    <w:p>
      <w:pPr>
        <w:pStyle w:val="yHeading5"/>
        <w:ind w:left="890" w:hanging="890"/>
        <w:outlineLvl w:val="9"/>
        <w:rPr>
          <w:snapToGrid w:val="0"/>
        </w:rPr>
      </w:pPr>
      <w:bookmarkStart w:id="245" w:name="_Toc4205651"/>
      <w:bookmarkStart w:id="246" w:name="_Toc6113182"/>
      <w:bookmarkStart w:id="247" w:name="_Toc139269171"/>
      <w:bookmarkStart w:id="248" w:name="_Toc332102280"/>
      <w:bookmarkStart w:id="249" w:name="_Toc332102132"/>
      <w:r>
        <w:rPr>
          <w:snapToGrid w:val="0"/>
        </w:rPr>
        <w:t>1.</w:t>
      </w:r>
      <w:r>
        <w:rPr>
          <w:snapToGrid w:val="0"/>
        </w:rPr>
        <w:tab/>
        <w:t>Term of office of member of Commission</w:t>
      </w:r>
      <w:bookmarkEnd w:id="245"/>
      <w:bookmarkEnd w:id="246"/>
      <w:bookmarkEnd w:id="247"/>
      <w:bookmarkEnd w:id="248"/>
      <w:bookmarkEnd w:id="249"/>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50" w:name="_Toc4205652"/>
      <w:bookmarkStart w:id="251" w:name="_Toc6113183"/>
      <w:bookmarkStart w:id="252" w:name="_Toc139269172"/>
      <w:bookmarkStart w:id="253" w:name="_Toc332102281"/>
      <w:bookmarkStart w:id="254" w:name="_Toc332102133"/>
      <w:r>
        <w:rPr>
          <w:snapToGrid w:val="0"/>
        </w:rPr>
        <w:t>2.</w:t>
      </w:r>
      <w:r>
        <w:rPr>
          <w:snapToGrid w:val="0"/>
        </w:rPr>
        <w:tab/>
        <w:t>Remuneration of member of Commission</w:t>
      </w:r>
      <w:bookmarkEnd w:id="250"/>
      <w:bookmarkEnd w:id="251"/>
      <w:bookmarkEnd w:id="252"/>
      <w:bookmarkEnd w:id="253"/>
      <w:bookmarkEnd w:id="254"/>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Heading5"/>
        <w:ind w:left="890" w:hanging="890"/>
        <w:outlineLvl w:val="9"/>
        <w:rPr>
          <w:snapToGrid w:val="0"/>
        </w:rPr>
      </w:pPr>
      <w:bookmarkStart w:id="255" w:name="_Toc400512180"/>
      <w:bookmarkStart w:id="256" w:name="_Toc4205653"/>
      <w:bookmarkStart w:id="257" w:name="_Toc6113184"/>
      <w:bookmarkStart w:id="258" w:name="_Toc139269173"/>
      <w:bookmarkStart w:id="259" w:name="_Toc332102282"/>
      <w:bookmarkStart w:id="260" w:name="_Toc332102134"/>
      <w:r>
        <w:rPr>
          <w:snapToGrid w:val="0"/>
        </w:rPr>
        <w:t>3.</w:t>
      </w:r>
      <w:r>
        <w:rPr>
          <w:snapToGrid w:val="0"/>
        </w:rPr>
        <w:tab/>
        <w:t>Casual vacancies</w:t>
      </w:r>
      <w:bookmarkEnd w:id="255"/>
      <w:bookmarkEnd w:id="256"/>
      <w:bookmarkEnd w:id="257"/>
      <w:bookmarkEnd w:id="258"/>
      <w:bookmarkEnd w:id="259"/>
      <w:bookmarkEnd w:id="260"/>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61" w:name="_Toc4205654"/>
      <w:bookmarkStart w:id="262" w:name="_Toc6113185"/>
      <w:bookmarkStart w:id="263" w:name="_Toc139269174"/>
      <w:bookmarkStart w:id="264" w:name="_Toc332102283"/>
      <w:bookmarkStart w:id="265" w:name="_Toc332102135"/>
      <w:r>
        <w:rPr>
          <w:snapToGrid w:val="0"/>
        </w:rPr>
        <w:t>4.</w:t>
      </w:r>
      <w:r>
        <w:rPr>
          <w:snapToGrid w:val="0"/>
        </w:rPr>
        <w:tab/>
        <w:t>Vacation of office</w:t>
      </w:r>
      <w:bookmarkEnd w:id="261"/>
      <w:bookmarkEnd w:id="262"/>
      <w:bookmarkEnd w:id="263"/>
      <w:bookmarkEnd w:id="264"/>
      <w:bookmarkEnd w:id="265"/>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is absent from 4 consecutive meetings of the Commission without the permission of the Minister;</w:t>
      </w:r>
    </w:p>
    <w:p>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Heading5"/>
        <w:ind w:left="890" w:hanging="890"/>
        <w:outlineLvl w:val="9"/>
        <w:rPr>
          <w:snapToGrid w:val="0"/>
        </w:rPr>
      </w:pPr>
      <w:bookmarkStart w:id="266" w:name="_Toc4205655"/>
      <w:bookmarkStart w:id="267" w:name="_Toc6113186"/>
      <w:bookmarkStart w:id="268" w:name="_Toc139269175"/>
      <w:bookmarkStart w:id="269" w:name="_Toc332102284"/>
      <w:bookmarkStart w:id="270" w:name="_Toc332102136"/>
      <w:r>
        <w:rPr>
          <w:snapToGrid w:val="0"/>
        </w:rPr>
        <w:t>5.</w:t>
      </w:r>
      <w:r>
        <w:rPr>
          <w:snapToGrid w:val="0"/>
        </w:rPr>
        <w:tab/>
        <w:t>Disclosure</w:t>
      </w:r>
      <w:bookmarkEnd w:id="266"/>
      <w:bookmarkEnd w:id="267"/>
      <w:bookmarkEnd w:id="268"/>
      <w:bookmarkEnd w:id="269"/>
      <w:bookmarkEnd w:id="270"/>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71" w:name="_Toc4205656"/>
      <w:bookmarkStart w:id="272" w:name="_Toc6113187"/>
      <w:bookmarkStart w:id="273" w:name="_Toc139269176"/>
      <w:bookmarkStart w:id="274" w:name="_Toc332102285"/>
      <w:bookmarkStart w:id="275" w:name="_Toc332102137"/>
      <w:r>
        <w:rPr>
          <w:snapToGrid w:val="0"/>
        </w:rPr>
        <w:t>6.</w:t>
      </w:r>
      <w:r>
        <w:rPr>
          <w:snapToGrid w:val="0"/>
        </w:rPr>
        <w:tab/>
        <w:t>Meetings</w:t>
      </w:r>
      <w:bookmarkEnd w:id="271"/>
      <w:bookmarkEnd w:id="272"/>
      <w:bookmarkEnd w:id="273"/>
      <w:bookmarkEnd w:id="274"/>
      <w:bookmarkEnd w:id="275"/>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Heading5"/>
        <w:ind w:left="890" w:hanging="890"/>
        <w:outlineLvl w:val="9"/>
        <w:rPr>
          <w:snapToGrid w:val="0"/>
        </w:rPr>
      </w:pPr>
      <w:bookmarkStart w:id="276" w:name="_Toc4205657"/>
      <w:bookmarkStart w:id="277" w:name="_Toc6113188"/>
      <w:bookmarkStart w:id="278" w:name="_Toc139269177"/>
      <w:bookmarkStart w:id="279" w:name="_Toc332102286"/>
      <w:bookmarkStart w:id="280" w:name="_Toc332102138"/>
      <w:r>
        <w:rPr>
          <w:snapToGrid w:val="0"/>
        </w:rPr>
        <w:t>7.</w:t>
      </w:r>
      <w:r>
        <w:rPr>
          <w:snapToGrid w:val="0"/>
        </w:rPr>
        <w:tab/>
        <w:t>Resolution without meeting</w:t>
      </w:r>
      <w:bookmarkEnd w:id="276"/>
      <w:bookmarkEnd w:id="277"/>
      <w:bookmarkEnd w:id="278"/>
      <w:bookmarkEnd w:id="279"/>
      <w:bookmarkEnd w:id="280"/>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81" w:name="_Toc4205658"/>
      <w:bookmarkStart w:id="282" w:name="_Toc6113189"/>
      <w:bookmarkStart w:id="283" w:name="_Toc139269178"/>
      <w:bookmarkStart w:id="284" w:name="_Toc332102287"/>
      <w:bookmarkStart w:id="285" w:name="_Toc332102139"/>
      <w:r>
        <w:rPr>
          <w:snapToGrid w:val="0"/>
        </w:rPr>
        <w:t>8.</w:t>
      </w:r>
      <w:r>
        <w:rPr>
          <w:snapToGrid w:val="0"/>
        </w:rPr>
        <w:tab/>
        <w:t>Procedures of the Commission</w:t>
      </w:r>
      <w:bookmarkEnd w:id="281"/>
      <w:bookmarkEnd w:id="282"/>
      <w:bookmarkEnd w:id="283"/>
      <w:bookmarkEnd w:id="284"/>
      <w:bookmarkEnd w:id="285"/>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86" w:name="_Toc4205659"/>
      <w:bookmarkStart w:id="287" w:name="_Toc6113190"/>
      <w:bookmarkStart w:id="288" w:name="_Toc139269179"/>
      <w:bookmarkStart w:id="289" w:name="_Toc332102288"/>
      <w:bookmarkStart w:id="290" w:name="_Toc332102140"/>
      <w:r>
        <w:rPr>
          <w:snapToGrid w:val="0"/>
        </w:rPr>
        <w:t>9.</w:t>
      </w:r>
      <w:r>
        <w:rPr>
          <w:snapToGrid w:val="0"/>
        </w:rPr>
        <w:tab/>
        <w:t>Validity of acts of Commission</w:t>
      </w:r>
      <w:bookmarkEnd w:id="286"/>
      <w:bookmarkEnd w:id="287"/>
      <w:bookmarkEnd w:id="288"/>
      <w:bookmarkEnd w:id="289"/>
      <w:bookmarkEnd w:id="290"/>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yFootnotesection"/>
      </w:pPr>
      <w:r>
        <w:tab/>
        <w:t>[Schedule amended by No. 20 of 2000 s.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91" w:name="_Toc89162885"/>
      <w:bookmarkStart w:id="292" w:name="_Toc92439515"/>
      <w:bookmarkStart w:id="293" w:name="_Toc139269180"/>
      <w:bookmarkStart w:id="294" w:name="_Toc139269244"/>
      <w:bookmarkStart w:id="295" w:name="_Toc139427366"/>
      <w:bookmarkStart w:id="296" w:name="_Toc157830501"/>
      <w:bookmarkStart w:id="297" w:name="_Toc332102289"/>
      <w:bookmarkStart w:id="298" w:name="_Toc332102141"/>
      <w:r>
        <w:t>Notes</w:t>
      </w:r>
      <w:bookmarkEnd w:id="291"/>
      <w:bookmarkEnd w:id="292"/>
      <w:bookmarkEnd w:id="293"/>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99" w:name="_Toc6113191"/>
      <w:bookmarkStart w:id="300" w:name="_Toc139269181"/>
      <w:bookmarkStart w:id="301" w:name="_Toc332102290"/>
      <w:bookmarkStart w:id="302" w:name="_Toc332102142"/>
      <w:r>
        <w:rPr>
          <w:snapToGrid w:val="0"/>
        </w:rPr>
        <w:t>Compilation table</w:t>
      </w:r>
      <w:bookmarkEnd w:id="299"/>
      <w:bookmarkEnd w:id="300"/>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pPr>
              <w:pStyle w:val="nTable"/>
              <w:spacing w:before="120"/>
              <w:rPr>
                <w:sz w:val="19"/>
              </w:rPr>
            </w:pPr>
            <w:r>
              <w:rPr>
                <w:sz w:val="19"/>
              </w:rPr>
              <w:t>75 of 1988</w:t>
            </w:r>
          </w:p>
        </w:tc>
        <w:tc>
          <w:tcPr>
            <w:tcW w:w="1134" w:type="dxa"/>
          </w:tcPr>
          <w:p>
            <w:pPr>
              <w:pStyle w:val="nTable"/>
              <w:spacing w:before="120"/>
              <w:rPr>
                <w:sz w:val="19"/>
              </w:rPr>
            </w:pPr>
            <w:r>
              <w:rPr>
                <w:sz w:val="19"/>
              </w:rPr>
              <w:t>23 Dec 1988</w:t>
            </w:r>
          </w:p>
        </w:tc>
        <w:tc>
          <w:tcPr>
            <w:tcW w:w="2552" w:type="dxa"/>
          </w:tcPr>
          <w:p>
            <w:pPr>
              <w:pStyle w:val="nTable"/>
              <w:spacing w:before="120"/>
              <w:rPr>
                <w:sz w:val="19"/>
              </w:rPr>
            </w:pPr>
            <w:r>
              <w:rPr>
                <w:sz w:val="19"/>
              </w:rPr>
              <w:t xml:space="preserve">1 Sep 1989 (see s. 2 and </w:t>
            </w:r>
            <w:r>
              <w:rPr>
                <w:i/>
                <w:sz w:val="19"/>
              </w:rPr>
              <w:t>Gazette</w:t>
            </w:r>
            <w:r>
              <w:rPr>
                <w:sz w:val="19"/>
              </w:rPr>
              <w:t xml:space="preserve"> 1 Sep 1989 p. 3017)</w:t>
            </w:r>
          </w:p>
        </w:tc>
      </w:tr>
      <w:tr>
        <w:trPr>
          <w:cantSplit/>
        </w:trPr>
        <w:tc>
          <w:tcPr>
            <w:tcW w:w="2268" w:type="dxa"/>
          </w:tcPr>
          <w:p>
            <w:pPr>
              <w:pStyle w:val="nTable"/>
              <w:spacing w:before="120"/>
              <w:ind w:right="113"/>
              <w:rPr>
                <w:sz w:val="19"/>
              </w:rPr>
            </w:pPr>
            <w:r>
              <w:rPr>
                <w:i/>
                <w:sz w:val="19"/>
              </w:rPr>
              <w:t>Horticultural Produce Commission Amendment Act 1993</w:t>
            </w:r>
          </w:p>
        </w:tc>
        <w:tc>
          <w:tcPr>
            <w:tcW w:w="1134" w:type="dxa"/>
          </w:tcPr>
          <w:p>
            <w:pPr>
              <w:pStyle w:val="nTable"/>
              <w:spacing w:before="120"/>
              <w:rPr>
                <w:sz w:val="19"/>
              </w:rPr>
            </w:pPr>
            <w:r>
              <w:rPr>
                <w:sz w:val="19"/>
              </w:rPr>
              <w:t>29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15 Dec 1993 (see s. 2)</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Agricultural Legislation Amendment and Repeal Act 1998</w:t>
            </w:r>
            <w:r>
              <w:rPr>
                <w:sz w:val="19"/>
              </w:rPr>
              <w:t xml:space="preserve"> Pt. 6</w:t>
            </w:r>
          </w:p>
        </w:tc>
        <w:tc>
          <w:tcPr>
            <w:tcW w:w="1134" w:type="dxa"/>
          </w:tcPr>
          <w:p>
            <w:pPr>
              <w:pStyle w:val="nTable"/>
              <w:spacing w:before="120"/>
              <w:rPr>
                <w:sz w:val="19"/>
              </w:rPr>
            </w:pPr>
            <w:r>
              <w:rPr>
                <w:sz w:val="19"/>
              </w:rPr>
              <w:t>9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pPr>
              <w:pStyle w:val="nTable"/>
              <w:spacing w:before="120"/>
              <w:rPr>
                <w:sz w:val="19"/>
              </w:rPr>
            </w:pPr>
            <w:r>
              <w:rPr>
                <w:sz w:val="19"/>
              </w:rPr>
              <w:t>20 of 2000</w:t>
            </w:r>
          </w:p>
        </w:tc>
        <w:tc>
          <w:tcPr>
            <w:tcW w:w="1134" w:type="dxa"/>
          </w:tcPr>
          <w:p>
            <w:pPr>
              <w:pStyle w:val="nTable"/>
              <w:spacing w:before="120"/>
              <w:rPr>
                <w:sz w:val="19"/>
              </w:rPr>
            </w:pPr>
            <w:r>
              <w:rPr>
                <w:sz w:val="19"/>
              </w:rPr>
              <w:t>30 Jun 2000</w:t>
            </w:r>
          </w:p>
        </w:tc>
        <w:tc>
          <w:tcPr>
            <w:tcW w:w="2552" w:type="dxa"/>
          </w:tcPr>
          <w:p>
            <w:pPr>
              <w:pStyle w:val="nTable"/>
              <w:spacing w:before="120"/>
              <w:rPr>
                <w:sz w:val="19"/>
              </w:rPr>
            </w:pPr>
            <w:r>
              <w:rPr>
                <w:sz w:val="19"/>
              </w:rPr>
              <w:t xml:space="preserve">11 Aug 2000 (see s. 2 and </w:t>
            </w:r>
            <w:r>
              <w:rPr>
                <w:i/>
                <w:sz w:val="19"/>
              </w:rPr>
              <w:t>Gazette</w:t>
            </w:r>
            <w:r>
              <w:rPr>
                <w:sz w:val="19"/>
              </w:rPr>
              <w:t xml:space="preserve"> 11 Aug 2000 p. 4691)</w:t>
            </w:r>
          </w:p>
        </w:tc>
      </w:tr>
      <w:tr>
        <w:trPr>
          <w:cantSplit/>
        </w:trPr>
        <w:tc>
          <w:tcPr>
            <w:tcW w:w="7088" w:type="dxa"/>
            <w:gridSpan w:val="4"/>
          </w:tcPr>
          <w:p>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5</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before="120"/>
              <w:rPr>
                <w:sz w:val="19"/>
              </w:rPr>
            </w:pPr>
            <w:r>
              <w:rPr>
                <w:sz w:val="19"/>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iCs/>
                <w:sz w:val="19"/>
              </w:rPr>
              <w:t>Gazette</w:t>
            </w:r>
            <w:r>
              <w:rPr>
                <w:sz w:val="19"/>
              </w:rPr>
              <w:t xml:space="preserve"> 27 Jun 2006 p. 2347)</w:t>
            </w:r>
          </w:p>
        </w:tc>
      </w:tr>
      <w:tr>
        <w:trPr>
          <w:cantSplit/>
          <w:ins w:id="303" w:author="svcMRProcess" w:date="2015-10-27T06:38:00Z"/>
        </w:trPr>
        <w:tc>
          <w:tcPr>
            <w:tcW w:w="2268" w:type="dxa"/>
            <w:tcBorders>
              <w:bottom w:val="single" w:sz="4" w:space="0" w:color="auto"/>
            </w:tcBorders>
          </w:tcPr>
          <w:p>
            <w:pPr>
              <w:pStyle w:val="nTable"/>
              <w:spacing w:before="120"/>
              <w:ind w:right="113"/>
              <w:rPr>
                <w:ins w:id="304" w:author="svcMRProcess" w:date="2015-10-27T06:38:00Z"/>
                <w:i/>
                <w:sz w:val="19"/>
              </w:rPr>
            </w:pPr>
            <w:ins w:id="305" w:author="svcMRProcess" w:date="2015-10-27T06:38: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before="120"/>
              <w:rPr>
                <w:ins w:id="306" w:author="svcMRProcess" w:date="2015-10-27T06:38:00Z"/>
                <w:sz w:val="19"/>
              </w:rPr>
            </w:pPr>
            <w:ins w:id="307" w:author="svcMRProcess" w:date="2015-10-27T06:38:00Z">
              <w:r>
                <w:rPr>
                  <w:snapToGrid w:val="0"/>
                  <w:sz w:val="19"/>
                  <w:lang w:val="en-US"/>
                </w:rPr>
                <w:t xml:space="preserve">77 of 2006 </w:t>
              </w:r>
            </w:ins>
          </w:p>
        </w:tc>
        <w:tc>
          <w:tcPr>
            <w:tcW w:w="1134" w:type="dxa"/>
            <w:tcBorders>
              <w:bottom w:val="single" w:sz="4" w:space="0" w:color="auto"/>
            </w:tcBorders>
          </w:tcPr>
          <w:p>
            <w:pPr>
              <w:pStyle w:val="nTable"/>
              <w:spacing w:before="120"/>
              <w:rPr>
                <w:ins w:id="308" w:author="svcMRProcess" w:date="2015-10-27T06:38:00Z"/>
                <w:sz w:val="19"/>
              </w:rPr>
            </w:pPr>
            <w:ins w:id="309" w:author="svcMRProcess" w:date="2015-10-27T06:38:00Z">
              <w:r>
                <w:rPr>
                  <w:snapToGrid w:val="0"/>
                  <w:sz w:val="19"/>
                  <w:lang w:val="en-US"/>
                </w:rPr>
                <w:t>21 Dec 2006</w:t>
              </w:r>
            </w:ins>
          </w:p>
        </w:tc>
        <w:tc>
          <w:tcPr>
            <w:tcW w:w="2552" w:type="dxa"/>
            <w:tcBorders>
              <w:bottom w:val="single" w:sz="4" w:space="0" w:color="auto"/>
            </w:tcBorders>
          </w:tcPr>
          <w:p>
            <w:pPr>
              <w:pStyle w:val="nTable"/>
              <w:spacing w:before="120"/>
              <w:rPr>
                <w:ins w:id="310" w:author="svcMRProcess" w:date="2015-10-27T06:38:00Z"/>
                <w:sz w:val="19"/>
              </w:rPr>
            </w:pPr>
            <w:ins w:id="311" w:author="svcMRProcess" w:date="2015-10-27T06:3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2" w:name="_Toc534778309"/>
      <w:bookmarkStart w:id="313" w:name="_Toc7405063"/>
      <w:bookmarkStart w:id="314" w:name="_Toc86554138"/>
      <w:bookmarkStart w:id="315" w:name="_Toc86554219"/>
      <w:bookmarkStart w:id="316" w:name="_Toc139269182"/>
      <w:bookmarkStart w:id="317" w:name="_Toc332102291"/>
      <w:bookmarkStart w:id="318" w:name="_Toc332102143"/>
      <w:r>
        <w:rPr>
          <w:snapToGrid w:val="0"/>
        </w:rPr>
        <w:t>Provisions that have not come into operation</w:t>
      </w:r>
      <w:bookmarkEnd w:id="312"/>
      <w:bookmarkEnd w:id="313"/>
      <w:bookmarkEnd w:id="314"/>
      <w:bookmarkEnd w:id="315"/>
      <w:bookmarkEnd w:id="316"/>
      <w:bookmarkEnd w:id="317"/>
      <w:bookmarkEnd w:id="31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bottom w:val="single" w:sz="4" w:space="0" w:color="auto"/>
            </w:tcBorders>
          </w:tcPr>
          <w:p>
            <w:pPr>
              <w:pStyle w:val="nTable"/>
              <w:rPr>
                <w:snapToGrid w:val="0"/>
                <w:sz w:val="19"/>
                <w:lang w:val="en-US"/>
              </w:rPr>
            </w:pPr>
            <w:r>
              <w:rPr>
                <w:snapToGrid w:val="0"/>
                <w:sz w:val="19"/>
                <w:lang w:val="en-US"/>
              </w:rPr>
              <w:t>59 of 2004</w:t>
            </w:r>
          </w:p>
        </w:tc>
        <w:tc>
          <w:tcPr>
            <w:tcW w:w="1337" w:type="dxa"/>
            <w:tcBorders>
              <w:bottom w:val="single" w:sz="4" w:space="0" w:color="auto"/>
            </w:tcBorders>
          </w:tcPr>
          <w:p>
            <w:pPr>
              <w:pStyle w:val="nTable"/>
              <w:rPr>
                <w:snapToGrid w:val="0"/>
                <w:sz w:val="19"/>
                <w:lang w:val="en-US"/>
              </w:rPr>
            </w:pPr>
            <w:r>
              <w:rPr>
                <w:sz w:val="19"/>
              </w:rPr>
              <w:t>23 Nov 2004</w:t>
            </w:r>
          </w:p>
        </w:tc>
        <w:tc>
          <w:tcPr>
            <w:tcW w:w="2410"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pPr>
      <w:r>
        <w:rPr>
          <w:vertAlign w:val="superscript"/>
        </w:rPr>
        <w:t>2</w:t>
      </w:r>
      <w:r>
        <w:tab/>
        <w:t xml:space="preserve">Now known as the </w:t>
      </w:r>
      <w:r>
        <w:rPr>
          <w:i/>
        </w:rPr>
        <w:t>Agricultural Produce Commission Act 1988</w:t>
      </w:r>
      <w:r>
        <w:t>; short title changed (see note under s. 1).</w:t>
      </w:r>
    </w:p>
    <w:p>
      <w:pPr>
        <w:pStyle w:val="nSubsection"/>
      </w:pPr>
      <w:r>
        <w:rPr>
          <w:vertAlign w:val="superscript"/>
        </w:rPr>
        <w:t>3</w:t>
      </w:r>
      <w:r>
        <w:tab/>
        <w:t xml:space="preserve">The </w:t>
      </w:r>
      <w:r>
        <w:rPr>
          <w:i/>
        </w:rPr>
        <w:t>Horticultural Produce Commission Amendment Act 2000</w:t>
      </w:r>
      <w:r>
        <w:t xml:space="preserve"> s. 32 and 34 read as follows:</w:t>
      </w:r>
    </w:p>
    <w:p>
      <w:pPr>
        <w:pStyle w:val="MiscOpen"/>
      </w:pPr>
      <w:r>
        <w:t>“</w:t>
      </w:r>
    </w:p>
    <w:p>
      <w:pPr>
        <w:pStyle w:val="nzHeading5"/>
      </w:pPr>
      <w:r>
        <w:t>32.</w:t>
      </w:r>
      <w:r>
        <w:tab/>
        <w:t>Validation</w:t>
      </w:r>
    </w:p>
    <w:p>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19" w:name="_Toc88630545"/>
      <w:r>
        <w:rPr>
          <w:rStyle w:val="CharSectno"/>
        </w:rPr>
        <w:t>142</w:t>
      </w:r>
      <w:r>
        <w:t>.</w:t>
      </w:r>
      <w:r>
        <w:tab/>
        <w:t>Other amendments to various Acts</w:t>
      </w:r>
      <w:bookmarkEnd w:id="31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 reads as follows:</w:t>
      </w:r>
    </w:p>
    <w:p>
      <w:pPr>
        <w:pStyle w:val="MiscOpen"/>
        <w:rPr>
          <w:snapToGrid w:val="0"/>
        </w:rPr>
      </w:pPr>
      <w:r>
        <w:rPr>
          <w:snapToGrid w:val="0"/>
        </w:rPr>
        <w:t>“</w:t>
      </w:r>
    </w:p>
    <w:p>
      <w:pPr>
        <w:pStyle w:val="nzHeading2"/>
        <w:spacing w:before="0" w:after="120"/>
      </w:pPr>
      <w:bookmarkStart w:id="320" w:name="AutoSch"/>
      <w:bookmarkEnd w:id="320"/>
      <w:r>
        <w:rPr>
          <w:rStyle w:val="CharSchNo"/>
        </w:rPr>
        <w:t>Schedule 2</w:t>
      </w:r>
      <w:r>
        <w:t xml:space="preserve"> — </w:t>
      </w:r>
      <w:r>
        <w:rPr>
          <w:rStyle w:val="CharSchText"/>
        </w:rPr>
        <w:t>Other amendments to Acts</w:t>
      </w:r>
    </w:p>
    <w:p>
      <w:pPr>
        <w:pStyle w:val="nzHeading5"/>
        <w:spacing w:before="0" w:after="120"/>
      </w:pPr>
      <w:bookmarkStart w:id="321" w:name="_Toc491766718"/>
      <w:bookmarkStart w:id="322" w:name="_Toc497185755"/>
      <w:bookmarkStart w:id="323" w:name="_Toc88630725"/>
      <w:r>
        <w:t>3.</w:t>
      </w:r>
      <w:r>
        <w:tab/>
      </w:r>
      <w:r>
        <w:rPr>
          <w:i/>
        </w:rPr>
        <w:t>Agricultural Produce Commission Act 1988</w:t>
      </w:r>
      <w:bookmarkEnd w:id="321"/>
      <w:bookmarkEnd w:id="322"/>
      <w:bookmarkEnd w:id="32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w:t>
            </w:r>
            <w:del w:id="324" w:author="svcMRProcess" w:date="2015-10-27T06:38:00Z">
              <w:r>
                <w:delText xml:space="preserve"> </w:delText>
              </w:r>
            </w:del>
            <w:ins w:id="325" w:author="svcMRProcess" w:date="2015-10-27T06:38:00Z">
              <w:r>
                <w:t> </w:t>
              </w:r>
            </w:ins>
            <w:r>
              <w:t>16(2)</w:t>
            </w:r>
          </w:p>
        </w:tc>
        <w:tc>
          <w:tcPr>
            <w:tcW w:w="4536" w:type="dxa"/>
          </w:tcPr>
          <w:p>
            <w:pPr>
              <w:pStyle w:val="nzTable"/>
            </w:pPr>
            <w:r>
              <w:t xml:space="preserve">Delete “a Local Court and the Local Court” and insert instead — </w:t>
            </w:r>
          </w:p>
          <w:p>
            <w:pPr>
              <w:pStyle w:val="nzTable"/>
            </w:pPr>
            <w:r>
              <w:t>“    the Magistrates Court which    ”.</w:t>
            </w:r>
          </w:p>
        </w:tc>
      </w:tr>
      <w:tr>
        <w:trPr>
          <w:cantSplit/>
        </w:trPr>
        <w:tc>
          <w:tcPr>
            <w:tcW w:w="1134" w:type="dxa"/>
          </w:tcPr>
          <w:p>
            <w:pPr>
              <w:pStyle w:val="nzTable"/>
            </w:pPr>
            <w:r>
              <w:t>s.</w:t>
            </w:r>
            <w:del w:id="326" w:author="svcMRProcess" w:date="2015-10-27T06:38:00Z">
              <w:r>
                <w:delText xml:space="preserve"> </w:delText>
              </w:r>
            </w:del>
            <w:ins w:id="327" w:author="svcMRProcess" w:date="2015-10-27T06:38:00Z">
              <w:r>
                <w:t> </w:t>
              </w:r>
            </w:ins>
            <w:r>
              <w:t>16(3)</w:t>
            </w:r>
          </w:p>
        </w:tc>
        <w:tc>
          <w:tcPr>
            <w:tcW w:w="4536" w:type="dxa"/>
          </w:tcPr>
          <w:p>
            <w:pPr>
              <w:pStyle w:val="nzTable"/>
            </w:pPr>
            <w:r>
              <w:t xml:space="preserve">Delete “Local Court” and insert instead — </w:t>
            </w:r>
          </w:p>
          <w:p>
            <w:pPr>
              <w:pStyle w:val="nzTable"/>
            </w:pPr>
            <w:r>
              <w:t>“    Magistrates Court    ”.</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6603</Words>
  <Characters>32558</Characters>
  <Application>Microsoft Office Word</Application>
  <DocSecurity>0</DocSecurity>
  <Lines>879</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01-c0-04 - 01-d0-05</dc:title>
  <dc:subject/>
  <dc:creator/>
  <cp:keywords/>
  <dc:description/>
  <cp:lastModifiedBy>svcMRProcess</cp:lastModifiedBy>
  <cp:revision>2</cp:revision>
  <cp:lastPrinted>2002-04-09T02:58:00Z</cp:lastPrinted>
  <dcterms:created xsi:type="dcterms:W3CDTF">2015-10-26T22:38:00Z</dcterms:created>
  <dcterms:modified xsi:type="dcterms:W3CDTF">2015-10-26T22:38:00Z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354</vt:i4>
  </property>
  <property fmtid="{D5CDD505-2E9C-101B-9397-08002B2CF9AE}" pid="6" name="FromSuffix">
    <vt:lpwstr>01-c0-04</vt:lpwstr>
  </property>
  <property fmtid="{D5CDD505-2E9C-101B-9397-08002B2CF9AE}" pid="7" name="FromAsAtDate">
    <vt:lpwstr>01 Jul 2006</vt:lpwstr>
  </property>
  <property fmtid="{D5CDD505-2E9C-101B-9397-08002B2CF9AE}" pid="8" name="ToSuffix">
    <vt:lpwstr>01-d0-05</vt:lpwstr>
  </property>
  <property fmtid="{D5CDD505-2E9C-101B-9397-08002B2CF9AE}" pid="9" name="ToAsAtDate">
    <vt:lpwstr>01 Feb 2007</vt:lpwstr>
  </property>
</Properties>
</file>