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Jun 2021</w:t>
      </w:r>
      <w:r>
        <w:fldChar w:fldCharType="end"/>
      </w:r>
      <w:r>
        <w:t xml:space="preserve">, </w:t>
      </w:r>
      <w:r>
        <w:fldChar w:fldCharType="begin"/>
      </w:r>
      <w:r>
        <w:instrText xml:space="preserve"> DocProperty FromSuffix </w:instrText>
      </w:r>
      <w:r>
        <w:fldChar w:fldCharType="separate"/>
      </w:r>
      <w:r>
        <w:t>01-j0-00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01-k0-00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Marine and Harbours Act 1981</w:t>
      </w:r>
    </w:p>
    <w:p>
      <w:pPr>
        <w:pStyle w:val="NameofActReg"/>
      </w:pPr>
      <w:r>
        <w:t>Marine and Harbours (Departmental Areas) Regulations 1998</w:t>
      </w:r>
    </w:p>
    <w:p>
      <w:pPr>
        <w:pStyle w:val="Heading5"/>
        <w:rPr>
          <w:snapToGrid w:val="0"/>
        </w:rPr>
      </w:pPr>
      <w:bookmarkStart w:id="1" w:name="_Toc75531708"/>
      <w:bookmarkStart w:id="2" w:name="_Toc73620522"/>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snapToGrid w:val="0"/>
        </w:rPr>
        <w:t>.</w:t>
      </w:r>
    </w:p>
    <w:p>
      <w:pPr>
        <w:pStyle w:val="Heading5"/>
        <w:rPr>
          <w:snapToGrid w:val="0"/>
        </w:rPr>
      </w:pPr>
      <w:bookmarkStart w:id="4" w:name="_Toc75531709"/>
      <w:bookmarkStart w:id="5" w:name="_Toc73620523"/>
      <w:r>
        <w:rPr>
          <w:rStyle w:val="CharSectno"/>
        </w:rPr>
        <w:t>2</w:t>
      </w:r>
      <w:r>
        <w:rPr>
          <w:snapToGrid w:val="0"/>
        </w:rPr>
        <w:t>.</w:t>
      </w:r>
      <w:r>
        <w:rPr>
          <w:snapToGrid w:val="0"/>
        </w:rPr>
        <w:tab/>
        <w:t>Interpretation</w:t>
      </w:r>
      <w:bookmarkEnd w:id="4"/>
      <w:bookmarkEnd w:id="5"/>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2 amended: Gazette 8 Jan 2015 p. 53</w:t>
      </w:r>
      <w:r>
        <w:noBreakHyphen/>
        <w:t>4.]</w:t>
      </w:r>
    </w:p>
    <w:p>
      <w:pPr>
        <w:pStyle w:val="Heading5"/>
        <w:rPr>
          <w:snapToGrid w:val="0"/>
        </w:rPr>
      </w:pPr>
      <w:bookmarkStart w:id="6" w:name="_Toc75531710"/>
      <w:bookmarkStart w:id="7" w:name="_Toc73620524"/>
      <w:r>
        <w:rPr>
          <w:rStyle w:val="CharSectno"/>
        </w:rPr>
        <w:t>3</w:t>
      </w:r>
      <w:r>
        <w:rPr>
          <w:snapToGrid w:val="0"/>
        </w:rPr>
        <w:t>.</w:t>
      </w:r>
      <w:r>
        <w:rPr>
          <w:snapToGrid w:val="0"/>
        </w:rPr>
        <w:tab/>
        <w:t>Parking vehicles on departmental land</w:t>
      </w:r>
      <w:bookmarkEnd w:id="6"/>
      <w:bookmarkEnd w:id="7"/>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rPr>
          <w:snapToGrid w:val="0"/>
        </w:rPr>
      </w:pPr>
      <w:r>
        <w:rPr>
          <w:snapToGrid w:val="0"/>
        </w:rPr>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8" w:name="_Toc75531711"/>
      <w:bookmarkStart w:id="9" w:name="_Toc73620525"/>
      <w:r>
        <w:rPr>
          <w:rStyle w:val="CharSectno"/>
        </w:rPr>
        <w:t>3A</w:t>
      </w:r>
      <w:r>
        <w:t>.</w:t>
      </w:r>
      <w:r>
        <w:tab/>
        <w:t>Parking charges for boat trailers: Hillarys Boat Harbour</w:t>
      </w:r>
      <w:bookmarkEnd w:id="8"/>
      <w:bookmarkEnd w:id="9"/>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$9.</w:t>
      </w:r>
      <w:del w:id="10" w:author="Master Repository Process" w:date="2021-08-29T08:50:00Z">
        <w:r>
          <w:delText>30</w:delText>
        </w:r>
      </w:del>
      <w:ins w:id="11" w:author="Master Repository Process" w:date="2021-08-29T08:50:00Z">
        <w:r>
          <w:t>40</w:t>
        </w:r>
      </w:ins>
      <w:r>
        <w:t>;</w:t>
      </w:r>
    </w:p>
    <w:p>
      <w:pPr>
        <w:pStyle w:val="Indenta"/>
      </w:pPr>
      <w:r>
        <w:tab/>
        <w:t>(b)</w:t>
      </w:r>
      <w:r>
        <w:tab/>
        <w:t>an annual charge of $</w:t>
      </w:r>
      <w:del w:id="12" w:author="Master Repository Process" w:date="2021-08-29T08:50:00Z">
        <w:r>
          <w:delText>145.30</w:delText>
        </w:r>
      </w:del>
      <w:ins w:id="13" w:author="Master Repository Process" w:date="2021-08-29T08:50:00Z">
        <w:r>
          <w:t>147.85</w:t>
        </w:r>
      </w:ins>
      <w:r>
        <w:t>.</w:t>
      </w:r>
    </w:p>
    <w:p>
      <w:pPr>
        <w:pStyle w:val="Footnotesection"/>
      </w:pPr>
      <w:r>
        <w:tab/>
        <w:t>[Regulation 3A inserted: Gazette 23 Jun 2017 p. 3258; amended: Gazette 22 Jun 2018 p. 2184; 31 May 2019 p. 1722; SL 2020/60 r. </w:t>
      </w:r>
      <w:del w:id="14" w:author="Master Repository Process" w:date="2021-08-29T08:50:00Z">
        <w:r>
          <w:delText>4</w:delText>
        </w:r>
      </w:del>
      <w:ins w:id="15" w:author="Master Repository Process" w:date="2021-08-29T08:50:00Z">
        <w:r>
          <w:t>4; SL 2021/68 r. 10</w:t>
        </w:r>
      </w:ins>
      <w:r>
        <w:t>.]</w:t>
      </w:r>
    </w:p>
    <w:p>
      <w:pPr>
        <w:pStyle w:val="Heading5"/>
        <w:rPr>
          <w:snapToGrid w:val="0"/>
        </w:rPr>
      </w:pPr>
      <w:bookmarkStart w:id="16" w:name="_Toc75531712"/>
      <w:bookmarkStart w:id="17" w:name="_Toc73620526"/>
      <w:r>
        <w:rPr>
          <w:rStyle w:val="CharSectno"/>
        </w:rPr>
        <w:t>4</w:t>
      </w:r>
      <w:r>
        <w:rPr>
          <w:snapToGrid w:val="0"/>
        </w:rPr>
        <w:t>.</w:t>
      </w:r>
      <w:r>
        <w:rPr>
          <w:snapToGrid w:val="0"/>
        </w:rPr>
        <w:tab/>
        <w:t>Driving and riding vehicles on departmental land</w:t>
      </w:r>
      <w:bookmarkEnd w:id="16"/>
      <w:bookmarkEnd w:id="17"/>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18" w:name="_Toc75531713"/>
      <w:bookmarkStart w:id="19" w:name="_Toc73620527"/>
      <w:r>
        <w:rPr>
          <w:rStyle w:val="CharSectno"/>
        </w:rPr>
        <w:t>5</w:t>
      </w:r>
      <w:r>
        <w:rPr>
          <w:snapToGrid w:val="0"/>
        </w:rPr>
        <w:t>.</w:t>
      </w:r>
      <w:r>
        <w:rPr>
          <w:snapToGrid w:val="0"/>
        </w:rPr>
        <w:tab/>
        <w:t>Departmental land leased to local governments</w:t>
      </w:r>
      <w:bookmarkEnd w:id="18"/>
      <w:bookmarkEnd w:id="19"/>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20" w:name="_Toc75531714"/>
      <w:bookmarkStart w:id="21" w:name="_Toc73620528"/>
      <w:r>
        <w:rPr>
          <w:rStyle w:val="CharSectno"/>
        </w:rPr>
        <w:t>6</w:t>
      </w:r>
      <w:r>
        <w:rPr>
          <w:snapToGrid w:val="0"/>
        </w:rPr>
        <w:t>.</w:t>
      </w:r>
      <w:r>
        <w:rPr>
          <w:snapToGrid w:val="0"/>
        </w:rPr>
        <w:tab/>
        <w:t>Using waters in departmental areas</w:t>
      </w:r>
      <w:bookmarkEnd w:id="20"/>
      <w:bookmarkEnd w:id="21"/>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keepNext/>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22" w:name="_Toc75531715"/>
      <w:bookmarkStart w:id="23" w:name="_Toc73620529"/>
      <w:r>
        <w:rPr>
          <w:rStyle w:val="CharSectno"/>
        </w:rPr>
        <w:t>7</w:t>
      </w:r>
      <w:r>
        <w:rPr>
          <w:snapToGrid w:val="0"/>
        </w:rPr>
        <w:t>.</w:t>
      </w:r>
      <w:r>
        <w:rPr>
          <w:snapToGrid w:val="0"/>
        </w:rPr>
        <w:tab/>
        <w:t>Permitting animals on jetties in departmental areas</w:t>
      </w:r>
      <w:bookmarkEnd w:id="22"/>
      <w:bookmarkEnd w:id="23"/>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r>
        <w:tab/>
        <w:t>[Regulation 7 amended: Gazette 8 Jan 2015 p. 54.]</w:t>
      </w:r>
    </w:p>
    <w:p>
      <w:pPr>
        <w:pStyle w:val="Heading5"/>
        <w:rPr>
          <w:snapToGrid w:val="0"/>
        </w:rPr>
      </w:pPr>
      <w:bookmarkStart w:id="24" w:name="_Toc75531716"/>
      <w:bookmarkStart w:id="25" w:name="_Toc73620530"/>
      <w:r>
        <w:rPr>
          <w:rStyle w:val="CharSectno"/>
        </w:rPr>
        <w:t>8</w:t>
      </w:r>
      <w:r>
        <w:rPr>
          <w:snapToGrid w:val="0"/>
        </w:rPr>
        <w:t>.</w:t>
      </w:r>
      <w:r>
        <w:rPr>
          <w:snapToGrid w:val="0"/>
        </w:rPr>
        <w:tab/>
        <w:t>Giving false or misleading information</w:t>
      </w:r>
      <w:bookmarkEnd w:id="24"/>
      <w:bookmarkEnd w:id="25"/>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26" w:name="_Toc75531717"/>
      <w:bookmarkStart w:id="27" w:name="_Toc73620531"/>
      <w:r>
        <w:rPr>
          <w:rStyle w:val="CharSectno"/>
        </w:rPr>
        <w:t>9</w:t>
      </w:r>
      <w:r>
        <w:rPr>
          <w:snapToGrid w:val="0"/>
        </w:rPr>
        <w:t>.</w:t>
      </w:r>
      <w:r>
        <w:rPr>
          <w:snapToGrid w:val="0"/>
        </w:rPr>
        <w:tab/>
        <w:t>Infringement notices and modified penalties</w:t>
      </w:r>
      <w:bookmarkEnd w:id="26"/>
      <w:bookmarkEnd w:id="27"/>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28" w:name="_Toc75531718"/>
      <w:bookmarkStart w:id="29" w:name="_Toc73620532"/>
      <w:r>
        <w:rPr>
          <w:rStyle w:val="CharSectno"/>
        </w:rPr>
        <w:t>10</w:t>
      </w:r>
      <w:r>
        <w:rPr>
          <w:snapToGrid w:val="0"/>
        </w:rPr>
        <w:t>.</w:t>
      </w:r>
      <w:r>
        <w:rPr>
          <w:snapToGrid w:val="0"/>
        </w:rPr>
        <w:tab/>
        <w:t>Offences that place onus on vehicle owner</w:t>
      </w:r>
      <w:bookmarkEnd w:id="28"/>
      <w:bookmarkEnd w:id="29"/>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0" w:name="_Toc75427860"/>
      <w:bookmarkStart w:id="31" w:name="_Toc75428397"/>
      <w:bookmarkStart w:id="32" w:name="_Toc75531719"/>
      <w:bookmarkStart w:id="33" w:name="_Toc73616623"/>
      <w:bookmarkStart w:id="34" w:name="_Toc73616842"/>
      <w:bookmarkStart w:id="35" w:name="_Toc73620533"/>
      <w:r>
        <w:rPr>
          <w:rStyle w:val="CharSchNo"/>
        </w:rPr>
        <w:t>Schedule 1</w:t>
      </w:r>
      <w:r>
        <w:t> — </w:t>
      </w:r>
      <w:r>
        <w:rPr>
          <w:rStyle w:val="CharSchText"/>
        </w:rPr>
        <w:t>Infringement notice offences and modified penalties</w:t>
      </w:r>
      <w:bookmarkEnd w:id="30"/>
      <w:bookmarkEnd w:id="31"/>
      <w:bookmarkEnd w:id="32"/>
      <w:bookmarkEnd w:id="33"/>
      <w:bookmarkEnd w:id="34"/>
      <w:bookmarkEnd w:id="35"/>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36" w:name="_Toc75427861"/>
      <w:bookmarkStart w:id="37" w:name="_Toc75428398"/>
      <w:bookmarkStart w:id="38" w:name="_Toc75531720"/>
      <w:bookmarkStart w:id="39" w:name="_Toc73616624"/>
      <w:bookmarkStart w:id="40" w:name="_Toc73616843"/>
      <w:bookmarkStart w:id="41" w:name="_Toc73620534"/>
      <w:r>
        <w:rPr>
          <w:rStyle w:val="CharSchNo"/>
        </w:rPr>
        <w:t>Schedule 2</w:t>
      </w:r>
      <w:r>
        <w:t> — </w:t>
      </w:r>
      <w:r>
        <w:rPr>
          <w:rStyle w:val="CharSchText"/>
        </w:rPr>
        <w:t>Forms</w:t>
      </w:r>
      <w:bookmarkEnd w:id="36"/>
      <w:bookmarkEnd w:id="37"/>
      <w:bookmarkEnd w:id="38"/>
      <w:bookmarkEnd w:id="39"/>
      <w:bookmarkEnd w:id="40"/>
      <w:bookmarkEnd w:id="41"/>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Gazette 8 Jan 2015 p. 54</w:t>
      </w:r>
      <w:r>
        <w:noBreakHyphen/>
        <w:t>5.]</w:t>
      </w:r>
    </w:p>
    <w:p>
      <w:pPr>
        <w:pStyle w:val="yMiscellaneousHeading"/>
        <w:pageBreakBefore/>
        <w:rPr>
          <w:b/>
          <w:snapToGrid w:val="0"/>
        </w:rPr>
      </w:pPr>
      <w:r>
        <w:rPr>
          <w:b/>
          <w:snapToGrid w:val="0"/>
        </w:rPr>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3" w:name="_Toc75427862"/>
      <w:bookmarkStart w:id="44" w:name="_Toc75428399"/>
      <w:bookmarkStart w:id="45" w:name="_Toc75531721"/>
      <w:bookmarkStart w:id="46" w:name="_Toc73616625"/>
      <w:bookmarkStart w:id="47" w:name="_Toc73616844"/>
      <w:bookmarkStart w:id="48" w:name="_Toc73620535"/>
      <w:r>
        <w:t>Notes</w:t>
      </w:r>
      <w:bookmarkEnd w:id="43"/>
      <w:bookmarkEnd w:id="44"/>
      <w:bookmarkEnd w:id="45"/>
      <w:bookmarkEnd w:id="46"/>
      <w:bookmarkEnd w:id="47"/>
      <w:bookmarkEnd w:id="48"/>
    </w:p>
    <w:p>
      <w:pPr>
        <w:pStyle w:val="nStatement"/>
      </w:pPr>
      <w:r>
        <w:t xml:space="preserve">This is a compilation of the </w:t>
      </w:r>
      <w:r>
        <w:rPr>
          <w:i/>
          <w:noProof/>
        </w:rPr>
        <w:t>Marine and Harbours (Departmental Areas) Regulations 1998</w:t>
      </w:r>
      <w:r>
        <w:t xml:space="preserve"> and includes amendments made by other written laws. For provisions that have come into operation, and for information about any reprints, see the compilation table.</w:t>
      </w:r>
      <w:del w:id="49" w:author="Master Repository Process" w:date="2021-08-29T08:50:00Z">
        <w:r>
          <w:delText xml:space="preserve"> For provisions that have not yet come into operation see the uncommenced provisions table.</w:delText>
        </w:r>
      </w:del>
    </w:p>
    <w:p>
      <w:pPr>
        <w:pStyle w:val="nHeading3"/>
      </w:pPr>
      <w:bookmarkStart w:id="50" w:name="_Toc75531722"/>
      <w:bookmarkStart w:id="51" w:name="_Toc73620536"/>
      <w:r>
        <w:t>Compilation table</w:t>
      </w:r>
      <w:bookmarkEnd w:id="50"/>
      <w:bookmarkEnd w:id="5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trPr>
          <w:gridAfter w:val="1"/>
          <w:wAfter w:w="28"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single" w:sz="4" w:space="0" w:color="auto"/>
            <w:insideH w:val="single" w:sz="4" w:space="0" w:color="auto"/>
          </w:tblBorders>
        </w:tblPrEx>
        <w:trPr>
          <w:gridBefore w:val="1"/>
          <w:wBefore w:w="28" w:type="dxa"/>
        </w:trPr>
        <w:tc>
          <w:tcPr>
            <w:tcW w:w="3118" w:type="dxa"/>
            <w:gridSpan w:val="2"/>
            <w:tcBorders>
              <w:top w:val="single" w:sz="8" w:space="0" w:color="auto"/>
              <w:bottom w:val="nil"/>
            </w:tcBorders>
          </w:tcPr>
          <w:p>
            <w:pPr>
              <w:pStyle w:val="nTable"/>
              <w:spacing w:after="40"/>
            </w:pPr>
            <w:r>
              <w:rPr>
                <w:i/>
              </w:rPr>
              <w:t>Marine and Harbours (Departmental Areas) Regulations 1998</w:t>
            </w:r>
          </w:p>
        </w:tc>
        <w:tc>
          <w:tcPr>
            <w:tcW w:w="1276" w:type="dxa"/>
            <w:gridSpan w:val="2"/>
            <w:tcBorders>
              <w:top w:val="single" w:sz="8" w:space="0" w:color="auto"/>
              <w:bottom w:val="nil"/>
            </w:tcBorders>
          </w:tcPr>
          <w:p>
            <w:pPr>
              <w:pStyle w:val="nTable"/>
              <w:spacing w:after="40"/>
            </w:pPr>
            <w:r>
              <w:t>17 Jul 1998 p. 3800</w:t>
            </w:r>
            <w:r>
              <w:noBreakHyphen/>
              <w:t>3</w:t>
            </w:r>
          </w:p>
        </w:tc>
        <w:tc>
          <w:tcPr>
            <w:tcW w:w="2693" w:type="dxa"/>
            <w:gridSpan w:val="2"/>
            <w:tcBorders>
              <w:top w:val="single" w:sz="8" w:space="0" w:color="auto"/>
              <w:bottom w:val="nil"/>
            </w:tcBorders>
          </w:tcPr>
          <w:p>
            <w:pPr>
              <w:pStyle w:val="nTable"/>
              <w:spacing w:after="40"/>
            </w:pPr>
            <w:r>
              <w:t>17 Jul 1998</w:t>
            </w:r>
          </w:p>
        </w:tc>
      </w:tr>
      <w:tr>
        <w:tblPrEx>
          <w:tblBorders>
            <w:top w:val="single" w:sz="4" w:space="0" w:color="auto"/>
            <w:insideH w:val="single" w:sz="4" w:space="0" w:color="auto"/>
          </w:tblBorders>
        </w:tblPrEx>
        <w:trPr>
          <w:gridBefore w:val="1"/>
          <w:wBefore w:w="28" w:type="dxa"/>
          <w:cantSplit/>
        </w:trPr>
        <w:tc>
          <w:tcPr>
            <w:tcW w:w="7087" w:type="dxa"/>
            <w:gridSpan w:val="6"/>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Marine and Harbours (Departmental Areas) Amendment Regulations 2014</w:t>
            </w:r>
          </w:p>
        </w:tc>
        <w:tc>
          <w:tcPr>
            <w:tcW w:w="1276" w:type="dxa"/>
            <w:gridSpan w:val="2"/>
            <w:tcBorders>
              <w:top w:val="nil"/>
              <w:bottom w:val="nil"/>
            </w:tcBorders>
          </w:tcPr>
          <w:p>
            <w:pPr>
              <w:pStyle w:val="nTable"/>
              <w:spacing w:after="40"/>
            </w:pPr>
            <w:r>
              <w:t>8 Jan 2015 p. 53</w:t>
            </w:r>
            <w:r>
              <w:noBreakHyphen/>
              <w:t>5</w:t>
            </w:r>
          </w:p>
        </w:tc>
        <w:tc>
          <w:tcPr>
            <w:tcW w:w="2693" w:type="dxa"/>
            <w:gridSpan w:val="2"/>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Transport Regulations Amendment (Fees and Charges) Regulations (No. 2) 2017</w:t>
            </w:r>
            <w:r>
              <w:t xml:space="preserve"> Pt. 2</w:t>
            </w:r>
          </w:p>
        </w:tc>
        <w:tc>
          <w:tcPr>
            <w:tcW w:w="1276" w:type="dxa"/>
            <w:gridSpan w:val="2"/>
            <w:tcBorders>
              <w:top w:val="nil"/>
              <w:bottom w:val="nil"/>
            </w:tcBorders>
          </w:tcPr>
          <w:p>
            <w:pPr>
              <w:pStyle w:val="nTable"/>
              <w:spacing w:after="40"/>
            </w:pPr>
            <w:r>
              <w:t>23 Jun 2017 p. 3253</w:t>
            </w:r>
            <w:r>
              <w:noBreakHyphen/>
              <w:t>78</w:t>
            </w:r>
          </w:p>
        </w:tc>
        <w:tc>
          <w:tcPr>
            <w:tcW w:w="2693"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2018</w:t>
            </w:r>
            <w:r>
              <w:t xml:space="preserve"> Pt. 2</w:t>
            </w:r>
          </w:p>
        </w:tc>
        <w:tc>
          <w:tcPr>
            <w:tcW w:w="1276" w:type="dxa"/>
            <w:gridSpan w:val="2"/>
            <w:tcBorders>
              <w:top w:val="nil"/>
              <w:bottom w:val="nil"/>
            </w:tcBorders>
          </w:tcPr>
          <w:p>
            <w:pPr>
              <w:pStyle w:val="nTable"/>
              <w:spacing w:after="40"/>
            </w:pPr>
            <w:r>
              <w:t>22 Jun 2018 p. 2184</w:t>
            </w:r>
            <w:r>
              <w:noBreakHyphen/>
              <w:t>93</w:t>
            </w:r>
          </w:p>
        </w:tc>
        <w:tc>
          <w:tcPr>
            <w:tcW w:w="2693" w:type="dxa"/>
            <w:gridSpan w:val="2"/>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2019</w:t>
            </w:r>
            <w:r>
              <w:t xml:space="preserve"> Pt. 2</w:t>
            </w:r>
          </w:p>
        </w:tc>
        <w:tc>
          <w:tcPr>
            <w:tcW w:w="1276" w:type="dxa"/>
            <w:gridSpan w:val="2"/>
            <w:tcBorders>
              <w:top w:val="nil"/>
              <w:bottom w:val="nil"/>
            </w:tcBorders>
          </w:tcPr>
          <w:p>
            <w:pPr>
              <w:pStyle w:val="nTable"/>
              <w:spacing w:after="40"/>
            </w:pPr>
            <w:r>
              <w:t>31 May 2019 p. 1721</w:t>
            </w:r>
            <w:r>
              <w:noBreakHyphen/>
              <w:t>8</w:t>
            </w:r>
          </w:p>
        </w:tc>
        <w:tc>
          <w:tcPr>
            <w:tcW w:w="2693" w:type="dxa"/>
            <w:gridSpan w:val="2"/>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 xml:space="preserve">Transport Regulations Amendment (Fees and Charges) Regulations 2020 </w:t>
            </w:r>
            <w:r>
              <w:t>Pt. 2</w:t>
            </w:r>
          </w:p>
        </w:tc>
        <w:tc>
          <w:tcPr>
            <w:tcW w:w="1276" w:type="dxa"/>
            <w:gridSpan w:val="2"/>
            <w:tcBorders>
              <w:top w:val="nil"/>
              <w:bottom w:val="nil"/>
            </w:tcBorders>
          </w:tcPr>
          <w:p>
            <w:pPr>
              <w:pStyle w:val="nTable"/>
              <w:spacing w:after="40"/>
            </w:pPr>
            <w:r>
              <w:t>SL 2020/60 22 May 2020</w:t>
            </w:r>
          </w:p>
        </w:tc>
        <w:tc>
          <w:tcPr>
            <w:tcW w:w="2693" w:type="dxa"/>
            <w:gridSpan w:val="2"/>
            <w:tcBorders>
              <w:top w:val="nil"/>
              <w:bottom w:val="nil"/>
            </w:tcBorders>
          </w:tcPr>
          <w:p>
            <w:pPr>
              <w:pStyle w:val="nTable"/>
              <w:spacing w:after="40"/>
            </w:pPr>
            <w:r>
              <w:t>1 Jul 2020 (see r. 2(b))</w:t>
            </w:r>
          </w:p>
        </w:tc>
      </w:tr>
    </w:tbl>
    <w:p>
      <w:pPr>
        <w:pStyle w:val="nHeading3"/>
        <w:rPr>
          <w:del w:id="52" w:author="Master Repository Process" w:date="2021-08-29T08:50:00Z"/>
        </w:rPr>
      </w:pPr>
      <w:bookmarkStart w:id="53" w:name="_Toc73620537"/>
      <w:del w:id="54" w:author="Master Repository Process" w:date="2021-08-29T08:50:00Z">
        <w:r>
          <w:delText>Uncommenced provisions table</w:delText>
        </w:r>
        <w:bookmarkEnd w:id="53"/>
      </w:del>
    </w:p>
    <w:p>
      <w:pPr>
        <w:pStyle w:val="nStatement"/>
        <w:keepNext/>
        <w:spacing w:after="240"/>
        <w:rPr>
          <w:del w:id="55" w:author="Master Repository Process" w:date="2021-08-29T08:50:00Z"/>
        </w:rPr>
      </w:pPr>
      <w:del w:id="56" w:author="Master Repository Process" w:date="2021-08-29T08:5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trPr>
          <w:gridAfter w:val="1"/>
          <w:wAfter w:w="28" w:type="dxa"/>
          <w:tblHeader/>
          <w:del w:id="57" w:author="Master Repository Process" w:date="2021-08-29T08:50:00Z"/>
        </w:trPr>
        <w:tc>
          <w:tcPr>
            <w:tcW w:w="3118" w:type="dxa"/>
            <w:gridSpan w:val="2"/>
          </w:tcPr>
          <w:p>
            <w:pPr>
              <w:pStyle w:val="nTable"/>
              <w:spacing w:after="40"/>
              <w:rPr>
                <w:del w:id="58" w:author="Master Repository Process" w:date="2021-08-29T08:50:00Z"/>
                <w:b/>
              </w:rPr>
            </w:pPr>
            <w:del w:id="59" w:author="Master Repository Process" w:date="2021-08-29T08:50:00Z">
              <w:r>
                <w:rPr>
                  <w:b/>
                </w:rPr>
                <w:delText>Citation</w:delText>
              </w:r>
            </w:del>
          </w:p>
        </w:tc>
        <w:tc>
          <w:tcPr>
            <w:tcW w:w="1276" w:type="dxa"/>
            <w:gridSpan w:val="2"/>
          </w:tcPr>
          <w:p>
            <w:pPr>
              <w:pStyle w:val="nTable"/>
              <w:spacing w:after="40"/>
              <w:rPr>
                <w:del w:id="60" w:author="Master Repository Process" w:date="2021-08-29T08:50:00Z"/>
                <w:b/>
              </w:rPr>
            </w:pPr>
            <w:del w:id="61" w:author="Master Repository Process" w:date="2021-08-29T08:50:00Z">
              <w:r>
                <w:rPr>
                  <w:b/>
                </w:rPr>
                <w:delText>Published</w:delText>
              </w:r>
            </w:del>
          </w:p>
        </w:tc>
        <w:tc>
          <w:tcPr>
            <w:tcW w:w="2693" w:type="dxa"/>
            <w:gridSpan w:val="2"/>
          </w:tcPr>
          <w:p>
            <w:pPr>
              <w:pStyle w:val="nTable"/>
              <w:spacing w:after="40"/>
              <w:rPr>
                <w:del w:id="62" w:author="Master Repository Process" w:date="2021-08-29T08:50:00Z"/>
                <w:b/>
              </w:rPr>
            </w:pPr>
            <w:del w:id="63" w:author="Master Repository Process" w:date="2021-08-29T08:50:00Z">
              <w:r>
                <w:rPr>
                  <w:b/>
                </w:rPr>
                <w:delText>Commencement</w:delText>
              </w:r>
            </w:del>
          </w:p>
        </w:tc>
      </w:tr>
      <w:tr>
        <w:tblPrEx>
          <w:tblBorders>
            <w:top w:val="single" w:sz="4" w:space="0" w:color="auto"/>
            <w:insideH w:val="single" w:sz="4" w:space="0" w:color="auto"/>
          </w:tblBorders>
        </w:tblPrEx>
        <w:trPr>
          <w:gridBefore w:val="1"/>
          <w:wBefore w:w="28" w:type="dxa"/>
        </w:trPr>
        <w:tc>
          <w:tcPr>
            <w:tcW w:w="3118" w:type="dxa"/>
            <w:gridSpan w:val="2"/>
            <w:tcBorders>
              <w:top w:val="nil"/>
              <w:bottom w:val="single" w:sz="4" w:space="0" w:color="auto"/>
            </w:tcBorders>
          </w:tcPr>
          <w:p>
            <w:pPr>
              <w:pStyle w:val="nTable"/>
              <w:spacing w:after="40"/>
              <w:rPr>
                <w:i/>
              </w:rPr>
            </w:pPr>
            <w:r>
              <w:rPr>
                <w:i/>
              </w:rPr>
              <w:t>Transport Regulations Amendment (Fees and Charges) Regulations 2021</w:t>
            </w:r>
            <w:r>
              <w:t xml:space="preserve"> Pt. 3</w:t>
            </w:r>
          </w:p>
        </w:tc>
        <w:tc>
          <w:tcPr>
            <w:tcW w:w="1276" w:type="dxa"/>
            <w:gridSpan w:val="2"/>
            <w:tcBorders>
              <w:top w:val="nil"/>
              <w:bottom w:val="single" w:sz="4" w:space="0" w:color="auto"/>
            </w:tcBorders>
          </w:tcPr>
          <w:p>
            <w:pPr>
              <w:pStyle w:val="nTable"/>
              <w:spacing w:after="40"/>
            </w:pPr>
            <w:r>
              <w:t>SL 2021/68 4 Jun 2021</w:t>
            </w:r>
          </w:p>
        </w:tc>
        <w:tc>
          <w:tcPr>
            <w:tcW w:w="2693" w:type="dxa"/>
            <w:gridSpan w:val="2"/>
            <w:tcBorders>
              <w:top w:val="nil"/>
              <w:bottom w:val="single" w:sz="4" w:space="0" w:color="auto"/>
            </w:tcBorders>
          </w:tcPr>
          <w:p>
            <w:pPr>
              <w:pStyle w:val="nTable"/>
              <w:spacing w:after="40"/>
            </w:pPr>
            <w:r>
              <w:t>1 Jul 2021 (see r. 2(b), SL 2021/51 r. 2(b) and SL 2021/50 cl. 2)</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42" w:name="Schedule"/>
    <w:bookmarkEnd w:id="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14900"/>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 w:name="WAFER_20200522110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0719_GUID" w:val="ef2fc191-168f-41cd-84ab-89872cc9f95a"/>
    <w:docVar w:name="WAFER_2020061616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5353_GUID" w:val="2061bba4-a9b4-473f-ae71-0da4d6d6f86e"/>
    <w:docVar w:name="WAFER_202106031240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04_GUID" w:val="5fc00e73-b6a4-46a6-89d9-f1fd02bbcdaa"/>
    <w:docVar w:name="WAFER_20210624114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00_GUID" w:val="e7ed9f69-c776-4037-af9d-cfcac0943e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765D5B6-3032-443C-848E-FB9602BF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2103</Words>
  <Characters>12429</Characters>
  <Application>Microsoft Office Word</Application>
  <DocSecurity>0</DocSecurity>
  <Lines>388</Lines>
  <Paragraphs>259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14273</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01-j0-00 - 01-k0-00</dc:title>
  <dc:subject/>
  <dc:creator/>
  <cp:keywords/>
  <dc:description/>
  <cp:lastModifiedBy>Master Repository Process</cp:lastModifiedBy>
  <cp:revision>2</cp:revision>
  <cp:lastPrinted>2004-04-21T03:47:00Z</cp:lastPrinted>
  <dcterms:created xsi:type="dcterms:W3CDTF">2021-08-29T00:50:00Z</dcterms:created>
  <dcterms:modified xsi:type="dcterms:W3CDTF">2021-08-29T00:50:00Z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CommencementDate">
    <vt:lpwstr>20210701</vt:lpwstr>
  </property>
  <property fmtid="{D5CDD505-2E9C-101B-9397-08002B2CF9AE}" pid="6" name="FromSuffix">
    <vt:lpwstr>01-j0-00</vt:lpwstr>
  </property>
  <property fmtid="{D5CDD505-2E9C-101B-9397-08002B2CF9AE}" pid="7" name="FromAsAtDate">
    <vt:lpwstr>04 Jun 2021</vt:lpwstr>
  </property>
  <property fmtid="{D5CDD505-2E9C-101B-9397-08002B2CF9AE}" pid="8" name="ToSuffix">
    <vt:lpwstr>01-k0-00</vt:lpwstr>
  </property>
  <property fmtid="{D5CDD505-2E9C-101B-9397-08002B2CF9AE}" pid="9" name="ToAsAtDate">
    <vt:lpwstr>01 Jul 2021</vt:lpwstr>
  </property>
</Properties>
</file>