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2021</w:t>
      </w:r>
      <w:r>
        <w:fldChar w:fldCharType="end"/>
      </w:r>
      <w:r>
        <w:t xml:space="preserve">, </w:t>
      </w:r>
      <w:r>
        <w:fldChar w:fldCharType="begin"/>
      </w:r>
      <w:r>
        <w:instrText xml:space="preserve"> DocProperty FromSuffix </w:instrText>
      </w:r>
      <w:r>
        <w:fldChar w:fldCharType="separate"/>
      </w:r>
      <w:r>
        <w:t>07-p0-00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07-q0-00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Electricity Act 1945</w:t>
      </w:r>
    </w:p>
    <w:p>
      <w:pPr>
        <w:pStyle w:val="NameofActReg"/>
        <w:spacing w:after="720"/>
      </w:pPr>
      <w:r>
        <w:t>Electricity (Licensing) Regulations 1991</w:t>
      </w:r>
    </w:p>
    <w:p>
      <w:pPr>
        <w:pStyle w:val="Heading2"/>
        <w:keepNext w:val="0"/>
        <w:pageBreakBefore w:val="0"/>
        <w:spacing w:before="240"/>
      </w:pPr>
      <w:bookmarkStart w:id="1" w:name="_Toc75357323"/>
      <w:bookmarkStart w:id="2" w:name="_Toc75357701"/>
      <w:bookmarkStart w:id="3" w:name="_Toc75523064"/>
      <w:bookmarkStart w:id="4" w:name="_Toc75760524"/>
      <w:bookmarkStart w:id="5" w:name="_Toc74728033"/>
      <w:bookmarkStart w:id="6" w:name="_Toc74728198"/>
      <w:bookmarkStart w:id="7" w:name="_Toc75167939"/>
      <w:r>
        <w:rPr>
          <w:rStyle w:val="CharPartNo"/>
        </w:rPr>
        <w:t>P</w:t>
      </w:r>
      <w:bookmarkStart w:id="8" w:name="_GoBack"/>
      <w:bookmarkEnd w:id="8"/>
      <w:r>
        <w:rPr>
          <w:rStyle w:val="CharPartNo"/>
        </w:rPr>
        <w:t>art 1</w:t>
      </w:r>
      <w:r>
        <w:rPr>
          <w:rStyle w:val="CharDivNo"/>
        </w:rPr>
        <w:t> </w:t>
      </w:r>
      <w:r>
        <w:t>— </w:t>
      </w:r>
      <w:r>
        <w:rPr>
          <w:rStyle w:val="CharPartText"/>
        </w:rPr>
        <w:t>Preliminary</w:t>
      </w:r>
      <w:bookmarkEnd w:id="1"/>
      <w:bookmarkEnd w:id="2"/>
      <w:bookmarkEnd w:id="3"/>
      <w:bookmarkEnd w:id="4"/>
      <w:bookmarkEnd w:id="5"/>
      <w:bookmarkEnd w:id="6"/>
      <w:bookmarkEnd w:id="7"/>
    </w:p>
    <w:p>
      <w:pPr>
        <w:pStyle w:val="Heading5"/>
        <w:spacing w:before="180"/>
        <w:rPr>
          <w:snapToGrid w:val="0"/>
        </w:rPr>
      </w:pPr>
      <w:bookmarkStart w:id="9" w:name="_Toc75760525"/>
      <w:bookmarkStart w:id="10" w:name="_Toc75167940"/>
      <w:r>
        <w:rPr>
          <w:rStyle w:val="CharSectno"/>
        </w:rPr>
        <w:t>1</w:t>
      </w:r>
      <w:r>
        <w:rPr>
          <w:snapToGrid w:val="0"/>
        </w:rPr>
        <w:t>.</w:t>
      </w:r>
      <w:r>
        <w:rPr>
          <w:snapToGrid w:val="0"/>
        </w:rPr>
        <w:tab/>
        <w:t>Citation</w:t>
      </w:r>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r>
        <w:rPr>
          <w:snapToGrid w:val="0"/>
        </w:rPr>
        <w:t>.</w:t>
      </w:r>
    </w:p>
    <w:p>
      <w:pPr>
        <w:pStyle w:val="Heading5"/>
        <w:spacing w:before="180"/>
        <w:rPr>
          <w:snapToGrid w:val="0"/>
        </w:rPr>
      </w:pPr>
      <w:bookmarkStart w:id="11" w:name="_Toc75760526"/>
      <w:bookmarkStart w:id="12" w:name="_Toc75167941"/>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13" w:name="_Toc75760527"/>
      <w:bookmarkStart w:id="14" w:name="_Toc75167942"/>
      <w:r>
        <w:rPr>
          <w:rStyle w:val="CharSectno"/>
        </w:rPr>
        <w:t>3</w:t>
      </w:r>
      <w:r>
        <w:rPr>
          <w:snapToGrid w:val="0"/>
        </w:rPr>
        <w:t>.</w:t>
      </w:r>
      <w:r>
        <w:rPr>
          <w:snapToGrid w:val="0"/>
        </w:rPr>
        <w:tab/>
        <w:t>Terms used</w:t>
      </w:r>
      <w:bookmarkEnd w:id="13"/>
      <w:bookmarkEnd w:id="14"/>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AS</w:t>
      </w:r>
      <w:r>
        <w:t>, followed by a designation, means the Australian Standard having that designation published by Standards Australia, as amended from time to time;</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pPr>
        <w:pStyle w:val="Defstart"/>
      </w:pPr>
      <w:r>
        <w:tab/>
      </w:r>
      <w:r>
        <w:rPr>
          <w:rStyle w:val="CharDefText"/>
        </w:rPr>
        <w:t>Australian/New Zealand Wiring Rules</w:t>
      </w:r>
      <w:r>
        <w:t xml:space="preserve"> means AS/NZS 3000:2018 Electrical installations (known as the Australian/New Zealand Wiring Rules);</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contact details</w:t>
      </w:r>
      <w:r>
        <w:t xml:space="preserve">, of a person who holds a licence or a permit, means the residential address, address of the principal place of </w:t>
      </w:r>
      <w:r>
        <w:lastRenderedPageBreak/>
        <w:t>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rPr>
          <w:del w:id="15" w:author="Master Repository Process" w:date="2021-08-01T14:29:00Z"/>
        </w:rPr>
      </w:pPr>
      <w:del w:id="16" w:author="Master Repository Process" w:date="2021-08-01T14:29:00Z">
        <w:r>
          <w:tab/>
        </w:r>
        <w:r>
          <w:rPr>
            <w:rStyle w:val="CharDefText"/>
          </w:rPr>
          <w:delText>designated period</w:delText>
        </w:r>
        <w:r>
          <w:delText xml:space="preserve"> means the period — </w:delText>
        </w:r>
      </w:del>
    </w:p>
    <w:p>
      <w:pPr>
        <w:pStyle w:val="Defpara"/>
        <w:rPr>
          <w:del w:id="17" w:author="Master Repository Process" w:date="2021-08-01T14:29:00Z"/>
        </w:rPr>
      </w:pPr>
      <w:del w:id="18" w:author="Master Repository Process" w:date="2021-08-01T14:29:00Z">
        <w:r>
          <w:tab/>
          <w:delText>(a)</w:delText>
        </w:r>
        <w:r>
          <w:tab/>
          <w:delText xml:space="preserve">beginning on the day on which the </w:delText>
        </w:r>
        <w:r>
          <w:rPr>
            <w:i/>
          </w:rPr>
          <w:delText>Commerce Regulations Amendment (COVID</w:delText>
        </w:r>
        <w:r>
          <w:rPr>
            <w:i/>
          </w:rPr>
          <w:noBreakHyphen/>
          <w:delText>19 Response) Regulations (No. 2) 2020</w:delText>
        </w:r>
        <w:r>
          <w:delText xml:space="preserve"> regulation 25 comes into operation; and</w:delText>
        </w:r>
      </w:del>
    </w:p>
    <w:p>
      <w:pPr>
        <w:pStyle w:val="Defpara"/>
        <w:rPr>
          <w:del w:id="19" w:author="Master Repository Process" w:date="2021-08-01T14:29:00Z"/>
        </w:rPr>
      </w:pPr>
      <w:del w:id="20" w:author="Master Repository Process" w:date="2021-08-01T14:29:00Z">
        <w:r>
          <w:tab/>
          <w:delText>(b)</w:delText>
        </w:r>
        <w:r>
          <w:tab/>
          <w:delText>ending on 31 March 2021;</w:delText>
        </w:r>
      </w:del>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tab/>
        <w:t>(b)</w:t>
      </w:r>
      <w:r>
        <w:tab/>
        <w:t xml:space="preserve">the network of an exempt operator, other than an exempt operator that is a major network operator; or </w:t>
      </w:r>
    </w:p>
    <w:p>
      <w:pPr>
        <w:pStyle w:val="Defpara"/>
      </w:pPr>
      <w:r>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1.4.122;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14; 13 Apr 2012 p. 1652; 2 May 2017 p. 2292; 14 Nov 2017 p. 5598; 7 Jun 2018 p. 1815; 2 Oct 2018 p. 3793; SL 2020/196 r. </w:t>
      </w:r>
      <w:del w:id="21" w:author="Master Repository Process" w:date="2021-08-01T14:29:00Z">
        <w:r>
          <w:delText>22</w:delText>
        </w:r>
      </w:del>
      <w:ins w:id="22" w:author="Master Repository Process" w:date="2021-08-01T14:29:00Z">
        <w:r>
          <w:t>22; SL 2021/86 r. 28</w:t>
        </w:r>
      </w:ins>
      <w:r>
        <w:t xml:space="preserve">.] </w:t>
      </w:r>
    </w:p>
    <w:p>
      <w:pPr>
        <w:pStyle w:val="Heading5"/>
        <w:spacing w:before="180"/>
      </w:pPr>
      <w:bookmarkStart w:id="23" w:name="_Toc75760528"/>
      <w:bookmarkStart w:id="24" w:name="_Toc75167943"/>
      <w:r>
        <w:rPr>
          <w:rStyle w:val="CharSectno"/>
        </w:rPr>
        <w:t>4A</w:t>
      </w:r>
      <w:r>
        <w:t>.</w:t>
      </w:r>
      <w:r>
        <w:tab/>
        <w:t>Term used: electrical work</w:t>
      </w:r>
      <w:bookmarkEnd w:id="23"/>
      <w:bookmarkEnd w:id="24"/>
    </w:p>
    <w:p>
      <w:pPr>
        <w:pStyle w:val="Subsection"/>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Gazette 10 May 2011 p. 1667; amended: Gazette 13 Apr 2012 p. 1652; 8 Jan 2015 p. 97; 2 May 2017 p. 2293 and 2302.]</w:t>
      </w:r>
    </w:p>
    <w:p>
      <w:pPr>
        <w:pStyle w:val="Heading5"/>
      </w:pPr>
      <w:bookmarkStart w:id="25" w:name="_Toc75760529"/>
      <w:bookmarkStart w:id="26" w:name="_Toc75167944"/>
      <w:r>
        <w:rPr>
          <w:rStyle w:val="CharSectno"/>
        </w:rPr>
        <w:t>4AA</w:t>
      </w:r>
      <w:r>
        <w:t>.</w:t>
      </w:r>
      <w:r>
        <w:tab/>
        <w:t>Term used: private generating plant</w:t>
      </w:r>
      <w:bookmarkEnd w:id="25"/>
      <w:bookmarkEnd w:id="26"/>
    </w:p>
    <w:p>
      <w:pPr>
        <w:pStyle w:val="Subsection"/>
      </w:pPr>
      <w:r>
        <w:rPr>
          <w:b/>
        </w:rPr>
        <w:tab/>
      </w:r>
      <w:r>
        <w:t>(1)</w:t>
      </w:r>
      <w:r>
        <w:rPr>
          <w:b/>
        </w:rPr>
        <w:tab/>
      </w:r>
      <w:r>
        <w:t xml:space="preserve">In these regulations — </w:t>
      </w:r>
    </w:p>
    <w:p>
      <w:pPr>
        <w:pStyle w:val="Defstar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Gazette 2 May 2017 p. 2293</w:t>
      </w:r>
      <w:r>
        <w:noBreakHyphen/>
        <w:t>4.]</w:t>
      </w:r>
    </w:p>
    <w:p>
      <w:pPr>
        <w:pStyle w:val="Heading2"/>
      </w:pPr>
      <w:bookmarkStart w:id="27" w:name="_Toc75357329"/>
      <w:bookmarkStart w:id="28" w:name="_Toc75357707"/>
      <w:bookmarkStart w:id="29" w:name="_Toc75523070"/>
      <w:bookmarkStart w:id="30" w:name="_Toc75760530"/>
      <w:bookmarkStart w:id="31" w:name="_Toc74728039"/>
      <w:bookmarkStart w:id="32" w:name="_Toc74728204"/>
      <w:bookmarkStart w:id="33" w:name="_Toc75167945"/>
      <w:r>
        <w:rPr>
          <w:rStyle w:val="CharPartNo"/>
        </w:rPr>
        <w:t>Part 2</w:t>
      </w:r>
      <w:r>
        <w:t> — </w:t>
      </w:r>
      <w:r>
        <w:rPr>
          <w:rStyle w:val="CharPartText"/>
        </w:rPr>
        <w:t>The Electrical Licensing Board</w:t>
      </w:r>
      <w:bookmarkEnd w:id="27"/>
      <w:bookmarkEnd w:id="28"/>
      <w:bookmarkEnd w:id="29"/>
      <w:bookmarkEnd w:id="30"/>
      <w:bookmarkEnd w:id="31"/>
      <w:bookmarkEnd w:id="32"/>
      <w:bookmarkEnd w:id="33"/>
      <w:r>
        <w:rPr>
          <w:rStyle w:val="CharPartText"/>
        </w:rPr>
        <w:t xml:space="preserve"> </w:t>
      </w:r>
    </w:p>
    <w:p>
      <w:pPr>
        <w:pStyle w:val="Heading3"/>
        <w:rPr>
          <w:snapToGrid w:val="0"/>
        </w:rPr>
      </w:pPr>
      <w:bookmarkStart w:id="34" w:name="_Toc75357330"/>
      <w:bookmarkStart w:id="35" w:name="_Toc75357708"/>
      <w:bookmarkStart w:id="36" w:name="_Toc75523071"/>
      <w:bookmarkStart w:id="37" w:name="_Toc75760531"/>
      <w:bookmarkStart w:id="38" w:name="_Toc74728040"/>
      <w:bookmarkStart w:id="39" w:name="_Toc74728205"/>
      <w:bookmarkStart w:id="40" w:name="_Toc75167946"/>
      <w:r>
        <w:rPr>
          <w:rStyle w:val="CharDivNo"/>
        </w:rPr>
        <w:t>Division 1</w:t>
      </w:r>
      <w:r>
        <w:rPr>
          <w:snapToGrid w:val="0"/>
        </w:rPr>
        <w:t> — </w:t>
      </w:r>
      <w:r>
        <w:rPr>
          <w:rStyle w:val="CharDivText"/>
        </w:rPr>
        <w:t>The Board</w:t>
      </w:r>
      <w:bookmarkEnd w:id="34"/>
      <w:bookmarkEnd w:id="35"/>
      <w:bookmarkEnd w:id="36"/>
      <w:bookmarkEnd w:id="37"/>
      <w:bookmarkEnd w:id="38"/>
      <w:bookmarkEnd w:id="39"/>
      <w:bookmarkEnd w:id="40"/>
      <w:r>
        <w:rPr>
          <w:rStyle w:val="CharDivText"/>
        </w:rPr>
        <w:t xml:space="preserve"> </w:t>
      </w:r>
    </w:p>
    <w:p>
      <w:pPr>
        <w:pStyle w:val="Heading5"/>
        <w:rPr>
          <w:snapToGrid w:val="0"/>
        </w:rPr>
      </w:pPr>
      <w:bookmarkStart w:id="41" w:name="_Toc75760532"/>
      <w:bookmarkStart w:id="42" w:name="_Toc75167947"/>
      <w:r>
        <w:rPr>
          <w:rStyle w:val="CharSectno"/>
        </w:rPr>
        <w:t>4</w:t>
      </w:r>
      <w:r>
        <w:rPr>
          <w:snapToGrid w:val="0"/>
        </w:rPr>
        <w:t>.</w:t>
      </w:r>
      <w:r>
        <w:rPr>
          <w:snapToGrid w:val="0"/>
        </w:rPr>
        <w:tab/>
        <w:t>Board established</w:t>
      </w:r>
      <w:bookmarkEnd w:id="41"/>
      <w:bookmarkEnd w:id="42"/>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43" w:name="_Toc75760533"/>
      <w:bookmarkStart w:id="44" w:name="_Toc75167948"/>
      <w:r>
        <w:rPr>
          <w:rStyle w:val="CharSectno"/>
        </w:rPr>
        <w:t>5</w:t>
      </w:r>
      <w:r>
        <w:rPr>
          <w:snapToGrid w:val="0"/>
        </w:rPr>
        <w:t>.</w:t>
      </w:r>
      <w:r>
        <w:rPr>
          <w:snapToGrid w:val="0"/>
        </w:rPr>
        <w:tab/>
        <w:t>Membership</w:t>
      </w:r>
      <w:bookmarkEnd w:id="43"/>
      <w:bookmarkEnd w:id="44"/>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spacing w:before="60"/>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spacing w:before="60"/>
        <w:rPr>
          <w:snapToGrid w:val="0"/>
        </w:rPr>
      </w:pPr>
      <w:r>
        <w:rPr>
          <w:snapToGrid w:val="0"/>
        </w:rPr>
        <w:tab/>
        <w:t>(ii)</w:t>
      </w:r>
      <w:r>
        <w:rPr>
          <w:snapToGrid w:val="0"/>
        </w:rPr>
        <w:tab/>
        <w:t>is, or has been, the holder of a licence issued under Part 4,</w:t>
      </w:r>
    </w:p>
    <w:p>
      <w:pPr>
        <w:pStyle w:val="Indenta"/>
        <w:spacing w:before="60"/>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1</w:t>
      </w:r>
      <w:r>
        <w:rPr>
          <w:i w:val="0"/>
          <w:iCs/>
        </w:rPr>
        <w:t xml:space="preserve">; </w:t>
      </w:r>
      <w:r>
        <w:t>31 Dec 2007 p. 6493</w:t>
      </w:r>
      <w:r>
        <w:noBreakHyphen/>
        <w:t xml:space="preserve">4.] </w:t>
      </w:r>
    </w:p>
    <w:p>
      <w:pPr>
        <w:pStyle w:val="Heading5"/>
        <w:spacing w:before="180"/>
      </w:pPr>
      <w:bookmarkStart w:id="45" w:name="_Toc75760534"/>
      <w:bookmarkStart w:id="46" w:name="_Toc75167949"/>
      <w:r>
        <w:rPr>
          <w:rStyle w:val="CharSectno"/>
        </w:rPr>
        <w:t>6</w:t>
      </w:r>
      <w:r>
        <w:t>.</w:t>
      </w:r>
      <w:r>
        <w:tab/>
        <w:t>Appointments under r. 5(1)(b) to (fa), procedure for making</w:t>
      </w:r>
      <w:bookmarkEnd w:id="45"/>
      <w:bookmarkEnd w:id="46"/>
    </w:p>
    <w:p>
      <w:pPr>
        <w:pStyle w:val="Subsection"/>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Gazette 24 Oct 2003 p. 4497</w:t>
      </w:r>
      <w:r>
        <w:noBreakHyphen/>
        <w:t>8.]</w:t>
      </w:r>
    </w:p>
    <w:p>
      <w:pPr>
        <w:pStyle w:val="Heading5"/>
        <w:rPr>
          <w:snapToGrid w:val="0"/>
        </w:rPr>
      </w:pPr>
      <w:bookmarkStart w:id="47" w:name="_Toc75760535"/>
      <w:bookmarkStart w:id="48" w:name="_Toc75167950"/>
      <w:r>
        <w:rPr>
          <w:rStyle w:val="CharSectno"/>
        </w:rPr>
        <w:t>7</w:t>
      </w:r>
      <w:r>
        <w:rPr>
          <w:snapToGrid w:val="0"/>
        </w:rPr>
        <w:t>.</w:t>
      </w:r>
      <w:r>
        <w:rPr>
          <w:snapToGrid w:val="0"/>
        </w:rPr>
        <w:tab/>
        <w:t>Term of office</w:t>
      </w:r>
      <w:bookmarkEnd w:id="47"/>
      <w:bookmarkEnd w:id="48"/>
      <w:r>
        <w:rPr>
          <w:snapToGrid w:val="0"/>
        </w:rPr>
        <w:t xml:space="preserve"> </w:t>
      </w:r>
    </w:p>
    <w:p>
      <w:pPr>
        <w:pStyle w:val="Subsection"/>
        <w:spacing w:before="120"/>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spacing w:before="180"/>
        <w:rPr>
          <w:snapToGrid w:val="0"/>
        </w:rPr>
      </w:pPr>
      <w:bookmarkStart w:id="49" w:name="_Toc75760536"/>
      <w:bookmarkStart w:id="50" w:name="_Toc75167951"/>
      <w:r>
        <w:rPr>
          <w:rStyle w:val="CharSectno"/>
        </w:rPr>
        <w:t>8</w:t>
      </w:r>
      <w:r>
        <w:rPr>
          <w:snapToGrid w:val="0"/>
        </w:rPr>
        <w:t>.</w:t>
      </w:r>
      <w:r>
        <w:rPr>
          <w:snapToGrid w:val="0"/>
        </w:rPr>
        <w:tab/>
        <w:t>Resignations and removals from office</w:t>
      </w:r>
      <w:bookmarkEnd w:id="49"/>
      <w:bookmarkEnd w:id="50"/>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Gazette 31 Dec 2007 p. 6494</w:t>
      </w:r>
      <w:r>
        <w:noBreakHyphen/>
        <w:t>5.]</w:t>
      </w:r>
    </w:p>
    <w:p>
      <w:pPr>
        <w:pStyle w:val="Heading5"/>
        <w:rPr>
          <w:snapToGrid w:val="0"/>
        </w:rPr>
      </w:pPr>
      <w:bookmarkStart w:id="51" w:name="_Toc75760537"/>
      <w:bookmarkStart w:id="52" w:name="_Toc75167952"/>
      <w:r>
        <w:rPr>
          <w:rStyle w:val="CharSectno"/>
        </w:rPr>
        <w:t>9</w:t>
      </w:r>
      <w:r>
        <w:rPr>
          <w:snapToGrid w:val="0"/>
        </w:rPr>
        <w:t>.</w:t>
      </w:r>
      <w:r>
        <w:rPr>
          <w:snapToGrid w:val="0"/>
        </w:rPr>
        <w:tab/>
        <w:t>Acting members</w:t>
      </w:r>
      <w:bookmarkEnd w:id="51"/>
      <w:bookmarkEnd w:id="5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53" w:name="_Toc75760538"/>
      <w:bookmarkStart w:id="54" w:name="_Toc75167953"/>
      <w:r>
        <w:rPr>
          <w:rStyle w:val="CharSectno"/>
        </w:rPr>
        <w:t>10</w:t>
      </w:r>
      <w:r>
        <w:rPr>
          <w:snapToGrid w:val="0"/>
        </w:rPr>
        <w:t>.</w:t>
      </w:r>
      <w:r>
        <w:rPr>
          <w:snapToGrid w:val="0"/>
        </w:rPr>
        <w:tab/>
        <w:t>Meetings</w:t>
      </w:r>
      <w:bookmarkEnd w:id="53"/>
      <w:bookmarkEnd w:id="54"/>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Gazette 24 Oct 2003 p. 4498</w:t>
      </w:r>
      <w:r>
        <w:noBreakHyphen/>
        <w:t>9.]</w:t>
      </w:r>
    </w:p>
    <w:p>
      <w:pPr>
        <w:pStyle w:val="Heading5"/>
        <w:rPr>
          <w:snapToGrid w:val="0"/>
        </w:rPr>
      </w:pPr>
      <w:bookmarkStart w:id="55" w:name="_Toc75760539"/>
      <w:bookmarkStart w:id="56" w:name="_Toc75167954"/>
      <w:r>
        <w:rPr>
          <w:rStyle w:val="CharSectno"/>
        </w:rPr>
        <w:t>11</w:t>
      </w:r>
      <w:r>
        <w:rPr>
          <w:snapToGrid w:val="0"/>
        </w:rPr>
        <w:t>.</w:t>
      </w:r>
      <w:r>
        <w:rPr>
          <w:snapToGrid w:val="0"/>
        </w:rPr>
        <w:tab/>
        <w:t>Procedures of Board</w:t>
      </w:r>
      <w:bookmarkEnd w:id="55"/>
      <w:bookmarkEnd w:id="56"/>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57" w:name="_Toc75760540"/>
      <w:bookmarkStart w:id="58" w:name="_Toc75167955"/>
      <w:r>
        <w:rPr>
          <w:rStyle w:val="CharSectno"/>
        </w:rPr>
        <w:t>12</w:t>
      </w:r>
      <w:r>
        <w:rPr>
          <w:snapToGrid w:val="0"/>
        </w:rPr>
        <w:t>.</w:t>
      </w:r>
      <w:r>
        <w:rPr>
          <w:snapToGrid w:val="0"/>
        </w:rPr>
        <w:tab/>
        <w:t>Remuneration and allowances</w:t>
      </w:r>
      <w:bookmarkEnd w:id="57"/>
      <w:bookmarkEnd w:id="58"/>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Gazette 23 Dec 1994 p. 7134; </w:t>
      </w:r>
      <w:r>
        <w:rPr>
          <w:szCs w:val="24"/>
        </w:rPr>
        <w:t>11 Feb 2011 p. 503</w:t>
      </w:r>
      <w:r>
        <w:t xml:space="preserve">.] </w:t>
      </w:r>
    </w:p>
    <w:p>
      <w:pPr>
        <w:pStyle w:val="Heading5"/>
        <w:rPr>
          <w:snapToGrid w:val="0"/>
        </w:rPr>
      </w:pPr>
      <w:bookmarkStart w:id="59" w:name="_Toc75760541"/>
      <w:bookmarkStart w:id="60" w:name="_Toc75167956"/>
      <w:r>
        <w:rPr>
          <w:rStyle w:val="CharSectno"/>
        </w:rPr>
        <w:t>13</w:t>
      </w:r>
      <w:r>
        <w:rPr>
          <w:snapToGrid w:val="0"/>
        </w:rPr>
        <w:t>.</w:t>
      </w:r>
      <w:r>
        <w:rPr>
          <w:snapToGrid w:val="0"/>
        </w:rPr>
        <w:tab/>
        <w:t>Board, functions of</w:t>
      </w:r>
      <w:bookmarkEnd w:id="59"/>
      <w:bookmarkEnd w:id="60"/>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Gazette 23 Dec 1994 p. 7134; 6 Sep 1996 p. 4411; 30 Dec 2004 p. 6990; 31 Dec 2007 p. 6495</w:t>
      </w:r>
      <w:r>
        <w:noBreakHyphen/>
        <w:t xml:space="preserve">6.] </w:t>
      </w:r>
    </w:p>
    <w:p>
      <w:pPr>
        <w:pStyle w:val="Heading5"/>
        <w:rPr>
          <w:snapToGrid w:val="0"/>
        </w:rPr>
      </w:pPr>
      <w:bookmarkStart w:id="61" w:name="_Toc75760542"/>
      <w:bookmarkStart w:id="62" w:name="_Toc75167957"/>
      <w:r>
        <w:rPr>
          <w:rStyle w:val="CharSectno"/>
        </w:rPr>
        <w:t>14</w:t>
      </w:r>
      <w:r>
        <w:rPr>
          <w:snapToGrid w:val="0"/>
        </w:rPr>
        <w:t>.</w:t>
      </w:r>
      <w:r>
        <w:rPr>
          <w:snapToGrid w:val="0"/>
        </w:rPr>
        <w:tab/>
        <w:t>Executive officer and other officers</w:t>
      </w:r>
      <w:bookmarkEnd w:id="61"/>
      <w:bookmarkEnd w:id="62"/>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Gazette 23 Dec 1994 p. 7134.] </w:t>
      </w:r>
    </w:p>
    <w:p>
      <w:pPr>
        <w:pStyle w:val="Heading5"/>
      </w:pPr>
      <w:bookmarkStart w:id="63" w:name="_Toc75760543"/>
      <w:bookmarkStart w:id="64" w:name="_Toc75167958"/>
      <w:r>
        <w:rPr>
          <w:rStyle w:val="CharSectno"/>
        </w:rPr>
        <w:t>15</w:t>
      </w:r>
      <w:r>
        <w:rPr>
          <w:rFonts w:ascii="Times" w:hAnsi="Times"/>
        </w:rPr>
        <w:t>.</w:t>
      </w:r>
      <w:r>
        <w:rPr>
          <w:rFonts w:ascii="Times" w:hAnsi="Times"/>
        </w:rPr>
        <w:tab/>
        <w:t>Protection from liability</w:t>
      </w:r>
      <w:bookmarkEnd w:id="63"/>
      <w:bookmarkEnd w:id="64"/>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Gazette 31 Dec 2007 p. 6496</w:t>
      </w:r>
      <w:r>
        <w:noBreakHyphen/>
        <w:t xml:space="preserve">7.] </w:t>
      </w:r>
    </w:p>
    <w:p>
      <w:pPr>
        <w:pStyle w:val="Ednotedivision"/>
      </w:pPr>
      <w:r>
        <w:t>[Divisions 2 and 3 (r. 16</w:t>
      </w:r>
      <w:r>
        <w:noBreakHyphen/>
        <w:t>18) deleted: Gazette 30 Dec 2004 p. 6990.]</w:t>
      </w:r>
    </w:p>
    <w:p>
      <w:pPr>
        <w:pStyle w:val="Heading2"/>
      </w:pPr>
      <w:bookmarkStart w:id="65" w:name="_Toc75357343"/>
      <w:bookmarkStart w:id="66" w:name="_Toc75357721"/>
      <w:bookmarkStart w:id="67" w:name="_Toc75523084"/>
      <w:bookmarkStart w:id="68" w:name="_Toc75760544"/>
      <w:bookmarkStart w:id="69" w:name="_Toc74728053"/>
      <w:bookmarkStart w:id="70" w:name="_Toc74728218"/>
      <w:bookmarkStart w:id="71" w:name="_Toc75167959"/>
      <w:r>
        <w:rPr>
          <w:rStyle w:val="CharPartNo"/>
        </w:rPr>
        <w:t>Part 3</w:t>
      </w:r>
      <w:r>
        <w:rPr>
          <w:rStyle w:val="CharDivNo"/>
        </w:rPr>
        <w:t> </w:t>
      </w:r>
      <w:r>
        <w:t>—</w:t>
      </w:r>
      <w:r>
        <w:rPr>
          <w:rStyle w:val="CharDivText"/>
        </w:rPr>
        <w:t> </w:t>
      </w:r>
      <w:r>
        <w:rPr>
          <w:rStyle w:val="CharPartText"/>
        </w:rPr>
        <w:t>Licensing of electrical workers</w:t>
      </w:r>
      <w:bookmarkEnd w:id="65"/>
      <w:bookmarkEnd w:id="66"/>
      <w:bookmarkEnd w:id="67"/>
      <w:bookmarkEnd w:id="68"/>
      <w:bookmarkEnd w:id="69"/>
      <w:bookmarkEnd w:id="70"/>
      <w:bookmarkEnd w:id="71"/>
      <w:r>
        <w:rPr>
          <w:rStyle w:val="CharPartText"/>
        </w:rPr>
        <w:t xml:space="preserve"> </w:t>
      </w:r>
    </w:p>
    <w:p>
      <w:pPr>
        <w:pStyle w:val="Heading5"/>
        <w:rPr>
          <w:snapToGrid w:val="0"/>
        </w:rPr>
      </w:pPr>
      <w:bookmarkStart w:id="72" w:name="_Toc75760545"/>
      <w:bookmarkStart w:id="73" w:name="_Toc75167960"/>
      <w:r>
        <w:rPr>
          <w:rStyle w:val="CharSectno"/>
        </w:rPr>
        <w:t>19</w:t>
      </w:r>
      <w:r>
        <w:rPr>
          <w:snapToGrid w:val="0"/>
        </w:rPr>
        <w:t>.</w:t>
      </w:r>
      <w:r>
        <w:rPr>
          <w:snapToGrid w:val="0"/>
        </w:rPr>
        <w:tab/>
        <w:t>Electrical work prohibited unless authorised</w:t>
      </w:r>
      <w:bookmarkEnd w:id="72"/>
      <w:bookmarkEnd w:id="73"/>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1.4.40;</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 xml:space="preserve">service apparatus of a major network operator </w:t>
      </w:r>
      <w:r>
        <w:rPr>
          <w:snapToGrid w:val="0"/>
        </w:rPr>
        <w:t>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w:t>
      </w:r>
    </w:p>
    <w:p>
      <w:pPr>
        <w:pStyle w:val="Heading5"/>
        <w:rPr>
          <w:snapToGrid w:val="0"/>
        </w:rPr>
      </w:pPr>
      <w:bookmarkStart w:id="74" w:name="_Toc75760546"/>
      <w:bookmarkStart w:id="75" w:name="_Toc75167961"/>
      <w:r>
        <w:rPr>
          <w:rStyle w:val="CharSectno"/>
        </w:rPr>
        <w:t>20</w:t>
      </w:r>
      <w:r>
        <w:rPr>
          <w:snapToGrid w:val="0"/>
        </w:rPr>
        <w:t>.</w:t>
      </w:r>
      <w:r>
        <w:rPr>
          <w:snapToGrid w:val="0"/>
        </w:rPr>
        <w:tab/>
        <w:t>Electrical worker’s licence, types and effect of</w:t>
      </w:r>
      <w:bookmarkEnd w:id="74"/>
      <w:bookmarkEnd w:id="75"/>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Gazette 6 Sep 1996 p. 4413; 31 Dec 2007 p. 6500</w:t>
      </w:r>
      <w:r>
        <w:noBreakHyphen/>
        <w:t xml:space="preserve">1.] </w:t>
      </w:r>
    </w:p>
    <w:p>
      <w:pPr>
        <w:pStyle w:val="Heading5"/>
        <w:rPr>
          <w:snapToGrid w:val="0"/>
        </w:rPr>
      </w:pPr>
      <w:bookmarkStart w:id="76" w:name="_Toc75760547"/>
      <w:bookmarkStart w:id="77" w:name="_Toc75167962"/>
      <w:r>
        <w:rPr>
          <w:rStyle w:val="CharSectno"/>
        </w:rPr>
        <w:t>21</w:t>
      </w:r>
      <w:r>
        <w:rPr>
          <w:snapToGrid w:val="0"/>
        </w:rPr>
        <w:t>.</w:t>
      </w:r>
      <w:r>
        <w:rPr>
          <w:snapToGrid w:val="0"/>
        </w:rPr>
        <w:tab/>
        <w:t>Permit, effect of</w:t>
      </w:r>
      <w:bookmarkEnd w:id="76"/>
      <w:bookmarkEnd w:id="77"/>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78" w:name="_Toc75760548"/>
      <w:bookmarkStart w:id="79" w:name="_Toc75167963"/>
      <w:r>
        <w:rPr>
          <w:rStyle w:val="CharSectno"/>
        </w:rPr>
        <w:t>22</w:t>
      </w:r>
      <w:r>
        <w:rPr>
          <w:snapToGrid w:val="0"/>
        </w:rPr>
        <w:t>.</w:t>
      </w:r>
      <w:r>
        <w:rPr>
          <w:snapToGrid w:val="0"/>
        </w:rPr>
        <w:tab/>
        <w:t>Eligibility for electrical worker’s licence</w:t>
      </w:r>
      <w:bookmarkEnd w:id="78"/>
      <w:bookmarkEnd w:id="79"/>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2</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3</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4</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Gazette 23 Dec 1994 p. 7134; 6 Sep 1996 p. 4413</w:t>
      </w:r>
      <w:r>
        <w:noBreakHyphen/>
        <w:t>14; 31 Dec 2007 p. 6501</w:t>
      </w:r>
      <w:r>
        <w:noBreakHyphen/>
        <w:t xml:space="preserve">3; 1 Sep 2009 p. 3395.] </w:t>
      </w:r>
    </w:p>
    <w:p>
      <w:pPr>
        <w:pStyle w:val="Heading5"/>
        <w:spacing w:before="240"/>
        <w:rPr>
          <w:snapToGrid w:val="0"/>
        </w:rPr>
      </w:pPr>
      <w:bookmarkStart w:id="80" w:name="_Toc75760549"/>
      <w:bookmarkStart w:id="81" w:name="_Toc75167964"/>
      <w:r>
        <w:rPr>
          <w:rStyle w:val="CharSectno"/>
        </w:rPr>
        <w:t>23</w:t>
      </w:r>
      <w:r>
        <w:rPr>
          <w:snapToGrid w:val="0"/>
        </w:rPr>
        <w:t>.</w:t>
      </w:r>
      <w:r>
        <w:rPr>
          <w:snapToGrid w:val="0"/>
        </w:rPr>
        <w:tab/>
        <w:t>Application for licence or permit</w:t>
      </w:r>
      <w:bookmarkEnd w:id="80"/>
      <w:bookmarkEnd w:id="81"/>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Ednotesubsection"/>
      </w:pPr>
      <w:r>
        <w:tab/>
        <w:t>[(1a)</w:t>
      </w:r>
      <w:r>
        <w:tab/>
        <w:t>deleted]</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Gazette 23 Dec 1994 p. 7134; 31 Dec 2007 p. 6503; 27 Jun 2013 p. 2707; SL 2020/196 r. 23.] </w:t>
      </w:r>
    </w:p>
    <w:p>
      <w:pPr>
        <w:pStyle w:val="Heading5"/>
        <w:spacing w:before="180"/>
        <w:rPr>
          <w:snapToGrid w:val="0"/>
        </w:rPr>
      </w:pPr>
      <w:bookmarkStart w:id="82" w:name="_Toc75760550"/>
      <w:bookmarkStart w:id="83" w:name="_Toc75167965"/>
      <w:r>
        <w:rPr>
          <w:rStyle w:val="CharSectno"/>
        </w:rPr>
        <w:t>24</w:t>
      </w:r>
      <w:r>
        <w:rPr>
          <w:snapToGrid w:val="0"/>
        </w:rPr>
        <w:t>.</w:t>
      </w:r>
      <w:r>
        <w:rPr>
          <w:snapToGrid w:val="0"/>
        </w:rPr>
        <w:tab/>
        <w:t>Issue of licence or permit</w:t>
      </w:r>
      <w:bookmarkEnd w:id="82"/>
      <w:bookmarkEnd w:id="83"/>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Gazette 23 Dec 1994 p. 7134; 31 Dec 2007 p. 6503</w:t>
      </w:r>
      <w:r>
        <w:noBreakHyphen/>
        <w:t xml:space="preserve">4.] </w:t>
      </w:r>
    </w:p>
    <w:p>
      <w:pPr>
        <w:pStyle w:val="Heading5"/>
        <w:spacing w:before="240"/>
        <w:rPr>
          <w:snapToGrid w:val="0"/>
        </w:rPr>
      </w:pPr>
      <w:bookmarkStart w:id="84" w:name="_Toc75760551"/>
      <w:bookmarkStart w:id="85" w:name="_Toc75167966"/>
      <w:r>
        <w:rPr>
          <w:rStyle w:val="CharSectno"/>
        </w:rPr>
        <w:t>25</w:t>
      </w:r>
      <w:r>
        <w:rPr>
          <w:snapToGrid w:val="0"/>
        </w:rPr>
        <w:t>.</w:t>
      </w:r>
      <w:r>
        <w:rPr>
          <w:snapToGrid w:val="0"/>
        </w:rPr>
        <w:tab/>
        <w:t>Holders of licences issued outside WA to apply to Board</w:t>
      </w:r>
      <w:bookmarkEnd w:id="84"/>
      <w:bookmarkEnd w:id="85"/>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ind w:left="890" w:hanging="890"/>
      </w:pPr>
      <w:r>
        <w:tab/>
        <w:t xml:space="preserve">[Regulation 25 amended: Gazette 31 Dec 2007 p. 6504.] </w:t>
      </w:r>
    </w:p>
    <w:p>
      <w:pPr>
        <w:pStyle w:val="Heading5"/>
        <w:spacing w:before="240"/>
        <w:rPr>
          <w:snapToGrid w:val="0"/>
        </w:rPr>
      </w:pPr>
      <w:bookmarkStart w:id="86" w:name="_Toc75760552"/>
      <w:bookmarkStart w:id="87" w:name="_Toc75167967"/>
      <w:r>
        <w:rPr>
          <w:rStyle w:val="CharSectno"/>
        </w:rPr>
        <w:t>26</w:t>
      </w:r>
      <w:r>
        <w:rPr>
          <w:snapToGrid w:val="0"/>
        </w:rPr>
        <w:t>.</w:t>
      </w:r>
      <w:r>
        <w:rPr>
          <w:snapToGrid w:val="0"/>
        </w:rPr>
        <w:tab/>
        <w:t>Duration of registration of licence or permit</w:t>
      </w:r>
      <w:bookmarkEnd w:id="86"/>
      <w:bookmarkEnd w:id="87"/>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Gazette 6 Sep 1996 p. 4414; 31 Dec 2007 p. 6505; 2 May 2017 p. 2294</w:t>
      </w:r>
      <w:r>
        <w:noBreakHyphen/>
        <w:t xml:space="preserve">5.] </w:t>
      </w:r>
    </w:p>
    <w:p>
      <w:pPr>
        <w:pStyle w:val="Heading5"/>
        <w:spacing w:before="240"/>
        <w:rPr>
          <w:snapToGrid w:val="0"/>
        </w:rPr>
      </w:pPr>
      <w:bookmarkStart w:id="88" w:name="_Toc75760553"/>
      <w:bookmarkStart w:id="89" w:name="_Toc75167968"/>
      <w:r>
        <w:rPr>
          <w:rStyle w:val="CharSectno"/>
        </w:rPr>
        <w:t>27</w:t>
      </w:r>
      <w:r>
        <w:rPr>
          <w:snapToGrid w:val="0"/>
        </w:rPr>
        <w:t>.</w:t>
      </w:r>
      <w:r>
        <w:rPr>
          <w:snapToGrid w:val="0"/>
        </w:rPr>
        <w:tab/>
        <w:t>Registration and renewal of registration of licences</w:t>
      </w:r>
      <w:bookmarkEnd w:id="88"/>
      <w:bookmarkEnd w:id="89"/>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Gazette 6 Sep 1996 p. 4414; 31 Dec 2007 p. 6505</w:t>
      </w:r>
      <w:r>
        <w:noBreakHyphen/>
        <w:t xml:space="preserve">6; 27 Jun 2013 p. 2708; 2 May 2017 p. 2295.] </w:t>
      </w:r>
    </w:p>
    <w:p>
      <w:pPr>
        <w:pStyle w:val="Heading5"/>
      </w:pPr>
      <w:bookmarkStart w:id="90" w:name="_Toc75760554"/>
      <w:bookmarkStart w:id="91" w:name="_Toc75167969"/>
      <w:r>
        <w:rPr>
          <w:rStyle w:val="CharSectno"/>
        </w:rPr>
        <w:t>28</w:t>
      </w:r>
      <w:r>
        <w:t>.</w:t>
      </w:r>
      <w:r>
        <w:tab/>
        <w:t>Contact details</w:t>
      </w:r>
      <w:bookmarkEnd w:id="90"/>
      <w:bookmarkEnd w:id="91"/>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pPr>
      <w:r>
        <w:tab/>
        <w:t>(b)</w:t>
      </w:r>
      <w:r>
        <w:tab/>
        <w:t>if the person has given notice of a change of contact details under subregulation (1) — the contact details in the notice.</w:t>
      </w:r>
    </w:p>
    <w:p>
      <w:pPr>
        <w:pStyle w:val="Footnotesection"/>
      </w:pPr>
      <w:r>
        <w:tab/>
        <w:t>[Regulation 28 inserted: Gazette 2 May 2017 p. 2295</w:t>
      </w:r>
      <w:r>
        <w:noBreakHyphen/>
        <w:t>6.]</w:t>
      </w:r>
    </w:p>
    <w:p>
      <w:pPr>
        <w:pStyle w:val="Heading5"/>
      </w:pPr>
      <w:bookmarkStart w:id="92" w:name="_Toc75760555"/>
      <w:bookmarkStart w:id="93" w:name="_Toc75167970"/>
      <w:r>
        <w:rPr>
          <w:rStyle w:val="CharSectno"/>
        </w:rPr>
        <w:t>29</w:t>
      </w:r>
      <w:r>
        <w:rPr>
          <w:snapToGrid w:val="0"/>
        </w:rPr>
        <w:t>.</w:t>
      </w:r>
      <w:r>
        <w:rPr>
          <w:snapToGrid w:val="0"/>
        </w:rPr>
        <w:tab/>
        <w:t>Physical examinations and competency tests, Board may require</w:t>
      </w:r>
      <w:bookmarkEnd w:id="92"/>
      <w:bookmarkEnd w:id="93"/>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Gazette 31 Dec 2007 p. 6507</w:t>
      </w:r>
      <w:r>
        <w:noBreakHyphen/>
        <w:t xml:space="preserve">8.] </w:t>
      </w:r>
    </w:p>
    <w:p>
      <w:pPr>
        <w:pStyle w:val="Heading5"/>
      </w:pPr>
      <w:bookmarkStart w:id="94" w:name="_Toc75760556"/>
      <w:bookmarkStart w:id="95" w:name="_Toc75167971"/>
      <w:r>
        <w:rPr>
          <w:rStyle w:val="CharSectno"/>
        </w:rPr>
        <w:t>30</w:t>
      </w:r>
      <w:r>
        <w:t>.</w:t>
      </w:r>
      <w:r>
        <w:tab/>
        <w:t>Disciplinary action, proper causes for</w:t>
      </w:r>
      <w:bookmarkEnd w:id="94"/>
      <w:bookmarkEnd w:id="95"/>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Gazette 30 Dec 2004 p. 6990</w:t>
      </w:r>
      <w:r>
        <w:noBreakHyphen/>
        <w:t>1; amended: Gazette 31 Dec 2007 p. 6508.]</w:t>
      </w:r>
    </w:p>
    <w:p>
      <w:pPr>
        <w:pStyle w:val="Heading5"/>
      </w:pPr>
      <w:bookmarkStart w:id="96" w:name="_Toc75760557"/>
      <w:bookmarkStart w:id="97" w:name="_Toc75167972"/>
      <w:r>
        <w:rPr>
          <w:rStyle w:val="CharSectno"/>
        </w:rPr>
        <w:t>31</w:t>
      </w:r>
      <w:r>
        <w:t>.</w:t>
      </w:r>
      <w:r>
        <w:tab/>
        <w:t>Disciplinary action by SAT</w:t>
      </w:r>
      <w:bookmarkEnd w:id="96"/>
      <w:bookmarkEnd w:id="97"/>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Gazette 30 Dec 2004 p. 6991</w:t>
      </w:r>
      <w:r>
        <w:noBreakHyphen/>
        <w:t>2; amended: Gazette 31 Dec 2007 p. 6538.]</w:t>
      </w:r>
    </w:p>
    <w:p>
      <w:pPr>
        <w:pStyle w:val="Heading5"/>
      </w:pPr>
      <w:bookmarkStart w:id="98" w:name="_Toc75760558"/>
      <w:bookmarkStart w:id="99" w:name="_Toc75167973"/>
      <w:r>
        <w:rPr>
          <w:rStyle w:val="CharSectno"/>
        </w:rPr>
        <w:t>31A</w:t>
      </w:r>
      <w:r>
        <w:t>.</w:t>
      </w:r>
      <w:r>
        <w:tab/>
        <w:t>Alternative to seeking disciplinary action under r. 31</w:t>
      </w:r>
      <w:bookmarkEnd w:id="98"/>
      <w:bookmarkEnd w:id="99"/>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Gazette 30 Dec 2004 p. 6992</w:t>
      </w:r>
      <w:r>
        <w:noBreakHyphen/>
        <w:t>3; amended: Gazette 31 Dec 2007 p. 6538.]</w:t>
      </w:r>
    </w:p>
    <w:p>
      <w:pPr>
        <w:pStyle w:val="Heading5"/>
        <w:rPr>
          <w:snapToGrid w:val="0"/>
        </w:rPr>
      </w:pPr>
      <w:bookmarkStart w:id="100" w:name="_Toc75760559"/>
      <w:bookmarkStart w:id="101" w:name="_Toc75167974"/>
      <w:r>
        <w:rPr>
          <w:rStyle w:val="CharSectno"/>
        </w:rPr>
        <w:t>32</w:t>
      </w:r>
      <w:r>
        <w:rPr>
          <w:snapToGrid w:val="0"/>
        </w:rPr>
        <w:t>.</w:t>
      </w:r>
      <w:r>
        <w:rPr>
          <w:snapToGrid w:val="0"/>
        </w:rPr>
        <w:tab/>
        <w:t>Suspension, effect and revocation of</w:t>
      </w:r>
      <w:bookmarkEnd w:id="100"/>
      <w:bookmarkEnd w:id="101"/>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Gazette 30 Dec 2004 p. 6993</w:t>
      </w:r>
      <w:r>
        <w:noBreakHyphen/>
        <w:t>4; 31 Dec 2007 p. 6508.]</w:t>
      </w:r>
    </w:p>
    <w:p>
      <w:pPr>
        <w:pStyle w:val="Heading2"/>
      </w:pPr>
      <w:bookmarkStart w:id="102" w:name="_Toc75357359"/>
      <w:bookmarkStart w:id="103" w:name="_Toc75357737"/>
      <w:bookmarkStart w:id="104" w:name="_Toc75523100"/>
      <w:bookmarkStart w:id="105" w:name="_Toc75760560"/>
      <w:bookmarkStart w:id="106" w:name="_Toc74728069"/>
      <w:bookmarkStart w:id="107" w:name="_Toc74728234"/>
      <w:bookmarkStart w:id="108" w:name="_Toc75167975"/>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102"/>
      <w:bookmarkEnd w:id="103"/>
      <w:bookmarkEnd w:id="104"/>
      <w:bookmarkEnd w:id="105"/>
      <w:bookmarkEnd w:id="106"/>
      <w:bookmarkEnd w:id="107"/>
      <w:bookmarkEnd w:id="108"/>
      <w:r>
        <w:rPr>
          <w:rStyle w:val="CharPartText"/>
        </w:rPr>
        <w:t xml:space="preserve"> </w:t>
      </w:r>
    </w:p>
    <w:p>
      <w:pPr>
        <w:pStyle w:val="Heading5"/>
        <w:spacing w:before="240"/>
        <w:rPr>
          <w:snapToGrid w:val="0"/>
        </w:rPr>
      </w:pPr>
      <w:bookmarkStart w:id="109" w:name="_Toc75760561"/>
      <w:bookmarkStart w:id="110" w:name="_Toc75167976"/>
      <w:r>
        <w:rPr>
          <w:rStyle w:val="CharSectno"/>
        </w:rPr>
        <w:t>33</w:t>
      </w:r>
      <w:r>
        <w:rPr>
          <w:snapToGrid w:val="0"/>
        </w:rPr>
        <w:t>.</w:t>
      </w:r>
      <w:r>
        <w:rPr>
          <w:snapToGrid w:val="0"/>
        </w:rPr>
        <w:tab/>
        <w:t>Electrical contracting prohibited unless authorised</w:t>
      </w:r>
      <w:bookmarkEnd w:id="109"/>
      <w:bookmarkEnd w:id="110"/>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Gazette 6 Sep 1996 p. 4414; 31 Dec 2007 p. 6508 and 6537; 2 May 2017 p. 2296.] </w:t>
      </w:r>
    </w:p>
    <w:p>
      <w:pPr>
        <w:pStyle w:val="Heading5"/>
        <w:keepNext w:val="0"/>
        <w:keepLines w:val="0"/>
        <w:spacing w:before="180"/>
        <w:rPr>
          <w:snapToGrid w:val="0"/>
        </w:rPr>
      </w:pPr>
      <w:bookmarkStart w:id="111" w:name="_Toc75760562"/>
      <w:bookmarkStart w:id="112" w:name="_Toc75167977"/>
      <w:r>
        <w:rPr>
          <w:rStyle w:val="CharSectno"/>
        </w:rPr>
        <w:t>34</w:t>
      </w:r>
      <w:r>
        <w:rPr>
          <w:snapToGrid w:val="0"/>
        </w:rPr>
        <w:t>.</w:t>
      </w:r>
      <w:r>
        <w:rPr>
          <w:snapToGrid w:val="0"/>
        </w:rPr>
        <w:tab/>
        <w:t>Contracting with unlicensed person for electrical installing work, offence</w:t>
      </w:r>
      <w:bookmarkEnd w:id="111"/>
      <w:bookmarkEnd w:id="112"/>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113" w:name="_Toc75760563"/>
      <w:bookmarkStart w:id="114" w:name="_Toc75167978"/>
      <w:r>
        <w:rPr>
          <w:rStyle w:val="CharSectno"/>
        </w:rPr>
        <w:t>35</w:t>
      </w:r>
      <w:r>
        <w:rPr>
          <w:snapToGrid w:val="0"/>
        </w:rPr>
        <w:t>.</w:t>
      </w:r>
      <w:r>
        <w:rPr>
          <w:snapToGrid w:val="0"/>
        </w:rPr>
        <w:tab/>
        <w:t>False representations as to completed electrical work</w:t>
      </w:r>
      <w:bookmarkEnd w:id="113"/>
      <w:bookmarkEnd w:id="114"/>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Gazette 13 Apr 2012 p. 1652.] </w:t>
      </w:r>
    </w:p>
    <w:p>
      <w:pPr>
        <w:pStyle w:val="Heading5"/>
        <w:rPr>
          <w:snapToGrid w:val="0"/>
        </w:rPr>
      </w:pPr>
      <w:bookmarkStart w:id="115" w:name="_Toc75760564"/>
      <w:bookmarkStart w:id="116" w:name="_Toc75167979"/>
      <w:r>
        <w:rPr>
          <w:rStyle w:val="CharSectno"/>
        </w:rPr>
        <w:t>36</w:t>
      </w:r>
      <w:r>
        <w:rPr>
          <w:snapToGrid w:val="0"/>
        </w:rPr>
        <w:t>.</w:t>
      </w:r>
      <w:r>
        <w:rPr>
          <w:snapToGrid w:val="0"/>
        </w:rPr>
        <w:tab/>
        <w:t>Eligibility for electrical contractor’s licence</w:t>
      </w:r>
      <w:bookmarkEnd w:id="115"/>
      <w:bookmarkEnd w:id="116"/>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Gazette 23 Dec 1994 p. 7135; 6 Sep 1996 p. 4414</w:t>
      </w:r>
      <w:r>
        <w:noBreakHyphen/>
        <w:t>15; 31 Dec 2007 p. 6509</w:t>
      </w:r>
      <w:r>
        <w:noBreakHyphen/>
        <w:t xml:space="preserve">10.] </w:t>
      </w:r>
    </w:p>
    <w:p>
      <w:pPr>
        <w:pStyle w:val="Heading5"/>
        <w:keepNext w:val="0"/>
        <w:keepLines w:val="0"/>
        <w:pageBreakBefore/>
        <w:spacing w:before="0"/>
        <w:rPr>
          <w:snapToGrid w:val="0"/>
        </w:rPr>
      </w:pPr>
      <w:bookmarkStart w:id="117" w:name="_Toc75760565"/>
      <w:bookmarkStart w:id="118" w:name="_Toc75167980"/>
      <w:r>
        <w:rPr>
          <w:rStyle w:val="CharSectno"/>
        </w:rPr>
        <w:t>37</w:t>
      </w:r>
      <w:r>
        <w:rPr>
          <w:snapToGrid w:val="0"/>
        </w:rPr>
        <w:t>.</w:t>
      </w:r>
      <w:r>
        <w:rPr>
          <w:snapToGrid w:val="0"/>
        </w:rPr>
        <w:tab/>
        <w:t>In</w:t>
      </w:r>
      <w:r>
        <w:rPr>
          <w:snapToGrid w:val="0"/>
        </w:rPr>
        <w:noBreakHyphen/>
        <w:t>house electrical installing work, when permitted</w:t>
      </w:r>
      <w:bookmarkEnd w:id="117"/>
      <w:bookmarkEnd w:id="118"/>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Gazette 23 Dec 1994 p. 7135; 6 Sep 1996 p. 4415; 31 Dec 2007 p. 6510 and 6537.] </w:t>
      </w:r>
    </w:p>
    <w:p>
      <w:pPr>
        <w:pStyle w:val="Heading5"/>
        <w:rPr>
          <w:snapToGrid w:val="0"/>
        </w:rPr>
      </w:pPr>
      <w:bookmarkStart w:id="119" w:name="_Toc75760566"/>
      <w:bookmarkStart w:id="120" w:name="_Toc75167981"/>
      <w:r>
        <w:rPr>
          <w:rStyle w:val="CharSectno"/>
        </w:rPr>
        <w:t>38</w:t>
      </w:r>
      <w:r>
        <w:rPr>
          <w:snapToGrid w:val="0"/>
        </w:rPr>
        <w:t>.</w:t>
      </w:r>
      <w:r>
        <w:rPr>
          <w:snapToGrid w:val="0"/>
        </w:rPr>
        <w:tab/>
        <w:t>Nominees under r. 36 and 37, cancelling etc.</w:t>
      </w:r>
      <w:bookmarkEnd w:id="119"/>
      <w:bookmarkEnd w:id="120"/>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Gazette 31 Dec 2007 p. 6511 and 6538.] </w:t>
      </w:r>
    </w:p>
    <w:p>
      <w:pPr>
        <w:pStyle w:val="Heading5"/>
      </w:pPr>
      <w:bookmarkStart w:id="121" w:name="_Toc75760567"/>
      <w:bookmarkStart w:id="122" w:name="_Toc75167982"/>
      <w:r>
        <w:rPr>
          <w:rStyle w:val="CharSectno"/>
        </w:rPr>
        <w:t>38A</w:t>
      </w:r>
      <w:r>
        <w:t>.</w:t>
      </w:r>
      <w:r>
        <w:tab/>
        <w:t>Nominee not required to comply with certain directions</w:t>
      </w:r>
      <w:bookmarkEnd w:id="121"/>
      <w:bookmarkEnd w:id="122"/>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Gazette 31 Dec 2007 p. 6511.] </w:t>
      </w:r>
    </w:p>
    <w:p>
      <w:pPr>
        <w:pStyle w:val="Heading5"/>
        <w:spacing w:before="180"/>
        <w:rPr>
          <w:snapToGrid w:val="0"/>
        </w:rPr>
      </w:pPr>
      <w:bookmarkStart w:id="123" w:name="_Toc75760568"/>
      <w:bookmarkStart w:id="124" w:name="_Toc75167983"/>
      <w:r>
        <w:rPr>
          <w:rStyle w:val="CharSectno"/>
        </w:rPr>
        <w:t>39</w:t>
      </w:r>
      <w:r>
        <w:rPr>
          <w:snapToGrid w:val="0"/>
        </w:rPr>
        <w:t>.</w:t>
      </w:r>
      <w:r>
        <w:rPr>
          <w:snapToGrid w:val="0"/>
        </w:rPr>
        <w:tab/>
        <w:t>Applications for licences and renewals of registration</w:t>
      </w:r>
      <w:bookmarkEnd w:id="123"/>
      <w:bookmarkEnd w:id="124"/>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Gazette 23 Dec 1994 p. 7134; 6 Sep 1996 p. 4415; 31 Dec 2007 p. 6511; 27 Jun 2013 p. 2708.] </w:t>
      </w:r>
    </w:p>
    <w:p>
      <w:pPr>
        <w:pStyle w:val="Heading5"/>
        <w:rPr>
          <w:snapToGrid w:val="0"/>
        </w:rPr>
      </w:pPr>
      <w:bookmarkStart w:id="125" w:name="_Toc75760569"/>
      <w:bookmarkStart w:id="126" w:name="_Toc75167984"/>
      <w:r>
        <w:rPr>
          <w:rStyle w:val="CharSectno"/>
        </w:rPr>
        <w:t>40</w:t>
      </w:r>
      <w:r>
        <w:rPr>
          <w:snapToGrid w:val="0"/>
        </w:rPr>
        <w:t>.</w:t>
      </w:r>
      <w:r>
        <w:rPr>
          <w:snapToGrid w:val="0"/>
        </w:rPr>
        <w:tab/>
        <w:t>Issue and registration of licence</w:t>
      </w:r>
      <w:bookmarkEnd w:id="125"/>
      <w:bookmarkEnd w:id="126"/>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Gazette 31 Dec 2007 p. 6512.] </w:t>
      </w:r>
    </w:p>
    <w:p>
      <w:pPr>
        <w:pStyle w:val="Heading5"/>
        <w:rPr>
          <w:snapToGrid w:val="0"/>
        </w:rPr>
      </w:pPr>
      <w:bookmarkStart w:id="127" w:name="_Toc75760570"/>
      <w:bookmarkStart w:id="128" w:name="_Toc75167985"/>
      <w:r>
        <w:rPr>
          <w:rStyle w:val="CharSectno"/>
        </w:rPr>
        <w:t>41</w:t>
      </w:r>
      <w:r>
        <w:rPr>
          <w:snapToGrid w:val="0"/>
        </w:rPr>
        <w:t>.</w:t>
      </w:r>
      <w:r>
        <w:rPr>
          <w:snapToGrid w:val="0"/>
        </w:rPr>
        <w:tab/>
        <w:t>Changes to firm, effect of on firm’s licence</w:t>
      </w:r>
      <w:bookmarkEnd w:id="127"/>
      <w:bookmarkEnd w:id="128"/>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129" w:name="_Toc75760571"/>
      <w:bookmarkStart w:id="130" w:name="_Toc75167986"/>
      <w:r>
        <w:rPr>
          <w:rStyle w:val="CharSectno"/>
        </w:rPr>
        <w:t>42</w:t>
      </w:r>
      <w:r>
        <w:rPr>
          <w:snapToGrid w:val="0"/>
        </w:rPr>
        <w:t>.</w:t>
      </w:r>
      <w:r>
        <w:rPr>
          <w:snapToGrid w:val="0"/>
        </w:rPr>
        <w:tab/>
        <w:t>Changes to firm, Board to be notified of</w:t>
      </w:r>
      <w:bookmarkEnd w:id="129"/>
      <w:bookmarkEnd w:id="130"/>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131" w:name="_Toc75760572"/>
      <w:bookmarkStart w:id="132" w:name="_Toc75167987"/>
      <w:r>
        <w:rPr>
          <w:rStyle w:val="CharSectno"/>
        </w:rPr>
        <w:t>43</w:t>
      </w:r>
      <w:r>
        <w:rPr>
          <w:snapToGrid w:val="0"/>
        </w:rPr>
        <w:t>.</w:t>
      </w:r>
      <w:r>
        <w:rPr>
          <w:snapToGrid w:val="0"/>
        </w:rPr>
        <w:tab/>
        <w:t>Duration of registration of licence</w:t>
      </w:r>
      <w:bookmarkEnd w:id="131"/>
      <w:bookmarkEnd w:id="132"/>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Gazette 2 May 2000 p. 2115; 31 Dec 2007 p. 6512.]</w:t>
      </w:r>
    </w:p>
    <w:p>
      <w:pPr>
        <w:pStyle w:val="Heading5"/>
        <w:rPr>
          <w:snapToGrid w:val="0"/>
        </w:rPr>
      </w:pPr>
      <w:bookmarkStart w:id="133" w:name="_Toc75760573"/>
      <w:bookmarkStart w:id="134" w:name="_Toc75167988"/>
      <w:r>
        <w:rPr>
          <w:rStyle w:val="CharSectno"/>
        </w:rPr>
        <w:t>44</w:t>
      </w:r>
      <w:r>
        <w:rPr>
          <w:snapToGrid w:val="0"/>
        </w:rPr>
        <w:t>.</w:t>
      </w:r>
      <w:r>
        <w:rPr>
          <w:snapToGrid w:val="0"/>
        </w:rPr>
        <w:tab/>
        <w:t>Renewal of registration of licence</w:t>
      </w:r>
      <w:bookmarkEnd w:id="133"/>
      <w:bookmarkEnd w:id="134"/>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Gazette 2 May 2000 p. 2115; 31 Dec 2007 p. 6513.]</w:t>
      </w:r>
    </w:p>
    <w:p>
      <w:pPr>
        <w:pStyle w:val="Heading5"/>
      </w:pPr>
      <w:bookmarkStart w:id="135" w:name="_Toc75760574"/>
      <w:bookmarkStart w:id="136" w:name="_Toc75167989"/>
      <w:r>
        <w:rPr>
          <w:rStyle w:val="CharSectno"/>
        </w:rPr>
        <w:t>44A</w:t>
      </w:r>
      <w:r>
        <w:t>.</w:t>
      </w:r>
      <w:r>
        <w:tab/>
        <w:t>Insurance of licensed electrical contractor, Board may require details of</w:t>
      </w:r>
      <w:bookmarkEnd w:id="135"/>
      <w:bookmarkEnd w:id="136"/>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Gazette 31 Dec 2007 p. 6513</w:t>
      </w:r>
      <w:r>
        <w:noBreakHyphen/>
        <w:t xml:space="preserve">14.] </w:t>
      </w:r>
    </w:p>
    <w:p>
      <w:pPr>
        <w:pStyle w:val="Heading5"/>
        <w:rPr>
          <w:snapToGrid w:val="0"/>
        </w:rPr>
      </w:pPr>
      <w:bookmarkStart w:id="137" w:name="_Toc75760575"/>
      <w:bookmarkStart w:id="138" w:name="_Toc75167990"/>
      <w:r>
        <w:rPr>
          <w:rStyle w:val="CharSectno"/>
        </w:rPr>
        <w:t>45</w:t>
      </w:r>
      <w:r>
        <w:rPr>
          <w:snapToGrid w:val="0"/>
        </w:rPr>
        <w:t>.</w:t>
      </w:r>
      <w:r>
        <w:rPr>
          <w:snapToGrid w:val="0"/>
        </w:rPr>
        <w:tab/>
        <w:t>Place of business, display of licence at and change of etc.</w:t>
      </w:r>
      <w:bookmarkEnd w:id="137"/>
      <w:bookmarkEnd w:id="138"/>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Gazette 31 Dec 2007 p. 6514.]</w:t>
      </w:r>
    </w:p>
    <w:p>
      <w:pPr>
        <w:pStyle w:val="Heading5"/>
        <w:spacing w:before="180"/>
      </w:pPr>
      <w:bookmarkStart w:id="139" w:name="_Toc75760576"/>
      <w:bookmarkStart w:id="140" w:name="_Toc75167991"/>
      <w:r>
        <w:rPr>
          <w:rStyle w:val="CharSectno"/>
        </w:rPr>
        <w:t>45A</w:t>
      </w:r>
      <w:r>
        <w:t>.</w:t>
      </w:r>
      <w:r>
        <w:tab/>
        <w:t>Physical examinations, Board may require</w:t>
      </w:r>
      <w:bookmarkEnd w:id="139"/>
      <w:bookmarkEnd w:id="140"/>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Gazette 31 Dec 2007 p. 6514</w:t>
      </w:r>
      <w:r>
        <w:noBreakHyphen/>
        <w:t xml:space="preserve">16.] </w:t>
      </w:r>
    </w:p>
    <w:p>
      <w:pPr>
        <w:pStyle w:val="Heading5"/>
        <w:rPr>
          <w:snapToGrid w:val="0"/>
        </w:rPr>
      </w:pPr>
      <w:bookmarkStart w:id="141" w:name="_Toc75760577"/>
      <w:bookmarkStart w:id="142" w:name="_Toc75167992"/>
      <w:r>
        <w:rPr>
          <w:rStyle w:val="CharSectno"/>
        </w:rPr>
        <w:t>46</w:t>
      </w:r>
      <w:r>
        <w:rPr>
          <w:snapToGrid w:val="0"/>
        </w:rPr>
        <w:t>.</w:t>
      </w:r>
      <w:r>
        <w:rPr>
          <w:snapToGrid w:val="0"/>
        </w:rPr>
        <w:tab/>
        <w:t>Disciplinary action, proper causes for</w:t>
      </w:r>
      <w:bookmarkEnd w:id="141"/>
      <w:bookmarkEnd w:id="142"/>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Gazette 30 Dec 2004 p. 6994; amended: Gazette 31 Dec 2007 p. 6516.]</w:t>
      </w:r>
    </w:p>
    <w:p>
      <w:pPr>
        <w:pStyle w:val="Heading5"/>
        <w:rPr>
          <w:snapToGrid w:val="0"/>
        </w:rPr>
      </w:pPr>
      <w:bookmarkStart w:id="143" w:name="_Toc75760578"/>
      <w:bookmarkStart w:id="144" w:name="_Toc75167993"/>
      <w:r>
        <w:rPr>
          <w:rStyle w:val="CharSectno"/>
        </w:rPr>
        <w:t>47</w:t>
      </w:r>
      <w:r>
        <w:rPr>
          <w:snapToGrid w:val="0"/>
        </w:rPr>
        <w:t>.</w:t>
      </w:r>
      <w:r>
        <w:rPr>
          <w:snapToGrid w:val="0"/>
        </w:rPr>
        <w:tab/>
        <w:t>Disciplinary action by SAT</w:t>
      </w:r>
      <w:bookmarkEnd w:id="143"/>
      <w:bookmarkEnd w:id="144"/>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Gazette 30 Dec 2004 p. 6995; amended: Gazette 31 Dec 2007 p. 6516</w:t>
      </w:r>
      <w:r>
        <w:noBreakHyphen/>
        <w:t>17.]</w:t>
      </w:r>
    </w:p>
    <w:p>
      <w:pPr>
        <w:pStyle w:val="Heading5"/>
        <w:rPr>
          <w:snapToGrid w:val="0"/>
        </w:rPr>
      </w:pPr>
      <w:bookmarkStart w:id="145" w:name="_Toc75760579"/>
      <w:bookmarkStart w:id="146" w:name="_Toc75167994"/>
      <w:r>
        <w:rPr>
          <w:rStyle w:val="CharSectno"/>
        </w:rPr>
        <w:t>47A</w:t>
      </w:r>
      <w:r>
        <w:rPr>
          <w:snapToGrid w:val="0"/>
        </w:rPr>
        <w:t>.</w:t>
      </w:r>
      <w:r>
        <w:rPr>
          <w:snapToGrid w:val="0"/>
        </w:rPr>
        <w:tab/>
        <w:t>Alternative to seeking disciplinary action under r. 47</w:t>
      </w:r>
      <w:bookmarkEnd w:id="145"/>
      <w:bookmarkEnd w:id="146"/>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Gazette 30 Dec 2004 p. 6995</w:t>
      </w:r>
      <w:r>
        <w:noBreakHyphen/>
        <w:t>6; amended: Gazette 31 Dec 2007 p. 6517.]</w:t>
      </w:r>
    </w:p>
    <w:p>
      <w:pPr>
        <w:pStyle w:val="Heading5"/>
      </w:pPr>
      <w:bookmarkStart w:id="147" w:name="_Toc75760580"/>
      <w:bookmarkStart w:id="148" w:name="_Toc75167995"/>
      <w:r>
        <w:rPr>
          <w:rStyle w:val="CharSectno"/>
        </w:rPr>
        <w:t>47B</w:t>
      </w:r>
      <w:r>
        <w:t>.</w:t>
      </w:r>
      <w:r>
        <w:tab/>
        <w:t>Suspension, effect and revocation of</w:t>
      </w:r>
      <w:bookmarkEnd w:id="147"/>
      <w:bookmarkEnd w:id="148"/>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Gazette 31 Dec 2007 p. 6517</w:t>
      </w:r>
      <w:r>
        <w:noBreakHyphen/>
        <w:t>18.]</w:t>
      </w:r>
    </w:p>
    <w:p>
      <w:pPr>
        <w:pStyle w:val="Heading5"/>
      </w:pPr>
      <w:bookmarkStart w:id="149" w:name="_Toc75760581"/>
      <w:bookmarkStart w:id="150" w:name="_Toc75167996"/>
      <w:r>
        <w:rPr>
          <w:rStyle w:val="CharSectno"/>
        </w:rPr>
        <w:t>47C</w:t>
      </w:r>
      <w:r>
        <w:t>.</w:t>
      </w:r>
      <w:r>
        <w:tab/>
        <w:t>Nominees to be notified of cancellation or suspension of licence</w:t>
      </w:r>
      <w:bookmarkEnd w:id="149"/>
      <w:bookmarkEnd w:id="150"/>
    </w:p>
    <w:p>
      <w:pPr>
        <w:pStyle w:val="Subsection"/>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Gazette 2 May 2017 p. 2296.]</w:t>
      </w:r>
    </w:p>
    <w:p>
      <w:pPr>
        <w:pStyle w:val="Heading2"/>
      </w:pPr>
      <w:bookmarkStart w:id="151" w:name="_Toc75357381"/>
      <w:bookmarkStart w:id="152" w:name="_Toc75357759"/>
      <w:bookmarkStart w:id="153" w:name="_Toc75523122"/>
      <w:bookmarkStart w:id="154" w:name="_Toc75760582"/>
      <w:bookmarkStart w:id="155" w:name="_Toc74728091"/>
      <w:bookmarkStart w:id="156" w:name="_Toc74728256"/>
      <w:bookmarkStart w:id="157" w:name="_Toc75167997"/>
      <w:r>
        <w:rPr>
          <w:rStyle w:val="CharPartNo"/>
        </w:rPr>
        <w:t>Part 5</w:t>
      </w:r>
      <w:r>
        <w:t> — </w:t>
      </w:r>
      <w:r>
        <w:rPr>
          <w:rStyle w:val="CharPartText"/>
        </w:rPr>
        <w:t>Regulation of electrical work</w:t>
      </w:r>
      <w:bookmarkEnd w:id="151"/>
      <w:bookmarkEnd w:id="152"/>
      <w:bookmarkEnd w:id="153"/>
      <w:bookmarkEnd w:id="154"/>
      <w:bookmarkEnd w:id="155"/>
      <w:bookmarkEnd w:id="156"/>
      <w:bookmarkEnd w:id="157"/>
      <w:r>
        <w:rPr>
          <w:rStyle w:val="CharPartText"/>
        </w:rPr>
        <w:t xml:space="preserve"> </w:t>
      </w:r>
    </w:p>
    <w:p>
      <w:pPr>
        <w:pStyle w:val="Heading3"/>
        <w:rPr>
          <w:rStyle w:val="CharDivText"/>
        </w:rPr>
      </w:pPr>
      <w:bookmarkStart w:id="158" w:name="_Toc75357382"/>
      <w:bookmarkStart w:id="159" w:name="_Toc75357760"/>
      <w:bookmarkStart w:id="160" w:name="_Toc75523123"/>
      <w:bookmarkStart w:id="161" w:name="_Toc75760583"/>
      <w:bookmarkStart w:id="162" w:name="_Toc74728092"/>
      <w:bookmarkStart w:id="163" w:name="_Toc74728257"/>
      <w:bookmarkStart w:id="164" w:name="_Toc75167998"/>
      <w:r>
        <w:rPr>
          <w:rStyle w:val="CharDivNo"/>
        </w:rPr>
        <w:t>Division 1</w:t>
      </w:r>
      <w:r>
        <w:t> — </w:t>
      </w:r>
      <w:r>
        <w:rPr>
          <w:rStyle w:val="CharDivText"/>
        </w:rPr>
        <w:t>General regulation of electrical work</w:t>
      </w:r>
      <w:bookmarkEnd w:id="158"/>
      <w:bookmarkEnd w:id="159"/>
      <w:bookmarkEnd w:id="160"/>
      <w:bookmarkEnd w:id="161"/>
      <w:bookmarkEnd w:id="162"/>
      <w:bookmarkEnd w:id="163"/>
      <w:bookmarkEnd w:id="164"/>
    </w:p>
    <w:p>
      <w:pPr>
        <w:pStyle w:val="Footnoteheading"/>
      </w:pPr>
      <w:r>
        <w:tab/>
        <w:t>[Heading inserted: Gazette 14 Nov 2017 p. 5599.]</w:t>
      </w:r>
    </w:p>
    <w:p>
      <w:pPr>
        <w:pStyle w:val="Ednotesection"/>
      </w:pPr>
      <w:r>
        <w:t>[</w:t>
      </w:r>
      <w:r>
        <w:rPr>
          <w:b/>
        </w:rPr>
        <w:t>48.</w:t>
      </w:r>
      <w:r>
        <w:tab/>
        <w:t xml:space="preserve">Deleted: Gazette 6 Sep 1996 p. 4415.] </w:t>
      </w:r>
    </w:p>
    <w:p>
      <w:pPr>
        <w:pStyle w:val="Heading5"/>
        <w:rPr>
          <w:snapToGrid w:val="0"/>
        </w:rPr>
      </w:pPr>
      <w:bookmarkStart w:id="165" w:name="_Toc75760584"/>
      <w:bookmarkStart w:id="166" w:name="_Toc75167999"/>
      <w:r>
        <w:rPr>
          <w:rStyle w:val="CharSectno"/>
        </w:rPr>
        <w:t>49</w:t>
      </w:r>
      <w:r>
        <w:rPr>
          <w:snapToGrid w:val="0"/>
        </w:rPr>
        <w:t>.</w:t>
      </w:r>
      <w:r>
        <w:rPr>
          <w:snapToGrid w:val="0"/>
        </w:rPr>
        <w:tab/>
        <w:t>Electrical work, requirements for</w:t>
      </w:r>
      <w:bookmarkEnd w:id="165"/>
      <w:bookmarkEnd w:id="166"/>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 and</w:t>
      </w:r>
    </w:p>
    <w:p>
      <w:pPr>
        <w:pStyle w:val="Indenta"/>
      </w:pPr>
      <w:r>
        <w:tab/>
        <w:t>(b)</w:t>
      </w:r>
      <w:r>
        <w:tab/>
        <w:t xml:space="preserve">the WA Electrical Requirements issued by the Director in December 2015 and published in the </w:t>
      </w:r>
      <w:r>
        <w:rPr>
          <w:i/>
        </w:rPr>
        <w:t>Gazette</w:t>
      </w:r>
      <w:r>
        <w:t xml:space="preserve"> on 19 January 2016 at pages 141 to 193; and</w:t>
      </w:r>
    </w:p>
    <w:p>
      <w:pPr>
        <w:pStyle w:val="Indenta"/>
      </w:pPr>
      <w:r>
        <w:tab/>
        <w:t>(c)</w:t>
      </w:r>
      <w:r>
        <w:tab/>
        <w:t>the standards specified in Schedule 2 as amended from time to time;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w:t>
      </w:r>
    </w:p>
    <w:p>
      <w:pPr>
        <w:pStyle w:val="Heading5"/>
      </w:pPr>
      <w:bookmarkStart w:id="167" w:name="_Toc75760585"/>
      <w:bookmarkStart w:id="168" w:name="_Toc75168000"/>
      <w:r>
        <w:rPr>
          <w:rStyle w:val="CharSectno"/>
        </w:rPr>
        <w:t>49A</w:t>
      </w:r>
      <w:r>
        <w:t>.</w:t>
      </w:r>
      <w:r>
        <w:tab/>
        <w:t>Electrical installation designers, duties of</w:t>
      </w:r>
      <w:bookmarkEnd w:id="167"/>
      <w:bookmarkEnd w:id="168"/>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Gazette 31 Dec 2007 p. 6520.]</w:t>
      </w:r>
    </w:p>
    <w:p>
      <w:pPr>
        <w:pStyle w:val="Heading5"/>
      </w:pPr>
      <w:bookmarkStart w:id="169" w:name="_Toc75760586"/>
      <w:bookmarkStart w:id="170" w:name="_Toc75168001"/>
      <w:r>
        <w:rPr>
          <w:rStyle w:val="CharSectno"/>
        </w:rPr>
        <w:t>49B</w:t>
      </w:r>
      <w:r>
        <w:t>.</w:t>
      </w:r>
      <w:r>
        <w:tab/>
        <w:t>Electrical work to be carried out to safe standard and completed to trade finish</w:t>
      </w:r>
      <w:bookmarkEnd w:id="169"/>
      <w:bookmarkEnd w:id="170"/>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Gazette 31 Dec 2007 p. 6520; amended: Gazette 17 May 2011 p. 1815.]</w:t>
      </w:r>
    </w:p>
    <w:p>
      <w:pPr>
        <w:pStyle w:val="Heading5"/>
      </w:pPr>
      <w:bookmarkStart w:id="171" w:name="_Toc75760587"/>
      <w:bookmarkStart w:id="172" w:name="_Toc75168002"/>
      <w:r>
        <w:rPr>
          <w:rStyle w:val="CharSectno"/>
        </w:rPr>
        <w:t>49C</w:t>
      </w:r>
      <w:r>
        <w:t>.</w:t>
      </w:r>
      <w:r>
        <w:tab/>
        <w:t>Supervision of electrical work: interpretation</w:t>
      </w:r>
      <w:bookmarkEnd w:id="171"/>
      <w:bookmarkEnd w:id="172"/>
    </w:p>
    <w:p>
      <w:pPr>
        <w:pStyle w:val="Subsection"/>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p>
    <w:p>
      <w:pPr>
        <w:pStyle w:val="Subsection"/>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 Gazette 7 Jun 2018 p. 1816</w:t>
      </w:r>
      <w:r>
        <w:noBreakHyphen/>
        <w:t>17.]</w:t>
      </w:r>
    </w:p>
    <w:p>
      <w:pPr>
        <w:pStyle w:val="Heading5"/>
      </w:pPr>
      <w:bookmarkStart w:id="173" w:name="_Toc75760588"/>
      <w:bookmarkStart w:id="174" w:name="_Toc75168003"/>
      <w:r>
        <w:rPr>
          <w:rStyle w:val="CharSectno"/>
        </w:rPr>
        <w:t>49D</w:t>
      </w:r>
      <w:r>
        <w:t>.</w:t>
      </w:r>
      <w:r>
        <w:tab/>
        <w:t>Supervision of electrical work: levels of supervision</w:t>
      </w:r>
      <w:bookmarkEnd w:id="173"/>
      <w:bookmarkEnd w:id="174"/>
    </w:p>
    <w:p>
      <w:pPr>
        <w:pStyle w:val="Subsection"/>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pPr>
      <w:r>
        <w:tab/>
        <w:t>(c)</w:t>
      </w:r>
      <w:r>
        <w:tab/>
        <w:t xml:space="preserve">while the electrical work is being carried out — </w:t>
      </w:r>
    </w:p>
    <w:p>
      <w:pPr>
        <w:pStyle w:val="Indenti"/>
      </w:pPr>
      <w:r>
        <w:tab/>
        <w:t>(i)</w:t>
      </w:r>
      <w:r>
        <w:tab/>
        <w:t>is readily available or contactable to provide advice and guidance; and</w:t>
      </w:r>
    </w:p>
    <w:p>
      <w:pPr>
        <w:pStyle w:val="Indenti"/>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pPr>
      <w:r>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pPr>
      <w:r>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pPr>
      <w:r>
        <w:tab/>
        <w:t>(iv)</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Footnotesection"/>
      </w:pPr>
      <w:r>
        <w:tab/>
        <w:t>[Regulation 49D inserted: Gazette 7 Jun 2018 p. 1817</w:t>
      </w:r>
      <w:r>
        <w:noBreakHyphen/>
        <w:t>19.]</w:t>
      </w:r>
    </w:p>
    <w:p>
      <w:pPr>
        <w:pStyle w:val="Heading5"/>
        <w:rPr>
          <w:snapToGrid w:val="0"/>
        </w:rPr>
      </w:pPr>
      <w:bookmarkStart w:id="175" w:name="_Toc75760589"/>
      <w:bookmarkStart w:id="176" w:name="_Toc75168004"/>
      <w:r>
        <w:rPr>
          <w:rStyle w:val="CharSectno"/>
        </w:rPr>
        <w:t>50</w:t>
      </w:r>
      <w:r>
        <w:rPr>
          <w:snapToGrid w:val="0"/>
        </w:rPr>
        <w:t>.</w:t>
      </w:r>
      <w:r>
        <w:rPr>
          <w:snapToGrid w:val="0"/>
        </w:rPr>
        <w:tab/>
        <w:t>Supervision of electrical work: requirements</w:t>
      </w:r>
      <w:bookmarkEnd w:id="175"/>
      <w:bookmarkEnd w:id="176"/>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pPr>
      <w:r>
        <w:tab/>
        <w:t>(3)</w:t>
      </w:r>
      <w:r>
        <w:tab/>
        <w:t xml:space="preserve">For the purposes of subregulation (1), a person employing an electrical worker must — </w:t>
      </w:r>
    </w:p>
    <w:p>
      <w:pPr>
        <w:pStyle w:val="Indenta"/>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pPr>
      <w:r>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pPr>
      <w:r>
        <w:tab/>
        <w:t>(ii)</w:t>
      </w:r>
      <w:r>
        <w:tab/>
        <w:t>does not, in any case, supervise the electrical work of more than 4 electrical workers whose electrical work requires supervision;</w:t>
      </w:r>
    </w:p>
    <w:p>
      <w:pPr>
        <w:pStyle w:val="Indenta"/>
      </w:pPr>
      <w:r>
        <w:tab/>
      </w:r>
      <w:r>
        <w:tab/>
        <w:t>and</w:t>
      </w:r>
    </w:p>
    <w:p>
      <w:pPr>
        <w:pStyle w:val="Indenta"/>
      </w:pPr>
      <w:r>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tab/>
        <w:t>(iii)</w:t>
      </w:r>
      <w:r>
        <w:tab/>
        <w:t>understands that, in relation to carrying out electrical work, they are not to take instructions from anyone other than their supervising electrical worker.</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 Gazette 6 Sep 1996 p. 4416; 31 Dec 2007 p. 6521; 7 Jun 2018 p. 1819</w:t>
      </w:r>
      <w:r>
        <w:noBreakHyphen/>
        <w:t xml:space="preserve">23.] </w:t>
      </w:r>
    </w:p>
    <w:p>
      <w:pPr>
        <w:pStyle w:val="Heading5"/>
        <w:spacing w:before="180"/>
      </w:pPr>
      <w:bookmarkStart w:id="177" w:name="_Toc75760590"/>
      <w:bookmarkStart w:id="178" w:name="_Toc75168005"/>
      <w:r>
        <w:rPr>
          <w:rStyle w:val="CharSectno"/>
        </w:rPr>
        <w:t>50AA</w:t>
      </w:r>
      <w:r>
        <w:t>.</w:t>
      </w:r>
      <w:r>
        <w:tab/>
        <w:t>Supervision of electrical work: informing employer and supervisor of experience of apprentice or trainee</w:t>
      </w:r>
      <w:bookmarkEnd w:id="177"/>
      <w:bookmarkEnd w:id="178"/>
    </w:p>
    <w:p>
      <w:pPr>
        <w:pStyle w:val="Subsection"/>
        <w:keepNext/>
      </w:pPr>
      <w:r>
        <w:tab/>
        <w:t>(1)</w:t>
      </w:r>
      <w:r>
        <w:tab/>
        <w:t xml:space="preserve">In this regulation — </w:t>
      </w:r>
    </w:p>
    <w:p>
      <w:pPr>
        <w:pStyle w:val="Defstart"/>
      </w:pPr>
      <w:r>
        <w:tab/>
      </w:r>
      <w:r>
        <w:rPr>
          <w:rStyle w:val="CharDefText"/>
        </w:rPr>
        <w:t>agent</w:t>
      </w:r>
      <w:r>
        <w:t xml:space="preserve"> has the meaning given in the </w:t>
      </w:r>
      <w:r>
        <w:rPr>
          <w:i/>
        </w:rPr>
        <w:t>Occupational Safety and Health Act 1984</w:t>
      </w:r>
      <w:r>
        <w:t xml:space="preserve"> section 23F;</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tab/>
      </w:r>
      <w:r>
        <w:rPr>
          <w:rStyle w:val="CharDefText"/>
        </w:rPr>
        <w:t>labour hire arrangement</w:t>
      </w:r>
      <w:r>
        <w:t xml:space="preserve"> has the same meaning as in the </w:t>
      </w:r>
      <w:r>
        <w:rPr>
          <w:i/>
        </w:rPr>
        <w:t>Occupational Safety and Health Act 1984</w:t>
      </w:r>
      <w:r>
        <w:t xml:space="preserve"> section 23F;</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Gazette 31 Dec 2007 p. 6522; amended: Gazette 7 Jun 2018 p. 1823.]</w:t>
      </w:r>
    </w:p>
    <w:p>
      <w:pPr>
        <w:pStyle w:val="Heading5"/>
      </w:pPr>
      <w:bookmarkStart w:id="179" w:name="_Toc75760591"/>
      <w:bookmarkStart w:id="180" w:name="_Toc75168006"/>
      <w:r>
        <w:rPr>
          <w:rStyle w:val="CharSectno"/>
        </w:rPr>
        <w:t>50AB</w:t>
      </w:r>
      <w:r>
        <w:t>.</w:t>
      </w:r>
      <w:r>
        <w:tab/>
        <w:t>Employer to be satisfied former apprentice has successfully completed training</w:t>
      </w:r>
      <w:bookmarkEnd w:id="179"/>
      <w:bookmarkEnd w:id="180"/>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Gazette 31 Dec 2007 p. 6523.]</w:t>
      </w:r>
    </w:p>
    <w:p>
      <w:pPr>
        <w:pStyle w:val="Heading5"/>
        <w:rPr>
          <w:snapToGrid w:val="0"/>
        </w:rPr>
      </w:pPr>
      <w:bookmarkStart w:id="181" w:name="_Toc75760592"/>
      <w:bookmarkStart w:id="182" w:name="_Toc75168007"/>
      <w:r>
        <w:rPr>
          <w:rStyle w:val="CharSectno"/>
        </w:rPr>
        <w:t>50A</w:t>
      </w:r>
      <w:r>
        <w:rPr>
          <w:snapToGrid w:val="0"/>
        </w:rPr>
        <w:t xml:space="preserve">. </w:t>
      </w:r>
      <w:r>
        <w:rPr>
          <w:snapToGrid w:val="0"/>
        </w:rPr>
        <w:tab/>
        <w:t>Licence holder not to cause or permit unsafe wiring or equipment to be connected to electrical installation</w:t>
      </w:r>
      <w:bookmarkEnd w:id="181"/>
      <w:bookmarkEnd w:id="182"/>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Gazette 6 Sep 1996 p. 4416; amended: Gazette 31 Dec 2007 p. 6523</w:t>
      </w:r>
      <w:r>
        <w:noBreakHyphen/>
        <w:t xml:space="preserve">4.] </w:t>
      </w:r>
    </w:p>
    <w:p>
      <w:pPr>
        <w:pStyle w:val="Heading5"/>
        <w:rPr>
          <w:snapToGrid w:val="0"/>
        </w:rPr>
      </w:pPr>
      <w:bookmarkStart w:id="183" w:name="_Toc75760593"/>
      <w:bookmarkStart w:id="184" w:name="_Toc75168008"/>
      <w:r>
        <w:rPr>
          <w:rStyle w:val="CharSectno"/>
        </w:rPr>
        <w:t>51</w:t>
      </w:r>
      <w:r>
        <w:rPr>
          <w:snapToGrid w:val="0"/>
        </w:rPr>
        <w:t>.</w:t>
      </w:r>
      <w:r>
        <w:rPr>
          <w:snapToGrid w:val="0"/>
        </w:rPr>
        <w:tab/>
        <w:t>Notifiable work, preliminary notice of to be given to network operator</w:t>
      </w:r>
      <w:bookmarkEnd w:id="183"/>
      <w:bookmarkEnd w:id="184"/>
    </w:p>
    <w:p>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1.4.37;</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keepNex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Gazette 6 Sep 1996 p. 4417; amended: Gazette 31 Dec 2007 p. 6524 and 6539; 17 May 2011 p. 1815</w:t>
      </w:r>
      <w:r>
        <w:noBreakHyphen/>
        <w:t xml:space="preserve">17; 2 May 2017 p. 2297 and 2302; 2 Oct 2018 p. 3793; 8 Jan 2019 p. 11.] </w:t>
      </w:r>
    </w:p>
    <w:p>
      <w:pPr>
        <w:pStyle w:val="Heading5"/>
        <w:rPr>
          <w:snapToGrid w:val="0"/>
        </w:rPr>
      </w:pPr>
      <w:bookmarkStart w:id="185" w:name="_Toc75760594"/>
      <w:bookmarkStart w:id="186" w:name="_Toc75168009"/>
      <w:r>
        <w:rPr>
          <w:rStyle w:val="CharSectno"/>
        </w:rPr>
        <w:t>52</w:t>
      </w:r>
      <w:r>
        <w:rPr>
          <w:snapToGrid w:val="0"/>
        </w:rPr>
        <w:t>.</w:t>
      </w:r>
      <w:r>
        <w:rPr>
          <w:snapToGrid w:val="0"/>
        </w:rPr>
        <w:tab/>
        <w:t>Notifiable work, notice of completion of to be given to network operator</w:t>
      </w:r>
      <w:bookmarkEnd w:id="185"/>
      <w:bookmarkEnd w:id="186"/>
    </w:p>
    <w:p>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pPr>
        <w:pStyle w:val="Subsection"/>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pPr>
      <w:r>
        <w:tab/>
        <w:t>(iii)</w:t>
      </w:r>
      <w:r>
        <w:tab/>
        <w:t>is ready for connection to transmission or distribution works or a private generating plant.</w:t>
      </w:r>
    </w:p>
    <w:p>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w:t>
      </w:r>
    </w:p>
    <w:p>
      <w:pPr>
        <w:pStyle w:val="Heading5"/>
      </w:pPr>
      <w:bookmarkStart w:id="187" w:name="_Toc75760595"/>
      <w:bookmarkStart w:id="188" w:name="_Toc75168010"/>
      <w:r>
        <w:rPr>
          <w:rStyle w:val="CharSectno"/>
        </w:rPr>
        <w:t>52A</w:t>
      </w:r>
      <w:r>
        <w:t>.</w:t>
      </w:r>
      <w:r>
        <w:tab/>
        <w:t>Notices under r. 51 and 52, delivery of</w:t>
      </w:r>
      <w:bookmarkEnd w:id="187"/>
      <w:bookmarkEnd w:id="188"/>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the person knows, or ought reasonably to know, is false or misleading.</w:t>
      </w:r>
    </w:p>
    <w:p>
      <w:pPr>
        <w:pStyle w:val="Subsection"/>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Gazette 31 Dec 2007 p. 6526; amended: Gazette 17 May 2011 p. 1819; 2 May 2017 p. 2298; 8 Jan 2019 p. 12.]</w:t>
      </w:r>
    </w:p>
    <w:p>
      <w:pPr>
        <w:pStyle w:val="Heading5"/>
      </w:pPr>
      <w:bookmarkStart w:id="189" w:name="_Toc75760596"/>
      <w:bookmarkStart w:id="190" w:name="_Toc75168011"/>
      <w:r>
        <w:rPr>
          <w:rStyle w:val="CharSectno"/>
        </w:rPr>
        <w:t>52B</w:t>
      </w:r>
      <w:r>
        <w:t>.</w:t>
      </w:r>
      <w:r>
        <w:tab/>
        <w:t>Electrical safety certificates, issue of for electrical installing work</w:t>
      </w:r>
      <w:bookmarkEnd w:id="189"/>
      <w:bookmarkEnd w:id="190"/>
    </w:p>
    <w:p>
      <w:pPr>
        <w:pStyle w:val="Subsection"/>
        <w:spacing w:before="120"/>
      </w:pPr>
      <w:r>
        <w:tab/>
        <w:t>(1)</w:t>
      </w:r>
      <w:r>
        <w:tab/>
        <w:t>Subject to subregulations (3) and (5) and regulations 52BA and 52BB,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keepNext/>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the person knows, or ought reasonably to know, is false or misleading.</w:t>
      </w:r>
    </w:p>
    <w:p>
      <w:pPr>
        <w:pStyle w:val="Subsection"/>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pPr>
      <w:r>
        <w:tab/>
        <w:t>(b)</w:t>
      </w:r>
      <w:r>
        <w:tab/>
        <w:t>the licensed electrical worker was authorised under subregulation (5) to complete the electrical safety certificate on behalf of the electrical contractor.</w:t>
      </w:r>
    </w:p>
    <w:p>
      <w:pPr>
        <w:pStyle w:val="Footnotesection"/>
      </w:pPr>
      <w:r>
        <w:tab/>
        <w:t>[Regulation 52B inserted: Gazette 31 Dec 2007 p. 6527</w:t>
      </w:r>
      <w:r>
        <w:noBreakHyphen/>
        <w:t>8; amended: Gazette 17 May 2011 p. 1820</w:t>
      </w:r>
      <w:r>
        <w:noBreakHyphen/>
        <w:t>1; 2 May 2017 p. 2298</w:t>
      </w:r>
      <w:r>
        <w:noBreakHyphen/>
        <w:t>300; 8 Jan 2019 p. 12.]</w:t>
      </w:r>
    </w:p>
    <w:p>
      <w:pPr>
        <w:pStyle w:val="Heading5"/>
      </w:pPr>
      <w:bookmarkStart w:id="191" w:name="_Toc75760597"/>
      <w:bookmarkStart w:id="192" w:name="_Toc75168012"/>
      <w:r>
        <w:rPr>
          <w:rStyle w:val="CharSectno"/>
        </w:rPr>
        <w:t>52BA</w:t>
      </w:r>
      <w:r>
        <w:t>.</w:t>
      </w:r>
      <w:r>
        <w:tab/>
        <w:t>Transportable structures: when compliance with regulations 51, 52 and 52B not required</w:t>
      </w:r>
      <w:bookmarkEnd w:id="191"/>
      <w:bookmarkEnd w:id="192"/>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tab/>
        <w:t>(2)</w:t>
      </w:r>
      <w:r>
        <w:tab/>
        <w:t>If this subregulation applies, the electrical contractor is not required to comply with regulation 51, 52 or 52B in respect of the electrical installing work.</w:t>
      </w:r>
    </w:p>
    <w:p>
      <w:pPr>
        <w:pStyle w:val="Subsection"/>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Gazette 2 May 2017 p. 2300.]</w:t>
      </w:r>
    </w:p>
    <w:p>
      <w:pPr>
        <w:pStyle w:val="Heading5"/>
      </w:pPr>
      <w:bookmarkStart w:id="193" w:name="_Toc75760598"/>
      <w:bookmarkStart w:id="194" w:name="_Toc75168013"/>
      <w:r>
        <w:rPr>
          <w:rStyle w:val="CharSectno"/>
        </w:rPr>
        <w:t>52BB</w:t>
      </w:r>
      <w:r>
        <w:t>.</w:t>
      </w:r>
      <w:r>
        <w:tab/>
        <w:t>Notifiable work: modified procedure available for certain construction projects</w:t>
      </w:r>
      <w:bookmarkEnd w:id="193"/>
      <w:bookmarkEnd w:id="194"/>
    </w:p>
    <w:p>
      <w:pPr>
        <w:pStyle w:val="Subsection"/>
      </w:pPr>
      <w:r>
        <w:tab/>
        <w:t>(1)</w:t>
      </w:r>
      <w:r>
        <w:tab/>
        <w:t xml:space="preserve">In this regulation, and regulations 52BC to 52BE — </w:t>
      </w:r>
    </w:p>
    <w:p>
      <w:pPr>
        <w:pStyle w:val="Defstart"/>
      </w:pPr>
      <w:r>
        <w:tab/>
      </w:r>
      <w:r>
        <w:rPr>
          <w:rStyle w:val="CharDefText"/>
        </w:rPr>
        <w:t>construction project</w:t>
      </w:r>
      <w:r>
        <w:t xml:space="preserve"> means building work that — </w:t>
      </w:r>
    </w:p>
    <w:p>
      <w:pPr>
        <w:pStyle w:val="Defpara"/>
      </w:pPr>
      <w:r>
        <w:tab/>
        <w:t>(a)</w:t>
      </w:r>
      <w:r>
        <w:tab/>
        <w:t>is expected to be carried out over the course of 12 months or more; and</w:t>
      </w:r>
    </w:p>
    <w:p>
      <w:pPr>
        <w:pStyle w:val="Defpara"/>
      </w:pPr>
      <w:r>
        <w:tab/>
        <w:t>(b)</w:t>
      </w:r>
      <w:r>
        <w:tab/>
        <w:t xml:space="preserve">includes notifiable work that alone or together with other notifiable work — </w:t>
      </w:r>
    </w:p>
    <w:p>
      <w:pPr>
        <w:pStyle w:val="Indenti"/>
      </w:pPr>
      <w:r>
        <w:tab/>
        <w:t>(i)</w:t>
      </w:r>
      <w:r>
        <w:tab/>
        <w:t>will result in an electrical installation with a calculated maximum demand, or a name plate maximum output, of at least 1 MVA or 1 MW respectively; or</w:t>
      </w:r>
    </w:p>
    <w:p>
      <w:pPr>
        <w:pStyle w:val="Indenti"/>
      </w:pPr>
      <w:r>
        <w:tab/>
        <w:t>(ii)</w:t>
      </w:r>
      <w:r>
        <w:tab/>
        <w:t>will increase the calculated maximum demand, or the name plate maximum output, of an existing electrical installation by at least 1 MVA or 1 MW respectively;</w:t>
      </w:r>
    </w:p>
    <w:p>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pPr>
        <w:pStyle w:val="Defstart"/>
      </w:pPr>
      <w:r>
        <w:tab/>
      </w:r>
      <w:r>
        <w:rPr>
          <w:rStyle w:val="CharDefText"/>
        </w:rPr>
        <w:t>modified procedure</w:t>
      </w:r>
      <w:r>
        <w:t xml:space="preserve"> means the modified procedure referred to in subregulation (2);</w:t>
      </w:r>
    </w:p>
    <w:p>
      <w:pPr>
        <w:pStyle w:val="Defstart"/>
      </w:pPr>
      <w:r>
        <w:tab/>
      </w:r>
      <w:r>
        <w:rPr>
          <w:rStyle w:val="CharDefText"/>
        </w:rPr>
        <w:t>notifiable work of an electrical contractor</w:t>
      </w:r>
      <w:r>
        <w:t xml:space="preserve"> means notifiable work that the electrical contractor carries out or causes to be carried out;</w:t>
      </w:r>
    </w:p>
    <w:p>
      <w:pPr>
        <w:pStyle w:val="Defstart"/>
      </w:pPr>
      <w:r>
        <w:tab/>
      </w:r>
      <w:r>
        <w:rPr>
          <w:rStyle w:val="CharDefText"/>
        </w:rPr>
        <w:t>revenue meter</w:t>
      </w:r>
      <w:r>
        <w:t xml:space="preserve"> means a meter used to measure the supply of electricity by a network operator.</w:t>
      </w:r>
    </w:p>
    <w:p>
      <w:pPr>
        <w:pStyle w:val="Subsection"/>
      </w:pPr>
      <w:r>
        <w:tab/>
        <w:t>(2)</w:t>
      </w:r>
      <w:r>
        <w:tab/>
        <w:t xml:space="preserve">An electrical contractor may use the modified procedure under subregulations (4) to (6) in relation to notifiable work of the electrical contractor if — </w:t>
      </w:r>
    </w:p>
    <w:p>
      <w:pPr>
        <w:pStyle w:val="Indenta"/>
      </w:pPr>
      <w:r>
        <w:tab/>
        <w:t>(a)</w:t>
      </w:r>
      <w:r>
        <w:tab/>
        <w:t>the work is part of a construction project; and</w:t>
      </w:r>
    </w:p>
    <w:p>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pPr>
        <w:pStyle w:val="Subsection"/>
      </w:pPr>
      <w:r>
        <w:tab/>
        <w:t>(3)</w:t>
      </w:r>
      <w:r>
        <w:tab/>
        <w:t>The electrical contractor need not comply with the default procedure in relation to the notifiable work while using the modified procedure in relation to the notifiable work.</w:t>
      </w:r>
    </w:p>
    <w:p>
      <w:pPr>
        <w:pStyle w:val="Subsection"/>
      </w:pPr>
      <w:r>
        <w:tab/>
        <w:t>(4)</w:t>
      </w:r>
      <w:r>
        <w:tab/>
        <w:t xml:space="preserve">The modified procedure, subject to subregulations (5) and (6), is that the electrical contractor — </w:t>
      </w:r>
    </w:p>
    <w:p>
      <w:pPr>
        <w:pStyle w:val="Indenta"/>
      </w:pPr>
      <w:r>
        <w:tab/>
        <w:t>(a)</w:t>
      </w:r>
      <w:r>
        <w:tab/>
        <w:t>must, in accordance with regulation 51, deliver to the relevant network operator a preliminary notice in respect of the notifiable work; and</w:t>
      </w:r>
    </w:p>
    <w:p>
      <w:pPr>
        <w:pStyle w:val="Indenta"/>
      </w:pPr>
      <w:r>
        <w:tab/>
        <w:t>(b)</w:t>
      </w:r>
      <w:r>
        <w:tab/>
        <w:t>must, in accordance with regulation 52BC, keep a record of all electrical installing work carried out as part of or in connection with the notifiable work; and</w:t>
      </w:r>
    </w:p>
    <w:p>
      <w:pPr>
        <w:pStyle w:val="Indenta"/>
      </w:pPr>
      <w:r>
        <w:tab/>
        <w:t>(c)</w:t>
      </w:r>
      <w:r>
        <w:tab/>
        <w:t>for each revenue meter installed as part of the notifiable work, must, in accordance with regulation 52, deliver to the relevant network operator a notice of completion in respect of the installation of the meter; and</w:t>
      </w:r>
    </w:p>
    <w:p>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pPr>
        <w:pStyle w:val="Indenta"/>
      </w:pPr>
      <w:r>
        <w:tab/>
        <w:t>(e)</w:t>
      </w:r>
      <w:r>
        <w:tab/>
        <w:t>must, in accordance with regulation 52, deliver to the relevant network operator a notice of completion in respect of the notifiable work, after the completion of the last of the notifiable work.</w:t>
      </w:r>
    </w:p>
    <w:p>
      <w:pPr>
        <w:pStyle w:val="Subsection"/>
      </w:pPr>
      <w:r>
        <w:tab/>
        <w:t>(5)</w:t>
      </w:r>
      <w:r>
        <w:tab/>
        <w:t xml:space="preserve">If the notifiable work involves the use of a temporary supply, the electrical contractor — </w:t>
      </w:r>
    </w:p>
    <w:p>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pPr>
        <w:pStyle w:val="Indenta"/>
      </w:pPr>
      <w:r>
        <w:tab/>
        <w:t>(b)</w:t>
      </w:r>
      <w:r>
        <w:tab/>
        <w:t>need not deliver the notice of completion referred to in subregulation (4)(d).</w:t>
      </w:r>
    </w:p>
    <w:p>
      <w:pPr>
        <w:pStyle w:val="Subsection"/>
      </w:pPr>
      <w:r>
        <w:tab/>
        <w:t>(6)</w:t>
      </w:r>
      <w:r>
        <w:tab/>
        <w:t xml:space="preserve">If the construction project is to be completed in stages, the electrical contractor — </w:t>
      </w:r>
    </w:p>
    <w:p>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pPr>
        <w:pStyle w:val="Indenta"/>
      </w:pPr>
      <w:r>
        <w:tab/>
        <w:t>(c)</w:t>
      </w:r>
      <w:r>
        <w:tab/>
        <w:t>need not deliver the notice referred to in subregulation (4)(a); and</w:t>
      </w:r>
    </w:p>
    <w:p>
      <w:pPr>
        <w:pStyle w:val="Indenta"/>
      </w:pPr>
      <w:r>
        <w:tab/>
        <w:t>(d)</w:t>
      </w:r>
      <w:r>
        <w:tab/>
        <w:t>to the extent to which paragraph (b) has been complied with for all of the stages of the project, need not deliver the notice referred to in subregulation (4)(e).</w:t>
      </w:r>
    </w:p>
    <w:p>
      <w:pPr>
        <w:pStyle w:val="Subsection"/>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pPr>
        <w:pStyle w:val="Footnotesection"/>
      </w:pPr>
      <w:r>
        <w:tab/>
        <w:t>[Regulation 52BB inserted: Gazette 8 Jan 2019 p. 12</w:t>
      </w:r>
      <w:r>
        <w:noBreakHyphen/>
        <w:t>15.]</w:t>
      </w:r>
    </w:p>
    <w:p>
      <w:pPr>
        <w:pStyle w:val="Heading5"/>
      </w:pPr>
      <w:bookmarkStart w:id="195" w:name="_Toc75760599"/>
      <w:bookmarkStart w:id="196" w:name="_Toc75168014"/>
      <w:r>
        <w:rPr>
          <w:rStyle w:val="CharSectno"/>
        </w:rPr>
        <w:t>52BC</w:t>
      </w:r>
      <w:r>
        <w:t>.</w:t>
      </w:r>
      <w:r>
        <w:tab/>
        <w:t>Modified procedure: record of electrical installing work</w:t>
      </w:r>
      <w:bookmarkEnd w:id="195"/>
      <w:bookmarkEnd w:id="196"/>
    </w:p>
    <w:p>
      <w:pPr>
        <w:pStyle w:val="Subsection"/>
      </w:pPr>
      <w:r>
        <w:tab/>
        <w:t>(1)</w:t>
      </w:r>
      <w:r>
        <w:tab/>
        <w:t xml:space="preserve">The record to be kept under regulation 52BB(4)(b) by the electrical contractor must include the following — </w:t>
      </w:r>
    </w:p>
    <w:p>
      <w:pPr>
        <w:pStyle w:val="Indenta"/>
      </w:pPr>
      <w:r>
        <w:tab/>
        <w:t>(a)</w:t>
      </w:r>
      <w:r>
        <w:tab/>
        <w:t>a concise description of the work carried out;</w:t>
      </w:r>
    </w:p>
    <w:p>
      <w:pPr>
        <w:pStyle w:val="Indenta"/>
      </w:pPr>
      <w:r>
        <w:tab/>
        <w:t>(b)</w:t>
      </w:r>
      <w:r>
        <w:tab/>
        <w:t>the date on which the work was completed;</w:t>
      </w:r>
    </w:p>
    <w:p>
      <w:pPr>
        <w:pStyle w:val="Indenta"/>
      </w:pPr>
      <w:r>
        <w:tab/>
        <w:t>(c)</w:t>
      </w:r>
      <w:r>
        <w:tab/>
        <w:t>the name and licence number of each electrical worker who carried out the work;</w:t>
      </w:r>
    </w:p>
    <w:p>
      <w:pPr>
        <w:pStyle w:val="Indenta"/>
        <w:rPr>
          <w:rStyle w:val="DraftersNotes"/>
        </w:rPr>
      </w:pPr>
      <w:r>
        <w:tab/>
        <w:t>(d)</w:t>
      </w:r>
      <w:r>
        <w:tab/>
        <w:t>certification by the electrical contractor that the work has been checked and tested and is safe and complies with the requirements of these regulations.</w:t>
      </w:r>
    </w:p>
    <w:p>
      <w:pPr>
        <w:pStyle w:val="Subsection"/>
      </w:pPr>
      <w:r>
        <w:tab/>
        <w:t>(2)</w:t>
      </w:r>
      <w:r>
        <w:tab/>
        <w:t xml:space="preserve">The record must be — </w:t>
      </w:r>
    </w:p>
    <w:p>
      <w:pPr>
        <w:pStyle w:val="Indenta"/>
      </w:pPr>
      <w:r>
        <w:tab/>
        <w:t>(a)</w:t>
      </w:r>
      <w:r>
        <w:tab/>
        <w:t>in an electronic form approved by the Director; and</w:t>
      </w:r>
    </w:p>
    <w:p>
      <w:pPr>
        <w:pStyle w:val="Indenta"/>
      </w:pPr>
      <w:r>
        <w:tab/>
        <w:t>(b)</w:t>
      </w:r>
      <w:r>
        <w:tab/>
        <w:t>updated weekly; and</w:t>
      </w:r>
    </w:p>
    <w:p>
      <w:pPr>
        <w:pStyle w:val="Indenta"/>
      </w:pPr>
      <w:r>
        <w:tab/>
        <w:t>(c)</w:t>
      </w:r>
      <w:r>
        <w:tab/>
        <w:t>kept on site; and</w:t>
      </w:r>
    </w:p>
    <w:p>
      <w:pPr>
        <w:pStyle w:val="Indenta"/>
      </w:pPr>
      <w:r>
        <w:tab/>
        <w:t>(d)</w:t>
      </w:r>
      <w:r>
        <w:tab/>
        <w:t>produced on demand by an inspector; and</w:t>
      </w:r>
    </w:p>
    <w:p>
      <w:pPr>
        <w:pStyle w:val="Indenta"/>
      </w:pPr>
      <w:r>
        <w:tab/>
        <w:t>(e)</w:t>
      </w:r>
      <w:r>
        <w:tab/>
        <w:t>retained for a period of 5 years after completion of the construction project.</w:t>
      </w:r>
    </w:p>
    <w:p>
      <w:pPr>
        <w:pStyle w:val="Subsection"/>
        <w:keepNext/>
      </w:pPr>
      <w:r>
        <w:tab/>
        <w:t>(3)</w:t>
      </w:r>
      <w:r>
        <w:tab/>
        <w:t xml:space="preserve">Subregulation (4) applies to an electrical contractor if the Director is satisfied that — </w:t>
      </w:r>
    </w:p>
    <w:p>
      <w:pPr>
        <w:pStyle w:val="Indenta"/>
        <w:keepNext/>
      </w:pPr>
      <w:r>
        <w:tab/>
        <w:t>(a)</w:t>
      </w:r>
      <w:r>
        <w:tab/>
        <w:t xml:space="preserve">the electrical contractor — </w:t>
      </w:r>
    </w:p>
    <w:p>
      <w:pPr>
        <w:pStyle w:val="Indenti"/>
      </w:pPr>
      <w:r>
        <w:tab/>
        <w:t>(i)</w:t>
      </w:r>
      <w:r>
        <w:tab/>
        <w:t>has failed to comply with an obligation under regulation 52BB(4) to (6); or</w:t>
      </w:r>
    </w:p>
    <w:p>
      <w:pPr>
        <w:pStyle w:val="Indenti"/>
      </w:pPr>
      <w:r>
        <w:tab/>
        <w:t>(ii)</w:t>
      </w:r>
      <w:r>
        <w:tab/>
        <w:t>has made a record under regulation 52BB(4)(b) that the electrical contractor knows, or ought reasonably to know, is false or misleading in a material particular;</w:t>
      </w:r>
    </w:p>
    <w:p>
      <w:pPr>
        <w:pStyle w:val="Indenta"/>
      </w:pPr>
      <w:r>
        <w:tab/>
      </w:r>
      <w:r>
        <w:tab/>
        <w:t>and</w:t>
      </w:r>
    </w:p>
    <w:p>
      <w:pPr>
        <w:pStyle w:val="Indenta"/>
      </w:pPr>
      <w:r>
        <w:tab/>
        <w:t>(b)</w:t>
      </w:r>
      <w:r>
        <w:tab/>
        <w:t>in the case of a failure described in paragraph (a)(i), the failure is either not minor or has been repeated.</w:t>
      </w:r>
    </w:p>
    <w:p>
      <w:pPr>
        <w:pStyle w:val="Subsection"/>
      </w:pPr>
      <w:r>
        <w:tab/>
        <w:t>(4)</w:t>
      </w:r>
      <w:r>
        <w:tab/>
        <w:t xml:space="preserve">If this subregulation applies to an electrical contractor, the Director may, by written order, direct the electrical contractor to do one or more of the following — </w:t>
      </w:r>
    </w:p>
    <w:p>
      <w:pPr>
        <w:pStyle w:val="Indenta"/>
      </w:pPr>
      <w:r>
        <w:tab/>
        <w:t>(a)</w:t>
      </w:r>
      <w:r>
        <w:tab/>
        <w:t>cease, on the day specified in the order, using the modified procedure in relation to the notifiable work;</w:t>
      </w:r>
    </w:p>
    <w:p>
      <w:pPr>
        <w:pStyle w:val="Indenta"/>
      </w:pPr>
      <w:r>
        <w:tab/>
        <w:t>(b)</w:t>
      </w:r>
      <w:r>
        <w:tab/>
        <w:t>remedy any failure to comply with an obligation under regulation 52BB(4) to (6).</w:t>
      </w:r>
    </w:p>
    <w:p>
      <w:pPr>
        <w:pStyle w:val="Subsection"/>
      </w:pPr>
      <w:r>
        <w:tab/>
        <w:t>(5)</w:t>
      </w:r>
      <w:r>
        <w:tab/>
        <w:t>An electrical contractor given an order under subregulation (4) must comply with the order.</w:t>
      </w:r>
    </w:p>
    <w:p>
      <w:pPr>
        <w:pStyle w:val="Footnotesection"/>
      </w:pPr>
      <w:r>
        <w:tab/>
        <w:t>[Regulation 52BC inserted: Gazette 8 Jan 2019 p. 15</w:t>
      </w:r>
      <w:r>
        <w:noBreakHyphen/>
        <w:t>16.]</w:t>
      </w:r>
    </w:p>
    <w:p>
      <w:pPr>
        <w:pStyle w:val="Heading5"/>
      </w:pPr>
      <w:bookmarkStart w:id="197" w:name="_Toc75760600"/>
      <w:bookmarkStart w:id="198" w:name="_Toc75168015"/>
      <w:r>
        <w:rPr>
          <w:rStyle w:val="CharSectno"/>
        </w:rPr>
        <w:t>52BD</w:t>
      </w:r>
      <w:r>
        <w:t>.</w:t>
      </w:r>
      <w:r>
        <w:tab/>
        <w:t>Modified procedure: notice requirements</w:t>
      </w:r>
      <w:bookmarkEnd w:id="197"/>
      <w:bookmarkEnd w:id="198"/>
    </w:p>
    <w:p>
      <w:pPr>
        <w:pStyle w:val="Subsection"/>
      </w:pPr>
      <w:r>
        <w:tab/>
        <w:t>(1)</w:t>
      </w:r>
      <w:r>
        <w:tab/>
        <w:t xml:space="preserve">An electrical contractor who decides to use the modified procedure in relation to notifiable work — </w:t>
      </w:r>
    </w:p>
    <w:p>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pPr>
        <w:pStyle w:val="Indenta"/>
      </w:pPr>
      <w:r>
        <w:tab/>
        <w:t>(b)</w:t>
      </w:r>
      <w:r>
        <w:tab/>
        <w:t>may decide to cease using the modified procedure in relation to any further notifiable work to be carried out as part of the construction project.</w:t>
      </w:r>
    </w:p>
    <w:p>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pPr>
        <w:pStyle w:val="Subsection"/>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pPr>
        <w:pStyle w:val="Footnotesection"/>
      </w:pPr>
      <w:r>
        <w:tab/>
        <w:t>[Regulation 52BD inserted: Gazette 8 Jan 2019 p. 16.]</w:t>
      </w:r>
    </w:p>
    <w:p>
      <w:pPr>
        <w:pStyle w:val="Heading5"/>
      </w:pPr>
      <w:bookmarkStart w:id="199" w:name="_Toc75760601"/>
      <w:bookmarkStart w:id="200" w:name="_Toc75168016"/>
      <w:r>
        <w:rPr>
          <w:rStyle w:val="CharSectno"/>
        </w:rPr>
        <w:t>52BE</w:t>
      </w:r>
      <w:r>
        <w:t>.</w:t>
      </w:r>
      <w:r>
        <w:tab/>
        <w:t>Modified procedure: opting in and ceasing</w:t>
      </w:r>
      <w:bookmarkEnd w:id="199"/>
      <w:bookmarkEnd w:id="200"/>
    </w:p>
    <w:p>
      <w:pPr>
        <w:pStyle w:val="Subsection"/>
      </w:pPr>
      <w:r>
        <w:tab/>
        <w:t>(1)</w:t>
      </w:r>
      <w:r>
        <w:tab/>
        <w:t xml:space="preserve">An electrical contractor may use the modified procedure in relation to notifiable work of the electrical contractor that is part of a construction project that has already commenced if — </w:t>
      </w:r>
    </w:p>
    <w:p>
      <w:pPr>
        <w:pStyle w:val="Indenta"/>
      </w:pPr>
      <w:r>
        <w:tab/>
        <w:t>(a)</w:t>
      </w:r>
      <w:r>
        <w:tab/>
        <w:t>the electrical contractor could have done so at the beginning of the project; and</w:t>
      </w:r>
    </w:p>
    <w:p>
      <w:pPr>
        <w:pStyle w:val="Indenta"/>
      </w:pPr>
      <w:r>
        <w:tab/>
        <w:t>(b)</w:t>
      </w:r>
      <w:r>
        <w:tab/>
        <w:t>the project is unlikely to be completed within the next 6 months; and</w:t>
      </w:r>
    </w:p>
    <w:p>
      <w:pPr>
        <w:pStyle w:val="Indenta"/>
      </w:pPr>
      <w:r>
        <w:tab/>
        <w:t>(c)</w:t>
      </w:r>
      <w:r>
        <w:tab/>
        <w:t>the electrical contractor has not previously used the modified procedure in relation to the construction project.</w:t>
      </w:r>
    </w:p>
    <w:p>
      <w:pPr>
        <w:pStyle w:val="Subsection"/>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pPr>
        <w:pStyle w:val="Footnotesection"/>
      </w:pPr>
      <w:r>
        <w:tab/>
        <w:t>[Regulation 52BE inserted: Gazette 8 Jan 2019 p. 16</w:t>
      </w:r>
      <w:r>
        <w:noBreakHyphen/>
        <w:t>17.]</w:t>
      </w:r>
    </w:p>
    <w:p>
      <w:pPr>
        <w:pStyle w:val="Heading5"/>
      </w:pPr>
      <w:bookmarkStart w:id="201" w:name="_Toc75760602"/>
      <w:bookmarkStart w:id="202" w:name="_Toc75168017"/>
      <w:r>
        <w:rPr>
          <w:rStyle w:val="CharSectno"/>
        </w:rPr>
        <w:t>52C</w:t>
      </w:r>
      <w:r>
        <w:t>.</w:t>
      </w:r>
      <w:r>
        <w:tab/>
        <w:t>Electrical contractor’s duties as to electrical installing work</w:t>
      </w:r>
      <w:bookmarkEnd w:id="201"/>
      <w:bookmarkEnd w:id="202"/>
      <w:r>
        <w:t xml:space="preserve"> </w:t>
      </w:r>
    </w:p>
    <w:p>
      <w:pPr>
        <w:pStyle w:val="Subsection"/>
        <w:keepNext/>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Gazette 31 Dec 2007 p. 6528</w:t>
      </w:r>
      <w:r>
        <w:noBreakHyphen/>
        <w:t>9; amended: Gazette 13 Apr 2012 p. 1653</w:t>
      </w:r>
      <w:r>
        <w:noBreakHyphen/>
        <w:t>4.]</w:t>
      </w:r>
    </w:p>
    <w:p>
      <w:pPr>
        <w:pStyle w:val="Heading5"/>
        <w:rPr>
          <w:snapToGrid w:val="0"/>
        </w:rPr>
      </w:pPr>
      <w:bookmarkStart w:id="203" w:name="_Toc75760603"/>
      <w:bookmarkStart w:id="204" w:name="_Toc75168018"/>
      <w:r>
        <w:rPr>
          <w:rStyle w:val="CharSectno"/>
        </w:rPr>
        <w:t>53</w:t>
      </w:r>
      <w:r>
        <w:rPr>
          <w:snapToGrid w:val="0"/>
        </w:rPr>
        <w:t>.</w:t>
      </w:r>
      <w:r>
        <w:rPr>
          <w:snapToGrid w:val="0"/>
        </w:rPr>
        <w:tab/>
        <w:t>Electrical installing work other than by electrical contractors etc., unlicensed persons not to be employed, engaged etc.</w:t>
      </w:r>
      <w:bookmarkEnd w:id="203"/>
      <w:bookmarkEnd w:id="204"/>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Gazette 23 Dec 1994 p. 7134; 31 Dec 2007 p. 6529; 2 May 2017 p. 2300.] </w:t>
      </w:r>
    </w:p>
    <w:p>
      <w:pPr>
        <w:pStyle w:val="Heading5"/>
      </w:pPr>
      <w:bookmarkStart w:id="205" w:name="_Toc75760604"/>
      <w:bookmarkStart w:id="206" w:name="_Toc75168019"/>
      <w:r>
        <w:rPr>
          <w:rStyle w:val="CharSectno"/>
        </w:rPr>
        <w:t>53A</w:t>
      </w:r>
      <w:r>
        <w:rPr>
          <w:snapToGrid w:val="0"/>
        </w:rPr>
        <w:t xml:space="preserve">. </w:t>
      </w:r>
      <w:r>
        <w:rPr>
          <w:snapToGrid w:val="0"/>
        </w:rPr>
        <w:tab/>
        <w:t>Further inspection fee, when payable</w:t>
      </w:r>
      <w:bookmarkEnd w:id="205"/>
      <w:bookmarkEnd w:id="206"/>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Gazette 24 Apr 1992 p. 1729; amended: Gazette 31 Dec 2007 p. 6539.] </w:t>
      </w:r>
    </w:p>
    <w:p>
      <w:pPr>
        <w:pStyle w:val="Heading5"/>
        <w:rPr>
          <w:snapToGrid w:val="0"/>
        </w:rPr>
      </w:pPr>
      <w:bookmarkStart w:id="207" w:name="_Toc75760605"/>
      <w:bookmarkStart w:id="208" w:name="_Toc75168020"/>
      <w:r>
        <w:rPr>
          <w:rStyle w:val="CharSectno"/>
        </w:rPr>
        <w:t>54</w:t>
      </w:r>
      <w:r>
        <w:rPr>
          <w:snapToGrid w:val="0"/>
        </w:rPr>
        <w:t>.</w:t>
      </w:r>
      <w:r>
        <w:rPr>
          <w:snapToGrid w:val="0"/>
        </w:rPr>
        <w:tab/>
        <w:t>Notices of completion and certain records, signing of</w:t>
      </w:r>
      <w:bookmarkEnd w:id="207"/>
      <w:bookmarkEnd w:id="208"/>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Gazette 31 Dec 2007 p. 6538; 17 May 2011 p. 1822; 2 May 2017 p. 2300</w:t>
      </w:r>
      <w:r>
        <w:noBreakHyphen/>
        <w:t>1.]</w:t>
      </w:r>
    </w:p>
    <w:p>
      <w:pPr>
        <w:pStyle w:val="Heading3"/>
      </w:pPr>
      <w:bookmarkStart w:id="209" w:name="_Toc75357405"/>
      <w:bookmarkStart w:id="210" w:name="_Toc75357783"/>
      <w:bookmarkStart w:id="211" w:name="_Toc75523146"/>
      <w:bookmarkStart w:id="212" w:name="_Toc75760606"/>
      <w:bookmarkStart w:id="213" w:name="_Toc74728115"/>
      <w:bookmarkStart w:id="214" w:name="_Toc74728280"/>
      <w:bookmarkStart w:id="215" w:name="_Toc75168021"/>
      <w:r>
        <w:rPr>
          <w:rStyle w:val="CharDivNo"/>
        </w:rPr>
        <w:t>Division 2</w:t>
      </w:r>
      <w:r>
        <w:t> — </w:t>
      </w:r>
      <w:r>
        <w:rPr>
          <w:rStyle w:val="CharDivText"/>
        </w:rPr>
        <w:t>Regulation of electrical work on energised electrical installations</w:t>
      </w:r>
      <w:bookmarkEnd w:id="209"/>
      <w:bookmarkEnd w:id="210"/>
      <w:bookmarkEnd w:id="211"/>
      <w:bookmarkEnd w:id="212"/>
      <w:bookmarkEnd w:id="213"/>
      <w:bookmarkEnd w:id="214"/>
      <w:bookmarkEnd w:id="215"/>
    </w:p>
    <w:p>
      <w:pPr>
        <w:pStyle w:val="Footnoteheading"/>
      </w:pPr>
      <w:r>
        <w:tab/>
        <w:t>[Heading inserted: Gazette 14 Nov 2017 p. 5599.]</w:t>
      </w:r>
    </w:p>
    <w:p>
      <w:pPr>
        <w:pStyle w:val="Heading5"/>
      </w:pPr>
      <w:bookmarkStart w:id="216" w:name="_Toc75760607"/>
      <w:bookmarkStart w:id="217" w:name="_Toc75168022"/>
      <w:r>
        <w:rPr>
          <w:rStyle w:val="CharSectno"/>
        </w:rPr>
        <w:t>54A</w:t>
      </w:r>
      <w:r>
        <w:t>.</w:t>
      </w:r>
      <w:r>
        <w:tab/>
        <w:t>Interpretation</w:t>
      </w:r>
      <w:bookmarkEnd w:id="216"/>
      <w:bookmarkEnd w:id="217"/>
    </w:p>
    <w:p>
      <w:pPr>
        <w:pStyle w:val="Subsection"/>
      </w:pPr>
      <w:r>
        <w:tab/>
        <w:t>(1)</w:t>
      </w:r>
      <w:r>
        <w:tab/>
        <w:t xml:space="preserve">In this Division — </w:t>
      </w:r>
    </w:p>
    <w:p>
      <w:pPr>
        <w:pStyle w:val="Defstart"/>
      </w:pPr>
      <w:r>
        <w:rPr>
          <w:b/>
        </w:rPr>
        <w:tab/>
      </w:r>
      <w:r>
        <w:rPr>
          <w:rStyle w:val="CharDefText"/>
        </w:rPr>
        <w:t>competent person</w:t>
      </w:r>
      <w:r>
        <w:t xml:space="preserve"> has the meaning given in the </w:t>
      </w:r>
      <w:r>
        <w:rPr>
          <w:i/>
        </w:rPr>
        <w:t>Occupational Safety and Health Regulations 1996</w:t>
      </w:r>
      <w:r>
        <w:t xml:space="preserve"> regulation 1.3;</w:t>
      </w:r>
    </w:p>
    <w:p>
      <w:pPr>
        <w:pStyle w:val="Defstart"/>
        <w:keepNex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pPr>
      <w:r>
        <w:tab/>
        <w:t>(b)</w:t>
      </w:r>
      <w:r>
        <w:tab/>
        <w:t>the neutral for a part of an electrical installation is taken to be de</w:t>
      </w:r>
      <w:r>
        <w:noBreakHyphen/>
        <w:t>energised if the part is de</w:t>
      </w:r>
      <w:r>
        <w:noBreakHyphen/>
        <w:t>energised.</w:t>
      </w:r>
    </w:p>
    <w:p>
      <w:pPr>
        <w:pStyle w:val="Footnotesection"/>
      </w:pPr>
      <w:r>
        <w:tab/>
        <w:t>[Regulation 54A inserted: Gazette 14 Nov 2017 p. 5599</w:t>
      </w:r>
      <w:r>
        <w:noBreakHyphen/>
        <w:t xml:space="preserve">600; amended: Gazette 7 Jun 2018 p. 1824.] </w:t>
      </w:r>
    </w:p>
    <w:p>
      <w:pPr>
        <w:pStyle w:val="Heading5"/>
      </w:pPr>
      <w:bookmarkStart w:id="218" w:name="_Toc75760608"/>
      <w:bookmarkStart w:id="219" w:name="_Toc75168023"/>
      <w:r>
        <w:rPr>
          <w:rStyle w:val="CharSectno"/>
        </w:rPr>
        <w:t>54B</w:t>
      </w:r>
      <w:r>
        <w:t>.</w:t>
      </w:r>
      <w:r>
        <w:tab/>
        <w:t>Application of regulation 55 in relation to certain network operators</w:t>
      </w:r>
      <w:bookmarkEnd w:id="218"/>
      <w:bookmarkEnd w:id="219"/>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Gazette 14 Nov 2017 p. 5600.]</w:t>
      </w:r>
    </w:p>
    <w:p>
      <w:pPr>
        <w:pStyle w:val="Heading5"/>
      </w:pPr>
      <w:bookmarkStart w:id="220" w:name="_Toc75760609"/>
      <w:bookmarkStart w:id="221" w:name="_Toc75168024"/>
      <w:r>
        <w:rPr>
          <w:rStyle w:val="CharSectno"/>
        </w:rPr>
        <w:t>55</w:t>
      </w:r>
      <w:r>
        <w:t>.</w:t>
      </w:r>
      <w:r>
        <w:tab/>
        <w:t>Electrical work on or near energised electrical installations</w:t>
      </w:r>
      <w:bookmarkEnd w:id="220"/>
      <w:bookmarkEnd w:id="221"/>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pPr>
      <w:r>
        <w:tab/>
        <w:t>(iii)</w:t>
      </w:r>
      <w:r>
        <w:tab/>
        <w:t>the work can be carried out safely;</w:t>
      </w:r>
    </w:p>
    <w:p>
      <w:pPr>
        <w:pStyle w:val="Indenta"/>
      </w:pPr>
      <w:r>
        <w:tab/>
      </w:r>
      <w:r>
        <w:tab/>
        <w:t>and</w:t>
      </w:r>
    </w:p>
    <w:p>
      <w:pPr>
        <w:pStyle w:val="Indenta"/>
      </w:pPr>
      <w:r>
        <w:tab/>
        <w:t>(c)</w:t>
      </w:r>
      <w:r>
        <w:tab/>
        <w:t xml:space="preserve">if the </w:t>
      </w:r>
      <w:r>
        <w:rPr>
          <w:i/>
        </w:rPr>
        <w:t>Occupational Safety and Health Regulations 1996</w:t>
      </w:r>
      <w:r>
        <w:t xml:space="preserve"> regulation 3.143 does not apply to the work, a safe work method statement for the work has been prepared in accordance with regulation 3.143(4)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pPr>
      <w:r>
        <w:tab/>
        <w:t>(3)</w:t>
      </w:r>
      <w:r>
        <w:tab/>
        <w:t xml:space="preserve">For the purposes of subregulation (2)(b)(i), there is no reasonable alternative to carrying out the work while the part of 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pPr>
      <w:r>
        <w:tab/>
        <w:t>(a)</w:t>
      </w:r>
      <w:r>
        <w:tab/>
        <w:t xml:space="preserve">if the </w:t>
      </w:r>
      <w:r>
        <w:rPr>
          <w:i/>
        </w:rPr>
        <w:t>Occupational Safety and Health Regulations 1996</w:t>
      </w:r>
      <w:r>
        <w:t xml:space="preserve"> regulation 3.143 does not apply to the work — </w:t>
      </w:r>
    </w:p>
    <w:p>
      <w:pPr>
        <w:pStyle w:val="Indenti"/>
      </w:pPr>
      <w:r>
        <w:tab/>
        <w:t>(i)</w:t>
      </w:r>
      <w:r>
        <w:tab/>
        <w:t>the work is carried out in accordance with the safe work method statement referred to in subregulation (2)(c); and</w:t>
      </w:r>
    </w:p>
    <w:p>
      <w:pPr>
        <w:pStyle w:val="Indenti"/>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pPr>
      <w:r>
        <w:tab/>
        <w:t>(b)</w:t>
      </w:r>
      <w:r>
        <w:tab/>
        <w:t>the safety and personal protective equipment referred to in subregulation (2)(d) is used properly by the person carrying out the work.</w:t>
      </w:r>
    </w:p>
    <w:p>
      <w:pPr>
        <w:pStyle w:val="Footnotesection"/>
      </w:pPr>
      <w:r>
        <w:tab/>
        <w:t>[Regulation 55 inserted: Gazette 14 Nov 2017 p. 5600</w:t>
      </w:r>
      <w:r>
        <w:noBreakHyphen/>
        <w:t>2.]</w:t>
      </w:r>
    </w:p>
    <w:p>
      <w:pPr>
        <w:pStyle w:val="Heading2"/>
      </w:pPr>
      <w:bookmarkStart w:id="222" w:name="_Toc75357409"/>
      <w:bookmarkStart w:id="223" w:name="_Toc75357787"/>
      <w:bookmarkStart w:id="224" w:name="_Toc75523150"/>
      <w:bookmarkStart w:id="225" w:name="_Toc75760610"/>
      <w:bookmarkStart w:id="226" w:name="_Toc74728119"/>
      <w:bookmarkStart w:id="227" w:name="_Toc74728284"/>
      <w:bookmarkStart w:id="228" w:name="_Toc75168025"/>
      <w:r>
        <w:rPr>
          <w:rStyle w:val="CharPartNo"/>
        </w:rPr>
        <w:t>Part 6</w:t>
      </w:r>
      <w:r>
        <w:rPr>
          <w:rStyle w:val="CharDivNo"/>
        </w:rPr>
        <w:t> </w:t>
      </w:r>
      <w:r>
        <w:t>—</w:t>
      </w:r>
      <w:r>
        <w:rPr>
          <w:rStyle w:val="CharDivText"/>
        </w:rPr>
        <w:t> </w:t>
      </w:r>
      <w:r>
        <w:rPr>
          <w:rStyle w:val="CharPartText"/>
        </w:rPr>
        <w:t>Miscellaneous</w:t>
      </w:r>
      <w:bookmarkEnd w:id="222"/>
      <w:bookmarkEnd w:id="223"/>
      <w:bookmarkEnd w:id="224"/>
      <w:bookmarkEnd w:id="225"/>
      <w:bookmarkEnd w:id="226"/>
      <w:bookmarkEnd w:id="227"/>
      <w:bookmarkEnd w:id="228"/>
      <w:r>
        <w:rPr>
          <w:rStyle w:val="CharPartText"/>
        </w:rPr>
        <w:t xml:space="preserve"> </w:t>
      </w:r>
    </w:p>
    <w:p>
      <w:pPr>
        <w:pStyle w:val="Ednotesection"/>
        <w:rPr>
          <w:i w:val="0"/>
        </w:rPr>
      </w:pPr>
      <w:r>
        <w:t>[</w:t>
      </w:r>
      <w:r>
        <w:rPr>
          <w:b/>
        </w:rPr>
        <w:t>55.</w:t>
      </w:r>
      <w:r>
        <w:rPr>
          <w:bCs/>
        </w:rPr>
        <w:tab/>
        <w:t>Deleted</w:t>
      </w:r>
      <w:r>
        <w:t>: Gazette 31 Dec 2007 p. 6530.]</w:t>
      </w:r>
    </w:p>
    <w:p>
      <w:pPr>
        <w:pStyle w:val="Heading5"/>
        <w:rPr>
          <w:snapToGrid w:val="0"/>
        </w:rPr>
      </w:pPr>
      <w:bookmarkStart w:id="229" w:name="_Toc75760611"/>
      <w:bookmarkStart w:id="230" w:name="_Toc75168026"/>
      <w:r>
        <w:rPr>
          <w:rStyle w:val="CharSectno"/>
        </w:rPr>
        <w:t>56</w:t>
      </w:r>
      <w:r>
        <w:rPr>
          <w:snapToGrid w:val="0"/>
        </w:rPr>
        <w:t>.</w:t>
      </w:r>
      <w:r>
        <w:rPr>
          <w:snapToGrid w:val="0"/>
        </w:rPr>
        <w:tab/>
        <w:t>Register of licence holders</w:t>
      </w:r>
      <w:bookmarkEnd w:id="229"/>
      <w:bookmarkEnd w:id="230"/>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231" w:name="_Toc75760612"/>
      <w:bookmarkStart w:id="232" w:name="_Toc75168027"/>
      <w:r>
        <w:rPr>
          <w:rStyle w:val="CharSectno"/>
        </w:rPr>
        <w:t>57</w:t>
      </w:r>
      <w:r>
        <w:rPr>
          <w:snapToGrid w:val="0"/>
        </w:rPr>
        <w:t>.</w:t>
      </w:r>
      <w:r>
        <w:rPr>
          <w:snapToGrid w:val="0"/>
        </w:rPr>
        <w:tab/>
        <w:t>Employers to keep record of licence holders employed</w:t>
      </w:r>
      <w:bookmarkEnd w:id="231"/>
      <w:bookmarkEnd w:id="232"/>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Gazette 6 Sep 1996 p. 4418; 2 May 2017 p. 2301.] </w:t>
      </w:r>
    </w:p>
    <w:p>
      <w:pPr>
        <w:pStyle w:val="Heading5"/>
        <w:rPr>
          <w:snapToGrid w:val="0"/>
        </w:rPr>
      </w:pPr>
      <w:bookmarkStart w:id="233" w:name="_Toc75760613"/>
      <w:bookmarkStart w:id="234" w:name="_Toc75168028"/>
      <w:r>
        <w:rPr>
          <w:rStyle w:val="CharSectno"/>
        </w:rPr>
        <w:t>58</w:t>
      </w:r>
      <w:r>
        <w:rPr>
          <w:snapToGrid w:val="0"/>
        </w:rPr>
        <w:t>.</w:t>
      </w:r>
      <w:r>
        <w:rPr>
          <w:snapToGrid w:val="0"/>
        </w:rPr>
        <w:tab/>
        <w:t>Board may require holder to produce licence etc. for inspection</w:t>
      </w:r>
      <w:bookmarkEnd w:id="233"/>
      <w:bookmarkEnd w:id="234"/>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Gazette 2 May 2017 p. 2301.] </w:t>
      </w:r>
    </w:p>
    <w:p>
      <w:pPr>
        <w:pStyle w:val="Heading5"/>
        <w:rPr>
          <w:snapToGrid w:val="0"/>
        </w:rPr>
      </w:pPr>
      <w:bookmarkStart w:id="235" w:name="_Toc75760614"/>
      <w:bookmarkStart w:id="236" w:name="_Toc75168029"/>
      <w:r>
        <w:rPr>
          <w:rStyle w:val="CharSectno"/>
        </w:rPr>
        <w:t>59</w:t>
      </w:r>
      <w:r>
        <w:rPr>
          <w:snapToGrid w:val="0"/>
        </w:rPr>
        <w:t>.</w:t>
      </w:r>
      <w:r>
        <w:rPr>
          <w:snapToGrid w:val="0"/>
        </w:rPr>
        <w:tab/>
        <w:t>Offences related to licensing</w:t>
      </w:r>
      <w:bookmarkEnd w:id="235"/>
      <w:bookmarkEnd w:id="236"/>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237" w:name="_Toc75760615"/>
      <w:bookmarkStart w:id="238" w:name="_Toc75168030"/>
      <w:r>
        <w:rPr>
          <w:rStyle w:val="CharSectno"/>
        </w:rPr>
        <w:t>60</w:t>
      </w:r>
      <w:r>
        <w:rPr>
          <w:snapToGrid w:val="0"/>
        </w:rPr>
        <w:t>.</w:t>
      </w:r>
      <w:r>
        <w:rPr>
          <w:snapToGrid w:val="0"/>
        </w:rPr>
        <w:tab/>
        <w:t>Replacement licence or permit document</w:t>
      </w:r>
      <w:bookmarkEnd w:id="237"/>
      <w:bookmarkEnd w:id="238"/>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Gazette 31 Dec 2007 p. 6530.]</w:t>
      </w:r>
    </w:p>
    <w:p>
      <w:pPr>
        <w:pStyle w:val="Heading5"/>
        <w:rPr>
          <w:snapToGrid w:val="0"/>
        </w:rPr>
      </w:pPr>
      <w:bookmarkStart w:id="239" w:name="_Toc75760616"/>
      <w:bookmarkStart w:id="240" w:name="_Toc75168031"/>
      <w:r>
        <w:rPr>
          <w:rStyle w:val="CharSectno"/>
        </w:rPr>
        <w:t>61</w:t>
      </w:r>
      <w:r>
        <w:rPr>
          <w:snapToGrid w:val="0"/>
        </w:rPr>
        <w:t>.</w:t>
      </w:r>
      <w:r>
        <w:rPr>
          <w:snapToGrid w:val="0"/>
        </w:rPr>
        <w:tab/>
        <w:t>Licence etc. to be returned to Board if suspended etc.</w:t>
      </w:r>
      <w:bookmarkEnd w:id="239"/>
      <w:bookmarkEnd w:id="240"/>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Gazette 30 Dec 2004 p. 6996</w:t>
      </w:r>
      <w:r>
        <w:noBreakHyphen/>
        <w:t>7; 31 Dec 2007 p. 6531.]</w:t>
      </w:r>
    </w:p>
    <w:p>
      <w:pPr>
        <w:pStyle w:val="Heading5"/>
        <w:rPr>
          <w:snapToGrid w:val="0"/>
        </w:rPr>
      </w:pPr>
      <w:bookmarkStart w:id="241" w:name="_Toc75760617"/>
      <w:bookmarkStart w:id="242" w:name="_Toc75168032"/>
      <w:r>
        <w:rPr>
          <w:rStyle w:val="CharSectno"/>
        </w:rPr>
        <w:t>62</w:t>
      </w:r>
      <w:r>
        <w:rPr>
          <w:snapToGrid w:val="0"/>
        </w:rPr>
        <w:t>.</w:t>
      </w:r>
      <w:r>
        <w:rPr>
          <w:snapToGrid w:val="0"/>
        </w:rPr>
        <w:tab/>
        <w:t>Unsafe electrical installations, electrical workers to report</w:t>
      </w:r>
      <w:bookmarkEnd w:id="241"/>
      <w:bookmarkEnd w:id="242"/>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Gazette 23 Dec 1994 p. 7134; 6 Sep 1996 p. 4418; 31 Dec 2007 p. 6531.] </w:t>
      </w:r>
    </w:p>
    <w:p>
      <w:pPr>
        <w:pStyle w:val="Heading5"/>
      </w:pPr>
      <w:bookmarkStart w:id="243" w:name="_Toc75760618"/>
      <w:bookmarkStart w:id="244" w:name="_Toc75168033"/>
      <w:r>
        <w:rPr>
          <w:rStyle w:val="CharSectno"/>
        </w:rPr>
        <w:t>63</w:t>
      </w:r>
      <w:r>
        <w:t>.</w:t>
      </w:r>
      <w:r>
        <w:tab/>
        <w:t>Electrical accidents to be reported</w:t>
      </w:r>
      <w:bookmarkEnd w:id="243"/>
      <w:bookmarkEnd w:id="244"/>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Gazette 31 Dec 2007 p. 6532</w:t>
      </w:r>
      <w:r>
        <w:noBreakHyphen/>
        <w:t>3; amended: Gazette 5 Aug 2015 p. 3184.]</w:t>
      </w:r>
    </w:p>
    <w:p>
      <w:pPr>
        <w:pStyle w:val="Heading5"/>
        <w:rPr>
          <w:snapToGrid w:val="0"/>
        </w:rPr>
      </w:pPr>
      <w:bookmarkStart w:id="245" w:name="_Toc75760619"/>
      <w:bookmarkStart w:id="246" w:name="_Toc75168034"/>
      <w:r>
        <w:rPr>
          <w:rStyle w:val="CharSectno"/>
        </w:rPr>
        <w:t>63A</w:t>
      </w:r>
      <w:r>
        <w:rPr>
          <w:snapToGrid w:val="0"/>
        </w:rPr>
        <w:t xml:space="preserve">. </w:t>
      </w:r>
      <w:r>
        <w:rPr>
          <w:snapToGrid w:val="0"/>
        </w:rPr>
        <w:tab/>
        <w:t>Interfering with scene of electrical accident</w:t>
      </w:r>
      <w:bookmarkEnd w:id="245"/>
      <w:bookmarkEnd w:id="246"/>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Gazette 6 Sep 1996 p. 4419; amended: Gazette 31 Dec 2007 p. 6533.] </w:t>
      </w:r>
    </w:p>
    <w:p>
      <w:pPr>
        <w:pStyle w:val="Heading5"/>
      </w:pPr>
      <w:bookmarkStart w:id="247" w:name="_Toc75760620"/>
      <w:bookmarkStart w:id="248" w:name="_Toc75168035"/>
      <w:r>
        <w:rPr>
          <w:rStyle w:val="CharSectno"/>
        </w:rPr>
        <w:t>63B</w:t>
      </w:r>
      <w:r>
        <w:t>.</w:t>
      </w:r>
      <w:r>
        <w:tab/>
        <w:t>Delegation by Director to Board</w:t>
      </w:r>
      <w:bookmarkEnd w:id="247"/>
      <w:bookmarkEnd w:id="248"/>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Gazette 30 Dec 2004 p. 6997.]</w:t>
      </w:r>
    </w:p>
    <w:p>
      <w:pPr>
        <w:pStyle w:val="Heading5"/>
        <w:rPr>
          <w:snapToGrid w:val="0"/>
        </w:rPr>
      </w:pPr>
      <w:bookmarkStart w:id="249" w:name="_Toc75760621"/>
      <w:bookmarkStart w:id="250" w:name="_Toc75168036"/>
      <w:r>
        <w:rPr>
          <w:rStyle w:val="CharSectno"/>
        </w:rPr>
        <w:t>64</w:t>
      </w:r>
      <w:r>
        <w:rPr>
          <w:snapToGrid w:val="0"/>
        </w:rPr>
        <w:t>.</w:t>
      </w:r>
      <w:r>
        <w:rPr>
          <w:snapToGrid w:val="0"/>
        </w:rPr>
        <w:tab/>
        <w:t>Fees (Sch. 1)</w:t>
      </w:r>
      <w:bookmarkEnd w:id="249"/>
      <w:bookmarkEnd w:id="250"/>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pPr>
      <w:r>
        <w:tab/>
        <w:t>[(2)</w:t>
      </w:r>
      <w:r>
        <w:tab/>
        <w:t>deleted]</w:t>
      </w:r>
    </w:p>
    <w:p>
      <w:pPr>
        <w:pStyle w:val="Footnotesection"/>
      </w:pPr>
      <w:r>
        <w:tab/>
        <w:t xml:space="preserve">[Regulation 64 amended: Gazette 23 Dec 1994 p. 7134; 6 Sep 1996 p. 4419; 2 May 2000 p. 2115; 31 Dec 2007 p. 6533; 2 May 2017 p. 2301.] </w:t>
      </w:r>
    </w:p>
    <w:p>
      <w:pPr>
        <w:pStyle w:val="Heading5"/>
        <w:rPr>
          <w:del w:id="251" w:author="Master Repository Process" w:date="2021-08-01T14:29:00Z"/>
        </w:rPr>
      </w:pPr>
      <w:ins w:id="252" w:author="Master Repository Process" w:date="2021-08-01T14:29:00Z">
        <w:r>
          <w:t>[</w:t>
        </w:r>
      </w:ins>
      <w:bookmarkStart w:id="253" w:name="_Toc75168037"/>
      <w:r>
        <w:t>64A.</w:t>
      </w:r>
      <w:r>
        <w:tab/>
      </w:r>
      <w:del w:id="254" w:author="Master Repository Process" w:date="2021-08-01T14:29:00Z">
        <w:r>
          <w:delText>Refund of fees in response to COVID</w:delText>
        </w:r>
        <w:r>
          <w:noBreakHyphen/>
          <w:delText>19 pandemic</w:delText>
        </w:r>
        <w:bookmarkEnd w:id="253"/>
      </w:del>
    </w:p>
    <w:p>
      <w:pPr>
        <w:pStyle w:val="Subsection"/>
        <w:rPr>
          <w:del w:id="255" w:author="Master Repository Process" w:date="2021-08-01T14:29:00Z"/>
        </w:rPr>
      </w:pPr>
      <w:del w:id="256" w:author="Master Repository Process" w:date="2021-08-01T14:29:00Z">
        <w:r>
          <w:tab/>
          <w:delText>(1)</w:delText>
        </w:r>
        <w:r>
          <w:tab/>
          <w:delText xml:space="preserve">In this regulation — </w:delText>
        </w:r>
      </w:del>
    </w:p>
    <w:p>
      <w:pPr>
        <w:pStyle w:val="Defstart"/>
        <w:rPr>
          <w:del w:id="257" w:author="Master Repository Process" w:date="2021-08-01T14:29:00Z"/>
        </w:rPr>
      </w:pPr>
      <w:del w:id="258" w:author="Master Repository Process" w:date="2021-08-01T14:29:00Z">
        <w:r>
          <w:tab/>
        </w:r>
        <w:r>
          <w:rPr>
            <w:rStyle w:val="CharDefText"/>
          </w:rPr>
          <w:delText>commencement day</w:delText>
        </w:r>
        <w:r>
          <w:delText xml:space="preserve"> means the day on which the </w:delText>
        </w:r>
        <w:r>
          <w:rPr>
            <w:i/>
          </w:rPr>
          <w:delText>Commerce Regulations Amendment (COVID</w:delText>
        </w:r>
        <w:r>
          <w:rPr>
            <w:i/>
          </w:rPr>
          <w:noBreakHyphen/>
          <w:delText>19 Response) Regulations (No. 2) 2020</w:delText>
        </w:r>
        <w:r>
          <w:delText xml:space="preserve"> regulation 25 comes into operation;</w:delText>
        </w:r>
      </w:del>
    </w:p>
    <w:p>
      <w:pPr>
        <w:pStyle w:val="Defstart"/>
        <w:rPr>
          <w:del w:id="259" w:author="Master Repository Process" w:date="2021-08-01T14:29:00Z"/>
          <w:highlight w:val="yellow"/>
        </w:rPr>
      </w:pPr>
      <w:del w:id="260" w:author="Master Repository Process" w:date="2021-08-01T14:29:00Z">
        <w:r>
          <w:tab/>
        </w:r>
        <w:r>
          <w:rPr>
            <w:rStyle w:val="CharDefText"/>
          </w:rPr>
          <w:delText>designated fee</w:delText>
        </w:r>
        <w:r>
          <w:delText xml:space="preserve"> means a fee specified in Schedule 1 item 1 or 2 as in force on 1 April 2020;</w:delText>
        </w:r>
      </w:del>
    </w:p>
    <w:p>
      <w:pPr>
        <w:pStyle w:val="Defstart"/>
        <w:rPr>
          <w:del w:id="261" w:author="Master Repository Process" w:date="2021-08-01T14:29:00Z"/>
        </w:rPr>
      </w:pPr>
      <w:del w:id="262" w:author="Master Repository Process" w:date="2021-08-01T14:29:00Z">
        <w:r>
          <w:tab/>
        </w:r>
        <w:r>
          <w:rPr>
            <w:rStyle w:val="CharDefText"/>
          </w:rPr>
          <w:delText>reduced fee</w:delText>
        </w:r>
        <w:r>
          <w:delText xml:space="preserve"> means a fee specified in Column 2 of Schedule 1 item 1 or 2.</w:delText>
        </w:r>
      </w:del>
    </w:p>
    <w:p>
      <w:pPr>
        <w:pStyle w:val="Subsection"/>
        <w:rPr>
          <w:del w:id="263" w:author="Master Repository Process" w:date="2021-08-01T14:29:00Z"/>
        </w:rPr>
      </w:pPr>
      <w:del w:id="264" w:author="Master Repository Process" w:date="2021-08-01T14:29:00Z">
        <w:r>
          <w:tab/>
          <w:delText>(2)</w:delText>
        </w:r>
        <w:r>
          <w:tab/>
          <w:delText xml:space="preserve">This regulation applies if — </w:delText>
        </w:r>
      </w:del>
    </w:p>
    <w:p>
      <w:pPr>
        <w:pStyle w:val="Indenta"/>
        <w:rPr>
          <w:del w:id="265" w:author="Master Repository Process" w:date="2021-08-01T14:29:00Z"/>
        </w:rPr>
      </w:pPr>
      <w:del w:id="266" w:author="Master Repository Process" w:date="2021-08-01T14:29:00Z">
        <w:r>
          <w:tab/>
          <w:delText>(a)</w:delText>
        </w:r>
        <w:r>
          <w:tab/>
          <w:delText>a person paid a designated fee during the period beginning on 1 April 2020 and ending on the day before commencement day; and</w:delText>
        </w:r>
      </w:del>
    </w:p>
    <w:p>
      <w:pPr>
        <w:pStyle w:val="Indenta"/>
        <w:rPr>
          <w:del w:id="267" w:author="Master Repository Process" w:date="2021-08-01T14:29:00Z"/>
        </w:rPr>
      </w:pPr>
      <w:del w:id="268" w:author="Master Repository Process" w:date="2021-08-01T14:29:00Z">
        <w:r>
          <w:tab/>
          <w:delText>(b)</w:delText>
        </w:r>
        <w:r>
          <w:tab/>
          <w:delText>the designated fee is greater than the corresponding reduced fee.</w:delText>
        </w:r>
      </w:del>
    </w:p>
    <w:p>
      <w:pPr>
        <w:pStyle w:val="Subsection"/>
        <w:rPr>
          <w:del w:id="269" w:author="Master Repository Process" w:date="2021-08-01T14:29:00Z"/>
        </w:rPr>
      </w:pPr>
      <w:del w:id="270" w:author="Master Repository Process" w:date="2021-08-01T14:29:00Z">
        <w:r>
          <w:tab/>
          <w:delText>(3)</w:delText>
        </w:r>
        <w:r>
          <w:tab/>
          <w:delText>The Director must refund to the person an amount equal to the difference between the designated fee and the corresponding reduced fee.</w:delText>
        </w:r>
      </w:del>
    </w:p>
    <w:p>
      <w:pPr>
        <w:pStyle w:val="Ednotesection"/>
      </w:pPr>
      <w:del w:id="271" w:author="Master Repository Process" w:date="2021-08-01T14:29:00Z">
        <w:r>
          <w:tab/>
          <w:delText>[Regulation 64A inserted</w:delText>
        </w:r>
      </w:del>
      <w:ins w:id="272" w:author="Master Repository Process" w:date="2021-08-01T14:29:00Z">
        <w:r>
          <w:t>Deleted</w:t>
        </w:r>
      </w:ins>
      <w:r>
        <w:t>: SL </w:t>
      </w:r>
      <w:del w:id="273" w:author="Master Repository Process" w:date="2021-08-01T14:29:00Z">
        <w:r>
          <w:delText>2020/196</w:delText>
        </w:r>
      </w:del>
      <w:ins w:id="274" w:author="Master Repository Process" w:date="2021-08-01T14:29:00Z">
        <w:r>
          <w:t>2021/86</w:t>
        </w:r>
      </w:ins>
      <w:r>
        <w:t xml:space="preserve"> r. </w:t>
      </w:r>
      <w:del w:id="275" w:author="Master Repository Process" w:date="2021-08-01T14:29:00Z">
        <w:r>
          <w:delText>24</w:delText>
        </w:r>
      </w:del>
      <w:ins w:id="276" w:author="Master Repository Process" w:date="2021-08-01T14:29:00Z">
        <w:r>
          <w:t>29</w:t>
        </w:r>
      </w:ins>
      <w:r>
        <w:t>.]</w:t>
      </w:r>
    </w:p>
    <w:p>
      <w:pPr>
        <w:pStyle w:val="Heading5"/>
        <w:rPr>
          <w:snapToGrid w:val="0"/>
        </w:rPr>
      </w:pPr>
      <w:bookmarkStart w:id="277" w:name="_Toc75760622"/>
      <w:bookmarkStart w:id="278" w:name="_Toc75168038"/>
      <w:r>
        <w:rPr>
          <w:rStyle w:val="CharSectno"/>
        </w:rPr>
        <w:t>65</w:t>
      </w:r>
      <w:r>
        <w:rPr>
          <w:snapToGrid w:val="0"/>
        </w:rPr>
        <w:t>.</w:t>
      </w:r>
      <w:r>
        <w:rPr>
          <w:snapToGrid w:val="0"/>
        </w:rPr>
        <w:tab/>
        <w:t>General offence and penalty</w:t>
      </w:r>
      <w:bookmarkEnd w:id="277"/>
      <w:bookmarkEnd w:id="278"/>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Gazette 31 Dec 2007 p. 6534.] </w:t>
      </w:r>
    </w:p>
    <w:p>
      <w:pPr>
        <w:pStyle w:val="Heading5"/>
      </w:pPr>
      <w:bookmarkStart w:id="279" w:name="_Toc75760623"/>
      <w:bookmarkStart w:id="280" w:name="_Toc75168039"/>
      <w:r>
        <w:rPr>
          <w:rStyle w:val="CharSectno"/>
        </w:rPr>
        <w:t>65A</w:t>
      </w:r>
      <w:r>
        <w:t>.</w:t>
      </w:r>
      <w:r>
        <w:tab/>
        <w:t>Offences by members of firms</w:t>
      </w:r>
      <w:bookmarkEnd w:id="279"/>
      <w:bookmarkEnd w:id="280"/>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281" w:name="_Toc75760624"/>
      <w:bookmarkStart w:id="282" w:name="_Toc75168040"/>
      <w:r>
        <w:rPr>
          <w:rStyle w:val="CharSectno"/>
        </w:rPr>
        <w:t>67</w:t>
      </w:r>
      <w:r>
        <w:t>.</w:t>
      </w:r>
      <w:r>
        <w:tab/>
        <w:t>Saving and transitional provisions</w:t>
      </w:r>
      <w:bookmarkEnd w:id="281"/>
      <w:bookmarkEnd w:id="282"/>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spacing w:before="20" w:line="240" w:lineRule="auto"/>
            </w:pPr>
            <w:r>
              <w:t>restricted licence</w:t>
            </w:r>
          </w:p>
        </w:tc>
        <w:tc>
          <w:tcPr>
            <w:tcW w:w="2977" w:type="dxa"/>
            <w:tcBorders>
              <w:bottom w:val="single" w:sz="4" w:space="0" w:color="auto"/>
            </w:tcBorders>
          </w:tcPr>
          <w:p>
            <w:pPr>
              <w:pStyle w:val="Table"/>
              <w:spacing w:before="20" w:line="240" w:lineRule="auto"/>
            </w:pPr>
            <w:r>
              <w:t xml:space="preserve">restricted licence </w:t>
            </w:r>
          </w:p>
        </w:tc>
      </w:tr>
    </w:tbl>
    <w:p>
      <w:pPr>
        <w:pStyle w:val="Footnotesection"/>
      </w:pPr>
      <w:r>
        <w:tab/>
        <w:t>[Regulation 67 inserted: Gazette 31 Dec 2007 p. 6535</w:t>
      </w:r>
      <w:r>
        <w:noBreakHyphen/>
        <w:t>6.]</w:t>
      </w:r>
    </w:p>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83" w:name="AautoSch"/>
      <w:bookmarkStart w:id="284" w:name="_Toc75357802"/>
      <w:bookmarkStart w:id="285" w:name="_Toc75523165"/>
      <w:bookmarkStart w:id="286" w:name="_Toc75760625"/>
      <w:bookmarkStart w:id="287" w:name="_Toc74728135"/>
      <w:bookmarkStart w:id="288" w:name="_Toc74728300"/>
      <w:bookmarkStart w:id="289" w:name="_Toc75168041"/>
      <w:bookmarkStart w:id="290" w:name="_Toc75357425"/>
      <w:bookmarkEnd w:id="283"/>
      <w:r>
        <w:rPr>
          <w:rStyle w:val="CharSchNo"/>
        </w:rPr>
        <w:t>Schedule 1</w:t>
      </w:r>
      <w:r>
        <w:t> — </w:t>
      </w:r>
      <w:r>
        <w:rPr>
          <w:rStyle w:val="CharSchText"/>
        </w:rPr>
        <w:t>Fees</w:t>
      </w:r>
      <w:bookmarkEnd w:id="284"/>
      <w:bookmarkEnd w:id="285"/>
      <w:bookmarkEnd w:id="286"/>
      <w:bookmarkEnd w:id="287"/>
      <w:bookmarkEnd w:id="288"/>
      <w:bookmarkEnd w:id="289"/>
    </w:p>
    <w:p>
      <w:pPr>
        <w:pStyle w:val="yShoulderClause"/>
      </w:pPr>
      <w:r>
        <w:t>[r. 23(1), 27(3), 38(2a), 39(1), 53A(1), 60(1</w:t>
      </w:r>
      <w:del w:id="291" w:author="Master Repository Process" w:date="2021-08-01T14:29:00Z">
        <w:r>
          <w:delText>), 64</w:delText>
        </w:r>
      </w:del>
      <w:ins w:id="292" w:author="Master Repository Process" w:date="2021-08-01T14:29:00Z">
        <w:r>
          <w:t>)</w:t>
        </w:r>
      </w:ins>
      <w:r>
        <w:t xml:space="preserve"> and </w:t>
      </w:r>
      <w:del w:id="293" w:author="Master Repository Process" w:date="2021-08-01T14:29:00Z">
        <w:r>
          <w:delText>64A]</w:delText>
        </w:r>
      </w:del>
      <w:ins w:id="294" w:author="Master Repository Process" w:date="2021-08-01T14:29:00Z">
        <w:r>
          <w:t>64(1)]</w:t>
        </w:r>
      </w:ins>
    </w:p>
    <w:p>
      <w:pPr>
        <w:pStyle w:val="yFootnoteheading"/>
        <w:spacing w:after="120"/>
      </w:pPr>
      <w:r>
        <w:tab/>
        <w:t>[Heading inserted: SL </w:t>
      </w:r>
      <w:del w:id="295" w:author="Master Repository Process" w:date="2021-08-01T14:29:00Z">
        <w:r>
          <w:delText>2020/196</w:delText>
        </w:r>
      </w:del>
      <w:ins w:id="296" w:author="Master Repository Process" w:date="2021-08-01T14:29:00Z">
        <w:r>
          <w:t>2021/86</w:t>
        </w:r>
      </w:ins>
      <w:r>
        <w:t xml:space="preserve"> r. </w:t>
      </w:r>
      <w:del w:id="297" w:author="Master Repository Process" w:date="2021-08-01T14:29:00Z">
        <w:r>
          <w:delText>25</w:delText>
        </w:r>
      </w:del>
      <w:ins w:id="298" w:author="Master Repository Process" w:date="2021-08-01T14:29:00Z">
        <w:r>
          <w:t>30</w:t>
        </w:r>
      </w:ins>
      <w:r>
        <w:t>.]</w:t>
      </w:r>
    </w:p>
    <w:tbl>
      <w:tblPr>
        <w:tblW w:w="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1843"/>
        <w:gridCol w:w="1417"/>
        <w:gridCol w:w="142"/>
        <w:gridCol w:w="567"/>
        <w:gridCol w:w="709"/>
      </w:tblGrid>
      <w:tr>
        <w:trPr>
          <w:cantSplit/>
          <w:tblHeader/>
          <w:jc w:val="center"/>
        </w:trPr>
        <w:tc>
          <w:tcPr>
            <w:tcW w:w="709" w:type="dxa"/>
            <w:tcBorders>
              <w:left w:val="nil"/>
              <w:bottom w:val="single" w:sz="4" w:space="0" w:color="auto"/>
              <w:right w:val="nil"/>
            </w:tcBorders>
            <w:noWrap/>
          </w:tcPr>
          <w:p>
            <w:pPr>
              <w:pStyle w:val="yTableNAm"/>
              <w:keepNext/>
              <w:jc w:val="center"/>
              <w:rPr>
                <w:b/>
              </w:rPr>
            </w:pPr>
            <w:r>
              <w:rPr>
                <w:b/>
              </w:rPr>
              <w:t>Item</w:t>
            </w:r>
          </w:p>
        </w:tc>
        <w:tc>
          <w:tcPr>
            <w:tcW w:w="3260" w:type="dxa"/>
            <w:gridSpan w:val="2"/>
            <w:tcBorders>
              <w:left w:val="nil"/>
              <w:bottom w:val="single" w:sz="4" w:space="0" w:color="auto"/>
              <w:right w:val="nil"/>
            </w:tcBorders>
            <w:noWrap/>
          </w:tcPr>
          <w:p>
            <w:pPr>
              <w:pStyle w:val="yTableNAm"/>
              <w:keepNext/>
              <w:jc w:val="center"/>
              <w:rPr>
                <w:b/>
              </w:rPr>
            </w:pPr>
            <w:r>
              <w:rPr>
                <w:b/>
              </w:rPr>
              <w:t>Column 1</w:t>
            </w:r>
          </w:p>
          <w:p>
            <w:pPr>
              <w:pStyle w:val="yTableNAm"/>
              <w:keepNext/>
              <w:jc w:val="center"/>
              <w:rPr>
                <w:b/>
              </w:rPr>
            </w:pPr>
            <w:r>
              <w:rPr>
                <w:b/>
              </w:rPr>
              <w:t>Matter</w:t>
            </w:r>
          </w:p>
        </w:tc>
        <w:tc>
          <w:tcPr>
            <w:tcW w:w="1418" w:type="dxa"/>
            <w:tcBorders>
              <w:left w:val="nil"/>
              <w:bottom w:val="single" w:sz="4" w:space="0" w:color="auto"/>
              <w:right w:val="nil"/>
            </w:tcBorders>
            <w:noWrap/>
          </w:tcPr>
          <w:p>
            <w:pPr>
              <w:pStyle w:val="yTableNAm"/>
              <w:keepNext/>
              <w:jc w:val="center"/>
              <w:rPr>
                <w:b/>
              </w:rPr>
            </w:pPr>
            <w:r>
              <w:rPr>
                <w:b/>
              </w:rPr>
              <w:t>Column 2</w:t>
            </w:r>
          </w:p>
          <w:p>
            <w:pPr>
              <w:pStyle w:val="yTableNAm"/>
              <w:keepNext/>
              <w:jc w:val="center"/>
              <w:rPr>
                <w:b/>
              </w:rPr>
            </w:pPr>
            <w:del w:id="299" w:author="Master Repository Process" w:date="2021-08-01T14:29:00Z">
              <w:r>
                <w:rPr>
                  <w:b/>
                </w:rPr>
                <w:delText>Fee during designated period</w:delText>
              </w:r>
              <w:r>
                <w:rPr>
                  <w:b/>
                </w:rPr>
                <w:br/>
                <w:delText>$</w:delText>
              </w:r>
            </w:del>
            <w:ins w:id="300" w:author="Master Repository Process" w:date="2021-08-01T14:29:00Z">
              <w:r>
                <w:rPr>
                  <w:b/>
                </w:rPr>
                <w:t>Fee ($)</w:t>
              </w:r>
            </w:ins>
          </w:p>
        </w:tc>
        <w:tc>
          <w:tcPr>
            <w:tcW w:w="1276" w:type="dxa"/>
            <w:gridSpan w:val="2"/>
            <w:tcBorders>
              <w:left w:val="nil"/>
              <w:bottom w:val="single" w:sz="4" w:space="0" w:color="auto"/>
              <w:right w:val="nil"/>
            </w:tcBorders>
            <w:cellDel w:id="301" w:author="Master Repository Process" w:date="2021-08-01T14:29:00Z"/>
          </w:tcPr>
          <w:p>
            <w:pPr>
              <w:pStyle w:val="yTableNAm"/>
              <w:keepNext/>
              <w:jc w:val="center"/>
              <w:rPr>
                <w:del w:id="302" w:author="Master Repository Process" w:date="2021-08-01T14:29:00Z"/>
                <w:b/>
              </w:rPr>
            </w:pPr>
            <w:del w:id="303" w:author="Master Repository Process" w:date="2021-08-01T14:29:00Z">
              <w:r>
                <w:rPr>
                  <w:b/>
                </w:rPr>
                <w:delText>Column 3</w:delText>
              </w:r>
            </w:del>
          </w:p>
          <w:p>
            <w:pPr>
              <w:pStyle w:val="yTableNAm"/>
              <w:keepNext/>
              <w:jc w:val="center"/>
              <w:rPr>
                <w:b/>
              </w:rPr>
            </w:pPr>
            <w:del w:id="304" w:author="Master Repository Process" w:date="2021-08-01T14:29:00Z">
              <w:r>
                <w:rPr>
                  <w:b/>
                </w:rPr>
                <w:delText>Fee after designated period</w:delText>
              </w:r>
              <w:r>
                <w:rPr>
                  <w:b/>
                </w:rPr>
                <w:br/>
                <w:delText>$</w:delText>
              </w:r>
            </w:del>
          </w:p>
        </w:tc>
      </w:tr>
      <w:tr>
        <w:trPr>
          <w:cantSplit/>
          <w:jc w:val="center"/>
        </w:trPr>
        <w:tc>
          <w:tcPr>
            <w:tcW w:w="709" w:type="dxa"/>
            <w:tcBorders>
              <w:left w:val="nil"/>
              <w:bottom w:val="nil"/>
              <w:right w:val="nil"/>
            </w:tcBorders>
            <w:noWrap/>
          </w:tcPr>
          <w:p>
            <w:pPr>
              <w:pStyle w:val="yTableNAm"/>
            </w:pPr>
            <w:r>
              <w:t>1.</w:t>
            </w:r>
          </w:p>
        </w:tc>
        <w:tc>
          <w:tcPr>
            <w:tcW w:w="3260" w:type="dxa"/>
            <w:gridSpan w:val="2"/>
            <w:tcBorders>
              <w:left w:val="nil"/>
              <w:bottom w:val="nil"/>
              <w:right w:val="nil"/>
            </w:tcBorders>
            <w:noWrap/>
          </w:tcPr>
          <w:p>
            <w:pPr>
              <w:pStyle w:val="yTableNAm"/>
            </w:pPr>
            <w:r>
              <w:t>Licences and permits under Part 3 —</w:t>
            </w:r>
          </w:p>
        </w:tc>
        <w:tc>
          <w:tcPr>
            <w:tcW w:w="1418" w:type="dxa"/>
            <w:tcBorders>
              <w:left w:val="nil"/>
              <w:bottom w:val="nil"/>
              <w:right w:val="nil"/>
            </w:tcBorders>
            <w:noWrap/>
            <w:vAlign w:val="bottom"/>
          </w:tcPr>
          <w:p>
            <w:pPr>
              <w:pStyle w:val="yTableNAm"/>
              <w:jc w:val="right"/>
            </w:pPr>
          </w:p>
        </w:tc>
        <w:tc>
          <w:tcPr>
            <w:tcW w:w="1276" w:type="dxa"/>
            <w:gridSpan w:val="2"/>
            <w:tcBorders>
              <w:left w:val="nil"/>
              <w:bottom w:val="nil"/>
              <w:right w:val="nil"/>
            </w:tcBorders>
            <w:cellDel w:id="305" w:author="Master Repository Process" w:date="2021-08-01T14:29:00Z"/>
          </w:tcPr>
          <w:p>
            <w:pPr>
              <w:pStyle w:val="yTableNAm"/>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rPr>
                <w:rStyle w:val="DraftersNotes"/>
                <w:b w:val="0"/>
                <w:i w:val="0"/>
              </w:rPr>
            </w:pPr>
            <w:r>
              <w:t>(a)</w:t>
            </w:r>
            <w:r>
              <w:tab/>
              <w:t>Application for licence or permit</w:t>
            </w:r>
          </w:p>
        </w:tc>
        <w:tc>
          <w:tcPr>
            <w:tcW w:w="1417" w:type="dxa"/>
            <w:tcBorders>
              <w:top w:val="nil"/>
              <w:left w:val="nil"/>
              <w:bottom w:val="nil"/>
              <w:right w:val="nil"/>
            </w:tcBorders>
            <w:cellDel w:id="306" w:author="Master Repository Process" w:date="2021-08-01T14:29:00Z"/>
          </w:tcPr>
          <w:p>
            <w:pPr>
              <w:pStyle w:val="yTableNAm"/>
              <w:jc w:val="right"/>
            </w:pPr>
            <w:del w:id="307" w:author="Master Repository Process" w:date="2021-08-01T14:29:00Z">
              <w:r>
                <w:delText>61.00</w:delText>
              </w:r>
            </w:del>
          </w:p>
        </w:tc>
        <w:tc>
          <w:tcPr>
            <w:tcW w:w="1418" w:type="dxa"/>
            <w:gridSpan w:val="3"/>
            <w:tcBorders>
              <w:top w:val="nil"/>
              <w:left w:val="nil"/>
              <w:bottom w:val="nil"/>
              <w:right w:val="nil"/>
            </w:tcBorders>
            <w:noWrap/>
            <w:vAlign w:val="bottom"/>
          </w:tcPr>
          <w:p>
            <w:pPr>
              <w:pStyle w:val="yTableNAm"/>
              <w:jc w:val="right"/>
            </w:pPr>
            <w:r>
              <w:t>76.00</w:t>
            </w:r>
          </w:p>
        </w:tc>
      </w:tr>
      <w:tr>
        <w:trPr>
          <w:cantSplit/>
          <w:jc w:val="center"/>
        </w:trPr>
        <w:tc>
          <w:tcPr>
            <w:tcW w:w="709" w:type="dxa"/>
            <w:tcBorders>
              <w:top w:val="nil"/>
              <w:left w:val="nil"/>
              <w:bottom w:val="nil"/>
              <w:right w:val="nil"/>
            </w:tcBorders>
            <w:noWrap/>
          </w:tcPr>
          <w:p>
            <w:pPr>
              <w:pStyle w:val="yTableNAm"/>
            </w:pPr>
          </w:p>
        </w:tc>
        <w:tc>
          <w:tcPr>
            <w:tcW w:w="3260" w:type="dxa"/>
            <w:gridSpan w:val="2"/>
            <w:tcBorders>
              <w:top w:val="nil"/>
              <w:left w:val="nil"/>
              <w:bottom w:val="nil"/>
              <w:right w:val="nil"/>
            </w:tcBorders>
            <w:noWrap/>
          </w:tcPr>
          <w:p>
            <w:pPr>
              <w:pStyle w:val="yTableNAm"/>
              <w:ind w:left="567" w:hanging="567"/>
            </w:pPr>
            <w:r>
              <w:t>(b)</w:t>
            </w:r>
            <w:r>
              <w:tab/>
              <w:t>Registration of licence or permit or renewal of registration of licence</w:t>
            </w:r>
            <w:del w:id="308" w:author="Master Repository Process" w:date="2021-08-01T14:29:00Z">
              <w:r>
                <w:delText xml:space="preserve"> — </w:delText>
              </w:r>
            </w:del>
            <w:ins w:id="309" w:author="Master Repository Process" w:date="2021-08-01T14:29:00Z">
              <w:r>
                <w:t xml:space="preserve"> (for each year)</w:t>
              </w:r>
            </w:ins>
          </w:p>
        </w:tc>
        <w:tc>
          <w:tcPr>
            <w:tcW w:w="1418" w:type="dxa"/>
            <w:tcBorders>
              <w:top w:val="nil"/>
              <w:left w:val="nil"/>
              <w:bottom w:val="nil"/>
              <w:right w:val="nil"/>
            </w:tcBorders>
            <w:noWrap/>
            <w:vAlign w:val="bottom"/>
          </w:tcPr>
          <w:p>
            <w:pPr>
              <w:pStyle w:val="yTableNAm"/>
              <w:jc w:val="right"/>
            </w:pPr>
            <w:ins w:id="310" w:author="Master Repository Process" w:date="2021-08-01T14:29:00Z">
              <w:r>
                <w:t>102.00</w:t>
              </w:r>
            </w:ins>
          </w:p>
        </w:tc>
        <w:tc>
          <w:tcPr>
            <w:tcW w:w="1276" w:type="dxa"/>
            <w:gridSpan w:val="2"/>
            <w:tcBorders>
              <w:top w:val="nil"/>
              <w:left w:val="nil"/>
              <w:bottom w:val="nil"/>
              <w:right w:val="nil"/>
            </w:tcBorders>
            <w:cellDel w:id="311" w:author="Master Repository Process" w:date="2021-08-01T14:29:00Z"/>
          </w:tcPr>
          <w:p>
            <w:pPr>
              <w:pStyle w:val="yTableNAm"/>
              <w:jc w:val="right"/>
            </w:pPr>
          </w:p>
        </w:tc>
      </w:tr>
      <w:tr>
        <w:tblPrEx>
          <w:jc w:val="left"/>
        </w:tblPrEx>
        <w:trPr>
          <w:cantSplit/>
          <w:del w:id="312" w:author="Master Repository Process" w:date="2021-08-01T14:29:00Z"/>
        </w:trPr>
        <w:tc>
          <w:tcPr>
            <w:tcW w:w="851" w:type="dxa"/>
            <w:tcBorders>
              <w:top w:val="nil"/>
              <w:left w:val="nil"/>
              <w:bottom w:val="nil"/>
              <w:right w:val="nil"/>
            </w:tcBorders>
            <w:noWrap/>
          </w:tcPr>
          <w:p>
            <w:pPr>
              <w:pStyle w:val="yTableNAm"/>
              <w:rPr>
                <w:del w:id="313" w:author="Master Repository Process" w:date="2021-08-01T14:29:00Z"/>
              </w:rPr>
            </w:pPr>
          </w:p>
        </w:tc>
        <w:tc>
          <w:tcPr>
            <w:tcW w:w="3544" w:type="dxa"/>
            <w:gridSpan w:val="2"/>
            <w:tcBorders>
              <w:top w:val="nil"/>
              <w:left w:val="nil"/>
              <w:bottom w:val="nil"/>
              <w:right w:val="nil"/>
            </w:tcBorders>
            <w:noWrap/>
          </w:tcPr>
          <w:p>
            <w:pPr>
              <w:pStyle w:val="yTableNAm"/>
              <w:ind w:left="1134" w:hanging="567"/>
              <w:rPr>
                <w:del w:id="314" w:author="Master Repository Process" w:date="2021-08-01T14:29:00Z"/>
              </w:rPr>
            </w:pPr>
            <w:del w:id="315" w:author="Master Repository Process" w:date="2021-08-01T14:29:00Z">
              <w:r>
                <w:delText>(i)</w:delText>
              </w:r>
              <w:r>
                <w:tab/>
                <w:delText>for the first year or part of a year of the term of the licence or permit</w:delText>
              </w:r>
            </w:del>
          </w:p>
        </w:tc>
        <w:tc>
          <w:tcPr>
            <w:tcW w:w="1417" w:type="dxa"/>
            <w:gridSpan w:val="2"/>
            <w:tcBorders>
              <w:top w:val="nil"/>
              <w:left w:val="nil"/>
              <w:bottom w:val="nil"/>
              <w:right w:val="nil"/>
            </w:tcBorders>
            <w:noWrap/>
            <w:vAlign w:val="bottom"/>
          </w:tcPr>
          <w:p>
            <w:pPr>
              <w:pStyle w:val="yTableNAm"/>
              <w:jc w:val="right"/>
              <w:rPr>
                <w:del w:id="316" w:author="Master Repository Process" w:date="2021-08-01T14:29:00Z"/>
              </w:rPr>
            </w:pPr>
            <w:del w:id="317" w:author="Master Repository Process" w:date="2021-08-01T14:29:00Z">
              <w:r>
                <w:delText>–</w:delText>
              </w:r>
            </w:del>
          </w:p>
        </w:tc>
        <w:tc>
          <w:tcPr>
            <w:tcW w:w="1276" w:type="dxa"/>
            <w:tcBorders>
              <w:top w:val="nil"/>
              <w:left w:val="nil"/>
              <w:bottom w:val="nil"/>
              <w:right w:val="nil"/>
            </w:tcBorders>
            <w:noWrap/>
            <w:vAlign w:val="bottom"/>
          </w:tcPr>
          <w:p>
            <w:pPr>
              <w:pStyle w:val="yTableNAm"/>
              <w:jc w:val="right"/>
              <w:rPr>
                <w:del w:id="318" w:author="Master Repository Process" w:date="2021-08-01T14:29:00Z"/>
              </w:rPr>
            </w:pPr>
            <w:del w:id="319" w:author="Master Repository Process" w:date="2021-08-01T14:29:00Z">
              <w:r>
                <w:delText>97.00</w:delText>
              </w:r>
            </w:del>
          </w:p>
        </w:tc>
      </w:tr>
      <w:tr>
        <w:tblPrEx>
          <w:jc w:val="left"/>
        </w:tblPrEx>
        <w:trPr>
          <w:cantSplit/>
          <w:del w:id="320" w:author="Master Repository Process" w:date="2021-08-01T14:29:00Z"/>
        </w:trPr>
        <w:tc>
          <w:tcPr>
            <w:tcW w:w="851" w:type="dxa"/>
            <w:tcBorders>
              <w:top w:val="nil"/>
              <w:left w:val="nil"/>
              <w:bottom w:val="nil"/>
              <w:right w:val="nil"/>
            </w:tcBorders>
            <w:noWrap/>
          </w:tcPr>
          <w:p>
            <w:pPr>
              <w:pStyle w:val="yTableNAm"/>
              <w:rPr>
                <w:del w:id="321" w:author="Master Repository Process" w:date="2021-08-01T14:29:00Z"/>
              </w:rPr>
            </w:pPr>
          </w:p>
        </w:tc>
        <w:tc>
          <w:tcPr>
            <w:tcW w:w="3544" w:type="dxa"/>
            <w:gridSpan w:val="2"/>
            <w:tcBorders>
              <w:top w:val="nil"/>
              <w:left w:val="nil"/>
              <w:bottom w:val="nil"/>
              <w:right w:val="nil"/>
            </w:tcBorders>
            <w:noWrap/>
          </w:tcPr>
          <w:p>
            <w:pPr>
              <w:pStyle w:val="yTableNAm"/>
              <w:ind w:left="1134" w:hanging="567"/>
              <w:rPr>
                <w:del w:id="322" w:author="Master Repository Process" w:date="2021-08-01T14:29:00Z"/>
              </w:rPr>
            </w:pPr>
            <w:del w:id="323" w:author="Master Repository Process" w:date="2021-08-01T14:29:00Z">
              <w:r>
                <w:delText>(ii)</w:delText>
              </w:r>
              <w:r>
                <w:tab/>
                <w:delText>for each subsequent year or part of a year of the term of the licence or permit</w:delText>
              </w:r>
            </w:del>
          </w:p>
        </w:tc>
        <w:tc>
          <w:tcPr>
            <w:tcW w:w="1417" w:type="dxa"/>
            <w:gridSpan w:val="2"/>
            <w:tcBorders>
              <w:top w:val="nil"/>
              <w:left w:val="nil"/>
              <w:bottom w:val="nil"/>
              <w:right w:val="nil"/>
            </w:tcBorders>
            <w:noWrap/>
            <w:vAlign w:val="bottom"/>
          </w:tcPr>
          <w:p>
            <w:pPr>
              <w:pStyle w:val="yTableNAm"/>
              <w:jc w:val="right"/>
              <w:rPr>
                <w:del w:id="324" w:author="Master Repository Process" w:date="2021-08-01T14:29:00Z"/>
              </w:rPr>
            </w:pPr>
            <w:del w:id="325" w:author="Master Repository Process" w:date="2021-08-01T14:29:00Z">
              <w:r>
                <w:delText>97.00</w:delText>
              </w:r>
            </w:del>
          </w:p>
        </w:tc>
        <w:tc>
          <w:tcPr>
            <w:tcW w:w="1276" w:type="dxa"/>
            <w:tcBorders>
              <w:top w:val="nil"/>
              <w:left w:val="nil"/>
              <w:bottom w:val="nil"/>
              <w:right w:val="nil"/>
            </w:tcBorders>
            <w:noWrap/>
            <w:vAlign w:val="bottom"/>
          </w:tcPr>
          <w:p>
            <w:pPr>
              <w:pStyle w:val="yTableNAm"/>
              <w:jc w:val="right"/>
              <w:rPr>
                <w:del w:id="326" w:author="Master Repository Process" w:date="2021-08-01T14:29:00Z"/>
              </w:rPr>
            </w:pPr>
            <w:del w:id="327" w:author="Master Repository Process" w:date="2021-08-01T14:29:00Z">
              <w:r>
                <w:delText>97.00</w:delText>
              </w:r>
            </w:del>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(c)</w:t>
            </w:r>
            <w:r>
              <w:tab/>
              <w:t>Replacement for licence or permit</w:t>
            </w:r>
          </w:p>
        </w:tc>
        <w:tc>
          <w:tcPr>
            <w:tcW w:w="1417" w:type="dxa"/>
            <w:tcBorders>
              <w:top w:val="nil"/>
              <w:left w:val="nil"/>
              <w:bottom w:val="nil"/>
              <w:right w:val="nil"/>
            </w:tcBorders>
            <w:cellDel w:id="328" w:author="Master Repository Process" w:date="2021-08-01T14:29:00Z"/>
          </w:tcPr>
          <w:p>
            <w:pPr>
              <w:pStyle w:val="yTableNAm"/>
              <w:ind w:left="567" w:hanging="567"/>
              <w:jc w:val="right"/>
            </w:pPr>
            <w:del w:id="329" w:author="Master Repository Process" w:date="2021-08-01T14:29:00Z">
              <w:r>
                <w:delText>–</w:delText>
              </w:r>
            </w:del>
          </w:p>
        </w:tc>
        <w:tc>
          <w:tcPr>
            <w:tcW w:w="1418" w:type="dxa"/>
            <w:gridSpan w:val="3"/>
            <w:tcBorders>
              <w:top w:val="nil"/>
              <w:left w:val="nil"/>
              <w:bottom w:val="nil"/>
              <w:right w:val="nil"/>
            </w:tcBorders>
            <w:noWrap/>
            <w:vAlign w:val="bottom"/>
          </w:tcPr>
          <w:p>
            <w:pPr>
              <w:pStyle w:val="yTableNAm"/>
              <w:ind w:left="567" w:hanging="567"/>
              <w:jc w:val="right"/>
            </w:pPr>
            <w:r>
              <w:t>47.25</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rPr>
                <w:rStyle w:val="DraftersNotes"/>
                <w:b w:val="0"/>
                <w:i w:val="0"/>
              </w:rPr>
            </w:pPr>
            <w:r>
              <w:t>(d)</w:t>
            </w:r>
            <w:r>
              <w:tab/>
              <w:t>Application for restoration of name to register (failure to renew)</w:t>
            </w:r>
          </w:p>
        </w:tc>
        <w:tc>
          <w:tcPr>
            <w:tcW w:w="1417" w:type="dxa"/>
            <w:tcBorders>
              <w:top w:val="nil"/>
              <w:left w:val="nil"/>
              <w:bottom w:val="nil"/>
              <w:right w:val="nil"/>
            </w:tcBorders>
            <w:cellDel w:id="330" w:author="Master Repository Process" w:date="2021-08-01T14:29:00Z"/>
          </w:tcPr>
          <w:p>
            <w:pPr>
              <w:pStyle w:val="yTableNAm"/>
              <w:jc w:val="right"/>
            </w:pPr>
            <w:del w:id="331" w:author="Master Repository Process" w:date="2021-08-01T14:29:00Z">
              <w:r>
                <w:delText>63.00</w:delText>
              </w:r>
            </w:del>
          </w:p>
        </w:tc>
        <w:tc>
          <w:tcPr>
            <w:tcW w:w="1418" w:type="dxa"/>
            <w:gridSpan w:val="3"/>
            <w:tcBorders>
              <w:top w:val="nil"/>
              <w:left w:val="nil"/>
              <w:bottom w:val="nil"/>
              <w:right w:val="nil"/>
            </w:tcBorders>
            <w:noWrap/>
            <w:vAlign w:val="bottom"/>
          </w:tcPr>
          <w:p>
            <w:pPr>
              <w:pStyle w:val="yTableNAm"/>
              <w:jc w:val="right"/>
            </w:pPr>
            <w:r>
              <w:t>78.75</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r>
              <w:t>2.</w:t>
            </w:r>
          </w:p>
        </w:tc>
        <w:tc>
          <w:tcPr>
            <w:tcW w:w="3260" w:type="dxa"/>
            <w:gridSpan w:val="2"/>
            <w:noWrap/>
          </w:tcPr>
          <w:p>
            <w:pPr>
              <w:pStyle w:val="yTableNAm"/>
              <w:ind w:left="567" w:hanging="567"/>
            </w:pPr>
            <w:r>
              <w:t xml:space="preserve">Licences under Part 4 — </w:t>
            </w:r>
          </w:p>
        </w:tc>
        <w:tc>
          <w:tcPr>
            <w:tcW w:w="1418" w:type="dxa"/>
            <w:noWrap/>
            <w:vAlign w:val="bottom"/>
          </w:tcPr>
          <w:p>
            <w:pPr>
              <w:pStyle w:val="yTableNAm"/>
              <w:ind w:left="567" w:hanging="567"/>
              <w:jc w:val="right"/>
            </w:pPr>
          </w:p>
        </w:tc>
        <w:tc>
          <w:tcPr>
            <w:tcW w:w="1276" w:type="dxa"/>
            <w:gridSpan w:val="2"/>
            <w:cellDel w:id="332" w:author="Master Repository Process" w:date="2021-08-01T14:29:00Z"/>
          </w:tcPr>
          <w:p>
            <w:pPr>
              <w:pStyle w:val="yTableNAm"/>
              <w:ind w:left="567" w:hanging="567"/>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gridSpan w:val="2"/>
            <w:noWrap/>
          </w:tcPr>
          <w:p>
            <w:pPr>
              <w:pStyle w:val="yTableNAm"/>
              <w:ind w:left="567" w:hanging="567"/>
            </w:pPr>
            <w:r>
              <w:t>(a)</w:t>
            </w:r>
            <w:r>
              <w:tab/>
              <w:t>Application for licence</w:t>
            </w:r>
          </w:p>
        </w:tc>
        <w:tc>
          <w:tcPr>
            <w:tcW w:w="1418" w:type="dxa"/>
            <w:noWrap/>
            <w:vAlign w:val="bottom"/>
          </w:tcPr>
          <w:p>
            <w:pPr>
              <w:pStyle w:val="yTableNAm"/>
              <w:ind w:left="567" w:hanging="567"/>
              <w:jc w:val="right"/>
            </w:pPr>
            <w:del w:id="333" w:author="Master Repository Process" w:date="2021-08-01T14:29:00Z">
              <w:r>
                <w:delText>–</w:delText>
              </w:r>
            </w:del>
            <w:ins w:id="334" w:author="Master Repository Process" w:date="2021-08-01T14:29:00Z">
              <w:r>
                <w:t>115.00</w:t>
              </w:r>
            </w:ins>
          </w:p>
        </w:tc>
        <w:tc>
          <w:tcPr>
            <w:tcW w:w="1276" w:type="dxa"/>
            <w:gridSpan w:val="2"/>
            <w:cellDel w:id="335" w:author="Master Repository Process" w:date="2021-08-01T14:29:00Z"/>
          </w:tcPr>
          <w:p>
            <w:pPr>
              <w:pStyle w:val="yTableNAm"/>
              <w:ind w:left="567" w:hanging="567"/>
              <w:jc w:val="right"/>
            </w:pPr>
            <w:del w:id="336" w:author="Master Repository Process" w:date="2021-08-01T14:29:00Z">
              <w:r>
                <w:delText>109.20</w:delText>
              </w:r>
            </w:del>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(b)</w:t>
            </w:r>
            <w:r>
              <w:tab/>
              <w:t>Registration or renewal of registration of electrical contractor’s licence</w:t>
            </w:r>
          </w:p>
        </w:tc>
        <w:tc>
          <w:tcPr>
            <w:tcW w:w="1417" w:type="dxa"/>
            <w:cellDel w:id="337" w:author="Master Repository Process" w:date="2021-08-01T14:29:00Z"/>
          </w:tcPr>
          <w:p>
            <w:pPr>
              <w:pStyle w:val="yTableNAm"/>
              <w:ind w:left="567" w:hanging="567"/>
              <w:jc w:val="right"/>
            </w:pPr>
            <w:del w:id="338" w:author="Master Repository Process" w:date="2021-08-01T14:29:00Z">
              <w:r>
                <w:delText>–</w:delText>
              </w:r>
            </w:del>
          </w:p>
        </w:tc>
        <w:tc>
          <w:tcPr>
            <w:tcW w:w="1418" w:type="dxa"/>
            <w:gridSpan w:val="3"/>
            <w:noWrap/>
            <w:vAlign w:val="bottom"/>
          </w:tcPr>
          <w:p>
            <w:pPr>
              <w:pStyle w:val="yTableNAm"/>
              <w:ind w:left="567" w:hanging="567"/>
              <w:jc w:val="right"/>
            </w:pPr>
            <w:r>
              <w:t>525.00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gridSpan w:val="2"/>
            <w:noWrap/>
          </w:tcPr>
          <w:p>
            <w:pPr>
              <w:pStyle w:val="yTableNAm"/>
              <w:ind w:left="567" w:hanging="567"/>
            </w:pPr>
            <w:r>
              <w:t>(c)</w:t>
            </w:r>
            <w:r>
              <w:tab/>
              <w:t>Registration or renewal of registration of in</w:t>
            </w:r>
            <w:r>
              <w:noBreakHyphen/>
              <w:t>house electrical installing work licence</w:t>
            </w:r>
          </w:p>
        </w:tc>
        <w:tc>
          <w:tcPr>
            <w:tcW w:w="1418" w:type="dxa"/>
            <w:noWrap/>
            <w:vAlign w:val="bottom"/>
          </w:tcPr>
          <w:p>
            <w:pPr>
              <w:pStyle w:val="yTableNAm"/>
              <w:ind w:left="567" w:hanging="567"/>
              <w:jc w:val="right"/>
            </w:pPr>
            <w:del w:id="339" w:author="Master Repository Process" w:date="2021-08-01T14:29:00Z">
              <w:r>
                <w:delText>–</w:delText>
              </w:r>
            </w:del>
            <w:ins w:id="340" w:author="Master Repository Process" w:date="2021-08-01T14:29:00Z">
              <w:r>
                <w:t>276.00</w:t>
              </w:r>
            </w:ins>
          </w:p>
        </w:tc>
        <w:tc>
          <w:tcPr>
            <w:tcW w:w="1276" w:type="dxa"/>
            <w:gridSpan w:val="2"/>
            <w:cellDel w:id="341" w:author="Master Repository Process" w:date="2021-08-01T14:29:00Z"/>
          </w:tcPr>
          <w:p>
            <w:pPr>
              <w:pStyle w:val="yTableNAm"/>
              <w:ind w:left="567" w:hanging="567"/>
              <w:jc w:val="right"/>
            </w:pPr>
            <w:del w:id="342" w:author="Master Repository Process" w:date="2021-08-01T14:29:00Z">
              <w:r>
                <w:delText>262.50</w:delText>
              </w:r>
            </w:del>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(d)</w:t>
            </w:r>
            <w:r>
              <w:tab/>
              <w:t>Replacing or adding nominee: electrical contractor’s licence</w:t>
            </w:r>
          </w:p>
        </w:tc>
        <w:tc>
          <w:tcPr>
            <w:tcW w:w="1417" w:type="dxa"/>
            <w:cellDel w:id="343" w:author="Master Repository Process" w:date="2021-08-01T14:29:00Z"/>
          </w:tcPr>
          <w:p>
            <w:pPr>
              <w:pStyle w:val="yTableNAm"/>
              <w:ind w:left="567" w:hanging="567"/>
              <w:jc w:val="right"/>
            </w:pPr>
            <w:del w:id="344" w:author="Master Repository Process" w:date="2021-08-01T14:29:00Z">
              <w:r>
                <w:delText>–</w:delText>
              </w:r>
            </w:del>
          </w:p>
        </w:tc>
        <w:tc>
          <w:tcPr>
            <w:tcW w:w="1418" w:type="dxa"/>
            <w:gridSpan w:val="3"/>
            <w:noWrap/>
            <w:vAlign w:val="bottom"/>
          </w:tcPr>
          <w:p>
            <w:pPr>
              <w:pStyle w:val="yTableNAm"/>
              <w:ind w:left="567" w:hanging="567"/>
              <w:jc w:val="right"/>
            </w:pPr>
            <w:r>
              <w:t>415.80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(e)</w:t>
            </w:r>
            <w:r>
              <w:tab/>
              <w:t>Replacing or adding nominee: in</w:t>
            </w:r>
            <w:r>
              <w:noBreakHyphen/>
              <w:t>house electrical installing work licence</w:t>
            </w:r>
          </w:p>
        </w:tc>
        <w:tc>
          <w:tcPr>
            <w:tcW w:w="1417" w:type="dxa"/>
            <w:cellDel w:id="345" w:author="Master Repository Process" w:date="2021-08-01T14:29:00Z"/>
          </w:tcPr>
          <w:p>
            <w:pPr>
              <w:pStyle w:val="yTableNAm"/>
              <w:ind w:left="567" w:hanging="567"/>
              <w:jc w:val="right"/>
            </w:pPr>
            <w:del w:id="346" w:author="Master Repository Process" w:date="2021-08-01T14:29:00Z">
              <w:r>
                <w:delText>–</w:delText>
              </w:r>
            </w:del>
          </w:p>
        </w:tc>
        <w:tc>
          <w:tcPr>
            <w:tcW w:w="1418" w:type="dxa"/>
            <w:gridSpan w:val="3"/>
            <w:tcBorders>
              <w:bottom w:val="nil"/>
            </w:tcBorders>
            <w:noWrap/>
            <w:vAlign w:val="bottom"/>
          </w:tcPr>
          <w:p>
            <w:pPr>
              <w:pStyle w:val="yTableNAm"/>
              <w:ind w:left="567" w:hanging="567"/>
              <w:jc w:val="right"/>
            </w:pPr>
            <w:r>
              <w:t>260.00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(f)</w:t>
            </w:r>
            <w:r>
              <w:tab/>
              <w:t>Replacement for licence or copy of certificate of registration</w:t>
            </w:r>
          </w:p>
        </w:tc>
        <w:tc>
          <w:tcPr>
            <w:tcW w:w="1417" w:type="dxa"/>
            <w:cellDel w:id="347" w:author="Master Repository Process" w:date="2021-08-01T14:29:00Z"/>
          </w:tcPr>
          <w:p>
            <w:pPr>
              <w:pStyle w:val="yTableNAm"/>
              <w:ind w:left="567" w:hanging="567"/>
              <w:jc w:val="right"/>
            </w:pPr>
            <w:del w:id="348" w:author="Master Repository Process" w:date="2021-08-01T14:29:00Z">
              <w:r>
                <w:delText>–</w:delText>
              </w:r>
            </w:del>
          </w:p>
        </w:tc>
        <w:tc>
          <w:tcPr>
            <w:tcW w:w="1418" w:type="dxa"/>
            <w:gridSpan w:val="3"/>
            <w:tcBorders>
              <w:bottom w:val="nil"/>
            </w:tcBorders>
            <w:noWrap/>
            <w:vAlign w:val="bottom"/>
          </w:tcPr>
          <w:p>
            <w:pPr>
              <w:pStyle w:val="yTableNAm"/>
              <w:ind w:left="567" w:hanging="567"/>
              <w:jc w:val="right"/>
            </w:pPr>
            <w:r>
              <w:t>60.90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pPr>
          </w:p>
        </w:tc>
        <w:tc>
          <w:tcPr>
            <w:tcW w:w="3260" w:type="dxa"/>
            <w:tcBorders>
              <w:top w:val="nil"/>
            </w:tcBorders>
            <w:noWrap/>
          </w:tcPr>
          <w:p>
            <w:pPr>
              <w:pStyle w:val="yTableNAm"/>
              <w:ind w:left="567" w:hanging="567"/>
            </w:pPr>
            <w:r>
              <w:t>(g)</w:t>
            </w:r>
            <w:r>
              <w:tab/>
              <w:t>Extract of register</w:t>
            </w:r>
          </w:p>
        </w:tc>
        <w:tc>
          <w:tcPr>
            <w:tcW w:w="1417" w:type="dxa"/>
            <w:cellDel w:id="349" w:author="Master Repository Process" w:date="2021-08-01T14:29:00Z"/>
          </w:tcPr>
          <w:p>
            <w:pPr>
              <w:pStyle w:val="yTableNAm"/>
              <w:ind w:left="567" w:hanging="567"/>
              <w:jc w:val="right"/>
            </w:pPr>
            <w:del w:id="350" w:author="Master Repository Process" w:date="2021-08-01T14:29:00Z">
              <w:r>
                <w:delText>–</w:delText>
              </w:r>
            </w:del>
          </w:p>
        </w:tc>
        <w:tc>
          <w:tcPr>
            <w:tcW w:w="1418" w:type="dxa"/>
            <w:gridSpan w:val="3"/>
            <w:tcBorders>
              <w:top w:val="nil"/>
            </w:tcBorders>
            <w:noWrap/>
            <w:vAlign w:val="bottom"/>
          </w:tcPr>
          <w:p>
            <w:pPr>
              <w:pStyle w:val="yTableNAm"/>
              <w:ind w:left="567" w:hanging="567"/>
              <w:jc w:val="right"/>
            </w:pPr>
            <w:r>
              <w:t>68.70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(h)</w:t>
            </w:r>
            <w:r>
              <w:tab/>
              <w:t>Copy of register (if available)</w:t>
            </w:r>
          </w:p>
        </w:tc>
        <w:tc>
          <w:tcPr>
            <w:tcW w:w="1417" w:type="dxa"/>
            <w:tcBorders>
              <w:bottom w:val="nil"/>
            </w:tcBorders>
            <w:cellDel w:id="351" w:author="Master Repository Process" w:date="2021-08-01T14:29:00Z"/>
          </w:tcPr>
          <w:p>
            <w:pPr>
              <w:pStyle w:val="yTableNAm"/>
              <w:ind w:left="567" w:hanging="567"/>
              <w:jc w:val="right"/>
            </w:pPr>
            <w:del w:id="352" w:author="Master Repository Process" w:date="2021-08-01T14:29:00Z">
              <w:r>
                <w:delText>–</w:delText>
              </w:r>
            </w:del>
          </w:p>
        </w:tc>
        <w:tc>
          <w:tcPr>
            <w:tcW w:w="1418" w:type="dxa"/>
            <w:gridSpan w:val="3"/>
            <w:tcBorders>
              <w:bottom w:val="nil"/>
            </w:tcBorders>
            <w:noWrap/>
            <w:vAlign w:val="bottom"/>
          </w:tcPr>
          <w:p>
            <w:pPr>
              <w:pStyle w:val="yTableNAm"/>
              <w:ind w:left="567" w:hanging="567"/>
              <w:jc w:val="right"/>
            </w:pPr>
            <w:r>
              <w:t>84.00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(i)</w:t>
            </w:r>
            <w:r>
              <w:tab/>
              <w:t>Application for restoration of name to register (failure to renew)</w:t>
            </w:r>
          </w:p>
        </w:tc>
        <w:tc>
          <w:tcPr>
            <w:tcW w:w="1417" w:type="dxa"/>
            <w:tcBorders>
              <w:bottom w:val="nil"/>
            </w:tcBorders>
            <w:cellDel w:id="353" w:author="Master Repository Process" w:date="2021-08-01T14:29:00Z"/>
          </w:tcPr>
          <w:p>
            <w:pPr>
              <w:pStyle w:val="yTableNAm"/>
              <w:ind w:left="567" w:hanging="567"/>
              <w:jc w:val="right"/>
            </w:pPr>
            <w:del w:id="354" w:author="Master Repository Process" w:date="2021-08-01T14:29:00Z">
              <w:r>
                <w:delText>–</w:delText>
              </w:r>
            </w:del>
          </w:p>
        </w:tc>
        <w:tc>
          <w:tcPr>
            <w:tcW w:w="1418" w:type="dxa"/>
            <w:gridSpan w:val="3"/>
            <w:tcBorders>
              <w:bottom w:val="nil"/>
            </w:tcBorders>
            <w:noWrap/>
            <w:vAlign w:val="bottom"/>
          </w:tcPr>
          <w:p>
            <w:pPr>
              <w:pStyle w:val="yTableNAm"/>
              <w:ind w:left="567" w:hanging="567"/>
              <w:jc w:val="right"/>
            </w:pPr>
            <w:r>
              <w:t>155.00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keepNext/>
            </w:pPr>
            <w:r>
              <w:t>3.</w:t>
            </w:r>
          </w:p>
        </w:tc>
        <w:tc>
          <w:tcPr>
            <w:tcW w:w="3260" w:type="dxa"/>
            <w:gridSpan w:val="2"/>
            <w:tcBorders>
              <w:top w:val="nil"/>
            </w:tcBorders>
            <w:noWrap/>
          </w:tcPr>
          <w:p>
            <w:pPr>
              <w:pStyle w:val="yTableNAm"/>
              <w:keepNext/>
              <w:ind w:left="567" w:hanging="567"/>
            </w:pPr>
            <w:r>
              <w:t xml:space="preserve">Further inspection — </w:t>
            </w:r>
          </w:p>
        </w:tc>
        <w:tc>
          <w:tcPr>
            <w:tcW w:w="1418" w:type="dxa"/>
            <w:tcBorders>
              <w:top w:val="nil"/>
            </w:tcBorders>
            <w:noWrap/>
            <w:vAlign w:val="bottom"/>
          </w:tcPr>
          <w:p>
            <w:pPr>
              <w:pStyle w:val="yTableNAm"/>
              <w:keepNext/>
              <w:ind w:left="567" w:hanging="567"/>
              <w:jc w:val="right"/>
            </w:pPr>
          </w:p>
        </w:tc>
        <w:tc>
          <w:tcPr>
            <w:tcW w:w="1276" w:type="dxa"/>
            <w:gridSpan w:val="2"/>
            <w:tcBorders>
              <w:top w:val="nil"/>
            </w:tcBorders>
            <w:cellDel w:id="355" w:author="Master Repository Process" w:date="2021-08-01T14:29:00Z"/>
          </w:tcPr>
          <w:p>
            <w:pPr>
              <w:pStyle w:val="yTableNAm"/>
              <w:keepNext/>
              <w:ind w:left="567" w:hanging="567"/>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gridSpan w:val="2"/>
            <w:noWrap/>
          </w:tcPr>
          <w:p>
            <w:pPr>
              <w:pStyle w:val="yTableNAm"/>
              <w:ind w:left="567" w:hanging="567"/>
            </w:pPr>
            <w:r>
              <w:t>(a)</w:t>
            </w:r>
            <w:r>
              <w:tab/>
              <w:t>If relevant network operator is the Regional Power Corporation</w:t>
            </w:r>
          </w:p>
        </w:tc>
        <w:tc>
          <w:tcPr>
            <w:tcW w:w="1418" w:type="dxa"/>
            <w:noWrap/>
            <w:vAlign w:val="bottom"/>
          </w:tcPr>
          <w:p>
            <w:pPr>
              <w:pStyle w:val="yTableNAm"/>
              <w:ind w:left="567" w:hanging="567"/>
              <w:jc w:val="right"/>
            </w:pPr>
            <w:r>
              <w:t>498.25</w:t>
            </w:r>
          </w:p>
        </w:tc>
        <w:tc>
          <w:tcPr>
            <w:tcW w:w="1276" w:type="dxa"/>
            <w:gridSpan w:val="2"/>
            <w:cellDel w:id="356" w:author="Master Repository Process" w:date="2021-08-01T14:29:00Z"/>
          </w:tcPr>
          <w:p>
            <w:pPr>
              <w:pStyle w:val="yTableNAm"/>
              <w:ind w:left="567" w:hanging="567"/>
              <w:jc w:val="right"/>
            </w:pPr>
            <w:del w:id="357" w:author="Master Repository Process" w:date="2021-08-01T14:29:00Z">
              <w:r>
                <w:delText>498.25</w:delText>
              </w:r>
            </w:del>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spacing w:after="120"/>
            </w:pPr>
          </w:p>
        </w:tc>
        <w:tc>
          <w:tcPr>
            <w:tcW w:w="3260" w:type="dxa"/>
            <w:gridSpan w:val="2"/>
            <w:noWrap/>
          </w:tcPr>
          <w:p>
            <w:pPr>
              <w:pStyle w:val="yTableNAm"/>
              <w:spacing w:after="120"/>
              <w:ind w:left="567" w:hanging="567"/>
            </w:pPr>
            <w:r>
              <w:t>(b)</w:t>
            </w:r>
            <w:r>
              <w:tab/>
              <w:t>If relevant network operator is not the Regional Power Corporation</w:t>
            </w:r>
          </w:p>
        </w:tc>
        <w:tc>
          <w:tcPr>
            <w:tcW w:w="1418" w:type="dxa"/>
            <w:noWrap/>
            <w:vAlign w:val="bottom"/>
          </w:tcPr>
          <w:p>
            <w:pPr>
              <w:pStyle w:val="yTableNAm"/>
              <w:spacing w:after="120"/>
              <w:ind w:left="567" w:hanging="567"/>
              <w:jc w:val="right"/>
            </w:pPr>
            <w:r>
              <w:t>182.00</w:t>
            </w:r>
          </w:p>
        </w:tc>
        <w:tc>
          <w:tcPr>
            <w:tcW w:w="1276" w:type="dxa"/>
            <w:gridSpan w:val="2"/>
            <w:cellDel w:id="358" w:author="Master Repository Process" w:date="2021-08-01T14:29:00Z"/>
          </w:tcPr>
          <w:p>
            <w:pPr>
              <w:pStyle w:val="yTableNAm"/>
              <w:spacing w:after="120"/>
              <w:ind w:left="567" w:hanging="567"/>
              <w:jc w:val="right"/>
            </w:pPr>
            <w:del w:id="359" w:author="Master Repository Process" w:date="2021-08-01T14:29:00Z">
              <w:r>
                <w:delText>182.00</w:delText>
              </w:r>
            </w:del>
          </w:p>
        </w:tc>
      </w:tr>
    </w:tbl>
    <w:p>
      <w:pPr>
        <w:pStyle w:val="yFootnotesection"/>
      </w:pPr>
      <w:r>
        <w:tab/>
        <w:t>[Schedule 1 inserted: SL </w:t>
      </w:r>
      <w:del w:id="360" w:author="Master Repository Process" w:date="2021-08-01T14:29:00Z">
        <w:r>
          <w:delText>2020/196</w:delText>
        </w:r>
      </w:del>
      <w:ins w:id="361" w:author="Master Repository Process" w:date="2021-08-01T14:29:00Z">
        <w:r>
          <w:t>2021/86</w:t>
        </w:r>
      </w:ins>
      <w:r>
        <w:t xml:space="preserve"> r. </w:t>
      </w:r>
      <w:del w:id="362" w:author="Master Repository Process" w:date="2021-08-01T14:29:00Z">
        <w:r>
          <w:delText>25</w:delText>
        </w:r>
      </w:del>
      <w:ins w:id="363" w:author="Master Repository Process" w:date="2021-08-01T14:29:00Z">
        <w:r>
          <w:t>30</w:t>
        </w:r>
      </w:ins>
      <w:r>
        <w:t>.]</w:t>
      </w:r>
    </w:p>
    <w:p>
      <w:pPr>
        <w:pStyle w:val="yScheduleHeading"/>
      </w:pPr>
      <w:bookmarkStart w:id="364" w:name="_Toc75357426"/>
      <w:bookmarkStart w:id="365" w:name="_Toc75357803"/>
      <w:bookmarkStart w:id="366" w:name="_Toc75523166"/>
      <w:bookmarkStart w:id="367" w:name="_Toc75760626"/>
      <w:bookmarkStart w:id="368" w:name="_Toc74728136"/>
      <w:bookmarkStart w:id="369" w:name="_Toc74728301"/>
      <w:bookmarkStart w:id="370" w:name="_Toc75168042"/>
      <w:bookmarkEnd w:id="290"/>
      <w:r>
        <w:rPr>
          <w:rStyle w:val="CharSchNo"/>
        </w:rPr>
        <w:t>Schedule 2</w:t>
      </w:r>
      <w:r>
        <w:rPr>
          <w:rStyle w:val="CharSDivNo"/>
        </w:rPr>
        <w:t> </w:t>
      </w:r>
      <w:r>
        <w:t>—</w:t>
      </w:r>
      <w:r>
        <w:rPr>
          <w:rStyle w:val="CharSDivText"/>
        </w:rPr>
        <w:t> </w:t>
      </w:r>
      <w:r>
        <w:rPr>
          <w:rStyle w:val="CharSchText"/>
        </w:rPr>
        <w:t>Standards for electrical work</w:t>
      </w:r>
      <w:bookmarkEnd w:id="364"/>
      <w:bookmarkEnd w:id="365"/>
      <w:bookmarkEnd w:id="366"/>
      <w:bookmarkEnd w:id="367"/>
      <w:bookmarkEnd w:id="368"/>
      <w:bookmarkEnd w:id="369"/>
      <w:bookmarkEnd w:id="370"/>
    </w:p>
    <w:p>
      <w:pPr>
        <w:pStyle w:val="yShoulderClause"/>
      </w:pPr>
      <w:r>
        <w:t>[r. 49(1)(c)]</w:t>
      </w:r>
    </w:p>
    <w:p>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Electrical installations — Marinas and recreational boats — Marinas</w:t>
            </w:r>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Electrical installations — Marinas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Gazette 13 Apr 2012 p. 1654</w:t>
      </w:r>
      <w:r>
        <w:noBreakHyphen/>
        <w:t>6; amended: Gazette 2 May 2017 p. 2302.]</w:t>
      </w:r>
    </w:p>
    <w:p>
      <w:pPr>
        <w:pStyle w:val="CentredBaseLine"/>
        <w:widowControl w:val="0"/>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372" w:name="_Toc75357427"/>
      <w:bookmarkStart w:id="373" w:name="_Toc75357804"/>
      <w:bookmarkStart w:id="374" w:name="_Toc75523167"/>
      <w:bookmarkStart w:id="375" w:name="_Toc75760627"/>
      <w:bookmarkStart w:id="376" w:name="_Toc74728137"/>
      <w:bookmarkStart w:id="377" w:name="_Toc74728302"/>
      <w:bookmarkStart w:id="378" w:name="_Toc75168043"/>
      <w:r>
        <w:t>Notes</w:t>
      </w:r>
      <w:bookmarkEnd w:id="372"/>
      <w:bookmarkEnd w:id="373"/>
      <w:bookmarkEnd w:id="374"/>
      <w:bookmarkEnd w:id="375"/>
      <w:bookmarkEnd w:id="376"/>
      <w:bookmarkEnd w:id="377"/>
      <w:bookmarkEnd w:id="378"/>
    </w:p>
    <w:p>
      <w:pPr>
        <w:pStyle w:val="nStatement"/>
      </w:pPr>
      <w:r>
        <w:t xml:space="preserve">This is a compilation of the </w:t>
      </w:r>
      <w:r>
        <w:rPr>
          <w:i/>
          <w:noProof/>
        </w:rPr>
        <w:t>Electricity (Licensing) Regulations 1991</w:t>
      </w:r>
      <w:r>
        <w:t xml:space="preserve"> and includes amendments made by other written laws. For provisions that have come into operation, and for information about any reprints, see the compilation table. </w:t>
      </w:r>
      <w:del w:id="379" w:author="Master Repository Process" w:date="2021-08-01T14:29:00Z">
        <w:r>
          <w:delText>For provisions that have not yet come into operation see the uncommenced provisions table.</w:delText>
        </w:r>
      </w:del>
    </w:p>
    <w:p>
      <w:pPr>
        <w:pStyle w:val="nHeading3"/>
      </w:pPr>
      <w:bookmarkStart w:id="380" w:name="_Toc75760628"/>
      <w:bookmarkStart w:id="381" w:name="_Toc75168044"/>
      <w:r>
        <w:t>Compilation table</w:t>
      </w:r>
      <w:bookmarkEnd w:id="380"/>
      <w:bookmarkEnd w:id="38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1</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2007</w:t>
            </w:r>
            <w:r>
              <w:rPr>
                <w:iCs/>
                <w:vertAlign w:val="superscript"/>
              </w:rPr>
              <w:t> 6</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bCs/>
                <w:snapToGrid w:val="0"/>
                <w:spacing w:val="-2"/>
              </w:rPr>
            </w:pPr>
            <w:r>
              <w:t>6 Aug 2015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2018 </w:t>
            </w:r>
            <w:r>
              <w:rPr>
                <w:vertAlign w:val="superscript"/>
              </w:rPr>
              <w:t>6</w:t>
            </w:r>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rPr>
                <w:i/>
              </w:rPr>
            </w:pPr>
            <w:r>
              <w:rPr>
                <w:i/>
              </w:rPr>
              <w:t>Electricity Amendment Regulations 2018</w:t>
            </w:r>
            <w:r>
              <w:t xml:space="preserve"> Pt. 3</w:t>
            </w:r>
          </w:p>
        </w:tc>
        <w:tc>
          <w:tcPr>
            <w:tcW w:w="1276" w:type="dxa"/>
            <w:tcBorders>
              <w:top w:val="nil"/>
              <w:bottom w:val="nil"/>
            </w:tcBorders>
          </w:tcPr>
          <w:p>
            <w:pPr>
              <w:pStyle w:val="nTable"/>
              <w:spacing w:after="40"/>
            </w:pPr>
            <w:r>
              <w:t>2 Oct 2018 p. 3784</w:t>
            </w:r>
            <w:r>
              <w:noBreakHyphen/>
              <w:t>94</w:t>
            </w:r>
          </w:p>
        </w:tc>
        <w:tc>
          <w:tcPr>
            <w:tcW w:w="2693" w:type="dxa"/>
            <w:tcBorders>
              <w:top w:val="nil"/>
              <w:bottom w:val="nil"/>
            </w:tcBorders>
          </w:tcPr>
          <w:p>
            <w:pPr>
              <w:pStyle w:val="nTable"/>
              <w:spacing w:after="40"/>
              <w:rPr>
                <w:bCs/>
                <w:snapToGrid w:val="0"/>
                <w:spacing w:val="-2"/>
              </w:rPr>
            </w:pPr>
            <w:r>
              <w:rPr>
                <w:snapToGrid w:val="0"/>
                <w:spacing w:val="-2"/>
              </w:rPr>
              <w:t>1 Jan 2019 (see r. 2(b))</w:t>
            </w:r>
          </w:p>
        </w:tc>
      </w:tr>
      <w:tr>
        <w:trPr>
          <w:cantSplit/>
        </w:trPr>
        <w:tc>
          <w:tcPr>
            <w:tcW w:w="3118" w:type="dxa"/>
            <w:tcBorders>
              <w:top w:val="nil"/>
              <w:bottom w:val="nil"/>
            </w:tcBorders>
          </w:tcPr>
          <w:p>
            <w:pPr>
              <w:pStyle w:val="nTable"/>
              <w:spacing w:after="40"/>
              <w:rPr>
                <w:i/>
              </w:rPr>
            </w:pPr>
            <w:r>
              <w:rPr>
                <w:i/>
              </w:rPr>
              <w:t>Electricity (Licensing) Amendment Regulations (No. 2) 2018</w:t>
            </w:r>
          </w:p>
        </w:tc>
        <w:tc>
          <w:tcPr>
            <w:tcW w:w="1276" w:type="dxa"/>
            <w:tcBorders>
              <w:top w:val="nil"/>
              <w:bottom w:val="nil"/>
            </w:tcBorders>
          </w:tcPr>
          <w:p>
            <w:pPr>
              <w:pStyle w:val="nTable"/>
              <w:keepNext/>
              <w:spacing w:after="40"/>
            </w:pPr>
            <w:r>
              <w:t>8 Jan 2019 p. 11</w:t>
            </w:r>
            <w:r>
              <w:noBreakHyphen/>
              <w:t>17</w:t>
            </w:r>
          </w:p>
        </w:tc>
        <w:tc>
          <w:tcPr>
            <w:tcW w:w="2693" w:type="dxa"/>
            <w:tcBorders>
              <w:top w:val="nil"/>
              <w:bottom w:val="nil"/>
            </w:tcBorders>
          </w:tcPr>
          <w:p>
            <w:pPr>
              <w:pStyle w:val="nTable"/>
              <w:keepNext/>
              <w:spacing w:after="40"/>
              <w:rPr>
                <w:snapToGrid w:val="0"/>
                <w:spacing w:val="-2"/>
              </w:rPr>
            </w:pPr>
            <w:r>
              <w:t>r. 1 and 2: 8 Jan 2019 (see r. 2(a));</w:t>
            </w:r>
            <w:r>
              <w:br/>
              <w:t>Regulations other than r. 1 and 2: 9 Jan 2019 (see r. 2(b))</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9</w:t>
            </w:r>
          </w:p>
        </w:tc>
        <w:tc>
          <w:tcPr>
            <w:tcW w:w="1276" w:type="dxa"/>
            <w:tcBorders>
              <w:top w:val="nil"/>
              <w:bottom w:val="nil"/>
            </w:tcBorders>
          </w:tcPr>
          <w:p>
            <w:pPr>
              <w:pStyle w:val="nTable"/>
              <w:keepNext/>
              <w:spacing w:after="40"/>
            </w:pPr>
            <w:r>
              <w:t>18 Jun 2019 p. 2077</w:t>
            </w:r>
            <w:r>
              <w:noBreakHyphen/>
              <w:t>115</w:t>
            </w:r>
          </w:p>
        </w:tc>
        <w:tc>
          <w:tcPr>
            <w:tcW w:w="2693" w:type="dxa"/>
            <w:tcBorders>
              <w:top w:val="nil"/>
              <w:bottom w:val="nil"/>
            </w:tcBorders>
          </w:tcPr>
          <w:p>
            <w:pPr>
              <w:pStyle w:val="nTable"/>
              <w:keepNext/>
              <w:spacing w:after="40"/>
            </w:pPr>
            <w:r>
              <w:t>1 Jul 2019 (see r. 2(b))</w:t>
            </w:r>
          </w:p>
        </w:tc>
      </w:tr>
      <w:tr>
        <w:trPr>
          <w:cantSplit/>
        </w:trPr>
        <w:tc>
          <w:tcPr>
            <w:tcW w:w="3118" w:type="dxa"/>
            <w:tcBorders>
              <w:top w:val="nil"/>
              <w:bottom w:val="nil"/>
            </w:tcBorders>
          </w:tcPr>
          <w:p>
            <w:pPr>
              <w:pStyle w:val="nTable"/>
              <w:spacing w:after="40"/>
              <w:rPr>
                <w:i/>
              </w:rPr>
            </w:pPr>
            <w:r>
              <w:rPr>
                <w:i/>
              </w:rPr>
              <w:t>Commerce Regulations Amendment (COVID-19 Response) Regulations (No. 2) 2020</w:t>
            </w:r>
            <w:r>
              <w:t xml:space="preserve"> Pt. 8</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keepNext/>
              <w:spacing w:after="40"/>
            </w:pPr>
            <w:r>
              <w:t>28 Oct 2020 (see r. 2(b))</w:t>
            </w:r>
          </w:p>
        </w:tc>
      </w:tr>
    </w:tbl>
    <w:p>
      <w:pPr>
        <w:pStyle w:val="nHeading3"/>
        <w:rPr>
          <w:del w:id="382" w:author="Master Repository Process" w:date="2021-08-01T14:29:00Z"/>
        </w:rPr>
      </w:pPr>
      <w:bookmarkStart w:id="383" w:name="_Toc75168045"/>
      <w:del w:id="384" w:author="Master Repository Process" w:date="2021-08-01T14:29:00Z">
        <w:r>
          <w:delText>Uncommenced provisions table</w:delText>
        </w:r>
        <w:bookmarkEnd w:id="383"/>
      </w:del>
    </w:p>
    <w:p>
      <w:pPr>
        <w:pStyle w:val="nStatement"/>
        <w:keepNext/>
        <w:spacing w:after="240"/>
        <w:rPr>
          <w:del w:id="385" w:author="Master Repository Process" w:date="2021-08-01T14:29:00Z"/>
        </w:rPr>
      </w:pPr>
      <w:del w:id="386" w:author="Master Repository Process" w:date="2021-08-01T14:29: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87" w:author="Master Repository Process" w:date="2021-08-01T14:29:00Z"/>
        </w:trPr>
        <w:tc>
          <w:tcPr>
            <w:tcW w:w="3118" w:type="dxa"/>
          </w:tcPr>
          <w:p>
            <w:pPr>
              <w:pStyle w:val="nTable"/>
              <w:spacing w:after="40"/>
              <w:rPr>
                <w:del w:id="388" w:author="Master Repository Process" w:date="2021-08-01T14:29:00Z"/>
                <w:b/>
              </w:rPr>
            </w:pPr>
            <w:del w:id="389" w:author="Master Repository Process" w:date="2021-08-01T14:29:00Z">
              <w:r>
                <w:rPr>
                  <w:b/>
                </w:rPr>
                <w:delText>Citation</w:delText>
              </w:r>
            </w:del>
          </w:p>
        </w:tc>
        <w:tc>
          <w:tcPr>
            <w:tcW w:w="1276" w:type="dxa"/>
          </w:tcPr>
          <w:p>
            <w:pPr>
              <w:pStyle w:val="nTable"/>
              <w:spacing w:after="40"/>
              <w:rPr>
                <w:del w:id="390" w:author="Master Repository Process" w:date="2021-08-01T14:29:00Z"/>
                <w:b/>
              </w:rPr>
            </w:pPr>
            <w:del w:id="391" w:author="Master Repository Process" w:date="2021-08-01T14:29:00Z">
              <w:r>
                <w:rPr>
                  <w:b/>
                </w:rPr>
                <w:delText>Published</w:delText>
              </w:r>
            </w:del>
          </w:p>
        </w:tc>
        <w:tc>
          <w:tcPr>
            <w:tcW w:w="2693" w:type="dxa"/>
          </w:tcPr>
          <w:p>
            <w:pPr>
              <w:pStyle w:val="nTable"/>
              <w:spacing w:after="40"/>
              <w:rPr>
                <w:del w:id="392" w:author="Master Repository Process" w:date="2021-08-01T14:29:00Z"/>
                <w:b/>
              </w:rPr>
            </w:pPr>
            <w:del w:id="393" w:author="Master Repository Process" w:date="2021-08-01T14:29:00Z">
              <w:r>
                <w:rPr>
                  <w:b/>
                </w:rPr>
                <w:delText>Commencement</w:delText>
              </w:r>
            </w:del>
          </w:p>
        </w:tc>
      </w:tr>
      <w:tr>
        <w:trPr>
          <w:cantSplit/>
        </w:trPr>
        <w:tc>
          <w:tcPr>
            <w:tcW w:w="3118" w:type="dxa"/>
            <w:tcBorders>
              <w:top w:val="nil"/>
              <w:bottom w:val="single" w:sz="4" w:space="0" w:color="auto"/>
            </w:tcBorders>
          </w:tcPr>
          <w:p>
            <w:pPr>
              <w:pStyle w:val="nTable"/>
              <w:spacing w:after="40"/>
              <w:rPr>
                <w:i/>
              </w:rPr>
            </w:pPr>
            <w:r>
              <w:rPr>
                <w:i/>
              </w:rPr>
              <w:t>Commerce Regulations Amendment (Fees and Charges) Regulations</w:t>
            </w:r>
            <w:del w:id="394" w:author="Master Repository Process" w:date="2021-08-01T14:29:00Z">
              <w:r>
                <w:rPr>
                  <w:i/>
                </w:rPr>
                <w:delText xml:space="preserve"> </w:delText>
              </w:r>
            </w:del>
            <w:ins w:id="395" w:author="Master Repository Process" w:date="2021-08-01T14:29:00Z">
              <w:r>
                <w:rPr>
                  <w:i/>
                </w:rPr>
                <w:t> </w:t>
              </w:r>
            </w:ins>
            <w:r>
              <w:rPr>
                <w:i/>
              </w:rPr>
              <w:t>2021</w:t>
            </w:r>
            <w:r>
              <w:t xml:space="preserve"> Pt. 10</w:t>
            </w:r>
          </w:p>
        </w:tc>
        <w:tc>
          <w:tcPr>
            <w:tcW w:w="1276" w:type="dxa"/>
            <w:tcBorders>
              <w:top w:val="nil"/>
              <w:bottom w:val="single" w:sz="4" w:space="0" w:color="auto"/>
            </w:tcBorders>
          </w:tcPr>
          <w:p>
            <w:pPr>
              <w:pStyle w:val="nTable"/>
              <w:spacing w:after="40"/>
            </w:pPr>
            <w:r>
              <w:t>SL 2021/86 21 Jun 2021</w:t>
            </w:r>
          </w:p>
        </w:tc>
        <w:tc>
          <w:tcPr>
            <w:tcW w:w="2693" w:type="dxa"/>
            <w:tcBorders>
              <w:top w:val="nil"/>
              <w:bottom w:val="single" w:sz="4" w:space="0" w:color="auto"/>
            </w:tcBorders>
          </w:tcPr>
          <w:p>
            <w:pPr>
              <w:pStyle w:val="nTable"/>
              <w:keepNext/>
              <w:spacing w:after="40"/>
            </w:pPr>
            <w:r>
              <w:t>1 Jul 2021 (see r. 2(b))</w:t>
            </w:r>
          </w:p>
        </w:tc>
      </w:tr>
    </w:tbl>
    <w:p>
      <w:pPr>
        <w:pStyle w:val="nHeading3"/>
      </w:pPr>
      <w:bookmarkStart w:id="396" w:name="_Toc75760629"/>
      <w:bookmarkStart w:id="397" w:name="_Toc75168046"/>
      <w:r>
        <w:t>Other notes</w:t>
      </w:r>
      <w:bookmarkEnd w:id="396"/>
      <w:bookmarkEnd w:id="397"/>
    </w:p>
    <w:p>
      <w:pPr>
        <w:pStyle w:val="nNote"/>
        <w:keepNext/>
        <w:tabs>
          <w:tab w:val="left" w:pos="0"/>
        </w:tabs>
        <w:spacing w:before="120"/>
      </w:pPr>
      <w:r>
        <w:rPr>
          <w:vertAlign w:val="superscript"/>
        </w:rPr>
        <w:t>1</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Note"/>
        <w:keepNext/>
        <w:spacing w:before="100"/>
      </w:pPr>
      <w:r>
        <w:rPr>
          <w:vertAlign w:val="superscript"/>
        </w:rPr>
        <w:t>2</w:t>
      </w:r>
      <w:r>
        <w:tab/>
        <w:t xml:space="preserve">Repealed by the </w:t>
      </w:r>
      <w:r>
        <w:rPr>
          <w:i/>
          <w:iCs/>
        </w:rPr>
        <w:t>Training Legislation Amendment and Repeal Act 2008</w:t>
      </w:r>
      <w:r>
        <w:t xml:space="preserve"> s. 50. </w:t>
      </w:r>
    </w:p>
    <w:p>
      <w:pPr>
        <w:pStyle w:val="nNote"/>
        <w:spacing w:before="100"/>
      </w:pPr>
      <w:r>
        <w:rPr>
          <w:vertAlign w:val="superscript"/>
        </w:rPr>
        <w:t>3</w:t>
      </w:r>
      <w:r>
        <w:tab/>
        <w:t xml:space="preserve">The </w:t>
      </w:r>
      <w:r>
        <w:rPr>
          <w:i/>
          <w:iCs/>
        </w:rPr>
        <w:t>Training Legislation Amendment and Repeal Act 2008</w:t>
      </w:r>
      <w:r>
        <w:t xml:space="preserve"> Pt. 2 came into operation 10 June 2009.</w:t>
      </w:r>
    </w:p>
    <w:p>
      <w:pPr>
        <w:pStyle w:val="nNote"/>
        <w:tabs>
          <w:tab w:val="left" w:pos="0"/>
        </w:tabs>
        <w:spacing w:before="100"/>
        <w:rPr>
          <w:snapToGrid w:val="0"/>
        </w:rPr>
      </w:pPr>
      <w:r>
        <w:rPr>
          <w:vertAlign w:val="superscript"/>
        </w:rPr>
        <w:t>4</w:t>
      </w:r>
      <w:r>
        <w:tab/>
      </w:r>
      <w:r>
        <w:rPr>
          <w:snapToGrid w:val="0"/>
        </w:rPr>
        <w:t xml:space="preserve">Now called the </w:t>
      </w:r>
      <w:r>
        <w:rPr>
          <w:i/>
          <w:snapToGrid w:val="0"/>
        </w:rPr>
        <w:t>Tradespersons’ Rights Regulation Act 1946</w:t>
      </w:r>
      <w:r>
        <w:rPr>
          <w:snapToGrid w:val="0"/>
        </w:rPr>
        <w:t xml:space="preserve"> (Cwlth).</w:t>
      </w:r>
    </w:p>
    <w:p>
      <w:pPr>
        <w:pStyle w:val="nNote"/>
        <w:keepNext/>
        <w:spacing w:before="100"/>
        <w:rPr>
          <w:snapToGrid w:val="0"/>
        </w:rPr>
      </w:pPr>
      <w:r>
        <w:rPr>
          <w:snapToGrid w:val="0"/>
          <w:vertAlign w:val="superscript"/>
        </w:rPr>
        <w:t>5</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398" w:name="endcomma"/>
      <w:bookmarkEnd w:id="398"/>
    </w:p>
    <w:p>
      <w:pPr>
        <w:pStyle w:val="BlankClose"/>
        <w:rPr>
          <w:sz w:val="16"/>
          <w:szCs w:val="16"/>
        </w:rPr>
      </w:pPr>
    </w:p>
    <w:p>
      <w:pPr>
        <w:pStyle w:val="nNote"/>
        <w:keepNext/>
        <w:spacing w:before="240"/>
        <w:rPr>
          <w:i/>
          <w:snapToGrid w:val="0"/>
        </w:rPr>
      </w:pPr>
      <w:r>
        <w:rPr>
          <w:snapToGrid w:val="0"/>
          <w:vertAlign w:val="superscript"/>
        </w:rPr>
        <w:t>6</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71" w:name="Schedule"/>
    <w:bookmarkEnd w:id="3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99" w:name="Compilation"/>
    <w:bookmarkEnd w:id="39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0" w:name="Coversheet"/>
    <w:bookmarkEnd w:id="4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53053"/>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 w:name="WAFER_20210616092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2552_GUID" w:val="ac8ae422-95a9-491e-8364-1d333bfd625f"/>
    <w:docVar w:name="WAFER_20210623153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3153053_GUID" w:val="f580cff1-1843-46c9-833b-419e148917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F83EDB-A4C7-468C-9F98-8D362F464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27255</Words>
  <Characters>136005</Characters>
  <Application>Microsoft Office Word</Application>
  <DocSecurity>0</DocSecurity>
  <Lines>3777</Lines>
  <Paragraphs>1774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07-p0-00 - 07-q0-00</dc:title>
  <dc:subject/>
  <dc:creator/>
  <cp:keywords/>
  <dc:description/>
  <cp:lastModifiedBy>Master Repository Process</cp:lastModifiedBy>
  <cp:revision>2</cp:revision>
  <cp:lastPrinted>2019-01-07T07:12:00Z</cp:lastPrinted>
  <dcterms:created xsi:type="dcterms:W3CDTF">2021-08-01T06:28:00Z</dcterms:created>
  <dcterms:modified xsi:type="dcterms:W3CDTF">2021-08-01T06:29:00Z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CommencementDate">
    <vt:lpwstr>20210701</vt:lpwstr>
  </property>
  <property fmtid="{D5CDD505-2E9C-101B-9397-08002B2CF9AE}" pid="8" name="FromSuffix">
    <vt:lpwstr>07-p0-00</vt:lpwstr>
  </property>
  <property fmtid="{D5CDD505-2E9C-101B-9397-08002B2CF9AE}" pid="9" name="FromAsAtDate">
    <vt:lpwstr>21 Jun 2021</vt:lpwstr>
  </property>
  <property fmtid="{D5CDD505-2E9C-101B-9397-08002B2CF9AE}" pid="10" name="ToSuffix">
    <vt:lpwstr>07-q0-00</vt:lpwstr>
  </property>
  <property fmtid="{D5CDD505-2E9C-101B-9397-08002B2CF9AE}" pid="11" name="ToAsAtDate">
    <vt:lpwstr>01 Jul 2021</vt:lpwstr>
  </property>
</Properties>
</file>