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Mining Rehabilitation Fund Act 2012</w:t>
      </w:r>
    </w:p>
    <w:p>
      <w:pPr>
        <w:pStyle w:val="NameofActReg"/>
      </w:pPr>
      <w:r>
        <w:t>Mining Rehabilitation Fund Regulations 2013</w:t>
      </w:r>
    </w:p>
    <w:p>
      <w:pPr>
        <w:pStyle w:val="Heading2"/>
        <w:pageBreakBefore w:val="0"/>
        <w:spacing w:before="240"/>
      </w:pPr>
      <w:bookmarkStart w:id="1" w:name="_Toc75506674"/>
      <w:bookmarkStart w:id="2" w:name="_Toc75506714"/>
      <w:bookmarkStart w:id="3" w:name="_Toc75507198"/>
      <w:bookmarkStart w:id="4" w:name="_Toc75787998"/>
      <w:bookmarkStart w:id="5" w:name="_Toc72242301"/>
      <w:bookmarkStart w:id="6" w:name="_Toc72242526"/>
      <w:bookmarkStart w:id="7" w:name="_Toc7224568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5787999"/>
      <w:bookmarkStart w:id="10" w:name="_Toc72245684"/>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12" w:name="_Toc75788000"/>
      <w:bookmarkStart w:id="13" w:name="_Toc72245685"/>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14" w:name="_Toc75788001"/>
      <w:bookmarkStart w:id="15" w:name="_Toc72245686"/>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rPr>
          <w:ins w:id="16" w:author="Master Repository Process" w:date="2021-08-29T08:30:00Z"/>
        </w:rPr>
      </w:pPr>
      <w:ins w:id="17" w:author="Master Repository Process" w:date="2021-08-29T08:30:00Z">
        <w:r>
          <w:tab/>
        </w:r>
        <w:r>
          <w:rPr>
            <w:rStyle w:val="CharDefText"/>
          </w:rPr>
          <w:t>earthworks</w:t>
        </w:r>
        <w:r>
          <w:t xml:space="preserve"> — </w:t>
        </w:r>
      </w:ins>
    </w:p>
    <w:p>
      <w:pPr>
        <w:pStyle w:val="Defpara"/>
        <w:rPr>
          <w:ins w:id="18" w:author="Master Repository Process" w:date="2021-08-29T08:30:00Z"/>
        </w:rPr>
      </w:pPr>
      <w:ins w:id="19" w:author="Master Repository Process" w:date="2021-08-29T08:30:00Z">
        <w:r>
          <w:tab/>
          <w:t>(a)</w:t>
        </w:r>
        <w:r>
          <w:tab/>
          <w:t>means any operations to move or shape land; and</w:t>
        </w:r>
      </w:ins>
    </w:p>
    <w:p>
      <w:pPr>
        <w:pStyle w:val="Defpara"/>
        <w:rPr>
          <w:ins w:id="20" w:author="Master Repository Process" w:date="2021-08-29T08:30:00Z"/>
        </w:rPr>
      </w:pPr>
      <w:ins w:id="21" w:author="Master Repository Process" w:date="2021-08-29T08:30:00Z">
        <w:r>
          <w:tab/>
          <w:t>(b)</w:t>
        </w:r>
        <w:r>
          <w:tab/>
          <w:t xml:space="preserve">includes the following — </w:t>
        </w:r>
      </w:ins>
    </w:p>
    <w:p>
      <w:pPr>
        <w:pStyle w:val="Defsubpara"/>
        <w:rPr>
          <w:ins w:id="22" w:author="Master Repository Process" w:date="2021-08-29T08:30:00Z"/>
        </w:rPr>
      </w:pPr>
      <w:ins w:id="23" w:author="Master Repository Process" w:date="2021-08-29T08:30:00Z">
        <w:r>
          <w:tab/>
          <w:t>(i)</w:t>
        </w:r>
        <w:r>
          <w:tab/>
          <w:t>excavating or filling;</w:t>
        </w:r>
      </w:ins>
    </w:p>
    <w:p>
      <w:pPr>
        <w:pStyle w:val="Defsubpara"/>
        <w:rPr>
          <w:ins w:id="24" w:author="Master Repository Process" w:date="2021-08-29T08:30:00Z"/>
        </w:rPr>
      </w:pPr>
      <w:ins w:id="25" w:author="Master Repository Process" w:date="2021-08-29T08:30:00Z">
        <w:r>
          <w:tab/>
          <w:t>(ii)</w:t>
        </w:r>
        <w:r>
          <w:tab/>
          <w:t>forming embankments or slopes;</w:t>
        </w:r>
      </w:ins>
    </w:p>
    <w:p>
      <w:pPr>
        <w:pStyle w:val="Defsubpara"/>
        <w:rPr>
          <w:ins w:id="26" w:author="Master Repository Process" w:date="2021-08-29T08:30:00Z"/>
        </w:rPr>
      </w:pPr>
      <w:ins w:id="27" w:author="Master Repository Process" w:date="2021-08-29T08:30:00Z">
        <w:r>
          <w:tab/>
          <w:t>(iii)</w:t>
        </w:r>
        <w:r>
          <w:tab/>
          <w:t>operations to control wind or water erosion of land;</w:t>
        </w:r>
      </w:ins>
    </w:p>
    <w:p>
      <w:pPr>
        <w:pStyle w:val="Defsubpara"/>
        <w:rPr>
          <w:ins w:id="28" w:author="Master Repository Process" w:date="2021-08-29T08:30:00Z"/>
        </w:rPr>
      </w:pPr>
      <w:ins w:id="29" w:author="Master Repository Process" w:date="2021-08-29T08:30:00Z">
        <w:r>
          <w:tab/>
          <w:t>(iv)</w:t>
        </w:r>
        <w:r>
          <w:tab/>
          <w:t>battering, contouring, reshaping, ripping, capping or rock armouring land;</w:t>
        </w:r>
      </w:ins>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rPr>
          <w:ins w:id="30" w:author="Master Repository Process" w:date="2021-08-29T08:30:00Z"/>
        </w:rPr>
      </w:pPr>
      <w:ins w:id="31" w:author="Master Repository Process" w:date="2021-08-29T08:30:00Z">
        <w:r>
          <w:tab/>
        </w:r>
        <w:r>
          <w:rPr>
            <w:rStyle w:val="CharDefText"/>
          </w:rPr>
          <w:t>minerals</w:t>
        </w:r>
        <w:r>
          <w:rPr>
            <w:rStyle w:val="CharDefText"/>
          </w:rPr>
          <w:noBreakHyphen/>
          <w:t>in</w:t>
        </w:r>
        <w:r>
          <w:rPr>
            <w:rStyle w:val="CharDefText"/>
          </w:rPr>
          <w:noBreakHyphen/>
          <w:t>brine</w:t>
        </w:r>
        <w:r>
          <w:t xml:space="preserve"> means potash, halite or magnesium salt that is dissolved in brine;</w:t>
        </w:r>
      </w:ins>
    </w:p>
    <w:p>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Footnotesection"/>
        <w:rPr>
          <w:ins w:id="32" w:author="Master Repository Process" w:date="2021-08-29T08:30:00Z"/>
        </w:rPr>
      </w:pPr>
      <w:ins w:id="33" w:author="Master Repository Process" w:date="2021-08-29T08:30:00Z">
        <w:r>
          <w:tab/>
          <w:t>[Regulation 3 amended: SL 2021/63 r. 4.]</w:t>
        </w:r>
      </w:ins>
    </w:p>
    <w:p>
      <w:pPr>
        <w:pStyle w:val="Heading2"/>
      </w:pPr>
      <w:bookmarkStart w:id="34" w:name="_Toc75506678"/>
      <w:bookmarkStart w:id="35" w:name="_Toc75506718"/>
      <w:bookmarkStart w:id="36" w:name="_Toc75507202"/>
      <w:bookmarkStart w:id="37" w:name="_Toc75788002"/>
      <w:bookmarkStart w:id="38" w:name="_Toc72242305"/>
      <w:bookmarkStart w:id="39" w:name="_Toc72242530"/>
      <w:bookmarkStart w:id="40" w:name="_Toc72245687"/>
      <w:r>
        <w:rPr>
          <w:rStyle w:val="CharPartNo"/>
        </w:rPr>
        <w:t>Part 2</w:t>
      </w:r>
      <w:r>
        <w:rPr>
          <w:rStyle w:val="CharDivNo"/>
        </w:rPr>
        <w:t> </w:t>
      </w:r>
      <w:r>
        <w:t>—</w:t>
      </w:r>
      <w:r>
        <w:rPr>
          <w:rStyle w:val="CharDivText"/>
        </w:rPr>
        <w:t> </w:t>
      </w:r>
      <w:r>
        <w:rPr>
          <w:rStyle w:val="CharPartText"/>
        </w:rPr>
        <w:t>Mining rehabilitation levy</w:t>
      </w:r>
      <w:bookmarkEnd w:id="34"/>
      <w:bookmarkEnd w:id="35"/>
      <w:bookmarkEnd w:id="36"/>
      <w:bookmarkEnd w:id="37"/>
      <w:bookmarkEnd w:id="38"/>
      <w:bookmarkEnd w:id="39"/>
      <w:bookmarkEnd w:id="40"/>
    </w:p>
    <w:p>
      <w:pPr>
        <w:pStyle w:val="Heading5"/>
      </w:pPr>
      <w:bookmarkStart w:id="41" w:name="_Toc75788003"/>
      <w:bookmarkStart w:id="42" w:name="_Toc72245688"/>
      <w:r>
        <w:rPr>
          <w:rStyle w:val="CharSectno"/>
        </w:rPr>
        <w:t>4</w:t>
      </w:r>
      <w:r>
        <w:t>.</w:t>
      </w:r>
      <w:r>
        <w:tab/>
        <w:t>Amount of levy</w:t>
      </w:r>
      <w:bookmarkEnd w:id="41"/>
      <w:bookmarkEnd w:id="42"/>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43" w:name="_Toc75788004"/>
      <w:bookmarkStart w:id="44" w:name="_Toc72245689"/>
      <w:r>
        <w:rPr>
          <w:rStyle w:val="CharSectno"/>
        </w:rPr>
        <w:t>5</w:t>
      </w:r>
      <w:r>
        <w:t>.</w:t>
      </w:r>
      <w:r>
        <w:tab/>
        <w:t>Assessment information</w:t>
      </w:r>
      <w:bookmarkEnd w:id="43"/>
      <w:bookmarkEnd w:id="44"/>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45" w:name="_Toc75788005"/>
      <w:bookmarkStart w:id="46" w:name="_Toc72245690"/>
      <w:r>
        <w:rPr>
          <w:rStyle w:val="CharSectno"/>
        </w:rPr>
        <w:t>6</w:t>
      </w:r>
      <w:r>
        <w:t>.</w:t>
      </w:r>
      <w:r>
        <w:tab/>
        <w:t>Matters to be specified in assessment notice</w:t>
      </w:r>
      <w:bookmarkEnd w:id="45"/>
      <w:bookmarkEnd w:id="46"/>
    </w:p>
    <w:p>
      <w:pPr>
        <w:pStyle w:val="Subsection"/>
      </w:pPr>
      <w:r>
        <w:tab/>
      </w:r>
      <w:r>
        <w:tab/>
        <w:t>For the purposes of section 17(2)(d) of the Act, an assessment notice must specify details of how the levy amount was worked out under regulation 4.</w:t>
      </w:r>
    </w:p>
    <w:p>
      <w:pPr>
        <w:pStyle w:val="Heading5"/>
      </w:pPr>
      <w:bookmarkStart w:id="47" w:name="_Toc75788006"/>
      <w:bookmarkStart w:id="48" w:name="_Toc72245691"/>
      <w:r>
        <w:rPr>
          <w:rStyle w:val="CharSectno"/>
        </w:rPr>
        <w:t>7</w:t>
      </w:r>
      <w:r>
        <w:t>.</w:t>
      </w:r>
      <w:r>
        <w:tab/>
        <w:t>Matters to be specified in reassessment notice</w:t>
      </w:r>
      <w:bookmarkEnd w:id="47"/>
      <w:bookmarkEnd w:id="48"/>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49" w:name="_Toc75788007"/>
      <w:bookmarkStart w:id="50" w:name="_Toc72245692"/>
      <w:r>
        <w:rPr>
          <w:rStyle w:val="CharSectno"/>
        </w:rPr>
        <w:t>8</w:t>
      </w:r>
      <w:r>
        <w:t>.</w:t>
      </w:r>
      <w:r>
        <w:tab/>
        <w:t>Prescribed rate applying to penalty for non</w:t>
      </w:r>
      <w:r>
        <w:noBreakHyphen/>
        <w:t>payment of levy</w:t>
      </w:r>
      <w:bookmarkEnd w:id="49"/>
      <w:bookmarkEnd w:id="50"/>
    </w:p>
    <w:p>
      <w:pPr>
        <w:pStyle w:val="Subsection"/>
      </w:pPr>
      <w:r>
        <w:tab/>
      </w:r>
      <w:r>
        <w:tab/>
        <w:t>For the purposes of section 26(1) of the Act, the prescribed rate is 20% per annum.</w:t>
      </w:r>
    </w:p>
    <w:p>
      <w:pPr>
        <w:pStyle w:val="Heading2"/>
      </w:pPr>
      <w:bookmarkStart w:id="51" w:name="_Toc75506684"/>
      <w:bookmarkStart w:id="52" w:name="_Toc75506724"/>
      <w:bookmarkStart w:id="53" w:name="_Toc75507208"/>
      <w:bookmarkStart w:id="54" w:name="_Toc75788008"/>
      <w:bookmarkStart w:id="55" w:name="_Toc72242311"/>
      <w:bookmarkStart w:id="56" w:name="_Toc72242536"/>
      <w:bookmarkStart w:id="57" w:name="_Toc72245693"/>
      <w:r>
        <w:rPr>
          <w:rStyle w:val="CharPartNo"/>
        </w:rPr>
        <w:t>Part 3</w:t>
      </w:r>
      <w:r>
        <w:t> — </w:t>
      </w:r>
      <w:r>
        <w:rPr>
          <w:rStyle w:val="CharPartText"/>
        </w:rPr>
        <w:t>Mining Rehabilitation Advisory Panel</w:t>
      </w:r>
      <w:bookmarkEnd w:id="51"/>
      <w:bookmarkEnd w:id="52"/>
      <w:bookmarkEnd w:id="53"/>
      <w:bookmarkEnd w:id="54"/>
      <w:bookmarkEnd w:id="55"/>
      <w:bookmarkEnd w:id="56"/>
      <w:bookmarkEnd w:id="57"/>
    </w:p>
    <w:p>
      <w:pPr>
        <w:pStyle w:val="Heading3"/>
      </w:pPr>
      <w:bookmarkStart w:id="58" w:name="_Toc75506685"/>
      <w:bookmarkStart w:id="59" w:name="_Toc75506725"/>
      <w:bookmarkStart w:id="60" w:name="_Toc75507209"/>
      <w:bookmarkStart w:id="61" w:name="_Toc75788009"/>
      <w:bookmarkStart w:id="62" w:name="_Toc72242312"/>
      <w:bookmarkStart w:id="63" w:name="_Toc72242537"/>
      <w:bookmarkStart w:id="64" w:name="_Toc72245694"/>
      <w:r>
        <w:rPr>
          <w:rStyle w:val="CharDivNo"/>
        </w:rPr>
        <w:t>Division 1</w:t>
      </w:r>
      <w:r>
        <w:t> — </w:t>
      </w:r>
      <w:r>
        <w:rPr>
          <w:rStyle w:val="CharDivText"/>
        </w:rPr>
        <w:t>Functions of Panel</w:t>
      </w:r>
      <w:bookmarkEnd w:id="58"/>
      <w:bookmarkEnd w:id="59"/>
      <w:bookmarkEnd w:id="60"/>
      <w:bookmarkEnd w:id="61"/>
      <w:bookmarkEnd w:id="62"/>
      <w:bookmarkEnd w:id="63"/>
      <w:bookmarkEnd w:id="64"/>
    </w:p>
    <w:p>
      <w:pPr>
        <w:pStyle w:val="Heading5"/>
      </w:pPr>
      <w:bookmarkStart w:id="65" w:name="_Toc75788010"/>
      <w:bookmarkStart w:id="66" w:name="_Toc72245695"/>
      <w:r>
        <w:rPr>
          <w:rStyle w:val="CharSectno"/>
        </w:rPr>
        <w:t>9</w:t>
      </w:r>
      <w:r>
        <w:t>.</w:t>
      </w:r>
      <w:r>
        <w:tab/>
        <w:t>Matters in relation to which Panel may advise</w:t>
      </w:r>
      <w:bookmarkEnd w:id="65"/>
      <w:bookmarkEnd w:id="66"/>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67" w:name="_Toc75506687"/>
      <w:bookmarkStart w:id="68" w:name="_Toc75506727"/>
      <w:bookmarkStart w:id="69" w:name="_Toc75507211"/>
      <w:bookmarkStart w:id="70" w:name="_Toc75788011"/>
      <w:bookmarkStart w:id="71" w:name="_Toc72242314"/>
      <w:bookmarkStart w:id="72" w:name="_Toc72242539"/>
      <w:bookmarkStart w:id="73" w:name="_Toc72245696"/>
      <w:r>
        <w:rPr>
          <w:rStyle w:val="CharDivNo"/>
        </w:rPr>
        <w:t>Division 2</w:t>
      </w:r>
      <w:r>
        <w:t> — </w:t>
      </w:r>
      <w:r>
        <w:rPr>
          <w:rStyle w:val="CharDivText"/>
        </w:rPr>
        <w:t>Constitution and membership of Panel</w:t>
      </w:r>
      <w:bookmarkEnd w:id="67"/>
      <w:bookmarkEnd w:id="68"/>
      <w:bookmarkEnd w:id="69"/>
      <w:bookmarkEnd w:id="70"/>
      <w:bookmarkEnd w:id="71"/>
      <w:bookmarkEnd w:id="72"/>
      <w:bookmarkEnd w:id="73"/>
    </w:p>
    <w:p>
      <w:pPr>
        <w:pStyle w:val="Heading5"/>
      </w:pPr>
      <w:bookmarkStart w:id="74" w:name="_Toc75788012"/>
      <w:bookmarkStart w:id="75" w:name="_Toc72245697"/>
      <w:r>
        <w:rPr>
          <w:rStyle w:val="CharSectno"/>
        </w:rPr>
        <w:t>10</w:t>
      </w:r>
      <w:r>
        <w:t>.</w:t>
      </w:r>
      <w:r>
        <w:tab/>
        <w:t>Membership of Panel</w:t>
      </w:r>
      <w:bookmarkEnd w:id="74"/>
      <w:bookmarkEnd w:id="75"/>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76" w:name="_Toc75788013"/>
      <w:bookmarkStart w:id="77" w:name="_Toc72245698"/>
      <w:r>
        <w:rPr>
          <w:rStyle w:val="CharSectno"/>
        </w:rPr>
        <w:t>11</w:t>
      </w:r>
      <w:r>
        <w:t>.</w:t>
      </w:r>
      <w:r>
        <w:tab/>
        <w:t>Chairperson and deputy chairperson</w:t>
      </w:r>
      <w:bookmarkEnd w:id="76"/>
      <w:bookmarkEnd w:id="77"/>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78" w:name="_Toc75788014"/>
      <w:bookmarkStart w:id="79" w:name="_Toc72245699"/>
      <w:r>
        <w:rPr>
          <w:rStyle w:val="CharSectno"/>
        </w:rPr>
        <w:t>12</w:t>
      </w:r>
      <w:r>
        <w:t>.</w:t>
      </w:r>
      <w:r>
        <w:tab/>
        <w:t>Term of office</w:t>
      </w:r>
      <w:bookmarkEnd w:id="78"/>
      <w:bookmarkEnd w:id="79"/>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80" w:name="_Toc75788015"/>
      <w:bookmarkStart w:id="81" w:name="_Toc72245700"/>
      <w:r>
        <w:rPr>
          <w:rStyle w:val="CharSectno"/>
        </w:rPr>
        <w:t>13</w:t>
      </w:r>
      <w:r>
        <w:t>.</w:t>
      </w:r>
      <w:r>
        <w:tab/>
        <w:t>Casual vacancies</w:t>
      </w:r>
      <w:bookmarkEnd w:id="80"/>
      <w:bookmarkEnd w:id="81"/>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82" w:name="_Toc75506692"/>
      <w:bookmarkStart w:id="83" w:name="_Toc75506732"/>
      <w:bookmarkStart w:id="84" w:name="_Toc75507216"/>
      <w:bookmarkStart w:id="85" w:name="_Toc75788016"/>
      <w:bookmarkStart w:id="86" w:name="_Toc72242319"/>
      <w:bookmarkStart w:id="87" w:name="_Toc72242544"/>
      <w:bookmarkStart w:id="88" w:name="_Toc72245701"/>
      <w:r>
        <w:rPr>
          <w:rStyle w:val="CharDivNo"/>
        </w:rPr>
        <w:t>Division 3</w:t>
      </w:r>
      <w:r>
        <w:t> — </w:t>
      </w:r>
      <w:r>
        <w:rPr>
          <w:rStyle w:val="CharDivText"/>
        </w:rPr>
        <w:t>Procedure of Panel</w:t>
      </w:r>
      <w:bookmarkEnd w:id="82"/>
      <w:bookmarkEnd w:id="83"/>
      <w:bookmarkEnd w:id="84"/>
      <w:bookmarkEnd w:id="85"/>
      <w:bookmarkEnd w:id="86"/>
      <w:bookmarkEnd w:id="87"/>
      <w:bookmarkEnd w:id="88"/>
    </w:p>
    <w:p>
      <w:pPr>
        <w:pStyle w:val="Heading5"/>
      </w:pPr>
      <w:bookmarkStart w:id="89" w:name="_Toc75788017"/>
      <w:bookmarkStart w:id="90" w:name="_Toc72245702"/>
      <w:r>
        <w:rPr>
          <w:rStyle w:val="CharSectno"/>
        </w:rPr>
        <w:t>14</w:t>
      </w:r>
      <w:r>
        <w:t>.</w:t>
      </w:r>
      <w:r>
        <w:tab/>
        <w:t>Code of conduct</w:t>
      </w:r>
      <w:bookmarkEnd w:id="89"/>
      <w:bookmarkEnd w:id="90"/>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91" w:name="_Toc75788018"/>
      <w:bookmarkStart w:id="92" w:name="_Toc72245703"/>
      <w:r>
        <w:rPr>
          <w:rStyle w:val="CharSectno"/>
        </w:rPr>
        <w:t>15</w:t>
      </w:r>
      <w:r>
        <w:t>.</w:t>
      </w:r>
      <w:r>
        <w:tab/>
        <w:t>Holding meetings</w:t>
      </w:r>
      <w:bookmarkEnd w:id="91"/>
      <w:bookmarkEnd w:id="92"/>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93" w:name="_Toc75788019"/>
      <w:bookmarkStart w:id="94" w:name="_Toc72245704"/>
      <w:r>
        <w:rPr>
          <w:rStyle w:val="CharSectno"/>
        </w:rPr>
        <w:t>16</w:t>
      </w:r>
      <w:r>
        <w:t>.</w:t>
      </w:r>
      <w:r>
        <w:tab/>
        <w:t>Presiding at meetings</w:t>
      </w:r>
      <w:bookmarkEnd w:id="93"/>
      <w:bookmarkEnd w:id="94"/>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95" w:name="_Toc75788020"/>
      <w:bookmarkStart w:id="96" w:name="_Toc72245705"/>
      <w:r>
        <w:rPr>
          <w:rStyle w:val="CharSectno"/>
        </w:rPr>
        <w:t>17</w:t>
      </w:r>
      <w:r>
        <w:t>.</w:t>
      </w:r>
      <w:r>
        <w:tab/>
        <w:t>Quorum</w:t>
      </w:r>
      <w:bookmarkEnd w:id="95"/>
      <w:bookmarkEnd w:id="96"/>
    </w:p>
    <w:p>
      <w:pPr>
        <w:pStyle w:val="Subsection"/>
      </w:pPr>
      <w:r>
        <w:tab/>
      </w:r>
      <w:r>
        <w:tab/>
        <w:t>Three members of the Panel constitute a quorum.</w:t>
      </w:r>
    </w:p>
    <w:p>
      <w:pPr>
        <w:pStyle w:val="Heading5"/>
      </w:pPr>
      <w:bookmarkStart w:id="97" w:name="_Toc75788021"/>
      <w:bookmarkStart w:id="98" w:name="_Toc72245706"/>
      <w:r>
        <w:rPr>
          <w:rStyle w:val="CharSectno"/>
        </w:rPr>
        <w:t>18</w:t>
      </w:r>
      <w:r>
        <w:t>.</w:t>
      </w:r>
      <w:r>
        <w:tab/>
        <w:t>Voting</w:t>
      </w:r>
      <w:bookmarkEnd w:id="97"/>
      <w:bookmarkEnd w:id="98"/>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99" w:name="_Toc75788022"/>
      <w:bookmarkStart w:id="100" w:name="_Toc72245707"/>
      <w:r>
        <w:rPr>
          <w:rStyle w:val="CharSectno"/>
        </w:rPr>
        <w:t>19</w:t>
      </w:r>
      <w:r>
        <w:t>.</w:t>
      </w:r>
      <w:r>
        <w:tab/>
        <w:t>Procedure at meetings</w:t>
      </w:r>
      <w:bookmarkEnd w:id="99"/>
      <w:bookmarkEnd w:id="100"/>
    </w:p>
    <w:p>
      <w:pPr>
        <w:pStyle w:val="Subsection"/>
      </w:pPr>
      <w:r>
        <w:tab/>
      </w:r>
      <w:r>
        <w:tab/>
        <w:t>The Panel may determine its own meeting procedures to the extent that they are not fixed by these regulations.</w:t>
      </w:r>
    </w:p>
    <w:p>
      <w:pPr>
        <w:pStyle w:val="Heading2"/>
      </w:pPr>
      <w:bookmarkStart w:id="101" w:name="_Toc75506699"/>
      <w:bookmarkStart w:id="102" w:name="_Toc75506739"/>
      <w:bookmarkStart w:id="103" w:name="_Toc75507223"/>
      <w:bookmarkStart w:id="104" w:name="_Toc75788023"/>
      <w:bookmarkStart w:id="105" w:name="_Toc72242326"/>
      <w:bookmarkStart w:id="106" w:name="_Toc72242551"/>
      <w:bookmarkStart w:id="107" w:name="_Toc72245708"/>
      <w:r>
        <w:rPr>
          <w:rStyle w:val="CharPartNo"/>
        </w:rPr>
        <w:t>Part 4</w:t>
      </w:r>
      <w:r>
        <w:rPr>
          <w:rStyle w:val="CharDivNo"/>
        </w:rPr>
        <w:t> </w:t>
      </w:r>
      <w:r>
        <w:t>—</w:t>
      </w:r>
      <w:r>
        <w:rPr>
          <w:rStyle w:val="CharDivText"/>
        </w:rPr>
        <w:t> </w:t>
      </w:r>
      <w:r>
        <w:rPr>
          <w:rStyle w:val="CharPartText"/>
        </w:rPr>
        <w:t>Infringement notices</w:t>
      </w:r>
      <w:bookmarkEnd w:id="101"/>
      <w:bookmarkEnd w:id="102"/>
      <w:bookmarkEnd w:id="103"/>
      <w:bookmarkEnd w:id="104"/>
      <w:bookmarkEnd w:id="105"/>
      <w:bookmarkEnd w:id="106"/>
      <w:bookmarkEnd w:id="107"/>
    </w:p>
    <w:p>
      <w:pPr>
        <w:pStyle w:val="Footnoteheading"/>
      </w:pPr>
      <w:r>
        <w:tab/>
        <w:t>[Heading inserted: Gazette 24 Apr 2014 p. 1148.]</w:t>
      </w:r>
    </w:p>
    <w:p>
      <w:pPr>
        <w:pStyle w:val="Heading5"/>
      </w:pPr>
      <w:bookmarkStart w:id="108" w:name="_Toc75788024"/>
      <w:bookmarkStart w:id="109" w:name="_Toc72245709"/>
      <w:r>
        <w:rPr>
          <w:rStyle w:val="CharSectno"/>
        </w:rPr>
        <w:t>20</w:t>
      </w:r>
      <w:r>
        <w:t>.</w:t>
      </w:r>
      <w:r>
        <w:tab/>
        <w:t>Prescribed offence and modified penalty</w:t>
      </w:r>
      <w:bookmarkEnd w:id="108"/>
      <w:bookmarkEnd w:id="109"/>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110" w:name="_Toc75788025"/>
      <w:bookmarkStart w:id="111" w:name="_Toc72245710"/>
      <w:r>
        <w:rPr>
          <w:rStyle w:val="CharSectno"/>
        </w:rPr>
        <w:t>21</w:t>
      </w:r>
      <w:r>
        <w:t>.</w:t>
      </w:r>
      <w:r>
        <w:tab/>
        <w:t>Authorised officers and approved officers</w:t>
      </w:r>
      <w:bookmarkEnd w:id="110"/>
      <w:bookmarkEnd w:id="111"/>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112" w:name="_Toc75788026"/>
      <w:bookmarkStart w:id="113" w:name="_Toc72245711"/>
      <w:r>
        <w:rPr>
          <w:rStyle w:val="CharSectno"/>
        </w:rPr>
        <w:t>22</w:t>
      </w:r>
      <w:r>
        <w:t>.</w:t>
      </w:r>
      <w:r>
        <w:tab/>
        <w:t>Forms</w:t>
      </w:r>
      <w:bookmarkEnd w:id="112"/>
      <w:bookmarkEnd w:id="113"/>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4" w:name="_Toc75506703"/>
      <w:bookmarkStart w:id="115" w:name="_Toc75506743"/>
      <w:bookmarkStart w:id="116" w:name="_Toc75507227"/>
      <w:bookmarkStart w:id="117" w:name="_Toc75788027"/>
      <w:bookmarkStart w:id="118" w:name="_Toc72242330"/>
      <w:bookmarkStart w:id="119" w:name="_Toc72242555"/>
      <w:bookmarkStart w:id="120" w:name="_Toc72245712"/>
      <w:r>
        <w:rPr>
          <w:rStyle w:val="CharSchNo"/>
        </w:rPr>
        <w:t>Schedule 1</w:t>
      </w:r>
      <w:r>
        <w:rPr>
          <w:rStyle w:val="CharSDivNo"/>
          <w:sz w:val="28"/>
        </w:rPr>
        <w:t> </w:t>
      </w:r>
      <w:r>
        <w:t>—</w:t>
      </w:r>
      <w:r>
        <w:rPr>
          <w:rStyle w:val="CharSDivText"/>
          <w:sz w:val="28"/>
        </w:rPr>
        <w:t> </w:t>
      </w:r>
      <w:r>
        <w:rPr>
          <w:rStyle w:val="CharSchText"/>
        </w:rPr>
        <w:t>Rehabilitation liability categories and unit rates</w:t>
      </w:r>
      <w:bookmarkEnd w:id="114"/>
      <w:bookmarkEnd w:id="115"/>
      <w:bookmarkEnd w:id="116"/>
      <w:bookmarkEnd w:id="117"/>
      <w:bookmarkEnd w:id="118"/>
      <w:bookmarkEnd w:id="119"/>
      <w:bookmarkEnd w:id="120"/>
    </w:p>
    <w:p>
      <w:pPr>
        <w:pStyle w:val="yShoulderClause"/>
      </w:pPr>
      <w:r>
        <w:t>[r. 3 and 4(4)]</w:t>
      </w:r>
    </w:p>
    <w:p>
      <w:pPr>
        <w:pStyle w:val="yHeading5"/>
      </w:pPr>
      <w:bookmarkStart w:id="121" w:name="_Toc75788028"/>
      <w:bookmarkStart w:id="122" w:name="_Toc72245713"/>
      <w:r>
        <w:rPr>
          <w:rStyle w:val="CharSClsNo"/>
        </w:rPr>
        <w:t>1</w:t>
      </w:r>
      <w:r>
        <w:t>.</w:t>
      </w:r>
      <w:r>
        <w:tab/>
        <w:t>Rehabilitation liability categories and unit rates</w:t>
      </w:r>
      <w:bookmarkEnd w:id="121"/>
      <w:bookmarkEnd w:id="122"/>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del w:id="123" w:author="Master Repository Process" w:date="2021-08-29T08:30:00Z">
        <w:r>
          <w:delText>.</w:delText>
        </w:r>
      </w:del>
      <w:ins w:id="124" w:author="Master Repository Process" w:date="2021-08-29T08:30:00Z">
        <w:r>
          <w:t>; and</w:t>
        </w:r>
      </w:ins>
    </w:p>
    <w:p>
      <w:pPr>
        <w:pStyle w:val="yIndenta"/>
        <w:rPr>
          <w:ins w:id="125" w:author="Master Repository Process" w:date="2021-08-29T08:30:00Z"/>
        </w:rPr>
      </w:pPr>
      <w:ins w:id="126" w:author="Master Repository Process" w:date="2021-08-29T08:30:00Z">
        <w:r>
          <w:tab/>
          <w:t>(d)</w:t>
        </w:r>
        <w:r>
          <w:tab/>
          <w:t>whether an evaporation pond or halite/salt stockpile is on</w:t>
        </w:r>
        <w:r>
          <w:noBreakHyphen/>
          <w:t>playa or off</w:t>
        </w:r>
        <w:r>
          <w:noBreakHyphen/>
          <w:t>playa is determined under clause 7.</w:t>
        </w:r>
      </w:ins>
    </w:p>
    <w:p>
      <w:pPr>
        <w:pStyle w:val="ySubsection"/>
        <w:rPr>
          <w:ins w:id="127" w:author="Master Repository Process" w:date="2021-08-29T08:30:00Z"/>
        </w:rPr>
      </w:pPr>
      <w:ins w:id="128" w:author="Master Repository Process" w:date="2021-08-29T08:30:00Z">
        <w:r>
          <w:tab/>
          <w:t>(5)</w:t>
        </w:r>
        <w:r>
          <w:tab/>
          <w:t>For the purposes of subclause (1), the land on which an evaporation pond or minerals</w:t>
        </w:r>
        <w:r>
          <w:noBreakHyphen/>
          <w:t>in</w:t>
        </w:r>
        <w:r>
          <w:noBreakHyphen/>
          <w:t>brine abstraction trench is considered to be situated is determined under clause 6.</w:t>
        </w:r>
      </w:ins>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ins w:id="129" w:author="Master Repository Process" w:date="2021-08-29T08:30:00Z">
              <w:r>
                <w:rPr>
                  <w:sz w:val="20"/>
                </w:rPr>
                <w:t xml:space="preserve"> not associated with minerals</w:t>
              </w:r>
              <w:r>
                <w:rPr>
                  <w:sz w:val="20"/>
                </w:rPr>
                <w:noBreakHyphen/>
                <w:t>in</w:t>
              </w:r>
              <w:r>
                <w:rPr>
                  <w:sz w:val="20"/>
                </w:rPr>
                <w:noBreakHyphen/>
                <w:t>brine extraction</w:t>
              </w:r>
            </w:ins>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r>
        <w:trPr>
          <w:ins w:id="130" w:author="Master Repository Process" w:date="2021-08-29T08:30:00Z"/>
        </w:trP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ins w:id="131" w:author="Master Repository Process" w:date="2021-08-29T08:30:00Z"/>
                <w:sz w:val="20"/>
              </w:rPr>
            </w:pPr>
            <w:ins w:id="132" w:author="Master Repository Process" w:date="2021-08-29T08:30:00Z">
              <w:r>
                <w:rPr>
                  <w:sz w:val="20"/>
                </w:rPr>
                <w:t>6.</w:t>
              </w:r>
            </w:ins>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ins w:id="133" w:author="Master Repository Process" w:date="2021-08-29T08:30:00Z"/>
                <w:sz w:val="20"/>
              </w:rPr>
            </w:pPr>
            <w:ins w:id="134" w:author="Master Repository Process" w:date="2021-08-29T08:30:00Z">
              <w:r>
                <w:rPr>
                  <w:sz w:val="20"/>
                </w:rPr>
                <w:t>Minerals</w:t>
              </w:r>
              <w:r>
                <w:rPr>
                  <w:sz w:val="20"/>
                </w:rPr>
                <w:noBreakHyphen/>
                <w:t>in</w:t>
              </w:r>
              <w:r>
                <w:rPr>
                  <w:sz w:val="20"/>
                </w:rPr>
                <w:noBreakHyphen/>
                <w:t>brine abstraction trench</w:t>
              </w:r>
            </w:ins>
          </w:p>
          <w:p>
            <w:pPr>
              <w:pStyle w:val="yTableNAm"/>
              <w:tabs>
                <w:tab w:val="clear" w:pos="567"/>
                <w:tab w:val="left" w:pos="317"/>
              </w:tabs>
              <w:spacing w:after="60"/>
              <w:rPr>
                <w:ins w:id="135" w:author="Master Repository Process" w:date="2021-08-29T08:30:00Z"/>
                <w:sz w:val="20"/>
              </w:rPr>
            </w:pPr>
            <w:ins w:id="136" w:author="Master Repository Process" w:date="2021-08-29T08:30:00Z">
              <w:r>
                <w:rPr>
                  <w:sz w:val="20"/>
                </w:rPr>
                <w:t>Evaporation pond (off</w:t>
              </w:r>
              <w:r>
                <w:rPr>
                  <w:sz w:val="20"/>
                </w:rPr>
                <w:noBreakHyphen/>
                <w:t>playa) associated with minerals</w:t>
              </w:r>
              <w:r>
                <w:rPr>
                  <w:sz w:val="20"/>
                </w:rPr>
                <w:noBreakHyphen/>
                <w:t>in</w:t>
              </w:r>
              <w:r>
                <w:rPr>
                  <w:sz w:val="20"/>
                </w:rPr>
                <w:noBreakHyphen/>
                <w:t>brine extraction</w:t>
              </w:r>
            </w:ins>
          </w:p>
          <w:p>
            <w:pPr>
              <w:pStyle w:val="yTableNAm"/>
              <w:tabs>
                <w:tab w:val="clear" w:pos="567"/>
                <w:tab w:val="left" w:pos="317"/>
              </w:tabs>
              <w:spacing w:after="60"/>
              <w:rPr>
                <w:ins w:id="137" w:author="Master Repository Process" w:date="2021-08-29T08:30:00Z"/>
                <w:sz w:val="20"/>
              </w:rPr>
            </w:pPr>
            <w:ins w:id="138" w:author="Master Repository Process" w:date="2021-08-29T08:30:00Z">
              <w:r>
                <w:rPr>
                  <w:sz w:val="20"/>
                </w:rPr>
                <w:t>Evaporation pond (on</w:t>
              </w:r>
              <w:r>
                <w:rPr>
                  <w:sz w:val="20"/>
                </w:rPr>
                <w:noBreakHyphen/>
                <w:t>playa) associated with minerals</w:t>
              </w:r>
              <w:r>
                <w:rPr>
                  <w:sz w:val="20"/>
                </w:rPr>
                <w:noBreakHyphen/>
                <w:t>in</w:t>
              </w:r>
              <w:r>
                <w:rPr>
                  <w:sz w:val="20"/>
                </w:rPr>
                <w:noBreakHyphen/>
                <w:t>brine extraction</w:t>
              </w:r>
            </w:ins>
          </w:p>
          <w:p>
            <w:pPr>
              <w:pStyle w:val="yTableNAm"/>
              <w:tabs>
                <w:tab w:val="clear" w:pos="567"/>
                <w:tab w:val="left" w:pos="317"/>
              </w:tabs>
              <w:spacing w:after="60"/>
              <w:rPr>
                <w:ins w:id="139" w:author="Master Repository Process" w:date="2021-08-29T08:30:00Z"/>
                <w:sz w:val="20"/>
              </w:rPr>
            </w:pPr>
            <w:ins w:id="140" w:author="Master Repository Process" w:date="2021-08-29T08:30:00Z">
              <w:r>
                <w:rPr>
                  <w:sz w:val="20"/>
                </w:rPr>
                <w:t>Halite/salt stockpile (off</w:t>
              </w:r>
              <w:r>
                <w:rPr>
                  <w:sz w:val="20"/>
                </w:rPr>
                <w:noBreakHyphen/>
                <w:t>playa) associated with minerals</w:t>
              </w:r>
              <w:r>
                <w:rPr>
                  <w:sz w:val="20"/>
                </w:rPr>
                <w:noBreakHyphen/>
                <w:t>in</w:t>
              </w:r>
              <w:r>
                <w:rPr>
                  <w:sz w:val="20"/>
                </w:rPr>
                <w:noBreakHyphen/>
                <w:t>brine extraction</w:t>
              </w:r>
            </w:ins>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ins w:id="141" w:author="Master Repository Process" w:date="2021-08-29T08:30:00Z"/>
                <w:sz w:val="20"/>
              </w:rPr>
            </w:pPr>
            <w:ins w:id="142" w:author="Master Repository Process" w:date="2021-08-29T08:30:00Z">
              <w:r>
                <w:rPr>
                  <w:sz w:val="20"/>
                </w:rPr>
                <w:t>F</w:t>
              </w:r>
            </w:ins>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ins w:id="143" w:author="Master Repository Process" w:date="2021-08-29T08:30:00Z"/>
                <w:sz w:val="20"/>
              </w:rPr>
            </w:pPr>
            <w:ins w:id="144" w:author="Master Repository Process" w:date="2021-08-29T08:30:00Z">
              <w:r>
                <w:rPr>
                  <w:sz w:val="20"/>
                </w:rPr>
                <w:t>$20 000</w:t>
              </w:r>
            </w:ins>
          </w:p>
        </w:tc>
      </w:tr>
      <w:tr>
        <w:trPr>
          <w:ins w:id="145" w:author="Master Repository Process" w:date="2021-08-29T08:30:00Z"/>
        </w:trPr>
        <w:tc>
          <w:tcPr>
            <w:tcW w:w="709" w:type="dxa"/>
            <w:tcBorders>
              <w:top w:val="single" w:sz="4" w:space="0" w:color="auto"/>
              <w:left w:val="single" w:sz="4" w:space="0" w:color="auto"/>
              <w:bottom w:val="single" w:sz="4" w:space="0" w:color="auto"/>
              <w:right w:val="single" w:sz="4" w:space="0" w:color="auto"/>
            </w:tcBorders>
          </w:tcPr>
          <w:p>
            <w:pPr>
              <w:pStyle w:val="yTableNAm"/>
              <w:spacing w:after="60"/>
              <w:jc w:val="center"/>
              <w:rPr>
                <w:ins w:id="146" w:author="Master Repository Process" w:date="2021-08-29T08:30:00Z"/>
                <w:sz w:val="20"/>
              </w:rPr>
            </w:pPr>
            <w:ins w:id="147" w:author="Master Repository Process" w:date="2021-08-29T08:30:00Z">
              <w:r>
                <w:rPr>
                  <w:sz w:val="20"/>
                </w:rPr>
                <w:t>7.</w:t>
              </w:r>
            </w:ins>
          </w:p>
        </w:tc>
        <w:tc>
          <w:tcPr>
            <w:tcW w:w="3118"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317"/>
              </w:tabs>
              <w:spacing w:after="60"/>
              <w:rPr>
                <w:ins w:id="148" w:author="Master Repository Process" w:date="2021-08-29T08:30:00Z"/>
                <w:sz w:val="20"/>
              </w:rPr>
            </w:pPr>
            <w:ins w:id="149" w:author="Master Repository Process" w:date="2021-08-29T08:30:00Z">
              <w:r>
                <w:rPr>
                  <w:sz w:val="20"/>
                </w:rPr>
                <w:t>Halite/salt stockpile (on</w:t>
              </w:r>
              <w:r>
                <w:rPr>
                  <w:sz w:val="20"/>
                </w:rPr>
                <w:noBreakHyphen/>
                <w:t>playa) associated with minerals</w:t>
              </w:r>
              <w:r>
                <w:rPr>
                  <w:sz w:val="20"/>
                </w:rPr>
                <w:noBreakHyphen/>
                <w:t>in</w:t>
              </w:r>
              <w:r>
                <w:rPr>
                  <w:sz w:val="20"/>
                </w:rPr>
                <w:noBreakHyphen/>
                <w:t>brine extraction</w:t>
              </w:r>
            </w:ins>
          </w:p>
        </w:tc>
        <w:tc>
          <w:tcPr>
            <w:tcW w:w="1843" w:type="dxa"/>
            <w:tcBorders>
              <w:top w:val="single" w:sz="4" w:space="0" w:color="auto"/>
              <w:left w:val="single" w:sz="4" w:space="0" w:color="auto"/>
              <w:bottom w:val="single" w:sz="4" w:space="0" w:color="auto"/>
              <w:right w:val="single" w:sz="4" w:space="0" w:color="auto"/>
            </w:tcBorders>
          </w:tcPr>
          <w:p>
            <w:pPr>
              <w:pStyle w:val="yTableNAm"/>
              <w:spacing w:after="60"/>
              <w:jc w:val="center"/>
              <w:rPr>
                <w:ins w:id="150" w:author="Master Repository Process" w:date="2021-08-29T08:30:00Z"/>
                <w:sz w:val="20"/>
              </w:rPr>
            </w:pPr>
            <w:ins w:id="151" w:author="Master Repository Process" w:date="2021-08-29T08:30:00Z">
              <w:r>
                <w:rPr>
                  <w:sz w:val="20"/>
                </w:rPr>
                <w:t>G</w:t>
              </w:r>
            </w:ins>
          </w:p>
        </w:tc>
        <w:tc>
          <w:tcPr>
            <w:tcW w:w="1134" w:type="dxa"/>
            <w:tcBorders>
              <w:top w:val="single" w:sz="4" w:space="0" w:color="auto"/>
              <w:left w:val="single" w:sz="4" w:space="0" w:color="auto"/>
              <w:bottom w:val="single" w:sz="4" w:space="0" w:color="auto"/>
              <w:right w:val="single" w:sz="4" w:space="0" w:color="auto"/>
            </w:tcBorders>
          </w:tcPr>
          <w:p>
            <w:pPr>
              <w:pStyle w:val="yTableNAm"/>
              <w:spacing w:after="60"/>
              <w:jc w:val="center"/>
              <w:rPr>
                <w:ins w:id="152" w:author="Master Repository Process" w:date="2021-08-29T08:30:00Z"/>
                <w:sz w:val="20"/>
              </w:rPr>
            </w:pPr>
            <w:ins w:id="153" w:author="Master Repository Process" w:date="2021-08-29T08:30:00Z">
              <w:r>
                <w:rPr>
                  <w:sz w:val="20"/>
                </w:rPr>
                <w:t>$10 000</w:t>
              </w:r>
            </w:ins>
          </w:p>
        </w:tc>
      </w:tr>
    </w:tbl>
    <w:p>
      <w:pPr>
        <w:pStyle w:val="yFootnotesection"/>
        <w:rPr>
          <w:ins w:id="154" w:author="Master Repository Process" w:date="2021-08-29T08:30:00Z"/>
        </w:rPr>
      </w:pPr>
      <w:ins w:id="155" w:author="Master Repository Process" w:date="2021-08-29T08:30:00Z">
        <w:r>
          <w:tab/>
          <w:t>[Clause 1 amended: SL 2021/63 r. 5.]</w:t>
        </w:r>
      </w:ins>
    </w:p>
    <w:p>
      <w:pPr>
        <w:pStyle w:val="yHeading5"/>
      </w:pPr>
      <w:bookmarkStart w:id="156" w:name="_Toc75788029"/>
      <w:bookmarkStart w:id="157" w:name="_Toc72245714"/>
      <w:r>
        <w:rPr>
          <w:rStyle w:val="CharSClsNo"/>
        </w:rPr>
        <w:t>2</w:t>
      </w:r>
      <w:r>
        <w:t>.</w:t>
      </w:r>
      <w:r>
        <w:tab/>
        <w:t>Land used under previous mining authorisation</w:t>
      </w:r>
      <w:bookmarkEnd w:id="156"/>
      <w:bookmarkEnd w:id="157"/>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keepNext/>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158" w:name="_Toc75788030"/>
      <w:bookmarkStart w:id="159" w:name="_Toc72245715"/>
      <w:r>
        <w:rPr>
          <w:rStyle w:val="CharSClsNo"/>
        </w:rPr>
        <w:t>3</w:t>
      </w:r>
      <w:r>
        <w:t>.</w:t>
      </w:r>
      <w:r>
        <w:tab/>
        <w:t>Classes of tailings or residue storage facility</w:t>
      </w:r>
      <w:bookmarkEnd w:id="158"/>
      <w:bookmarkEnd w:id="159"/>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spacing w:before="200"/>
      </w:pPr>
      <w:bookmarkStart w:id="160" w:name="_Toc75788031"/>
      <w:bookmarkStart w:id="161" w:name="_Toc72245716"/>
      <w:r>
        <w:rPr>
          <w:rStyle w:val="CharSClsNo"/>
        </w:rPr>
        <w:t>4</w:t>
      </w:r>
      <w:r>
        <w:t>.</w:t>
      </w:r>
      <w:r>
        <w:tab/>
        <w:t>Classes of waste dump or overburden stockpile</w:t>
      </w:r>
      <w:bookmarkEnd w:id="160"/>
      <w:bookmarkEnd w:id="161"/>
    </w:p>
    <w:p>
      <w:pPr>
        <w:pStyle w:val="Subsection"/>
        <w:spacing w:before="120"/>
        <w:rPr>
          <w:sz w:val="22"/>
          <w:szCs w:val="22"/>
        </w:rPr>
      </w:pPr>
      <w:r>
        <w:rPr>
          <w:sz w:val="22"/>
          <w:szCs w:val="22"/>
        </w:rPr>
        <w:tab/>
      </w:r>
      <w:r>
        <w:rPr>
          <w:sz w:val="22"/>
          <w:szCs w:val="22"/>
        </w:rPr>
        <w:tab/>
        <w:t>A waste dump</w:t>
      </w:r>
      <w:del w:id="162" w:author="Master Repository Process" w:date="2021-08-29T08:30:00Z">
        <w:r>
          <w:rPr>
            <w:sz w:val="22"/>
            <w:szCs w:val="22"/>
          </w:rPr>
          <w:delText>,</w:delText>
        </w:r>
      </w:del>
      <w:r>
        <w:rPr>
          <w:sz w:val="22"/>
          <w:szCs w:val="22"/>
        </w:rPr>
        <w:t xml:space="preserve"> or overburden stockpile</w:t>
      </w:r>
      <w:del w:id="163" w:author="Master Repository Process" w:date="2021-08-29T08:30:00Z">
        <w:r>
          <w:rPr>
            <w:sz w:val="22"/>
            <w:szCs w:val="22"/>
          </w:rPr>
          <w:delText>,</w:delText>
        </w:r>
      </w:del>
      <w:ins w:id="164" w:author="Master Repository Process" w:date="2021-08-29T08:30:00Z">
        <w:r>
          <w:rPr>
            <w:sz w:val="22"/>
            <w:szCs w:val="22"/>
          </w:rPr>
          <w:t xml:space="preserve"> (other than a halite/salt stockpile associated with minerals</w:t>
        </w:r>
        <w:r>
          <w:rPr>
            <w:sz w:val="22"/>
            <w:szCs w:val="22"/>
          </w:rPr>
          <w:noBreakHyphen/>
          <w:t>in</w:t>
        </w:r>
        <w:r>
          <w:rPr>
            <w:sz w:val="22"/>
            <w:szCs w:val="22"/>
          </w:rPr>
          <w:noBreakHyphen/>
          <w:t>brine extraction)</w:t>
        </w:r>
      </w:ins>
      <w:r>
        <w:rPr>
          <w:sz w:val="22"/>
          <w:szCs w:val="22"/>
        </w:rPr>
        <w:t xml:space="preserve"> that meets the criteria set out in column 1 of an item in the Table is of the class specified in column 2 of that item.</w:t>
      </w:r>
    </w:p>
    <w:p>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spacing w:before="80"/>
              <w:ind w:left="318" w:hanging="318"/>
              <w:rPr>
                <w:sz w:val="20"/>
              </w:rPr>
            </w:pPr>
            <w:r>
              <w:rPr>
                <w:sz w:val="20"/>
              </w:rPr>
              <w:t>(a)</w:t>
            </w:r>
            <w:r>
              <w:rPr>
                <w:sz w:val="20"/>
              </w:rPr>
              <w:tab/>
              <w:t>its highest point is at least 15 metres high;</w:t>
            </w:r>
          </w:p>
          <w:p>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Footnotesection"/>
        <w:rPr>
          <w:ins w:id="165" w:author="Master Repository Process" w:date="2021-08-29T08:30:00Z"/>
        </w:rPr>
      </w:pPr>
      <w:ins w:id="166" w:author="Master Repository Process" w:date="2021-08-29T08:30:00Z">
        <w:r>
          <w:tab/>
          <w:t>[Clause 4 amended: SL 2021/63 r. 6.]</w:t>
        </w:r>
      </w:ins>
    </w:p>
    <w:p>
      <w:pPr>
        <w:pStyle w:val="yHeading5"/>
      </w:pPr>
      <w:bookmarkStart w:id="167" w:name="_Toc75788032"/>
      <w:bookmarkStart w:id="168" w:name="_Toc72245717"/>
      <w:r>
        <w:rPr>
          <w:rStyle w:val="CharSClsNo"/>
        </w:rPr>
        <w:t>5</w:t>
      </w:r>
      <w:r>
        <w:t>.</w:t>
      </w:r>
      <w:r>
        <w:tab/>
        <w:t>Classes of low</w:t>
      </w:r>
      <w:r>
        <w:noBreakHyphen/>
        <w:t>grade ore stockpile</w:t>
      </w:r>
      <w:bookmarkEnd w:id="167"/>
      <w:bookmarkEnd w:id="168"/>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pStyle w:val="yHeading5"/>
        <w:rPr>
          <w:ins w:id="169" w:author="Master Repository Process" w:date="2021-08-29T08:30:00Z"/>
        </w:rPr>
      </w:pPr>
      <w:bookmarkStart w:id="170" w:name="_Toc75788033"/>
      <w:ins w:id="171" w:author="Master Repository Process" w:date="2021-08-29T08:30:00Z">
        <w:r>
          <w:rPr>
            <w:rStyle w:val="CharSClsNo"/>
          </w:rPr>
          <w:t>6</w:t>
        </w:r>
        <w:r>
          <w:t>.</w:t>
        </w:r>
        <w:r>
          <w:tab/>
          <w:t>Land on which minerals</w:t>
        </w:r>
        <w:r>
          <w:noBreakHyphen/>
          <w:t>in</w:t>
        </w:r>
        <w:r>
          <w:noBreakHyphen/>
          <w:t>brine abstraction trench or evaporation pond considered to be situated</w:t>
        </w:r>
        <w:bookmarkEnd w:id="170"/>
      </w:ins>
    </w:p>
    <w:p>
      <w:pPr>
        <w:pStyle w:val="ySubsection"/>
        <w:rPr>
          <w:ins w:id="172" w:author="Master Repository Process" w:date="2021-08-29T08:30:00Z"/>
        </w:rPr>
      </w:pPr>
      <w:ins w:id="173" w:author="Master Repository Process" w:date="2021-08-29T08:30:00Z">
        <w:r>
          <w:tab/>
          <w:t>(1)</w:t>
        </w:r>
        <w:r>
          <w:tab/>
          <w:t>In determining the land on which a minerals</w:t>
        </w:r>
        <w:r>
          <w:noBreakHyphen/>
          <w:t>in</w:t>
        </w:r>
        <w:r>
          <w:noBreakHyphen/>
          <w:t xml:space="preserve">brine abstraction trench is situated, the following land is to be taken into account — </w:t>
        </w:r>
      </w:ins>
    </w:p>
    <w:p>
      <w:pPr>
        <w:pStyle w:val="yIndenta"/>
        <w:rPr>
          <w:ins w:id="174" w:author="Master Repository Process" w:date="2021-08-29T08:30:00Z"/>
        </w:rPr>
      </w:pPr>
      <w:ins w:id="175" w:author="Master Repository Process" w:date="2021-08-29T08:30:00Z">
        <w:r>
          <w:tab/>
          <w:t>(a)</w:t>
        </w:r>
        <w:r>
          <w:tab/>
          <w:t>the land on which the trench is situated;</w:t>
        </w:r>
      </w:ins>
    </w:p>
    <w:p>
      <w:pPr>
        <w:pStyle w:val="yIndenta"/>
        <w:rPr>
          <w:ins w:id="176" w:author="Master Repository Process" w:date="2021-08-29T08:30:00Z"/>
        </w:rPr>
      </w:pPr>
      <w:ins w:id="177" w:author="Master Repository Process" w:date="2021-08-29T08:30:00Z">
        <w:r>
          <w:tab/>
          <w:t>(b)</w:t>
        </w:r>
        <w:r>
          <w:tab/>
          <w:t xml:space="preserve">the land on which any embankments are situated, except to the extent that the embankments — </w:t>
        </w:r>
      </w:ins>
    </w:p>
    <w:p>
      <w:pPr>
        <w:pStyle w:val="yIndenti0"/>
        <w:rPr>
          <w:ins w:id="178" w:author="Master Repository Process" w:date="2021-08-29T08:30:00Z"/>
        </w:rPr>
      </w:pPr>
      <w:ins w:id="179" w:author="Master Repository Process" w:date="2021-08-29T08:30:00Z">
        <w:r>
          <w:tab/>
          <w:t>(i)</w:t>
        </w:r>
        <w:r>
          <w:tab/>
          <w:t>are constructed solely from material excavated from the trench; and</w:t>
        </w:r>
      </w:ins>
    </w:p>
    <w:p>
      <w:pPr>
        <w:pStyle w:val="yIndenti0"/>
        <w:rPr>
          <w:ins w:id="180" w:author="Master Repository Process" w:date="2021-08-29T08:30:00Z"/>
        </w:rPr>
      </w:pPr>
      <w:ins w:id="181" w:author="Master Repository Process" w:date="2021-08-29T08:30:00Z">
        <w:r>
          <w:tab/>
          <w:t>(ii)</w:t>
        </w:r>
        <w:r>
          <w:tab/>
          <w:t>will be used for back</w:t>
        </w:r>
        <w:r>
          <w:noBreakHyphen/>
          <w:t>filling the trench on completion.</w:t>
        </w:r>
      </w:ins>
    </w:p>
    <w:p>
      <w:pPr>
        <w:pStyle w:val="ySubsection"/>
        <w:rPr>
          <w:ins w:id="182" w:author="Master Repository Process" w:date="2021-08-29T08:30:00Z"/>
        </w:rPr>
      </w:pPr>
      <w:ins w:id="183" w:author="Master Repository Process" w:date="2021-08-29T08:30:00Z">
        <w:r>
          <w:tab/>
          <w:t>(2)</w:t>
        </w:r>
        <w:r>
          <w:tab/>
          <w:t>In determining the land on which an evaporation pond not associated with minerals</w:t>
        </w:r>
        <w:r>
          <w:noBreakHyphen/>
          <w:t>in</w:t>
        </w:r>
        <w:r>
          <w:noBreakHyphen/>
          <w:t>brine extraction is situated, the land on which the pond floor and any embankments are situated is to be taken into account.</w:t>
        </w:r>
      </w:ins>
    </w:p>
    <w:p>
      <w:pPr>
        <w:pStyle w:val="ySubsection"/>
        <w:rPr>
          <w:ins w:id="184" w:author="Master Repository Process" w:date="2021-08-29T08:30:00Z"/>
        </w:rPr>
      </w:pPr>
      <w:ins w:id="185" w:author="Master Repository Process" w:date="2021-08-29T08:30:00Z">
        <w:r>
          <w:tab/>
          <w:t>(3)</w:t>
        </w:r>
        <w:r>
          <w:tab/>
          <w:t>In determining the land on which an evaporation pond (off</w:t>
        </w:r>
        <w:r>
          <w:noBreakHyphen/>
          <w:t>playa) associated with minerals</w:t>
        </w:r>
        <w:r>
          <w:noBreakHyphen/>
          <w:t>in</w:t>
        </w:r>
        <w:r>
          <w:noBreakHyphen/>
          <w:t>brine extraction is situated, the land on which the pond floor and any embankments are situated is to be taken into account.</w:t>
        </w:r>
      </w:ins>
    </w:p>
    <w:p>
      <w:pPr>
        <w:pStyle w:val="ySubsection"/>
        <w:rPr>
          <w:ins w:id="186" w:author="Master Repository Process" w:date="2021-08-29T08:30:00Z"/>
        </w:rPr>
      </w:pPr>
      <w:ins w:id="187" w:author="Master Repository Process" w:date="2021-08-29T08:30:00Z">
        <w:r>
          <w:tab/>
          <w:t>(4)</w:t>
        </w:r>
        <w:r>
          <w:tab/>
          <w:t>In determining the land on which an evaporation pond (on</w:t>
        </w:r>
        <w:r>
          <w:noBreakHyphen/>
          <w:t>playa) associated with minerals</w:t>
        </w:r>
        <w:r>
          <w:noBreakHyphen/>
          <w:t>in</w:t>
        </w:r>
        <w:r>
          <w:noBreakHyphen/>
          <w:t xml:space="preserve">brine extraction is situated, the following land is to be taken into account — </w:t>
        </w:r>
      </w:ins>
    </w:p>
    <w:p>
      <w:pPr>
        <w:pStyle w:val="yIndenta"/>
        <w:rPr>
          <w:ins w:id="188" w:author="Master Repository Process" w:date="2021-08-29T08:30:00Z"/>
        </w:rPr>
      </w:pPr>
      <w:ins w:id="189" w:author="Master Repository Process" w:date="2021-08-29T08:30:00Z">
        <w:r>
          <w:tab/>
          <w:t>(a)</w:t>
        </w:r>
        <w:r>
          <w:tab/>
          <w:t>the land on which the pond floor is situated, but only to the extent that it is modified by earthworks;</w:t>
        </w:r>
      </w:ins>
    </w:p>
    <w:p>
      <w:pPr>
        <w:pStyle w:val="yIndenta"/>
        <w:rPr>
          <w:ins w:id="190" w:author="Master Repository Process" w:date="2021-08-29T08:30:00Z"/>
        </w:rPr>
      </w:pPr>
      <w:ins w:id="191" w:author="Master Repository Process" w:date="2021-08-29T08:30:00Z">
        <w:r>
          <w:tab/>
          <w:t>(b)</w:t>
        </w:r>
        <w:r>
          <w:tab/>
          <w:t>the land on which any embankments are situated, except to the extent that the embankments consist of natural landforms.</w:t>
        </w:r>
      </w:ins>
    </w:p>
    <w:p>
      <w:pPr>
        <w:pStyle w:val="yFootnotesection"/>
        <w:rPr>
          <w:ins w:id="192" w:author="Master Repository Process" w:date="2021-08-29T08:30:00Z"/>
        </w:rPr>
      </w:pPr>
      <w:ins w:id="193" w:author="Master Repository Process" w:date="2021-08-29T08:30:00Z">
        <w:r>
          <w:tab/>
          <w:t>[Clause 6 inserted: SL 2021/63 r. 7.]</w:t>
        </w:r>
      </w:ins>
    </w:p>
    <w:p>
      <w:pPr>
        <w:pStyle w:val="yHeading5"/>
        <w:rPr>
          <w:ins w:id="194" w:author="Master Repository Process" w:date="2021-08-29T08:30:00Z"/>
        </w:rPr>
      </w:pPr>
      <w:bookmarkStart w:id="195" w:name="_Toc75788034"/>
      <w:ins w:id="196" w:author="Master Repository Process" w:date="2021-08-29T08:30:00Z">
        <w:r>
          <w:rPr>
            <w:rStyle w:val="CharSClsNo"/>
          </w:rPr>
          <w:t>7</w:t>
        </w:r>
        <w:r>
          <w:t>.</w:t>
        </w:r>
        <w:r>
          <w:tab/>
          <w:t>On</w:t>
        </w:r>
        <w:r>
          <w:noBreakHyphen/>
          <w:t>playa and off</w:t>
        </w:r>
        <w:r>
          <w:noBreakHyphen/>
          <w:t>playa evaporation ponds and halite/salt stockpiles</w:t>
        </w:r>
        <w:bookmarkEnd w:id="195"/>
      </w:ins>
    </w:p>
    <w:p>
      <w:pPr>
        <w:pStyle w:val="ySubsection"/>
        <w:rPr>
          <w:ins w:id="197" w:author="Master Repository Process" w:date="2021-08-29T08:30:00Z"/>
        </w:rPr>
      </w:pPr>
      <w:ins w:id="198" w:author="Master Repository Process" w:date="2021-08-29T08:30:00Z">
        <w:r>
          <w:tab/>
        </w:r>
        <w:r>
          <w:tab/>
          <w:t xml:space="preserve">An evaporation pond or halite/salt stockpile is — </w:t>
        </w:r>
      </w:ins>
    </w:p>
    <w:p>
      <w:pPr>
        <w:pStyle w:val="yIndenta"/>
        <w:rPr>
          <w:ins w:id="199" w:author="Master Repository Process" w:date="2021-08-29T08:30:00Z"/>
        </w:rPr>
      </w:pPr>
      <w:ins w:id="200" w:author="Master Repository Process" w:date="2021-08-29T08:30:00Z">
        <w:r>
          <w:tab/>
          <w:t>(a)</w:t>
        </w:r>
        <w:r>
          <w:tab/>
          <w:t>on</w:t>
        </w:r>
        <w:r>
          <w:noBreakHyphen/>
          <w:t>playa to the extent that is situated within the boundary of a playa system (including a salt lake or coastal salt pan playa system); and</w:t>
        </w:r>
      </w:ins>
    </w:p>
    <w:p>
      <w:pPr>
        <w:pStyle w:val="yIndenta"/>
        <w:rPr>
          <w:ins w:id="201" w:author="Master Repository Process" w:date="2021-08-29T08:30:00Z"/>
        </w:rPr>
      </w:pPr>
      <w:ins w:id="202" w:author="Master Repository Process" w:date="2021-08-29T08:30:00Z">
        <w:r>
          <w:tab/>
          <w:t>(b)</w:t>
        </w:r>
        <w:r>
          <w:tab/>
          <w:t>off</w:t>
        </w:r>
        <w:r>
          <w:noBreakHyphen/>
          <w:t>playa to the extent that is not situated within the boundary of a playa system (including a salt lake or coastal salt pan playa system).</w:t>
        </w:r>
      </w:ins>
    </w:p>
    <w:p>
      <w:pPr>
        <w:pStyle w:val="yFootnotesection"/>
        <w:rPr>
          <w:ins w:id="203" w:author="Master Repository Process" w:date="2021-08-29T08:30:00Z"/>
        </w:rPr>
      </w:pPr>
      <w:ins w:id="204" w:author="Master Repository Process" w:date="2021-08-29T08:30:00Z">
        <w:r>
          <w:tab/>
          <w:t>[Clause 7 inserted: SL 2021/63 r. 7.]</w:t>
        </w:r>
      </w:ins>
    </w:p>
    <w:p>
      <w:pPr>
        <w:rPr>
          <w:i/>
          <w:snapToGrid w:val="0"/>
          <w:sz w:val="22"/>
        </w:rPr>
        <w:sectPr>
          <w:headerReference w:type="even" r:id="rId21"/>
          <w:headerReference w:type="default" r:id="rId22"/>
          <w:headerReference w:type="firs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06" w:name="_Toc75506709"/>
      <w:bookmarkStart w:id="207" w:name="_Toc75506749"/>
      <w:bookmarkStart w:id="208" w:name="_Toc75507235"/>
      <w:bookmarkStart w:id="209" w:name="_Toc75788035"/>
      <w:bookmarkStart w:id="210" w:name="_Toc72242336"/>
      <w:bookmarkStart w:id="211" w:name="_Toc72242561"/>
      <w:bookmarkStart w:id="212" w:name="_Toc72245718"/>
      <w:r>
        <w:rPr>
          <w:rStyle w:val="CharSchNo"/>
        </w:rPr>
        <w:t>Schedule 2</w:t>
      </w:r>
      <w:r>
        <w:t> — </w:t>
      </w:r>
      <w:r>
        <w:rPr>
          <w:rStyle w:val="CharSchText"/>
        </w:rPr>
        <w:t>Infringement notice forms</w:t>
      </w:r>
      <w:bookmarkEnd w:id="206"/>
      <w:bookmarkEnd w:id="207"/>
      <w:bookmarkEnd w:id="208"/>
      <w:bookmarkEnd w:id="209"/>
      <w:bookmarkEnd w:id="210"/>
      <w:bookmarkEnd w:id="211"/>
      <w:bookmarkEnd w:id="212"/>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 amended: SL 2020/170 r. 4.]</w:t>
      </w:r>
    </w:p>
    <w:p>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p>
    <w:p>
      <w:pPr>
        <w:pStyle w:val="nHeading2"/>
      </w:pPr>
      <w:bookmarkStart w:id="213" w:name="_Toc75506710"/>
      <w:bookmarkStart w:id="214" w:name="_Toc75506750"/>
      <w:bookmarkStart w:id="215" w:name="_Toc75507236"/>
      <w:bookmarkStart w:id="216" w:name="_Toc75788036"/>
      <w:bookmarkStart w:id="217" w:name="_Toc72242337"/>
      <w:bookmarkStart w:id="218" w:name="_Toc72242562"/>
      <w:bookmarkStart w:id="219" w:name="_Toc72245719"/>
      <w:r>
        <w:t>Notes</w:t>
      </w:r>
      <w:bookmarkEnd w:id="213"/>
      <w:bookmarkEnd w:id="214"/>
      <w:bookmarkEnd w:id="215"/>
      <w:bookmarkEnd w:id="216"/>
      <w:bookmarkEnd w:id="217"/>
      <w:bookmarkEnd w:id="218"/>
      <w:bookmarkEnd w:id="219"/>
    </w:p>
    <w:p>
      <w:pPr>
        <w:pStyle w:val="nStatement"/>
      </w:pPr>
      <w:r>
        <w:t xml:space="preserve">This is a compilation of the </w:t>
      </w:r>
      <w:r>
        <w:rPr>
          <w:i/>
          <w:noProof/>
        </w:rPr>
        <w:t>Mining Rehabilitation Fund Regulations 2013</w:t>
      </w:r>
      <w:r>
        <w:t xml:space="preserve"> and includes amendments made by other written laws. For provisions that have come into operation see the compilation table. </w:t>
      </w:r>
      <w:del w:id="220" w:author="Master Repository Process" w:date="2021-08-29T08:30:00Z">
        <w:r>
          <w:delText>For provisions that have not yet come into operation see the uncommenced provisions table.</w:delText>
        </w:r>
      </w:del>
    </w:p>
    <w:p>
      <w:pPr>
        <w:pStyle w:val="nHeading3"/>
      </w:pPr>
      <w:bookmarkStart w:id="221" w:name="_Toc75788037"/>
      <w:bookmarkStart w:id="222" w:name="_Toc72245720"/>
      <w:r>
        <w:t>Compilation table</w:t>
      </w:r>
      <w:bookmarkEnd w:id="221"/>
      <w:bookmarkEnd w:id="2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nil"/>
            </w:tcBorders>
          </w:tcPr>
          <w:p>
            <w:pPr>
              <w:pStyle w:val="nTable"/>
              <w:spacing w:after="40"/>
              <w:rPr>
                <w:i/>
              </w:rPr>
            </w:pPr>
            <w:r>
              <w:rPr>
                <w:i/>
              </w:rPr>
              <w:t>Mining Rehabilitation Fund Amendment Regulations 2014</w:t>
            </w:r>
          </w:p>
        </w:tc>
        <w:tc>
          <w:tcPr>
            <w:tcW w:w="1276" w:type="dxa"/>
            <w:tcBorders>
              <w:top w:val="nil"/>
              <w:bottom w:val="nil"/>
            </w:tcBorders>
          </w:tcPr>
          <w:p>
            <w:pPr>
              <w:pStyle w:val="nTable"/>
              <w:spacing w:after="40"/>
            </w:pPr>
            <w:r>
              <w:t>24 Apr 2014 p. 1148</w:t>
            </w:r>
            <w:r>
              <w:noBreakHyphen/>
              <w:t>51</w:t>
            </w:r>
          </w:p>
        </w:tc>
        <w:tc>
          <w:tcPr>
            <w:tcW w:w="2693" w:type="dxa"/>
            <w:tcBorders>
              <w:top w:val="nil"/>
              <w:bottom w:val="nil"/>
            </w:tcBorders>
          </w:tcPr>
          <w:p>
            <w:pPr>
              <w:pStyle w:val="nTable"/>
              <w:spacing w:after="40"/>
            </w:pPr>
            <w:r>
              <w:rPr>
                <w:bCs/>
                <w:snapToGrid w:val="0"/>
                <w:spacing w:val="-2"/>
              </w:rPr>
              <w:t>r. 1 and 2: 24 Apr 2014 (see r. 2(a));</w:t>
            </w:r>
            <w:r>
              <w:rPr>
                <w:bCs/>
                <w:snapToGrid w:val="0"/>
                <w:spacing w:val="-2"/>
              </w:rPr>
              <w:br/>
              <w:t>Regulations other than r. 1 and 2: 25 Apr 2014 (see r. 2(b))</w:t>
            </w:r>
          </w:p>
        </w:tc>
      </w:tr>
      <w:tr>
        <w:tc>
          <w:tcPr>
            <w:tcW w:w="3118" w:type="dxa"/>
            <w:tcBorders>
              <w:top w:val="nil"/>
              <w:bottom w:val="nil"/>
            </w:tcBorders>
          </w:tcPr>
          <w:p>
            <w:pPr>
              <w:pStyle w:val="nTable"/>
              <w:spacing w:after="40"/>
              <w:rPr>
                <w:i/>
              </w:rPr>
            </w:pPr>
            <w:r>
              <w:rPr>
                <w:i/>
              </w:rPr>
              <w:t>Mining Rehabilitation Fund Amendment Regulations 2020</w:t>
            </w:r>
          </w:p>
        </w:tc>
        <w:tc>
          <w:tcPr>
            <w:tcW w:w="1276" w:type="dxa"/>
            <w:tcBorders>
              <w:top w:val="nil"/>
              <w:bottom w:val="nil"/>
            </w:tcBorders>
          </w:tcPr>
          <w:p>
            <w:pPr>
              <w:pStyle w:val="nTable"/>
              <w:spacing w:after="40"/>
              <w:jc w:val="both"/>
            </w:pPr>
            <w:r>
              <w:t>SL 2020/170 25 Sep 2020</w:t>
            </w:r>
          </w:p>
        </w:tc>
        <w:tc>
          <w:tcPr>
            <w:tcW w:w="2693" w:type="dxa"/>
            <w:tcBorders>
              <w:top w:val="nil"/>
              <w:bottom w:val="nil"/>
            </w:tcBorders>
          </w:tcPr>
          <w:p>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bl>
    <w:p>
      <w:pPr>
        <w:pStyle w:val="nHeading3"/>
        <w:rPr>
          <w:del w:id="223" w:author="Master Repository Process" w:date="2021-08-29T08:30:00Z"/>
        </w:rPr>
      </w:pPr>
      <w:bookmarkStart w:id="224" w:name="_Toc72245721"/>
      <w:del w:id="225" w:author="Master Repository Process" w:date="2021-08-29T08:30:00Z">
        <w:r>
          <w:delText>Uncommenced provisions table</w:delText>
        </w:r>
        <w:bookmarkEnd w:id="224"/>
      </w:del>
    </w:p>
    <w:p>
      <w:pPr>
        <w:pStyle w:val="nStatement"/>
        <w:keepNext/>
        <w:spacing w:after="240"/>
        <w:rPr>
          <w:del w:id="226" w:author="Master Repository Process" w:date="2021-08-29T08:30:00Z"/>
        </w:rPr>
      </w:pPr>
      <w:del w:id="227" w:author="Master Repository Process" w:date="2021-08-29T08: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8" w:author="Master Repository Process" w:date="2021-08-29T08:30:00Z"/>
        </w:trPr>
        <w:tc>
          <w:tcPr>
            <w:tcW w:w="3118" w:type="dxa"/>
          </w:tcPr>
          <w:p>
            <w:pPr>
              <w:pStyle w:val="nTable"/>
              <w:spacing w:after="40"/>
              <w:rPr>
                <w:del w:id="229" w:author="Master Repository Process" w:date="2021-08-29T08:30:00Z"/>
                <w:b/>
              </w:rPr>
            </w:pPr>
            <w:del w:id="230" w:author="Master Repository Process" w:date="2021-08-29T08:30:00Z">
              <w:r>
                <w:rPr>
                  <w:b/>
                </w:rPr>
                <w:delText>Citation</w:delText>
              </w:r>
            </w:del>
          </w:p>
        </w:tc>
        <w:tc>
          <w:tcPr>
            <w:tcW w:w="1276" w:type="dxa"/>
          </w:tcPr>
          <w:p>
            <w:pPr>
              <w:pStyle w:val="nTable"/>
              <w:spacing w:after="40"/>
              <w:rPr>
                <w:del w:id="231" w:author="Master Repository Process" w:date="2021-08-29T08:30:00Z"/>
                <w:b/>
              </w:rPr>
            </w:pPr>
            <w:del w:id="232" w:author="Master Repository Process" w:date="2021-08-29T08:30:00Z">
              <w:r>
                <w:rPr>
                  <w:b/>
                </w:rPr>
                <w:delText>Published</w:delText>
              </w:r>
            </w:del>
          </w:p>
        </w:tc>
        <w:tc>
          <w:tcPr>
            <w:tcW w:w="2693" w:type="dxa"/>
          </w:tcPr>
          <w:p>
            <w:pPr>
              <w:pStyle w:val="nTable"/>
              <w:spacing w:after="40"/>
              <w:rPr>
                <w:del w:id="233" w:author="Master Repository Process" w:date="2021-08-29T08:30:00Z"/>
                <w:b/>
              </w:rPr>
            </w:pPr>
            <w:del w:id="234" w:author="Master Repository Process" w:date="2021-08-29T08:30:00Z">
              <w:r>
                <w:rPr>
                  <w:b/>
                </w:rPr>
                <w:delText>Commencement</w:delText>
              </w:r>
            </w:del>
          </w:p>
        </w:tc>
      </w:tr>
      <w:tr>
        <w:tc>
          <w:tcPr>
            <w:tcW w:w="3118" w:type="dxa"/>
            <w:tcBorders>
              <w:top w:val="nil"/>
              <w:bottom w:val="single" w:sz="4" w:space="0" w:color="auto"/>
            </w:tcBorders>
          </w:tcPr>
          <w:p>
            <w:pPr>
              <w:pStyle w:val="nTable"/>
              <w:spacing w:after="40"/>
            </w:pPr>
            <w:r>
              <w:rPr>
                <w:i/>
              </w:rPr>
              <w:t>Mining Rehabilitation Fund Amendment Regulations 2021</w:t>
            </w:r>
            <w:del w:id="235" w:author="Master Repository Process" w:date="2021-08-29T08:30:00Z">
              <w:r>
                <w:delText xml:space="preserve"> r. 3</w:delText>
              </w:r>
              <w:r>
                <w:noBreakHyphen/>
                <w:delText>7</w:delText>
              </w:r>
            </w:del>
          </w:p>
        </w:tc>
        <w:tc>
          <w:tcPr>
            <w:tcW w:w="1276" w:type="dxa"/>
            <w:tcBorders>
              <w:top w:val="nil"/>
              <w:bottom w:val="single" w:sz="4" w:space="0" w:color="auto"/>
            </w:tcBorders>
          </w:tcPr>
          <w:p>
            <w:pPr>
              <w:pStyle w:val="nTable"/>
              <w:spacing w:after="40"/>
              <w:jc w:val="both"/>
            </w:pPr>
            <w:r>
              <w:t>SL 2021/63 21 May 2021</w:t>
            </w:r>
          </w:p>
        </w:tc>
        <w:tc>
          <w:tcPr>
            <w:tcW w:w="2693" w:type="dxa"/>
            <w:tcBorders>
              <w:top w:val="nil"/>
              <w:bottom w:val="single" w:sz="4" w:space="0" w:color="auto"/>
            </w:tcBorders>
          </w:tcPr>
          <w:p>
            <w:pPr>
              <w:pStyle w:val="nTable"/>
              <w:spacing w:after="40"/>
              <w:rPr>
                <w:bCs/>
                <w:snapToGrid w:val="0"/>
                <w:spacing w:val="-2"/>
              </w:rPr>
            </w:pPr>
            <w:ins w:id="236" w:author="Master Repository Process" w:date="2021-08-29T08:30:00Z">
              <w:r>
                <w:rPr>
                  <w:bCs/>
                  <w:snapToGrid w:val="0"/>
                  <w:spacing w:val="-2"/>
                </w:rPr>
                <w:t>r. 1 and 2: 21 May 2021 (see r. 2(a));</w:t>
              </w:r>
              <w:r>
                <w:rPr>
                  <w:bCs/>
                  <w:snapToGrid w:val="0"/>
                  <w:spacing w:val="-2"/>
                </w:rPr>
                <w:br/>
                <w:t xml:space="preserve">Regulations other than r. 1 and 2: </w:t>
              </w:r>
            </w:ins>
            <w:r>
              <w:t>1 Jul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7</w:instrText>
          </w:r>
          <w:r>
            <w:rPr>
              <w:b/>
            </w:rPr>
            <w:fldChar w:fldCharType="end"/>
          </w:r>
          <w:r>
            <w:rPr>
              <w:b/>
            </w:rPr>
            <w:instrText xml:space="preserve"> </w:instrText>
          </w:r>
          <w:r>
            <w:rPr>
              <w:b/>
            </w:rPr>
            <w:fldChar w:fldCharType="separate"/>
          </w:r>
          <w:r>
            <w:rPr>
              <w:b/>
            </w:rPr>
            <w:t>7</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 w:name="Coversheet"/>
    <w:bookmarkEnd w:id="2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4321"/>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 w:name="WAFER_20210625094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4321_GUID" w:val="55ff0d0a-d99c-46a9-935d-23ef2d4b0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E8565-932C-4C37-91EB-1139320FD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4620</Words>
  <Characters>23105</Characters>
  <Application>Microsoft Office Word</Application>
  <DocSecurity>0</DocSecurity>
  <Lines>888</Lines>
  <Paragraphs>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00-e0-00 - 00-f0-00</dc:title>
  <dc:subject/>
  <dc:creator/>
  <cp:keywords/>
  <dc:description/>
  <cp:lastModifiedBy>Master Repository Process</cp:lastModifiedBy>
  <cp:revision>2</cp:revision>
  <cp:lastPrinted>2013-05-30T07:23:00Z</cp:lastPrinted>
  <dcterms:created xsi:type="dcterms:W3CDTF">2021-08-29T00:30:00Z</dcterms:created>
  <dcterms:modified xsi:type="dcterms:W3CDTF">2021-08-29T00:30:00Z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CommencementDate">
    <vt:lpwstr>20210701</vt:lpwstr>
  </property>
  <property fmtid="{D5CDD505-2E9C-101B-9397-08002B2CF9AE}" pid="6" name="FromSuffix">
    <vt:lpwstr>00-e0-00</vt:lpwstr>
  </property>
  <property fmtid="{D5CDD505-2E9C-101B-9397-08002B2CF9AE}" pid="7" name="FromAsAtDate">
    <vt:lpwstr>21 May 2021</vt:lpwstr>
  </property>
  <property fmtid="{D5CDD505-2E9C-101B-9397-08002B2CF9AE}" pid="8" name="ToSuffix">
    <vt:lpwstr>00-f0-00</vt:lpwstr>
  </property>
  <property fmtid="{D5CDD505-2E9C-101B-9397-08002B2CF9AE}" pid="9" name="ToAsAtDate">
    <vt:lpwstr>01 Jul 2021</vt:lpwstr>
  </property>
</Properties>
</file>