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2018</w:t>
      </w:r>
      <w:r>
        <w:fldChar w:fldCharType="end"/>
      </w:r>
      <w:r>
        <w:t xml:space="preserve">, </w:t>
      </w:r>
      <w:r>
        <w:fldChar w:fldCharType="begin"/>
      </w:r>
      <w:r>
        <w:instrText xml:space="preserve"> DocProperty FromSuffix </w:instrText>
      </w:r>
      <w:r>
        <w:fldChar w:fldCharType="separate"/>
      </w:r>
      <w:r>
        <w:t>01-d0-01</w:t>
      </w:r>
      <w:r>
        <w:fldChar w:fldCharType="end"/>
      </w:r>
      <w:r>
        <w:t>] and [</w:t>
      </w:r>
      <w:r>
        <w:fldChar w:fldCharType="begin"/>
      </w:r>
      <w:r>
        <w:instrText xml:space="preserve"> DocProperty ToAsAtDate</w:instrText>
      </w:r>
      <w:r>
        <w:fldChar w:fldCharType="separate"/>
      </w:r>
      <w:r>
        <w:t>06 Nov 2021</w:t>
      </w:r>
      <w:r>
        <w:fldChar w:fldCharType="end"/>
      </w:r>
      <w:r>
        <w:t xml:space="preserve">, </w:t>
      </w:r>
      <w:r>
        <w:fldChar w:fldCharType="begin"/>
      </w:r>
      <w:r>
        <w:instrText xml:space="preserve"> DocProperty ToSuffix</w:instrText>
      </w:r>
      <w:r>
        <w:fldChar w:fldCharType="separate"/>
      </w:r>
      <w:r>
        <w:t>01-e0-00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11-17T16:19:00Z"/>
        </w:rPr>
      </w:pPr>
      <w:del w:id="2" w:author="Master Repository Process" w:date="2021-11-17T16:19:00Z">
        <w:r>
          <w:lastRenderedPageBreak/>
          <w:delText>Western Australia</w:delText>
        </w:r>
      </w:del>
    </w:p>
    <w:p>
      <w:pPr>
        <w:pStyle w:val="PrincipalActReg"/>
      </w:pPr>
      <w:r>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3" w:name="_Toc88054017"/>
      <w:bookmarkStart w:id="4" w:name="_Toc88054068"/>
      <w:bookmarkStart w:id="5" w:name="_Toc88056539"/>
      <w:bookmarkStart w:id="6" w:name="_Toc88058001"/>
      <w:bookmarkStart w:id="7" w:name="_Toc481412036"/>
      <w:bookmarkStart w:id="8" w:name="_Toc481418514"/>
      <w:bookmarkStart w:id="9" w:name="_Toc486001887"/>
      <w:bookmarkStart w:id="10" w:name="_Toc525655312"/>
      <w:bookmarkStart w:id="11" w:name="_Toc525655678"/>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3" w:name="_Toc88058002"/>
      <w:bookmarkStart w:id="14" w:name="_Toc525655679"/>
      <w:r>
        <w:rPr>
          <w:rStyle w:val="CharSectno"/>
        </w:rPr>
        <w:t>1</w:t>
      </w:r>
      <w:r>
        <w:t>.</w:t>
      </w:r>
      <w:r>
        <w:tab/>
        <w:t>Citation</w:t>
      </w:r>
      <w:bookmarkEnd w:id="13"/>
      <w:bookmarkEnd w:id="14"/>
    </w:p>
    <w:p>
      <w:pPr>
        <w:pStyle w:val="Subsection"/>
      </w:pPr>
      <w:r>
        <w:tab/>
      </w:r>
      <w:r>
        <w:tab/>
      </w:r>
      <w:r>
        <w:rPr>
          <w:spacing w:val="-2"/>
        </w:rPr>
        <w:t>This</w:t>
      </w:r>
      <w:r>
        <w:t xml:space="preserve"> Code is the </w:t>
      </w:r>
      <w:r>
        <w:rPr>
          <w:i/>
          <w:iCs/>
        </w:rPr>
        <w:t>Electricity Industry (Network Quality and Reliability of Supply) Code 2005</w:t>
      </w:r>
      <w:del w:id="15" w:author="Master Repository Process" w:date="2021-11-17T16:19:00Z">
        <w:r>
          <w:rPr>
            <w:vertAlign w:val="superscript"/>
          </w:rPr>
          <w:delText> 1</w:delText>
        </w:r>
      </w:del>
      <w:r>
        <w:t>.</w:t>
      </w:r>
    </w:p>
    <w:p>
      <w:pPr>
        <w:pStyle w:val="Heading5"/>
      </w:pPr>
      <w:bookmarkStart w:id="16" w:name="_Toc88058003"/>
      <w:bookmarkStart w:id="17" w:name="_Toc525655680"/>
      <w:r>
        <w:rPr>
          <w:rStyle w:val="CharSectno"/>
        </w:rPr>
        <w:t>2</w:t>
      </w:r>
      <w:r>
        <w:t>.</w:t>
      </w:r>
      <w:r>
        <w:tab/>
        <w:t>Commencement</w:t>
      </w:r>
      <w:bookmarkEnd w:id="16"/>
      <w:bookmarkEnd w:id="17"/>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8" w:name="_Toc88058004"/>
      <w:bookmarkStart w:id="19" w:name="_Toc525655681"/>
      <w:r>
        <w:rPr>
          <w:rStyle w:val="CharSectno"/>
        </w:rPr>
        <w:t>3</w:t>
      </w:r>
      <w:r>
        <w:t>.</w:t>
      </w:r>
      <w:r>
        <w:tab/>
        <w:t>Terms used</w:t>
      </w:r>
      <w:bookmarkEnd w:id="18"/>
      <w:bookmarkEnd w:id="19"/>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rPr>
          <w:ins w:id="20" w:author="Master Repository Process" w:date="2021-11-17T16:19:00Z"/>
        </w:rPr>
      </w:pPr>
      <w:ins w:id="21" w:author="Master Repository Process" w:date="2021-11-17T16:19:00Z">
        <w:r>
          <w:rPr>
            <w:b/>
          </w:rPr>
          <w:tab/>
        </w:r>
        <w:r>
          <w:rPr>
            <w:rStyle w:val="CharDefText"/>
          </w:rPr>
          <w:t>covered network</w:t>
        </w:r>
        <w:r>
          <w:rPr>
            <w:b/>
          </w:rPr>
          <w:t xml:space="preserve"> </w:t>
        </w:r>
        <w:r>
          <w:t>has the meaning given to it in the Act.</w:t>
        </w:r>
      </w:ins>
    </w:p>
    <w:p>
      <w:pPr>
        <w:pStyle w:val="Subsection"/>
        <w:rPr>
          <w:ins w:id="22" w:author="Master Repository Process" w:date="2021-11-17T16:19:00Z"/>
        </w:rPr>
      </w:pPr>
      <w:ins w:id="23" w:author="Master Repository Process" w:date="2021-11-17T16:19:00Z">
        <w:r>
          <w:tab/>
        </w:r>
        <w:r>
          <w:tab/>
          <w:t>{Note: At the time this definition was inserted, the definition in section 3 of the Act was—</w:t>
        </w:r>
      </w:ins>
    </w:p>
    <w:p>
      <w:pPr>
        <w:pStyle w:val="Defstart"/>
        <w:rPr>
          <w:ins w:id="24" w:author="Master Repository Process" w:date="2021-11-17T16:19:00Z"/>
        </w:rPr>
      </w:pPr>
      <w:ins w:id="25" w:author="Master Repository Process" w:date="2021-11-17T16:19:00Z">
        <w:r>
          <w:tab/>
        </w:r>
        <w:r>
          <w:rPr>
            <w:rStyle w:val="CharDefText"/>
          </w:rPr>
          <w:t>covered network</w:t>
        </w:r>
        <w:r>
          <w:rPr>
            <w:rFonts w:cs="Arial"/>
            <w:b/>
          </w:rPr>
          <w:t xml:space="preserve"> </w:t>
        </w:r>
        <w:r>
          <w:rPr>
            <w:rFonts w:cs="Arial"/>
          </w:rPr>
          <w:t>means network infrastructure facilities that—</w:t>
        </w:r>
      </w:ins>
    </w:p>
    <w:p>
      <w:pPr>
        <w:pStyle w:val="Defpara"/>
        <w:rPr>
          <w:ins w:id="26" w:author="Master Repository Process" w:date="2021-11-17T16:19:00Z"/>
        </w:rPr>
      </w:pPr>
      <w:ins w:id="27" w:author="Master Repository Process" w:date="2021-11-17T16:19:00Z">
        <w:r>
          <w:tab/>
          <w:t>(a)</w:t>
        </w:r>
        <w:r>
          <w:tab/>
          <w:t>were covered by the Code immediately before the day on which the Electricity Industry Amendment Act 2020 section 4(3) comes into operation and that have not ceased to be a covered network; or</w:t>
        </w:r>
      </w:ins>
    </w:p>
    <w:p>
      <w:pPr>
        <w:pStyle w:val="Defpara"/>
        <w:rPr>
          <w:ins w:id="28" w:author="Master Repository Process" w:date="2021-11-17T16:19:00Z"/>
        </w:rPr>
      </w:pPr>
      <w:ins w:id="29" w:author="Master Repository Process" w:date="2021-11-17T16:19:00Z">
        <w:r>
          <w:tab/>
          <w:t>(b)</w:t>
        </w:r>
        <w:r>
          <w:tab/>
          <w:t>the Minister has decided under the Code are to be a covered network and that have not ceased to be a covered network; or</w:t>
        </w:r>
      </w:ins>
    </w:p>
    <w:p>
      <w:pPr>
        <w:pStyle w:val="Defpara"/>
        <w:rPr>
          <w:ins w:id="30" w:author="Master Repository Process" w:date="2021-11-17T16:19:00Z"/>
        </w:rPr>
      </w:pPr>
      <w:ins w:id="31" w:author="Master Repository Process" w:date="2021-11-17T16:19:00Z">
        <w:r>
          <w:tab/>
          <w:t>(c)</w:t>
        </w:r>
        <w:r>
          <w:tab/>
          <w:t>are prescribed in the Pilbara Networks Access Code undersection 120B(a) to be a covered Pilbara network and that have not ceased to be so prescribed; or</w:t>
        </w:r>
      </w:ins>
    </w:p>
    <w:p>
      <w:pPr>
        <w:pStyle w:val="Defpara"/>
        <w:rPr>
          <w:ins w:id="32" w:author="Master Repository Process" w:date="2021-11-17T16:19:00Z"/>
        </w:rPr>
      </w:pPr>
      <w:ins w:id="33" w:author="Master Repository Process" w:date="2021-11-17T16:19:00Z">
        <w:r>
          <w:tab/>
          <w:t>(d)</w:t>
        </w:r>
        <w:r>
          <w:tab/>
          <w:t>a network service provider has opted, under the Pilbara Networks Access Code, to be regulated under Part 8A</w:t>
        </w:r>
      </w:ins>
    </w:p>
    <w:p>
      <w:pPr>
        <w:pStyle w:val="Defpara"/>
        <w:ind w:left="1134"/>
        <w:rPr>
          <w:ins w:id="34" w:author="Master Repository Process" w:date="2021-11-17T16:19:00Z"/>
        </w:rPr>
      </w:pPr>
      <w:ins w:id="35" w:author="Master Repository Process" w:date="2021-11-17T16:19:00Z">
        <w:r>
          <w:tab/>
        </w:r>
        <w:r>
          <w:tab/>
          <w:t>and that—</w:t>
        </w:r>
      </w:ins>
    </w:p>
    <w:p>
      <w:pPr>
        <w:pStyle w:val="Defsubpara"/>
        <w:rPr>
          <w:ins w:id="36" w:author="Master Repository Process" w:date="2021-11-17T16:19:00Z"/>
        </w:rPr>
      </w:pPr>
      <w:ins w:id="37" w:author="Master Repository Process" w:date="2021-11-17T16:19:00Z">
        <w:r>
          <w:tab/>
          <w:t>(i)</w:t>
        </w:r>
        <w:r>
          <w:tab/>
          <w:t>have not ceased to be so regulated under that code as a consequence of an option by the network service provider for the facilities to cease to be so regulated; or</w:t>
        </w:r>
      </w:ins>
    </w:p>
    <w:p>
      <w:pPr>
        <w:pStyle w:val="Defsubpara"/>
        <w:rPr>
          <w:ins w:id="38" w:author="Master Repository Process" w:date="2021-11-17T16:19:00Z"/>
        </w:rPr>
      </w:pPr>
      <w:ins w:id="39" w:author="Master Repository Process" w:date="2021-11-17T16:19:00Z">
        <w:r>
          <w:tab/>
          <w:t>(ii)</w:t>
        </w:r>
        <w:r>
          <w:tab/>
          <w:t>have not otherwise ceased to be a covered network;}</w:t>
        </w:r>
      </w:ins>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rPr>
          <w:ins w:id="40" w:author="Master Repository Process" w:date="2021-11-17T16:19:00Z"/>
        </w:rPr>
      </w:pPr>
      <w:ins w:id="41" w:author="Master Repository Process" w:date="2021-11-17T16:19:00Z">
        <w:r>
          <w:tab/>
        </w:r>
        <w:r>
          <w:rPr>
            <w:rStyle w:val="CharDefText"/>
          </w:rPr>
          <w:t>distribution system</w:t>
        </w:r>
        <w:r>
          <w:t xml:space="preserve"> has the meaning given to it in the Act.</w:t>
        </w:r>
      </w:ins>
    </w:p>
    <w:p>
      <w:pPr>
        <w:pStyle w:val="Subsection"/>
        <w:rPr>
          <w:ins w:id="42" w:author="Master Repository Process" w:date="2021-11-17T16:19:00Z"/>
        </w:rPr>
      </w:pPr>
      <w:ins w:id="43" w:author="Master Repository Process" w:date="2021-11-17T16:19:00Z">
        <w:r>
          <w:tab/>
        </w:r>
        <w:r>
          <w:tab/>
          <w:t>{Note: At the time this definition was inserted, the definition in section 3 of the Act was—</w:t>
        </w:r>
      </w:ins>
    </w:p>
    <w:p>
      <w:pPr>
        <w:pStyle w:val="Defstart"/>
        <w:rPr>
          <w:ins w:id="44" w:author="Master Repository Process" w:date="2021-11-17T16:19:00Z"/>
        </w:rPr>
      </w:pPr>
      <w:ins w:id="45" w:author="Master Repository Process" w:date="2021-11-17T16:19:00Z">
        <w:r>
          <w:tab/>
        </w:r>
        <w:r>
          <w:rPr>
            <w:rStyle w:val="CharDefText"/>
          </w:rPr>
          <w:t>distribution system</w:t>
        </w:r>
        <w:r>
          <w:rPr>
            <w:rFonts w:cs="Arial"/>
          </w:rPr>
          <w:t xml:space="preserve"> means electricity infrastructure used, or to be used, in connection with, or to control, the transportation of electricity at nominal voltages of less than 66kV;}</w:t>
        </w:r>
      </w:ins>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tab/>
      </w:r>
      <w:r>
        <w:rPr>
          <w:rStyle w:val="CharDefText"/>
        </w:rPr>
        <w:t>Eastern Goldfields</w:t>
      </w:r>
      <w:r>
        <w:t xml:space="preserve"> means the area supplied with electricity by—</w:t>
      </w:r>
    </w:p>
    <w:p>
      <w:pPr>
        <w:pStyle w:val="Defpara"/>
      </w:pPr>
      <w:r>
        <w:tab/>
        <w:t>(a)</w:t>
      </w:r>
      <w:r>
        <w:tab/>
        <w:t>the West Kalgoorlie Terminal 11kV feeders;</w:t>
      </w:r>
    </w:p>
    <w:p>
      <w:pPr>
        <w:pStyle w:val="Defpara"/>
      </w:pPr>
      <w:r>
        <w:tab/>
        <w:t>(b)</w:t>
      </w:r>
      <w:r>
        <w:tab/>
        <w:t>the West Kalgoorlie Terminal 640 Coolgardie 33kV feeder; and</w:t>
      </w:r>
    </w:p>
    <w:p>
      <w:pPr>
        <w:pStyle w:val="Defpara"/>
      </w:pPr>
      <w:r>
        <w:tab/>
        <w:t>(c)</w:t>
      </w:r>
      <w:r>
        <w:tab/>
        <w:t>the Piccadilly substation 11kV feeders,</w:t>
      </w:r>
    </w:p>
    <w:p>
      <w:pPr>
        <w:pStyle w:val="Defstart"/>
      </w:pPr>
      <w:r>
        <w:tab/>
        <w:t>operated by the Electricity Networks Corporation, being principally the townships of Kalgoorlie-Boulder and Coolgardie.</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rPr>
          <w:del w:id="46" w:author="Master Repository Process" w:date="2021-11-17T16:19:00Z"/>
        </w:rPr>
      </w:pPr>
      <w:del w:id="47" w:author="Master Repository Process" w:date="2021-11-17T16:19:00Z">
        <w:r>
          <w:rPr>
            <w:b/>
            <w:bCs/>
          </w:rPr>
          <w:tab/>
        </w:r>
        <w:r>
          <w:rPr>
            <w:rStyle w:val="CharDefText"/>
          </w:rPr>
          <w:delText>network</w:delText>
        </w:r>
        <w:r>
          <w:delText xml:space="preserve"> means — </w:delText>
        </w:r>
      </w:del>
    </w:p>
    <w:p>
      <w:pPr>
        <w:pStyle w:val="Defpara"/>
        <w:rPr>
          <w:del w:id="48" w:author="Master Repository Process" w:date="2021-11-17T16:19:00Z"/>
        </w:rPr>
      </w:pPr>
      <w:del w:id="49" w:author="Master Repository Process" w:date="2021-11-17T16:19:00Z">
        <w:r>
          <w:tab/>
          <w:delText>(a)</w:delText>
        </w:r>
        <w:r>
          <w:tab/>
          <w:delText xml:space="preserve">transmission works; or </w:delText>
        </w:r>
      </w:del>
    </w:p>
    <w:p>
      <w:pPr>
        <w:pStyle w:val="Defpara"/>
        <w:rPr>
          <w:del w:id="50" w:author="Master Repository Process" w:date="2021-11-17T16:19:00Z"/>
        </w:rPr>
      </w:pPr>
      <w:del w:id="51" w:author="Master Repository Process" w:date="2021-11-17T16:19:00Z">
        <w:r>
          <w:tab/>
          <w:delText>(b)</w:delText>
        </w:r>
        <w:r>
          <w:tab/>
          <w:delText>distribution works,</w:delText>
        </w:r>
      </w:del>
    </w:p>
    <w:p>
      <w:pPr>
        <w:pStyle w:val="Defstart"/>
        <w:rPr>
          <w:ins w:id="52" w:author="Master Repository Process" w:date="2021-11-17T16:19:00Z"/>
        </w:rPr>
      </w:pPr>
      <w:del w:id="53" w:author="Master Repository Process" w:date="2021-11-17T16:19:00Z">
        <w:r>
          <w:tab/>
          <w:delText>that are used to convey</w:delText>
        </w:r>
      </w:del>
      <w:ins w:id="54" w:author="Master Repository Process" w:date="2021-11-17T16:19:00Z">
        <w:r>
          <w:rPr>
            <w:b/>
            <w:bCs/>
          </w:rPr>
          <w:tab/>
        </w:r>
        <w:r>
          <w:rPr>
            <w:rStyle w:val="CharDefText"/>
          </w:rPr>
          <w:t>network</w:t>
        </w:r>
        <w:r>
          <w:rPr>
            <w:b/>
            <w:bCs/>
          </w:rPr>
          <w:t xml:space="preserve"> </w:t>
        </w:r>
        <w:r>
          <w:t>has the meaning given to “network infrastructure facilities” in the Act, as modified by s3(3) of this Code.</w:t>
        </w:r>
      </w:ins>
    </w:p>
    <w:p>
      <w:pPr>
        <w:pStyle w:val="Subsection"/>
        <w:rPr>
          <w:ins w:id="55" w:author="Master Repository Process" w:date="2021-11-17T16:19:00Z"/>
        </w:rPr>
      </w:pPr>
      <w:ins w:id="56" w:author="Master Repository Process" w:date="2021-11-17T16:19:00Z">
        <w:r>
          <w:tab/>
        </w:r>
        <w:r>
          <w:tab/>
          <w:t>{Note: At the time this definition was inserted, the definition in section 3 of the Act was—</w:t>
        </w:r>
      </w:ins>
    </w:p>
    <w:p>
      <w:pPr>
        <w:pStyle w:val="Defstart"/>
        <w:rPr>
          <w:ins w:id="57" w:author="Master Repository Process" w:date="2021-11-17T16:19:00Z"/>
        </w:rPr>
      </w:pPr>
      <w:ins w:id="58" w:author="Master Repository Process" w:date="2021-11-17T16:19:00Z">
        <w:r>
          <w:tab/>
        </w:r>
        <w:r>
          <w:rPr>
            <w:rStyle w:val="CharDefText"/>
          </w:rPr>
          <w:t>network infrastructure facilities</w:t>
        </w:r>
        <w:r>
          <w:t>—</w:t>
        </w:r>
      </w:ins>
    </w:p>
    <w:p>
      <w:pPr>
        <w:pStyle w:val="Defstart"/>
        <w:rPr>
          <w:del w:id="59" w:author="Master Repository Process" w:date="2021-11-17T16:19:00Z"/>
        </w:rPr>
      </w:pPr>
      <w:ins w:id="60" w:author="Master Repository Process" w:date="2021-11-17T16:19:00Z">
        <w:r>
          <w:tab/>
          <w:t>(a)</w:t>
        </w:r>
        <w:r>
          <w:tab/>
          <w:t>means</w:t>
        </w:r>
      </w:ins>
      <w:r>
        <w:t xml:space="preserve"> electricity </w:t>
      </w:r>
      <w:del w:id="61" w:author="Master Repository Process" w:date="2021-11-17T16:19:00Z">
        <w:r>
          <w:delText xml:space="preserve">under a distribution licence, transmission licence or integrated regional licence, but does not include a line, pole, switch, transformer or apparatus that is — </w:delText>
        </w:r>
      </w:del>
    </w:p>
    <w:p>
      <w:pPr>
        <w:pStyle w:val="Defpara"/>
        <w:rPr>
          <w:del w:id="62" w:author="Master Repository Process" w:date="2021-11-17T16:19:00Z"/>
        </w:rPr>
      </w:pPr>
      <w:del w:id="63" w:author="Master Repository Process" w:date="2021-11-17T16:19:00Z">
        <w:r>
          <w:tab/>
          <w:delText>(c)</w:delText>
        </w:r>
        <w:r>
          <w:tab/>
          <w:delText xml:space="preserve">on or a part of premises </w:delText>
        </w:r>
      </w:del>
      <w:ins w:id="64" w:author="Master Repository Process" w:date="2021-11-17T16:19:00Z">
        <w:r>
          <w:t xml:space="preserve">infrastructure used, or </w:t>
        </w:r>
      </w:ins>
      <w:r>
        <w:t xml:space="preserve">to </w:t>
      </w:r>
      <w:del w:id="65" w:author="Master Repository Process" w:date="2021-11-17T16:19:00Z">
        <w:r>
          <w:delText>which</w:delText>
        </w:r>
      </w:del>
      <w:ins w:id="66" w:author="Master Repository Process" w:date="2021-11-17T16:19:00Z">
        <w:r>
          <w:t>be used, for the purpose of transporting</w:t>
        </w:r>
      </w:ins>
      <w:r>
        <w:t xml:space="preserve"> electricity </w:t>
      </w:r>
      <w:del w:id="67" w:author="Master Repository Process" w:date="2021-11-17T16:19:00Z">
        <w:r>
          <w:delText xml:space="preserve">is supplied by a transmitter or distributor; and </w:delText>
        </w:r>
      </w:del>
    </w:p>
    <w:p>
      <w:pPr>
        <w:pStyle w:val="Defpara"/>
      </w:pPr>
      <w:del w:id="68" w:author="Master Repository Process" w:date="2021-11-17T16:19:00Z">
        <w:r>
          <w:tab/>
          <w:delText>(d)</w:delText>
        </w:r>
        <w:r>
          <w:tab/>
          <w:delText>situated beyond the point at which</w:delText>
        </w:r>
      </w:del>
      <w:ins w:id="69" w:author="Master Repository Process" w:date="2021-11-17T16:19:00Z">
        <w:r>
          <w:t>from generators of</w:t>
        </w:r>
      </w:ins>
      <w:r>
        <w:t xml:space="preserve"> electricity </w:t>
      </w:r>
      <w:del w:id="70" w:author="Master Repository Process" w:date="2021-11-17T16:19:00Z">
        <w:r>
          <w:delText>is so supplied;</w:delText>
        </w:r>
      </w:del>
      <w:ins w:id="71" w:author="Master Repository Process" w:date="2021-11-17T16:19:00Z">
        <w:r>
          <w:t>to other electricity infrastructure or to end users of electricity; and</w:t>
        </w:r>
      </w:ins>
    </w:p>
    <w:p>
      <w:pPr>
        <w:pStyle w:val="Defpara"/>
        <w:rPr>
          <w:ins w:id="72" w:author="Master Repository Process" w:date="2021-11-17T16:19:00Z"/>
        </w:rPr>
      </w:pPr>
      <w:ins w:id="73" w:author="Master Repository Process" w:date="2021-11-17T16:19:00Z">
        <w:r>
          <w:tab/>
          <w:t>(b)</w:t>
        </w:r>
        <w:r>
          <w:tab/>
          <w:t>includes stand-alone power systems, or storage works, used, or to be used, as an adjunct to electricity infrastructure;}</w:t>
        </w:r>
      </w:ins>
    </w:p>
    <w:p>
      <w:pPr>
        <w:pStyle w:val="Defstart"/>
      </w:pPr>
      <w:r>
        <w:tab/>
      </w:r>
      <w:r>
        <w:rPr>
          <w:rStyle w:val="CharDefText"/>
        </w:rPr>
        <w:t>North Country</w:t>
      </w:r>
      <w:r>
        <w:t xml:space="preserve"> means the area supplied with electricity by—</w:t>
      </w:r>
    </w:p>
    <w:p>
      <w:pPr>
        <w:pStyle w:val="Defpara"/>
      </w:pPr>
      <w:r>
        <w:tab/>
        <w:t>(a)</w:t>
      </w:r>
      <w:r>
        <w:tab/>
        <w:t>the Rangeway substation 11kV feeders;</w:t>
      </w:r>
    </w:p>
    <w:p>
      <w:pPr>
        <w:pStyle w:val="Defpara"/>
      </w:pPr>
      <w:r>
        <w:tab/>
        <w:t>(b)</w:t>
      </w:r>
      <w:r>
        <w:tab/>
        <w:t>the Durlacher substation 11kV feeders; and</w:t>
      </w:r>
    </w:p>
    <w:p>
      <w:pPr>
        <w:pStyle w:val="Defpara"/>
      </w:pPr>
      <w:r>
        <w:tab/>
        <w:t>(c)</w:t>
      </w:r>
      <w:r>
        <w:tab/>
        <w:t>the Chapman substation 11kV feeders,</w:t>
      </w:r>
    </w:p>
    <w:p>
      <w:pPr>
        <w:pStyle w:val="Defstart"/>
      </w:pPr>
      <w:r>
        <w:tab/>
        <w:t>operated by the Electricity Networks Corporation, being principally the township of Geraldton and its surrounds.</w:t>
      </w:r>
    </w:p>
    <w:p>
      <w:pPr>
        <w:pStyle w:val="Defstart"/>
        <w:keepNext/>
      </w:pPr>
      <w:r>
        <w:rPr>
          <w:b/>
          <w:bCs/>
        </w:rPr>
        <w:tab/>
      </w:r>
      <w:r>
        <w:rPr>
          <w:rStyle w:val="CharDefText"/>
        </w:rPr>
        <w:t>Perth CBD</w:t>
      </w:r>
      <w:r>
        <w:t xml:space="preserve"> means the area supplied with electricity by — </w:t>
      </w:r>
    </w:p>
    <w:p>
      <w:pPr>
        <w:pStyle w:val="Defpara"/>
        <w:keepNext/>
      </w:pPr>
      <w:r>
        <w:tab/>
        <w:t>(a)</w:t>
      </w:r>
      <w:r>
        <w:tab/>
        <w:t xml:space="preserve">the Milligan Street Zone Substation; or </w:t>
      </w:r>
    </w:p>
    <w:p>
      <w:pPr>
        <w:pStyle w:val="Defpara"/>
        <w:keepNext/>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rPr>
          <w:ins w:id="74" w:author="Master Repository Process" w:date="2021-11-17T16:19:00Z"/>
        </w:rPr>
      </w:pPr>
      <w:ins w:id="75" w:author="Master Repository Process" w:date="2021-11-17T16:19:00Z">
        <w:r>
          <w:rPr>
            <w:b/>
          </w:rPr>
          <w:tab/>
        </w:r>
        <w:r>
          <w:rPr>
            <w:rStyle w:val="CharDefText"/>
          </w:rPr>
          <w:t>stand-alone power system</w:t>
        </w:r>
        <w:r>
          <w:rPr>
            <w:b/>
          </w:rPr>
          <w:t xml:space="preserve"> </w:t>
        </w:r>
        <w:r>
          <w:t>has the meaning given to it in the Act.</w:t>
        </w:r>
      </w:ins>
    </w:p>
    <w:p>
      <w:pPr>
        <w:pStyle w:val="Subsection"/>
        <w:rPr>
          <w:ins w:id="76" w:author="Master Repository Process" w:date="2021-11-17T16:19:00Z"/>
        </w:rPr>
      </w:pPr>
      <w:ins w:id="77" w:author="Master Repository Process" w:date="2021-11-17T16:19:00Z">
        <w:r>
          <w:tab/>
        </w:r>
        <w:r>
          <w:tab/>
          <w:t>{Note: At the time this definition was inserted, the definition in section 3 of the Act was—</w:t>
        </w:r>
      </w:ins>
    </w:p>
    <w:p>
      <w:pPr>
        <w:pStyle w:val="Defstart"/>
        <w:rPr>
          <w:ins w:id="78" w:author="Master Repository Process" w:date="2021-11-17T16:19:00Z"/>
        </w:rPr>
      </w:pPr>
      <w:ins w:id="79" w:author="Master Repository Process" w:date="2021-11-17T16:19:00Z">
        <w:r>
          <w:rPr>
            <w:rFonts w:cs="Arial"/>
            <w:b/>
            <w:bCs/>
          </w:rPr>
          <w:tab/>
        </w:r>
        <w:r>
          <w:rPr>
            <w:rStyle w:val="CharDefText"/>
          </w:rPr>
          <w:t>stand-alone power system</w:t>
        </w:r>
        <w:r>
          <w:rPr>
            <w:rFonts w:cs="Arial"/>
          </w:rPr>
          <w:t xml:space="preserve"> means wires, apparatus, equipment, plant or buildings (including generating works, a distribution system and any storage works)—</w:t>
        </w:r>
      </w:ins>
    </w:p>
    <w:p>
      <w:pPr>
        <w:pStyle w:val="Defpara"/>
        <w:rPr>
          <w:ins w:id="80" w:author="Master Repository Process" w:date="2021-11-17T16:19:00Z"/>
        </w:rPr>
      </w:pPr>
      <w:ins w:id="81" w:author="Master Repository Process" w:date="2021-11-17T16:19:00Z">
        <w:r>
          <w:tab/>
          <w:t>(a)</w:t>
        </w:r>
        <w:r>
          <w:tab/>
          <w:t>which together are used, or to be used, for, or in connection with, or to control, the supply of electricity to a single customer or not more than a prescribed number of customers; and</w:t>
        </w:r>
      </w:ins>
    </w:p>
    <w:p>
      <w:pPr>
        <w:pStyle w:val="Defpara"/>
        <w:rPr>
          <w:ins w:id="82" w:author="Master Repository Process" w:date="2021-11-17T16:19:00Z"/>
        </w:rPr>
      </w:pPr>
      <w:ins w:id="83" w:author="Master Repository Process" w:date="2021-11-17T16:19:00Z">
        <w:r>
          <w:tab/>
          <w:t>(b)</w:t>
        </w:r>
        <w:r>
          <w:tab/>
          <w:t>which are not connected to another electricity network (other than that of the customer or customers);}</w:t>
        </w:r>
      </w:ins>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w:t>
      </w:r>
      <w:del w:id="84" w:author="Master Repository Process" w:date="2021-11-17T16:19:00Z">
        <w:r>
          <w:rPr>
            <w:vertAlign w:val="superscript"/>
          </w:rPr>
          <w:delText>2</w:delText>
        </w:r>
      </w:del>
      <w:ins w:id="85" w:author="Master Repository Process" w:date="2021-11-17T16:19:00Z">
        <w:r>
          <w:rPr>
            <w:vertAlign w:val="superscript"/>
          </w:rPr>
          <w:t>1</w:t>
        </w:r>
      </w:ins>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Subsection"/>
        <w:rPr>
          <w:ins w:id="86" w:author="Master Repository Process" w:date="2021-11-17T16:19:00Z"/>
          <w:rFonts w:cs="Arial"/>
        </w:rPr>
      </w:pPr>
      <w:ins w:id="87" w:author="Master Repository Process" w:date="2021-11-17T16:19:00Z">
        <w:r>
          <w:tab/>
          <w:t>(3)</w:t>
        </w:r>
        <w:r>
          <w:tab/>
          <w:t xml:space="preserve">For </w:t>
        </w:r>
        <w:r>
          <w:rPr>
            <w:spacing w:val="-2"/>
          </w:rPr>
          <w:t>the</w:t>
        </w:r>
        <w:r>
          <w:t xml:space="preserve"> purposes of this Code, network infrastructure facilities do </w:t>
        </w:r>
        <w:r>
          <w:rPr>
            <w:rFonts w:cs="Arial"/>
          </w:rPr>
          <w:t>not include a line, pole, switch, transformer or apparatus that is—</w:t>
        </w:r>
      </w:ins>
    </w:p>
    <w:p>
      <w:pPr>
        <w:pStyle w:val="Indenta"/>
        <w:rPr>
          <w:ins w:id="88" w:author="Master Repository Process" w:date="2021-11-17T16:19:00Z"/>
          <w:rFonts w:cs="Arial"/>
        </w:rPr>
      </w:pPr>
      <w:ins w:id="89" w:author="Master Repository Process" w:date="2021-11-17T16:19:00Z">
        <w:r>
          <w:tab/>
          <w:t>(a)</w:t>
        </w:r>
        <w:r>
          <w:tab/>
          <w:t xml:space="preserve">on or a part of premises to which electricity is supplied </w:t>
        </w:r>
        <w:r>
          <w:rPr>
            <w:rFonts w:cs="Arial"/>
          </w:rPr>
          <w:t>by a transmitter or distributor; and</w:t>
        </w:r>
      </w:ins>
    </w:p>
    <w:p>
      <w:pPr>
        <w:pStyle w:val="Indenta"/>
        <w:rPr>
          <w:ins w:id="90" w:author="Master Repository Process" w:date="2021-11-17T16:19:00Z"/>
        </w:rPr>
      </w:pPr>
      <w:ins w:id="91" w:author="Master Repository Process" w:date="2021-11-17T16:19:00Z">
        <w:r>
          <w:tab/>
          <w:t>(b)</w:t>
        </w:r>
        <w:r>
          <w:tab/>
          <w:t>situated beyond the point at which electricity is so supplied,</w:t>
        </w:r>
      </w:ins>
    </w:p>
    <w:p>
      <w:pPr>
        <w:pStyle w:val="Subsection"/>
        <w:rPr>
          <w:ins w:id="92" w:author="Master Repository Process" w:date="2021-11-17T16:19:00Z"/>
        </w:rPr>
      </w:pPr>
      <w:ins w:id="93" w:author="Master Repository Process" w:date="2021-11-17T16:19:00Z">
        <w:r>
          <w:tab/>
          <w:t>(4)</w:t>
        </w:r>
        <w:r>
          <w:tab/>
        </w:r>
        <w:r>
          <w:rPr>
            <w:spacing w:val="-2"/>
          </w:rPr>
          <w:t>Notwithstanding</w:t>
        </w:r>
        <w:r>
          <w:t xml:space="preserve"> sub-section (3), network infrastructure facilities </w:t>
        </w:r>
        <w:r>
          <w:rPr>
            <w:rFonts w:cs="Arial"/>
          </w:rPr>
          <w:t>do include a stand-alone power system that is part of a covered network.</w:t>
        </w:r>
      </w:ins>
    </w:p>
    <w:p>
      <w:pPr>
        <w:pStyle w:val="Footnotesection"/>
        <w:rPr>
          <w:spacing w:val="-2"/>
        </w:rPr>
      </w:pPr>
      <w:r>
        <w:tab/>
        <w:t>[Section 3 amended: Gazette 31 Mar 2006 p. 1346; 27 Nov 2009 p. 4781; 2 May 2017 p. 2287; 25 Sep 2018 p. 3568</w:t>
      </w:r>
      <w:ins w:id="94" w:author="Master Repository Process" w:date="2021-11-17T16:19:00Z">
        <w:r>
          <w:t>; Gazette 5 Nov 2021 p. 4969</w:t>
        </w:r>
      </w:ins>
      <w:r>
        <w:t>.]</w:t>
      </w:r>
    </w:p>
    <w:p>
      <w:pPr>
        <w:pStyle w:val="Heading2"/>
      </w:pPr>
      <w:bookmarkStart w:id="95" w:name="_Toc88054021"/>
      <w:bookmarkStart w:id="96" w:name="_Toc88054072"/>
      <w:bookmarkStart w:id="97" w:name="_Toc88056543"/>
      <w:bookmarkStart w:id="98" w:name="_Toc88058005"/>
      <w:bookmarkStart w:id="99" w:name="_Toc481412040"/>
      <w:bookmarkStart w:id="100" w:name="_Toc481418518"/>
      <w:bookmarkStart w:id="101" w:name="_Toc486001891"/>
      <w:bookmarkStart w:id="102" w:name="_Toc525655316"/>
      <w:bookmarkStart w:id="103" w:name="_Toc525655682"/>
      <w:r>
        <w:rPr>
          <w:rStyle w:val="CharPartNo"/>
        </w:rPr>
        <w:t>Part 2</w:t>
      </w:r>
      <w:r>
        <w:t> — </w:t>
      </w:r>
      <w:r>
        <w:rPr>
          <w:rStyle w:val="CharPartText"/>
        </w:rPr>
        <w:t>Quality and reliability standards</w:t>
      </w:r>
      <w:bookmarkEnd w:id="95"/>
      <w:bookmarkEnd w:id="96"/>
      <w:bookmarkEnd w:id="97"/>
      <w:bookmarkEnd w:id="98"/>
      <w:bookmarkEnd w:id="99"/>
      <w:bookmarkEnd w:id="100"/>
      <w:bookmarkEnd w:id="101"/>
      <w:bookmarkEnd w:id="102"/>
      <w:bookmarkEnd w:id="103"/>
    </w:p>
    <w:p>
      <w:pPr>
        <w:pStyle w:val="Heading3"/>
      </w:pPr>
      <w:bookmarkStart w:id="104" w:name="_Toc88054022"/>
      <w:bookmarkStart w:id="105" w:name="_Toc88054073"/>
      <w:bookmarkStart w:id="106" w:name="_Toc88056544"/>
      <w:bookmarkStart w:id="107" w:name="_Toc88058006"/>
      <w:bookmarkStart w:id="108" w:name="_Toc481412041"/>
      <w:bookmarkStart w:id="109" w:name="_Toc481418519"/>
      <w:bookmarkStart w:id="110" w:name="_Toc486001892"/>
      <w:bookmarkStart w:id="111" w:name="_Toc525655317"/>
      <w:bookmarkStart w:id="112" w:name="_Toc525655683"/>
      <w:r>
        <w:rPr>
          <w:rStyle w:val="CharDivNo"/>
        </w:rPr>
        <w:t>Division 1</w:t>
      </w:r>
      <w:r>
        <w:t> — </w:t>
      </w:r>
      <w:r>
        <w:rPr>
          <w:rStyle w:val="CharDivText"/>
        </w:rPr>
        <w:t>Quality standards</w:t>
      </w:r>
      <w:bookmarkEnd w:id="104"/>
      <w:bookmarkEnd w:id="105"/>
      <w:bookmarkEnd w:id="106"/>
      <w:bookmarkEnd w:id="107"/>
      <w:bookmarkEnd w:id="108"/>
      <w:bookmarkEnd w:id="109"/>
      <w:bookmarkEnd w:id="110"/>
      <w:bookmarkEnd w:id="111"/>
      <w:bookmarkEnd w:id="112"/>
    </w:p>
    <w:p>
      <w:pPr>
        <w:pStyle w:val="Heading5"/>
      </w:pPr>
      <w:bookmarkStart w:id="113" w:name="_Toc88058007"/>
      <w:bookmarkStart w:id="114" w:name="_Toc525655684"/>
      <w:r>
        <w:rPr>
          <w:rStyle w:val="CharSectno"/>
        </w:rPr>
        <w:t>4</w:t>
      </w:r>
      <w:r>
        <w:t>.</w:t>
      </w:r>
      <w:r>
        <w:tab/>
        <w:t>Term used: compatibility levels</w:t>
      </w:r>
      <w:bookmarkEnd w:id="113"/>
      <w:bookmarkEnd w:id="114"/>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115" w:name="_Toc88058008"/>
      <w:bookmarkStart w:id="116" w:name="_Toc525655685"/>
      <w:r>
        <w:rPr>
          <w:rStyle w:val="CharSectno"/>
        </w:rPr>
        <w:t>5</w:t>
      </w:r>
      <w:r>
        <w:t>.</w:t>
      </w:r>
      <w:r>
        <w:tab/>
        <w:t>Obligation to observe standards</w:t>
      </w:r>
      <w:bookmarkEnd w:id="115"/>
      <w:bookmarkEnd w:id="116"/>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117" w:name="_Toc88058009"/>
      <w:bookmarkStart w:id="118" w:name="_Toc525655686"/>
      <w:r>
        <w:rPr>
          <w:rStyle w:val="CharSectno"/>
        </w:rPr>
        <w:t>6</w:t>
      </w:r>
      <w:r>
        <w:t>.</w:t>
      </w:r>
      <w:r>
        <w:tab/>
        <w:t>Voltage fluctuations</w:t>
      </w:r>
      <w:bookmarkEnd w:id="117"/>
      <w:bookmarkEnd w:id="118"/>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119" w:name="_Toc88058010"/>
      <w:bookmarkStart w:id="120" w:name="_Toc525655687"/>
      <w:r>
        <w:rPr>
          <w:rStyle w:val="CharSectno"/>
        </w:rPr>
        <w:t>7</w:t>
      </w:r>
      <w:r>
        <w:t>.</w:t>
      </w:r>
      <w:r>
        <w:tab/>
        <w:t>Harmonics</w:t>
      </w:r>
      <w:bookmarkEnd w:id="119"/>
      <w:bookmarkEnd w:id="120"/>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121" w:name="_Toc88058011"/>
      <w:bookmarkStart w:id="122" w:name="_Toc525655688"/>
      <w:r>
        <w:rPr>
          <w:rStyle w:val="CharSectno"/>
        </w:rPr>
        <w:t>8</w:t>
      </w:r>
      <w:r>
        <w:t>.</w:t>
      </w:r>
      <w:r>
        <w:tab/>
        <w:t>Duty to disconnect if damage may result</w:t>
      </w:r>
      <w:bookmarkEnd w:id="121"/>
      <w:bookmarkEnd w:id="122"/>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123" w:name="_Toc88054028"/>
      <w:bookmarkStart w:id="124" w:name="_Toc88054079"/>
      <w:bookmarkStart w:id="125" w:name="_Toc88056550"/>
      <w:bookmarkStart w:id="126" w:name="_Toc88058012"/>
      <w:bookmarkStart w:id="127" w:name="_Toc481412047"/>
      <w:bookmarkStart w:id="128" w:name="_Toc481418525"/>
      <w:bookmarkStart w:id="129" w:name="_Toc486001898"/>
      <w:bookmarkStart w:id="130" w:name="_Toc525655323"/>
      <w:bookmarkStart w:id="131" w:name="_Toc525655689"/>
      <w:r>
        <w:rPr>
          <w:rStyle w:val="CharDivNo"/>
        </w:rPr>
        <w:t>Division 2</w:t>
      </w:r>
      <w:r>
        <w:t> — </w:t>
      </w:r>
      <w:r>
        <w:rPr>
          <w:rStyle w:val="CharDivText"/>
        </w:rPr>
        <w:t>Standards for the interruption of supply to individual customers</w:t>
      </w:r>
      <w:bookmarkEnd w:id="123"/>
      <w:bookmarkEnd w:id="124"/>
      <w:bookmarkEnd w:id="125"/>
      <w:bookmarkEnd w:id="126"/>
      <w:bookmarkEnd w:id="127"/>
      <w:bookmarkEnd w:id="128"/>
      <w:bookmarkEnd w:id="129"/>
      <w:bookmarkEnd w:id="130"/>
      <w:bookmarkEnd w:id="131"/>
    </w:p>
    <w:p>
      <w:pPr>
        <w:pStyle w:val="Heading5"/>
      </w:pPr>
      <w:bookmarkStart w:id="132" w:name="_Toc88058013"/>
      <w:bookmarkStart w:id="133" w:name="_Toc525655690"/>
      <w:r>
        <w:rPr>
          <w:rStyle w:val="CharSectno"/>
        </w:rPr>
        <w:t>9</w:t>
      </w:r>
      <w:r>
        <w:t>.</w:t>
      </w:r>
      <w:r>
        <w:tab/>
        <w:t>General standard of reliability</w:t>
      </w:r>
      <w:bookmarkEnd w:id="132"/>
      <w:bookmarkEnd w:id="133"/>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134" w:name="_Toc88058014"/>
      <w:bookmarkStart w:id="135" w:name="_Toc525655691"/>
      <w:r>
        <w:rPr>
          <w:rStyle w:val="CharSectno"/>
        </w:rPr>
        <w:t>10</w:t>
      </w:r>
      <w:r>
        <w:t>.</w:t>
      </w:r>
      <w:r>
        <w:tab/>
        <w:t>Duty to reduce effect of interruption</w:t>
      </w:r>
      <w:bookmarkEnd w:id="134"/>
      <w:bookmarkEnd w:id="135"/>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136" w:name="_Toc88058015"/>
      <w:bookmarkStart w:id="137" w:name="_Toc525655692"/>
      <w:r>
        <w:rPr>
          <w:rStyle w:val="CharSectno"/>
        </w:rPr>
        <w:t>11</w:t>
      </w:r>
      <w:r>
        <w:t>.</w:t>
      </w:r>
      <w:r>
        <w:tab/>
        <w:t>Planned interruptions</w:t>
      </w:r>
      <w:bookmarkEnd w:id="136"/>
      <w:bookmarkEnd w:id="137"/>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Gazette 27 Nov 2009 p. 4781; 2 May 2017 p. 2287</w:t>
      </w:r>
      <w:r>
        <w:noBreakHyphen/>
        <w:t>8.]</w:t>
      </w:r>
    </w:p>
    <w:p>
      <w:pPr>
        <w:pStyle w:val="Heading5"/>
      </w:pPr>
      <w:bookmarkStart w:id="138" w:name="_Toc88058016"/>
      <w:bookmarkStart w:id="139" w:name="_Toc472515499"/>
      <w:bookmarkStart w:id="140" w:name="_Toc472517133"/>
      <w:bookmarkStart w:id="141" w:name="_Toc525655693"/>
      <w:r>
        <w:rPr>
          <w:rStyle w:val="CharSectno"/>
        </w:rPr>
        <w:t>11A</w:t>
      </w:r>
      <w:r>
        <w:t>.</w:t>
      </w:r>
      <w:r>
        <w:tab/>
        <w:t>Interruptions to restore supply from network</w:t>
      </w:r>
      <w:bookmarkEnd w:id="138"/>
      <w:bookmarkEnd w:id="139"/>
      <w:bookmarkEnd w:id="140"/>
      <w:bookmarkEnd w:id="141"/>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Gazette 2 May 2017 p. 2288.]</w:t>
      </w:r>
    </w:p>
    <w:p>
      <w:pPr>
        <w:pStyle w:val="Heading5"/>
      </w:pPr>
      <w:bookmarkStart w:id="142" w:name="_Toc88058017"/>
      <w:bookmarkStart w:id="143" w:name="_Toc525655694"/>
      <w:r>
        <w:rPr>
          <w:rStyle w:val="CharSectno"/>
        </w:rPr>
        <w:t>12</w:t>
      </w:r>
      <w:r>
        <w:t>.</w:t>
      </w:r>
      <w:r>
        <w:tab/>
        <w:t>Significant interruptions to small use customers</w:t>
      </w:r>
      <w:bookmarkEnd w:id="142"/>
      <w:bookmarkEnd w:id="143"/>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144" w:name="_Toc88054034"/>
      <w:bookmarkStart w:id="145" w:name="_Toc88054085"/>
      <w:bookmarkStart w:id="146" w:name="_Toc88056556"/>
      <w:bookmarkStart w:id="147" w:name="_Toc88058018"/>
      <w:bookmarkStart w:id="148" w:name="_Toc481412053"/>
      <w:bookmarkStart w:id="149" w:name="_Toc481418531"/>
      <w:bookmarkStart w:id="150" w:name="_Toc486001904"/>
      <w:bookmarkStart w:id="151" w:name="_Toc525655329"/>
      <w:bookmarkStart w:id="152" w:name="_Toc525655695"/>
      <w:r>
        <w:rPr>
          <w:rStyle w:val="CharDivNo"/>
        </w:rPr>
        <w:t>Division 3</w:t>
      </w:r>
      <w:r>
        <w:t> — </w:t>
      </w:r>
      <w:r>
        <w:rPr>
          <w:rStyle w:val="CharDivText"/>
        </w:rPr>
        <w:t>Standards for the duration of interruption of supply in particular areas</w:t>
      </w:r>
      <w:bookmarkEnd w:id="144"/>
      <w:bookmarkEnd w:id="145"/>
      <w:bookmarkEnd w:id="146"/>
      <w:bookmarkEnd w:id="147"/>
      <w:bookmarkEnd w:id="148"/>
      <w:bookmarkEnd w:id="149"/>
      <w:bookmarkEnd w:id="150"/>
      <w:bookmarkEnd w:id="151"/>
      <w:bookmarkEnd w:id="152"/>
    </w:p>
    <w:p>
      <w:pPr>
        <w:pStyle w:val="Heading5"/>
      </w:pPr>
      <w:bookmarkStart w:id="153" w:name="_Toc88058019"/>
      <w:bookmarkStart w:id="154" w:name="_Toc525655696"/>
      <w:r>
        <w:rPr>
          <w:rStyle w:val="CharSectno"/>
        </w:rPr>
        <w:t>13</w:t>
      </w:r>
      <w:r>
        <w:t>.</w:t>
      </w:r>
      <w:r>
        <w:tab/>
        <w:t>Standards prescribed for particular areas</w:t>
      </w:r>
      <w:bookmarkEnd w:id="153"/>
      <w:bookmarkEnd w:id="154"/>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155" w:name="_Toc88054036"/>
      <w:bookmarkStart w:id="156" w:name="_Toc88054087"/>
      <w:bookmarkStart w:id="157" w:name="_Toc88056558"/>
      <w:bookmarkStart w:id="158" w:name="_Toc88058020"/>
      <w:bookmarkStart w:id="159" w:name="_Toc525655331"/>
      <w:bookmarkStart w:id="160" w:name="_Toc525655697"/>
      <w:r>
        <w:rPr>
          <w:rStyle w:val="CharDivNo"/>
        </w:rPr>
        <w:t>Division 3A</w:t>
      </w:r>
      <w:r>
        <w:t> — </w:t>
      </w:r>
      <w:r>
        <w:rPr>
          <w:rStyle w:val="CharDivText"/>
        </w:rPr>
        <w:t>Temporary reliability standards for supply to particular areas</w:t>
      </w:r>
      <w:bookmarkEnd w:id="155"/>
      <w:bookmarkEnd w:id="156"/>
      <w:bookmarkEnd w:id="157"/>
      <w:bookmarkEnd w:id="158"/>
      <w:bookmarkEnd w:id="159"/>
      <w:bookmarkEnd w:id="160"/>
    </w:p>
    <w:p>
      <w:pPr>
        <w:pStyle w:val="Footnoteheading"/>
      </w:pPr>
      <w:r>
        <w:tab/>
        <w:t>[Heading inserted: Gazette 25 Sep 2018 p. 3568.]</w:t>
      </w:r>
    </w:p>
    <w:p>
      <w:pPr>
        <w:pStyle w:val="Heading5"/>
      </w:pPr>
      <w:bookmarkStart w:id="161" w:name="_Toc88058021"/>
      <w:bookmarkStart w:id="162" w:name="_Toc525655698"/>
      <w:r>
        <w:rPr>
          <w:rStyle w:val="CharSectno"/>
        </w:rPr>
        <w:t>13A</w:t>
      </w:r>
      <w:r>
        <w:t>.</w:t>
      </w:r>
      <w:r>
        <w:tab/>
        <w:t>Temporary reliability standards for Eastern Goldfields and North Country</w:t>
      </w:r>
      <w:bookmarkEnd w:id="161"/>
      <w:bookmarkEnd w:id="162"/>
    </w:p>
    <w:p>
      <w:pPr>
        <w:pStyle w:val="Subsection"/>
        <w:rPr>
          <w:spacing w:val="-2"/>
        </w:rPr>
      </w:pPr>
      <w:r>
        <w:rPr>
          <w:spacing w:val="-2"/>
        </w:rPr>
        <w:tab/>
        <w:t>(1)</w:t>
      </w:r>
      <w:r>
        <w:rPr>
          <w:spacing w:val="-2"/>
        </w:rPr>
        <w:tab/>
        <w:t>The reliability standards in this Division apply during the period beginning on 1 October 2018 and ending on 30 September 2023.</w:t>
      </w:r>
    </w:p>
    <w:p>
      <w:pPr>
        <w:pStyle w:val="Subsection"/>
        <w:rPr>
          <w:spacing w:val="-2"/>
        </w:rPr>
      </w:pPr>
      <w:r>
        <w:rPr>
          <w:spacing w:val="-2"/>
        </w:rPr>
        <w:tab/>
        <w:t>(2)</w:t>
      </w:r>
      <w:r>
        <w:rPr>
          <w:spacing w:val="-2"/>
        </w:rPr>
        <w:tab/>
        <w:t xml:space="preserve">In this Division — </w:t>
      </w:r>
    </w:p>
    <w:p>
      <w:pPr>
        <w:pStyle w:val="Defstart"/>
        <w:spacing w:before="60"/>
      </w:pPr>
      <w:r>
        <w:tab/>
      </w:r>
      <w:r>
        <w:rPr>
          <w:rStyle w:val="CharDefText"/>
        </w:rPr>
        <w:t>essential services</w:t>
      </w:r>
      <w:r>
        <w:t xml:space="preserve"> includes, but are not necessarily limited to, services such as hospitals and railways where the maintenance of a supply of electricity is necessary for the maintenance of public health, order and safety.</w:t>
      </w:r>
    </w:p>
    <w:p>
      <w:pPr>
        <w:pStyle w:val="Footnotesection"/>
      </w:pPr>
      <w:r>
        <w:tab/>
        <w:t>[Section 13A inserted: Gazette 25 Sep 2018 p. 3568.]</w:t>
      </w:r>
    </w:p>
    <w:p>
      <w:pPr>
        <w:pStyle w:val="Heading5"/>
      </w:pPr>
      <w:bookmarkStart w:id="163" w:name="_Toc88058022"/>
      <w:bookmarkStart w:id="164" w:name="_Toc525655699"/>
      <w:r>
        <w:rPr>
          <w:rStyle w:val="CharSectno"/>
        </w:rPr>
        <w:t>13B</w:t>
      </w:r>
      <w:r>
        <w:t>.</w:t>
      </w:r>
      <w:r>
        <w:tab/>
        <w:t>Temporary reliability standards for supply to Eastern Goldfields</w:t>
      </w:r>
      <w:bookmarkEnd w:id="163"/>
      <w:bookmarkEnd w:id="164"/>
    </w:p>
    <w:p>
      <w:pPr>
        <w:pStyle w:val="Subsection"/>
        <w:rPr>
          <w:spacing w:val="-2"/>
        </w:rPr>
      </w:pPr>
      <w:r>
        <w:rPr>
          <w:spacing w:val="-2"/>
        </w:rPr>
        <w:tab/>
        <w:t>(1)</w:t>
      </w:r>
      <w:r>
        <w:rPr>
          <w:spacing w:val="-2"/>
        </w:rPr>
        <w:tab/>
        <w:t>Electricity Networks Corporation must, so far as is reasonably practicable, have in place arrangements to—</w:t>
      </w:r>
    </w:p>
    <w:p>
      <w:pPr>
        <w:pStyle w:val="Indenta"/>
      </w:pPr>
      <w:r>
        <w:tab/>
        <w:t>(a)</w:t>
      </w:r>
      <w:r>
        <w:tab/>
        <w:t>restore and maintain at least 45MW of supply to essential services loads and the majority of small use customers in the Eastern Goldfields as soon as is reasonably practicable following the occurrence of an unplanned outage of a transmission element supplying the Eastern Goldfields; and</w:t>
      </w:r>
    </w:p>
    <w:p>
      <w:pPr>
        <w:pStyle w:val="Indenta"/>
      </w:pPr>
      <w:r>
        <w:tab/>
        <w:t>(b)</w:t>
      </w:r>
      <w:r>
        <w:tab/>
        <w:t>maintain at least 45MW of supply to essential services loads and the majority of small use customers in the Eastern Goldfields during the occurrence of a planned outage of a transmission element supplying the Eastern Goldfields.</w:t>
      </w:r>
    </w:p>
    <w:p>
      <w:pPr>
        <w:pStyle w:val="Footnotesection"/>
      </w:pPr>
      <w:r>
        <w:tab/>
        <w:t>[Section 13B inserted: Gazette 25 Sep 2018 p. 3568</w:t>
      </w:r>
      <w:r>
        <w:noBreakHyphen/>
        <w:t>9.]</w:t>
      </w:r>
    </w:p>
    <w:p>
      <w:pPr>
        <w:pStyle w:val="Heading5"/>
      </w:pPr>
      <w:bookmarkStart w:id="165" w:name="_Toc88058023"/>
      <w:bookmarkStart w:id="166" w:name="_Toc525655700"/>
      <w:r>
        <w:rPr>
          <w:rStyle w:val="CharSectno"/>
        </w:rPr>
        <w:t>13C</w:t>
      </w:r>
      <w:r>
        <w:t>.</w:t>
      </w:r>
      <w:r>
        <w:tab/>
        <w:t>Temporary reliability standards for supply to North Country</w:t>
      </w:r>
      <w:bookmarkEnd w:id="165"/>
      <w:bookmarkEnd w:id="166"/>
    </w:p>
    <w:p>
      <w:pPr>
        <w:pStyle w:val="Subsection"/>
      </w:pPr>
      <w:r>
        <w:tab/>
        <w:t>(1)</w:t>
      </w:r>
      <w:r>
        <w:tab/>
        <w:t>Electricity Networks Corporation must, so far as is reasonably practicable, have in place arrangements to—</w:t>
      </w:r>
    </w:p>
    <w:p>
      <w:pPr>
        <w:pStyle w:val="Indenta"/>
      </w:pPr>
      <w:r>
        <w:tab/>
        <w:t>(a)</w:t>
      </w:r>
      <w:r>
        <w:tab/>
        <w:t>restore and maintain at least 50MW of supply to essential services loads and the majority of small use customers in the North Country as soon as reasonably practicable following the occurrence of an unplanned outage of a transmission element supplying the North Country; and</w:t>
      </w:r>
    </w:p>
    <w:p>
      <w:pPr>
        <w:pStyle w:val="Indenta"/>
      </w:pPr>
      <w:r>
        <w:tab/>
        <w:t>(b)</w:t>
      </w:r>
      <w:r>
        <w:tab/>
        <w:t>maintain at least 50MW of supply to essential services loads and a majority of small use customers in the North Country during a planned outage of a transmission element supplying the North Country.</w:t>
      </w:r>
    </w:p>
    <w:p>
      <w:pPr>
        <w:pStyle w:val="Footnotesection"/>
      </w:pPr>
      <w:bookmarkStart w:id="167" w:name="_Toc481412055"/>
      <w:bookmarkStart w:id="168" w:name="_Toc481418533"/>
      <w:bookmarkStart w:id="169" w:name="_Toc486001906"/>
      <w:r>
        <w:tab/>
        <w:t>[Section 13C inserted: Gazette 25 Sep 2018 p. 3569.]</w:t>
      </w:r>
    </w:p>
    <w:p>
      <w:pPr>
        <w:pStyle w:val="Heading3"/>
      </w:pPr>
      <w:bookmarkStart w:id="170" w:name="_Toc88054040"/>
      <w:bookmarkStart w:id="171" w:name="_Toc88054091"/>
      <w:bookmarkStart w:id="172" w:name="_Toc88056562"/>
      <w:bookmarkStart w:id="173" w:name="_Toc88058024"/>
      <w:bookmarkStart w:id="174" w:name="_Toc525655335"/>
      <w:bookmarkStart w:id="175" w:name="_Toc525655701"/>
      <w:r>
        <w:rPr>
          <w:rStyle w:val="CharDivNo"/>
        </w:rPr>
        <w:t>Division 4</w:t>
      </w:r>
      <w:r>
        <w:t> — </w:t>
      </w:r>
      <w:r>
        <w:rPr>
          <w:rStyle w:val="CharDivText"/>
        </w:rPr>
        <w:t>Variation of obligations under this Part</w:t>
      </w:r>
      <w:bookmarkEnd w:id="170"/>
      <w:bookmarkEnd w:id="171"/>
      <w:bookmarkEnd w:id="172"/>
      <w:bookmarkEnd w:id="173"/>
      <w:bookmarkEnd w:id="167"/>
      <w:bookmarkEnd w:id="168"/>
      <w:bookmarkEnd w:id="169"/>
      <w:bookmarkEnd w:id="174"/>
      <w:bookmarkEnd w:id="175"/>
    </w:p>
    <w:p>
      <w:pPr>
        <w:pStyle w:val="Heading5"/>
      </w:pPr>
      <w:bookmarkStart w:id="176" w:name="_Toc88058025"/>
      <w:bookmarkStart w:id="177" w:name="_Toc525655702"/>
      <w:r>
        <w:rPr>
          <w:rStyle w:val="CharSectno"/>
        </w:rPr>
        <w:t>14</w:t>
      </w:r>
      <w:r>
        <w:t>.</w:t>
      </w:r>
      <w:r>
        <w:tab/>
        <w:t>Alternative provision may be made by Minister on application</w:t>
      </w:r>
      <w:bookmarkEnd w:id="176"/>
      <w:bookmarkEnd w:id="177"/>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178" w:name="_Toc88058026"/>
      <w:bookmarkStart w:id="179" w:name="_Toc525655703"/>
      <w:r>
        <w:rPr>
          <w:rStyle w:val="CharSectno"/>
        </w:rPr>
        <w:t>15</w:t>
      </w:r>
      <w:r>
        <w:t>.</w:t>
      </w:r>
      <w:r>
        <w:tab/>
        <w:t>Provisions may be excluded or modified by agreement</w:t>
      </w:r>
      <w:bookmarkEnd w:id="178"/>
      <w:bookmarkEnd w:id="179"/>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180" w:name="_Toc88054043"/>
      <w:bookmarkStart w:id="181" w:name="_Toc88054094"/>
      <w:bookmarkStart w:id="182" w:name="_Toc88056565"/>
      <w:bookmarkStart w:id="183" w:name="_Toc88058027"/>
      <w:bookmarkStart w:id="184" w:name="_Toc481412058"/>
      <w:bookmarkStart w:id="185" w:name="_Toc481418536"/>
      <w:bookmarkStart w:id="186" w:name="_Toc486001909"/>
      <w:bookmarkStart w:id="187" w:name="_Toc525655338"/>
      <w:bookmarkStart w:id="188" w:name="_Toc525655704"/>
      <w:r>
        <w:rPr>
          <w:rStyle w:val="CharPartNo"/>
        </w:rPr>
        <w:t>Part 3</w:t>
      </w:r>
      <w:r>
        <w:rPr>
          <w:rStyle w:val="CharDivNo"/>
        </w:rPr>
        <w:t> </w:t>
      </w:r>
      <w:r>
        <w:t>—</w:t>
      </w:r>
      <w:r>
        <w:rPr>
          <w:rStyle w:val="CharDivText"/>
        </w:rPr>
        <w:t> </w:t>
      </w:r>
      <w:r>
        <w:rPr>
          <w:rStyle w:val="CharPartText"/>
        </w:rPr>
        <w:t>Payments for failure to meet certain standards</w:t>
      </w:r>
      <w:bookmarkEnd w:id="180"/>
      <w:bookmarkEnd w:id="181"/>
      <w:bookmarkEnd w:id="182"/>
      <w:bookmarkEnd w:id="183"/>
      <w:bookmarkEnd w:id="184"/>
      <w:bookmarkEnd w:id="185"/>
      <w:bookmarkEnd w:id="186"/>
      <w:bookmarkEnd w:id="187"/>
      <w:bookmarkEnd w:id="188"/>
    </w:p>
    <w:p>
      <w:pPr>
        <w:pStyle w:val="Footnoteheading"/>
      </w:pPr>
      <w:r>
        <w:tab/>
        <w:t>[Heading amended: Gazette 27 Nov 2009 p. 4781.]</w:t>
      </w:r>
    </w:p>
    <w:p>
      <w:pPr>
        <w:pStyle w:val="Heading5"/>
      </w:pPr>
      <w:bookmarkStart w:id="189" w:name="_Toc88058028"/>
      <w:bookmarkStart w:id="190" w:name="_Toc525655705"/>
      <w:r>
        <w:rPr>
          <w:rStyle w:val="CharSectno"/>
        </w:rPr>
        <w:t>16</w:t>
      </w:r>
      <w:r>
        <w:t>.</w:t>
      </w:r>
      <w:r>
        <w:tab/>
        <w:t>Terms used</w:t>
      </w:r>
      <w:bookmarkEnd w:id="189"/>
      <w:bookmarkEnd w:id="190"/>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Gazette 31 Mar 2006 p. 1346; 27 Nov 2009 p. 4782.]</w:t>
      </w:r>
    </w:p>
    <w:p>
      <w:pPr>
        <w:pStyle w:val="Heading5"/>
      </w:pPr>
      <w:bookmarkStart w:id="191" w:name="_Toc88058029"/>
      <w:bookmarkStart w:id="192" w:name="_Toc525655706"/>
      <w:r>
        <w:rPr>
          <w:rStyle w:val="CharSectno"/>
        </w:rPr>
        <w:t>17</w:t>
      </w:r>
      <w:r>
        <w:t>.</w:t>
      </w:r>
      <w:r>
        <w:tab/>
        <w:t>Interruptions to which this Part does not apply</w:t>
      </w:r>
      <w:bookmarkEnd w:id="191"/>
      <w:bookmarkEnd w:id="192"/>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Gazette 27 Nov 2009 p. 4783.]</w:t>
      </w:r>
    </w:p>
    <w:p>
      <w:pPr>
        <w:pStyle w:val="Heading5"/>
      </w:pPr>
      <w:bookmarkStart w:id="193" w:name="_Toc88058030"/>
      <w:bookmarkStart w:id="194" w:name="_Toc525655707"/>
      <w:r>
        <w:rPr>
          <w:rStyle w:val="CharSectno"/>
        </w:rPr>
        <w:t>18</w:t>
      </w:r>
      <w:r>
        <w:t>.</w:t>
      </w:r>
      <w:r>
        <w:tab/>
        <w:t>Payment for failure to give required notice of planned interruption</w:t>
      </w:r>
      <w:bookmarkEnd w:id="193"/>
      <w:bookmarkEnd w:id="194"/>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Gazette 27 Nov 2009 p. 4783.]</w:t>
      </w:r>
    </w:p>
    <w:p>
      <w:pPr>
        <w:pStyle w:val="Heading5"/>
      </w:pPr>
      <w:bookmarkStart w:id="195" w:name="_Toc88058031"/>
      <w:bookmarkStart w:id="196" w:name="_Toc525655708"/>
      <w:r>
        <w:rPr>
          <w:rStyle w:val="CharSectno"/>
        </w:rPr>
        <w:t>19</w:t>
      </w:r>
      <w:r>
        <w:t>.</w:t>
      </w:r>
      <w:r>
        <w:tab/>
        <w:t>Payment for supply interruptions exceeding 12 hours</w:t>
      </w:r>
      <w:bookmarkEnd w:id="195"/>
      <w:bookmarkEnd w:id="196"/>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Gazette 27 Nov 2009 p. 4783; 2 May 2017 p. 2289.]</w:t>
      </w:r>
    </w:p>
    <w:p>
      <w:pPr>
        <w:pStyle w:val="Heading5"/>
      </w:pPr>
      <w:bookmarkStart w:id="197" w:name="_Toc88058032"/>
      <w:bookmarkStart w:id="198" w:name="_Toc525655709"/>
      <w:r>
        <w:rPr>
          <w:rStyle w:val="CharSectno"/>
        </w:rPr>
        <w:t>20</w:t>
      </w:r>
      <w:r>
        <w:t>.</w:t>
      </w:r>
      <w:r>
        <w:tab/>
        <w:t>Only one application for each premises</w:t>
      </w:r>
      <w:bookmarkEnd w:id="197"/>
      <w:bookmarkEnd w:id="198"/>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keepNext/>
      </w:pPr>
      <w:r>
        <w:tab/>
        <w:t>(2)</w:t>
      </w:r>
      <w:r>
        <w:tab/>
        <w:t xml:space="preserve">Each premises or part of premises — </w:t>
      </w:r>
    </w:p>
    <w:p>
      <w:pPr>
        <w:pStyle w:val="Indenta"/>
        <w:keepNext/>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Gazette 27 Nov 2009 p. 4782.]</w:t>
      </w:r>
    </w:p>
    <w:p>
      <w:pPr>
        <w:pStyle w:val="Heading5"/>
      </w:pPr>
      <w:bookmarkStart w:id="199" w:name="_Toc88058033"/>
      <w:bookmarkStart w:id="200" w:name="_Toc525655710"/>
      <w:r>
        <w:rPr>
          <w:rStyle w:val="CharSectno"/>
        </w:rPr>
        <w:t>21</w:t>
      </w:r>
      <w:r>
        <w:t>.</w:t>
      </w:r>
      <w:r>
        <w:tab/>
        <w:t>Information to be provided</w:t>
      </w:r>
      <w:bookmarkEnd w:id="199"/>
      <w:bookmarkEnd w:id="200"/>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Gazette 27 Nov 2009 p. 4782</w:t>
      </w:r>
      <w:r>
        <w:noBreakHyphen/>
        <w:t>3.]</w:t>
      </w:r>
    </w:p>
    <w:p>
      <w:pPr>
        <w:pStyle w:val="Heading5"/>
      </w:pPr>
      <w:bookmarkStart w:id="201" w:name="_Toc88058034"/>
      <w:bookmarkStart w:id="202" w:name="_Toc525655711"/>
      <w:r>
        <w:rPr>
          <w:rStyle w:val="CharSectno"/>
        </w:rPr>
        <w:t>22</w:t>
      </w:r>
      <w:r>
        <w:t>.</w:t>
      </w:r>
      <w:r>
        <w:tab/>
        <w:t>Alternative methods of payment</w:t>
      </w:r>
      <w:bookmarkEnd w:id="201"/>
      <w:bookmarkEnd w:id="202"/>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Gazette 27 Nov 2009 p. 4783.]</w:t>
      </w:r>
    </w:p>
    <w:p>
      <w:pPr>
        <w:pStyle w:val="Heading2"/>
      </w:pPr>
      <w:bookmarkStart w:id="203" w:name="_Toc88054051"/>
      <w:bookmarkStart w:id="204" w:name="_Toc88054102"/>
      <w:bookmarkStart w:id="205" w:name="_Toc88056573"/>
      <w:bookmarkStart w:id="206" w:name="_Toc88058035"/>
      <w:bookmarkStart w:id="207" w:name="_Toc481412066"/>
      <w:bookmarkStart w:id="208" w:name="_Toc481418544"/>
      <w:bookmarkStart w:id="209" w:name="_Toc486001917"/>
      <w:bookmarkStart w:id="210" w:name="_Toc525655346"/>
      <w:bookmarkStart w:id="211" w:name="_Toc525655712"/>
      <w:r>
        <w:rPr>
          <w:rStyle w:val="CharPartNo"/>
        </w:rPr>
        <w:t>Part 4</w:t>
      </w:r>
      <w:r>
        <w:t> — </w:t>
      </w:r>
      <w:r>
        <w:rPr>
          <w:rStyle w:val="CharPartText"/>
        </w:rPr>
        <w:t>Duties incidental to the prescribed standards</w:t>
      </w:r>
      <w:bookmarkEnd w:id="203"/>
      <w:bookmarkEnd w:id="204"/>
      <w:bookmarkEnd w:id="205"/>
      <w:bookmarkEnd w:id="206"/>
      <w:bookmarkEnd w:id="207"/>
      <w:bookmarkEnd w:id="208"/>
      <w:bookmarkEnd w:id="209"/>
      <w:bookmarkEnd w:id="210"/>
      <w:bookmarkEnd w:id="211"/>
    </w:p>
    <w:p>
      <w:pPr>
        <w:pStyle w:val="Heading3"/>
      </w:pPr>
      <w:bookmarkStart w:id="212" w:name="_Toc88054052"/>
      <w:bookmarkStart w:id="213" w:name="_Toc88054103"/>
      <w:bookmarkStart w:id="214" w:name="_Toc88056574"/>
      <w:bookmarkStart w:id="215" w:name="_Toc88058036"/>
      <w:bookmarkStart w:id="216" w:name="_Toc481412067"/>
      <w:bookmarkStart w:id="217" w:name="_Toc481418545"/>
      <w:bookmarkStart w:id="218" w:name="_Toc486001918"/>
      <w:bookmarkStart w:id="219" w:name="_Toc525655347"/>
      <w:bookmarkStart w:id="220" w:name="_Toc525655713"/>
      <w:r>
        <w:rPr>
          <w:rStyle w:val="CharDivNo"/>
        </w:rPr>
        <w:t>Division 1</w:t>
      </w:r>
      <w:r>
        <w:t> — </w:t>
      </w:r>
      <w:r>
        <w:rPr>
          <w:rStyle w:val="CharDivText"/>
        </w:rPr>
        <w:t>Monitoring, record keeping and investigation</w:t>
      </w:r>
      <w:bookmarkEnd w:id="212"/>
      <w:bookmarkEnd w:id="213"/>
      <w:bookmarkEnd w:id="214"/>
      <w:bookmarkEnd w:id="215"/>
      <w:bookmarkEnd w:id="216"/>
      <w:bookmarkEnd w:id="217"/>
      <w:bookmarkEnd w:id="218"/>
      <w:bookmarkEnd w:id="219"/>
      <w:bookmarkEnd w:id="220"/>
    </w:p>
    <w:p>
      <w:pPr>
        <w:pStyle w:val="Heading5"/>
      </w:pPr>
      <w:bookmarkStart w:id="221" w:name="_Toc88058037"/>
      <w:bookmarkStart w:id="222" w:name="_Toc525655714"/>
      <w:r>
        <w:rPr>
          <w:rStyle w:val="CharSectno"/>
        </w:rPr>
        <w:t>23</w:t>
      </w:r>
      <w:r>
        <w:t>.</w:t>
      </w:r>
      <w:r>
        <w:tab/>
        <w:t>Monitoring and record keeping</w:t>
      </w:r>
      <w:bookmarkEnd w:id="221"/>
      <w:bookmarkEnd w:id="222"/>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 Gazette 2 May 2017 p. 2289.]</w:t>
      </w:r>
    </w:p>
    <w:p>
      <w:pPr>
        <w:pStyle w:val="Heading5"/>
      </w:pPr>
      <w:bookmarkStart w:id="223" w:name="_Toc88058038"/>
      <w:bookmarkStart w:id="224" w:name="_Toc525655715"/>
      <w:r>
        <w:rPr>
          <w:rStyle w:val="CharSectno"/>
        </w:rPr>
        <w:t>24</w:t>
      </w:r>
      <w:r>
        <w:t>.</w:t>
      </w:r>
      <w:r>
        <w:tab/>
        <w:t>Quality investigations</w:t>
      </w:r>
      <w:bookmarkEnd w:id="223"/>
      <w:bookmarkEnd w:id="224"/>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225" w:name="_Toc88054055"/>
      <w:bookmarkStart w:id="226" w:name="_Toc88054106"/>
      <w:bookmarkStart w:id="227" w:name="_Toc88056577"/>
      <w:bookmarkStart w:id="228" w:name="_Toc88058039"/>
      <w:bookmarkStart w:id="229" w:name="_Toc481412070"/>
      <w:bookmarkStart w:id="230" w:name="_Toc481418548"/>
      <w:bookmarkStart w:id="231" w:name="_Toc486001921"/>
      <w:bookmarkStart w:id="232" w:name="_Toc525655350"/>
      <w:bookmarkStart w:id="233" w:name="_Toc525655716"/>
      <w:r>
        <w:rPr>
          <w:rStyle w:val="CharDivNo"/>
        </w:rPr>
        <w:t>Division 2</w:t>
      </w:r>
      <w:r>
        <w:t> — </w:t>
      </w:r>
      <w:r>
        <w:rPr>
          <w:rStyle w:val="CharDivText"/>
        </w:rPr>
        <w:t>Complaints</w:t>
      </w:r>
      <w:bookmarkEnd w:id="225"/>
      <w:bookmarkEnd w:id="226"/>
      <w:bookmarkEnd w:id="227"/>
      <w:bookmarkEnd w:id="228"/>
      <w:bookmarkEnd w:id="229"/>
      <w:bookmarkEnd w:id="230"/>
      <w:bookmarkEnd w:id="231"/>
      <w:bookmarkEnd w:id="232"/>
      <w:bookmarkEnd w:id="233"/>
    </w:p>
    <w:p>
      <w:pPr>
        <w:pStyle w:val="Heading5"/>
      </w:pPr>
      <w:bookmarkStart w:id="234" w:name="_Toc88058040"/>
      <w:bookmarkStart w:id="235" w:name="_Toc525655717"/>
      <w:r>
        <w:rPr>
          <w:rStyle w:val="CharSectno"/>
        </w:rPr>
        <w:t>25</w:t>
      </w:r>
      <w:r>
        <w:t>.</w:t>
      </w:r>
      <w:r>
        <w:tab/>
        <w:t>Information to be given to small use customers</w:t>
      </w:r>
      <w:bookmarkEnd w:id="234"/>
      <w:bookmarkEnd w:id="235"/>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236" w:name="_Toc88054057"/>
      <w:bookmarkStart w:id="237" w:name="_Toc88054108"/>
      <w:bookmarkStart w:id="238" w:name="_Toc88056579"/>
      <w:bookmarkStart w:id="239" w:name="_Toc88058041"/>
      <w:bookmarkStart w:id="240" w:name="_Toc481412072"/>
      <w:bookmarkStart w:id="241" w:name="_Toc481418550"/>
      <w:bookmarkStart w:id="242" w:name="_Toc486001923"/>
      <w:bookmarkStart w:id="243" w:name="_Toc525655352"/>
      <w:bookmarkStart w:id="244" w:name="_Toc525655718"/>
      <w:r>
        <w:rPr>
          <w:rStyle w:val="CharDivNo"/>
        </w:rPr>
        <w:t>Division 3</w:t>
      </w:r>
      <w:r>
        <w:t> — </w:t>
      </w:r>
      <w:r>
        <w:rPr>
          <w:rStyle w:val="CharDivText"/>
        </w:rPr>
        <w:t>Performance reporting</w:t>
      </w:r>
      <w:bookmarkEnd w:id="236"/>
      <w:bookmarkEnd w:id="237"/>
      <w:bookmarkEnd w:id="238"/>
      <w:bookmarkEnd w:id="239"/>
      <w:bookmarkEnd w:id="240"/>
      <w:bookmarkEnd w:id="241"/>
      <w:bookmarkEnd w:id="242"/>
      <w:bookmarkEnd w:id="243"/>
      <w:bookmarkEnd w:id="244"/>
    </w:p>
    <w:p>
      <w:pPr>
        <w:pStyle w:val="Heading5"/>
      </w:pPr>
      <w:bookmarkStart w:id="245" w:name="_Toc88058042"/>
      <w:bookmarkStart w:id="246" w:name="_Toc525655719"/>
      <w:r>
        <w:rPr>
          <w:rStyle w:val="CharSectno"/>
        </w:rPr>
        <w:t>25A</w:t>
      </w:r>
      <w:r>
        <w:t>.</w:t>
      </w:r>
      <w:r>
        <w:tab/>
        <w:t>Term used: reporting period</w:t>
      </w:r>
      <w:bookmarkEnd w:id="245"/>
      <w:bookmarkEnd w:id="246"/>
    </w:p>
    <w:p>
      <w:pPr>
        <w:pStyle w:val="Subsection"/>
        <w:keepNext/>
      </w:pPr>
      <w:r>
        <w:tab/>
        <w:t>(1)</w:t>
      </w:r>
      <w:r>
        <w:tab/>
        <w:t xml:space="preserve">In this Division — </w:t>
      </w:r>
    </w:p>
    <w:p>
      <w:pPr>
        <w:pStyle w:val="Defstart"/>
        <w:keepNex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 Gazette 2 May 2017 p. 2289.]</w:t>
      </w:r>
    </w:p>
    <w:p>
      <w:pPr>
        <w:pStyle w:val="Heading5"/>
      </w:pPr>
      <w:bookmarkStart w:id="247" w:name="_Toc88058043"/>
      <w:bookmarkStart w:id="248" w:name="_Toc525655720"/>
      <w:r>
        <w:rPr>
          <w:rStyle w:val="CharSectno"/>
        </w:rPr>
        <w:t>26</w:t>
      </w:r>
      <w:r>
        <w:t>.</w:t>
      </w:r>
      <w:r>
        <w:tab/>
        <w:t>Audit and report on monitoring systems</w:t>
      </w:r>
      <w:bookmarkEnd w:id="247"/>
      <w:bookmarkEnd w:id="248"/>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 Gazette 2 May 2017 p. 2289</w:t>
      </w:r>
      <w:r>
        <w:noBreakHyphen/>
        <w:t>90.]</w:t>
      </w:r>
    </w:p>
    <w:p>
      <w:pPr>
        <w:pStyle w:val="Heading5"/>
      </w:pPr>
      <w:bookmarkStart w:id="249" w:name="_Toc88058044"/>
      <w:bookmarkStart w:id="250" w:name="_Toc525655721"/>
      <w:r>
        <w:rPr>
          <w:rStyle w:val="CharSectno"/>
        </w:rPr>
        <w:t>26A</w:t>
      </w:r>
      <w:r>
        <w:t>.</w:t>
      </w:r>
      <w:r>
        <w:tab/>
        <w:t>Authority may give notice regarding reporting period</w:t>
      </w:r>
      <w:bookmarkEnd w:id="249"/>
      <w:bookmarkEnd w:id="250"/>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 Gazette 2 May 2017 p. 2290.]</w:t>
      </w:r>
    </w:p>
    <w:p>
      <w:pPr>
        <w:pStyle w:val="Heading5"/>
      </w:pPr>
      <w:bookmarkStart w:id="251" w:name="_Toc88058045"/>
      <w:bookmarkStart w:id="252" w:name="_Toc525655722"/>
      <w:r>
        <w:rPr>
          <w:rStyle w:val="CharSectno"/>
        </w:rPr>
        <w:t>27</w:t>
      </w:r>
      <w:r>
        <w:t>.</w:t>
      </w:r>
      <w:r>
        <w:tab/>
        <w:t>Publication of information about performance</w:t>
      </w:r>
      <w:bookmarkEnd w:id="251"/>
      <w:bookmarkEnd w:id="252"/>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keepNext/>
      </w:pPr>
      <w:r>
        <w:tab/>
        <w:t>(3)</w:t>
      </w:r>
      <w:r>
        <w:tab/>
        <w:t>A copy of each report must be given to the Minister and the Authority not less than 7 days before it is published under subsection (1).</w:t>
      </w:r>
    </w:p>
    <w:p>
      <w:pPr>
        <w:pStyle w:val="Footnotesection"/>
      </w:pPr>
      <w:r>
        <w:tab/>
        <w:t>[Section 27 amended: Gazette 2 May 2017 p. 2290.]</w:t>
      </w:r>
    </w:p>
    <w:p>
      <w:pPr>
        <w:pStyle w:val="Heading5"/>
      </w:pPr>
      <w:bookmarkStart w:id="253" w:name="_Toc88058046"/>
      <w:bookmarkStart w:id="254" w:name="_Toc525655723"/>
      <w:r>
        <w:rPr>
          <w:rStyle w:val="CharSectno"/>
        </w:rPr>
        <w:t>28</w:t>
      </w:r>
      <w:r>
        <w:t>.</w:t>
      </w:r>
      <w:r>
        <w:tab/>
        <w:t>Reports not needed if there were no small use customers</w:t>
      </w:r>
      <w:bookmarkEnd w:id="253"/>
      <w:bookmarkEnd w:id="254"/>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 Gazette 19 Sep 2007 p. 4725</w:t>
      </w:r>
      <w:r>
        <w:noBreakHyphen/>
        <w:t>6; amended: Gazette 2 May 2017 p. 2290.]</w:t>
      </w:r>
    </w:p>
    <w:p>
      <w:pPr>
        <w:pStyle w:val="Heading5"/>
      </w:pPr>
      <w:bookmarkStart w:id="255" w:name="_Toc88058047"/>
      <w:bookmarkStart w:id="256" w:name="_Toc525655724"/>
      <w:r>
        <w:rPr>
          <w:rStyle w:val="CharSectno"/>
        </w:rPr>
        <w:t>29</w:t>
      </w:r>
      <w:r>
        <w:t>.</w:t>
      </w:r>
      <w:r>
        <w:tab/>
        <w:t>Transitional provisions for Part 4 Division 3</w:t>
      </w:r>
      <w:bookmarkEnd w:id="255"/>
      <w:bookmarkEnd w:id="256"/>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 Gazette 2 May 2017 p. 2291.]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57" w:name="_Toc88054064"/>
      <w:bookmarkStart w:id="258" w:name="_Toc88054115"/>
      <w:bookmarkStart w:id="259" w:name="_Toc88056586"/>
      <w:bookmarkStart w:id="260" w:name="_Toc88058048"/>
      <w:bookmarkStart w:id="261" w:name="_Toc481412076"/>
      <w:bookmarkStart w:id="262" w:name="_Toc481418554"/>
      <w:bookmarkStart w:id="263" w:name="_Toc486001930"/>
      <w:bookmarkStart w:id="264" w:name="_Toc525655359"/>
      <w:bookmarkStart w:id="265" w:name="_Toc525655725"/>
      <w:r>
        <w:rPr>
          <w:rStyle w:val="CharSchNo"/>
        </w:rPr>
        <w:t>Schedule 1</w:t>
      </w:r>
      <w:r>
        <w:rPr>
          <w:rStyle w:val="CharSDivNo"/>
        </w:rPr>
        <w:t> </w:t>
      </w:r>
      <w:r>
        <w:t>—</w:t>
      </w:r>
      <w:r>
        <w:rPr>
          <w:rStyle w:val="CharSDivText"/>
        </w:rPr>
        <w:t> </w:t>
      </w:r>
      <w:r>
        <w:rPr>
          <w:rStyle w:val="CharSchText"/>
        </w:rPr>
        <w:t>Information to be published</w:t>
      </w:r>
      <w:bookmarkEnd w:id="257"/>
      <w:bookmarkEnd w:id="258"/>
      <w:bookmarkEnd w:id="259"/>
      <w:bookmarkEnd w:id="260"/>
      <w:bookmarkEnd w:id="261"/>
      <w:bookmarkEnd w:id="262"/>
      <w:bookmarkEnd w:id="263"/>
      <w:bookmarkEnd w:id="264"/>
      <w:bookmarkEnd w:id="265"/>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ins w:id="266" w:author="Master Repository Process" w:date="2021-11-17T16:19:00Z">
        <w:r>
          <w:t xml:space="preserve"> </w:t>
        </w:r>
        <w:r>
          <w:rPr>
            <w:lang w:eastAsia="zh-CN"/>
          </w:rPr>
          <w:t>and is not a stand</w:t>
        </w:r>
        <w:r>
          <w:rPr>
            <w:lang w:eastAsia="zh-CN"/>
          </w:rPr>
          <w:noBreakHyphen/>
          <w:t>alone power system that is part of a covered network</w:t>
        </w:r>
      </w:ins>
      <w:r>
        <w:t>;</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Ednoteitem"/>
        <w:tabs>
          <w:tab w:val="left" w:pos="851"/>
        </w:tabs>
        <w:rPr>
          <w:del w:id="267" w:author="Master Repository Process" w:date="2021-11-17T16:19:00Z"/>
        </w:rPr>
      </w:pPr>
      <w:del w:id="268" w:author="Master Repository Process" w:date="2021-11-17T16:19:00Z">
        <w:r>
          <w:delText>[3.</w:delText>
        </w:r>
        <w:r>
          <w:tab/>
          <w:delText>deleted]</w:delText>
        </w:r>
      </w:del>
    </w:p>
    <w:p>
      <w:pPr>
        <w:pStyle w:val="yNumberedItem"/>
        <w:rPr>
          <w:ins w:id="269" w:author="Master Repository Process" w:date="2021-11-17T16:19:00Z"/>
        </w:rPr>
      </w:pPr>
      <w:ins w:id="270" w:author="Master Repository Process" w:date="2021-11-17T16:19:00Z">
        <w:r>
          <w:t>3.</w:t>
        </w:r>
        <w:r>
          <w:tab/>
          <w:t>In addition to the matters described in item 2, a transmitter or distributor, in preparing a report under s27(1)(a) is to set out the information specified in items 7 and 11, so far as it relates to the operations of the transmitter or distributor for all—</w:t>
        </w:r>
      </w:ins>
    </w:p>
    <w:p>
      <w:pPr>
        <w:pStyle w:val="yIndenta"/>
        <w:rPr>
          <w:ins w:id="271" w:author="Master Repository Process" w:date="2021-11-17T16:19:00Z"/>
        </w:rPr>
      </w:pPr>
      <w:ins w:id="272" w:author="Master Repository Process" w:date="2021-11-17T16:19:00Z">
        <w:r>
          <w:tab/>
          <w:t>(a)</w:t>
        </w:r>
        <w:r>
          <w:tab/>
          <w:t>stand-alone power systems that form part of the transmitter or distributor’s covered network; and</w:t>
        </w:r>
      </w:ins>
    </w:p>
    <w:p>
      <w:pPr>
        <w:pStyle w:val="yIndenta"/>
        <w:rPr>
          <w:ins w:id="273" w:author="Master Repository Process" w:date="2021-11-17T16:19:00Z"/>
          <w:lang w:eastAsia="zh-CN"/>
        </w:rPr>
      </w:pPr>
      <w:ins w:id="274" w:author="Master Repository Process" w:date="2021-11-17T16:19:00Z">
        <w:r>
          <w:tab/>
          <w:t>(b)</w:t>
        </w:r>
        <w:r>
          <w:tab/>
          <w:t>other stand-alone power systems provided by the transmitter or distributor.</w:t>
        </w:r>
      </w:ins>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Gazette 2 May 2017 p. 2291</w:t>
      </w:r>
      <w:ins w:id="275" w:author="Master Repository Process" w:date="2021-11-17T16:19:00Z">
        <w:r>
          <w:t>; Gazette 5 Nov 2021 p. 4970</w:t>
        </w:r>
      </w:ins>
      <w:r>
        <w:t>.]</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277" w:name="_Toc88056587"/>
      <w:bookmarkStart w:id="278" w:name="_Toc88058049"/>
      <w:bookmarkStart w:id="279" w:name="_Toc481412077"/>
      <w:bookmarkStart w:id="280" w:name="_Toc481418555"/>
      <w:bookmarkStart w:id="281" w:name="_Toc486001931"/>
      <w:bookmarkStart w:id="282" w:name="_Toc525655360"/>
      <w:bookmarkStart w:id="283" w:name="_Toc525655726"/>
      <w:bookmarkStart w:id="284" w:name="_Toc88054067"/>
      <w:bookmarkStart w:id="285" w:name="_Toc88054118"/>
      <w:r>
        <w:t>Notes</w:t>
      </w:r>
      <w:bookmarkEnd w:id="277"/>
      <w:bookmarkEnd w:id="278"/>
      <w:bookmarkEnd w:id="279"/>
      <w:bookmarkEnd w:id="280"/>
      <w:bookmarkEnd w:id="281"/>
      <w:bookmarkEnd w:id="282"/>
      <w:bookmarkEnd w:id="283"/>
    </w:p>
    <w:p>
      <w:pPr>
        <w:pStyle w:val="nStatement"/>
      </w:pPr>
      <w:del w:id="286" w:author="Master Repository Process" w:date="2021-11-17T16:19:00Z">
        <w:r>
          <w:rPr>
            <w:snapToGrid w:val="0"/>
            <w:vertAlign w:val="superscript"/>
          </w:rPr>
          <w:delText>1</w:delText>
        </w:r>
        <w:r>
          <w:rPr>
            <w:snapToGrid w:val="0"/>
          </w:rPr>
          <w:tab/>
        </w:r>
      </w:del>
      <w:r>
        <w:t xml:space="preserve">This is a compilation of the </w:t>
      </w:r>
      <w:r>
        <w:rPr>
          <w:i/>
          <w:noProof/>
        </w:rPr>
        <w:t>Electricity Industry (Network Quality and Reliability of Supply) Code 2005</w:t>
      </w:r>
      <w:r>
        <w:t xml:space="preserve"> and includes </w:t>
      </w:r>
      <w:del w:id="287" w:author="Master Repository Process" w:date="2021-11-17T16:19:00Z">
        <w:r>
          <w:rPr>
            <w:snapToGrid w:val="0"/>
          </w:rPr>
          <w:delText xml:space="preserve">the </w:delText>
        </w:r>
      </w:del>
      <w:r>
        <w:t xml:space="preserve">amendments made by </w:t>
      </w:r>
      <w:del w:id="288" w:author="Master Repository Process" w:date="2021-11-17T16:19:00Z">
        <w:r>
          <w:rPr>
            <w:snapToGrid w:val="0"/>
          </w:rPr>
          <w:delText xml:space="preserve">the </w:delText>
        </w:r>
      </w:del>
      <w:r>
        <w:t>other written laws</w:t>
      </w:r>
      <w:del w:id="289" w:author="Master Repository Process" w:date="2021-11-17T16:19:00Z">
        <w:r>
          <w:rPr>
            <w:snapToGrid w:val="0"/>
          </w:rPr>
          <w:delText xml:space="preserve"> referred to in the following table.  The table also contains</w:delText>
        </w:r>
      </w:del>
      <w:ins w:id="290" w:author="Master Repository Process" w:date="2021-11-17T16:19:00Z">
        <w:r>
          <w:t>. For provisions that have come into operation, and for</w:t>
        </w:r>
      </w:ins>
      <w:r>
        <w:t xml:space="preserve"> information about any </w:t>
      </w:r>
      <w:del w:id="291" w:author="Master Repository Process" w:date="2021-11-17T16:19:00Z">
        <w:r>
          <w:rPr>
            <w:snapToGrid w:val="0"/>
          </w:rPr>
          <w:delText>reprint</w:delText>
        </w:r>
      </w:del>
      <w:ins w:id="292" w:author="Master Repository Process" w:date="2021-11-17T16:19:00Z">
        <w:r>
          <w:t>reprints, see the compilation table</w:t>
        </w:r>
      </w:ins>
      <w:r>
        <w:t>.</w:t>
      </w:r>
    </w:p>
    <w:p>
      <w:pPr>
        <w:pStyle w:val="nHeading3"/>
      </w:pPr>
      <w:bookmarkStart w:id="293" w:name="_Toc88058050"/>
      <w:bookmarkStart w:id="294" w:name="_Toc525655727"/>
      <w:r>
        <w:t>Compilation table</w:t>
      </w:r>
      <w:bookmarkEnd w:id="293"/>
      <w:bookmarkEnd w:id="29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95" w:author="Master Repository Process" w:date="2021-11-17T16:19:00Z">
              <w:r>
                <w:rPr>
                  <w:b/>
                  <w:bCs/>
                </w:rPr>
                <w:delText>Gazettal</w:delText>
              </w:r>
            </w:del>
            <w:ins w:id="296" w:author="Master Repository Process" w:date="2021-11-17T16:19: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Pr>
          <w:p>
            <w:pPr>
              <w:pStyle w:val="nTable"/>
              <w:spacing w:after="40"/>
            </w:pPr>
            <w:r>
              <w:t>2 May 2017 p. 2287</w:t>
            </w:r>
            <w:r>
              <w:noBreakHyphen/>
              <w:t>91</w:t>
            </w:r>
          </w:p>
        </w:tc>
        <w:tc>
          <w:tcPr>
            <w:tcW w:w="2693" w:type="dxa"/>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2018</w:t>
            </w:r>
          </w:p>
        </w:tc>
        <w:tc>
          <w:tcPr>
            <w:tcW w:w="1276" w:type="dxa"/>
            <w:tcBorders>
              <w:top w:val="nil"/>
              <w:bottom w:val="nil"/>
            </w:tcBorders>
          </w:tcPr>
          <w:p>
            <w:pPr>
              <w:pStyle w:val="nTable"/>
              <w:spacing w:after="40"/>
            </w:pPr>
            <w:r>
              <w:t>25 Sep 2018 p. 3568</w:t>
            </w:r>
            <w:r>
              <w:noBreakHyphen/>
              <w:t>9</w:t>
            </w:r>
          </w:p>
        </w:tc>
        <w:tc>
          <w:tcPr>
            <w:tcW w:w="2693" w:type="dxa"/>
            <w:tcBorders>
              <w:top w:val="nil"/>
              <w:bottom w:val="nil"/>
            </w:tcBorders>
          </w:tcPr>
          <w:p>
            <w:pPr>
              <w:pStyle w:val="nTable"/>
              <w:spacing w:after="40"/>
              <w:rPr>
                <w:snapToGrid w:val="0"/>
              </w:rPr>
            </w:pPr>
            <w:r>
              <w:rPr>
                <w:snapToGrid w:val="0"/>
              </w:rPr>
              <w:t>1 Oct 2018 (see s. 2)</w:t>
            </w:r>
          </w:p>
        </w:tc>
      </w:tr>
    </w:tbl>
    <w:p>
      <w:pPr>
        <w:pStyle w:val="nTable"/>
        <w:spacing w:after="40"/>
        <w:rPr>
          <w:del w:id="297" w:author="Master Repository Process" w:date="2021-11-17T16:19:00Z"/>
          <w:i/>
          <w:iCs/>
          <w:noProof/>
          <w:snapToGrid w:val="0"/>
        </w:rPr>
      </w:pPr>
      <w:del w:id="298" w:author="Master Repository Process" w:date="2021-11-17T16:19:00Z">
        <w:r>
          <w:rPr>
            <w:snapToGrid w:val="0"/>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299" w:author="Master Repository Process" w:date="2021-11-17T16:19:00Z"/>
        </w:trPr>
        <w:tc>
          <w:tcPr>
            <w:tcW w:w="3118" w:type="dxa"/>
            <w:tcBorders>
              <w:bottom w:val="single" w:sz="4" w:space="0" w:color="auto"/>
            </w:tcBorders>
          </w:tcPr>
          <w:p>
            <w:pPr>
              <w:pStyle w:val="nTable"/>
              <w:spacing w:after="40"/>
              <w:rPr>
                <w:ins w:id="300" w:author="Master Repository Process" w:date="2021-11-17T16:19:00Z"/>
                <w:i/>
                <w:iCs/>
                <w:noProof/>
                <w:snapToGrid w:val="0"/>
              </w:rPr>
            </w:pPr>
            <w:ins w:id="301" w:author="Master Repository Process" w:date="2021-11-17T16:19:00Z">
              <w:r>
                <w:rPr>
                  <w:i/>
                  <w:iCs/>
                  <w:noProof/>
                  <w:snapToGrid w:val="0"/>
                </w:rPr>
                <w:t>Electricity Industry (Network Quality and Reliability of Supply) Code Amendments 2021</w:t>
              </w:r>
            </w:ins>
          </w:p>
        </w:tc>
        <w:tc>
          <w:tcPr>
            <w:tcW w:w="1276" w:type="dxa"/>
            <w:tcBorders>
              <w:bottom w:val="single" w:sz="4" w:space="0" w:color="auto"/>
            </w:tcBorders>
          </w:tcPr>
          <w:p>
            <w:pPr>
              <w:pStyle w:val="nTable"/>
              <w:spacing w:after="40"/>
              <w:rPr>
                <w:ins w:id="302" w:author="Master Repository Process" w:date="2021-11-17T16:19:00Z"/>
              </w:rPr>
            </w:pPr>
            <w:ins w:id="303" w:author="Master Repository Process" w:date="2021-11-17T16:19:00Z">
              <w:r>
                <w:t>5 Nov 2021 p. 4968</w:t>
              </w:r>
              <w:r>
                <w:noBreakHyphen/>
                <w:t>70</w:t>
              </w:r>
            </w:ins>
          </w:p>
        </w:tc>
        <w:tc>
          <w:tcPr>
            <w:tcW w:w="2693" w:type="dxa"/>
            <w:tcBorders>
              <w:bottom w:val="single" w:sz="4" w:space="0" w:color="auto"/>
            </w:tcBorders>
          </w:tcPr>
          <w:p>
            <w:pPr>
              <w:pStyle w:val="nTable"/>
              <w:spacing w:after="40"/>
              <w:rPr>
                <w:ins w:id="304" w:author="Master Repository Process" w:date="2021-11-17T16:19:00Z"/>
                <w:snapToGrid w:val="0"/>
              </w:rPr>
            </w:pPr>
            <w:ins w:id="305" w:author="Master Repository Process" w:date="2021-11-17T16:19:00Z">
              <w:r>
                <w:t>6 Nov 2021</w:t>
              </w:r>
              <w:r>
                <w:rPr>
                  <w:snapToGrid w:val="0"/>
                </w:rPr>
                <w:t xml:space="preserve"> (see s. 2)</w:t>
              </w:r>
            </w:ins>
          </w:p>
        </w:tc>
      </w:tr>
    </w:tbl>
    <w:p>
      <w:pPr>
        <w:pStyle w:val="nHeading3"/>
        <w:rPr>
          <w:ins w:id="306" w:author="Master Repository Process" w:date="2021-11-17T16:19:00Z"/>
        </w:rPr>
      </w:pPr>
      <w:bookmarkStart w:id="307" w:name="_Toc88058051"/>
      <w:ins w:id="308" w:author="Master Repository Process" w:date="2021-11-17T16:19:00Z">
        <w:r>
          <w:t>Other notes</w:t>
        </w:r>
        <w:bookmarkEnd w:id="307"/>
      </w:ins>
    </w:p>
    <w:p>
      <w:pPr>
        <w:pStyle w:val="nNote"/>
        <w:spacing w:before="120"/>
        <w:rPr>
          <w:rFonts w:ascii="Arial" w:hAnsi="Arial"/>
        </w:rPr>
      </w:pPr>
      <w:ins w:id="309" w:author="Master Repository Process" w:date="2021-11-17T16:19:00Z">
        <w:r>
          <w:rPr>
            <w:snapToGrid w:val="0"/>
            <w:vertAlign w:val="superscript"/>
          </w:rPr>
          <w:t>1</w:t>
        </w:r>
      </w:ins>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284"/>
    <w:bookmarkEnd w:id="285"/>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10" w:name="Compilation"/>
    <w:bookmarkEnd w:id="31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1" w:name="Coversheet"/>
    <w:bookmarkEnd w:id="3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6" w:name="Schedule"/>
    <w:bookmarkEnd w:id="27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17150519"/>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 w:name="WAFER_202111171505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17150519_GUID" w:val="dd2e3aca-6130-4640-83a9-2d2cccd81d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9C3DBB-7BEE-4B19-B742-2DF4C062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Hang24">
    <w:name w:val="Hang 2/4"/>
    <w:basedOn w:val="Normal"/>
    <w:uiPriority w:val="20"/>
    <w:pPr>
      <w:spacing w:after="60" w:line="190" w:lineRule="exact"/>
      <w:ind w:left="680" w:hanging="340"/>
      <w:jc w:val="both"/>
    </w:pPr>
    <w:rPr>
      <w:rFonts w:ascii="Century Schoolbook" w:hAnsi="Century Schoolbook"/>
      <w:sz w:val="18"/>
      <w:lang w:eastAsia="en-US"/>
    </w:rPr>
  </w:style>
  <w:style w:type="paragraph" w:customStyle="1" w:styleId="Hang46">
    <w:name w:val="Hang 4/6"/>
    <w:basedOn w:val="Hang24"/>
    <w:uiPriority w:val="21"/>
    <w:pPr>
      <w:ind w:left="1020"/>
    </w:pPr>
  </w:style>
  <w:style w:type="paragraph" w:customStyle="1" w:styleId="Indent46">
    <w:name w:val="Indent 4/6"/>
    <w:basedOn w:val="Normal"/>
    <w:uiPriority w:val="22"/>
    <w:pPr>
      <w:tabs>
        <w:tab w:val="right" w:pos="907"/>
        <w:tab w:val="left" w:pos="1021"/>
      </w:tabs>
      <w:spacing w:after="60" w:line="190" w:lineRule="exact"/>
      <w:ind w:left="1021" w:hanging="1021"/>
      <w:jc w:val="both"/>
    </w:pPr>
    <w:rPr>
      <w:rFonts w:ascii="Century Schoolbook" w:hAnsi="Century Schoolbook"/>
      <w:sz w:val="18"/>
      <w:lang w:eastAsia="en-US"/>
    </w:rPr>
  </w:style>
  <w:style w:type="paragraph" w:customStyle="1" w:styleId="Indent2">
    <w:name w:val="Indent 2"/>
    <w:basedOn w:val="Normal"/>
    <w:uiPriority w:val="12"/>
    <w:pPr>
      <w:spacing w:after="60" w:line="190" w:lineRule="exact"/>
      <w:ind w:left="340"/>
      <w:jc w:val="both"/>
    </w:pPr>
    <w:rPr>
      <w:rFonts w:ascii="Century Schoolbook" w:hAnsi="Century Schoolbook"/>
      <w:sz w:val="18"/>
      <w:lang w:eastAsia="en-US"/>
    </w:rPr>
  </w:style>
  <w:style w:type="paragraph" w:customStyle="1" w:styleId="Indent4">
    <w:name w:val="Indent 4"/>
    <w:basedOn w:val="Indent2"/>
    <w:uiPriority w:val="13"/>
    <w:pPr>
      <w:ind w:left="680"/>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6325">
      <w:bodyDiv w:val="1"/>
      <w:marLeft w:val="0"/>
      <w:marRight w:val="0"/>
      <w:marTop w:val="0"/>
      <w:marBottom w:val="0"/>
      <w:divBdr>
        <w:top w:val="none" w:sz="0" w:space="0" w:color="auto"/>
        <w:left w:val="none" w:sz="0" w:space="0" w:color="auto"/>
        <w:bottom w:val="none" w:sz="0" w:space="0" w:color="auto"/>
        <w:right w:val="none" w:sz="0" w:space="0" w:color="auto"/>
      </w:divBdr>
    </w:div>
    <w:div w:id="189298899">
      <w:bodyDiv w:val="1"/>
      <w:marLeft w:val="0"/>
      <w:marRight w:val="0"/>
      <w:marTop w:val="0"/>
      <w:marBottom w:val="0"/>
      <w:divBdr>
        <w:top w:val="none" w:sz="0" w:space="0" w:color="auto"/>
        <w:left w:val="none" w:sz="0" w:space="0" w:color="auto"/>
        <w:bottom w:val="none" w:sz="0" w:space="0" w:color="auto"/>
        <w:right w:val="none" w:sz="0" w:space="0" w:color="auto"/>
      </w:divBdr>
    </w:div>
    <w:div w:id="816383989">
      <w:bodyDiv w:val="1"/>
      <w:marLeft w:val="0"/>
      <w:marRight w:val="0"/>
      <w:marTop w:val="0"/>
      <w:marBottom w:val="0"/>
      <w:divBdr>
        <w:top w:val="none" w:sz="0" w:space="0" w:color="auto"/>
        <w:left w:val="none" w:sz="0" w:space="0" w:color="auto"/>
        <w:bottom w:val="none" w:sz="0" w:space="0" w:color="auto"/>
        <w:right w:val="none" w:sz="0" w:space="0" w:color="auto"/>
      </w:divBdr>
    </w:div>
    <w:div w:id="1364287830">
      <w:bodyDiv w:val="1"/>
      <w:marLeft w:val="0"/>
      <w:marRight w:val="0"/>
      <w:marTop w:val="0"/>
      <w:marBottom w:val="0"/>
      <w:divBdr>
        <w:top w:val="none" w:sz="0" w:space="0" w:color="auto"/>
        <w:left w:val="none" w:sz="0" w:space="0" w:color="auto"/>
        <w:bottom w:val="none" w:sz="0" w:space="0" w:color="auto"/>
        <w:right w:val="none" w:sz="0" w:space="0" w:color="auto"/>
      </w:divBdr>
    </w:div>
    <w:div w:id="1420522920">
      <w:bodyDiv w:val="1"/>
      <w:marLeft w:val="0"/>
      <w:marRight w:val="0"/>
      <w:marTop w:val="0"/>
      <w:marBottom w:val="0"/>
      <w:divBdr>
        <w:top w:val="none" w:sz="0" w:space="0" w:color="auto"/>
        <w:left w:val="none" w:sz="0" w:space="0" w:color="auto"/>
        <w:bottom w:val="none" w:sz="0" w:space="0" w:color="auto"/>
        <w:right w:val="none" w:sz="0" w:space="0" w:color="auto"/>
      </w:divBdr>
    </w:div>
    <w:div w:id="18344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E5FE3-F9D6-4AC0-A3A1-DD7FBD171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6813</Words>
  <Characters>33863</Characters>
  <Application>Microsoft Office Word</Application>
  <DocSecurity>0</DocSecurity>
  <Lines>995</Lines>
  <Paragraphs>589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40087</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01-d0-01 - 01-e0-00</dc:title>
  <dc:subject/>
  <dc:creator/>
  <cp:keywords/>
  <dc:description/>
  <cp:lastModifiedBy>Master Repository Process</cp:lastModifiedBy>
  <cp:revision>2</cp:revision>
  <cp:lastPrinted>2017-05-02T04:46:00Z</cp:lastPrinted>
  <dcterms:created xsi:type="dcterms:W3CDTF">2021-11-17T08:19:00Z</dcterms:created>
  <dcterms:modified xsi:type="dcterms:W3CDTF">2021-11-17T08:19:00Z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CommencementDate">
    <vt:lpwstr>20211106</vt:lpwstr>
  </property>
  <property fmtid="{D5CDD505-2E9C-101B-9397-08002B2CF9AE}" pid="8" name="FromSuffix">
    <vt:lpwstr>01-d0-01</vt:lpwstr>
  </property>
  <property fmtid="{D5CDD505-2E9C-101B-9397-08002B2CF9AE}" pid="9" name="FromAsAtDate">
    <vt:lpwstr>01 Oct 2018</vt:lpwstr>
  </property>
  <property fmtid="{D5CDD505-2E9C-101B-9397-08002B2CF9AE}" pid="10" name="ToSuffix">
    <vt:lpwstr>01-e0-00</vt:lpwstr>
  </property>
  <property fmtid="{D5CDD505-2E9C-101B-9397-08002B2CF9AE}" pid="11" name="ToAsAtDate">
    <vt:lpwstr>06 Nov 2021</vt:lpwstr>
  </property>
</Properties>
</file>