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2021</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01 Jan 2022</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12-31T10:23:00Z"/>
        </w:rPr>
      </w:pPr>
      <w:del w:id="2" w:author="Master Repository Process" w:date="2021-12-31T10:23:00Z">
        <w:r>
          <w:lastRenderedPageBreak/>
          <w:delText>Western Australia</w:delText>
        </w:r>
      </w:del>
    </w:p>
    <w:p>
      <w:pPr>
        <w:pStyle w:val="PrincipalActReg"/>
      </w:pPr>
      <w:r>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3" w:name="_Toc90995488"/>
      <w:bookmarkStart w:id="4" w:name="_Toc90998541"/>
      <w:bookmarkStart w:id="5" w:name="_Toc91081201"/>
      <w:bookmarkStart w:id="6" w:name="_Toc89179808"/>
      <w:bookmarkStart w:id="7" w:name="_Toc89181275"/>
      <w:bookmarkStart w:id="8" w:name="_Toc89252492"/>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10" w:name="_Toc91081202"/>
      <w:bookmarkStart w:id="11" w:name="_Toc89252493"/>
      <w:r>
        <w:rPr>
          <w:rStyle w:val="CharSectno"/>
        </w:rPr>
        <w:t>1</w:t>
      </w:r>
      <w:r>
        <w:t>.</w:t>
      </w:r>
      <w:r>
        <w:tab/>
        <w:t>Citation</w:t>
      </w:r>
      <w:bookmarkEnd w:id="10"/>
      <w:bookmarkEnd w:id="11"/>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12" w:name="_Toc91081203"/>
      <w:bookmarkStart w:id="13" w:name="_Toc89252494"/>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14" w:name="_Toc91081204"/>
      <w:bookmarkStart w:id="15" w:name="_Toc89252495"/>
      <w:r>
        <w:rPr>
          <w:rStyle w:val="CharSectno"/>
        </w:rPr>
        <w:t>3</w:t>
      </w:r>
      <w:r>
        <w:rPr>
          <w:snapToGrid w:val="0"/>
        </w:rPr>
        <w:t>.</w:t>
      </w:r>
      <w:r>
        <w:rPr>
          <w:snapToGrid w:val="0"/>
        </w:rPr>
        <w:tab/>
        <w:t>Terms used</w:t>
      </w:r>
      <w:bookmarkEnd w:id="14"/>
      <w:bookmarkEnd w:id="15"/>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ISC Ltd for use as an NLIS device;</w:t>
      </w:r>
    </w:p>
    <w:p>
      <w:pPr>
        <w:pStyle w:val="Defstart"/>
      </w:pPr>
      <w:r>
        <w:tab/>
      </w:r>
      <w:r>
        <w:rPr>
          <w:rStyle w:val="CharDefText"/>
        </w:rPr>
        <w:t>accredited tag</w:t>
      </w:r>
      <w:r>
        <w:t xml:space="preserve"> means a tag that is accredited by ISC Ltd for use as an NLIS tag;</w:t>
      </w:r>
    </w:p>
    <w:p>
      <w:pPr>
        <w:pStyle w:val="Defstart"/>
      </w:pPr>
      <w:r>
        <w:tab/>
      </w:r>
      <w:r>
        <w:rPr>
          <w:rStyle w:val="CharDefText"/>
        </w:rPr>
        <w:t>allotted</w:t>
      </w:r>
      <w:r>
        <w:t xml:space="preserve"> means allotted under these regulations by the Director General;</w:t>
      </w:r>
    </w:p>
    <w:p>
      <w:pPr>
        <w:pStyle w:val="Defstart"/>
      </w:pPr>
      <w:r>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donkey</w:t>
      </w:r>
      <w:r>
        <w:t xml:space="preserve"> includes a donkey hybrid;</w:t>
      </w:r>
    </w:p>
    <w:p>
      <w:pPr>
        <w:pStyle w:val="Defstart"/>
      </w:pPr>
      <w:r>
        <w:tab/>
      </w:r>
      <w:r>
        <w:rPr>
          <w:rStyle w:val="CharDefText"/>
        </w:rPr>
        <w:t>electronic number</w:t>
      </w:r>
      <w:r>
        <w:t xml:space="preserve"> has the meaning given in regulation 47(1)(c);</w:t>
      </w:r>
    </w:p>
    <w:p>
      <w:pPr>
        <w:pStyle w:val="Defstart"/>
      </w:pPr>
      <w:r>
        <w:rPr>
          <w:b/>
        </w:rPr>
        <w:tab/>
      </w:r>
      <w:r>
        <w:rPr>
          <w:rStyle w:val="CharDefText"/>
        </w:rPr>
        <w:t>export depot</w:t>
      </w:r>
      <w:r>
        <w:t xml:space="preserve"> means a non</w:t>
      </w:r>
      <w:r>
        <w:noBreakHyphen/>
        <w:t>farming property where stock is kept for export;</w:t>
      </w:r>
    </w:p>
    <w:p>
      <w:pPr>
        <w:pStyle w:val="Defstart"/>
      </w:pPr>
      <w:r>
        <w:rPr>
          <w:b/>
        </w:rPr>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tab/>
      </w:r>
      <w:r>
        <w:rPr>
          <w:rStyle w:val="CharDefText"/>
        </w:rPr>
        <w:t>ISC Ltd</w:t>
      </w:r>
      <w:r>
        <w:t xml:space="preserve"> means Integrity Systems Company Limited (ACN 134 745 038);</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tab/>
      </w:r>
      <w:r>
        <w:rPr>
          <w:rStyle w:val="CharDefText"/>
        </w:rPr>
        <w:t>NLIS identifier</w:t>
      </w:r>
      <w:r>
        <w:t xml:space="preserve"> means an NLIS device or an NLIS tag;</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t>Dundas;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keepNext/>
      </w:pPr>
      <w:r>
        <w:tab/>
      </w:r>
      <w:r>
        <w:rPr>
          <w:rStyle w:val="CharDefText"/>
        </w:rPr>
        <w:t>waybill</w:t>
      </w:r>
      <w:r>
        <w:t xml:space="preserve"> means a waybill that meets the requirements of Part 8.</w:t>
      </w:r>
    </w:p>
    <w:p>
      <w:pPr>
        <w:pStyle w:val="Footnotesection"/>
      </w:pPr>
      <w:r>
        <w:tab/>
        <w:t>[Regulation 3 amended: Gazette 27 Jun 2019 p. 2408 and 2450</w:t>
      </w:r>
      <w:r>
        <w:noBreakHyphen/>
        <w:t>1.]</w:t>
      </w:r>
    </w:p>
    <w:p>
      <w:pPr>
        <w:pStyle w:val="Heading5"/>
      </w:pPr>
      <w:bookmarkStart w:id="16" w:name="_Toc91081205"/>
      <w:bookmarkStart w:id="17" w:name="_Toc89252496"/>
      <w:r>
        <w:rPr>
          <w:rStyle w:val="CharSectno"/>
        </w:rPr>
        <w:t>4</w:t>
      </w:r>
      <w:r>
        <w:t>.</w:t>
      </w:r>
      <w:r>
        <w:tab/>
        <w:t>References to animals and stock</w:t>
      </w:r>
      <w:bookmarkEnd w:id="16"/>
      <w:bookmarkEnd w:id="17"/>
    </w:p>
    <w:p>
      <w:pPr>
        <w:pStyle w:val="Subsection"/>
      </w:pPr>
      <w:r>
        <w:tab/>
      </w:r>
      <w:r>
        <w:tab/>
        <w:t xml:space="preserve">Unless these regulations provide otherwise, a reference in these regulations to an animal, or stock, is a reference to any of the following — </w:t>
      </w:r>
    </w:p>
    <w:p>
      <w:pPr>
        <w:pStyle w:val="Indenta"/>
      </w:pPr>
      <w:r>
        <w:tab/>
        <w:t>(a)</w:t>
      </w:r>
      <w:r>
        <w:tab/>
        <w:t>a buffalo;</w:t>
      </w:r>
    </w:p>
    <w:p>
      <w:pPr>
        <w:pStyle w:val="Indenta"/>
      </w:pPr>
      <w:r>
        <w:tab/>
        <w:t>(b)</w:t>
      </w:r>
      <w:r>
        <w:tab/>
        <w:t>cattle;</w:t>
      </w:r>
    </w:p>
    <w:p>
      <w:pPr>
        <w:pStyle w:val="Indenta"/>
      </w:pPr>
      <w:r>
        <w:tab/>
        <w:t>(c)</w:t>
      </w:r>
      <w:r>
        <w:tab/>
        <w:t>a camel;</w:t>
      </w:r>
    </w:p>
    <w:p>
      <w:pPr>
        <w:pStyle w:val="Indenta"/>
      </w:pPr>
      <w:r>
        <w:tab/>
        <w:t>(d)</w:t>
      </w:r>
      <w:r>
        <w:tab/>
        <w:t>a deer;</w:t>
      </w:r>
    </w:p>
    <w:p>
      <w:pPr>
        <w:pStyle w:val="Indenta"/>
      </w:pPr>
      <w:r>
        <w:tab/>
        <w:t>(e)</w:t>
      </w:r>
      <w:r>
        <w:tab/>
        <w:t>a donkey;</w:t>
      </w:r>
    </w:p>
    <w:p>
      <w:pPr>
        <w:pStyle w:val="Indenta"/>
      </w:pPr>
      <w:r>
        <w:tab/>
        <w:t>(f)</w:t>
      </w:r>
      <w:r>
        <w:tab/>
        <w:t>a goat;</w:t>
      </w:r>
    </w:p>
    <w:p>
      <w:pPr>
        <w:pStyle w:val="Indenta"/>
      </w:pPr>
      <w:r>
        <w:tab/>
        <w:t>(g)</w:t>
      </w:r>
      <w:r>
        <w:tab/>
        <w:t>a horse;</w:t>
      </w:r>
    </w:p>
    <w:p>
      <w:pPr>
        <w:pStyle w:val="Indenta"/>
      </w:pPr>
      <w:r>
        <w:tab/>
        <w:t>(h)</w:t>
      </w:r>
      <w:r>
        <w:tab/>
        <w:t>an ostrich;</w:t>
      </w:r>
    </w:p>
    <w:p>
      <w:pPr>
        <w:pStyle w:val="Indenta"/>
      </w:pPr>
      <w:r>
        <w:tab/>
        <w:t>(i)</w:t>
      </w:r>
      <w:r>
        <w:tab/>
        <w:t>a pig;</w:t>
      </w:r>
    </w:p>
    <w:p>
      <w:pPr>
        <w:pStyle w:val="Indenta"/>
      </w:pPr>
      <w:r>
        <w:tab/>
        <w:t>(j)</w:t>
      </w:r>
      <w:r>
        <w:tab/>
        <w:t>a sheep;</w:t>
      </w:r>
    </w:p>
    <w:p>
      <w:pPr>
        <w:pStyle w:val="Indenta"/>
      </w:pPr>
      <w:r>
        <w:tab/>
        <w:t>(k)</w:t>
      </w:r>
      <w:r>
        <w:tab/>
        <w:t>a South American camelid.</w:t>
      </w:r>
    </w:p>
    <w:p>
      <w:pPr>
        <w:pStyle w:val="Footnotesection"/>
      </w:pPr>
      <w:r>
        <w:tab/>
        <w:t>[Regulation 4 inserted: Gazette 27 Jun 2019 p. 2408</w:t>
      </w:r>
      <w:r>
        <w:noBreakHyphen/>
        <w:t>9.]</w:t>
      </w:r>
    </w:p>
    <w:p>
      <w:pPr>
        <w:pStyle w:val="Heading5"/>
      </w:pPr>
      <w:bookmarkStart w:id="18" w:name="_Toc91081206"/>
      <w:bookmarkStart w:id="19" w:name="_Toc89252497"/>
      <w:r>
        <w:rPr>
          <w:rStyle w:val="CharSectno"/>
        </w:rPr>
        <w:t>5</w:t>
      </w:r>
      <w:r>
        <w:t>.</w:t>
      </w:r>
      <w:r>
        <w:tab/>
        <w:t>Meaning of consignment</w:t>
      </w:r>
      <w:bookmarkEnd w:id="18"/>
      <w:bookmarkEnd w:id="19"/>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20" w:name="_Toc91081207"/>
      <w:bookmarkStart w:id="21" w:name="_Toc89252498"/>
      <w:r>
        <w:rPr>
          <w:rStyle w:val="CharSectno"/>
        </w:rPr>
        <w:t>6</w:t>
      </w:r>
      <w:r>
        <w:t>.</w:t>
      </w:r>
      <w:r>
        <w:tab/>
        <w:t>Meaning of owner of stock</w:t>
      </w:r>
      <w:bookmarkEnd w:id="20"/>
      <w:bookmarkEnd w:id="21"/>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22" w:name="_Toc90995495"/>
      <w:bookmarkStart w:id="23" w:name="_Toc90998548"/>
      <w:bookmarkStart w:id="24" w:name="_Toc91081208"/>
      <w:bookmarkStart w:id="25" w:name="_Toc89179815"/>
      <w:bookmarkStart w:id="26" w:name="_Toc89181282"/>
      <w:bookmarkStart w:id="27" w:name="_Toc89252499"/>
      <w:r>
        <w:rPr>
          <w:rStyle w:val="CharPartNo"/>
        </w:rPr>
        <w:t>Part 2</w:t>
      </w:r>
      <w:r>
        <w:t> — </w:t>
      </w:r>
      <w:r>
        <w:rPr>
          <w:rStyle w:val="CharPartText"/>
        </w:rPr>
        <w:t>Registration</w:t>
      </w:r>
      <w:bookmarkEnd w:id="22"/>
      <w:bookmarkEnd w:id="23"/>
      <w:bookmarkEnd w:id="24"/>
      <w:bookmarkEnd w:id="25"/>
      <w:bookmarkEnd w:id="26"/>
      <w:bookmarkEnd w:id="27"/>
    </w:p>
    <w:p>
      <w:pPr>
        <w:pStyle w:val="Heading3"/>
      </w:pPr>
      <w:bookmarkStart w:id="28" w:name="_Toc90995496"/>
      <w:bookmarkStart w:id="29" w:name="_Toc90998549"/>
      <w:bookmarkStart w:id="30" w:name="_Toc91081209"/>
      <w:bookmarkStart w:id="31" w:name="_Toc89179816"/>
      <w:bookmarkStart w:id="32" w:name="_Toc89181283"/>
      <w:bookmarkStart w:id="33" w:name="_Toc89252500"/>
      <w:r>
        <w:rPr>
          <w:rStyle w:val="CharDivNo"/>
        </w:rPr>
        <w:t>Division 1</w:t>
      </w:r>
      <w:r>
        <w:t> — </w:t>
      </w:r>
      <w:r>
        <w:rPr>
          <w:rStyle w:val="CharDivText"/>
        </w:rPr>
        <w:t>Owners and purchasers of stock</w:t>
      </w:r>
      <w:bookmarkEnd w:id="28"/>
      <w:bookmarkEnd w:id="29"/>
      <w:bookmarkEnd w:id="30"/>
      <w:bookmarkEnd w:id="31"/>
      <w:bookmarkEnd w:id="32"/>
      <w:bookmarkEnd w:id="33"/>
    </w:p>
    <w:p>
      <w:pPr>
        <w:pStyle w:val="Heading5"/>
      </w:pPr>
      <w:bookmarkStart w:id="34" w:name="_Toc91081210"/>
      <w:bookmarkStart w:id="35" w:name="_Toc89252501"/>
      <w:r>
        <w:rPr>
          <w:rStyle w:val="CharSectno"/>
        </w:rPr>
        <w:t>7</w:t>
      </w:r>
      <w:r>
        <w:t>.</w:t>
      </w:r>
      <w:r>
        <w:tab/>
        <w:t>Owners and purchasers of stock to be registered</w:t>
      </w:r>
      <w:bookmarkEnd w:id="34"/>
      <w:bookmarkEnd w:id="35"/>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w:t>
      </w:r>
      <w:ins w:id="36" w:author="Master Repository Process" w:date="2021-12-31T10:23:00Z">
        <w:r>
          <w:t xml:space="preserve"> for this subregulation</w:t>
        </w:r>
      </w:ins>
      <w:r>
        <w:t>: a fine of $2 000.</w:t>
      </w:r>
    </w:p>
    <w:p>
      <w:pPr>
        <w:pStyle w:val="Subsection"/>
      </w:pPr>
      <w:r>
        <w:tab/>
        <w:t>(2)</w:t>
      </w:r>
      <w:r>
        <w:tab/>
        <w:t>Subregulation (1) does not apply to an owner or purchaser of an ostrich if, at the relevant time, 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Footnotesection"/>
        <w:rPr>
          <w:ins w:id="37" w:author="Master Repository Process" w:date="2021-12-31T10:23:00Z"/>
        </w:rPr>
      </w:pPr>
      <w:ins w:id="38" w:author="Master Repository Process" w:date="2021-12-31T10:23:00Z">
        <w:r>
          <w:tab/>
          <w:t>[Regulation 7 amended: SL 2021/204 r. 14.]</w:t>
        </w:r>
      </w:ins>
    </w:p>
    <w:p>
      <w:pPr>
        <w:pStyle w:val="Heading5"/>
      </w:pPr>
      <w:bookmarkStart w:id="39" w:name="_Toc91081211"/>
      <w:bookmarkStart w:id="40" w:name="_Toc89252502"/>
      <w:r>
        <w:rPr>
          <w:rStyle w:val="CharSectno"/>
        </w:rPr>
        <w:t>8</w:t>
      </w:r>
      <w:r>
        <w:t>.</w:t>
      </w:r>
      <w:r>
        <w:tab/>
        <w:t>Director General may allot identifiers, PICs and BICs as required</w:t>
      </w:r>
      <w:bookmarkEnd w:id="39"/>
      <w:bookmarkEnd w:id="40"/>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41" w:name="_Toc91081212"/>
      <w:bookmarkStart w:id="42" w:name="_Toc89252503"/>
      <w:r>
        <w:rPr>
          <w:rStyle w:val="CharSectno"/>
        </w:rPr>
        <w:t>9</w:t>
      </w:r>
      <w:r>
        <w:t>.</w:t>
      </w:r>
      <w:r>
        <w:tab/>
        <w:t>Review</w:t>
      </w:r>
      <w:bookmarkEnd w:id="41"/>
      <w:bookmarkEnd w:id="42"/>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43" w:name="_Toc90995500"/>
      <w:bookmarkStart w:id="44" w:name="_Toc90998553"/>
      <w:bookmarkStart w:id="45" w:name="_Toc91081213"/>
      <w:bookmarkStart w:id="46" w:name="_Toc89179820"/>
      <w:bookmarkStart w:id="47" w:name="_Toc89181287"/>
      <w:bookmarkStart w:id="48" w:name="_Toc89252504"/>
      <w:r>
        <w:rPr>
          <w:rStyle w:val="CharDivNo"/>
        </w:rPr>
        <w:t>Division 2</w:t>
      </w:r>
      <w:r>
        <w:t> — </w:t>
      </w:r>
      <w:r>
        <w:rPr>
          <w:rStyle w:val="CharDivText"/>
        </w:rPr>
        <w:t>Non</w:t>
      </w:r>
      <w:r>
        <w:rPr>
          <w:rStyle w:val="CharDivText"/>
        </w:rPr>
        <w:noBreakHyphen/>
        <w:t>farming property operators</w:t>
      </w:r>
      <w:bookmarkEnd w:id="43"/>
      <w:bookmarkEnd w:id="44"/>
      <w:bookmarkEnd w:id="45"/>
      <w:bookmarkEnd w:id="46"/>
      <w:bookmarkEnd w:id="47"/>
      <w:bookmarkEnd w:id="48"/>
    </w:p>
    <w:p>
      <w:pPr>
        <w:pStyle w:val="Heading5"/>
      </w:pPr>
      <w:bookmarkStart w:id="49" w:name="_Toc91081214"/>
      <w:bookmarkStart w:id="50" w:name="_Toc89252505"/>
      <w:r>
        <w:rPr>
          <w:rStyle w:val="CharSectno"/>
        </w:rPr>
        <w:t>10</w:t>
      </w:r>
      <w:r>
        <w:t>.</w:t>
      </w:r>
      <w:r>
        <w:tab/>
        <w:t>Non</w:t>
      </w:r>
      <w:r>
        <w:noBreakHyphen/>
        <w:t>farming property operators to be registered</w:t>
      </w:r>
      <w:bookmarkEnd w:id="49"/>
      <w:bookmarkEnd w:id="50"/>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w:t>
      </w:r>
      <w:ins w:id="51" w:author="Master Repository Process" w:date="2021-12-31T10:23:00Z">
        <w:r>
          <w:t xml:space="preserve"> for this subregulation</w:t>
        </w:r>
      </w:ins>
      <w:r>
        <w:t>: a fine of $2 000.</w:t>
      </w:r>
    </w:p>
    <w:p>
      <w:pPr>
        <w:pStyle w:val="Subsection"/>
      </w:pPr>
      <w:r>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keepNext/>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Footnotesection"/>
        <w:rPr>
          <w:ins w:id="52" w:author="Master Repository Process" w:date="2021-12-31T10:23:00Z"/>
        </w:rPr>
      </w:pPr>
      <w:ins w:id="53" w:author="Master Repository Process" w:date="2021-12-31T10:23:00Z">
        <w:r>
          <w:tab/>
          <w:t>[Regulation 10 amended: SL 2021/204 r. 14.]</w:t>
        </w:r>
      </w:ins>
    </w:p>
    <w:p>
      <w:pPr>
        <w:pStyle w:val="Heading5"/>
      </w:pPr>
      <w:bookmarkStart w:id="54" w:name="_Toc91081215"/>
      <w:bookmarkStart w:id="55" w:name="_Toc89252506"/>
      <w:r>
        <w:rPr>
          <w:rStyle w:val="CharSectno"/>
        </w:rPr>
        <w:t>11</w:t>
      </w:r>
      <w:r>
        <w:t>.</w:t>
      </w:r>
      <w:r>
        <w:tab/>
        <w:t>Director General may allot PICs as required</w:t>
      </w:r>
      <w:bookmarkEnd w:id="54"/>
      <w:bookmarkEnd w:id="55"/>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56" w:name="_Toc91081216"/>
      <w:bookmarkStart w:id="57" w:name="_Toc89252507"/>
      <w:r>
        <w:rPr>
          <w:rStyle w:val="CharSectno"/>
        </w:rPr>
        <w:t>12</w:t>
      </w:r>
      <w:r>
        <w:t>.</w:t>
      </w:r>
      <w:r>
        <w:tab/>
        <w:t>Review</w:t>
      </w:r>
      <w:bookmarkEnd w:id="56"/>
      <w:bookmarkEnd w:id="57"/>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pPr>
      <w:r>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58" w:name="_Toc90995504"/>
      <w:bookmarkStart w:id="59" w:name="_Toc90998557"/>
      <w:bookmarkStart w:id="60" w:name="_Toc91081217"/>
      <w:bookmarkStart w:id="61" w:name="_Toc89179824"/>
      <w:bookmarkStart w:id="62" w:name="_Toc89181291"/>
      <w:bookmarkStart w:id="63" w:name="_Toc89252508"/>
      <w:r>
        <w:rPr>
          <w:rStyle w:val="CharDivNo"/>
        </w:rPr>
        <w:t>Division 3</w:t>
      </w:r>
      <w:r>
        <w:t> — </w:t>
      </w:r>
      <w:r>
        <w:rPr>
          <w:rStyle w:val="CharDivText"/>
        </w:rPr>
        <w:t>Beekeepers</w:t>
      </w:r>
      <w:bookmarkEnd w:id="58"/>
      <w:bookmarkEnd w:id="59"/>
      <w:bookmarkEnd w:id="60"/>
      <w:bookmarkEnd w:id="61"/>
      <w:bookmarkEnd w:id="62"/>
      <w:bookmarkEnd w:id="63"/>
    </w:p>
    <w:p>
      <w:pPr>
        <w:pStyle w:val="Heading5"/>
      </w:pPr>
      <w:bookmarkStart w:id="64" w:name="_Toc91081218"/>
      <w:bookmarkStart w:id="65" w:name="_Toc89252509"/>
      <w:r>
        <w:rPr>
          <w:rStyle w:val="CharSectno"/>
        </w:rPr>
        <w:t>13</w:t>
      </w:r>
      <w:r>
        <w:t>.</w:t>
      </w:r>
      <w:r>
        <w:tab/>
        <w:t>Beekeepers to be registered</w:t>
      </w:r>
      <w:bookmarkEnd w:id="64"/>
      <w:bookmarkEnd w:id="65"/>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w:t>
      </w:r>
      <w:ins w:id="66" w:author="Master Repository Process" w:date="2021-12-31T10:23:00Z">
        <w:r>
          <w:t xml:space="preserve"> for this subregulation</w:t>
        </w:r>
      </w:ins>
      <w:r>
        <w:t>: a fine of $2 000.</w:t>
      </w:r>
    </w:p>
    <w:p>
      <w:pPr>
        <w:pStyle w:val="Subsection"/>
        <w:rPr>
          <w:snapToGrid w:val="0"/>
        </w:rPr>
      </w:pPr>
      <w:r>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w:t>
      </w:r>
      <w:ins w:id="67" w:author="Master Repository Process" w:date="2021-12-31T10:23:00Z">
        <w:r>
          <w:t xml:space="preserve"> for this subregulation</w:t>
        </w:r>
      </w:ins>
      <w:r>
        <w:t>: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Footnotesection"/>
        <w:rPr>
          <w:ins w:id="68" w:author="Master Repository Process" w:date="2021-12-31T10:23:00Z"/>
        </w:rPr>
      </w:pPr>
      <w:ins w:id="69" w:author="Master Repository Process" w:date="2021-12-31T10:23:00Z">
        <w:r>
          <w:tab/>
          <w:t>[Regulation 13 amended: SL 2021/204 r. 14.]</w:t>
        </w:r>
      </w:ins>
    </w:p>
    <w:p>
      <w:pPr>
        <w:pStyle w:val="Heading5"/>
      </w:pPr>
      <w:bookmarkStart w:id="70" w:name="_Toc91081219"/>
      <w:bookmarkStart w:id="71" w:name="_Toc89252510"/>
      <w:r>
        <w:rPr>
          <w:rStyle w:val="CharSectno"/>
        </w:rPr>
        <w:t>14</w:t>
      </w:r>
      <w:r>
        <w:t>.</w:t>
      </w:r>
      <w:r>
        <w:tab/>
        <w:t>Director General may allot identifiers as required</w:t>
      </w:r>
      <w:bookmarkEnd w:id="70"/>
      <w:bookmarkEnd w:id="71"/>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72" w:name="_Toc91081220"/>
      <w:bookmarkStart w:id="73" w:name="_Toc89252511"/>
      <w:r>
        <w:rPr>
          <w:rStyle w:val="CharSectno"/>
        </w:rPr>
        <w:t>15</w:t>
      </w:r>
      <w:r>
        <w:t>.</w:t>
      </w:r>
      <w:r>
        <w:tab/>
        <w:t>Review</w:t>
      </w:r>
      <w:bookmarkEnd w:id="72"/>
      <w:bookmarkEnd w:id="73"/>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74" w:name="_Toc90995508"/>
      <w:bookmarkStart w:id="75" w:name="_Toc90998561"/>
      <w:bookmarkStart w:id="76" w:name="_Toc91081221"/>
      <w:bookmarkStart w:id="77" w:name="_Toc89179828"/>
      <w:bookmarkStart w:id="78" w:name="_Toc89181295"/>
      <w:bookmarkStart w:id="79" w:name="_Toc89252512"/>
      <w:r>
        <w:rPr>
          <w:rStyle w:val="CharDivNo"/>
        </w:rPr>
        <w:t>Division 4</w:t>
      </w:r>
      <w:r>
        <w:t> — </w:t>
      </w:r>
      <w:r>
        <w:rPr>
          <w:rStyle w:val="CharDivText"/>
        </w:rPr>
        <w:t>The register</w:t>
      </w:r>
      <w:bookmarkEnd w:id="74"/>
      <w:bookmarkEnd w:id="75"/>
      <w:bookmarkEnd w:id="76"/>
      <w:bookmarkEnd w:id="77"/>
      <w:bookmarkEnd w:id="78"/>
      <w:bookmarkEnd w:id="79"/>
    </w:p>
    <w:p>
      <w:pPr>
        <w:pStyle w:val="Heading5"/>
      </w:pPr>
      <w:bookmarkStart w:id="80" w:name="_Toc91081222"/>
      <w:bookmarkStart w:id="81" w:name="_Toc89252513"/>
      <w:r>
        <w:rPr>
          <w:rStyle w:val="CharSectno"/>
        </w:rPr>
        <w:t>16</w:t>
      </w:r>
      <w:r>
        <w:t>.</w:t>
      </w:r>
      <w:r>
        <w:tab/>
        <w:t>Register to be kept</w:t>
      </w:r>
      <w:bookmarkEnd w:id="80"/>
      <w:bookmarkEnd w:id="81"/>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82" w:name="_Toc91081223"/>
      <w:bookmarkStart w:id="83" w:name="_Toc89252514"/>
      <w:r>
        <w:rPr>
          <w:rStyle w:val="CharSectno"/>
        </w:rPr>
        <w:t>17</w:t>
      </w:r>
      <w:r>
        <w:t>.</w:t>
      </w:r>
      <w:r>
        <w:tab/>
        <w:t>Access to register</w:t>
      </w:r>
      <w:bookmarkEnd w:id="82"/>
      <w:bookmarkEnd w:id="83"/>
    </w:p>
    <w:p>
      <w:pPr>
        <w:pStyle w:val="Subsection"/>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84" w:name="_Toc91081224"/>
      <w:bookmarkStart w:id="85" w:name="_Toc89252515"/>
      <w:r>
        <w:rPr>
          <w:rStyle w:val="CharSectno"/>
        </w:rPr>
        <w:t>18</w:t>
      </w:r>
      <w:r>
        <w:t>.</w:t>
      </w:r>
      <w:r>
        <w:tab/>
        <w:t>Director General to be notified if owner moves stock to a farming property without relevant PIC</w:t>
      </w:r>
      <w:bookmarkEnd w:id="84"/>
      <w:bookmarkEnd w:id="85"/>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86" w:name="_Toc91081225"/>
      <w:bookmarkStart w:id="87" w:name="_Toc89252516"/>
      <w:r>
        <w:rPr>
          <w:rStyle w:val="CharSectno"/>
        </w:rPr>
        <w:t>19</w:t>
      </w:r>
      <w:r>
        <w:t>.</w:t>
      </w:r>
      <w:r>
        <w:tab/>
        <w:t>Director General to be notified of change of address</w:t>
      </w:r>
      <w:bookmarkEnd w:id="86"/>
      <w:bookmarkEnd w:id="87"/>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r>
      <w:bookmarkStart w:id="88" w:name="_Hlk90996162"/>
      <w:r>
        <w:t>Penalty</w:t>
      </w:r>
      <w:ins w:id="89" w:author="Master Repository Process" w:date="2021-12-31T10:23:00Z">
        <w:r>
          <w:t xml:space="preserve"> for this subregulation</w:t>
        </w:r>
      </w:ins>
      <w:r>
        <w:t>:</w:t>
      </w:r>
      <w:bookmarkEnd w:id="88"/>
      <w:r>
        <w:t xml:space="preserve">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w:t>
      </w:r>
      <w:ins w:id="90" w:author="Master Repository Process" w:date="2021-12-31T10:23:00Z">
        <w:r>
          <w:t xml:space="preserve"> for this subregulation</w:t>
        </w:r>
      </w:ins>
      <w:r>
        <w:t>: a fine of $2 000.</w:t>
      </w:r>
    </w:p>
    <w:p>
      <w:pPr>
        <w:pStyle w:val="Footnotesection"/>
        <w:rPr>
          <w:ins w:id="91" w:author="Master Repository Process" w:date="2021-12-31T10:23:00Z"/>
        </w:rPr>
      </w:pPr>
      <w:bookmarkStart w:id="92" w:name="_Toc90995513"/>
      <w:ins w:id="93" w:author="Master Repository Process" w:date="2021-12-31T10:23:00Z">
        <w:r>
          <w:tab/>
          <w:t>[Regulation 19 amended: SL 2021/204 r. 14.]</w:t>
        </w:r>
      </w:ins>
    </w:p>
    <w:p>
      <w:pPr>
        <w:pStyle w:val="Heading3"/>
      </w:pPr>
      <w:bookmarkStart w:id="94" w:name="_Toc90998566"/>
      <w:bookmarkStart w:id="95" w:name="_Toc91081226"/>
      <w:bookmarkStart w:id="96" w:name="_Toc89179833"/>
      <w:bookmarkStart w:id="97" w:name="_Toc89181300"/>
      <w:bookmarkStart w:id="98" w:name="_Toc89252517"/>
      <w:r>
        <w:rPr>
          <w:rStyle w:val="CharDivNo"/>
        </w:rPr>
        <w:t>Division 5</w:t>
      </w:r>
      <w:r>
        <w:t> — </w:t>
      </w:r>
      <w:r>
        <w:rPr>
          <w:rStyle w:val="CharDivText"/>
        </w:rPr>
        <w:t>Certificates of registration</w:t>
      </w:r>
      <w:bookmarkEnd w:id="92"/>
      <w:bookmarkEnd w:id="94"/>
      <w:bookmarkEnd w:id="95"/>
      <w:bookmarkEnd w:id="96"/>
      <w:bookmarkEnd w:id="97"/>
      <w:bookmarkEnd w:id="98"/>
    </w:p>
    <w:p>
      <w:pPr>
        <w:pStyle w:val="Heading5"/>
      </w:pPr>
      <w:bookmarkStart w:id="99" w:name="_Toc91081227"/>
      <w:bookmarkStart w:id="100" w:name="_Toc89252518"/>
      <w:r>
        <w:rPr>
          <w:rStyle w:val="CharSectno"/>
        </w:rPr>
        <w:t>20</w:t>
      </w:r>
      <w:r>
        <w:t>.</w:t>
      </w:r>
      <w:r>
        <w:tab/>
        <w:t>Certificates of registration</w:t>
      </w:r>
      <w:bookmarkEnd w:id="99"/>
      <w:bookmarkEnd w:id="100"/>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101" w:name="_Toc90995515"/>
      <w:bookmarkStart w:id="102" w:name="_Toc90998568"/>
      <w:bookmarkStart w:id="103" w:name="_Toc91081228"/>
      <w:bookmarkStart w:id="104" w:name="_Toc89179835"/>
      <w:bookmarkStart w:id="105" w:name="_Toc89181302"/>
      <w:bookmarkStart w:id="106" w:name="_Toc89252519"/>
      <w:r>
        <w:rPr>
          <w:rStyle w:val="CharDivNo"/>
        </w:rPr>
        <w:t>Division 6</w:t>
      </w:r>
      <w:r>
        <w:t> — </w:t>
      </w:r>
      <w:r>
        <w:rPr>
          <w:rStyle w:val="CharDivText"/>
        </w:rPr>
        <w:t>Term of registration, renewals and cancellations</w:t>
      </w:r>
      <w:bookmarkEnd w:id="101"/>
      <w:bookmarkEnd w:id="102"/>
      <w:bookmarkEnd w:id="103"/>
      <w:bookmarkEnd w:id="104"/>
      <w:bookmarkEnd w:id="105"/>
      <w:bookmarkEnd w:id="106"/>
    </w:p>
    <w:p>
      <w:pPr>
        <w:pStyle w:val="Heading5"/>
      </w:pPr>
      <w:bookmarkStart w:id="107" w:name="_Toc91081229"/>
      <w:bookmarkStart w:id="108" w:name="_Toc89252520"/>
      <w:r>
        <w:rPr>
          <w:rStyle w:val="CharSectno"/>
        </w:rPr>
        <w:t>21</w:t>
      </w:r>
      <w:r>
        <w:t>.</w:t>
      </w:r>
      <w:r>
        <w:tab/>
        <w:t>Term used: registration</w:t>
      </w:r>
      <w:bookmarkEnd w:id="107"/>
      <w:bookmarkEnd w:id="108"/>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109" w:name="_Toc91081230"/>
      <w:bookmarkStart w:id="110" w:name="_Toc89252521"/>
      <w:r>
        <w:rPr>
          <w:rStyle w:val="CharSectno"/>
        </w:rPr>
        <w:t>22</w:t>
      </w:r>
      <w:r>
        <w:t>.</w:t>
      </w:r>
      <w:r>
        <w:tab/>
        <w:t>Term of registration</w:t>
      </w:r>
      <w:bookmarkEnd w:id="109"/>
      <w:bookmarkEnd w:id="110"/>
    </w:p>
    <w:p>
      <w:pPr>
        <w:pStyle w:val="Subsection"/>
      </w:pPr>
      <w:r>
        <w:tab/>
      </w:r>
      <w:r>
        <w:tab/>
        <w:t>Unless cancelled under regulation 24, a registration expires 3 years after the day on which it is granted or renewed under these regulations.</w:t>
      </w:r>
    </w:p>
    <w:p>
      <w:pPr>
        <w:pStyle w:val="Heading5"/>
      </w:pPr>
      <w:bookmarkStart w:id="111" w:name="_Toc91081231"/>
      <w:bookmarkStart w:id="112" w:name="_Toc89252522"/>
      <w:r>
        <w:rPr>
          <w:rStyle w:val="CharSectno"/>
        </w:rPr>
        <w:t>23</w:t>
      </w:r>
      <w:r>
        <w:t>.</w:t>
      </w:r>
      <w:r>
        <w:tab/>
        <w:t>Renewal of registration</w:t>
      </w:r>
      <w:bookmarkEnd w:id="111"/>
      <w:bookmarkEnd w:id="112"/>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113" w:name="_Toc91081232"/>
      <w:bookmarkStart w:id="114" w:name="_Toc89252523"/>
      <w:r>
        <w:rPr>
          <w:rStyle w:val="CharSectno"/>
        </w:rPr>
        <w:t>24</w:t>
      </w:r>
      <w:r>
        <w:t>.</w:t>
      </w:r>
      <w:r>
        <w:tab/>
        <w:t>Cancellation of registration</w:t>
      </w:r>
      <w:bookmarkEnd w:id="113"/>
      <w:bookmarkEnd w:id="114"/>
    </w:p>
    <w:p>
      <w:pPr>
        <w:pStyle w:val="Subsection"/>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115" w:name="_Toc91081233"/>
      <w:bookmarkStart w:id="116" w:name="_Toc89252524"/>
      <w:r>
        <w:rPr>
          <w:rStyle w:val="CharSectno"/>
        </w:rPr>
        <w:t>25</w:t>
      </w:r>
      <w:r>
        <w:t>.</w:t>
      </w:r>
      <w:r>
        <w:tab/>
        <w:t>Effect of expiry or cancellation of registration</w:t>
      </w:r>
      <w:bookmarkEnd w:id="115"/>
      <w:bookmarkEnd w:id="116"/>
    </w:p>
    <w:p>
      <w:pPr>
        <w:pStyle w:val="Subsection"/>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117" w:name="_Toc91081234"/>
      <w:bookmarkStart w:id="118" w:name="_Toc89252525"/>
      <w:r>
        <w:rPr>
          <w:rStyle w:val="CharSectno"/>
        </w:rPr>
        <w:t>26</w:t>
      </w:r>
      <w:r>
        <w:t>.</w:t>
      </w:r>
      <w:r>
        <w:tab/>
        <w:t>Review</w:t>
      </w:r>
      <w:bookmarkEnd w:id="117"/>
      <w:bookmarkEnd w:id="118"/>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119" w:name="_Toc90995522"/>
      <w:bookmarkStart w:id="120" w:name="_Toc90998575"/>
      <w:bookmarkStart w:id="121" w:name="_Toc91081235"/>
      <w:bookmarkStart w:id="122" w:name="_Toc89179842"/>
      <w:bookmarkStart w:id="123" w:name="_Toc89181309"/>
      <w:bookmarkStart w:id="124" w:name="_Toc89252526"/>
      <w:r>
        <w:rPr>
          <w:rStyle w:val="CharDivNo"/>
        </w:rPr>
        <w:t>Division 7</w:t>
      </w:r>
      <w:r>
        <w:t> — </w:t>
      </w:r>
      <w:r>
        <w:rPr>
          <w:rStyle w:val="CharDivText"/>
        </w:rPr>
        <w:t>Transfer of registered identifiers and PICs</w:t>
      </w:r>
      <w:bookmarkEnd w:id="119"/>
      <w:bookmarkEnd w:id="120"/>
      <w:bookmarkEnd w:id="121"/>
      <w:bookmarkEnd w:id="122"/>
      <w:bookmarkEnd w:id="123"/>
      <w:bookmarkEnd w:id="124"/>
    </w:p>
    <w:p>
      <w:pPr>
        <w:pStyle w:val="Heading5"/>
      </w:pPr>
      <w:bookmarkStart w:id="125" w:name="_Toc91081236"/>
      <w:bookmarkStart w:id="126" w:name="_Toc89252527"/>
      <w:r>
        <w:rPr>
          <w:rStyle w:val="CharSectno"/>
        </w:rPr>
        <w:t>27</w:t>
      </w:r>
      <w:r>
        <w:t>.</w:t>
      </w:r>
      <w:r>
        <w:tab/>
        <w:t>Transfer of registered identifiers and PICs</w:t>
      </w:r>
      <w:bookmarkEnd w:id="125"/>
      <w:bookmarkEnd w:id="126"/>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tab/>
        <w:t>(d)</w:t>
      </w:r>
      <w:r>
        <w:tab/>
        <w:t>allot the identifier or PIC to the transferee; and</w:t>
      </w:r>
    </w:p>
    <w:p>
      <w:pPr>
        <w:pStyle w:val="Indenta"/>
      </w:pPr>
      <w:r>
        <w:tab/>
        <w:t>(e)</w:t>
      </w:r>
      <w:r>
        <w:tab/>
        <w:t>amend the register accordingly.</w:t>
      </w:r>
    </w:p>
    <w:p>
      <w:pPr>
        <w:pStyle w:val="Heading5"/>
      </w:pPr>
      <w:bookmarkStart w:id="127" w:name="_Toc91081237"/>
      <w:bookmarkStart w:id="128" w:name="_Toc89252528"/>
      <w:r>
        <w:rPr>
          <w:rStyle w:val="CharSectno"/>
        </w:rPr>
        <w:t>28</w:t>
      </w:r>
      <w:r>
        <w:t>.</w:t>
      </w:r>
      <w:r>
        <w:tab/>
        <w:t>Mortgagee’s right to use and transfer registered identifiers</w:t>
      </w:r>
      <w:bookmarkEnd w:id="127"/>
      <w:bookmarkEnd w:id="128"/>
    </w:p>
    <w:p>
      <w:pPr>
        <w:pStyle w:val="Subsection"/>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129" w:name="_Toc90995525"/>
      <w:bookmarkStart w:id="130" w:name="_Toc90998578"/>
      <w:bookmarkStart w:id="131" w:name="_Toc91081238"/>
      <w:bookmarkStart w:id="132" w:name="_Toc89179845"/>
      <w:bookmarkStart w:id="133" w:name="_Toc89181312"/>
      <w:bookmarkStart w:id="134" w:name="_Toc89252529"/>
      <w:r>
        <w:rPr>
          <w:rStyle w:val="CharPartNo"/>
        </w:rPr>
        <w:t>Part 3</w:t>
      </w:r>
      <w:r>
        <w:t> — </w:t>
      </w:r>
      <w:r>
        <w:rPr>
          <w:rStyle w:val="CharPartText"/>
        </w:rPr>
        <w:t>Identifiers for stock</w:t>
      </w:r>
      <w:bookmarkEnd w:id="129"/>
      <w:bookmarkEnd w:id="130"/>
      <w:bookmarkEnd w:id="131"/>
      <w:bookmarkEnd w:id="132"/>
      <w:bookmarkEnd w:id="133"/>
      <w:bookmarkEnd w:id="134"/>
    </w:p>
    <w:p>
      <w:pPr>
        <w:pStyle w:val="Heading3"/>
      </w:pPr>
      <w:bookmarkStart w:id="135" w:name="_Toc90995526"/>
      <w:bookmarkStart w:id="136" w:name="_Toc90998579"/>
      <w:bookmarkStart w:id="137" w:name="_Toc91081239"/>
      <w:bookmarkStart w:id="138" w:name="_Toc89179846"/>
      <w:bookmarkStart w:id="139" w:name="_Toc89181313"/>
      <w:bookmarkStart w:id="140" w:name="_Toc89252530"/>
      <w:r>
        <w:rPr>
          <w:rStyle w:val="CharDivNo"/>
        </w:rPr>
        <w:t>Division 1</w:t>
      </w:r>
      <w:r>
        <w:t> — </w:t>
      </w:r>
      <w:r>
        <w:rPr>
          <w:rStyle w:val="CharDivText"/>
        </w:rPr>
        <w:t>Registered identifiers for stock</w:t>
      </w:r>
      <w:bookmarkEnd w:id="135"/>
      <w:bookmarkEnd w:id="136"/>
      <w:bookmarkEnd w:id="137"/>
      <w:bookmarkEnd w:id="138"/>
      <w:bookmarkEnd w:id="139"/>
      <w:bookmarkEnd w:id="140"/>
    </w:p>
    <w:p>
      <w:pPr>
        <w:pStyle w:val="Heading5"/>
      </w:pPr>
      <w:bookmarkStart w:id="141" w:name="_Toc91081240"/>
      <w:bookmarkStart w:id="142" w:name="_Toc89252531"/>
      <w:r>
        <w:rPr>
          <w:rStyle w:val="CharSectno"/>
        </w:rPr>
        <w:t>29</w:t>
      </w:r>
      <w:r>
        <w:t>.</w:t>
      </w:r>
      <w:r>
        <w:tab/>
        <w:t>Term used: certificate of registration</w:t>
      </w:r>
      <w:bookmarkEnd w:id="141"/>
      <w:bookmarkEnd w:id="142"/>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143" w:name="_Toc91081241"/>
      <w:bookmarkStart w:id="144" w:name="_Toc89252532"/>
      <w:r>
        <w:rPr>
          <w:rStyle w:val="CharSectno"/>
        </w:rPr>
        <w:t>30</w:t>
      </w:r>
      <w:r>
        <w:t>.</w:t>
      </w:r>
      <w:r>
        <w:tab/>
        <w:t>Registered identifiers for application as brand</w:t>
      </w:r>
      <w:bookmarkEnd w:id="143"/>
      <w:bookmarkEnd w:id="144"/>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145" w:name="_Toc91081242"/>
      <w:bookmarkStart w:id="146" w:name="_Toc89252533"/>
      <w:r>
        <w:rPr>
          <w:rStyle w:val="CharSectno"/>
        </w:rPr>
        <w:t>31</w:t>
      </w:r>
      <w:r>
        <w:t>.</w:t>
      </w:r>
      <w:r>
        <w:tab/>
        <w:t>Registered identifiers for application as earmark</w:t>
      </w:r>
      <w:bookmarkEnd w:id="145"/>
      <w:bookmarkEnd w:id="146"/>
    </w:p>
    <w:p>
      <w:pPr>
        <w:pStyle w:val="Subsection"/>
      </w:pPr>
      <w:r>
        <w:tab/>
      </w:r>
      <w:r>
        <w:tab/>
        <w:t>A registered identifier for application as an earmark to stock must consist of 2 symbols as allotted.</w:t>
      </w:r>
    </w:p>
    <w:p>
      <w:pPr>
        <w:pStyle w:val="Heading5"/>
      </w:pPr>
      <w:bookmarkStart w:id="147" w:name="_Toc91081243"/>
      <w:bookmarkStart w:id="148" w:name="_Toc89252534"/>
      <w:r>
        <w:rPr>
          <w:rStyle w:val="CharSectno"/>
        </w:rPr>
        <w:t>32</w:t>
      </w:r>
      <w:r>
        <w:t>.</w:t>
      </w:r>
      <w:r>
        <w:tab/>
        <w:t>Limit of one brand and one earmark for each relevant PIC</w:t>
      </w:r>
      <w:bookmarkEnd w:id="147"/>
      <w:bookmarkEnd w:id="148"/>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If 2 or more registered identifiers for application as a brand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149" w:name="_Toc91081244"/>
      <w:bookmarkStart w:id="150" w:name="_Toc89252535"/>
      <w:r>
        <w:rPr>
          <w:rStyle w:val="CharSectno"/>
        </w:rPr>
        <w:t>33</w:t>
      </w:r>
      <w:r>
        <w:t>.</w:t>
      </w:r>
      <w:r>
        <w:tab/>
        <w:t>Confusing or misleading identifiers</w:t>
      </w:r>
      <w:bookmarkEnd w:id="149"/>
      <w:bookmarkEnd w:id="150"/>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151" w:name="_Toc91081245"/>
      <w:bookmarkStart w:id="152" w:name="_Toc89252536"/>
      <w:r>
        <w:rPr>
          <w:rStyle w:val="CharSectno"/>
        </w:rPr>
        <w:t>34</w:t>
      </w:r>
      <w:r>
        <w:t>.</w:t>
      </w:r>
      <w:r>
        <w:tab/>
        <w:t>Cross</w:t>
      </w:r>
      <w:r>
        <w:noBreakHyphen/>
        <w:t>border farming properties</w:t>
      </w:r>
      <w:bookmarkEnd w:id="151"/>
      <w:bookmarkEnd w:id="152"/>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153" w:name="_Toc91081246"/>
      <w:bookmarkStart w:id="154" w:name="_Toc89252537"/>
      <w:r>
        <w:rPr>
          <w:rStyle w:val="CharSectno"/>
        </w:rPr>
        <w:t>35</w:t>
      </w:r>
      <w:r>
        <w:t>.</w:t>
      </w:r>
      <w:r>
        <w:tab/>
        <w:t>Special identifiers</w:t>
      </w:r>
      <w:bookmarkEnd w:id="153"/>
      <w:bookmarkEnd w:id="154"/>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w:t>
      </w:r>
      <w:ins w:id="155" w:author="Master Repository Process" w:date="2021-12-31T10:23:00Z">
        <w:r>
          <w:t xml:space="preserve"> for this subregulation</w:t>
        </w:r>
      </w:ins>
      <w:r>
        <w:t>: a fine of $5 000.</w:t>
      </w:r>
    </w:p>
    <w:p>
      <w:pPr>
        <w:pStyle w:val="Footnotesection"/>
        <w:rPr>
          <w:ins w:id="156" w:author="Master Repository Process" w:date="2021-12-31T10:23:00Z"/>
        </w:rPr>
      </w:pPr>
      <w:ins w:id="157" w:author="Master Repository Process" w:date="2021-12-31T10:23:00Z">
        <w:r>
          <w:tab/>
          <w:t>[Regulation 35 amended: SL 2021/204 r. 14.]</w:t>
        </w:r>
      </w:ins>
    </w:p>
    <w:p>
      <w:pPr>
        <w:pStyle w:val="Heading5"/>
      </w:pPr>
      <w:bookmarkStart w:id="158" w:name="_Toc91081247"/>
      <w:bookmarkStart w:id="159" w:name="_Toc89252538"/>
      <w:r>
        <w:rPr>
          <w:rStyle w:val="CharSectno"/>
        </w:rPr>
        <w:t>36</w:t>
      </w:r>
      <w:r>
        <w:t>.</w:t>
      </w:r>
      <w:r>
        <w:tab/>
        <w:t>Exclusive use of registered identifiers</w:t>
      </w:r>
      <w:bookmarkEnd w:id="158"/>
      <w:bookmarkEnd w:id="159"/>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160" w:name="_Toc91081248"/>
      <w:bookmarkStart w:id="161" w:name="_Toc89252539"/>
      <w:r>
        <w:rPr>
          <w:rStyle w:val="CharSectno"/>
        </w:rPr>
        <w:t>37</w:t>
      </w:r>
      <w:r>
        <w:t>.</w:t>
      </w:r>
      <w:r>
        <w:tab/>
        <w:t>Registered identifiers to be used to identify stock on property with corresponding PIC</w:t>
      </w:r>
      <w:bookmarkEnd w:id="160"/>
      <w:bookmarkEnd w:id="161"/>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w:t>
      </w:r>
      <w:ins w:id="162" w:author="Master Repository Process" w:date="2021-12-31T10:23:00Z">
        <w:r>
          <w:t xml:space="preserve"> for this subregulation</w:t>
        </w:r>
      </w:ins>
      <w:r>
        <w:t>: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Footnotesection"/>
        <w:rPr>
          <w:ins w:id="163" w:author="Master Repository Process" w:date="2021-12-31T10:23:00Z"/>
        </w:rPr>
      </w:pPr>
      <w:ins w:id="164" w:author="Master Repository Process" w:date="2021-12-31T10:23:00Z">
        <w:r>
          <w:tab/>
          <w:t>[Regulation 37 amended: SL 2021/204 r. 14.]</w:t>
        </w:r>
      </w:ins>
    </w:p>
    <w:p>
      <w:pPr>
        <w:pStyle w:val="Heading5"/>
        <w:rPr>
          <w:snapToGrid w:val="0"/>
        </w:rPr>
      </w:pPr>
      <w:bookmarkStart w:id="165" w:name="_Toc91081249"/>
      <w:bookmarkStart w:id="166" w:name="_Toc89252540"/>
      <w:r>
        <w:rPr>
          <w:rStyle w:val="CharSectno"/>
        </w:rPr>
        <w:t>38</w:t>
      </w:r>
      <w:r>
        <w:t>.</w:t>
      </w:r>
      <w:r>
        <w:tab/>
      </w:r>
      <w:r>
        <w:rPr>
          <w:snapToGrid w:val="0"/>
        </w:rPr>
        <w:t>Permit to use registered identifier to identify stock on property without corresponding PIC</w:t>
      </w:r>
      <w:bookmarkEnd w:id="165"/>
      <w:bookmarkEnd w:id="166"/>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identifier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w:t>
      </w:r>
      <w:ins w:id="167" w:author="Master Repository Process" w:date="2021-12-31T10:23:00Z">
        <w:r>
          <w:t xml:space="preserve"> for this subregulation</w:t>
        </w:r>
      </w:ins>
      <w:r>
        <w:t>: a fine of $2 000.</w:t>
      </w:r>
    </w:p>
    <w:p>
      <w:pPr>
        <w:pStyle w:val="Footnotesection"/>
      </w:pPr>
      <w:r>
        <w:tab/>
        <w:t>[Regulation 38 amended: Gazette 27 Jun 2019 p. 2409</w:t>
      </w:r>
      <w:ins w:id="168" w:author="Master Repository Process" w:date="2021-12-31T10:23:00Z">
        <w:r>
          <w:t>; SL 2021/204 r. 14</w:t>
        </w:r>
      </w:ins>
      <w:r>
        <w:t>.]</w:t>
      </w:r>
    </w:p>
    <w:p>
      <w:pPr>
        <w:pStyle w:val="Heading5"/>
      </w:pPr>
      <w:bookmarkStart w:id="169" w:name="_Toc91081250"/>
      <w:bookmarkStart w:id="170" w:name="_Toc89252541"/>
      <w:r>
        <w:rPr>
          <w:rStyle w:val="CharSectno"/>
        </w:rPr>
        <w:t>39</w:t>
      </w:r>
      <w:r>
        <w:t>.</w:t>
      </w:r>
      <w:r>
        <w:tab/>
        <w:t>When unused identifiers and identification equipment to be given to inspector</w:t>
      </w:r>
      <w:bookmarkEnd w:id="169"/>
      <w:bookmarkEnd w:id="170"/>
    </w:p>
    <w:p>
      <w:pPr>
        <w:pStyle w:val="Subsection"/>
      </w:pPr>
      <w:r>
        <w:tab/>
      </w:r>
      <w:r>
        <w:tab/>
        <w:t>If, under these regulations, a registered identifier ceases to be allotted to a person, the person must, as soon as it is practicable to do so, give to an inspector any unused identifier or identification equipment in the person’s possession or control that is capable of identifying stock with the registered identifier.</w:t>
      </w:r>
    </w:p>
    <w:p>
      <w:pPr>
        <w:pStyle w:val="Penstart"/>
      </w:pPr>
      <w:r>
        <w:tab/>
        <w:t>Penalty: a fine of $5 000.</w:t>
      </w:r>
    </w:p>
    <w:p>
      <w:pPr>
        <w:pStyle w:val="Footnotesection"/>
      </w:pPr>
      <w:r>
        <w:tab/>
        <w:t>[Regulation 39 amended: Gazette 27 Jun 2019 p. 2409.]</w:t>
      </w:r>
    </w:p>
    <w:p>
      <w:pPr>
        <w:pStyle w:val="Heading5"/>
      </w:pPr>
      <w:bookmarkStart w:id="171" w:name="_Toc91081251"/>
      <w:bookmarkStart w:id="172" w:name="_Toc89252542"/>
      <w:r>
        <w:rPr>
          <w:rStyle w:val="CharSectno"/>
        </w:rPr>
        <w:t>40</w:t>
      </w:r>
      <w:r>
        <w:t>.</w:t>
      </w:r>
      <w:r>
        <w:tab/>
        <w:t>Possession of identifiers and identification equipment</w:t>
      </w:r>
      <w:bookmarkEnd w:id="171"/>
      <w:bookmarkEnd w:id="172"/>
    </w:p>
    <w:p>
      <w:pPr>
        <w:pStyle w:val="Subsection"/>
      </w:pPr>
      <w:r>
        <w:tab/>
        <w:t>(1)</w:t>
      </w:r>
      <w:r>
        <w:tab/>
        <w:t>A person must not have in the person’s possession an identifier or identification equipment capable of identifying stock with a registered identifier unless the person is, or is acting on behalf of, the owner of the registered identifier.</w:t>
      </w:r>
    </w:p>
    <w:p>
      <w:pPr>
        <w:pStyle w:val="Penstart"/>
      </w:pPr>
      <w:r>
        <w:tab/>
        <w:t>Penalty</w:t>
      </w:r>
      <w:ins w:id="173" w:author="Master Repository Process" w:date="2021-12-31T10:23:00Z">
        <w:r>
          <w:t xml:space="preserve"> for this subregulation</w:t>
        </w:r>
      </w:ins>
      <w:r>
        <w:t>: a fine of $5 000.</w:t>
      </w:r>
    </w:p>
    <w:p>
      <w:pPr>
        <w:pStyle w:val="Subsection"/>
      </w:pPr>
      <w:r>
        <w:tab/>
        <w:t>(2)</w:t>
      </w:r>
      <w:r>
        <w:tab/>
        <w:t xml:space="preserve">A person must not have on any property an identifier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w:t>
      </w:r>
      <w:ins w:id="174" w:author="Master Repository Process" w:date="2021-12-31T10:23:00Z">
        <w:r>
          <w:t xml:space="preserve"> for this subregulation</w:t>
        </w:r>
      </w:ins>
      <w:r>
        <w:t>: a fine of $5 000.</w:t>
      </w:r>
    </w:p>
    <w:p>
      <w:pPr>
        <w:pStyle w:val="Subsection"/>
      </w:pPr>
      <w:r>
        <w:tab/>
        <w:t>(3)</w:t>
      </w:r>
      <w:r>
        <w:tab/>
        <w:t xml:space="preserve">A person does not commit an offence under subregulation (1) or (2) if the person is in possession of the identifier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owner of the registered identifier.</w:t>
      </w:r>
    </w:p>
    <w:p>
      <w:pPr>
        <w:pStyle w:val="Subsection"/>
        <w:keepNext/>
      </w:pPr>
      <w:r>
        <w:tab/>
        <w:t>(4)</w:t>
      </w:r>
      <w:r>
        <w:tab/>
        <w:t xml:space="preserve">A person must not remove an identifier or identification equipment capable of identifying stock with a registered identifier from a property with the registered identifier’s corresponding PIC unless the identifier or identification equipment — </w:t>
      </w:r>
    </w:p>
    <w:p>
      <w:pPr>
        <w:pStyle w:val="Indenta"/>
      </w:pPr>
      <w:r>
        <w:tab/>
        <w:t>(a)</w:t>
      </w:r>
      <w:r>
        <w:tab/>
        <w:t>is being moved directly to another property with the corresponding PIC and the person is in possession of a certificate of registration of the owner of the registered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w:t>
      </w:r>
      <w:ins w:id="175" w:author="Master Repository Process" w:date="2021-12-31T10:23:00Z">
        <w:r>
          <w:t xml:space="preserve"> for this subregulation</w:t>
        </w:r>
      </w:ins>
      <w:r>
        <w:t>: a fine of $5 000.</w:t>
      </w:r>
    </w:p>
    <w:p>
      <w:pPr>
        <w:pStyle w:val="Footnotesection"/>
      </w:pPr>
      <w:r>
        <w:tab/>
        <w:t>[Regulation 40 amended: Gazette 27 Jun 2019 p. 2410</w:t>
      </w:r>
      <w:r>
        <w:noBreakHyphen/>
        <w:t>11</w:t>
      </w:r>
      <w:ins w:id="176" w:author="Master Repository Process" w:date="2021-12-31T10:23:00Z">
        <w:r>
          <w:t>; SL 2021/204 r. 14</w:t>
        </w:r>
      </w:ins>
      <w:r>
        <w:t>.]</w:t>
      </w:r>
    </w:p>
    <w:p>
      <w:pPr>
        <w:pStyle w:val="Heading5"/>
      </w:pPr>
      <w:bookmarkStart w:id="177" w:name="_Toc91081252"/>
      <w:bookmarkStart w:id="178" w:name="_Toc89252543"/>
      <w:r>
        <w:rPr>
          <w:rStyle w:val="CharSectno"/>
        </w:rPr>
        <w:t>41</w:t>
      </w:r>
      <w:r>
        <w:t>.</w:t>
      </w:r>
      <w:r>
        <w:tab/>
        <w:t>False representations relating to registered identifiers</w:t>
      </w:r>
      <w:bookmarkEnd w:id="177"/>
      <w:bookmarkEnd w:id="178"/>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179" w:name="_Toc91081253"/>
      <w:bookmarkStart w:id="180" w:name="_Toc89252544"/>
      <w:r>
        <w:rPr>
          <w:rStyle w:val="CharSectno"/>
        </w:rPr>
        <w:t>42</w:t>
      </w:r>
      <w:r>
        <w:t>.</w:t>
      </w:r>
      <w:r>
        <w:tab/>
        <w:t>Unauthorised removal of registered identifier from live animal</w:t>
      </w:r>
      <w:bookmarkEnd w:id="179"/>
      <w:bookmarkEnd w:id="180"/>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181" w:name="_Toc90995541"/>
      <w:bookmarkStart w:id="182" w:name="_Toc90998594"/>
      <w:bookmarkStart w:id="183" w:name="_Toc91081254"/>
      <w:bookmarkStart w:id="184" w:name="_Toc89179861"/>
      <w:bookmarkStart w:id="185" w:name="_Toc89181328"/>
      <w:bookmarkStart w:id="186" w:name="_Toc89252545"/>
      <w:r>
        <w:rPr>
          <w:rStyle w:val="CharDivNo"/>
        </w:rPr>
        <w:t>Division 2</w:t>
      </w:r>
      <w:r>
        <w:t> — </w:t>
      </w:r>
      <w:r>
        <w:rPr>
          <w:rStyle w:val="CharDivText"/>
        </w:rPr>
        <w:t>Approved identification systems</w:t>
      </w:r>
      <w:bookmarkEnd w:id="181"/>
      <w:bookmarkEnd w:id="182"/>
      <w:bookmarkEnd w:id="183"/>
      <w:bookmarkEnd w:id="184"/>
      <w:bookmarkEnd w:id="185"/>
      <w:bookmarkEnd w:id="186"/>
    </w:p>
    <w:p>
      <w:pPr>
        <w:pStyle w:val="Heading5"/>
      </w:pPr>
      <w:bookmarkStart w:id="187" w:name="_Toc91081255"/>
      <w:bookmarkStart w:id="188" w:name="_Toc89252546"/>
      <w:r>
        <w:rPr>
          <w:rStyle w:val="CharSectno"/>
        </w:rPr>
        <w:t>43</w:t>
      </w:r>
      <w:r>
        <w:t>.</w:t>
      </w:r>
      <w:r>
        <w:tab/>
        <w:t>Approved identifiers and databases</w:t>
      </w:r>
      <w:bookmarkEnd w:id="187"/>
      <w:bookmarkEnd w:id="188"/>
    </w:p>
    <w:p>
      <w:pPr>
        <w:pStyle w:val="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189" w:name="_Toc91081256"/>
      <w:bookmarkStart w:id="190" w:name="_Toc89252547"/>
      <w:r>
        <w:rPr>
          <w:rStyle w:val="CharSectno"/>
        </w:rPr>
        <w:t>44</w:t>
      </w:r>
      <w:r>
        <w:t>.</w:t>
      </w:r>
      <w:r>
        <w:tab/>
        <w:t>Use of approved identifiers</w:t>
      </w:r>
      <w:bookmarkEnd w:id="189"/>
      <w:bookmarkEnd w:id="190"/>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w:t>
      </w:r>
      <w:ins w:id="191" w:author="Master Repository Process" w:date="2021-12-31T10:23:00Z">
        <w:r>
          <w:t xml:space="preserve"> for this subregulation</w:t>
        </w:r>
      </w:ins>
      <w:r>
        <w:t>: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w:t>
      </w:r>
      <w:ins w:id="192" w:author="Master Repository Process" w:date="2021-12-31T10:23:00Z">
        <w:r>
          <w:t xml:space="preserve"> for this subregulation</w:t>
        </w:r>
      </w:ins>
      <w:r>
        <w:t>: a fine of $20 000.</w:t>
      </w:r>
    </w:p>
    <w:p>
      <w:pPr>
        <w:pStyle w:val="Subsection"/>
      </w:pPr>
      <w:r>
        <w:tab/>
        <w:t>(3)</w:t>
      </w:r>
      <w:r>
        <w:tab/>
        <w:t>A person must not apply an approved identifier to an animal unless it is applied in the approved manner.</w:t>
      </w:r>
    </w:p>
    <w:p>
      <w:pPr>
        <w:pStyle w:val="Penstart"/>
      </w:pPr>
      <w:r>
        <w:tab/>
        <w:t>Penalty</w:t>
      </w:r>
      <w:ins w:id="193" w:author="Master Repository Process" w:date="2021-12-31T10:23:00Z">
        <w:r>
          <w:t xml:space="preserve"> for this subregulation</w:t>
        </w:r>
      </w:ins>
      <w:r>
        <w:t>: a fine of $20 000.</w:t>
      </w:r>
    </w:p>
    <w:p>
      <w:pPr>
        <w:pStyle w:val="Footnotesection"/>
        <w:rPr>
          <w:ins w:id="194" w:author="Master Repository Process" w:date="2021-12-31T10:23:00Z"/>
        </w:rPr>
      </w:pPr>
      <w:ins w:id="195" w:author="Master Repository Process" w:date="2021-12-31T10:23:00Z">
        <w:r>
          <w:tab/>
          <w:t>[Regulation 44 amended: SL 2021/204 r. 14]</w:t>
        </w:r>
      </w:ins>
    </w:p>
    <w:p>
      <w:pPr>
        <w:pStyle w:val="Heading5"/>
      </w:pPr>
      <w:bookmarkStart w:id="196" w:name="_Toc91081257"/>
      <w:bookmarkStart w:id="197" w:name="_Toc89252548"/>
      <w:r>
        <w:rPr>
          <w:rStyle w:val="CharSectno"/>
        </w:rPr>
        <w:t>45</w:t>
      </w:r>
      <w:r>
        <w:t>.</w:t>
      </w:r>
      <w:r>
        <w:tab/>
        <w:t>False representations relating to approved identifiers</w:t>
      </w:r>
      <w:bookmarkEnd w:id="196"/>
      <w:bookmarkEnd w:id="197"/>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198" w:name="_Toc91081258"/>
      <w:bookmarkStart w:id="199" w:name="_Toc89252549"/>
      <w:r>
        <w:rPr>
          <w:rStyle w:val="CharSectno"/>
        </w:rPr>
        <w:t>46</w:t>
      </w:r>
      <w:r>
        <w:t>.</w:t>
      </w:r>
      <w:r>
        <w:tab/>
        <w:t>Unauthorised removal of approved identifier from live animal</w:t>
      </w:r>
      <w:bookmarkEnd w:id="198"/>
      <w:bookmarkEnd w:id="199"/>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200" w:name="_Toc90995546"/>
      <w:bookmarkStart w:id="201" w:name="_Toc90998599"/>
      <w:bookmarkStart w:id="202" w:name="_Toc91081259"/>
      <w:bookmarkStart w:id="203" w:name="_Toc89179866"/>
      <w:bookmarkStart w:id="204" w:name="_Toc89181333"/>
      <w:bookmarkStart w:id="205" w:name="_Toc89252550"/>
      <w:r>
        <w:rPr>
          <w:rStyle w:val="CharDivNo"/>
        </w:rPr>
        <w:t>Division 3</w:t>
      </w:r>
      <w:r>
        <w:t> — </w:t>
      </w:r>
      <w:r>
        <w:rPr>
          <w:rStyle w:val="CharDivText"/>
        </w:rPr>
        <w:t>NLIS identifiers</w:t>
      </w:r>
      <w:bookmarkEnd w:id="200"/>
      <w:bookmarkEnd w:id="201"/>
      <w:bookmarkEnd w:id="202"/>
      <w:bookmarkEnd w:id="203"/>
      <w:bookmarkEnd w:id="204"/>
      <w:bookmarkEnd w:id="205"/>
    </w:p>
    <w:p>
      <w:pPr>
        <w:pStyle w:val="Heading4"/>
      </w:pPr>
      <w:bookmarkStart w:id="206" w:name="_Toc90995547"/>
      <w:bookmarkStart w:id="207" w:name="_Toc90998600"/>
      <w:bookmarkStart w:id="208" w:name="_Toc91081260"/>
      <w:bookmarkStart w:id="209" w:name="_Toc89179867"/>
      <w:bookmarkStart w:id="210" w:name="_Toc89181334"/>
      <w:bookmarkStart w:id="211" w:name="_Toc89252551"/>
      <w:r>
        <w:t>Subdivision 1 — NLIS devices</w:t>
      </w:r>
      <w:bookmarkEnd w:id="206"/>
      <w:bookmarkEnd w:id="207"/>
      <w:bookmarkEnd w:id="208"/>
      <w:bookmarkEnd w:id="209"/>
      <w:bookmarkEnd w:id="210"/>
      <w:bookmarkEnd w:id="211"/>
    </w:p>
    <w:p>
      <w:pPr>
        <w:pStyle w:val="Heading5"/>
      </w:pPr>
      <w:bookmarkStart w:id="212" w:name="_Toc91081261"/>
      <w:bookmarkStart w:id="213" w:name="_Toc89252552"/>
      <w:r>
        <w:rPr>
          <w:rStyle w:val="CharSectno"/>
        </w:rPr>
        <w:t>47</w:t>
      </w:r>
      <w:r>
        <w:t>.</w:t>
      </w:r>
      <w:r>
        <w:tab/>
        <w:t>Meaning of NLIS device</w:t>
      </w:r>
      <w:bookmarkEnd w:id="212"/>
      <w:bookmarkEnd w:id="213"/>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pPr>
      <w:r>
        <w:tab/>
        <w:t>(ii)</w:t>
      </w:r>
      <w:r>
        <w:tab/>
        <w:t>in each other case — be white;</w:t>
      </w:r>
    </w:p>
    <w:p>
      <w:pPr>
        <w:pStyle w:val="Indenta"/>
      </w:pPr>
      <w:r>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Indenta"/>
      </w:pPr>
      <w:r>
        <w:tab/>
      </w:r>
      <w:r>
        <w:tab/>
        <w:t>and</w:t>
      </w:r>
    </w:p>
    <w:p>
      <w:pPr>
        <w:pStyle w:val="Indenta"/>
      </w:pPr>
      <w:r>
        <w:tab/>
        <w:t>(c)</w:t>
      </w:r>
      <w:r>
        <w:tab/>
        <w:t xml:space="preserve">an NLIS device for pigs must — </w:t>
      </w:r>
    </w:p>
    <w:p>
      <w:pPr>
        <w:pStyle w:val="Indenti"/>
      </w:pPr>
      <w:r>
        <w:tab/>
        <w:t>(i)</w:t>
      </w:r>
      <w:r>
        <w:tab/>
        <w:t>if it is an NLIS post breeder device — be orange; and</w:t>
      </w:r>
    </w:p>
    <w:p>
      <w:pPr>
        <w:pStyle w:val="Indenti"/>
      </w:pPr>
      <w:r>
        <w:tab/>
        <w:t>(ii)</w:t>
      </w:r>
      <w:r>
        <w:tab/>
        <w:t>in each other case — be yellow.</w:t>
      </w:r>
    </w:p>
    <w:p>
      <w:pPr>
        <w:pStyle w:val="Footnotesection"/>
      </w:pPr>
      <w:r>
        <w:tab/>
        <w:t>[Regulation 47 amended: Gazette 27 Jun 2019 p. 2411.]</w:t>
      </w:r>
    </w:p>
    <w:p>
      <w:pPr>
        <w:pStyle w:val="Heading5"/>
      </w:pPr>
      <w:bookmarkStart w:id="214" w:name="_Toc91081262"/>
      <w:bookmarkStart w:id="215" w:name="_Toc89252553"/>
      <w:r>
        <w:rPr>
          <w:rStyle w:val="CharSectno"/>
        </w:rPr>
        <w:t>48</w:t>
      </w:r>
      <w:r>
        <w:t>.</w:t>
      </w:r>
      <w:r>
        <w:tab/>
        <w:t>Applying NLIS devices to stock</w:t>
      </w:r>
      <w:bookmarkEnd w:id="214"/>
      <w:bookmarkEnd w:id="215"/>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for this subregulation: a fine of $20 000.</w:t>
      </w:r>
    </w:p>
    <w:p>
      <w:pPr>
        <w:pStyle w:val="Subsection"/>
      </w:pPr>
      <w:r>
        <w:tab/>
        <w:t>(2)</w:t>
      </w:r>
      <w:r>
        <w:tab/>
        <w:t>A person must not apply an NLIS device to cattle or buffalo other than in the right ear of the animal.</w:t>
      </w:r>
    </w:p>
    <w:p>
      <w:pPr>
        <w:pStyle w:val="Penstart"/>
      </w:pPr>
      <w:r>
        <w:tab/>
        <w:t>Penalty for this subregulation: a fine of $2 000.</w:t>
      </w:r>
    </w:p>
    <w:p>
      <w:pPr>
        <w:pStyle w:val="Subsection"/>
      </w:pPr>
      <w:r>
        <w:tab/>
        <w:t>(3)</w:t>
      </w:r>
      <w:r>
        <w:tab/>
        <w:t xml:space="preserve">A person must not apply an NLIS device (except an NLIS post breeder device) to a sheep or a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(4)</w:t>
      </w:r>
      <w:r>
        <w:tab/>
        <w:t>A person must not apply an NLIS post breeder device to a sheep or a goat other than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(4A)</w:t>
      </w:r>
      <w:r>
        <w:tab/>
        <w:t>A person must not apply an NLIS device (except an NLIS post breeder device) to a pig other than in its left ear.</w:t>
      </w:r>
    </w:p>
    <w:p>
      <w:pPr>
        <w:pStyle w:val="Penstart"/>
      </w:pPr>
      <w:r>
        <w:tab/>
        <w:t>Penalty for this subregulation: a fine of $2 000.</w:t>
      </w:r>
    </w:p>
    <w:p>
      <w:pPr>
        <w:pStyle w:val="Subsection"/>
      </w:pPr>
      <w:r>
        <w:tab/>
        <w:t>(4B)</w:t>
      </w:r>
      <w:r>
        <w:tab/>
        <w:t>A person must not apply an NLIS post breeder device to a pig other than in its right ear.</w:t>
      </w:r>
    </w:p>
    <w:p>
      <w:pPr>
        <w:pStyle w:val="Penstart"/>
      </w:pPr>
      <w:r>
        <w:tab/>
        <w:t>Penalty for this subregulation: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for this subregulation: a fine of $2 000.</w:t>
      </w:r>
    </w:p>
    <w:p>
      <w:pPr>
        <w:pStyle w:val="Footnotesection"/>
      </w:pPr>
      <w:r>
        <w:tab/>
        <w:t>[Regulation 48 amended: Gazette 27 Jun 2019 p. 2412.]</w:t>
      </w:r>
    </w:p>
    <w:p>
      <w:pPr>
        <w:pStyle w:val="Heading5"/>
      </w:pPr>
      <w:bookmarkStart w:id="216" w:name="_Toc91081263"/>
      <w:bookmarkStart w:id="217" w:name="_Toc89252554"/>
      <w:r>
        <w:rPr>
          <w:rStyle w:val="CharSectno"/>
        </w:rPr>
        <w:t>49</w:t>
      </w:r>
      <w:r>
        <w:t>.</w:t>
      </w:r>
      <w:r>
        <w:tab/>
        <w:t>When unused NLIS devices to be given to inspector</w:t>
      </w:r>
      <w:bookmarkEnd w:id="216"/>
      <w:bookmarkEnd w:id="217"/>
    </w:p>
    <w:p>
      <w:pPr>
        <w:pStyle w:val="Subsection"/>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w:t>
      </w:r>
      <w:ins w:id="218" w:author="Master Repository Process" w:date="2021-12-31T10:23:00Z">
        <w:r>
          <w:t xml:space="preserve"> for this subregulation</w:t>
        </w:r>
      </w:ins>
      <w:r>
        <w:t>: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Footnotesection"/>
        <w:rPr>
          <w:ins w:id="219" w:author="Master Repository Process" w:date="2021-12-31T10:23:00Z"/>
        </w:rPr>
      </w:pPr>
      <w:ins w:id="220" w:author="Master Repository Process" w:date="2021-12-31T10:23:00Z">
        <w:r>
          <w:tab/>
          <w:t>[Regulation 49 amended: SL 2021/204 r. 14]</w:t>
        </w:r>
      </w:ins>
    </w:p>
    <w:p>
      <w:pPr>
        <w:pStyle w:val="Heading5"/>
      </w:pPr>
      <w:bookmarkStart w:id="221" w:name="_Toc91081264"/>
      <w:bookmarkStart w:id="222" w:name="_Toc89252555"/>
      <w:r>
        <w:rPr>
          <w:rStyle w:val="CharSectno"/>
        </w:rPr>
        <w:t>50</w:t>
      </w:r>
      <w:r>
        <w:t>.</w:t>
      </w:r>
      <w:r>
        <w:tab/>
        <w:t>False representations relating to NLIS devices</w:t>
      </w:r>
      <w:bookmarkEnd w:id="221"/>
      <w:bookmarkEnd w:id="222"/>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223" w:name="_Toc90995552"/>
      <w:bookmarkStart w:id="224" w:name="_Toc90998605"/>
      <w:bookmarkStart w:id="225" w:name="_Toc91081265"/>
      <w:bookmarkStart w:id="226" w:name="_Toc89179872"/>
      <w:bookmarkStart w:id="227" w:name="_Toc89181339"/>
      <w:bookmarkStart w:id="228" w:name="_Toc89252556"/>
      <w:r>
        <w:t>Subdivision 2 — NLIS tags</w:t>
      </w:r>
      <w:bookmarkEnd w:id="223"/>
      <w:bookmarkEnd w:id="224"/>
      <w:bookmarkEnd w:id="225"/>
      <w:bookmarkEnd w:id="226"/>
      <w:bookmarkEnd w:id="227"/>
      <w:bookmarkEnd w:id="228"/>
    </w:p>
    <w:p>
      <w:pPr>
        <w:pStyle w:val="Heading5"/>
      </w:pPr>
      <w:bookmarkStart w:id="229" w:name="_Toc91081266"/>
      <w:bookmarkStart w:id="230" w:name="_Toc89252557"/>
      <w:r>
        <w:rPr>
          <w:rStyle w:val="CharSectno"/>
        </w:rPr>
        <w:t>51</w:t>
      </w:r>
      <w:r>
        <w:t>.</w:t>
      </w:r>
      <w:r>
        <w:tab/>
        <w:t>Meaning of NLIS tag</w:t>
      </w:r>
      <w:bookmarkEnd w:id="229"/>
      <w:bookmarkEnd w:id="230"/>
    </w:p>
    <w:p>
      <w:pPr>
        <w:pStyle w:val="Subsection"/>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for an animal other than a pig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pPr>
      <w:r>
        <w:tab/>
        <w:t>(3)</w:t>
      </w:r>
      <w:r>
        <w:tab/>
        <w:t xml:space="preserve">In addition to the requirements in subregulation (1), an NLIS tag for a pig must — </w:t>
      </w:r>
    </w:p>
    <w:p>
      <w:pPr>
        <w:pStyle w:val="Indenta"/>
      </w:pPr>
      <w:r>
        <w:tab/>
        <w:t>(a)</w:t>
      </w:r>
      <w:r>
        <w:tab/>
        <w:t>if it is an NLIS post breeder tag — be orange; and</w:t>
      </w:r>
    </w:p>
    <w:p>
      <w:pPr>
        <w:pStyle w:val="Indenta"/>
      </w:pPr>
      <w:r>
        <w:tab/>
        <w:t>(b)</w:t>
      </w:r>
      <w:r>
        <w:tab/>
        <w:t>in each other case — be yellow.</w:t>
      </w:r>
    </w:p>
    <w:p>
      <w:pPr>
        <w:pStyle w:val="Footnotesection"/>
      </w:pPr>
      <w:r>
        <w:tab/>
        <w:t>[Regulation 51 amended: Gazette 27 Jun 2019 p. 2412</w:t>
      </w:r>
      <w:r>
        <w:noBreakHyphen/>
        <w:t>13.]</w:t>
      </w:r>
    </w:p>
    <w:p>
      <w:pPr>
        <w:pStyle w:val="Heading5"/>
      </w:pPr>
      <w:bookmarkStart w:id="231" w:name="_Toc91081267"/>
      <w:bookmarkStart w:id="232" w:name="_Toc89252558"/>
      <w:r>
        <w:rPr>
          <w:rStyle w:val="CharSectno"/>
        </w:rPr>
        <w:t>52</w:t>
      </w:r>
      <w:r>
        <w:t>.</w:t>
      </w:r>
      <w:r>
        <w:tab/>
        <w:t>Applying NLIS tags to stock</w:t>
      </w:r>
      <w:bookmarkEnd w:id="231"/>
      <w:bookmarkEnd w:id="232"/>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the person is, or is acting on behalf of, its owner or is otherwise required or empowered by these regulations to 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tab/>
        <w:t>Penalty for this subregulation: a fine of $20 000.</w:t>
      </w:r>
    </w:p>
    <w:p>
      <w:pPr>
        <w:pStyle w:val="Subsection"/>
      </w:pPr>
      <w:r>
        <w:tab/>
        <w:t>(2)</w:t>
      </w:r>
      <w:r>
        <w:tab/>
        <w:t xml:space="preserve">A person must not apply an NLIS tag (except an NLIS post breeder tag) to a sheep or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(3)</w:t>
      </w:r>
      <w:r>
        <w:tab/>
        <w:t xml:space="preserve">A person must not apply an NLIS post breeder tag to a sheep or goat other than —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w:t>
      </w:r>
      <w:r>
        <w:tab/>
        <w:t>A person must not apply an NLIS tag (except an NLIS post breeder tag) to a pig other than in its left ear.</w:t>
      </w:r>
    </w:p>
    <w:p>
      <w:pPr>
        <w:pStyle w:val="Penstart"/>
      </w:pPr>
      <w:r>
        <w:tab/>
        <w:t>Penalty for this subregulation: a fine of $2 000.</w:t>
      </w:r>
    </w:p>
    <w:p>
      <w:pPr>
        <w:pStyle w:val="Subsection"/>
      </w:pPr>
      <w:r>
        <w:tab/>
        <w:t>(5)</w:t>
      </w:r>
      <w:r>
        <w:tab/>
        <w:t>A person must not apply an NLIS post breeder tag to a pig other than in its right ear.</w:t>
      </w:r>
    </w:p>
    <w:p>
      <w:pPr>
        <w:pStyle w:val="Penstart"/>
      </w:pPr>
      <w:r>
        <w:tab/>
        <w:t>Penalty for this subregulation: a fine of $2 000.</w:t>
      </w:r>
    </w:p>
    <w:p>
      <w:pPr>
        <w:pStyle w:val="Footnotesection"/>
      </w:pPr>
      <w:r>
        <w:tab/>
        <w:t>[Regulation 52 amended: Gazette 27 Jun 2019 p. 2413</w:t>
      </w:r>
      <w:r>
        <w:noBreakHyphen/>
        <w:t>14.]</w:t>
      </w:r>
    </w:p>
    <w:p>
      <w:pPr>
        <w:pStyle w:val="Heading5"/>
      </w:pPr>
      <w:bookmarkStart w:id="233" w:name="_Toc91081268"/>
      <w:bookmarkStart w:id="234" w:name="_Toc89252559"/>
      <w:r>
        <w:rPr>
          <w:rStyle w:val="CharSectno"/>
        </w:rPr>
        <w:t>53</w:t>
      </w:r>
      <w:r>
        <w:t>.</w:t>
      </w:r>
      <w:r>
        <w:tab/>
        <w:t>False representations relating to NLIS tags</w:t>
      </w:r>
      <w:bookmarkEnd w:id="233"/>
      <w:bookmarkEnd w:id="234"/>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235" w:name="_Toc90995556"/>
      <w:bookmarkStart w:id="236" w:name="_Toc90998609"/>
      <w:bookmarkStart w:id="237" w:name="_Toc91081269"/>
      <w:bookmarkStart w:id="238" w:name="_Toc89179876"/>
      <w:bookmarkStart w:id="239" w:name="_Toc89181343"/>
      <w:bookmarkStart w:id="240" w:name="_Toc89252560"/>
      <w:r>
        <w:t>Subdivision 3 — Removal and disposal of NLIS identifiers</w:t>
      </w:r>
      <w:bookmarkEnd w:id="235"/>
      <w:bookmarkEnd w:id="236"/>
      <w:bookmarkEnd w:id="237"/>
      <w:bookmarkEnd w:id="238"/>
      <w:bookmarkEnd w:id="239"/>
      <w:bookmarkEnd w:id="240"/>
    </w:p>
    <w:p>
      <w:pPr>
        <w:pStyle w:val="Heading5"/>
      </w:pPr>
      <w:bookmarkStart w:id="241" w:name="_Toc91081270"/>
      <w:bookmarkStart w:id="242" w:name="_Toc89252561"/>
      <w:r>
        <w:rPr>
          <w:rStyle w:val="CharSectno"/>
        </w:rPr>
        <w:t>54</w:t>
      </w:r>
      <w:r>
        <w:t>.</w:t>
      </w:r>
      <w:r>
        <w:tab/>
        <w:t>Removal of NLIS identifiers</w:t>
      </w:r>
      <w:bookmarkEnd w:id="241"/>
      <w:bookmarkEnd w:id="242"/>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w:t>
      </w:r>
      <w:ins w:id="243" w:author="Master Repository Process" w:date="2021-12-31T10:23:00Z">
        <w:r>
          <w:t xml:space="preserve"> for this subregulation</w:t>
        </w:r>
      </w:ins>
      <w:r>
        <w:t>: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w:t>
      </w:r>
      <w:ins w:id="244" w:author="Master Repository Process" w:date="2021-12-31T10:23:00Z">
        <w:r>
          <w:t xml:space="preserve"> for this subregulation</w:t>
        </w:r>
      </w:ins>
      <w:r>
        <w:t>: a fine of $20 000.</w:t>
      </w:r>
    </w:p>
    <w:p>
      <w:pPr>
        <w:pStyle w:val="Footnotesection"/>
        <w:rPr>
          <w:ins w:id="245" w:author="Master Repository Process" w:date="2021-12-31T10:23:00Z"/>
        </w:rPr>
      </w:pPr>
      <w:ins w:id="246" w:author="Master Repository Process" w:date="2021-12-31T10:23:00Z">
        <w:r>
          <w:tab/>
          <w:t>[Regulation 54 amended: SL 2021/204 r. 14]</w:t>
        </w:r>
      </w:ins>
    </w:p>
    <w:p>
      <w:pPr>
        <w:pStyle w:val="Heading5"/>
      </w:pPr>
      <w:bookmarkStart w:id="247" w:name="_Toc91081271"/>
      <w:bookmarkStart w:id="248" w:name="_Toc89252562"/>
      <w:r>
        <w:rPr>
          <w:rStyle w:val="CharSectno"/>
        </w:rPr>
        <w:t>55</w:t>
      </w:r>
      <w:r>
        <w:t>.</w:t>
      </w:r>
      <w:r>
        <w:tab/>
        <w:t>Replacing NLIS identifiers</w:t>
      </w:r>
      <w:bookmarkEnd w:id="247"/>
      <w:bookmarkEnd w:id="248"/>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w:t>
      </w:r>
      <w:ins w:id="249" w:author="Master Repository Process" w:date="2021-12-31T10:23:00Z">
        <w:r>
          <w:t xml:space="preserve"> for this subregulation</w:t>
        </w:r>
      </w:ins>
      <w:r>
        <w:t>: a fine of $2 000.</w:t>
      </w:r>
    </w:p>
    <w:p>
      <w:pPr>
        <w:pStyle w:val="Subsection"/>
      </w:pPr>
      <w:r>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w:t>
      </w:r>
      <w:ins w:id="250" w:author="Master Repository Process" w:date="2021-12-31T10:23:00Z">
        <w:r>
          <w:t xml:space="preserve"> for this subregulation</w:t>
        </w:r>
      </w:ins>
      <w:r>
        <w:t>: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Footnotesection"/>
        <w:rPr>
          <w:ins w:id="251" w:author="Master Repository Process" w:date="2021-12-31T10:23:00Z"/>
        </w:rPr>
      </w:pPr>
      <w:ins w:id="252" w:author="Master Repository Process" w:date="2021-12-31T10:23:00Z">
        <w:r>
          <w:tab/>
          <w:t>[Regulation 55 amended: SL 2021/204 r. 14]</w:t>
        </w:r>
      </w:ins>
    </w:p>
    <w:p>
      <w:pPr>
        <w:pStyle w:val="Heading5"/>
      </w:pPr>
      <w:bookmarkStart w:id="253" w:name="_Toc91081272"/>
      <w:bookmarkStart w:id="254" w:name="_Toc89252563"/>
      <w:r>
        <w:rPr>
          <w:rStyle w:val="CharSectno"/>
        </w:rPr>
        <w:t>56</w:t>
      </w:r>
      <w:r>
        <w:t>.</w:t>
      </w:r>
      <w:r>
        <w:tab/>
        <w:t>Disposal of NLIS identifiers</w:t>
      </w:r>
      <w:bookmarkEnd w:id="253"/>
      <w:bookmarkEnd w:id="254"/>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255" w:name="_Toc91081273"/>
      <w:bookmarkStart w:id="256" w:name="_Toc89252564"/>
      <w:r>
        <w:rPr>
          <w:rStyle w:val="CharSectno"/>
        </w:rPr>
        <w:t>57</w:t>
      </w:r>
      <w:r>
        <w:t>.</w:t>
      </w:r>
      <w:r>
        <w:tab/>
        <w:t>NLIS identifiers not to be damaged or defaced</w:t>
      </w:r>
      <w:bookmarkEnd w:id="255"/>
      <w:bookmarkEnd w:id="256"/>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257" w:name="_Toc90995561"/>
      <w:bookmarkStart w:id="258" w:name="_Toc90998614"/>
      <w:bookmarkStart w:id="259" w:name="_Toc91081274"/>
      <w:bookmarkStart w:id="260" w:name="_Toc89179881"/>
      <w:bookmarkStart w:id="261" w:name="_Toc89181348"/>
      <w:bookmarkStart w:id="262" w:name="_Toc89252565"/>
      <w:r>
        <w:t>Subdivision 4 — The NLIS database</w:t>
      </w:r>
      <w:bookmarkEnd w:id="257"/>
      <w:bookmarkEnd w:id="258"/>
      <w:bookmarkEnd w:id="259"/>
      <w:bookmarkEnd w:id="260"/>
      <w:bookmarkEnd w:id="261"/>
      <w:bookmarkEnd w:id="262"/>
    </w:p>
    <w:p>
      <w:pPr>
        <w:pStyle w:val="Heading5"/>
      </w:pPr>
      <w:bookmarkStart w:id="263" w:name="_Toc91081275"/>
      <w:bookmarkStart w:id="264" w:name="_Toc89252566"/>
      <w:r>
        <w:rPr>
          <w:rStyle w:val="CharSectno"/>
        </w:rPr>
        <w:t>58</w:t>
      </w:r>
      <w:r>
        <w:t>.</w:t>
      </w:r>
      <w:r>
        <w:tab/>
        <w:t>The NLIS database</w:t>
      </w:r>
      <w:bookmarkEnd w:id="263"/>
      <w:bookmarkEnd w:id="264"/>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keepNext/>
      </w:pPr>
      <w:r>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265" w:name="_Toc90995563"/>
      <w:bookmarkStart w:id="266" w:name="_Toc90998616"/>
      <w:bookmarkStart w:id="267" w:name="_Toc91081276"/>
      <w:bookmarkStart w:id="268" w:name="_Toc89179883"/>
      <w:bookmarkStart w:id="269" w:name="_Toc89181350"/>
      <w:bookmarkStart w:id="270" w:name="_Toc89252567"/>
      <w:r>
        <w:rPr>
          <w:rStyle w:val="CharDivNo"/>
        </w:rPr>
        <w:t>Division 4</w:t>
      </w:r>
      <w:r>
        <w:t> — </w:t>
      </w:r>
      <w:r>
        <w:rPr>
          <w:rStyle w:val="CharDivText"/>
        </w:rPr>
        <w:t>Manufacture and supply of identifiers</w:t>
      </w:r>
      <w:bookmarkEnd w:id="265"/>
      <w:bookmarkEnd w:id="266"/>
      <w:bookmarkEnd w:id="267"/>
      <w:bookmarkEnd w:id="268"/>
      <w:bookmarkEnd w:id="269"/>
      <w:bookmarkEnd w:id="270"/>
    </w:p>
    <w:p>
      <w:pPr>
        <w:pStyle w:val="Heading4"/>
      </w:pPr>
      <w:bookmarkStart w:id="271" w:name="_Toc90995564"/>
      <w:bookmarkStart w:id="272" w:name="_Toc90998617"/>
      <w:bookmarkStart w:id="273" w:name="_Toc91081277"/>
      <w:bookmarkStart w:id="274" w:name="_Toc89179884"/>
      <w:bookmarkStart w:id="275" w:name="_Toc89181351"/>
      <w:bookmarkStart w:id="276" w:name="_Toc89252568"/>
      <w:r>
        <w:t>Subdivision 1 — Approved devices, approved identification equipment and approved manufacturers</w:t>
      </w:r>
      <w:bookmarkEnd w:id="271"/>
      <w:bookmarkEnd w:id="272"/>
      <w:bookmarkEnd w:id="273"/>
      <w:bookmarkEnd w:id="274"/>
      <w:bookmarkEnd w:id="275"/>
      <w:bookmarkEnd w:id="276"/>
    </w:p>
    <w:p>
      <w:pPr>
        <w:pStyle w:val="Heading5"/>
      </w:pPr>
      <w:bookmarkStart w:id="277" w:name="_Toc91081278"/>
      <w:bookmarkStart w:id="278" w:name="_Toc89252569"/>
      <w:r>
        <w:rPr>
          <w:rStyle w:val="CharSectno"/>
        </w:rPr>
        <w:t>59</w:t>
      </w:r>
      <w:r>
        <w:t>.</w:t>
      </w:r>
      <w:r>
        <w:tab/>
        <w:t>Approved devices and approved identification equipment</w:t>
      </w:r>
      <w:bookmarkEnd w:id="277"/>
      <w:bookmarkEnd w:id="278"/>
    </w:p>
    <w:p>
      <w:pPr>
        <w:pStyle w:val="Subsection"/>
      </w:pPr>
      <w:r>
        <w:tab/>
        <w:t>(1)</w:t>
      </w:r>
      <w:r>
        <w:tab/>
        <w:t xml:space="preserve">The Director General may approve for use in identifying stock under these regulations — </w:t>
      </w:r>
    </w:p>
    <w:p>
      <w:pPr>
        <w:pStyle w:val="Indenta"/>
      </w:pPr>
      <w:r>
        <w:tab/>
        <w:t>(a)</w:t>
      </w:r>
      <w:r>
        <w:tab/>
        <w:t xml:space="preserve">a particular identifier (an </w:t>
      </w:r>
      <w:r>
        <w:rPr>
          <w:rStyle w:val="CharDefText"/>
        </w:rPr>
        <w:t>approved device</w:t>
      </w:r>
      <w:r>
        <w:t>), including an identifier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The Director General must publish on, or make accessible through, the department’s electronic site a list of all identifiers 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an identifier or identification equipment given under subregulation (1).</w:t>
      </w:r>
    </w:p>
    <w:p>
      <w:pPr>
        <w:pStyle w:val="Footnotesection"/>
      </w:pPr>
      <w:r>
        <w:tab/>
        <w:t>[Regulation 59 amended: Gazette 27 Jun 2019 p. 2414.]</w:t>
      </w:r>
    </w:p>
    <w:p>
      <w:pPr>
        <w:pStyle w:val="Heading5"/>
      </w:pPr>
      <w:bookmarkStart w:id="279" w:name="_Toc91081279"/>
      <w:bookmarkStart w:id="280" w:name="_Toc89252570"/>
      <w:r>
        <w:rPr>
          <w:rStyle w:val="CharSectno"/>
        </w:rPr>
        <w:t>60</w:t>
      </w:r>
      <w:r>
        <w:t>.</w:t>
      </w:r>
      <w:r>
        <w:tab/>
        <w:t>Approved manufacturers</w:t>
      </w:r>
      <w:bookmarkEnd w:id="279"/>
      <w:bookmarkEnd w:id="280"/>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281" w:name="_Toc91081280"/>
      <w:bookmarkStart w:id="282" w:name="_Toc89252571"/>
      <w:r>
        <w:rPr>
          <w:rStyle w:val="CharSectno"/>
        </w:rPr>
        <w:t>61</w:t>
      </w:r>
      <w:r>
        <w:t>.</w:t>
      </w:r>
      <w:r>
        <w:tab/>
        <w:t>Review</w:t>
      </w:r>
      <w:bookmarkEnd w:id="281"/>
      <w:bookmarkEnd w:id="282"/>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283" w:name="_Toc90995568"/>
      <w:bookmarkStart w:id="284" w:name="_Toc90998621"/>
      <w:bookmarkStart w:id="285" w:name="_Toc91081281"/>
      <w:bookmarkStart w:id="286" w:name="_Toc89179888"/>
      <w:bookmarkStart w:id="287" w:name="_Toc89181355"/>
      <w:bookmarkStart w:id="288" w:name="_Toc89252572"/>
      <w:r>
        <w:t>Subdivision 2 — Registered identifiers</w:t>
      </w:r>
      <w:bookmarkEnd w:id="283"/>
      <w:bookmarkEnd w:id="284"/>
      <w:bookmarkEnd w:id="285"/>
      <w:bookmarkEnd w:id="286"/>
      <w:bookmarkEnd w:id="287"/>
      <w:bookmarkEnd w:id="288"/>
    </w:p>
    <w:p>
      <w:pPr>
        <w:pStyle w:val="Heading5"/>
      </w:pPr>
      <w:bookmarkStart w:id="289" w:name="_Toc91081282"/>
      <w:bookmarkStart w:id="290" w:name="_Toc89252573"/>
      <w:r>
        <w:rPr>
          <w:rStyle w:val="CharSectno"/>
        </w:rPr>
        <w:t>62</w:t>
      </w:r>
      <w:r>
        <w:t>.</w:t>
      </w:r>
      <w:r>
        <w:tab/>
        <w:t>Manufacture and supply of identifiers and identification equipment for registered identifiers</w:t>
      </w:r>
      <w:bookmarkEnd w:id="289"/>
      <w:bookmarkEnd w:id="290"/>
    </w:p>
    <w:p>
      <w:pPr>
        <w:pStyle w:val="Subsection"/>
      </w:pPr>
      <w:r>
        <w:tab/>
        <w:t>(1)</w:t>
      </w:r>
      <w:r>
        <w:tab/>
        <w:t xml:space="preserve">A person must not manufacture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w:t>
      </w:r>
      <w:ins w:id="291" w:author="Master Repository Process" w:date="2021-12-31T10:23:00Z">
        <w:r>
          <w:t xml:space="preserve"> for this subregulation</w:t>
        </w:r>
      </w:ins>
      <w:r>
        <w:t>: a fine of $5 000.</w:t>
      </w:r>
    </w:p>
    <w:p>
      <w:pPr>
        <w:pStyle w:val="Subsection"/>
      </w:pPr>
      <w:r>
        <w:tab/>
        <w:t>(2)</w:t>
      </w:r>
      <w:r>
        <w:tab/>
        <w:t xml:space="preserve">A person must not supply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w:t>
      </w:r>
      <w:ins w:id="292" w:author="Master Repository Process" w:date="2021-12-31T10:23:00Z">
        <w:r>
          <w:t xml:space="preserve"> for this subregulation</w:t>
        </w:r>
      </w:ins>
      <w:r>
        <w:t>: a fine of $5 000.</w:t>
      </w:r>
    </w:p>
    <w:p>
      <w:pPr>
        <w:pStyle w:val="Subsection"/>
      </w:pPr>
      <w:r>
        <w:tab/>
        <w:t>(3)</w:t>
      </w:r>
      <w:r>
        <w:tab/>
        <w:t xml:space="preserve">An approved manufacturer must not supply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an identifier — it is an approved device; or</w:t>
      </w:r>
    </w:p>
    <w:p>
      <w:pPr>
        <w:pStyle w:val="Indenta"/>
      </w:pPr>
      <w:r>
        <w:tab/>
        <w:t>(d)</w:t>
      </w:r>
      <w:r>
        <w:tab/>
        <w:t>in the case of identification equipment — it is approved identification equipment.</w:t>
      </w:r>
    </w:p>
    <w:p>
      <w:pPr>
        <w:pStyle w:val="Penstart"/>
      </w:pPr>
      <w:r>
        <w:tab/>
        <w:t>Penalty</w:t>
      </w:r>
      <w:ins w:id="293" w:author="Master Repository Process" w:date="2021-12-31T10:23:00Z">
        <w:r>
          <w:t xml:space="preserve"> for this subregulation</w:t>
        </w:r>
      </w:ins>
      <w:r>
        <w:t>: a fine of $5 000.</w:t>
      </w:r>
    </w:p>
    <w:p>
      <w:pPr>
        <w:pStyle w:val="Subsection"/>
      </w:pPr>
      <w:r>
        <w:tab/>
        <w:t>(4)</w:t>
      </w:r>
      <w:r>
        <w:tab/>
        <w:t xml:space="preserve">An approved manufacturer must not supply to a person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owner of the registered identifier; and</w:t>
      </w:r>
    </w:p>
    <w:p>
      <w:pPr>
        <w:pStyle w:val="Indenta"/>
        <w:keepNext/>
      </w:pPr>
      <w:r>
        <w:tab/>
        <w:t>(e)</w:t>
      </w:r>
      <w:r>
        <w:tab/>
        <w:t>the manufacturer has made a written record of that confirmation.</w:t>
      </w:r>
    </w:p>
    <w:p>
      <w:pPr>
        <w:pStyle w:val="Penstart"/>
      </w:pPr>
      <w:r>
        <w:tab/>
        <w:t>Penalty</w:t>
      </w:r>
      <w:ins w:id="294" w:author="Master Repository Process" w:date="2021-12-31T10:23:00Z">
        <w:r>
          <w:t xml:space="preserve"> for this subregulation</w:t>
        </w:r>
      </w:ins>
      <w:r>
        <w:t>: a fine of $5 000.</w:t>
      </w:r>
    </w:p>
    <w:p>
      <w:pPr>
        <w:pStyle w:val="Subsection"/>
      </w:pPr>
      <w:r>
        <w:tab/>
        <w:t>(5)</w:t>
      </w:r>
      <w:r>
        <w:tab/>
        <w:t>An approved manufacturer must retain a record made under subregulation (4)(e) for not less than 7 years after it is made.</w:t>
      </w:r>
    </w:p>
    <w:p>
      <w:pPr>
        <w:pStyle w:val="Penstart"/>
      </w:pPr>
      <w:r>
        <w:tab/>
        <w:t>Penalty</w:t>
      </w:r>
      <w:ins w:id="295" w:author="Master Repository Process" w:date="2021-12-31T10:23:00Z">
        <w:r>
          <w:t xml:space="preserve"> for this subregulation</w:t>
        </w:r>
      </w:ins>
      <w:r>
        <w:t>: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w:t>
      </w:r>
      <w:ins w:id="296" w:author="Master Repository Process" w:date="2021-12-31T10:23:00Z">
        <w:r>
          <w:t xml:space="preserve"> for this subregulation</w:t>
        </w:r>
      </w:ins>
      <w:r>
        <w:t>: a fine of $5 000.</w:t>
      </w:r>
    </w:p>
    <w:p>
      <w:pPr>
        <w:pStyle w:val="Footnotesection"/>
      </w:pPr>
      <w:r>
        <w:tab/>
        <w:t>[Regulation 62 amended: Gazette 27 Jun 2019 p. 2414</w:t>
      </w:r>
      <w:r>
        <w:noBreakHyphen/>
        <w:t>15</w:t>
      </w:r>
      <w:ins w:id="297" w:author="Master Repository Process" w:date="2021-12-31T10:23:00Z">
        <w:r>
          <w:t>; SL 2021/204 r. 14</w:t>
        </w:r>
      </w:ins>
      <w:r>
        <w:t>.]</w:t>
      </w:r>
    </w:p>
    <w:p>
      <w:pPr>
        <w:pStyle w:val="Heading4"/>
      </w:pPr>
      <w:bookmarkStart w:id="298" w:name="_Toc90995570"/>
      <w:bookmarkStart w:id="299" w:name="_Toc90998623"/>
      <w:bookmarkStart w:id="300" w:name="_Toc91081283"/>
      <w:bookmarkStart w:id="301" w:name="_Toc89179890"/>
      <w:bookmarkStart w:id="302" w:name="_Toc89181357"/>
      <w:bookmarkStart w:id="303" w:name="_Toc89252574"/>
      <w:r>
        <w:t>Subdivision 3 — NLIS identifiers</w:t>
      </w:r>
      <w:bookmarkEnd w:id="298"/>
      <w:bookmarkEnd w:id="299"/>
      <w:bookmarkEnd w:id="300"/>
      <w:bookmarkEnd w:id="301"/>
      <w:bookmarkEnd w:id="302"/>
      <w:bookmarkEnd w:id="303"/>
    </w:p>
    <w:p>
      <w:pPr>
        <w:pStyle w:val="Heading5"/>
      </w:pPr>
      <w:bookmarkStart w:id="304" w:name="_Toc91081284"/>
      <w:bookmarkStart w:id="305" w:name="_Toc89252575"/>
      <w:r>
        <w:rPr>
          <w:rStyle w:val="CharSectno"/>
        </w:rPr>
        <w:t>63</w:t>
      </w:r>
      <w:r>
        <w:t>.</w:t>
      </w:r>
      <w:r>
        <w:tab/>
        <w:t>Term used: manufacture</w:t>
      </w:r>
      <w:bookmarkEnd w:id="304"/>
      <w:bookmarkEnd w:id="305"/>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306" w:name="_Toc91081285"/>
      <w:bookmarkStart w:id="307" w:name="_Toc89252576"/>
      <w:r>
        <w:rPr>
          <w:rStyle w:val="CharSectno"/>
        </w:rPr>
        <w:t>64</w:t>
      </w:r>
      <w:r>
        <w:t>.</w:t>
      </w:r>
      <w:r>
        <w:tab/>
        <w:t>Manufacture of NLIS devices</w:t>
      </w:r>
      <w:bookmarkEnd w:id="306"/>
      <w:bookmarkEnd w:id="307"/>
    </w:p>
    <w:p>
      <w:pPr>
        <w:pStyle w:val="Subsection"/>
      </w:pPr>
      <w:r>
        <w:tab/>
        <w:t>(1)</w:t>
      </w:r>
      <w:r>
        <w:tab/>
        <w:t>A person must not manufacture an NLIS device, except an accredited device, unless the person is an approved manufacturer.</w:t>
      </w:r>
    </w:p>
    <w:p>
      <w:pPr>
        <w:pStyle w:val="Penstart"/>
      </w:pPr>
      <w:r>
        <w:tab/>
        <w:t>Penalty</w:t>
      </w:r>
      <w:ins w:id="308" w:author="Master Repository Process" w:date="2021-12-31T10:23:00Z">
        <w:r>
          <w:t xml:space="preserve"> for this subregulation</w:t>
        </w:r>
      </w:ins>
      <w:r>
        <w:t>: a fine of $5 000.</w:t>
      </w:r>
    </w:p>
    <w:p>
      <w:pPr>
        <w:pStyle w:val="Subsection"/>
      </w:pPr>
      <w:r>
        <w:tab/>
        <w:t>(2)</w:t>
      </w:r>
      <w:r>
        <w:tab/>
        <w:t>A person must not manufacture an accredited device unless the person is recognised by ISC Ltd as a manufacturer of the accredited device.</w:t>
      </w:r>
    </w:p>
    <w:p>
      <w:pPr>
        <w:pStyle w:val="Penstart"/>
      </w:pPr>
      <w:r>
        <w:tab/>
        <w:t>Penalty</w:t>
      </w:r>
      <w:ins w:id="309" w:author="Master Repository Process" w:date="2021-12-31T10:23:00Z">
        <w:r>
          <w:t xml:space="preserve"> for this subregulation</w:t>
        </w:r>
      </w:ins>
      <w:r>
        <w:t>: a fine of $5 000.</w:t>
      </w:r>
    </w:p>
    <w:p>
      <w:pPr>
        <w:pStyle w:val="Subsection"/>
        <w:keepNext/>
      </w:pPr>
      <w:r>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ISC Ltd as a manufacturer of the accredited device.</w:t>
      </w:r>
    </w:p>
    <w:p>
      <w:pPr>
        <w:pStyle w:val="Penstart"/>
      </w:pPr>
      <w:r>
        <w:tab/>
        <w:t>Penalty</w:t>
      </w:r>
      <w:ins w:id="310" w:author="Master Repository Process" w:date="2021-12-31T10:23:00Z">
        <w:r>
          <w:t xml:space="preserve"> for this subregulation</w:t>
        </w:r>
      </w:ins>
      <w:r>
        <w:t>: a fine of $5 000.</w:t>
      </w:r>
    </w:p>
    <w:p>
      <w:pPr>
        <w:pStyle w:val="Footnotesection"/>
      </w:pPr>
      <w:r>
        <w:tab/>
        <w:t>[Regulation 64 amended: Gazette 27 Jun 2019 p. 2450</w:t>
      </w:r>
      <w:r>
        <w:noBreakHyphen/>
        <w:t>1</w:t>
      </w:r>
      <w:ins w:id="311" w:author="Master Repository Process" w:date="2021-12-31T10:23:00Z">
        <w:r>
          <w:t>; SL 2021/204 r. 14</w:t>
        </w:r>
      </w:ins>
      <w:r>
        <w:t>.]</w:t>
      </w:r>
    </w:p>
    <w:p>
      <w:pPr>
        <w:pStyle w:val="Heading5"/>
      </w:pPr>
      <w:bookmarkStart w:id="312" w:name="_Toc91081286"/>
      <w:bookmarkStart w:id="313" w:name="_Toc89252577"/>
      <w:r>
        <w:rPr>
          <w:rStyle w:val="CharSectno"/>
        </w:rPr>
        <w:t>65</w:t>
      </w:r>
      <w:r>
        <w:t>.</w:t>
      </w:r>
      <w:r>
        <w:tab/>
        <w:t>Supply of NLIS devices by manufacturers</w:t>
      </w:r>
      <w:bookmarkEnd w:id="312"/>
      <w:bookmarkEnd w:id="313"/>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r>
        <w:tab/>
      </w:r>
    </w:p>
    <w:p>
      <w:pPr>
        <w:pStyle w:val="Indenta"/>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w:t>
      </w:r>
      <w:ins w:id="314" w:author="Master Repository Process" w:date="2021-12-31T10:23:00Z">
        <w:r>
          <w:t xml:space="preserve"> for this subregulation</w:t>
        </w:r>
      </w:ins>
      <w:r>
        <w:t>: a fine of $5 000.</w:t>
      </w:r>
    </w:p>
    <w:p>
      <w:pPr>
        <w:pStyle w:val="Subsection"/>
      </w:pPr>
      <w:r>
        <w:tab/>
        <w:t>(2)</w:t>
      </w:r>
      <w:r>
        <w:tab/>
        <w:t>A manufacturer must retain a record made under subregulation (1)(b)(ii) for not less than 7 years after it is made.</w:t>
      </w:r>
    </w:p>
    <w:p>
      <w:pPr>
        <w:pStyle w:val="Penstart"/>
      </w:pPr>
      <w:r>
        <w:tab/>
        <w:t>Penalty</w:t>
      </w:r>
      <w:ins w:id="315" w:author="Master Repository Process" w:date="2021-12-31T10:23:00Z">
        <w:r>
          <w:t xml:space="preserve"> for this subregulation</w:t>
        </w:r>
      </w:ins>
      <w:r>
        <w:t>: a fine of $2 000.</w:t>
      </w:r>
    </w:p>
    <w:p>
      <w:pPr>
        <w:pStyle w:val="Subsection"/>
      </w:pPr>
      <w:r>
        <w:tab/>
        <w:t>(3)</w:t>
      </w:r>
      <w:r>
        <w:tab/>
        <w:t>An inspector may direct a person to give a record made under subregulation (1)(b)(ii) to an approved person.</w:t>
      </w:r>
    </w:p>
    <w:p>
      <w:pPr>
        <w:pStyle w:val="Subsection"/>
      </w:pPr>
      <w:r>
        <w:tab/>
        <w:t>(4)</w:t>
      </w:r>
      <w:r>
        <w:tab/>
        <w:t>A person must comply with a direction given under subregulation (3) as soon as practicable after the direction is given.</w:t>
      </w:r>
    </w:p>
    <w:p>
      <w:pPr>
        <w:pStyle w:val="Penstart"/>
      </w:pPr>
      <w:r>
        <w:tab/>
        <w:t>Penalty</w:t>
      </w:r>
      <w:ins w:id="316" w:author="Master Repository Process" w:date="2021-12-31T10:23:00Z">
        <w:r>
          <w:t xml:space="preserve"> for this subregulation</w:t>
        </w:r>
      </w:ins>
      <w:r>
        <w:t>: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w:t>
      </w:r>
      <w:ins w:id="317" w:author="Master Repository Process" w:date="2021-12-31T10:23:00Z">
        <w:r>
          <w:t xml:space="preserve"> for this subregulation</w:t>
        </w:r>
      </w:ins>
      <w:r>
        <w:t>: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w:t>
      </w:r>
      <w:ins w:id="318" w:author="Master Repository Process" w:date="2021-12-31T10:23:00Z">
        <w:r>
          <w:t xml:space="preserve"> for this subregulation</w:t>
        </w:r>
      </w:ins>
      <w:r>
        <w:t>: a fine of $2 000.</w:t>
      </w:r>
    </w:p>
    <w:p>
      <w:pPr>
        <w:pStyle w:val="Footnotesection"/>
        <w:rPr>
          <w:ins w:id="319" w:author="Master Repository Process" w:date="2021-12-31T10:23:00Z"/>
        </w:rPr>
      </w:pPr>
      <w:ins w:id="320" w:author="Master Repository Process" w:date="2021-12-31T10:23:00Z">
        <w:r>
          <w:tab/>
          <w:t>[Regulation 65 amended: SL 2021/204 r. 14.]</w:t>
        </w:r>
      </w:ins>
    </w:p>
    <w:p>
      <w:pPr>
        <w:pStyle w:val="Heading5"/>
      </w:pPr>
      <w:bookmarkStart w:id="321" w:name="_Toc91081287"/>
      <w:bookmarkStart w:id="322" w:name="_Toc89252578"/>
      <w:r>
        <w:rPr>
          <w:rStyle w:val="CharSectno"/>
        </w:rPr>
        <w:t>66</w:t>
      </w:r>
      <w:r>
        <w:t>.</w:t>
      </w:r>
      <w:r>
        <w:tab/>
        <w:t>Supply of NLIS devices by persons other than manufacturers</w:t>
      </w:r>
      <w:bookmarkEnd w:id="321"/>
      <w:bookmarkEnd w:id="322"/>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ISC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w:t>
      </w:r>
      <w:ins w:id="323" w:author="Master Repository Process" w:date="2021-12-31T10:23:00Z">
        <w:r>
          <w:t xml:space="preserve"> for this subregulation</w:t>
        </w:r>
      </w:ins>
      <w:r>
        <w:t>: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pPr>
      <w:r>
        <w:tab/>
        <w:t>(4)</w:t>
      </w:r>
      <w:r>
        <w:tab/>
        <w:t>A person, except a manufacturer, must not supply a used NLIS device unless the device is supplied to a manufacturer.</w:t>
      </w:r>
    </w:p>
    <w:p>
      <w:pPr>
        <w:pStyle w:val="Penstart"/>
      </w:pPr>
      <w:r>
        <w:tab/>
        <w:t>Penalty</w:t>
      </w:r>
      <w:ins w:id="324" w:author="Master Repository Process" w:date="2021-12-31T10:23:00Z">
        <w:r>
          <w:t xml:space="preserve"> for this subregulation</w:t>
        </w:r>
      </w:ins>
      <w:r>
        <w:t>: a fine of $5 000.</w:t>
      </w:r>
    </w:p>
    <w:p>
      <w:pPr>
        <w:pStyle w:val="Footnotesection"/>
      </w:pPr>
      <w:r>
        <w:tab/>
        <w:t>[Regulation 66 amended: Gazette 27 Jun 2019 p. 2450</w:t>
      </w:r>
      <w:r>
        <w:noBreakHyphen/>
        <w:t>1</w:t>
      </w:r>
      <w:ins w:id="325" w:author="Master Repository Process" w:date="2021-12-31T10:23:00Z">
        <w:r>
          <w:t>; SL 2021/204 r. 14</w:t>
        </w:r>
      </w:ins>
      <w:r>
        <w:t>.]</w:t>
      </w:r>
    </w:p>
    <w:p>
      <w:pPr>
        <w:pStyle w:val="Heading5"/>
      </w:pPr>
      <w:bookmarkStart w:id="326" w:name="_Toc91081288"/>
      <w:bookmarkStart w:id="327" w:name="_Toc89252579"/>
      <w:r>
        <w:rPr>
          <w:rStyle w:val="CharSectno"/>
        </w:rPr>
        <w:t>67</w:t>
      </w:r>
      <w:r>
        <w:t>.</w:t>
      </w:r>
      <w:r>
        <w:tab/>
        <w:t>Manufacture of NLIS tags</w:t>
      </w:r>
      <w:bookmarkEnd w:id="326"/>
      <w:bookmarkEnd w:id="327"/>
    </w:p>
    <w:p>
      <w:pPr>
        <w:pStyle w:val="Subsection"/>
      </w:pPr>
      <w:r>
        <w:tab/>
        <w:t>(1)</w:t>
      </w:r>
      <w:r>
        <w:tab/>
        <w:t>A person must not manufacture an NLIS tag, except an accredited tag, unless the person is an approved manufacturer.</w:t>
      </w:r>
    </w:p>
    <w:p>
      <w:pPr>
        <w:pStyle w:val="Penstart"/>
      </w:pPr>
      <w:r>
        <w:tab/>
        <w:t>Penalty</w:t>
      </w:r>
      <w:ins w:id="328" w:author="Master Repository Process" w:date="2021-12-31T10:23:00Z">
        <w:r>
          <w:t xml:space="preserve"> for this subregulation</w:t>
        </w:r>
      </w:ins>
      <w:r>
        <w:t>: a fine of $5 000.</w:t>
      </w:r>
    </w:p>
    <w:p>
      <w:pPr>
        <w:pStyle w:val="Subsection"/>
      </w:pPr>
      <w:r>
        <w:tab/>
        <w:t>(2)</w:t>
      </w:r>
      <w:r>
        <w:tab/>
        <w:t>A person must not manufacture an accredited tag unless the person is recognised by ISC Ltd as a manufacturer of the accredited tag.</w:t>
      </w:r>
    </w:p>
    <w:p>
      <w:pPr>
        <w:pStyle w:val="Penstart"/>
      </w:pPr>
      <w:r>
        <w:tab/>
        <w:t>Penalty</w:t>
      </w:r>
      <w:ins w:id="329" w:author="Master Repository Process" w:date="2021-12-31T10:23:00Z">
        <w:r>
          <w:t xml:space="preserve"> for this subregulation</w:t>
        </w:r>
      </w:ins>
      <w:r>
        <w:t>: a fine of $5 000.</w:t>
      </w:r>
    </w:p>
    <w:p>
      <w:pPr>
        <w:pStyle w:val="Subsection"/>
        <w:keepNext/>
      </w:pPr>
      <w:r>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ISC Ltd as a manufacturer of the accredited tag.</w:t>
      </w:r>
    </w:p>
    <w:p>
      <w:pPr>
        <w:pStyle w:val="Penstart"/>
      </w:pPr>
      <w:r>
        <w:tab/>
        <w:t>Penalty</w:t>
      </w:r>
      <w:ins w:id="330" w:author="Master Repository Process" w:date="2021-12-31T10:23:00Z">
        <w:r>
          <w:t xml:space="preserve"> for this subregulation</w:t>
        </w:r>
      </w:ins>
      <w:r>
        <w:t>: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w:t>
      </w:r>
      <w:ins w:id="331" w:author="Master Repository Process" w:date="2021-12-31T10:23:00Z">
        <w:r>
          <w:t xml:space="preserve"> for this subregulation</w:t>
        </w:r>
      </w:ins>
      <w:r>
        <w:t>: a fine of $5 000.</w:t>
      </w:r>
    </w:p>
    <w:p>
      <w:pPr>
        <w:pStyle w:val="Subsection"/>
        <w:keepNext/>
      </w:pPr>
      <w:r>
        <w:tab/>
        <w:t>(5)</w:t>
      </w:r>
      <w:r>
        <w:tab/>
        <w:t>A manufacturer must retain a record made under subregulation (4)(c)(ii) for not less than 7 years after the record is made.</w:t>
      </w:r>
    </w:p>
    <w:p>
      <w:pPr>
        <w:pStyle w:val="Penstart"/>
      </w:pPr>
      <w:r>
        <w:tab/>
        <w:t>Penalty</w:t>
      </w:r>
      <w:ins w:id="332" w:author="Master Repository Process" w:date="2021-12-31T10:23:00Z">
        <w:r>
          <w:t xml:space="preserve"> for this subregulation</w:t>
        </w:r>
      </w:ins>
      <w:r>
        <w:t>: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w:t>
      </w:r>
      <w:ins w:id="333" w:author="Master Repository Process" w:date="2021-12-31T10:23:00Z">
        <w:r>
          <w:t xml:space="preserve"> for this subregulation</w:t>
        </w:r>
      </w:ins>
      <w:r>
        <w:t>: a fine of $5 000.</w:t>
      </w:r>
    </w:p>
    <w:p>
      <w:pPr>
        <w:pStyle w:val="Footnotesection"/>
      </w:pPr>
      <w:r>
        <w:tab/>
        <w:t>[Regulation 67 amended: Gazette 27 Jun 2019 p. 2450</w:t>
      </w:r>
      <w:r>
        <w:noBreakHyphen/>
        <w:t>1</w:t>
      </w:r>
      <w:ins w:id="334" w:author="Master Repository Process" w:date="2021-12-31T10:23:00Z">
        <w:r>
          <w:t>; SL 2021/204 r. 14</w:t>
        </w:r>
      </w:ins>
      <w:r>
        <w:t>.]</w:t>
      </w:r>
    </w:p>
    <w:p>
      <w:pPr>
        <w:pStyle w:val="Heading2"/>
      </w:pPr>
      <w:bookmarkStart w:id="335" w:name="_Toc90995576"/>
      <w:bookmarkStart w:id="336" w:name="_Toc90998629"/>
      <w:bookmarkStart w:id="337" w:name="_Toc91081289"/>
      <w:bookmarkStart w:id="338" w:name="_Toc89179896"/>
      <w:bookmarkStart w:id="339" w:name="_Toc89181363"/>
      <w:bookmarkStart w:id="340" w:name="_Toc89252580"/>
      <w:r>
        <w:rPr>
          <w:rStyle w:val="CharPartNo"/>
        </w:rPr>
        <w:t>Part 4</w:t>
      </w:r>
      <w:r>
        <w:rPr>
          <w:rStyle w:val="CharDivNo"/>
        </w:rPr>
        <w:t> </w:t>
      </w:r>
      <w:r>
        <w:t>—</w:t>
      </w:r>
      <w:r>
        <w:rPr>
          <w:rStyle w:val="CharDivText"/>
        </w:rPr>
        <w:t> </w:t>
      </w:r>
      <w:r>
        <w:rPr>
          <w:rStyle w:val="CharPartText"/>
        </w:rPr>
        <w:t>General provisions for identifying stock</w:t>
      </w:r>
      <w:bookmarkEnd w:id="335"/>
      <w:bookmarkEnd w:id="336"/>
      <w:bookmarkEnd w:id="337"/>
      <w:bookmarkEnd w:id="338"/>
      <w:bookmarkEnd w:id="339"/>
      <w:bookmarkEnd w:id="340"/>
    </w:p>
    <w:p>
      <w:pPr>
        <w:pStyle w:val="Heading5"/>
      </w:pPr>
      <w:bookmarkStart w:id="341" w:name="_Toc91081290"/>
      <w:bookmarkStart w:id="342" w:name="_Toc89252581"/>
      <w:r>
        <w:rPr>
          <w:rStyle w:val="CharSectno"/>
        </w:rPr>
        <w:t>68</w:t>
      </w:r>
      <w:r>
        <w:t>.</w:t>
      </w:r>
      <w:r>
        <w:tab/>
        <w:t>Term used: identifier</w:t>
      </w:r>
      <w:bookmarkEnd w:id="341"/>
      <w:bookmarkEnd w:id="342"/>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343" w:name="_Toc91081291"/>
      <w:bookmarkStart w:id="344" w:name="_Toc89252582"/>
      <w:r>
        <w:rPr>
          <w:rStyle w:val="CharSectno"/>
        </w:rPr>
        <w:t>69</w:t>
      </w:r>
      <w:r>
        <w:t>.</w:t>
      </w:r>
      <w:r>
        <w:tab/>
        <w:t>Director General may exempt stock from identification requirements</w:t>
      </w:r>
      <w:bookmarkEnd w:id="343"/>
      <w:bookmarkEnd w:id="344"/>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345" w:name="_Toc91081292"/>
      <w:bookmarkStart w:id="346" w:name="_Toc89252583"/>
      <w:r>
        <w:rPr>
          <w:rStyle w:val="CharSectno"/>
        </w:rPr>
        <w:t>70</w:t>
      </w:r>
      <w:r>
        <w:t>.</w:t>
      </w:r>
      <w:r>
        <w:tab/>
        <w:t>Identification exemption certificates</w:t>
      </w:r>
      <w:bookmarkEnd w:id="345"/>
      <w:bookmarkEnd w:id="346"/>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w:t>
      </w:r>
      <w:ins w:id="347" w:author="Master Repository Process" w:date="2021-12-31T10:23:00Z">
        <w:r>
          <w:t xml:space="preserve"> for this subregulation</w:t>
        </w:r>
      </w:ins>
      <w:r>
        <w:t>: a fine of $2 000.</w:t>
      </w:r>
    </w:p>
    <w:p>
      <w:pPr>
        <w:pStyle w:val="Footnotesection"/>
        <w:rPr>
          <w:ins w:id="348" w:author="Master Repository Process" w:date="2021-12-31T10:23:00Z"/>
        </w:rPr>
      </w:pPr>
      <w:ins w:id="349" w:author="Master Repository Process" w:date="2021-12-31T10:23:00Z">
        <w:r>
          <w:tab/>
          <w:t>[Regulation 70 amended: SL 2021/204 r. 14.]</w:t>
        </w:r>
      </w:ins>
    </w:p>
    <w:p>
      <w:pPr>
        <w:pStyle w:val="Heading5"/>
      </w:pPr>
      <w:bookmarkStart w:id="350" w:name="_Toc91081293"/>
      <w:bookmarkStart w:id="351" w:name="_Toc89252584"/>
      <w:r>
        <w:rPr>
          <w:rStyle w:val="CharSectno"/>
        </w:rPr>
        <w:t>71</w:t>
      </w:r>
      <w:r>
        <w:t>.</w:t>
      </w:r>
      <w:r>
        <w:tab/>
        <w:t>When stock not properly identified</w:t>
      </w:r>
      <w:bookmarkEnd w:id="350"/>
      <w:bookmarkEnd w:id="351"/>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352" w:name="_Toc91081294"/>
      <w:bookmarkStart w:id="353" w:name="_Toc89252585"/>
      <w:r>
        <w:rPr>
          <w:rStyle w:val="CharSectno"/>
        </w:rPr>
        <w:t>72</w:t>
      </w:r>
      <w:r>
        <w:t>.</w:t>
      </w:r>
      <w:r>
        <w:tab/>
        <w:t>Altered or damaged identifiers</w:t>
      </w:r>
      <w:bookmarkEnd w:id="352"/>
      <w:bookmarkEnd w:id="353"/>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w:t>
      </w:r>
      <w:ins w:id="354" w:author="Master Repository Process" w:date="2021-12-31T10:23:00Z">
        <w:r>
          <w:t xml:space="preserve"> for this subregulation</w:t>
        </w:r>
      </w:ins>
      <w:r>
        <w:t>: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Footnotesection"/>
        <w:rPr>
          <w:ins w:id="355" w:author="Master Repository Process" w:date="2021-12-31T10:23:00Z"/>
        </w:rPr>
      </w:pPr>
      <w:ins w:id="356" w:author="Master Repository Process" w:date="2021-12-31T10:23:00Z">
        <w:r>
          <w:tab/>
          <w:t>[Regulation 72 amended: SL 2021/204 r. 14.]</w:t>
        </w:r>
      </w:ins>
    </w:p>
    <w:p>
      <w:pPr>
        <w:pStyle w:val="Heading5"/>
      </w:pPr>
      <w:bookmarkStart w:id="357" w:name="_Toc91081295"/>
      <w:bookmarkStart w:id="358" w:name="_Toc89252586"/>
      <w:r>
        <w:rPr>
          <w:rStyle w:val="CharSectno"/>
        </w:rPr>
        <w:t>73</w:t>
      </w:r>
      <w:r>
        <w:t>.</w:t>
      </w:r>
      <w:r>
        <w:tab/>
        <w:t>Possession of unidentified stock</w:t>
      </w:r>
      <w:bookmarkEnd w:id="357"/>
      <w:bookmarkEnd w:id="358"/>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w:t>
      </w:r>
      <w:ins w:id="359" w:author="Master Repository Process" w:date="2021-12-31T10:23:00Z">
        <w:r>
          <w:t xml:space="preserve"> for this subregulation</w:t>
        </w:r>
      </w:ins>
      <w:r>
        <w:t>: a fine of $5 000.</w:t>
      </w:r>
    </w:p>
    <w:p>
      <w:pPr>
        <w:pStyle w:val="Subsection"/>
      </w:pPr>
      <w:r>
        <w:tab/>
        <w:t>(2)</w:t>
      </w:r>
      <w:r>
        <w:tab/>
        <w:t>A person does not commit an offence under subregulation (1) if the person is in possession or control of a live animal for the purpose of impounding it.</w:t>
      </w:r>
    </w:p>
    <w:p>
      <w:pPr>
        <w:pStyle w:val="Footnotesection"/>
        <w:rPr>
          <w:ins w:id="360" w:author="Master Repository Process" w:date="2021-12-31T10:23:00Z"/>
        </w:rPr>
      </w:pPr>
      <w:ins w:id="361" w:author="Master Repository Process" w:date="2021-12-31T10:23:00Z">
        <w:r>
          <w:tab/>
          <w:t>[Regulation 73 amended: SL 2021/204 r. 14.]</w:t>
        </w:r>
      </w:ins>
    </w:p>
    <w:p>
      <w:pPr>
        <w:pStyle w:val="Heading5"/>
      </w:pPr>
      <w:bookmarkStart w:id="362" w:name="_Toc91081296"/>
      <w:bookmarkStart w:id="363" w:name="_Toc89252587"/>
      <w:r>
        <w:rPr>
          <w:rStyle w:val="CharSectno"/>
        </w:rPr>
        <w:t>74</w:t>
      </w:r>
      <w:r>
        <w:t>.</w:t>
      </w:r>
      <w:r>
        <w:tab/>
        <w:t>Things that may be confused with identifiers</w:t>
      </w:r>
      <w:bookmarkEnd w:id="362"/>
      <w:bookmarkEnd w:id="363"/>
      <w:r>
        <w:t xml:space="preserve"> </w:t>
      </w:r>
    </w:p>
    <w:p>
      <w:pPr>
        <w:pStyle w:val="Subsection"/>
        <w:keepNext/>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364" w:name="_Toc90995584"/>
      <w:bookmarkStart w:id="365" w:name="_Toc90998637"/>
      <w:bookmarkStart w:id="366" w:name="_Toc91081297"/>
      <w:bookmarkStart w:id="367" w:name="_Toc89179904"/>
      <w:bookmarkStart w:id="368" w:name="_Toc89181371"/>
      <w:bookmarkStart w:id="369" w:name="_Toc89252588"/>
      <w:r>
        <w:rPr>
          <w:rStyle w:val="CharPartNo"/>
        </w:rPr>
        <w:t>Part 5</w:t>
      </w:r>
      <w:r>
        <w:t> — </w:t>
      </w:r>
      <w:r>
        <w:rPr>
          <w:rStyle w:val="CharPartText"/>
        </w:rPr>
        <w:t>Identifying cattle and buffalo</w:t>
      </w:r>
      <w:bookmarkEnd w:id="364"/>
      <w:bookmarkEnd w:id="365"/>
      <w:bookmarkEnd w:id="366"/>
      <w:bookmarkEnd w:id="367"/>
      <w:bookmarkEnd w:id="368"/>
      <w:bookmarkEnd w:id="369"/>
    </w:p>
    <w:p>
      <w:pPr>
        <w:pStyle w:val="Heading3"/>
      </w:pPr>
      <w:bookmarkStart w:id="370" w:name="_Toc90995585"/>
      <w:bookmarkStart w:id="371" w:name="_Toc90998638"/>
      <w:bookmarkStart w:id="372" w:name="_Toc91081298"/>
      <w:bookmarkStart w:id="373" w:name="_Toc89179905"/>
      <w:bookmarkStart w:id="374" w:name="_Toc89181372"/>
      <w:bookmarkStart w:id="375" w:name="_Toc89252589"/>
      <w:r>
        <w:rPr>
          <w:rStyle w:val="CharDivNo"/>
        </w:rPr>
        <w:t>Division 1</w:t>
      </w:r>
      <w:r>
        <w:t> — </w:t>
      </w:r>
      <w:r>
        <w:rPr>
          <w:rStyle w:val="CharDivText"/>
        </w:rPr>
        <w:t>Terms used</w:t>
      </w:r>
      <w:bookmarkEnd w:id="370"/>
      <w:bookmarkEnd w:id="371"/>
      <w:bookmarkEnd w:id="372"/>
      <w:bookmarkEnd w:id="373"/>
      <w:bookmarkEnd w:id="374"/>
      <w:bookmarkEnd w:id="375"/>
    </w:p>
    <w:p>
      <w:pPr>
        <w:pStyle w:val="Heading5"/>
      </w:pPr>
      <w:bookmarkStart w:id="376" w:name="_Toc91081299"/>
      <w:bookmarkStart w:id="377" w:name="_Toc89252590"/>
      <w:r>
        <w:rPr>
          <w:rStyle w:val="CharSectno"/>
        </w:rPr>
        <w:t>75</w:t>
      </w:r>
      <w:r>
        <w:t>.</w:t>
      </w:r>
      <w:r>
        <w:tab/>
        <w:t>Terms used</w:t>
      </w:r>
      <w:bookmarkEnd w:id="376"/>
      <w:bookmarkEnd w:id="377"/>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378" w:name="_Toc90995587"/>
      <w:bookmarkStart w:id="379" w:name="_Toc90998640"/>
      <w:bookmarkStart w:id="380" w:name="_Toc91081300"/>
      <w:bookmarkStart w:id="381" w:name="_Toc89179907"/>
      <w:bookmarkStart w:id="382" w:name="_Toc89181374"/>
      <w:bookmarkStart w:id="383" w:name="_Toc89252591"/>
      <w:r>
        <w:rPr>
          <w:rStyle w:val="CharDivNo"/>
        </w:rPr>
        <w:t>Division 2</w:t>
      </w:r>
      <w:r>
        <w:t> — </w:t>
      </w:r>
      <w:r>
        <w:rPr>
          <w:rStyle w:val="CharDivText"/>
        </w:rPr>
        <w:t>Owners of cattle or buffalo</w:t>
      </w:r>
      <w:bookmarkEnd w:id="378"/>
      <w:bookmarkEnd w:id="379"/>
      <w:bookmarkEnd w:id="380"/>
      <w:bookmarkEnd w:id="381"/>
      <w:bookmarkEnd w:id="382"/>
      <w:bookmarkEnd w:id="383"/>
    </w:p>
    <w:p>
      <w:pPr>
        <w:pStyle w:val="Heading4"/>
      </w:pPr>
      <w:bookmarkStart w:id="384" w:name="_Toc90995588"/>
      <w:bookmarkStart w:id="385" w:name="_Toc90998641"/>
      <w:bookmarkStart w:id="386" w:name="_Toc91081301"/>
      <w:bookmarkStart w:id="387" w:name="_Toc89179908"/>
      <w:bookmarkStart w:id="388" w:name="_Toc89181375"/>
      <w:bookmarkStart w:id="389" w:name="_Toc89252592"/>
      <w:r>
        <w:t>Subdivision 1 — Registered identifiers and approved identifiers</w:t>
      </w:r>
      <w:bookmarkEnd w:id="384"/>
      <w:bookmarkEnd w:id="385"/>
      <w:bookmarkEnd w:id="386"/>
      <w:bookmarkEnd w:id="387"/>
      <w:bookmarkEnd w:id="388"/>
      <w:bookmarkEnd w:id="389"/>
    </w:p>
    <w:p>
      <w:pPr>
        <w:pStyle w:val="Heading5"/>
      </w:pPr>
      <w:bookmarkStart w:id="390" w:name="_Toc91081302"/>
      <w:bookmarkStart w:id="391" w:name="_Toc89252593"/>
      <w:r>
        <w:rPr>
          <w:rStyle w:val="CharSectno"/>
        </w:rPr>
        <w:t>76</w:t>
      </w:r>
      <w:r>
        <w:t>.</w:t>
      </w:r>
      <w:r>
        <w:tab/>
        <w:t xml:space="preserve">Owners </w:t>
      </w:r>
      <w:del w:id="392" w:author="Master Repository Process" w:date="2021-12-31T10:23:00Z">
        <w:r>
          <w:delText>to</w:delText>
        </w:r>
      </w:del>
      <w:ins w:id="393" w:author="Master Repository Process" w:date="2021-12-31T10:23:00Z">
        <w:r>
          <w:t>must</w:t>
        </w:r>
      </w:ins>
      <w:r>
        <w:t xml:space="preserve"> identify cattle and buffalo</w:t>
      </w:r>
      <w:bookmarkEnd w:id="390"/>
      <w:bookmarkEnd w:id="391"/>
    </w:p>
    <w:p>
      <w:pPr>
        <w:pStyle w:val="Subsection"/>
      </w:pPr>
      <w:r>
        <w:tab/>
        <w:t>(1)</w:t>
      </w:r>
      <w:r>
        <w:tab/>
        <w:t>An owner of cattle or buffalo kept on a property in the south</w:t>
      </w:r>
      <w:r>
        <w:noBreakHyphen/>
        <w:t>west of the State</w:t>
      </w:r>
      <w:del w:id="394" w:author="Master Repository Process" w:date="2021-12-31T10:23:00Z">
        <w:r>
          <w:rPr>
            <w:snapToGrid w:val="0"/>
          </w:rPr>
          <w:delText>, other than</w:delText>
        </w:r>
      </w:del>
      <w:ins w:id="395" w:author="Master Repository Process" w:date="2021-12-31T10:23:00Z">
        <w:r>
          <w:t xml:space="preserve"> must identify each animal, or cause it to be identified, with an NLIS device</w:t>
        </w:r>
      </w:ins>
      <w:r>
        <w:t xml:space="preserve"> — </w:t>
      </w:r>
    </w:p>
    <w:p>
      <w:pPr>
        <w:pStyle w:val="Indenta"/>
        <w:rPr>
          <w:del w:id="396" w:author="Master Repository Process" w:date="2021-12-31T10:23:00Z"/>
          <w:snapToGrid w:val="0"/>
        </w:rPr>
      </w:pPr>
      <w:del w:id="397" w:author="Master Repository Process" w:date="2021-12-31T10:23:00Z">
        <w:r>
          <w:rPr>
            <w:snapToGrid w:val="0"/>
          </w:rPr>
          <w:tab/>
          <w:delText>(a)</w:delText>
        </w:r>
        <w:r>
          <w:rPr>
            <w:snapToGrid w:val="0"/>
          </w:rPr>
          <w:tab/>
          <w:delText xml:space="preserve">imported cattle or buffalo; or </w:delText>
        </w:r>
      </w:del>
    </w:p>
    <w:p>
      <w:pPr>
        <w:pStyle w:val="Indenta"/>
        <w:rPr>
          <w:del w:id="398" w:author="Master Repository Process" w:date="2021-12-31T10:23:00Z"/>
          <w:snapToGrid w:val="0"/>
        </w:rPr>
      </w:pPr>
      <w:del w:id="399" w:author="Master Repository Process" w:date="2021-12-31T10:23:00Z">
        <w:r>
          <w:rPr>
            <w:snapToGrid w:val="0"/>
          </w:rPr>
          <w:tab/>
          <w:delText>(b)</w:delText>
        </w:r>
        <w:r>
          <w:rPr>
            <w:snapToGrid w:val="0"/>
          </w:rPr>
          <w:tab/>
          <w:delText xml:space="preserve">cattle or buffalo from a pound, </w:delText>
        </w:r>
      </w:del>
    </w:p>
    <w:p>
      <w:pPr>
        <w:pStyle w:val="Subsection"/>
        <w:rPr>
          <w:del w:id="400" w:author="Master Repository Process" w:date="2021-12-31T10:23:00Z"/>
          <w:snapToGrid w:val="0"/>
        </w:rPr>
      </w:pPr>
      <w:del w:id="401" w:author="Master Repository Process" w:date="2021-12-31T10:23:00Z">
        <w:r>
          <w:rPr>
            <w:snapToGrid w:val="0"/>
          </w:rPr>
          <w:tab/>
        </w:r>
        <w:r>
          <w:rPr>
            <w:snapToGrid w:val="0"/>
          </w:rPr>
          <w:tab/>
          <w:delText xml:space="preserve">must identify each of the cattle or buffalo, or cause them to be identified, in accordance with this regulation — </w:delText>
        </w:r>
      </w:del>
    </w:p>
    <w:p>
      <w:pPr>
        <w:pStyle w:val="Indenta"/>
      </w:pPr>
      <w:del w:id="402" w:author="Master Repository Process" w:date="2021-12-31T10:23:00Z">
        <w:r>
          <w:tab/>
          <w:delText>(c</w:delText>
        </w:r>
      </w:del>
      <w:ins w:id="403" w:author="Master Repository Process" w:date="2021-12-31T10:23:00Z">
        <w:r>
          <w:tab/>
          <w:t>(a</w:t>
        </w:r>
      </w:ins>
      <w:r>
        <w:t>)</w:t>
      </w:r>
      <w:r>
        <w:tab/>
        <w:t>if the animal is moved from the property on which it is kept before it reaches 6 months of age and before it is identified in accordance with this regulation — before it is moved; or</w:t>
      </w:r>
    </w:p>
    <w:p>
      <w:pPr>
        <w:pStyle w:val="Indenta"/>
      </w:pPr>
      <w:r>
        <w:tab/>
        <w:t>(</w:t>
      </w:r>
      <w:del w:id="404" w:author="Master Repository Process" w:date="2021-12-31T10:23:00Z">
        <w:r>
          <w:delText>d</w:delText>
        </w:r>
      </w:del>
      <w:ins w:id="405" w:author="Master Repository Process" w:date="2021-12-31T10:23:00Z">
        <w:r>
          <w:t>b</w:t>
        </w:r>
      </w:ins>
      <w:r>
        <w:t>)</w:t>
      </w:r>
      <w:r>
        <w:tab/>
        <w:t>otherwise — before it reaches 6 months of age.</w:t>
      </w:r>
    </w:p>
    <w:p>
      <w:pPr>
        <w:pStyle w:val="Penstart"/>
      </w:pPr>
      <w:r>
        <w:tab/>
        <w:t>Penalty</w:t>
      </w:r>
      <w:ins w:id="406" w:author="Master Repository Process" w:date="2021-12-31T10:23:00Z">
        <w:r>
          <w:t xml:space="preserve"> for this subregulation</w:t>
        </w:r>
      </w:ins>
      <w:r>
        <w:t>: a fine of $2 000.</w:t>
      </w:r>
    </w:p>
    <w:p>
      <w:pPr>
        <w:pStyle w:val="Subsection"/>
        <w:rPr>
          <w:del w:id="407" w:author="Master Repository Process" w:date="2021-12-31T10:23:00Z"/>
          <w:snapToGrid w:val="0"/>
        </w:rPr>
      </w:pPr>
      <w:r>
        <w:tab/>
        <w:t>(2)</w:t>
      </w:r>
      <w:r>
        <w:tab/>
        <w:t>An owner of cattle or buffalo, other than</w:t>
      </w:r>
      <w:del w:id="408" w:author="Master Repository Process" w:date="2021-12-31T10:23:00Z">
        <w:r>
          <w:rPr>
            <w:snapToGrid w:val="0"/>
          </w:rPr>
          <w:delText xml:space="preserve"> — </w:delText>
        </w:r>
      </w:del>
    </w:p>
    <w:p>
      <w:pPr>
        <w:pStyle w:val="Indenta"/>
        <w:rPr>
          <w:del w:id="409" w:author="Master Repository Process" w:date="2021-12-31T10:23:00Z"/>
        </w:rPr>
      </w:pPr>
      <w:del w:id="410" w:author="Master Repository Process" w:date="2021-12-31T10:23:00Z">
        <w:r>
          <w:tab/>
          <w:delText>(a)</w:delText>
        </w:r>
        <w:r>
          <w:tab/>
          <w:delText>imported</w:delText>
        </w:r>
      </w:del>
      <w:r>
        <w:t xml:space="preserve"> cattle or buffalo</w:t>
      </w:r>
      <w:del w:id="411" w:author="Master Repository Process" w:date="2021-12-31T10:23:00Z">
        <w:r>
          <w:delText>; or</w:delText>
        </w:r>
      </w:del>
    </w:p>
    <w:p>
      <w:pPr>
        <w:pStyle w:val="Indenta"/>
        <w:rPr>
          <w:del w:id="412" w:author="Master Repository Process" w:date="2021-12-31T10:23:00Z"/>
        </w:rPr>
      </w:pPr>
      <w:del w:id="413" w:author="Master Repository Process" w:date="2021-12-31T10:23:00Z">
        <w:r>
          <w:tab/>
          <w:delText>(b)</w:delText>
        </w:r>
        <w:r>
          <w:tab/>
          <w:delText>cattle or buffalo from a pound; or</w:delText>
        </w:r>
      </w:del>
    </w:p>
    <w:p>
      <w:pPr>
        <w:pStyle w:val="Indenta"/>
        <w:rPr>
          <w:del w:id="414" w:author="Master Repository Process" w:date="2021-12-31T10:23:00Z"/>
          <w:snapToGrid w:val="0"/>
        </w:rPr>
      </w:pPr>
      <w:del w:id="415" w:author="Master Repository Process" w:date="2021-12-31T10:23:00Z">
        <w:r>
          <w:tab/>
          <w:delText>(c)</w:delText>
        </w:r>
        <w:r>
          <w:tab/>
          <w:delText>cattle or buffalo</w:delText>
        </w:r>
      </w:del>
      <w:r>
        <w:t xml:space="preserve"> kept on a property in the south</w:t>
      </w:r>
      <w:r>
        <w:noBreakHyphen/>
        <w:t>west of the State,</w:t>
      </w:r>
    </w:p>
    <w:p>
      <w:pPr>
        <w:pStyle w:val="Subsection"/>
      </w:pPr>
      <w:del w:id="416" w:author="Master Repository Process" w:date="2021-12-31T10:23:00Z">
        <w:r>
          <w:tab/>
        </w:r>
        <w:r>
          <w:tab/>
        </w:r>
      </w:del>
      <w:ins w:id="417" w:author="Master Repository Process" w:date="2021-12-31T10:23:00Z">
        <w:r>
          <w:t xml:space="preserve"> </w:t>
        </w:r>
      </w:ins>
      <w:r>
        <w:t xml:space="preserve">must identify each </w:t>
      </w:r>
      <w:del w:id="418" w:author="Master Repository Process" w:date="2021-12-31T10:23:00Z">
        <w:r>
          <w:rPr>
            <w:snapToGrid w:val="0"/>
          </w:rPr>
          <w:delText>of the cattle or buffalo</w:delText>
        </w:r>
      </w:del>
      <w:ins w:id="419" w:author="Master Repository Process" w:date="2021-12-31T10:23:00Z">
        <w:r>
          <w:t>animal</w:t>
        </w:r>
      </w:ins>
      <w:r>
        <w:t xml:space="preserve">, or cause </w:t>
      </w:r>
      <w:del w:id="420" w:author="Master Repository Process" w:date="2021-12-31T10:23:00Z">
        <w:r>
          <w:rPr>
            <w:snapToGrid w:val="0"/>
          </w:rPr>
          <w:delText>them</w:delText>
        </w:r>
      </w:del>
      <w:ins w:id="421" w:author="Master Repository Process" w:date="2021-12-31T10:23:00Z">
        <w:r>
          <w:t>it</w:t>
        </w:r>
      </w:ins>
      <w:r>
        <w:t xml:space="preserve"> to be identified, </w:t>
      </w:r>
      <w:del w:id="422" w:author="Master Repository Process" w:date="2021-12-31T10:23:00Z">
        <w:r>
          <w:rPr>
            <w:snapToGrid w:val="0"/>
          </w:rPr>
          <w:delText xml:space="preserve">in accordance </w:delText>
        </w:r>
      </w:del>
      <w:r>
        <w:t xml:space="preserve">with </w:t>
      </w:r>
      <w:del w:id="423" w:author="Master Repository Process" w:date="2021-12-31T10:23:00Z">
        <w:r>
          <w:rPr>
            <w:snapToGrid w:val="0"/>
          </w:rPr>
          <w:delText>this regulation</w:delText>
        </w:r>
      </w:del>
      <w:ins w:id="424" w:author="Master Repository Process" w:date="2021-12-31T10:23:00Z">
        <w:r>
          <w:t>an NLIS device</w:t>
        </w:r>
      </w:ins>
      <w:r>
        <w:t xml:space="preserve"> — </w:t>
      </w:r>
    </w:p>
    <w:p>
      <w:pPr>
        <w:pStyle w:val="Indenta"/>
      </w:pPr>
      <w:r>
        <w:tab/>
        <w:t>(</w:t>
      </w:r>
      <w:del w:id="425" w:author="Master Repository Process" w:date="2021-12-31T10:23:00Z">
        <w:r>
          <w:delText>d</w:delText>
        </w:r>
      </w:del>
      <w:ins w:id="426" w:author="Master Repository Process" w:date="2021-12-31T10:23:00Z">
        <w:r>
          <w:t>a</w:t>
        </w:r>
      </w:ins>
      <w:r>
        <w:t>)</w:t>
      </w:r>
      <w:r>
        <w:tab/>
        <w:t>if the animal is moved from the property on which it is kept before it reaches 18 months of age and before it is identified in accordance with this regulation — before it is moved; or</w:t>
      </w:r>
    </w:p>
    <w:p>
      <w:pPr>
        <w:pStyle w:val="Indenta"/>
      </w:pPr>
      <w:r>
        <w:tab/>
        <w:t>(</w:t>
      </w:r>
      <w:del w:id="427" w:author="Master Repository Process" w:date="2021-12-31T10:23:00Z">
        <w:r>
          <w:delText>e</w:delText>
        </w:r>
      </w:del>
      <w:ins w:id="428" w:author="Master Repository Process" w:date="2021-12-31T10:23:00Z">
        <w:r>
          <w:t>b</w:t>
        </w:r>
      </w:ins>
      <w:r>
        <w:t>)</w:t>
      </w:r>
      <w:r>
        <w:tab/>
        <w:t>otherwise — before it reaches 18 months of age.</w:t>
      </w:r>
    </w:p>
    <w:p>
      <w:pPr>
        <w:pStyle w:val="Penstart"/>
      </w:pPr>
      <w:r>
        <w:tab/>
        <w:t>Penalty</w:t>
      </w:r>
      <w:ins w:id="429" w:author="Master Repository Process" w:date="2021-12-31T10:23:00Z">
        <w:r>
          <w:t xml:space="preserve"> for this subregulation</w:t>
        </w:r>
      </w:ins>
      <w:r>
        <w:t>: a fine of $2 000.</w:t>
      </w:r>
    </w:p>
    <w:p>
      <w:pPr>
        <w:pStyle w:val="Subsection"/>
        <w:rPr>
          <w:del w:id="430" w:author="Master Repository Process" w:date="2021-12-31T10:23:00Z"/>
        </w:rPr>
      </w:pPr>
      <w:r>
        <w:tab/>
        <w:t>(3)</w:t>
      </w:r>
      <w:r>
        <w:tab/>
      </w:r>
      <w:del w:id="431" w:author="Master Repository Process" w:date="2021-12-31T10:23:00Z">
        <w:r>
          <w:delText xml:space="preserve">An </w:delText>
        </w:r>
      </w:del>
      <w:ins w:id="432" w:author="Master Repository Process" w:date="2021-12-31T10:23:00Z">
        <w:r>
          <w:t xml:space="preserve">Nothing in these regulations prevents an </w:t>
        </w:r>
      </w:ins>
      <w:r>
        <w:t xml:space="preserve">owner of </w:t>
      </w:r>
      <w:del w:id="433" w:author="Master Repository Process" w:date="2021-12-31T10:23:00Z">
        <w:r>
          <w:delText xml:space="preserve">imported </w:delText>
        </w:r>
      </w:del>
      <w:r>
        <w:t xml:space="preserve">cattle or buffalo </w:t>
      </w:r>
      <w:del w:id="434" w:author="Master Repository Process" w:date="2021-12-31T10:23:00Z">
        <w:r>
          <w:delText xml:space="preserve">must identify </w:delText>
        </w:r>
      </w:del>
      <w:ins w:id="435" w:author="Master Repository Process" w:date="2021-12-31T10:23:00Z">
        <w:r>
          <w:t xml:space="preserve">from applying to </w:t>
        </w:r>
      </w:ins>
      <w:r>
        <w:t xml:space="preserve">each </w:t>
      </w:r>
      <w:del w:id="436" w:author="Master Repository Process" w:date="2021-12-31T10:23:00Z">
        <w:r>
          <w:delText xml:space="preserve">of the cattle or buffalo, or cause them to be identified, in accordance with this regulation — </w:delText>
        </w:r>
      </w:del>
    </w:p>
    <w:p>
      <w:pPr>
        <w:pStyle w:val="Indenta"/>
        <w:rPr>
          <w:del w:id="437" w:author="Master Repository Process" w:date="2021-12-31T10:23:00Z"/>
        </w:rPr>
      </w:pPr>
      <w:del w:id="438" w:author="Master Repository Process" w:date="2021-12-31T10:23:00Z">
        <w:r>
          <w:tab/>
          <w:delText>(a)</w:delText>
        </w:r>
        <w:r>
          <w:tab/>
          <w:delText xml:space="preserve">if the </w:delText>
        </w:r>
      </w:del>
      <w:r>
        <w:t>animal</w:t>
      </w:r>
      <w:del w:id="439" w:author="Master Repository Process" w:date="2021-12-31T10:23:00Z">
        <w:r>
          <w:delText xml:space="preserve"> is moved from the property on which it is kept within 14 days of it being imported and before it is identified</w:delText>
        </w:r>
      </w:del>
      <w:ins w:id="440" w:author="Master Repository Process" w:date="2021-12-31T10:23:00Z">
        <w:r>
          <w:t>,</w:t>
        </w:r>
      </w:ins>
      <w:r>
        <w:t xml:space="preserve"> in </w:t>
      </w:r>
      <w:del w:id="441" w:author="Master Repository Process" w:date="2021-12-31T10:23:00Z">
        <w:r>
          <w:delText>accordance with this regulation — before it is moved; or</w:delText>
        </w:r>
      </w:del>
    </w:p>
    <w:p>
      <w:pPr>
        <w:pStyle w:val="Indenta"/>
        <w:rPr>
          <w:del w:id="442" w:author="Master Repository Process" w:date="2021-12-31T10:23:00Z"/>
        </w:rPr>
      </w:pPr>
      <w:del w:id="443" w:author="Master Repository Process" w:date="2021-12-31T10:23:00Z">
        <w:r>
          <w:tab/>
          <w:delText>(b)</w:delText>
        </w:r>
        <w:r>
          <w:tab/>
          <w:delText>otherwise — within 14 days of it being imported.</w:delText>
        </w:r>
      </w:del>
    </w:p>
    <w:p>
      <w:pPr>
        <w:pStyle w:val="Penstart"/>
        <w:rPr>
          <w:del w:id="444" w:author="Master Repository Process" w:date="2021-12-31T10:23:00Z"/>
        </w:rPr>
      </w:pPr>
      <w:del w:id="445" w:author="Master Repository Process" w:date="2021-12-31T10:23:00Z">
        <w:r>
          <w:tab/>
          <w:delText>Penalty: a fine of $2 000.</w:delText>
        </w:r>
      </w:del>
    </w:p>
    <w:p>
      <w:pPr>
        <w:pStyle w:val="Subsection"/>
      </w:pPr>
      <w:del w:id="446" w:author="Master Repository Process" w:date="2021-12-31T10:23:00Z">
        <w:r>
          <w:tab/>
          <w:delText>(4)</w:delText>
        </w:r>
        <w:r>
          <w:tab/>
          <w:delText>An owner of cattle or buffalo from a pound must identify each of the cattle or buffalo, or cause them</w:delText>
        </w:r>
      </w:del>
      <w:ins w:id="447" w:author="Master Repository Process" w:date="2021-12-31T10:23:00Z">
        <w:r>
          <w:t>addition</w:t>
        </w:r>
      </w:ins>
      <w:r>
        <w:t xml:space="preserve"> to </w:t>
      </w:r>
      <w:del w:id="448" w:author="Master Repository Process" w:date="2021-12-31T10:23:00Z">
        <w:r>
          <w:delText>be identified, in accordance with this regulation</w:delText>
        </w:r>
      </w:del>
      <w:ins w:id="449" w:author="Master Repository Process" w:date="2021-12-31T10:23:00Z">
        <w:r>
          <w:t>an NLIS device</w:t>
        </w:r>
      </w:ins>
      <w:r>
        <w:t> —</w:t>
      </w:r>
    </w:p>
    <w:p>
      <w:pPr>
        <w:pStyle w:val="Indenta"/>
        <w:rPr>
          <w:del w:id="450" w:author="Master Repository Process" w:date="2021-12-31T10:23:00Z"/>
        </w:rPr>
      </w:pPr>
      <w:del w:id="451" w:author="Master Repository Process" w:date="2021-12-31T10:23:00Z">
        <w:r>
          <w:tab/>
          <w:delText>(a)</w:delText>
        </w:r>
        <w:r>
          <w:tab/>
          <w:delText>if the animal is moved from the property on which it is kept within 14 days of the owner taking possession of it from the pound and before it is identified in accordance with this regulation — before it is moved; or</w:delText>
        </w:r>
      </w:del>
    </w:p>
    <w:p>
      <w:pPr>
        <w:pStyle w:val="Indenta"/>
        <w:rPr>
          <w:del w:id="452" w:author="Master Repository Process" w:date="2021-12-31T10:23:00Z"/>
        </w:rPr>
      </w:pPr>
      <w:del w:id="453" w:author="Master Repository Process" w:date="2021-12-31T10:23:00Z">
        <w:r>
          <w:tab/>
          <w:delText>(b)</w:delText>
        </w:r>
        <w:r>
          <w:tab/>
          <w:delText>otherwise — within 14 days of the owner taking possession of it from the pound.</w:delText>
        </w:r>
      </w:del>
    </w:p>
    <w:p>
      <w:pPr>
        <w:pStyle w:val="Penstart"/>
        <w:rPr>
          <w:del w:id="454" w:author="Master Repository Process" w:date="2021-12-31T10:23:00Z"/>
        </w:rPr>
      </w:pPr>
      <w:del w:id="455" w:author="Master Repository Process" w:date="2021-12-31T10:23:00Z">
        <w:r>
          <w:tab/>
          <w:delText>Penalty: a fine of $2 000.</w:delText>
        </w:r>
      </w:del>
    </w:p>
    <w:p>
      <w:pPr>
        <w:pStyle w:val="Indenta"/>
      </w:pPr>
      <w:del w:id="456" w:author="Master Repository Process" w:date="2021-12-31T10:23:00Z">
        <w:r>
          <w:tab/>
          <w:delText>(5)</w:delText>
        </w:r>
        <w:r>
          <w:tab/>
          <w:delText>Cattle or buffalo are identified in accordance with this regulation if they are identified with any</w:delText>
        </w:r>
      </w:del>
      <w:ins w:id="457" w:author="Master Repository Process" w:date="2021-12-31T10:23:00Z">
        <w:r>
          <w:tab/>
          <w:t>(a)</w:t>
        </w:r>
        <w:r>
          <w:tab/>
          <w:t>either one or both</w:t>
        </w:r>
      </w:ins>
      <w:r>
        <w:t xml:space="preserve"> of the following identifiers —</w:t>
      </w:r>
      <w:del w:id="458" w:author="Master Repository Process" w:date="2021-12-31T10:23:00Z">
        <w:r>
          <w:delText xml:space="preserve"> </w:delText>
        </w:r>
      </w:del>
    </w:p>
    <w:p>
      <w:pPr>
        <w:pStyle w:val="Indenti"/>
      </w:pPr>
      <w:del w:id="459" w:author="Master Repository Process" w:date="2021-12-31T10:23:00Z">
        <w:r>
          <w:tab/>
          <w:delText>(a)</w:delText>
        </w:r>
        <w:r>
          <w:tab/>
          <w:delText xml:space="preserve">a registered identifier applied as </w:delText>
        </w:r>
      </w:del>
      <w:ins w:id="460" w:author="Master Repository Process" w:date="2021-12-31T10:23:00Z">
        <w:r>
          <w:tab/>
          <w:t>(i)</w:t>
        </w:r>
        <w:r>
          <w:tab/>
        </w:r>
      </w:ins>
      <w:r>
        <w:t>a brand in accordance with regulation 78;</w:t>
      </w:r>
      <w:del w:id="461" w:author="Master Repository Process" w:date="2021-12-31T10:23:00Z">
        <w:r>
          <w:delText xml:space="preserve"> </w:delText>
        </w:r>
      </w:del>
    </w:p>
    <w:p>
      <w:pPr>
        <w:pStyle w:val="Indenti"/>
      </w:pPr>
      <w:del w:id="462" w:author="Master Repository Process" w:date="2021-12-31T10:23:00Z">
        <w:r>
          <w:tab/>
          <w:delText>(b)</w:delText>
        </w:r>
        <w:r>
          <w:tab/>
          <w:delText xml:space="preserve">a registered identifier applied as </w:delText>
        </w:r>
      </w:del>
      <w:ins w:id="463" w:author="Master Repository Process" w:date="2021-12-31T10:23:00Z">
        <w:r>
          <w:tab/>
          <w:t>(ii)</w:t>
        </w:r>
        <w:r>
          <w:tab/>
        </w:r>
      </w:ins>
      <w:r>
        <w:t>an earmark in accordance with regulation 79;</w:t>
      </w:r>
      <w:del w:id="464" w:author="Master Repository Process" w:date="2021-12-31T10:23:00Z">
        <w:r>
          <w:delText xml:space="preserve"> </w:delText>
        </w:r>
      </w:del>
    </w:p>
    <w:p>
      <w:pPr>
        <w:pStyle w:val="Indenta"/>
        <w:rPr>
          <w:ins w:id="465" w:author="Master Repository Process" w:date="2021-12-31T10:23:00Z"/>
        </w:rPr>
      </w:pPr>
      <w:r>
        <w:tab/>
      </w:r>
      <w:del w:id="466" w:author="Master Repository Process" w:date="2021-12-31T10:23:00Z">
        <w:r>
          <w:delText>(c</w:delText>
        </w:r>
      </w:del>
      <w:ins w:id="467" w:author="Master Repository Process" w:date="2021-12-31T10:23:00Z">
        <w:r>
          <w:tab/>
          <w:t>or</w:t>
        </w:r>
      </w:ins>
    </w:p>
    <w:p>
      <w:pPr>
        <w:pStyle w:val="Indenta"/>
      </w:pPr>
      <w:ins w:id="468" w:author="Master Repository Process" w:date="2021-12-31T10:23:00Z">
        <w:r>
          <w:tab/>
          <w:t>(b</w:t>
        </w:r>
      </w:ins>
      <w:r>
        <w:t>)</w:t>
      </w:r>
      <w:r>
        <w:tab/>
        <w:t>an approved identifier for cattle or buffalo.</w:t>
      </w:r>
    </w:p>
    <w:p>
      <w:pPr>
        <w:pStyle w:val="Footnotesection"/>
      </w:pPr>
      <w:r>
        <w:tab/>
        <w:t>[Regulation</w:t>
      </w:r>
      <w:del w:id="469" w:author="Master Repository Process" w:date="2021-12-31T10:23:00Z">
        <w:r>
          <w:delText xml:space="preserve"> </w:delText>
        </w:r>
      </w:del>
      <w:ins w:id="470" w:author="Master Repository Process" w:date="2021-12-31T10:23:00Z">
        <w:r>
          <w:t> </w:t>
        </w:r>
      </w:ins>
      <w:r>
        <w:t xml:space="preserve">76 </w:t>
      </w:r>
      <w:del w:id="471" w:author="Master Repository Process" w:date="2021-12-31T10:23:00Z">
        <w:r>
          <w:delText>amended: Gazette 27 Jun 2019 p. 2416</w:delText>
        </w:r>
      </w:del>
      <w:ins w:id="472" w:author="Master Repository Process" w:date="2021-12-31T10:23:00Z">
        <w:r>
          <w:t>inserted: SL 2021/204 r. 4</w:t>
        </w:r>
      </w:ins>
      <w:r>
        <w:t>.]</w:t>
      </w:r>
    </w:p>
    <w:p>
      <w:pPr>
        <w:pStyle w:val="Heading5"/>
      </w:pPr>
      <w:bookmarkStart w:id="473" w:name="_Toc89252594"/>
      <w:bookmarkStart w:id="474" w:name="_Toc91081303"/>
      <w:r>
        <w:rPr>
          <w:rStyle w:val="CharSectno"/>
        </w:rPr>
        <w:t>77</w:t>
      </w:r>
      <w:r>
        <w:t>.</w:t>
      </w:r>
      <w:r>
        <w:tab/>
        <w:t xml:space="preserve">Exemption for unweaned </w:t>
      </w:r>
      <w:del w:id="475" w:author="Master Repository Process" w:date="2021-12-31T10:23:00Z">
        <w:r>
          <w:delText>cattle and buffalo</w:delText>
        </w:r>
      </w:del>
      <w:bookmarkEnd w:id="473"/>
      <w:ins w:id="476" w:author="Master Repository Process" w:date="2021-12-31T10:23:00Z">
        <w:r>
          <w:t>animals</w:t>
        </w:r>
      </w:ins>
      <w:bookmarkEnd w:id="474"/>
    </w:p>
    <w:p>
      <w:pPr>
        <w:pStyle w:val="Subsection"/>
      </w:pPr>
      <w:r>
        <w:tab/>
      </w:r>
      <w:r>
        <w:tab/>
        <w:t xml:space="preserve">It is not necessary for </w:t>
      </w:r>
      <w:ins w:id="477" w:author="Master Repository Process" w:date="2021-12-31T10:23:00Z">
        <w:r>
          <w:t xml:space="preserve">an </w:t>
        </w:r>
      </w:ins>
      <w:r>
        <w:t xml:space="preserve">unweaned </w:t>
      </w:r>
      <w:del w:id="478" w:author="Master Repository Process" w:date="2021-12-31T10:23:00Z">
        <w:r>
          <w:delText xml:space="preserve">cattle or unweaned buffalo </w:delText>
        </w:r>
      </w:del>
      <w:ins w:id="479" w:author="Master Repository Process" w:date="2021-12-31T10:23:00Z">
        <w:r>
          <w:t xml:space="preserve">animal </w:t>
        </w:r>
      </w:ins>
      <w:r>
        <w:t>to be identified in accordance with regulation 76(1)(</w:t>
      </w:r>
      <w:del w:id="480" w:author="Master Repository Process" w:date="2021-12-31T10:23:00Z">
        <w:r>
          <w:delText>c), (2)(d), (3)(</w:delText>
        </w:r>
      </w:del>
      <w:r>
        <w:t>a) or</w:t>
      </w:r>
      <w:del w:id="481" w:author="Master Repository Process" w:date="2021-12-31T10:23:00Z">
        <w:r>
          <w:delText xml:space="preserve"> (4</w:delText>
        </w:r>
      </w:del>
      <w:ins w:id="482" w:author="Master Repository Process" w:date="2021-12-31T10:23:00Z">
        <w:r>
          <w:t> (2</w:t>
        </w:r>
      </w:ins>
      <w:r>
        <w:t xml:space="preserve">)(a) if </w:t>
      </w:r>
      <w:del w:id="483" w:author="Master Repository Process" w:date="2021-12-31T10:23:00Z">
        <w:r>
          <w:delText>the animal</w:delText>
        </w:r>
      </w:del>
      <w:ins w:id="484" w:author="Master Repository Process" w:date="2021-12-31T10:23:00Z">
        <w:r>
          <w:t>it</w:t>
        </w:r>
      </w:ins>
      <w:r>
        <w:t xml:space="preserve"> is being moved with its mother from the property on which it is kept to another property with the same relevant PIC.</w:t>
      </w:r>
    </w:p>
    <w:p>
      <w:pPr>
        <w:pStyle w:val="Footnotesection"/>
      </w:pPr>
      <w:r>
        <w:tab/>
        <w:t>[Regulation</w:t>
      </w:r>
      <w:del w:id="485" w:author="Master Repository Process" w:date="2021-12-31T10:23:00Z">
        <w:r>
          <w:delText xml:space="preserve"> </w:delText>
        </w:r>
      </w:del>
      <w:ins w:id="486" w:author="Master Repository Process" w:date="2021-12-31T10:23:00Z">
        <w:r>
          <w:t> </w:t>
        </w:r>
      </w:ins>
      <w:r>
        <w:t xml:space="preserve">77 </w:t>
      </w:r>
      <w:del w:id="487" w:author="Master Repository Process" w:date="2021-12-31T10:23:00Z">
        <w:r>
          <w:delText>amended: Gazette 27 Jun 2019 p. 2416</w:delText>
        </w:r>
      </w:del>
      <w:ins w:id="488" w:author="Master Repository Process" w:date="2021-12-31T10:23:00Z">
        <w:r>
          <w:t>inserted: SL 2021/204 r. 4</w:t>
        </w:r>
      </w:ins>
      <w:r>
        <w:t>.]</w:t>
      </w:r>
    </w:p>
    <w:p>
      <w:pPr>
        <w:pStyle w:val="Heading5"/>
      </w:pPr>
      <w:bookmarkStart w:id="489" w:name="_Toc91081304"/>
      <w:bookmarkStart w:id="490" w:name="_Toc89252595"/>
      <w:r>
        <w:rPr>
          <w:rStyle w:val="CharSectno"/>
        </w:rPr>
        <w:t>78</w:t>
      </w:r>
      <w:r>
        <w:t>.</w:t>
      </w:r>
      <w:r>
        <w:tab/>
        <w:t>Requirements for brands</w:t>
      </w:r>
      <w:bookmarkEnd w:id="489"/>
      <w:bookmarkEnd w:id="490"/>
    </w:p>
    <w:p>
      <w:pPr>
        <w:pStyle w:val="Subsection"/>
      </w:pPr>
      <w:r>
        <w:tab/>
      </w:r>
      <w:r>
        <w:tab/>
        <w:t>For the purposes of regulation 76(</w:t>
      </w:r>
      <w:del w:id="491" w:author="Master Repository Process" w:date="2021-12-31T10:23:00Z">
        <w:r>
          <w:delText>5</w:delText>
        </w:r>
      </w:del>
      <w:ins w:id="492" w:author="Master Repository Process" w:date="2021-12-31T10:23:00Z">
        <w:r>
          <w:t>3</w:t>
        </w:r>
      </w:ins>
      <w:r>
        <w:t>)(a</w:t>
      </w:r>
      <w:ins w:id="493" w:author="Master Repository Process" w:date="2021-12-31T10:23:00Z">
        <w:r>
          <w:t>)(i</w:t>
        </w:r>
      </w:ins>
      <w:r>
        <w:t xml:space="preserve">),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firebrand — it is not applied to the horn of cattle; and</w:t>
      </w:r>
    </w:p>
    <w:p>
      <w:pPr>
        <w:pStyle w:val="Indenta"/>
      </w:pPr>
      <w:r>
        <w:tab/>
        <w:t>(c)</w:t>
      </w:r>
      <w:r>
        <w:tab/>
        <w:t>in the case of cattle — it is applied to the near or left rump or shoulder; and</w:t>
      </w:r>
    </w:p>
    <w:p>
      <w:pPr>
        <w:pStyle w:val="Indenta"/>
      </w:pPr>
      <w:r>
        <w:tab/>
        <w:t>(d)</w:t>
      </w:r>
      <w:r>
        <w:tab/>
        <w:t xml:space="preserve">in the case of buffalo, it is applied to — </w:t>
      </w:r>
    </w:p>
    <w:p>
      <w:pPr>
        <w:pStyle w:val="Indenti"/>
      </w:pPr>
      <w:r>
        <w:tab/>
        <w:t>(i)</w:t>
      </w:r>
      <w:r>
        <w:tab/>
        <w:t>the near or left rump or shoulder; or</w:t>
      </w:r>
    </w:p>
    <w:p>
      <w:pPr>
        <w:pStyle w:val="Indenti"/>
      </w:pPr>
      <w:r>
        <w:tab/>
        <w:t>(ii)</w:t>
      </w:r>
      <w:r>
        <w:tab/>
        <w:t>the horn;</w:t>
      </w:r>
    </w:p>
    <w:p>
      <w:pPr>
        <w:pStyle w:val="Indenta"/>
      </w:pPr>
      <w:r>
        <w:tab/>
      </w:r>
      <w:r>
        <w:tab/>
        <w:t>and</w:t>
      </w:r>
    </w:p>
    <w:p>
      <w:pPr>
        <w:pStyle w:val="Indenta"/>
      </w:pPr>
      <w:r>
        <w:tab/>
        <w:t>(e)</w:t>
      </w:r>
      <w:r>
        <w:tab/>
        <w:t>in the case of a firebrand or freezebrand applied to the near or left rump or shoulder of an animal that has been previously branded, or has an age mark, on that rump or shoulder — it is applied immediately below the existing brand or age mark; and</w:t>
      </w:r>
    </w:p>
    <w:p>
      <w:pPr>
        <w:pStyle w:val="Indenta"/>
      </w:pPr>
      <w:r>
        <w:tab/>
        <w:t>(f)</w:t>
      </w:r>
      <w:r>
        <w:tab/>
        <w:t>it is applied in the approved manner; and</w:t>
      </w:r>
    </w:p>
    <w:p>
      <w:pPr>
        <w:pStyle w:val="Indenta"/>
      </w:pPr>
      <w:r>
        <w:tab/>
        <w:t>(g)</w:t>
      </w:r>
      <w:r>
        <w:tab/>
        <w:t>it is not less than 150 mm in length and 50 mm in height at the time it is applied; and</w:t>
      </w:r>
    </w:p>
    <w:p>
      <w:pPr>
        <w:pStyle w:val="Indenta"/>
      </w:pPr>
      <w:r>
        <w:tab/>
        <w:t>(h)</w:t>
      </w:r>
      <w:r>
        <w:tab/>
        <w:t>it is clearly legible.</w:t>
      </w:r>
    </w:p>
    <w:p>
      <w:pPr>
        <w:pStyle w:val="Footnotesection"/>
      </w:pPr>
      <w:r>
        <w:tab/>
        <w:t>[Regulation 78 inserted: Gazette 27 Jun 2019 p. 2416</w:t>
      </w:r>
      <w:r>
        <w:noBreakHyphen/>
        <w:t>17</w:t>
      </w:r>
      <w:ins w:id="494" w:author="Master Repository Process" w:date="2021-12-31T10:23:00Z">
        <w:r>
          <w:t>; amended: SL 2021/204 r. 5</w:t>
        </w:r>
      </w:ins>
      <w:r>
        <w:t>.]</w:t>
      </w:r>
    </w:p>
    <w:p>
      <w:pPr>
        <w:pStyle w:val="Heading5"/>
      </w:pPr>
      <w:bookmarkStart w:id="495" w:name="_Toc91081305"/>
      <w:bookmarkStart w:id="496" w:name="_Toc89252596"/>
      <w:r>
        <w:rPr>
          <w:rStyle w:val="CharSectno"/>
        </w:rPr>
        <w:t>79</w:t>
      </w:r>
      <w:r>
        <w:t>.</w:t>
      </w:r>
      <w:r>
        <w:tab/>
        <w:t>Requirements for earmarks</w:t>
      </w:r>
      <w:bookmarkEnd w:id="495"/>
      <w:bookmarkEnd w:id="496"/>
    </w:p>
    <w:p>
      <w:pPr>
        <w:pStyle w:val="Subsection"/>
      </w:pPr>
      <w:r>
        <w:tab/>
      </w:r>
      <w:r>
        <w:tab/>
        <w:t>For the purposes of regulation 76(</w:t>
      </w:r>
      <w:del w:id="497" w:author="Master Repository Process" w:date="2021-12-31T10:23:00Z">
        <w:r>
          <w:delText>5)(b</w:delText>
        </w:r>
      </w:del>
      <w:ins w:id="498" w:author="Master Repository Process" w:date="2021-12-31T10:23:00Z">
        <w:r>
          <w:t>3)(a)(ii</w:t>
        </w:r>
      </w:ins>
      <w:r>
        <w:t xml:space="preserve">), an earmark is applied in accordance with this regulation if — </w:t>
      </w:r>
    </w:p>
    <w:p>
      <w:pPr>
        <w:pStyle w:val="Indenta"/>
      </w:pPr>
      <w:r>
        <w:tab/>
        <w:t>(a)</w:t>
      </w:r>
      <w:r>
        <w:tab/>
        <w:t>it is applied to the ear of the animal specified for the purpose of applying an earmark in the owner’s certificate of registration; and</w:t>
      </w:r>
    </w:p>
    <w:p>
      <w:pPr>
        <w:pStyle w:val="Indenta"/>
      </w:pPr>
      <w:r>
        <w:tab/>
        <w:t>(b)</w:t>
      </w:r>
      <w:r>
        <w:tab/>
        <w:t>each symbol forming part of the earmark is not less than 12 mm across its maximum dimension when the earmark is applied.</w:t>
      </w:r>
    </w:p>
    <w:p>
      <w:pPr>
        <w:pStyle w:val="Footnotesection"/>
      </w:pPr>
      <w:r>
        <w:tab/>
        <w:t>[Regulation 79 inserted: Gazette 27 Jun 2019 p. 2417</w:t>
      </w:r>
      <w:ins w:id="499" w:author="Master Repository Process" w:date="2021-12-31T10:23:00Z">
        <w:r>
          <w:t>; amended: SL 2021/204 r. 6</w:t>
        </w:r>
      </w:ins>
      <w:r>
        <w:t>.]</w:t>
      </w:r>
    </w:p>
    <w:p>
      <w:pPr>
        <w:pStyle w:val="Heading5"/>
      </w:pPr>
      <w:bookmarkStart w:id="500" w:name="_Toc91081306"/>
      <w:bookmarkStart w:id="501" w:name="_Toc89252597"/>
      <w:r>
        <w:rPr>
          <w:rStyle w:val="CharSectno"/>
        </w:rPr>
        <w:t>80</w:t>
      </w:r>
      <w:r>
        <w:t>.</w:t>
      </w:r>
      <w:r>
        <w:tab/>
        <w:t>Age marks, cullmarks and other markings</w:t>
      </w:r>
      <w:bookmarkEnd w:id="500"/>
      <w:bookmarkEnd w:id="501"/>
    </w:p>
    <w:p>
      <w:pPr>
        <w:pStyle w:val="Subsection"/>
        <w:rPr>
          <w:snapToGrid w:val="0"/>
        </w:rPr>
      </w:pPr>
      <w:r>
        <w:tab/>
      </w:r>
      <w:r>
        <w:tab/>
      </w:r>
      <w:r>
        <w:rPr>
          <w:snapToGrid w:val="0"/>
        </w:rPr>
        <w:t xml:space="preserve">A person must not apply an age mark, cullmark or other marking to </w:t>
      </w:r>
      <w:del w:id="502" w:author="Master Repository Process" w:date="2021-12-31T10:23:00Z">
        <w:r>
          <w:rPr>
            <w:snapToGrid w:val="0"/>
          </w:rPr>
          <w:delText>cattle or buffalo</w:delText>
        </w:r>
      </w:del>
      <w:ins w:id="503" w:author="Master Repository Process" w:date="2021-12-31T10:23:00Z">
        <w:r>
          <w:t>an animal</w:t>
        </w:r>
      </w:ins>
      <w:r>
        <w:rPr>
          <w:snapToGrid w:val="0"/>
        </w:rPr>
        <w:t xml:space="preserve"> unless — </w:t>
      </w:r>
    </w:p>
    <w:p>
      <w:pPr>
        <w:pStyle w:val="Indenta"/>
      </w:pPr>
      <w:r>
        <w:tab/>
        <w:t>(a)</w:t>
      </w:r>
      <w:r>
        <w:tab/>
        <w:t xml:space="preserve">if it is applied to the ear — it is not in the ear specified in the owner’s certificate of registration for the purpose of applying an earmark to </w:t>
      </w:r>
      <w:del w:id="504" w:author="Master Repository Process" w:date="2021-12-31T10:23:00Z">
        <w:r>
          <w:delText>cattle or buffalo, as the case may be</w:delText>
        </w:r>
      </w:del>
      <w:ins w:id="505" w:author="Master Repository Process" w:date="2021-12-31T10:23:00Z">
        <w:r>
          <w:t>the animal</w:t>
        </w:r>
      </w:ins>
      <w:r>
        <w:t>; and</w:t>
      </w:r>
    </w:p>
    <w:p>
      <w:pPr>
        <w:pStyle w:val="Indenta"/>
        <w:keepNext/>
      </w:pPr>
      <w:r>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keepNext/>
      </w:pPr>
      <w:r>
        <w:tab/>
        <w:t>Penalty: a fine of $2 000.</w:t>
      </w:r>
    </w:p>
    <w:p>
      <w:pPr>
        <w:pStyle w:val="Footnotesection"/>
        <w:rPr>
          <w:ins w:id="506" w:author="Master Repository Process" w:date="2021-12-31T10:23:00Z"/>
        </w:rPr>
      </w:pPr>
      <w:ins w:id="507" w:author="Master Repository Process" w:date="2021-12-31T10:23:00Z">
        <w:r>
          <w:tab/>
          <w:t>[Regulation 80 amended: SL 2021/204 r. 7.]</w:t>
        </w:r>
      </w:ins>
    </w:p>
    <w:p>
      <w:pPr>
        <w:pStyle w:val="Heading5"/>
      </w:pPr>
      <w:bookmarkStart w:id="508" w:name="_Toc91081307"/>
      <w:bookmarkStart w:id="509" w:name="_Toc89252598"/>
      <w:r>
        <w:rPr>
          <w:rStyle w:val="CharSectno"/>
        </w:rPr>
        <w:t>81</w:t>
      </w:r>
      <w:r>
        <w:t>.</w:t>
      </w:r>
      <w:r>
        <w:tab/>
        <w:t xml:space="preserve">Spayed </w:t>
      </w:r>
      <w:del w:id="510" w:author="Master Repository Process" w:date="2021-12-31T10:23:00Z">
        <w:r>
          <w:delText>bovine females</w:delText>
        </w:r>
      </w:del>
      <w:ins w:id="511" w:author="Master Repository Process" w:date="2021-12-31T10:23:00Z">
        <w:r>
          <w:t>female animals</w:t>
        </w:r>
      </w:ins>
      <w:r>
        <w:t xml:space="preserve"> must be marked</w:t>
      </w:r>
      <w:bookmarkEnd w:id="508"/>
      <w:bookmarkEnd w:id="509"/>
    </w:p>
    <w:p>
      <w:pPr>
        <w:pStyle w:val="Subsection"/>
        <w:keepNext/>
        <w:rPr>
          <w:snapToGrid w:val="0"/>
        </w:rPr>
      </w:pPr>
      <w:r>
        <w:rPr>
          <w:snapToGrid w:val="0"/>
        </w:rPr>
        <w:tab/>
        <w:t>(1)</w:t>
      </w:r>
      <w:r>
        <w:rPr>
          <w:snapToGrid w:val="0"/>
        </w:rPr>
        <w:tab/>
        <w:t>An owner of a spayed</w:t>
      </w:r>
      <w:del w:id="512" w:author="Master Repository Process" w:date="2021-12-31T10:23:00Z">
        <w:r>
          <w:rPr>
            <w:snapToGrid w:val="0"/>
          </w:rPr>
          <w:delText xml:space="preserve"> bovine</w:delText>
        </w:r>
      </w:del>
      <w:r>
        <w:rPr>
          <w:snapToGrid w:val="0"/>
        </w:rPr>
        <w:t xml:space="preserve">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w:t>
      </w:r>
      <w:ins w:id="513" w:author="Master Repository Process" w:date="2021-12-31T10:23:00Z">
        <w:r>
          <w:t xml:space="preserve"> for this subregulation</w:t>
        </w:r>
      </w:ins>
      <w:r>
        <w:t>: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Footnotesection"/>
        <w:rPr>
          <w:ins w:id="514" w:author="Master Repository Process" w:date="2021-12-31T10:23:00Z"/>
        </w:rPr>
      </w:pPr>
      <w:bookmarkStart w:id="515" w:name="_Toc90995595"/>
      <w:ins w:id="516" w:author="Master Repository Process" w:date="2021-12-31T10:23:00Z">
        <w:r>
          <w:tab/>
          <w:t>[Regulation 81 amended: SL 2021/204 r. 8 and 14.]</w:t>
        </w:r>
      </w:ins>
    </w:p>
    <w:p>
      <w:pPr>
        <w:pStyle w:val="Heading4"/>
      </w:pPr>
      <w:bookmarkStart w:id="517" w:name="_Toc90998648"/>
      <w:bookmarkStart w:id="518" w:name="_Toc91081308"/>
      <w:bookmarkStart w:id="519" w:name="_Toc89179915"/>
      <w:bookmarkStart w:id="520" w:name="_Toc89181382"/>
      <w:bookmarkStart w:id="521" w:name="_Toc89252599"/>
      <w:r>
        <w:t>Subdivision 2 — NLIS requirements for cattle and buffalo</w:t>
      </w:r>
      <w:bookmarkEnd w:id="515"/>
      <w:bookmarkEnd w:id="517"/>
      <w:bookmarkEnd w:id="518"/>
      <w:bookmarkEnd w:id="519"/>
      <w:bookmarkEnd w:id="520"/>
      <w:bookmarkEnd w:id="521"/>
    </w:p>
    <w:p>
      <w:pPr>
        <w:pStyle w:val="Footnoteheading"/>
      </w:pPr>
      <w:r>
        <w:tab/>
        <w:t>[Heading amended: Gazette 27 Jun 2019 p. 2418.]</w:t>
      </w:r>
    </w:p>
    <w:p>
      <w:pPr>
        <w:pStyle w:val="Heading5"/>
        <w:spacing w:before="180"/>
      </w:pPr>
      <w:bookmarkStart w:id="522" w:name="_Toc91081309"/>
      <w:bookmarkStart w:id="523" w:name="_Toc89252600"/>
      <w:r>
        <w:rPr>
          <w:rStyle w:val="CharSectno"/>
        </w:rPr>
        <w:t>82</w:t>
      </w:r>
      <w:r>
        <w:t>.</w:t>
      </w:r>
      <w:r>
        <w:tab/>
        <w:t>Responsibilities of owner before moving cattle or buffalo</w:t>
      </w:r>
      <w:bookmarkEnd w:id="522"/>
      <w:bookmarkEnd w:id="523"/>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524" w:name="_Toc91081310"/>
      <w:bookmarkStart w:id="525" w:name="_Toc89252601"/>
      <w:r>
        <w:rPr>
          <w:rStyle w:val="CharSectno"/>
        </w:rPr>
        <w:t>83</w:t>
      </w:r>
      <w:r>
        <w:t>.</w:t>
      </w:r>
      <w:r>
        <w:tab/>
        <w:t>Exemptions from NLIS identification</w:t>
      </w:r>
      <w:bookmarkEnd w:id="524"/>
      <w:bookmarkEnd w:id="525"/>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526" w:name="_Toc91081311"/>
      <w:bookmarkStart w:id="527" w:name="_Toc89252602"/>
      <w:r>
        <w:rPr>
          <w:rStyle w:val="CharSectno"/>
        </w:rPr>
        <w:t>84</w:t>
      </w:r>
      <w:r>
        <w:t>.</w:t>
      </w:r>
      <w:r>
        <w:tab/>
        <w:t>Responsibilities of owner after moving animal</w:t>
      </w:r>
      <w:bookmarkEnd w:id="526"/>
      <w:bookmarkEnd w:id="527"/>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w:t>
      </w:r>
      <w:ins w:id="528" w:author="Master Repository Process" w:date="2021-12-31T10:23:00Z">
        <w:r>
          <w:t xml:space="preserve"> for this subregulation</w:t>
        </w:r>
      </w:ins>
      <w:r>
        <w:t>: a fine of $5 000.</w:t>
      </w:r>
    </w:p>
    <w:p>
      <w:pPr>
        <w:pStyle w:val="Subsection"/>
      </w:pPr>
      <w:r>
        <w:tab/>
        <w:t>(2)</w:t>
      </w:r>
      <w:r>
        <w:tab/>
        <w:t>Subregulation (1) does not apply if —</w:t>
      </w:r>
    </w:p>
    <w:p>
      <w:pPr>
        <w:pStyle w:val="Indenta"/>
      </w:pPr>
      <w:r>
        <w:tab/>
        <w:t>(a)</w:t>
      </w:r>
      <w:r>
        <w:tab/>
        <w:t>the animal is moved to a holding yard; or</w:t>
      </w:r>
    </w:p>
    <w:p>
      <w:pPr>
        <w:pStyle w:val="Indenta"/>
      </w:pPr>
      <w:r>
        <w:tab/>
        <w:t>(b)</w:t>
      </w:r>
      <w:r>
        <w:tab/>
        <w:t>the animal is moved to a saleyard; or</w:t>
      </w:r>
    </w:p>
    <w:p>
      <w:pPr>
        <w:pStyle w:val="Indenta"/>
      </w:pPr>
      <w:r>
        <w:tab/>
        <w:t>(c)</w:t>
      </w:r>
      <w:r>
        <w:tab/>
        <w:t>the animal is moved from a saleyard after purchasing the animal there; or</w:t>
      </w:r>
    </w:p>
    <w:p>
      <w:pPr>
        <w:pStyle w:val="Indenta"/>
      </w:pPr>
      <w:r>
        <w:tab/>
        <w:t>(d)</w:t>
      </w:r>
      <w:r>
        <w:tab/>
      </w:r>
      <w:r>
        <w:rPr>
          <w:snapToGrid w:val="0"/>
        </w:rPr>
        <w:t xml:space="preserve">the </w:t>
      </w:r>
      <w:r>
        <w:t>animal is moved</w:t>
      </w:r>
      <w:r>
        <w:rPr>
          <w:snapToGrid w:val="0"/>
        </w:rPr>
        <w:t xml:space="preserve"> directly to an abattoir for slaughter;</w:t>
      </w:r>
      <w:r>
        <w:t xml:space="preserve"> or</w:t>
      </w:r>
    </w:p>
    <w:p>
      <w:pPr>
        <w:pStyle w:val="Indenta"/>
        <w:rPr>
          <w:snapToGrid w:val="0"/>
        </w:rPr>
      </w:pPr>
      <w:r>
        <w:tab/>
        <w:t>(e)</w:t>
      </w:r>
      <w:r>
        <w:tab/>
        <w:t xml:space="preserve">the animal is moved directly to </w:t>
      </w:r>
      <w:r>
        <w:rPr>
          <w:snapToGrid w:val="0"/>
        </w:rPr>
        <w:t>an export depot for export; or</w:t>
      </w:r>
    </w:p>
    <w:p>
      <w:pPr>
        <w:pStyle w:val="Indenta"/>
      </w:pPr>
      <w:r>
        <w:tab/>
        <w:t>(f)</w:t>
      </w:r>
      <w:r>
        <w:tab/>
        <w:t>an inspector has, in a particular case, given written approval for the animal to be moved to another property without updating the NLIS database.</w:t>
      </w:r>
    </w:p>
    <w:p>
      <w:pPr>
        <w:pStyle w:val="Footnotesection"/>
      </w:pPr>
      <w:r>
        <w:tab/>
        <w:t>[Regulation 84 amended: Gazette 27 Jun 2019 p. 2418</w:t>
      </w:r>
      <w:ins w:id="529" w:author="Master Repository Process" w:date="2021-12-31T10:23:00Z">
        <w:r>
          <w:t>; SL 2021/204 r. 14</w:t>
        </w:r>
      </w:ins>
      <w:r>
        <w:t>.]</w:t>
      </w:r>
    </w:p>
    <w:p>
      <w:pPr>
        <w:pStyle w:val="Heading3"/>
      </w:pPr>
      <w:bookmarkStart w:id="530" w:name="_Toc90995599"/>
      <w:bookmarkStart w:id="531" w:name="_Toc90998652"/>
      <w:bookmarkStart w:id="532" w:name="_Toc91081312"/>
      <w:bookmarkStart w:id="533" w:name="_Toc89179919"/>
      <w:bookmarkStart w:id="534" w:name="_Toc89181386"/>
      <w:bookmarkStart w:id="535" w:name="_Toc89252603"/>
      <w:r>
        <w:rPr>
          <w:rStyle w:val="CharDivNo"/>
        </w:rPr>
        <w:t>Division 3</w:t>
      </w:r>
      <w:r>
        <w:t> — NLIS</w:t>
      </w:r>
      <w:r>
        <w:rPr>
          <w:rStyle w:val="CharDivText"/>
        </w:rPr>
        <w:t xml:space="preserve"> requirements for cattle and buffalo</w:t>
      </w:r>
      <w:bookmarkEnd w:id="530"/>
      <w:bookmarkEnd w:id="531"/>
      <w:bookmarkEnd w:id="532"/>
      <w:bookmarkEnd w:id="533"/>
      <w:bookmarkEnd w:id="534"/>
      <w:bookmarkEnd w:id="535"/>
    </w:p>
    <w:p>
      <w:pPr>
        <w:pStyle w:val="Footnoteheading"/>
      </w:pPr>
      <w:r>
        <w:tab/>
        <w:t>[Heading amended: Gazette 27 Jun 2019 p. 2418.]</w:t>
      </w:r>
    </w:p>
    <w:p>
      <w:pPr>
        <w:pStyle w:val="Heading4"/>
      </w:pPr>
      <w:bookmarkStart w:id="536" w:name="_Toc90995600"/>
      <w:bookmarkStart w:id="537" w:name="_Toc90998653"/>
      <w:bookmarkStart w:id="538" w:name="_Toc91081313"/>
      <w:bookmarkStart w:id="539" w:name="_Toc89179920"/>
      <w:bookmarkStart w:id="540" w:name="_Toc89181387"/>
      <w:bookmarkStart w:id="541" w:name="_Toc89252604"/>
      <w:r>
        <w:t>Subdivision 1 — Imported animals, animals from a pound and dead stray animals</w:t>
      </w:r>
      <w:bookmarkEnd w:id="536"/>
      <w:bookmarkEnd w:id="537"/>
      <w:bookmarkEnd w:id="538"/>
      <w:bookmarkEnd w:id="539"/>
      <w:bookmarkEnd w:id="540"/>
      <w:bookmarkEnd w:id="541"/>
    </w:p>
    <w:p>
      <w:pPr>
        <w:pStyle w:val="Heading5"/>
      </w:pPr>
      <w:bookmarkStart w:id="542" w:name="_Toc91081314"/>
      <w:bookmarkStart w:id="543" w:name="_Toc89252605"/>
      <w:r>
        <w:rPr>
          <w:rStyle w:val="CharSectno"/>
        </w:rPr>
        <w:t>85</w:t>
      </w:r>
      <w:r>
        <w:t>.</w:t>
      </w:r>
      <w:r>
        <w:tab/>
        <w:t>Imported cattle and buffalo</w:t>
      </w:r>
      <w:bookmarkEnd w:id="542"/>
      <w:bookmarkEnd w:id="543"/>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544" w:name="_Toc91081315"/>
      <w:bookmarkStart w:id="545" w:name="_Toc89252606"/>
      <w:r>
        <w:rPr>
          <w:rStyle w:val="CharSectno"/>
        </w:rPr>
        <w:t>86</w:t>
      </w:r>
      <w:r>
        <w:t>.</w:t>
      </w:r>
      <w:r>
        <w:tab/>
        <w:t>Cattle and buffalo from a pound</w:t>
      </w:r>
      <w:bookmarkEnd w:id="544"/>
      <w:bookmarkEnd w:id="545"/>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546" w:name="_Toc91081316"/>
      <w:bookmarkStart w:id="547" w:name="_Toc89252607"/>
      <w:r>
        <w:rPr>
          <w:rStyle w:val="CharSectno"/>
        </w:rPr>
        <w:t>87</w:t>
      </w:r>
      <w:r>
        <w:t>.</w:t>
      </w:r>
      <w:r>
        <w:tab/>
        <w:t>Dead stray cattle and buffalo</w:t>
      </w:r>
      <w:bookmarkEnd w:id="546"/>
      <w:bookmarkEnd w:id="547"/>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w:t>
      </w:r>
      <w:ins w:id="548" w:author="Master Repository Process" w:date="2021-12-31T10:23:00Z">
        <w:r>
          <w:t xml:space="preserve"> for this subregulation</w:t>
        </w:r>
      </w:ins>
      <w:r>
        <w:t>: a fine of $2 000.</w:t>
      </w:r>
    </w:p>
    <w:p>
      <w:pPr>
        <w:pStyle w:val="Footnotesection"/>
        <w:rPr>
          <w:ins w:id="549" w:author="Master Repository Process" w:date="2021-12-31T10:23:00Z"/>
        </w:rPr>
      </w:pPr>
      <w:ins w:id="550" w:author="Master Repository Process" w:date="2021-12-31T10:23:00Z">
        <w:r>
          <w:tab/>
          <w:t>[Regulation 87 amended: SL 2021/204 r. 14.]</w:t>
        </w:r>
      </w:ins>
    </w:p>
    <w:p>
      <w:pPr>
        <w:pStyle w:val="Heading4"/>
      </w:pPr>
      <w:bookmarkStart w:id="551" w:name="_Toc90995604"/>
      <w:bookmarkStart w:id="552" w:name="_Toc90998657"/>
      <w:bookmarkStart w:id="553" w:name="_Toc91081317"/>
      <w:bookmarkStart w:id="554" w:name="_Toc89179924"/>
      <w:bookmarkStart w:id="555" w:name="_Toc89181391"/>
      <w:bookmarkStart w:id="556" w:name="_Toc89252608"/>
      <w:r>
        <w:t>Subdivision 2 — Carriers and purchasers</w:t>
      </w:r>
      <w:bookmarkEnd w:id="551"/>
      <w:bookmarkEnd w:id="552"/>
      <w:bookmarkEnd w:id="553"/>
      <w:bookmarkEnd w:id="554"/>
      <w:bookmarkEnd w:id="555"/>
      <w:bookmarkEnd w:id="556"/>
    </w:p>
    <w:p>
      <w:pPr>
        <w:pStyle w:val="Heading5"/>
      </w:pPr>
      <w:bookmarkStart w:id="557" w:name="_Toc91081318"/>
      <w:bookmarkStart w:id="558" w:name="_Toc89252609"/>
      <w:r>
        <w:rPr>
          <w:rStyle w:val="CharSectno"/>
        </w:rPr>
        <w:t>88</w:t>
      </w:r>
      <w:r>
        <w:t>.</w:t>
      </w:r>
      <w:r>
        <w:tab/>
        <w:t>Responsibilities of carriers</w:t>
      </w:r>
      <w:bookmarkEnd w:id="557"/>
      <w:bookmarkEnd w:id="558"/>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keepNext/>
      </w:pPr>
      <w:r>
        <w:tab/>
        <w:t>(b)</w:t>
      </w:r>
      <w:r>
        <w:tab/>
        <w:t>the relevant PIC of the property to which the animal is to be taken from the holding yard.</w:t>
      </w:r>
    </w:p>
    <w:p>
      <w:pPr>
        <w:pStyle w:val="Penstart"/>
      </w:pPr>
      <w:r>
        <w:tab/>
        <w:t>Penalty</w:t>
      </w:r>
      <w:ins w:id="559" w:author="Master Repository Process" w:date="2021-12-31T10:23:00Z">
        <w:r>
          <w:t xml:space="preserve"> for this subregulation</w:t>
        </w:r>
      </w:ins>
      <w:r>
        <w:t>: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keepNext/>
      </w:pPr>
      <w:r>
        <w:tab/>
        <w:t>(b)</w:t>
      </w:r>
      <w:r>
        <w:tab/>
        <w:t>any animal being moved from another property.</w:t>
      </w:r>
    </w:p>
    <w:p>
      <w:pPr>
        <w:pStyle w:val="Penstart"/>
        <w:keepNext/>
      </w:pPr>
      <w:r>
        <w:tab/>
        <w:t>Penalty</w:t>
      </w:r>
      <w:ins w:id="560" w:author="Master Repository Process" w:date="2021-12-31T10:23:00Z">
        <w:r>
          <w:t xml:space="preserve"> for this subregulation</w:t>
        </w:r>
      </w:ins>
      <w:r>
        <w:t>: a fine of $2 000.</w:t>
      </w:r>
    </w:p>
    <w:p>
      <w:pPr>
        <w:pStyle w:val="Footnotesection"/>
        <w:rPr>
          <w:ins w:id="561" w:author="Master Repository Process" w:date="2021-12-31T10:23:00Z"/>
        </w:rPr>
      </w:pPr>
      <w:ins w:id="562" w:author="Master Repository Process" w:date="2021-12-31T10:23:00Z">
        <w:r>
          <w:tab/>
          <w:t>[Regulation 88 amended: SL 2021/204 r. 14.]</w:t>
        </w:r>
      </w:ins>
    </w:p>
    <w:p>
      <w:pPr>
        <w:pStyle w:val="Heading5"/>
      </w:pPr>
      <w:bookmarkStart w:id="563" w:name="_Toc91081319"/>
      <w:bookmarkStart w:id="564" w:name="_Toc89252610"/>
      <w:r>
        <w:rPr>
          <w:rStyle w:val="CharSectno"/>
        </w:rPr>
        <w:t>89</w:t>
      </w:r>
      <w:r>
        <w:t>.</w:t>
      </w:r>
      <w:r>
        <w:tab/>
        <w:t>Responsibilities of purchasers</w:t>
      </w:r>
      <w:bookmarkEnd w:id="563"/>
      <w:bookmarkEnd w:id="564"/>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w:t>
      </w:r>
      <w:ins w:id="565" w:author="Master Repository Process" w:date="2021-12-31T10:23:00Z">
        <w:r>
          <w:t xml:space="preserve"> for this subregulation</w:t>
        </w:r>
      </w:ins>
      <w:r>
        <w:t>: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w:t>
      </w:r>
      <w:r>
        <w:rPr>
          <w:snapToGrid w:val="0"/>
        </w:rPr>
        <w:t xml:space="preserve"> relevant PIC of the property </w:t>
      </w:r>
      <w:r>
        <w:t>to which the animal is to be moved; or</w:t>
      </w:r>
    </w:p>
    <w:p>
      <w:pPr>
        <w:pStyle w:val="Indenta"/>
      </w:pPr>
      <w:r>
        <w:tab/>
        <w:t>(b)</w:t>
      </w:r>
      <w:r>
        <w:tab/>
        <w:t>the purchaser’s BIC.</w:t>
      </w:r>
    </w:p>
    <w:p>
      <w:pPr>
        <w:pStyle w:val="Penstart"/>
      </w:pPr>
      <w:r>
        <w:tab/>
        <w:t>Penalty</w:t>
      </w:r>
      <w:ins w:id="566" w:author="Master Repository Process" w:date="2021-12-31T10:23:00Z">
        <w:r>
          <w:t xml:space="preserve"> for this subregulation</w:t>
        </w:r>
      </w:ins>
      <w:r>
        <w:t>: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r>
        <w:t>to which the animal has been moved;</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w:t>
      </w:r>
      <w:ins w:id="567" w:author="Master Repository Process" w:date="2021-12-31T10:23:00Z">
        <w:r>
          <w:t xml:space="preserve"> for this subregulation</w:t>
        </w:r>
      </w:ins>
      <w:r>
        <w:t>: a fine of $5 000.</w:t>
      </w:r>
    </w:p>
    <w:p>
      <w:pPr>
        <w:pStyle w:val="Subsection"/>
        <w:keepNext/>
      </w:pPr>
      <w:r>
        <w:tab/>
        <w:t>(4)</w:t>
      </w:r>
      <w:r>
        <w:tab/>
        <w:t>A purchaser of an animal at a property must not take possession or control of the animal unless it is moved in accordance with this Part.</w:t>
      </w:r>
    </w:p>
    <w:p>
      <w:pPr>
        <w:pStyle w:val="Penstart"/>
        <w:keepNext/>
      </w:pPr>
      <w:r>
        <w:tab/>
        <w:t>Penalty</w:t>
      </w:r>
      <w:ins w:id="568" w:author="Master Repository Process" w:date="2021-12-31T10:23:00Z">
        <w:r>
          <w:t xml:space="preserve"> for this subregulation</w:t>
        </w:r>
      </w:ins>
      <w:r>
        <w:t>: a fine of $5 000.</w:t>
      </w:r>
    </w:p>
    <w:p>
      <w:pPr>
        <w:pStyle w:val="Footnotesection"/>
      </w:pPr>
      <w:r>
        <w:tab/>
        <w:t>[Regulation 89 amended: Gazette 27 Jun 2019 p. 2419</w:t>
      </w:r>
      <w:ins w:id="569" w:author="Master Repository Process" w:date="2021-12-31T10:23:00Z">
        <w:r>
          <w:t>; SL 2021/204 r. 14</w:t>
        </w:r>
      </w:ins>
      <w:r>
        <w:t>.]</w:t>
      </w:r>
    </w:p>
    <w:p>
      <w:pPr>
        <w:pStyle w:val="Heading4"/>
      </w:pPr>
      <w:bookmarkStart w:id="570" w:name="_Toc90995607"/>
      <w:bookmarkStart w:id="571" w:name="_Toc90998660"/>
      <w:bookmarkStart w:id="572" w:name="_Toc91081320"/>
      <w:bookmarkStart w:id="573" w:name="_Toc89179927"/>
      <w:bookmarkStart w:id="574" w:name="_Toc89181394"/>
      <w:bookmarkStart w:id="575" w:name="_Toc89252611"/>
      <w:r>
        <w:t>Subdivision 3 — General provisions relating to property operators</w:t>
      </w:r>
      <w:bookmarkEnd w:id="570"/>
      <w:bookmarkEnd w:id="571"/>
      <w:bookmarkEnd w:id="572"/>
      <w:bookmarkEnd w:id="573"/>
      <w:bookmarkEnd w:id="574"/>
      <w:bookmarkEnd w:id="575"/>
    </w:p>
    <w:p>
      <w:pPr>
        <w:pStyle w:val="Heading5"/>
      </w:pPr>
      <w:bookmarkStart w:id="576" w:name="_Toc91081321"/>
      <w:bookmarkStart w:id="577" w:name="_Toc89252612"/>
      <w:r>
        <w:rPr>
          <w:rStyle w:val="CharSectno"/>
        </w:rPr>
        <w:t>90</w:t>
      </w:r>
      <w:r>
        <w:t>.</w:t>
      </w:r>
      <w:r>
        <w:tab/>
        <w:t>Cattle or buffalo not to be delivered to property without relevant PIC</w:t>
      </w:r>
      <w:bookmarkEnd w:id="576"/>
      <w:bookmarkEnd w:id="577"/>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578" w:name="_Toc91081322"/>
      <w:bookmarkStart w:id="579" w:name="_Toc89252613"/>
      <w:r>
        <w:rPr>
          <w:rStyle w:val="CharSectno"/>
        </w:rPr>
        <w:t>91</w:t>
      </w:r>
      <w:r>
        <w:t>.</w:t>
      </w:r>
      <w:r>
        <w:tab/>
        <w:t>Responsibilities of property operator if animal dies on or while being moved to property other than pound</w:t>
      </w:r>
      <w:bookmarkEnd w:id="578"/>
      <w:bookmarkEnd w:id="579"/>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last property at which the animal was kept;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keepNext/>
      </w:pPr>
      <w:r>
        <w:tab/>
        <w:t>(d)</w:t>
      </w:r>
      <w:r>
        <w:tab/>
        <w:t>the date of death.</w:t>
      </w:r>
    </w:p>
    <w:p>
      <w:pPr>
        <w:pStyle w:val="Penstart"/>
        <w:keepNext/>
      </w:pPr>
      <w:r>
        <w:tab/>
        <w:t>Penalty</w:t>
      </w:r>
      <w:ins w:id="580" w:author="Master Repository Process" w:date="2021-12-31T10:23:00Z">
        <w:r>
          <w:t xml:space="preserve"> for this subregulation</w:t>
        </w:r>
      </w:ins>
      <w:r>
        <w:t>: a fine of $2 000.</w:t>
      </w:r>
    </w:p>
    <w:p>
      <w:pPr>
        <w:pStyle w:val="Footnotesection"/>
      </w:pPr>
      <w:r>
        <w:tab/>
        <w:t>[Regulation 91 amended: Gazette 27 Jun 2019 p. 2419</w:t>
      </w:r>
      <w:r>
        <w:noBreakHyphen/>
        <w:t>20</w:t>
      </w:r>
      <w:ins w:id="581" w:author="Master Repository Process" w:date="2021-12-31T10:23:00Z">
        <w:r>
          <w:t>; SL 2021/204 r. 14</w:t>
        </w:r>
      </w:ins>
      <w:r>
        <w:t>.]</w:t>
      </w:r>
    </w:p>
    <w:p>
      <w:pPr>
        <w:pStyle w:val="Heading4"/>
      </w:pPr>
      <w:bookmarkStart w:id="582" w:name="_Toc90995610"/>
      <w:bookmarkStart w:id="583" w:name="_Toc90998663"/>
      <w:bookmarkStart w:id="584" w:name="_Toc91081323"/>
      <w:bookmarkStart w:id="585" w:name="_Toc89179930"/>
      <w:bookmarkStart w:id="586" w:name="_Toc89181397"/>
      <w:bookmarkStart w:id="587" w:name="_Toc89252614"/>
      <w:r>
        <w:t>Subdivision 4 — Pounds</w:t>
      </w:r>
      <w:bookmarkEnd w:id="582"/>
      <w:bookmarkEnd w:id="583"/>
      <w:bookmarkEnd w:id="584"/>
      <w:bookmarkEnd w:id="585"/>
      <w:bookmarkEnd w:id="586"/>
      <w:bookmarkEnd w:id="587"/>
    </w:p>
    <w:p>
      <w:pPr>
        <w:pStyle w:val="Heading5"/>
      </w:pPr>
      <w:bookmarkStart w:id="588" w:name="_Toc91081324"/>
      <w:bookmarkStart w:id="589" w:name="_Toc89252615"/>
      <w:r>
        <w:rPr>
          <w:rStyle w:val="CharSectno"/>
        </w:rPr>
        <w:t>92</w:t>
      </w:r>
      <w:r>
        <w:t>.</w:t>
      </w:r>
      <w:r>
        <w:tab/>
        <w:t>Responsibilities of pound operator if no NLIS device applied to animal</w:t>
      </w:r>
      <w:bookmarkEnd w:id="588"/>
      <w:bookmarkEnd w:id="589"/>
    </w:p>
    <w:p>
      <w:pPr>
        <w:pStyle w:val="Subsection"/>
        <w:spacing w:before="120"/>
      </w:pPr>
      <w:r>
        <w:tab/>
        <w:t>(1)</w:t>
      </w:r>
      <w:r>
        <w:tab/>
        <w:t>The operator of a pound may, before an animal is moved to the pound,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w:t>
      </w:r>
      <w:ins w:id="590" w:author="Master Repository Process" w:date="2021-12-31T10:23:00Z">
        <w:r>
          <w:t xml:space="preserve"> for this subregulation</w:t>
        </w:r>
      </w:ins>
      <w:r>
        <w:t>: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Footnotesection"/>
      </w:pPr>
      <w:r>
        <w:tab/>
        <w:t>[Regulation 92 amended: Gazette 27 Jun 2019 p. 2420</w:t>
      </w:r>
      <w:ins w:id="591" w:author="Master Repository Process" w:date="2021-12-31T10:23:00Z">
        <w:r>
          <w:t>; SL 2021/204 r. 14</w:t>
        </w:r>
      </w:ins>
      <w:r>
        <w:t>.]</w:t>
      </w:r>
    </w:p>
    <w:p>
      <w:pPr>
        <w:pStyle w:val="Heading5"/>
      </w:pPr>
      <w:bookmarkStart w:id="592" w:name="_Toc91081325"/>
      <w:bookmarkStart w:id="593" w:name="_Toc89252616"/>
      <w:r>
        <w:rPr>
          <w:rStyle w:val="CharSectno"/>
        </w:rPr>
        <w:t>93</w:t>
      </w:r>
      <w:r>
        <w:t>.</w:t>
      </w:r>
      <w:r>
        <w:tab/>
        <w:t>Responsibilities of pound operator if animal born at or while being moved to pound</w:t>
      </w:r>
      <w:bookmarkEnd w:id="592"/>
      <w:bookmarkEnd w:id="593"/>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594" w:name="_Toc91081326"/>
      <w:bookmarkStart w:id="595" w:name="_Toc89252617"/>
      <w:r>
        <w:rPr>
          <w:rStyle w:val="CharSectno"/>
        </w:rPr>
        <w:t>94</w:t>
      </w:r>
      <w:r>
        <w:t>.</w:t>
      </w:r>
      <w:r>
        <w:tab/>
        <w:t>Responsibilities of pound operator if NLIS device applied to animal</w:t>
      </w:r>
      <w:bookmarkEnd w:id="594"/>
      <w:bookmarkEnd w:id="595"/>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w:t>
      </w:r>
      <w:ins w:id="596" w:author="Master Repository Process" w:date="2021-12-31T10:23:00Z">
        <w:r>
          <w:t xml:space="preserve"> for this subregulation</w:t>
        </w:r>
      </w:ins>
      <w:r>
        <w:t>: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Footnotesection"/>
        <w:rPr>
          <w:ins w:id="597" w:author="Master Repository Process" w:date="2021-12-31T10:23:00Z"/>
        </w:rPr>
      </w:pPr>
      <w:ins w:id="598" w:author="Master Repository Process" w:date="2021-12-31T10:23:00Z">
        <w:r>
          <w:tab/>
          <w:t>[Regulation 94 amended: SL 2021/204 r. 14.]</w:t>
        </w:r>
      </w:ins>
    </w:p>
    <w:p>
      <w:pPr>
        <w:pStyle w:val="Heading5"/>
        <w:spacing w:before="180"/>
      </w:pPr>
      <w:bookmarkStart w:id="599" w:name="_Toc91081327"/>
      <w:bookmarkStart w:id="600" w:name="_Toc89252618"/>
      <w:r>
        <w:rPr>
          <w:rStyle w:val="CharSectno"/>
        </w:rPr>
        <w:t>95</w:t>
      </w:r>
      <w:r>
        <w:t>.</w:t>
      </w:r>
      <w:r>
        <w:tab/>
        <w:t>Responsibilities of pound operator if animal moved from pound</w:t>
      </w:r>
      <w:bookmarkEnd w:id="599"/>
      <w:bookmarkEnd w:id="600"/>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w:t>
      </w:r>
      <w:ins w:id="601" w:author="Master Repository Process" w:date="2021-12-31T10:23:00Z">
        <w:r>
          <w:t xml:space="preserve"> for this subregulation</w:t>
        </w:r>
      </w:ins>
      <w:r>
        <w:t>: a fine of $2 000.</w:t>
      </w:r>
    </w:p>
    <w:p>
      <w:pPr>
        <w:pStyle w:val="Subsection"/>
        <w:keepNext/>
        <w:spacing w:before="120"/>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w:t>
      </w:r>
      <w:ins w:id="602" w:author="Master Repository Process" w:date="2021-12-31T10:23:00Z">
        <w:r>
          <w:t xml:space="preserve"> for this subregulation</w:t>
        </w:r>
      </w:ins>
      <w:r>
        <w:t>: a fine of $2 000.</w:t>
      </w:r>
    </w:p>
    <w:p>
      <w:pPr>
        <w:pStyle w:val="Subsection"/>
      </w:pPr>
      <w:r>
        <w:tab/>
        <w:t>(3)</w:t>
      </w:r>
      <w:r>
        <w:tab/>
        <w:t>A pound operator must not, without the approval of an inspector, move or permit to be moved from the pound an animal to which an NLIS device is applied unless the device is functioning.</w:t>
      </w:r>
    </w:p>
    <w:p>
      <w:pPr>
        <w:pStyle w:val="Penstart"/>
      </w:pPr>
      <w:r>
        <w:tab/>
        <w:t>Penalty</w:t>
      </w:r>
      <w:ins w:id="603" w:author="Master Repository Process" w:date="2021-12-31T10:23:00Z">
        <w:r>
          <w:t xml:space="preserve"> for this subregulation</w:t>
        </w:r>
      </w:ins>
      <w:r>
        <w:t>: a fine of $2 000.</w:t>
      </w:r>
    </w:p>
    <w:p>
      <w:pPr>
        <w:pStyle w:val="Footnotesection"/>
      </w:pPr>
      <w:r>
        <w:tab/>
        <w:t>[Regulation 95 amended: Gazette 27 Jun 2019 p. 2420</w:t>
      </w:r>
      <w:ins w:id="604" w:author="Master Repository Process" w:date="2021-12-31T10:23:00Z">
        <w:r>
          <w:t>; SL 2021/204 r. 14</w:t>
        </w:r>
      </w:ins>
      <w:r>
        <w:t>.]</w:t>
      </w:r>
    </w:p>
    <w:p>
      <w:pPr>
        <w:pStyle w:val="Heading5"/>
      </w:pPr>
      <w:bookmarkStart w:id="605" w:name="_Toc91081328"/>
      <w:bookmarkStart w:id="606" w:name="_Toc89252619"/>
      <w:r>
        <w:rPr>
          <w:rStyle w:val="CharSectno"/>
        </w:rPr>
        <w:t>96</w:t>
      </w:r>
      <w:r>
        <w:t>.</w:t>
      </w:r>
      <w:r>
        <w:tab/>
        <w:t>Responsibilities of pound operator if animal dies on or while being moved to pound</w:t>
      </w:r>
      <w:bookmarkEnd w:id="605"/>
      <w:bookmarkEnd w:id="606"/>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607" w:name="_Toc90995616"/>
      <w:bookmarkStart w:id="608" w:name="_Toc90998669"/>
      <w:bookmarkStart w:id="609" w:name="_Toc91081329"/>
      <w:bookmarkStart w:id="610" w:name="_Toc89179936"/>
      <w:bookmarkStart w:id="611" w:name="_Toc89181403"/>
      <w:bookmarkStart w:id="612" w:name="_Toc89252620"/>
      <w:r>
        <w:t>Subdivision 5 — Holding yards</w:t>
      </w:r>
      <w:bookmarkEnd w:id="607"/>
      <w:bookmarkEnd w:id="608"/>
      <w:bookmarkEnd w:id="609"/>
      <w:bookmarkEnd w:id="610"/>
      <w:bookmarkEnd w:id="611"/>
      <w:bookmarkEnd w:id="612"/>
    </w:p>
    <w:p>
      <w:pPr>
        <w:pStyle w:val="Heading5"/>
      </w:pPr>
      <w:bookmarkStart w:id="613" w:name="_Toc91081330"/>
      <w:bookmarkStart w:id="614" w:name="_Toc89252621"/>
      <w:r>
        <w:rPr>
          <w:rStyle w:val="CharSectno"/>
        </w:rPr>
        <w:t>97</w:t>
      </w:r>
      <w:r>
        <w:t>.</w:t>
      </w:r>
      <w:r>
        <w:tab/>
        <w:t>Responsibilities of holding yard operator if no NLIS device applied to animal</w:t>
      </w:r>
      <w:bookmarkEnd w:id="613"/>
      <w:bookmarkEnd w:id="614"/>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w:t>
      </w:r>
      <w:ins w:id="615" w:author="Master Repository Process" w:date="2021-12-31T10:23:00Z">
        <w:r>
          <w:t xml:space="preserve"> for this subregulation</w:t>
        </w:r>
      </w:ins>
      <w:r>
        <w:t>: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 xml:space="preserve">inform an inspector accordingly. </w:t>
      </w:r>
    </w:p>
    <w:p>
      <w:pPr>
        <w:pStyle w:val="Penstart"/>
      </w:pPr>
      <w:r>
        <w:tab/>
        <w:t>Penalty</w:t>
      </w:r>
      <w:ins w:id="616" w:author="Master Repository Process" w:date="2021-12-31T10:23:00Z">
        <w:r>
          <w:t xml:space="preserve"> for this subregulation</w:t>
        </w:r>
      </w:ins>
      <w:r>
        <w:t>: a fine of $2 000.</w:t>
      </w:r>
    </w:p>
    <w:p>
      <w:pPr>
        <w:pStyle w:val="Footnotesection"/>
      </w:pPr>
      <w:r>
        <w:tab/>
        <w:t>[Regulation 97 amended: Gazette 27 Jun 2019 p. 2420</w:t>
      </w:r>
      <w:ins w:id="617" w:author="Master Repository Process" w:date="2021-12-31T10:23:00Z">
        <w:r>
          <w:t>; SL 2021/204 r. 14</w:t>
        </w:r>
      </w:ins>
      <w:r>
        <w:t>.]</w:t>
      </w:r>
    </w:p>
    <w:p>
      <w:pPr>
        <w:pStyle w:val="Heading5"/>
      </w:pPr>
      <w:bookmarkStart w:id="618" w:name="_Toc91081331"/>
      <w:bookmarkStart w:id="619" w:name="_Toc89252622"/>
      <w:r>
        <w:rPr>
          <w:rStyle w:val="CharSectno"/>
        </w:rPr>
        <w:t>98</w:t>
      </w:r>
      <w:r>
        <w:t>.</w:t>
      </w:r>
      <w:r>
        <w:tab/>
        <w:t>Directions by inspectors</w:t>
      </w:r>
      <w:bookmarkEnd w:id="618"/>
      <w:bookmarkEnd w:id="619"/>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w:t>
      </w:r>
      <w:ins w:id="620" w:author="Master Repository Process" w:date="2021-12-31T10:23:00Z">
        <w:r>
          <w:t xml:space="preserve"> for this subregulation</w:t>
        </w:r>
      </w:ins>
      <w:r>
        <w:t>: a fine of $5 000.</w:t>
      </w:r>
    </w:p>
    <w:p>
      <w:pPr>
        <w:pStyle w:val="Footnotesection"/>
        <w:rPr>
          <w:ins w:id="621" w:author="Master Repository Process" w:date="2021-12-31T10:23:00Z"/>
        </w:rPr>
      </w:pPr>
      <w:ins w:id="622" w:author="Master Repository Process" w:date="2021-12-31T10:23:00Z">
        <w:r>
          <w:tab/>
          <w:t>[Regulation 98 amended: SL 2021/204 r. 14.]</w:t>
        </w:r>
      </w:ins>
    </w:p>
    <w:p>
      <w:pPr>
        <w:pStyle w:val="Heading5"/>
      </w:pPr>
      <w:bookmarkStart w:id="623" w:name="_Toc91081332"/>
      <w:bookmarkStart w:id="624" w:name="_Toc89252623"/>
      <w:r>
        <w:rPr>
          <w:rStyle w:val="CharSectno"/>
        </w:rPr>
        <w:t>99</w:t>
      </w:r>
      <w:r>
        <w:t>.</w:t>
      </w:r>
      <w:r>
        <w:tab/>
        <w:t>Responsibilities of holding yard operator if animal born at or while being moved to holding yard</w:t>
      </w:r>
      <w:bookmarkEnd w:id="623"/>
      <w:bookmarkEnd w:id="624"/>
    </w:p>
    <w:p>
      <w:pPr>
        <w:pStyle w:val="Subsection"/>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625" w:name="_Toc91081333"/>
      <w:bookmarkStart w:id="626" w:name="_Toc89252624"/>
      <w:r>
        <w:rPr>
          <w:rStyle w:val="CharSectno"/>
        </w:rPr>
        <w:t>100</w:t>
      </w:r>
      <w:r>
        <w:t>.</w:t>
      </w:r>
      <w:r>
        <w:tab/>
        <w:t>Responsibilities of holding yard operator if consignment held for less than 48 hours and moved from holding yard in a single consignment</w:t>
      </w:r>
      <w:bookmarkEnd w:id="625"/>
      <w:bookmarkEnd w:id="626"/>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pPr>
      <w:r>
        <w:tab/>
        <w:t>(b)</w:t>
      </w:r>
      <w:r>
        <w:tab/>
        <w:t>the date the animal arrived at the holding yard.</w:t>
      </w:r>
    </w:p>
    <w:p>
      <w:pPr>
        <w:pStyle w:val="Penstart"/>
      </w:pPr>
      <w:r>
        <w:tab/>
        <w:t>Penalty</w:t>
      </w:r>
      <w:ins w:id="627" w:author="Master Repository Process" w:date="2021-12-31T10:23:00Z">
        <w:r>
          <w:t xml:space="preserve"> for this subregulation</w:t>
        </w:r>
      </w:ins>
      <w:r>
        <w:t>: a fine of $2 000.</w:t>
      </w:r>
    </w:p>
    <w:p>
      <w:pPr>
        <w:pStyle w:val="Footnotesection"/>
        <w:rPr>
          <w:ins w:id="628" w:author="Master Repository Process" w:date="2021-12-31T10:23:00Z"/>
        </w:rPr>
      </w:pPr>
      <w:ins w:id="629" w:author="Master Repository Process" w:date="2021-12-31T10:23:00Z">
        <w:r>
          <w:tab/>
          <w:t>[Regulation 100 amended: SL 2021/204 r. 14.]</w:t>
        </w:r>
      </w:ins>
    </w:p>
    <w:p>
      <w:pPr>
        <w:pStyle w:val="Heading5"/>
      </w:pPr>
      <w:bookmarkStart w:id="630" w:name="_Toc91081334"/>
      <w:bookmarkStart w:id="631" w:name="_Toc89252625"/>
      <w:r>
        <w:rPr>
          <w:rStyle w:val="CharSectno"/>
        </w:rPr>
        <w:t>101</w:t>
      </w:r>
      <w:r>
        <w:t>.</w:t>
      </w:r>
      <w:r>
        <w:tab/>
        <w:t>Responsibilities of holding yard operator if animal held for less than 48 hours and moved from holding yard in different consignment</w:t>
      </w:r>
      <w:bookmarkEnd w:id="630"/>
      <w:bookmarkEnd w:id="631"/>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w:t>
      </w:r>
      <w:ins w:id="632" w:author="Master Repository Process" w:date="2021-12-31T10:23:00Z">
        <w:r>
          <w:t xml:space="preserve"> for this subregulation</w:t>
        </w:r>
      </w:ins>
      <w:r>
        <w:t>: a fine of $2 000.</w:t>
      </w:r>
    </w:p>
    <w:p>
      <w:pPr>
        <w:pStyle w:val="Footnotesection"/>
        <w:rPr>
          <w:ins w:id="633" w:author="Master Repository Process" w:date="2021-12-31T10:23:00Z"/>
        </w:rPr>
      </w:pPr>
      <w:ins w:id="634" w:author="Master Repository Process" w:date="2021-12-31T10:23:00Z">
        <w:r>
          <w:tab/>
          <w:t>[Regulation 101 amended: SL 2021/204 r. 14.]</w:t>
        </w:r>
      </w:ins>
    </w:p>
    <w:p>
      <w:pPr>
        <w:pStyle w:val="Heading5"/>
      </w:pPr>
      <w:bookmarkStart w:id="635" w:name="_Toc91081335"/>
      <w:bookmarkStart w:id="636" w:name="_Toc89252626"/>
      <w:r>
        <w:rPr>
          <w:rStyle w:val="CharSectno"/>
        </w:rPr>
        <w:t>102</w:t>
      </w:r>
      <w:r>
        <w:t>.</w:t>
      </w:r>
      <w:r>
        <w:tab/>
        <w:t>Responsibilities of holding yard operator if animal held for more than 48 hours</w:t>
      </w:r>
      <w:bookmarkEnd w:id="635"/>
      <w:bookmarkEnd w:id="636"/>
    </w:p>
    <w:p>
      <w:pPr>
        <w:pStyle w:val="Subsection"/>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637" w:name="_Toc90995623"/>
      <w:bookmarkStart w:id="638" w:name="_Toc90998676"/>
      <w:bookmarkStart w:id="639" w:name="_Toc91081336"/>
      <w:bookmarkStart w:id="640" w:name="_Toc89179943"/>
      <w:bookmarkStart w:id="641" w:name="_Toc89181410"/>
      <w:bookmarkStart w:id="642" w:name="_Toc89252627"/>
      <w:r>
        <w:t>Subdivision 6 — Saleyards</w:t>
      </w:r>
      <w:bookmarkEnd w:id="637"/>
      <w:bookmarkEnd w:id="638"/>
      <w:bookmarkEnd w:id="639"/>
      <w:bookmarkEnd w:id="640"/>
      <w:bookmarkEnd w:id="641"/>
      <w:bookmarkEnd w:id="642"/>
    </w:p>
    <w:p>
      <w:pPr>
        <w:pStyle w:val="Heading5"/>
      </w:pPr>
      <w:bookmarkStart w:id="643" w:name="_Toc91081337"/>
      <w:bookmarkStart w:id="644" w:name="_Toc89252628"/>
      <w:r>
        <w:rPr>
          <w:rStyle w:val="CharSectno"/>
        </w:rPr>
        <w:t>103</w:t>
      </w:r>
      <w:r>
        <w:t>.</w:t>
      </w:r>
      <w:r>
        <w:tab/>
        <w:t>When saleyard to be treated as holding yard</w:t>
      </w:r>
      <w:bookmarkEnd w:id="643"/>
      <w:bookmarkEnd w:id="644"/>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tab/>
      </w:r>
      <w:r>
        <w:tab/>
        <w:t>regulations 97 to 99 apply, with any necessary modifications, to the movement of the cattle or buffalo as if the saleyard were a holding yard.</w:t>
      </w:r>
    </w:p>
    <w:p>
      <w:pPr>
        <w:pStyle w:val="Heading5"/>
      </w:pPr>
      <w:bookmarkStart w:id="645" w:name="_Toc91081338"/>
      <w:bookmarkStart w:id="646" w:name="_Toc89252629"/>
      <w:r>
        <w:rPr>
          <w:rStyle w:val="CharSectno"/>
        </w:rPr>
        <w:t>104</w:t>
      </w:r>
      <w:r>
        <w:t>.</w:t>
      </w:r>
      <w:r>
        <w:tab/>
        <w:t>Responsibilities of saleyard operator if no NLIS device applied to animal</w:t>
      </w:r>
      <w:bookmarkEnd w:id="645"/>
      <w:bookmarkEnd w:id="646"/>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w:t>
      </w:r>
      <w:ins w:id="647" w:author="Master Repository Process" w:date="2021-12-31T10:23:00Z">
        <w:r>
          <w:t xml:space="preserve"> for this subregulation</w:t>
        </w:r>
      </w:ins>
      <w:r>
        <w:t>: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p>
    <w:p>
      <w:pPr>
        <w:pStyle w:val="Penstart"/>
      </w:pPr>
      <w:r>
        <w:tab/>
        <w:t>Penalty</w:t>
      </w:r>
      <w:ins w:id="648" w:author="Master Repository Process" w:date="2021-12-31T10:23:00Z">
        <w:r>
          <w:t xml:space="preserve"> for this subregulation</w:t>
        </w:r>
      </w:ins>
      <w:r>
        <w:t>: a fine of $2 000.</w:t>
      </w:r>
    </w:p>
    <w:p>
      <w:pPr>
        <w:pStyle w:val="Subsection"/>
      </w:pPr>
      <w:r>
        <w:tab/>
        <w:t>(4)</w:t>
      </w:r>
      <w:r>
        <w:tab/>
        <w:t>Subregulation (3) does not apply to a consignment of animals to which an NLIS device is not applied that is moved to a saleyard under an exemption in regulation 83(1).</w:t>
      </w:r>
    </w:p>
    <w:p>
      <w:pPr>
        <w:pStyle w:val="Footnotesection"/>
      </w:pPr>
      <w:r>
        <w:tab/>
        <w:t>[Regulation 104 amended: Gazette 27 Jun 2019 p. 2421</w:t>
      </w:r>
      <w:ins w:id="649" w:author="Master Repository Process" w:date="2021-12-31T10:23:00Z">
        <w:r>
          <w:t>; SL 2021/204 r. 14</w:t>
        </w:r>
      </w:ins>
      <w:r>
        <w:t>.]</w:t>
      </w:r>
    </w:p>
    <w:p>
      <w:pPr>
        <w:pStyle w:val="Heading5"/>
      </w:pPr>
      <w:bookmarkStart w:id="650" w:name="_Toc91081339"/>
      <w:bookmarkStart w:id="651" w:name="_Toc89252630"/>
      <w:r>
        <w:rPr>
          <w:rStyle w:val="CharSectno"/>
        </w:rPr>
        <w:t>105</w:t>
      </w:r>
      <w:r>
        <w:t>.</w:t>
      </w:r>
      <w:r>
        <w:tab/>
        <w:t>Directions by inspectors</w:t>
      </w:r>
      <w:bookmarkEnd w:id="650"/>
      <w:bookmarkEnd w:id="651"/>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pPr>
      <w:r>
        <w:tab/>
        <w:t>(2)</w:t>
      </w:r>
      <w:r>
        <w:tab/>
        <w:t>A saleyard operator must comply with a direction given by an inspector under subregulation (1).</w:t>
      </w:r>
    </w:p>
    <w:p>
      <w:pPr>
        <w:pStyle w:val="Penstart"/>
      </w:pPr>
      <w:r>
        <w:tab/>
        <w:t>Penalty</w:t>
      </w:r>
      <w:ins w:id="652" w:author="Master Repository Process" w:date="2021-12-31T10:23:00Z">
        <w:r>
          <w:t xml:space="preserve"> for this subregulation</w:t>
        </w:r>
      </w:ins>
      <w:r>
        <w:t>: a fine of $5 000.</w:t>
      </w:r>
    </w:p>
    <w:p>
      <w:pPr>
        <w:pStyle w:val="Footnotesection"/>
        <w:rPr>
          <w:ins w:id="653" w:author="Master Repository Process" w:date="2021-12-31T10:23:00Z"/>
        </w:rPr>
      </w:pPr>
      <w:ins w:id="654" w:author="Master Repository Process" w:date="2021-12-31T10:23:00Z">
        <w:r>
          <w:tab/>
          <w:t>[Regulation 105 amended: SL 2021/204 r. 14.]</w:t>
        </w:r>
      </w:ins>
    </w:p>
    <w:p>
      <w:pPr>
        <w:pStyle w:val="Heading5"/>
      </w:pPr>
      <w:bookmarkStart w:id="655" w:name="_Toc91081340"/>
      <w:bookmarkStart w:id="656" w:name="_Toc89252631"/>
      <w:r>
        <w:rPr>
          <w:rStyle w:val="CharSectno"/>
        </w:rPr>
        <w:t>106</w:t>
      </w:r>
      <w:r>
        <w:t>.</w:t>
      </w:r>
      <w:r>
        <w:tab/>
        <w:t>Responsibilities of saleyard operator if animal born at or while being moved to saleyard</w:t>
      </w:r>
      <w:bookmarkEnd w:id="655"/>
      <w:bookmarkEnd w:id="656"/>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657" w:name="_Toc91081341"/>
      <w:bookmarkStart w:id="658" w:name="_Toc89252632"/>
      <w:r>
        <w:rPr>
          <w:rStyle w:val="CharSectno"/>
        </w:rPr>
        <w:t>107</w:t>
      </w:r>
      <w:r>
        <w:t>.</w:t>
      </w:r>
      <w:r>
        <w:tab/>
        <w:t>Responsibilities of saleyard operator if NLIS device applied to animal</w:t>
      </w:r>
      <w:bookmarkEnd w:id="657"/>
      <w:bookmarkEnd w:id="658"/>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659" w:name="_Toc91081342"/>
      <w:bookmarkStart w:id="660" w:name="_Toc89252633"/>
      <w:r>
        <w:rPr>
          <w:rStyle w:val="CharSectno"/>
        </w:rPr>
        <w:t>108</w:t>
      </w:r>
      <w:r>
        <w:t>.</w:t>
      </w:r>
      <w:r>
        <w:tab/>
        <w:t>Responsibilities of saleyard operator if animal moved from saleyard</w:t>
      </w:r>
      <w:bookmarkEnd w:id="659"/>
      <w:bookmarkEnd w:id="660"/>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w:t>
      </w:r>
      <w:ins w:id="661" w:author="Master Repository Process" w:date="2021-12-31T10:23:00Z">
        <w:r>
          <w:t xml:space="preserve"> for this subregulation</w:t>
        </w:r>
      </w:ins>
      <w:r>
        <w:t>: a fine of $5 000.</w:t>
      </w:r>
    </w:p>
    <w:p>
      <w:pPr>
        <w:pStyle w:val="Subsection"/>
      </w:pPr>
      <w:r>
        <w:tab/>
        <w:t>(2)</w:t>
      </w:r>
      <w:r>
        <w:tab/>
        <w:t xml:space="preserve">If an animal to which an NLIS device is applied is moved from a saleyard, the </w:t>
      </w:r>
      <w:r>
        <w:rPr>
          <w:snapToGrid w:val="0"/>
        </w:rPr>
        <w:t>saleyard operator must</w:t>
      </w:r>
      <w:r>
        <w:t>, within 48 hours after the 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keepNext/>
      </w:pPr>
      <w:r>
        <w:tab/>
        <w:t>(c)</w:t>
      </w:r>
      <w:r>
        <w:tab/>
        <w:t>the date the animal was moved from the saleyard.</w:t>
      </w:r>
    </w:p>
    <w:p>
      <w:pPr>
        <w:pStyle w:val="Penstart"/>
      </w:pPr>
      <w:r>
        <w:tab/>
        <w:t>Penalty</w:t>
      </w:r>
      <w:ins w:id="662" w:author="Master Repository Process" w:date="2021-12-31T10:23:00Z">
        <w:r>
          <w:t xml:space="preserve"> for this subregulation</w:t>
        </w:r>
      </w:ins>
      <w:r>
        <w:t>: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w:t>
      </w:r>
      <w:ins w:id="663" w:author="Master Repository Process" w:date="2021-12-31T10:23:00Z">
        <w:r>
          <w:t xml:space="preserve"> for this subregulation</w:t>
        </w:r>
      </w:ins>
      <w:r>
        <w:t>: a fine of $5 000.</w:t>
      </w:r>
    </w:p>
    <w:p>
      <w:pPr>
        <w:pStyle w:val="Footnotesection"/>
      </w:pPr>
      <w:r>
        <w:tab/>
        <w:t>[Regulation 108 amended: Gazette 27 Jun 2019 p. 2421</w:t>
      </w:r>
      <w:ins w:id="664" w:author="Master Repository Process" w:date="2021-12-31T10:23:00Z">
        <w:r>
          <w:t>; SL 2021/204 r. 14</w:t>
        </w:r>
      </w:ins>
      <w:r>
        <w:t>.]</w:t>
      </w:r>
    </w:p>
    <w:p>
      <w:pPr>
        <w:pStyle w:val="Heading4"/>
      </w:pPr>
      <w:bookmarkStart w:id="665" w:name="_Toc90995630"/>
      <w:bookmarkStart w:id="666" w:name="_Toc90998683"/>
      <w:bookmarkStart w:id="667" w:name="_Toc91081343"/>
      <w:bookmarkStart w:id="668" w:name="_Toc89179950"/>
      <w:bookmarkStart w:id="669" w:name="_Toc89181417"/>
      <w:bookmarkStart w:id="670" w:name="_Toc89252634"/>
      <w:r>
        <w:t>Subdivision 7 — Abattoirs</w:t>
      </w:r>
      <w:bookmarkEnd w:id="665"/>
      <w:bookmarkEnd w:id="666"/>
      <w:bookmarkEnd w:id="667"/>
      <w:bookmarkEnd w:id="668"/>
      <w:bookmarkEnd w:id="669"/>
      <w:bookmarkEnd w:id="670"/>
    </w:p>
    <w:p>
      <w:pPr>
        <w:pStyle w:val="Heading5"/>
      </w:pPr>
      <w:bookmarkStart w:id="671" w:name="_Toc91081344"/>
      <w:bookmarkStart w:id="672" w:name="_Toc89252635"/>
      <w:r>
        <w:rPr>
          <w:rStyle w:val="CharSectno"/>
        </w:rPr>
        <w:t>109</w:t>
      </w:r>
      <w:r>
        <w:t>.</w:t>
      </w:r>
      <w:r>
        <w:tab/>
        <w:t>Responsibilities of abattoir operator if no NLIS device is applied to animal</w:t>
      </w:r>
      <w:bookmarkEnd w:id="671"/>
      <w:bookmarkEnd w:id="672"/>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tab/>
        <w:t>(2)</w:t>
      </w:r>
      <w:r>
        <w:tab/>
        <w:t>This regulation does not apply to a consignment of one or more animals to which an NLIS device is not applied that is moved to an abattoir under an exemption in regulation 83(1).</w:t>
      </w:r>
    </w:p>
    <w:p>
      <w:pPr>
        <w:pStyle w:val="Subsection"/>
        <w:keepNext/>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tab/>
        <w:t>(iii)</w:t>
      </w:r>
      <w:r>
        <w:tab/>
      </w:r>
      <w:r>
        <w:rPr>
          <w:snapToGrid w:val="0"/>
        </w:rPr>
        <w:t>the date the animal arrived at the abattoir.</w:t>
      </w:r>
    </w:p>
    <w:p>
      <w:pPr>
        <w:pStyle w:val="Penstart"/>
        <w:keepNext/>
      </w:pPr>
      <w:r>
        <w:tab/>
        <w:t>Penalty</w:t>
      </w:r>
      <w:ins w:id="673" w:author="Master Repository Process" w:date="2021-12-31T10:23:00Z">
        <w:r>
          <w:t xml:space="preserve"> for this subregulation</w:t>
        </w:r>
      </w:ins>
      <w:r>
        <w:t>: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w:t>
      </w:r>
      <w:ins w:id="674" w:author="Master Repository Process" w:date="2021-12-31T10:23:00Z">
        <w:r>
          <w:t xml:space="preserve"> for this subregulation</w:t>
        </w:r>
      </w:ins>
      <w:r>
        <w:t>: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keepNext/>
      </w:pPr>
      <w:r>
        <w:tab/>
        <w:t>(b)</w:t>
      </w:r>
      <w:r>
        <w:tab/>
        <w:t>an abattoir inspector approves the slaughter of the consignment at the abattoir without subregulation </w:t>
      </w:r>
      <w:r>
        <w:rPr>
          <w:snapToGrid w:val="0"/>
        </w:rPr>
        <w:t>(3)</w:t>
      </w:r>
      <w:r>
        <w:t xml:space="preserve"> being complied with,</w:t>
      </w:r>
    </w:p>
    <w:p>
      <w:pPr>
        <w:pStyle w:val="Subsection"/>
        <w:keepNext/>
      </w:pPr>
      <w:r>
        <w:tab/>
      </w:r>
      <w:r>
        <w:tab/>
        <w:t xml:space="preserve">the abattoir operator must, within 48 hours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w:t>
      </w:r>
      <w:ins w:id="675" w:author="Master Repository Process" w:date="2021-12-31T10:23:00Z">
        <w:r>
          <w:t xml:space="preserve"> for this subregulation</w:t>
        </w:r>
      </w:ins>
      <w:r>
        <w:t>: a fine of $5 000.</w:t>
      </w:r>
    </w:p>
    <w:p>
      <w:pPr>
        <w:pStyle w:val="Footnotesection"/>
      </w:pPr>
      <w:r>
        <w:tab/>
        <w:t>[Regulation 109 amended: Gazette 27 Jun 2019 p. 2422</w:t>
      </w:r>
      <w:ins w:id="676" w:author="Master Repository Process" w:date="2021-12-31T10:23:00Z">
        <w:r>
          <w:t>; SL 2021/204 r. 14</w:t>
        </w:r>
      </w:ins>
      <w:r>
        <w:t>.]</w:t>
      </w:r>
    </w:p>
    <w:p>
      <w:pPr>
        <w:pStyle w:val="Heading5"/>
      </w:pPr>
      <w:bookmarkStart w:id="677" w:name="_Toc91081345"/>
      <w:bookmarkStart w:id="678" w:name="_Toc89252636"/>
      <w:r>
        <w:rPr>
          <w:rStyle w:val="CharSectno"/>
        </w:rPr>
        <w:t>110</w:t>
      </w:r>
      <w:r>
        <w:t>.</w:t>
      </w:r>
      <w:r>
        <w:tab/>
        <w:t>Directions by inspectors</w:t>
      </w:r>
      <w:bookmarkEnd w:id="677"/>
      <w:bookmarkEnd w:id="678"/>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w:t>
      </w:r>
      <w:ins w:id="679" w:author="Master Repository Process" w:date="2021-12-31T10:23:00Z">
        <w:r>
          <w:t xml:space="preserve"> for this subregulation</w:t>
        </w:r>
      </w:ins>
      <w:r>
        <w:t>: a fine of $5 000.</w:t>
      </w:r>
    </w:p>
    <w:p>
      <w:pPr>
        <w:pStyle w:val="Footnotesection"/>
        <w:rPr>
          <w:ins w:id="680" w:author="Master Repository Process" w:date="2021-12-31T10:23:00Z"/>
        </w:rPr>
      </w:pPr>
      <w:ins w:id="681" w:author="Master Repository Process" w:date="2021-12-31T10:23:00Z">
        <w:r>
          <w:tab/>
          <w:t>[Regulation 110 amended: SL 2021/204 r. 14.]</w:t>
        </w:r>
      </w:ins>
    </w:p>
    <w:p>
      <w:pPr>
        <w:pStyle w:val="Heading5"/>
      </w:pPr>
      <w:bookmarkStart w:id="682" w:name="_Toc91081346"/>
      <w:bookmarkStart w:id="683" w:name="_Toc89252637"/>
      <w:r>
        <w:rPr>
          <w:rStyle w:val="CharSectno"/>
        </w:rPr>
        <w:t>111</w:t>
      </w:r>
      <w:r>
        <w:t>.</w:t>
      </w:r>
      <w:r>
        <w:tab/>
        <w:t>Responsibilities of abattoir operator if animal born at or while being moved to abattoir</w:t>
      </w:r>
      <w:bookmarkEnd w:id="682"/>
      <w:bookmarkEnd w:id="683"/>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684" w:name="_Toc91081347"/>
      <w:bookmarkStart w:id="685" w:name="_Toc89252638"/>
      <w:r>
        <w:rPr>
          <w:rStyle w:val="CharSectno"/>
        </w:rPr>
        <w:t>112</w:t>
      </w:r>
      <w:r>
        <w:t>.</w:t>
      </w:r>
      <w:r>
        <w:tab/>
      </w:r>
      <w:r>
        <w:rPr>
          <w:snapToGrid w:val="0"/>
        </w:rPr>
        <w:t>Responsibilities of abattoir operator if NLIS device applied to animal</w:t>
      </w:r>
      <w:bookmarkEnd w:id="684"/>
      <w:bookmarkEnd w:id="685"/>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w:t>
      </w:r>
      <w:ins w:id="686" w:author="Master Repository Process" w:date="2021-12-31T10:23:00Z">
        <w:r>
          <w:t xml:space="preserve"> for this subregulation</w:t>
        </w:r>
      </w:ins>
      <w:r>
        <w:t>: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w:t>
      </w:r>
      <w:r>
        <w:t>48 hours</w:t>
      </w:r>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w:t>
      </w:r>
      <w:ins w:id="687" w:author="Master Repository Process" w:date="2021-12-31T10:23:00Z">
        <w:r>
          <w:t xml:space="preserve"> for this subregulation</w:t>
        </w:r>
      </w:ins>
      <w:r>
        <w:t>: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keepNext/>
      </w:pPr>
      <w:r>
        <w:tab/>
        <w:t>(b)</w:t>
      </w:r>
      <w:r>
        <w:tab/>
        <w:t>the abattoir operator has obtained from the person to whom the animal is sold or otherwise supplied the relevant PIC of the property to which the animal is to be moved.</w:t>
      </w:r>
    </w:p>
    <w:p>
      <w:pPr>
        <w:pStyle w:val="Penstart"/>
      </w:pPr>
      <w:r>
        <w:tab/>
        <w:t>Penalty</w:t>
      </w:r>
      <w:ins w:id="688" w:author="Master Repository Process" w:date="2021-12-31T10:23:00Z">
        <w:r>
          <w:t xml:space="preserve"> for this subregulation</w:t>
        </w:r>
      </w:ins>
      <w:r>
        <w:t>: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keepNext/>
      </w:pPr>
      <w:r>
        <w:tab/>
        <w:t>(d)</w:t>
      </w:r>
      <w:r>
        <w:tab/>
      </w:r>
      <w:r>
        <w:rPr>
          <w:snapToGrid w:val="0"/>
        </w:rPr>
        <w:t>the date the animal was moved from the abattoir.</w:t>
      </w:r>
    </w:p>
    <w:p>
      <w:pPr>
        <w:pStyle w:val="Penstart"/>
        <w:keepNext/>
      </w:pPr>
      <w:r>
        <w:tab/>
        <w:t>Penalty</w:t>
      </w:r>
      <w:ins w:id="689" w:author="Master Repository Process" w:date="2021-12-31T10:23:00Z">
        <w:r>
          <w:t xml:space="preserve"> for this subregulation</w:t>
        </w:r>
      </w:ins>
      <w:r>
        <w:t>: a fine of $5 000.</w:t>
      </w:r>
    </w:p>
    <w:p>
      <w:pPr>
        <w:pStyle w:val="Footnotesection"/>
      </w:pPr>
      <w:r>
        <w:tab/>
        <w:t>[Regulation 112 amended: Gazette 27 Jun 2019 p. 2422</w:t>
      </w:r>
      <w:ins w:id="690" w:author="Master Repository Process" w:date="2021-12-31T10:23:00Z">
        <w:r>
          <w:t>; SL 2021/204 r. 14</w:t>
        </w:r>
      </w:ins>
      <w:r>
        <w:t>.]</w:t>
      </w:r>
    </w:p>
    <w:p>
      <w:pPr>
        <w:pStyle w:val="Heading5"/>
      </w:pPr>
      <w:bookmarkStart w:id="691" w:name="_Toc91081348"/>
      <w:bookmarkStart w:id="692" w:name="_Toc89252639"/>
      <w:r>
        <w:rPr>
          <w:rStyle w:val="CharSectno"/>
        </w:rPr>
        <w:t>113</w:t>
      </w:r>
      <w:r>
        <w:t>.</w:t>
      </w:r>
      <w:r>
        <w:tab/>
        <w:t>Responsibilities of abattoir operator if animal exempt from NLIS identification</w:t>
      </w:r>
      <w:bookmarkEnd w:id="691"/>
      <w:bookmarkEnd w:id="692"/>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48 hours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w:t>
      </w:r>
      <w:ins w:id="693" w:author="Master Repository Process" w:date="2021-12-31T10:23:00Z">
        <w:r>
          <w:t xml:space="preserve"> for this subregulation</w:t>
        </w:r>
      </w:ins>
      <w:r>
        <w:t>: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keepNext/>
        <w:rPr>
          <w:snapToGrid w:val="0"/>
        </w:rPr>
      </w:pPr>
      <w:r>
        <w:tab/>
        <w:t>(iii)</w:t>
      </w:r>
      <w:r>
        <w:tab/>
      </w:r>
      <w:r>
        <w:rPr>
          <w:snapToGrid w:val="0"/>
        </w:rPr>
        <w:t>the date the animal was moved from the abattoir.</w:t>
      </w:r>
    </w:p>
    <w:p>
      <w:pPr>
        <w:pStyle w:val="Penstart"/>
      </w:pPr>
      <w:r>
        <w:tab/>
        <w:t>Penalty</w:t>
      </w:r>
      <w:ins w:id="694" w:author="Master Repository Process" w:date="2021-12-31T10:23:00Z">
        <w:r>
          <w:t xml:space="preserve"> for this subregulation</w:t>
        </w:r>
      </w:ins>
      <w:r>
        <w:t>: a fine of $5 000.</w:t>
      </w:r>
    </w:p>
    <w:p>
      <w:pPr>
        <w:pStyle w:val="Footnotesection"/>
      </w:pPr>
      <w:r>
        <w:tab/>
        <w:t>[Regulation 113 amended: Gazette 27 Jun 2019 p. 2422</w:t>
      </w:r>
      <w:ins w:id="695" w:author="Master Repository Process" w:date="2021-12-31T10:23:00Z">
        <w:r>
          <w:t>; SL 2021/204 r. 14</w:t>
        </w:r>
      </w:ins>
      <w:r>
        <w:t>.]</w:t>
      </w:r>
    </w:p>
    <w:p>
      <w:pPr>
        <w:pStyle w:val="Heading5"/>
        <w:rPr>
          <w:snapToGrid w:val="0"/>
        </w:rPr>
      </w:pPr>
      <w:bookmarkStart w:id="696" w:name="_Toc91081349"/>
      <w:bookmarkStart w:id="697" w:name="_Toc89252640"/>
      <w:r>
        <w:rPr>
          <w:rStyle w:val="CharSectno"/>
        </w:rPr>
        <w:t>114</w:t>
      </w:r>
      <w:r>
        <w:t>.</w:t>
      </w:r>
      <w:r>
        <w:tab/>
      </w:r>
      <w:r>
        <w:rPr>
          <w:snapToGrid w:val="0"/>
        </w:rPr>
        <w:t>Slaughtered animals moved to pet food processing plants</w:t>
      </w:r>
      <w:bookmarkEnd w:id="696"/>
      <w:bookmarkEnd w:id="697"/>
    </w:p>
    <w:p>
      <w:pPr>
        <w:pStyle w:val="Subsection"/>
      </w:pPr>
      <w:r>
        <w:tab/>
        <w:t>(1)</w:t>
      </w:r>
      <w:r>
        <w:tab/>
        <w:t>If a slaughtered animal to which an NLIS device is applied is moved to a pet food processing plant, the operator of the pet food processing plant must, within 48 hours after the animal arrives there, update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w:t>
      </w:r>
      <w:ins w:id="698" w:author="Master Repository Process" w:date="2021-12-31T10:23:00Z">
        <w:r>
          <w:t xml:space="preserve"> for this subregulation</w:t>
        </w:r>
      </w:ins>
      <w:r>
        <w:t>: a fine of $5 000.</w:t>
      </w:r>
    </w:p>
    <w:p>
      <w:pPr>
        <w:pStyle w:val="Subsection"/>
      </w:pPr>
      <w:r>
        <w:tab/>
        <w:t>(2)</w:t>
      </w:r>
      <w:r>
        <w:tab/>
        <w:t>If a consignment of one or more slaughtered animals to which an NLIS device is not applied is moved to a pet food processing plant, the operator of the pet food processing plant must, within 48 hours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keepNext/>
        <w:rPr>
          <w:snapToGrid w:val="0"/>
        </w:rPr>
      </w:pPr>
      <w:r>
        <w:tab/>
        <w:t>(f)</w:t>
      </w:r>
      <w:r>
        <w:tab/>
      </w:r>
      <w:r>
        <w:rPr>
          <w:snapToGrid w:val="0"/>
        </w:rPr>
        <w:t xml:space="preserve">the date the consignment arrived at the </w:t>
      </w:r>
      <w:r>
        <w:t>pet food processing plant</w:t>
      </w:r>
      <w:r>
        <w:rPr>
          <w:snapToGrid w:val="0"/>
        </w:rPr>
        <w:t>.</w:t>
      </w:r>
    </w:p>
    <w:p>
      <w:pPr>
        <w:pStyle w:val="Penstart"/>
      </w:pPr>
      <w:r>
        <w:tab/>
        <w:t>Penalty</w:t>
      </w:r>
      <w:ins w:id="699" w:author="Master Repository Process" w:date="2021-12-31T10:23:00Z">
        <w:r>
          <w:t xml:space="preserve"> for this subregulation</w:t>
        </w:r>
      </w:ins>
      <w:r>
        <w:t>: a fine of $5 000.</w:t>
      </w:r>
    </w:p>
    <w:p>
      <w:pPr>
        <w:pStyle w:val="Footnotesection"/>
      </w:pPr>
      <w:r>
        <w:tab/>
        <w:t>[Regulation 114 amended: Gazette 27 Jun 2019 p. 2423</w:t>
      </w:r>
      <w:ins w:id="700" w:author="Master Repository Process" w:date="2021-12-31T10:23:00Z">
        <w:r>
          <w:t>; SL 2021/204 r. 14</w:t>
        </w:r>
      </w:ins>
      <w:r>
        <w:t>.]</w:t>
      </w:r>
    </w:p>
    <w:p>
      <w:pPr>
        <w:pStyle w:val="Heading4"/>
      </w:pPr>
      <w:bookmarkStart w:id="701" w:name="_Toc90995637"/>
      <w:bookmarkStart w:id="702" w:name="_Toc90998690"/>
      <w:bookmarkStart w:id="703" w:name="_Toc91081350"/>
      <w:bookmarkStart w:id="704" w:name="_Toc89179957"/>
      <w:bookmarkStart w:id="705" w:name="_Toc89181424"/>
      <w:bookmarkStart w:id="706" w:name="_Toc89252641"/>
      <w:r>
        <w:t>Subdivision 8 — Export depots</w:t>
      </w:r>
      <w:bookmarkEnd w:id="701"/>
      <w:bookmarkEnd w:id="702"/>
      <w:bookmarkEnd w:id="703"/>
      <w:bookmarkEnd w:id="704"/>
      <w:bookmarkEnd w:id="705"/>
      <w:bookmarkEnd w:id="706"/>
    </w:p>
    <w:p>
      <w:pPr>
        <w:pStyle w:val="Heading5"/>
      </w:pPr>
      <w:bookmarkStart w:id="707" w:name="_Toc91081351"/>
      <w:bookmarkStart w:id="708" w:name="_Toc89252642"/>
      <w:r>
        <w:rPr>
          <w:rStyle w:val="CharSectno"/>
        </w:rPr>
        <w:t>115</w:t>
      </w:r>
      <w:r>
        <w:t>.</w:t>
      </w:r>
      <w:r>
        <w:tab/>
        <w:t>Responsibilities of export depot operator if no NLIS device applied to animal</w:t>
      </w:r>
      <w:bookmarkEnd w:id="707"/>
      <w:bookmarkEnd w:id="708"/>
    </w:p>
    <w:p>
      <w:pPr>
        <w:pStyle w:val="Subsection"/>
        <w:keepNext/>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w:t>
      </w:r>
      <w:ins w:id="709" w:author="Master Repository Process" w:date="2021-12-31T10:23:00Z">
        <w:r>
          <w:t xml:space="preserve"> for this subregulation</w:t>
        </w:r>
      </w:ins>
      <w:r>
        <w:t>: a fine of $5 000.</w:t>
      </w:r>
    </w:p>
    <w:p>
      <w:pPr>
        <w:pStyle w:val="Subsection"/>
        <w:spacing w:before="120"/>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w:t>
      </w:r>
      <w:ins w:id="710" w:author="Master Repository Process" w:date="2021-12-31T10:23:00Z">
        <w:r>
          <w:t xml:space="preserve"> for this subregulation</w:t>
        </w:r>
      </w:ins>
      <w:r>
        <w:t>: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pPr>
      <w:r>
        <w:tab/>
        <w:t>[Regulation 115 amended: Gazette 27 Jun 2019 p. 2423</w:t>
      </w:r>
      <w:ins w:id="711" w:author="Master Repository Process" w:date="2021-12-31T10:23:00Z">
        <w:r>
          <w:t>; SL 2021/204 r. 14</w:t>
        </w:r>
      </w:ins>
      <w:r>
        <w:t>.]</w:t>
      </w:r>
    </w:p>
    <w:p>
      <w:pPr>
        <w:pStyle w:val="Heading5"/>
      </w:pPr>
      <w:bookmarkStart w:id="712" w:name="_Toc91081352"/>
      <w:bookmarkStart w:id="713" w:name="_Toc89252643"/>
      <w:r>
        <w:rPr>
          <w:rStyle w:val="CharSectno"/>
        </w:rPr>
        <w:t>116</w:t>
      </w:r>
      <w:r>
        <w:t>.</w:t>
      </w:r>
      <w:r>
        <w:tab/>
        <w:t>Directions by inspectors</w:t>
      </w:r>
      <w:bookmarkEnd w:id="712"/>
      <w:bookmarkEnd w:id="713"/>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w:t>
      </w:r>
      <w:ins w:id="714" w:author="Master Repository Process" w:date="2021-12-31T10:23:00Z">
        <w:r>
          <w:t xml:space="preserve"> for this subregulation</w:t>
        </w:r>
      </w:ins>
      <w:r>
        <w:t>: a fine of $5 000.</w:t>
      </w:r>
    </w:p>
    <w:p>
      <w:pPr>
        <w:pStyle w:val="Footnotesection"/>
        <w:rPr>
          <w:ins w:id="715" w:author="Master Repository Process" w:date="2021-12-31T10:23:00Z"/>
        </w:rPr>
      </w:pPr>
      <w:ins w:id="716" w:author="Master Repository Process" w:date="2021-12-31T10:23:00Z">
        <w:r>
          <w:tab/>
          <w:t>[Regulation 116 amended: SL 2021/204 r. 14.]</w:t>
        </w:r>
      </w:ins>
    </w:p>
    <w:p>
      <w:pPr>
        <w:pStyle w:val="Heading5"/>
      </w:pPr>
      <w:bookmarkStart w:id="717" w:name="_Toc91081353"/>
      <w:bookmarkStart w:id="718" w:name="_Toc89252644"/>
      <w:r>
        <w:rPr>
          <w:rStyle w:val="CharSectno"/>
        </w:rPr>
        <w:t>117</w:t>
      </w:r>
      <w:r>
        <w:t>.</w:t>
      </w:r>
      <w:r>
        <w:tab/>
        <w:t>Responsibilities of export depot operator if animal born at or while being moved to export depot</w:t>
      </w:r>
      <w:bookmarkEnd w:id="717"/>
      <w:bookmarkEnd w:id="718"/>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719" w:name="_Toc91081354"/>
      <w:bookmarkStart w:id="720" w:name="_Toc89252645"/>
      <w:r>
        <w:rPr>
          <w:rStyle w:val="CharSectno"/>
        </w:rPr>
        <w:t>118</w:t>
      </w:r>
      <w:r>
        <w:t>.</w:t>
      </w:r>
      <w:r>
        <w:tab/>
        <w:t>Other responsibilities of export depot operators</w:t>
      </w:r>
      <w:bookmarkEnd w:id="719"/>
      <w:bookmarkEnd w:id="720"/>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w:t>
      </w:r>
      <w:ins w:id="721" w:author="Master Repository Process" w:date="2021-12-31T10:23:00Z">
        <w:r>
          <w:t xml:space="preserve"> for this subregulation</w:t>
        </w:r>
      </w:ins>
      <w:r>
        <w:t>: a fine of $5 000.</w:t>
      </w:r>
    </w:p>
    <w:p>
      <w:pPr>
        <w:pStyle w:val="Subsection"/>
        <w:keepNext/>
        <w:rPr>
          <w:snapToGrid w:val="0"/>
        </w:rPr>
      </w:pPr>
      <w:r>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moved from the export depot within that period — before it is moved.</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w:t>
      </w:r>
      <w:ins w:id="722" w:author="Master Repository Process" w:date="2021-12-31T10:23:00Z">
        <w:r>
          <w:t xml:space="preserve"> for this subregulation</w:t>
        </w:r>
      </w:ins>
      <w:r>
        <w:t>: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w:t>
      </w:r>
    </w:p>
    <w:p>
      <w:pPr>
        <w:pStyle w:val="Penstart"/>
      </w:pPr>
      <w:r>
        <w:tab/>
        <w:t>Penalty</w:t>
      </w:r>
      <w:ins w:id="723" w:author="Master Repository Process" w:date="2021-12-31T10:23:00Z">
        <w:r>
          <w:t xml:space="preserve"> for this subregulation</w:t>
        </w:r>
      </w:ins>
      <w:r>
        <w:t>: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w:t>
      </w:r>
      <w:ins w:id="724" w:author="Master Repository Process" w:date="2021-12-31T10:23:00Z">
        <w:r>
          <w:t xml:space="preserve"> for this subregulation</w:t>
        </w:r>
      </w:ins>
      <w:r>
        <w:t>: a fine of $5 000.</w:t>
      </w:r>
    </w:p>
    <w:p>
      <w:pPr>
        <w:pStyle w:val="Subsection"/>
      </w:pPr>
      <w:r>
        <w:tab/>
        <w:t>(6)</w:t>
      </w:r>
      <w:r>
        <w:tab/>
        <w:t>An export depot operator must not, without the approval of an inspector, move or permit to be moved from the export depot an animal to which an NLIS device is applied unless the device is functioning.</w:t>
      </w:r>
    </w:p>
    <w:p>
      <w:pPr>
        <w:pStyle w:val="Penstart"/>
      </w:pPr>
      <w:r>
        <w:tab/>
        <w:t>Penalty</w:t>
      </w:r>
      <w:ins w:id="725" w:author="Master Repository Process" w:date="2021-12-31T10:23:00Z">
        <w:r>
          <w:t xml:space="preserve"> for this subregulation</w:t>
        </w:r>
      </w:ins>
      <w:r>
        <w:t>: a fine of $5 000.</w:t>
      </w:r>
    </w:p>
    <w:p>
      <w:pPr>
        <w:pStyle w:val="Footnotesection"/>
      </w:pPr>
      <w:r>
        <w:tab/>
        <w:t>[Regulation 118 amended: Gazette 27 Jun 2019 p. 2423</w:t>
      </w:r>
      <w:ins w:id="726" w:author="Master Repository Process" w:date="2021-12-31T10:23:00Z">
        <w:r>
          <w:t>; SL 2021/204 r. 14</w:t>
        </w:r>
      </w:ins>
      <w:r>
        <w:t>.]</w:t>
      </w:r>
    </w:p>
    <w:p>
      <w:pPr>
        <w:pStyle w:val="Heading2"/>
      </w:pPr>
      <w:bookmarkStart w:id="727" w:name="_Toc90995642"/>
      <w:bookmarkStart w:id="728" w:name="_Toc90998695"/>
      <w:bookmarkStart w:id="729" w:name="_Toc91081355"/>
      <w:bookmarkStart w:id="730" w:name="_Toc89179962"/>
      <w:bookmarkStart w:id="731" w:name="_Toc89181429"/>
      <w:bookmarkStart w:id="732" w:name="_Toc89252646"/>
      <w:r>
        <w:rPr>
          <w:rStyle w:val="CharPartNo"/>
        </w:rPr>
        <w:t>Part 6</w:t>
      </w:r>
      <w:r>
        <w:t> — </w:t>
      </w:r>
      <w:r>
        <w:rPr>
          <w:rStyle w:val="CharPartText"/>
        </w:rPr>
        <w:t>Identifying sheep, goats and pigs</w:t>
      </w:r>
      <w:bookmarkEnd w:id="727"/>
      <w:bookmarkEnd w:id="728"/>
      <w:bookmarkEnd w:id="729"/>
      <w:bookmarkEnd w:id="730"/>
      <w:bookmarkEnd w:id="731"/>
      <w:bookmarkEnd w:id="732"/>
    </w:p>
    <w:p>
      <w:pPr>
        <w:pStyle w:val="Footnoteheading"/>
      </w:pPr>
      <w:r>
        <w:tab/>
        <w:t>[Heading amended: Gazette 27 Jun 2019 p. 2424.]</w:t>
      </w:r>
    </w:p>
    <w:p>
      <w:pPr>
        <w:pStyle w:val="Heading3"/>
      </w:pPr>
      <w:bookmarkStart w:id="733" w:name="_Toc90995643"/>
      <w:bookmarkStart w:id="734" w:name="_Toc90998696"/>
      <w:bookmarkStart w:id="735" w:name="_Toc91081356"/>
      <w:bookmarkStart w:id="736" w:name="_Toc89179963"/>
      <w:bookmarkStart w:id="737" w:name="_Toc89181430"/>
      <w:bookmarkStart w:id="738" w:name="_Toc89252647"/>
      <w:r>
        <w:rPr>
          <w:rStyle w:val="CharDivNo"/>
        </w:rPr>
        <w:t>Division 1</w:t>
      </w:r>
      <w:r>
        <w:t> — </w:t>
      </w:r>
      <w:r>
        <w:rPr>
          <w:rStyle w:val="CharDivText"/>
        </w:rPr>
        <w:t>Term used: animal</w:t>
      </w:r>
      <w:bookmarkEnd w:id="733"/>
      <w:bookmarkEnd w:id="734"/>
      <w:bookmarkEnd w:id="735"/>
      <w:bookmarkEnd w:id="736"/>
      <w:bookmarkEnd w:id="737"/>
      <w:bookmarkEnd w:id="738"/>
    </w:p>
    <w:p>
      <w:pPr>
        <w:pStyle w:val="Heading5"/>
      </w:pPr>
      <w:bookmarkStart w:id="739" w:name="_Toc91081357"/>
      <w:bookmarkStart w:id="740" w:name="_Toc89252648"/>
      <w:r>
        <w:rPr>
          <w:rStyle w:val="CharSectno"/>
        </w:rPr>
        <w:t>119</w:t>
      </w:r>
      <w:r>
        <w:t>.</w:t>
      </w:r>
      <w:r>
        <w:tab/>
        <w:t>Term used: animal</w:t>
      </w:r>
      <w:bookmarkEnd w:id="739"/>
      <w:bookmarkEnd w:id="740"/>
    </w:p>
    <w:p>
      <w:pPr>
        <w:pStyle w:val="Subsection"/>
      </w:pPr>
      <w:r>
        <w:tab/>
      </w:r>
      <w:r>
        <w:tab/>
        <w:t xml:space="preserve">In this Part, unless the contrary intention appears — </w:t>
      </w:r>
    </w:p>
    <w:p>
      <w:pPr>
        <w:pStyle w:val="Defstart"/>
      </w:pPr>
      <w:r>
        <w:tab/>
      </w:r>
      <w:r>
        <w:rPr>
          <w:rStyle w:val="CharDefText"/>
        </w:rPr>
        <w:t>animal</w:t>
      </w:r>
      <w:r>
        <w:t xml:space="preserve"> means a sheep, goat or pig.</w:t>
      </w:r>
    </w:p>
    <w:p>
      <w:pPr>
        <w:pStyle w:val="Footnotesection"/>
      </w:pPr>
      <w:r>
        <w:tab/>
        <w:t>[Regulation 119 amended: Gazette 27 Jun 2019 p. 2424.]</w:t>
      </w:r>
    </w:p>
    <w:p>
      <w:pPr>
        <w:pStyle w:val="Heading3"/>
      </w:pPr>
      <w:bookmarkStart w:id="741" w:name="_Toc90995645"/>
      <w:bookmarkStart w:id="742" w:name="_Toc90998698"/>
      <w:bookmarkStart w:id="743" w:name="_Toc91081358"/>
      <w:bookmarkStart w:id="744" w:name="_Toc89179965"/>
      <w:bookmarkStart w:id="745" w:name="_Toc89181432"/>
      <w:bookmarkStart w:id="746" w:name="_Toc89252649"/>
      <w:r>
        <w:rPr>
          <w:rStyle w:val="CharDivNo"/>
        </w:rPr>
        <w:t>Division 2</w:t>
      </w:r>
      <w:r>
        <w:t> — </w:t>
      </w:r>
      <w:r>
        <w:rPr>
          <w:rStyle w:val="CharDivText"/>
        </w:rPr>
        <w:t>Owners of sheep, goats or pigs</w:t>
      </w:r>
      <w:bookmarkEnd w:id="741"/>
      <w:bookmarkEnd w:id="742"/>
      <w:bookmarkEnd w:id="743"/>
      <w:bookmarkEnd w:id="744"/>
      <w:bookmarkEnd w:id="745"/>
      <w:bookmarkEnd w:id="746"/>
    </w:p>
    <w:p>
      <w:pPr>
        <w:pStyle w:val="Footnoteheading"/>
      </w:pPr>
      <w:r>
        <w:tab/>
        <w:t>[Heading amended: Gazette 27 Jun 2019 p. 2424.]</w:t>
      </w:r>
    </w:p>
    <w:p>
      <w:pPr>
        <w:pStyle w:val="Heading4"/>
      </w:pPr>
      <w:bookmarkStart w:id="747" w:name="_Toc90995646"/>
      <w:bookmarkStart w:id="748" w:name="_Toc90998699"/>
      <w:bookmarkStart w:id="749" w:name="_Toc91081359"/>
      <w:bookmarkStart w:id="750" w:name="_Toc89179966"/>
      <w:bookmarkStart w:id="751" w:name="_Toc89181433"/>
      <w:bookmarkStart w:id="752" w:name="_Toc89252650"/>
      <w:r>
        <w:t>Subdivision 1 — Identifiers for sheep</w:t>
      </w:r>
      <w:bookmarkEnd w:id="747"/>
      <w:bookmarkEnd w:id="748"/>
      <w:bookmarkEnd w:id="749"/>
      <w:bookmarkEnd w:id="750"/>
      <w:bookmarkEnd w:id="751"/>
      <w:bookmarkEnd w:id="752"/>
    </w:p>
    <w:p>
      <w:pPr>
        <w:pStyle w:val="Footnoteheading"/>
      </w:pPr>
      <w:r>
        <w:tab/>
        <w:t>[Heading inserted: Gazette 27 Jun 2019 p. 2424.]</w:t>
      </w:r>
    </w:p>
    <w:p>
      <w:pPr>
        <w:pStyle w:val="Heading5"/>
      </w:pPr>
      <w:bookmarkStart w:id="753" w:name="_Toc91081360"/>
      <w:bookmarkStart w:id="754" w:name="_Toc89252651"/>
      <w:r>
        <w:rPr>
          <w:rStyle w:val="CharSectno"/>
        </w:rPr>
        <w:t>120</w:t>
      </w:r>
      <w:r>
        <w:t>.</w:t>
      </w:r>
      <w:r>
        <w:tab/>
        <w:t xml:space="preserve">Owners </w:t>
      </w:r>
      <w:del w:id="755" w:author="Master Repository Process" w:date="2021-12-31T10:23:00Z">
        <w:r>
          <w:delText>to</w:delText>
        </w:r>
      </w:del>
      <w:ins w:id="756" w:author="Master Repository Process" w:date="2021-12-31T10:23:00Z">
        <w:r>
          <w:t>must</w:t>
        </w:r>
      </w:ins>
      <w:r>
        <w:t xml:space="preserve"> identify sheep</w:t>
      </w:r>
      <w:bookmarkEnd w:id="753"/>
      <w:bookmarkEnd w:id="754"/>
    </w:p>
    <w:p>
      <w:pPr>
        <w:pStyle w:val="Subsection"/>
      </w:pPr>
      <w:r>
        <w:tab/>
        <w:t>(1)</w:t>
      </w:r>
      <w:r>
        <w:tab/>
        <w:t>An owner of a sheep</w:t>
      </w:r>
      <w:del w:id="757" w:author="Master Repository Process" w:date="2021-12-31T10:23:00Z">
        <w:r>
          <w:rPr>
            <w:snapToGrid w:val="0"/>
          </w:rPr>
          <w:delText>, other than an imported sheep or a sheep from a pound,</w:delText>
        </w:r>
      </w:del>
      <w:r>
        <w:t xml:space="preserve"> that is kept on a property in the south</w:t>
      </w:r>
      <w:r>
        <w:noBreakHyphen/>
        <w:t xml:space="preserve">west of the State must identify the sheep, or cause it to be identified, </w:t>
      </w:r>
      <w:del w:id="758" w:author="Master Repository Process" w:date="2021-12-31T10:23:00Z">
        <w:r>
          <w:rPr>
            <w:snapToGrid w:val="0"/>
          </w:rPr>
          <w:delText xml:space="preserve">in accordance </w:delText>
        </w:r>
      </w:del>
      <w:r>
        <w:t xml:space="preserve">with </w:t>
      </w:r>
      <w:del w:id="759" w:author="Master Repository Process" w:date="2021-12-31T10:23:00Z">
        <w:r>
          <w:rPr>
            <w:snapToGrid w:val="0"/>
          </w:rPr>
          <w:delText>this regulation</w:delText>
        </w:r>
      </w:del>
      <w:ins w:id="760" w:author="Master Repository Process" w:date="2021-12-31T10:23:00Z">
        <w:r>
          <w:t>an NLIS device or an NLIS tag</w:t>
        </w:r>
      </w:ins>
      <w:r>
        <w:t> —</w:t>
      </w:r>
    </w:p>
    <w:p>
      <w:pPr>
        <w:pStyle w:val="Indenta"/>
      </w:pPr>
      <w:r>
        <w:tab/>
        <w:t>(a)</w:t>
      </w:r>
      <w:r>
        <w:tab/>
        <w:t xml:space="preserve">if </w:t>
      </w:r>
      <w:del w:id="761" w:author="Master Repository Process" w:date="2021-12-31T10:23:00Z">
        <w:r>
          <w:delText>it</w:delText>
        </w:r>
      </w:del>
      <w:ins w:id="762" w:author="Master Repository Process" w:date="2021-12-31T10:23:00Z">
        <w:r>
          <w:t>the sheep</w:t>
        </w:r>
      </w:ins>
      <w:r>
        <w:t xml:space="preserve"> is weaned before it reaches 6 months of age and before it is identified in accordance with this regulation — when it is weaned; or</w:t>
      </w:r>
    </w:p>
    <w:p>
      <w:pPr>
        <w:pStyle w:val="Indenta"/>
      </w:pPr>
      <w:r>
        <w:tab/>
        <w:t>(b)</w:t>
      </w:r>
      <w:r>
        <w:tab/>
        <w:t xml:space="preserve">if </w:t>
      </w:r>
      <w:del w:id="763" w:author="Master Repository Process" w:date="2021-12-31T10:23:00Z">
        <w:r>
          <w:delText>it</w:delText>
        </w:r>
      </w:del>
      <w:ins w:id="764" w:author="Master Repository Process" w:date="2021-12-31T10:23:00Z">
        <w:r>
          <w:t>the sheep</w:t>
        </w:r>
      </w:ins>
      <w:r>
        <w:t xml:space="preserve"> is moved from the property on which it is kept before it reaches 6 months of age and before it is identified in accordance with this regulation — before it is moved; or</w:t>
      </w:r>
    </w:p>
    <w:p>
      <w:pPr>
        <w:pStyle w:val="Indenta"/>
      </w:pPr>
      <w:r>
        <w:tab/>
        <w:t>(c)</w:t>
      </w:r>
      <w:r>
        <w:tab/>
        <w:t>otherwise — before it reaches 6 months of age.</w:t>
      </w:r>
    </w:p>
    <w:p>
      <w:pPr>
        <w:pStyle w:val="Penstart"/>
      </w:pPr>
      <w:r>
        <w:tab/>
        <w:t>Penalty</w:t>
      </w:r>
      <w:ins w:id="765" w:author="Master Repository Process" w:date="2021-12-31T10:23:00Z">
        <w:r>
          <w:t xml:space="preserve"> for this subregulation</w:t>
        </w:r>
      </w:ins>
      <w:r>
        <w:t>: a fine of $2 000.</w:t>
      </w:r>
    </w:p>
    <w:p>
      <w:pPr>
        <w:pStyle w:val="Subsection"/>
        <w:rPr>
          <w:del w:id="766" w:author="Master Repository Process" w:date="2021-12-31T10:23:00Z"/>
        </w:rPr>
      </w:pPr>
      <w:r>
        <w:tab/>
        <w:t>(2)</w:t>
      </w:r>
      <w:r>
        <w:tab/>
        <w:t>An owner of a sheep other than</w:t>
      </w:r>
      <w:del w:id="767" w:author="Master Repository Process" w:date="2021-12-31T10:23:00Z">
        <w:r>
          <w:delText xml:space="preserve"> — </w:delText>
        </w:r>
      </w:del>
    </w:p>
    <w:p>
      <w:pPr>
        <w:pStyle w:val="Indenta"/>
        <w:rPr>
          <w:del w:id="768" w:author="Master Repository Process" w:date="2021-12-31T10:23:00Z"/>
        </w:rPr>
      </w:pPr>
      <w:del w:id="769" w:author="Master Repository Process" w:date="2021-12-31T10:23:00Z">
        <w:r>
          <w:tab/>
          <w:delText>(a)</w:delText>
        </w:r>
        <w:r>
          <w:tab/>
          <w:delText>an imported sheep; or</w:delText>
        </w:r>
      </w:del>
    </w:p>
    <w:p>
      <w:pPr>
        <w:pStyle w:val="Indenta"/>
        <w:rPr>
          <w:del w:id="770" w:author="Master Repository Process" w:date="2021-12-31T10:23:00Z"/>
        </w:rPr>
      </w:pPr>
      <w:del w:id="771" w:author="Master Repository Process" w:date="2021-12-31T10:23:00Z">
        <w:r>
          <w:tab/>
          <w:delText>(b)</w:delText>
        </w:r>
        <w:r>
          <w:tab/>
          <w:delText>a sheep from a pound; or</w:delText>
        </w:r>
      </w:del>
    </w:p>
    <w:p>
      <w:pPr>
        <w:pStyle w:val="Indenta"/>
        <w:keepNext/>
        <w:rPr>
          <w:del w:id="772" w:author="Master Repository Process" w:date="2021-12-31T10:23:00Z"/>
          <w:snapToGrid w:val="0"/>
        </w:rPr>
      </w:pPr>
      <w:del w:id="773" w:author="Master Repository Process" w:date="2021-12-31T10:23:00Z">
        <w:r>
          <w:tab/>
          <w:delText>(c)</w:delText>
        </w:r>
        <w:r>
          <w:tab/>
        </w:r>
      </w:del>
      <w:ins w:id="774" w:author="Master Repository Process" w:date="2021-12-31T10:23:00Z">
        <w:r>
          <w:t xml:space="preserve"> </w:t>
        </w:r>
      </w:ins>
      <w:r>
        <w:t>a sheep that is kept on a property in the south</w:t>
      </w:r>
      <w:r>
        <w:noBreakHyphen/>
        <w:t>west of the State</w:t>
      </w:r>
      <w:del w:id="775" w:author="Master Repository Process" w:date="2021-12-31T10:23:00Z">
        <w:r>
          <w:rPr>
            <w:snapToGrid w:val="0"/>
          </w:rPr>
          <w:delText>,</w:delText>
        </w:r>
      </w:del>
    </w:p>
    <w:p>
      <w:pPr>
        <w:pStyle w:val="Subsection"/>
        <w:keepNext/>
      </w:pPr>
      <w:del w:id="776" w:author="Master Repository Process" w:date="2021-12-31T10:23:00Z">
        <w:r>
          <w:tab/>
        </w:r>
        <w:r>
          <w:tab/>
        </w:r>
      </w:del>
      <w:ins w:id="777" w:author="Master Repository Process" w:date="2021-12-31T10:23:00Z">
        <w:r>
          <w:t xml:space="preserve"> </w:t>
        </w:r>
      </w:ins>
      <w:r>
        <w:t xml:space="preserve">must identify the sheep, or cause it to be identified, </w:t>
      </w:r>
      <w:del w:id="778" w:author="Master Repository Process" w:date="2021-12-31T10:23:00Z">
        <w:r>
          <w:delText xml:space="preserve">in accordance </w:delText>
        </w:r>
      </w:del>
      <w:r>
        <w:t xml:space="preserve">with </w:t>
      </w:r>
      <w:del w:id="779" w:author="Master Repository Process" w:date="2021-12-31T10:23:00Z">
        <w:r>
          <w:delText>this regulation</w:delText>
        </w:r>
      </w:del>
      <w:ins w:id="780" w:author="Master Repository Process" w:date="2021-12-31T10:23:00Z">
        <w:r>
          <w:t>an NLIS device or an NLIS tag</w:t>
        </w:r>
      </w:ins>
      <w:r>
        <w:t xml:space="preserve"> — </w:t>
      </w:r>
    </w:p>
    <w:p>
      <w:pPr>
        <w:pStyle w:val="Indenta"/>
      </w:pPr>
      <w:r>
        <w:tab/>
        <w:t>(</w:t>
      </w:r>
      <w:del w:id="781" w:author="Master Repository Process" w:date="2021-12-31T10:23:00Z">
        <w:r>
          <w:delText>d</w:delText>
        </w:r>
      </w:del>
      <w:ins w:id="782" w:author="Master Repository Process" w:date="2021-12-31T10:23:00Z">
        <w:r>
          <w:t>a</w:t>
        </w:r>
      </w:ins>
      <w:r>
        <w:t>)</w:t>
      </w:r>
      <w:r>
        <w:tab/>
        <w:t xml:space="preserve">if </w:t>
      </w:r>
      <w:del w:id="783" w:author="Master Repository Process" w:date="2021-12-31T10:23:00Z">
        <w:r>
          <w:delText>it</w:delText>
        </w:r>
      </w:del>
      <w:ins w:id="784" w:author="Master Repository Process" w:date="2021-12-31T10:23:00Z">
        <w:r>
          <w:t>the sheep</w:t>
        </w:r>
      </w:ins>
      <w:r>
        <w:t xml:space="preserve"> is moved from the property on which it is kept before it is first shorn and before it is identified in accordance with this regulation — before it is moved; or</w:t>
      </w:r>
    </w:p>
    <w:p>
      <w:pPr>
        <w:pStyle w:val="Indenta"/>
      </w:pPr>
      <w:r>
        <w:tab/>
        <w:t>(</w:t>
      </w:r>
      <w:del w:id="785" w:author="Master Repository Process" w:date="2021-12-31T10:23:00Z">
        <w:r>
          <w:delText>e</w:delText>
        </w:r>
      </w:del>
      <w:ins w:id="786" w:author="Master Repository Process" w:date="2021-12-31T10:23:00Z">
        <w:r>
          <w:t>b</w:t>
        </w:r>
      </w:ins>
      <w:r>
        <w:t>)</w:t>
      </w:r>
      <w:r>
        <w:tab/>
        <w:t>otherwise — when it is first shorn.</w:t>
      </w:r>
    </w:p>
    <w:p>
      <w:pPr>
        <w:pStyle w:val="Penstart"/>
      </w:pPr>
      <w:r>
        <w:tab/>
        <w:t>Penalty</w:t>
      </w:r>
      <w:ins w:id="787" w:author="Master Repository Process" w:date="2021-12-31T10:23:00Z">
        <w:r>
          <w:t xml:space="preserve"> for this subregulation</w:t>
        </w:r>
      </w:ins>
      <w:r>
        <w:t>: a fine of $2 000.</w:t>
      </w:r>
    </w:p>
    <w:p>
      <w:pPr>
        <w:pStyle w:val="Subsection"/>
        <w:rPr>
          <w:del w:id="788" w:author="Master Repository Process" w:date="2021-12-31T10:23:00Z"/>
          <w:snapToGrid w:val="0"/>
        </w:rPr>
      </w:pPr>
      <w:r>
        <w:tab/>
        <w:t>(3)</w:t>
      </w:r>
      <w:r>
        <w:tab/>
      </w:r>
      <w:del w:id="789" w:author="Master Repository Process" w:date="2021-12-31T10:23:00Z">
        <w:r>
          <w:delText xml:space="preserve">An </w:delText>
        </w:r>
      </w:del>
      <w:ins w:id="790" w:author="Master Repository Process" w:date="2021-12-31T10:23:00Z">
        <w:r>
          <w:t xml:space="preserve">Nothing in these regulations prevents an </w:t>
        </w:r>
      </w:ins>
      <w:r>
        <w:t xml:space="preserve">owner of </w:t>
      </w:r>
      <w:del w:id="791" w:author="Master Repository Process" w:date="2021-12-31T10:23:00Z">
        <w:r>
          <w:delText>an imported</w:delText>
        </w:r>
      </w:del>
      <w:ins w:id="792" w:author="Master Repository Process" w:date="2021-12-31T10:23:00Z">
        <w:r>
          <w:t>a</w:t>
        </w:r>
      </w:ins>
      <w:r>
        <w:t xml:space="preserve"> sheep </w:t>
      </w:r>
      <w:del w:id="793" w:author="Master Repository Process" w:date="2021-12-31T10:23:00Z">
        <w:r>
          <w:delText>must identify the sheep, or cause it to be identified, in accordance with this regulation</w:delText>
        </w:r>
        <w:r>
          <w:rPr>
            <w:snapToGrid w:val="0"/>
          </w:rPr>
          <w:delText> —</w:delText>
        </w:r>
      </w:del>
    </w:p>
    <w:p>
      <w:pPr>
        <w:pStyle w:val="Indenta"/>
        <w:rPr>
          <w:del w:id="794" w:author="Master Repository Process" w:date="2021-12-31T10:23:00Z"/>
        </w:rPr>
      </w:pPr>
      <w:del w:id="795" w:author="Master Repository Process" w:date="2021-12-31T10:23:00Z">
        <w:r>
          <w:tab/>
          <w:delText>(a)</w:delText>
        </w:r>
        <w:r>
          <w:tab/>
          <w:delText xml:space="preserve">if the sheep is moved </w:delText>
        </w:r>
      </w:del>
      <w:r>
        <w:t xml:space="preserve">from </w:t>
      </w:r>
      <w:del w:id="796" w:author="Master Repository Process" w:date="2021-12-31T10:23:00Z">
        <w:r>
          <w:delText>the property on which it is kept within 14 days of it being imported and before it is identified</w:delText>
        </w:r>
      </w:del>
      <w:ins w:id="797" w:author="Master Repository Process" w:date="2021-12-31T10:23:00Z">
        <w:r>
          <w:t>applying to it,</w:t>
        </w:r>
      </w:ins>
      <w:r>
        <w:t xml:space="preserve"> in </w:t>
      </w:r>
      <w:del w:id="798" w:author="Master Repository Process" w:date="2021-12-31T10:23:00Z">
        <w:r>
          <w:delText>accordance with this regulation — before it is moved; or</w:delText>
        </w:r>
      </w:del>
    </w:p>
    <w:p>
      <w:pPr>
        <w:pStyle w:val="Indenta"/>
        <w:rPr>
          <w:del w:id="799" w:author="Master Repository Process" w:date="2021-12-31T10:23:00Z"/>
        </w:rPr>
      </w:pPr>
      <w:del w:id="800" w:author="Master Repository Process" w:date="2021-12-31T10:23:00Z">
        <w:r>
          <w:tab/>
          <w:delText>(b)</w:delText>
        </w:r>
        <w:r>
          <w:tab/>
          <w:delText>otherwise — within 14 days of it being imported.</w:delText>
        </w:r>
      </w:del>
    </w:p>
    <w:p>
      <w:pPr>
        <w:pStyle w:val="Penstart"/>
        <w:rPr>
          <w:del w:id="801" w:author="Master Repository Process" w:date="2021-12-31T10:23:00Z"/>
        </w:rPr>
      </w:pPr>
      <w:del w:id="802" w:author="Master Repository Process" w:date="2021-12-31T10:23:00Z">
        <w:r>
          <w:tab/>
          <w:delText>Penalty: a fine of $2 000.</w:delText>
        </w:r>
      </w:del>
    </w:p>
    <w:p>
      <w:pPr>
        <w:pStyle w:val="Subsection"/>
        <w:rPr>
          <w:del w:id="803" w:author="Master Repository Process" w:date="2021-12-31T10:23:00Z"/>
        </w:rPr>
      </w:pPr>
      <w:del w:id="804" w:author="Master Repository Process" w:date="2021-12-31T10:23:00Z">
        <w:r>
          <w:tab/>
          <w:delText>(4)</w:delText>
        </w:r>
        <w:r>
          <w:tab/>
          <w:delText>An owner of a sheep from a pound must identify the sheep, or cause it</w:delText>
        </w:r>
      </w:del>
      <w:ins w:id="805" w:author="Master Repository Process" w:date="2021-12-31T10:23:00Z">
        <w:r>
          <w:t>addition</w:t>
        </w:r>
      </w:ins>
      <w:r>
        <w:t xml:space="preserve"> to </w:t>
      </w:r>
      <w:del w:id="806" w:author="Master Repository Process" w:date="2021-12-31T10:23:00Z">
        <w:r>
          <w:delText xml:space="preserve">be identified, in accordance with this regulation — </w:delText>
        </w:r>
      </w:del>
    </w:p>
    <w:p>
      <w:pPr>
        <w:pStyle w:val="Indenta"/>
        <w:rPr>
          <w:del w:id="807" w:author="Master Repository Process" w:date="2021-12-31T10:23:00Z"/>
        </w:rPr>
      </w:pPr>
      <w:del w:id="808" w:author="Master Repository Process" w:date="2021-12-31T10:23:00Z">
        <w:r>
          <w:tab/>
          <w:delText>(a)</w:delText>
        </w:r>
        <w:r>
          <w:tab/>
          <w:delText>if the sheep is moved from the property on which it is kept within 14 days of the owner taking possession of it from the pound and before it is identified in accordance with this regulation — before it is moved; or</w:delText>
        </w:r>
      </w:del>
    </w:p>
    <w:p>
      <w:pPr>
        <w:pStyle w:val="Indenta"/>
        <w:rPr>
          <w:del w:id="809" w:author="Master Repository Process" w:date="2021-12-31T10:23:00Z"/>
        </w:rPr>
      </w:pPr>
      <w:del w:id="810" w:author="Master Repository Process" w:date="2021-12-31T10:23:00Z">
        <w:r>
          <w:tab/>
          <w:delText>(b)</w:delText>
        </w:r>
        <w:r>
          <w:tab/>
          <w:delText>otherwise — within 14 days of the owner taking possession of it from the pound.</w:delText>
        </w:r>
      </w:del>
    </w:p>
    <w:p>
      <w:pPr>
        <w:pStyle w:val="Penstart"/>
        <w:rPr>
          <w:del w:id="811" w:author="Master Repository Process" w:date="2021-12-31T10:23:00Z"/>
        </w:rPr>
      </w:pPr>
      <w:del w:id="812" w:author="Master Repository Process" w:date="2021-12-31T10:23:00Z">
        <w:r>
          <w:tab/>
          <w:delText>Penalty: a fine of $2 000.</w:delText>
        </w:r>
      </w:del>
    </w:p>
    <w:p>
      <w:pPr>
        <w:pStyle w:val="Subsection"/>
        <w:rPr>
          <w:del w:id="813" w:author="Master Repository Process" w:date="2021-12-31T10:23:00Z"/>
        </w:rPr>
      </w:pPr>
      <w:del w:id="814" w:author="Master Repository Process" w:date="2021-12-31T10:23:00Z">
        <w:r>
          <w:tab/>
          <w:delText>(5)</w:delText>
        </w:r>
        <w:r>
          <w:tab/>
          <w:delText>A sheep is identified in accordance with this regulation if it is identified with —</w:delText>
        </w:r>
      </w:del>
    </w:p>
    <w:p>
      <w:pPr>
        <w:pStyle w:val="Subsection"/>
      </w:pPr>
      <w:del w:id="815" w:author="Master Repository Process" w:date="2021-12-31T10:23:00Z">
        <w:r>
          <w:tab/>
          <w:delText>(a)</w:delText>
        </w:r>
        <w:r>
          <w:tab/>
        </w:r>
      </w:del>
      <w:r>
        <w:t>an NLIS device or an NLIS tag</w:t>
      </w:r>
      <w:del w:id="816" w:author="Master Repository Process" w:date="2021-12-31T10:23:00Z">
        <w:r>
          <w:delText>; and</w:delText>
        </w:r>
      </w:del>
      <w:ins w:id="817" w:author="Master Repository Process" w:date="2021-12-31T10:23:00Z">
        <w:r>
          <w:t>, one of the following identifiers —</w:t>
        </w:r>
      </w:ins>
    </w:p>
    <w:p>
      <w:pPr>
        <w:pStyle w:val="Indenta"/>
        <w:rPr>
          <w:ins w:id="818" w:author="Master Repository Process" w:date="2021-12-31T10:23:00Z"/>
        </w:rPr>
      </w:pPr>
      <w:r>
        <w:tab/>
        <w:t>(</w:t>
      </w:r>
      <w:del w:id="819" w:author="Master Repository Process" w:date="2021-12-31T10:23:00Z">
        <w:r>
          <w:delText>b</w:delText>
        </w:r>
      </w:del>
      <w:ins w:id="820" w:author="Master Repository Process" w:date="2021-12-31T10:23:00Z">
        <w:r>
          <w:t>a</w:t>
        </w:r>
      </w:ins>
      <w:r>
        <w:t>)</w:t>
      </w:r>
      <w:r>
        <w:tab/>
        <w:t>a registered identifier applied as an earmark in accordance with regulation 122</w:t>
      </w:r>
      <w:del w:id="821" w:author="Master Repository Process" w:date="2021-12-31T10:23:00Z">
        <w:r>
          <w:delText xml:space="preserve"> or </w:delText>
        </w:r>
      </w:del>
      <w:ins w:id="822" w:author="Master Repository Process" w:date="2021-12-31T10:23:00Z">
        <w:r>
          <w:t>;</w:t>
        </w:r>
      </w:ins>
    </w:p>
    <w:p>
      <w:pPr>
        <w:pStyle w:val="Indenta"/>
      </w:pPr>
      <w:ins w:id="823" w:author="Master Repository Process" w:date="2021-12-31T10:23:00Z">
        <w:r>
          <w:tab/>
          <w:t>(b)</w:t>
        </w:r>
        <w:r>
          <w:tab/>
        </w:r>
      </w:ins>
      <w:r>
        <w:t>an approved identifier for sheep.</w:t>
      </w:r>
    </w:p>
    <w:p>
      <w:pPr>
        <w:pStyle w:val="Footnotesection"/>
      </w:pPr>
      <w:r>
        <w:tab/>
        <w:t>[Regulation</w:t>
      </w:r>
      <w:del w:id="824" w:author="Master Repository Process" w:date="2021-12-31T10:23:00Z">
        <w:r>
          <w:delText xml:space="preserve"> </w:delText>
        </w:r>
      </w:del>
      <w:ins w:id="825" w:author="Master Repository Process" w:date="2021-12-31T10:23:00Z">
        <w:r>
          <w:t> </w:t>
        </w:r>
      </w:ins>
      <w:r>
        <w:t xml:space="preserve">120 </w:t>
      </w:r>
      <w:del w:id="826" w:author="Master Repository Process" w:date="2021-12-31T10:23:00Z">
        <w:r>
          <w:delText>amended: Gazette 27 Jun 2019 p. 2425</w:delText>
        </w:r>
      </w:del>
      <w:ins w:id="827" w:author="Master Repository Process" w:date="2021-12-31T10:23:00Z">
        <w:r>
          <w:t>inserted: SL 2021/204 r. 9</w:t>
        </w:r>
      </w:ins>
      <w:r>
        <w:t>.]</w:t>
      </w:r>
    </w:p>
    <w:p>
      <w:pPr>
        <w:pStyle w:val="Heading5"/>
        <w:keepNext w:val="0"/>
        <w:keepLines w:val="0"/>
        <w:spacing w:before="180"/>
      </w:pPr>
      <w:bookmarkStart w:id="828" w:name="_Toc91081361"/>
      <w:bookmarkStart w:id="829" w:name="_Toc89252652"/>
      <w:r>
        <w:rPr>
          <w:rStyle w:val="CharSectno"/>
        </w:rPr>
        <w:t>121</w:t>
      </w:r>
      <w:r>
        <w:t>.</w:t>
      </w:r>
      <w:r>
        <w:tab/>
        <w:t>Exemption for unweaned sheep</w:t>
      </w:r>
      <w:bookmarkEnd w:id="828"/>
      <w:bookmarkEnd w:id="829"/>
    </w:p>
    <w:p>
      <w:pPr>
        <w:pStyle w:val="Subsection"/>
      </w:pPr>
      <w:r>
        <w:tab/>
      </w:r>
      <w:r>
        <w:tab/>
        <w:t>It is not necessary for an unweaned sheep to be identified in accordance with regulation 120(1)(b</w:t>
      </w:r>
      <w:del w:id="830" w:author="Master Repository Process" w:date="2021-12-31T10:23:00Z">
        <w:r>
          <w:delText>), (2)(d), (3)(a</w:delText>
        </w:r>
      </w:del>
      <w:r>
        <w:t>) or</w:t>
      </w:r>
      <w:del w:id="831" w:author="Master Repository Process" w:date="2021-12-31T10:23:00Z">
        <w:r>
          <w:delText xml:space="preserve"> (4</w:delText>
        </w:r>
      </w:del>
      <w:ins w:id="832" w:author="Master Repository Process" w:date="2021-12-31T10:23:00Z">
        <w:r>
          <w:t> (2</w:t>
        </w:r>
      </w:ins>
      <w:r>
        <w:t>)(a) if it is being moved with its mother from the property on which it is kept to another property with the same relevant PIC.</w:t>
      </w:r>
    </w:p>
    <w:p>
      <w:pPr>
        <w:pStyle w:val="Footnotesection"/>
      </w:pPr>
      <w:r>
        <w:tab/>
        <w:t>[Regulation 121 amended: Gazette 27 Jun 2019 p. 2425</w:t>
      </w:r>
      <w:ins w:id="833" w:author="Master Repository Process" w:date="2021-12-31T10:23:00Z">
        <w:r>
          <w:t>; SL 2021/204 r. 10</w:t>
        </w:r>
      </w:ins>
      <w:r>
        <w:t>.]</w:t>
      </w:r>
    </w:p>
    <w:p>
      <w:pPr>
        <w:pStyle w:val="Heading5"/>
      </w:pPr>
      <w:bookmarkStart w:id="834" w:name="_Toc91081362"/>
      <w:bookmarkStart w:id="835" w:name="_Toc89252653"/>
      <w:r>
        <w:rPr>
          <w:rStyle w:val="CharSectno"/>
        </w:rPr>
        <w:t>122</w:t>
      </w:r>
      <w:r>
        <w:t>.</w:t>
      </w:r>
      <w:r>
        <w:tab/>
        <w:t>Requirements for earmarks</w:t>
      </w:r>
      <w:bookmarkEnd w:id="834"/>
      <w:bookmarkEnd w:id="835"/>
    </w:p>
    <w:p>
      <w:pPr>
        <w:pStyle w:val="Subsection"/>
      </w:pPr>
      <w:r>
        <w:tab/>
      </w:r>
      <w:r>
        <w:tab/>
        <w:t>For the purposes of regulation 120(</w:t>
      </w:r>
      <w:del w:id="836" w:author="Master Repository Process" w:date="2021-12-31T10:23:00Z">
        <w:r>
          <w:delText>5)(b</w:delText>
        </w:r>
      </w:del>
      <w:ins w:id="837" w:author="Master Repository Process" w:date="2021-12-31T10:23:00Z">
        <w:r>
          <w:t>3)(a</w:t>
        </w:r>
      </w:ins>
      <w:r>
        <w:t>), a registered identifier is applied as an earmark in accordance with this regulation if —</w:t>
      </w:r>
    </w:p>
    <w:p>
      <w:pPr>
        <w:pStyle w:val="Indenta"/>
      </w:pPr>
      <w:r>
        <w:tab/>
        <w:t>(a)</w:t>
      </w:r>
      <w:r>
        <w:tab/>
        <w:t>in the case of a male sheep — it is applied in the right ear; and</w:t>
      </w:r>
    </w:p>
    <w:p>
      <w:pPr>
        <w:pStyle w:val="Indenta"/>
      </w:pPr>
      <w:r>
        <w:tab/>
        <w:t>(b)</w:t>
      </w:r>
      <w:r>
        <w:tab/>
        <w:t>in the case of a female sheep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122 inserted: Gazette 27 Jun 2019 p. 2426</w:t>
      </w:r>
      <w:ins w:id="838" w:author="Master Repository Process" w:date="2021-12-31T10:23:00Z">
        <w:r>
          <w:t>; amended: SL 2021/204 r. 11</w:t>
        </w:r>
      </w:ins>
      <w:r>
        <w:t>.]</w:t>
      </w:r>
    </w:p>
    <w:p>
      <w:pPr>
        <w:pStyle w:val="Heading5"/>
        <w:spacing w:before="180"/>
      </w:pPr>
      <w:bookmarkStart w:id="839" w:name="_Toc89252654"/>
      <w:bookmarkStart w:id="840" w:name="_Toc91081363"/>
      <w:r>
        <w:rPr>
          <w:rStyle w:val="CharSectno"/>
        </w:rPr>
        <w:t>123</w:t>
      </w:r>
      <w:r>
        <w:t>.</w:t>
      </w:r>
      <w:r>
        <w:tab/>
      </w:r>
      <w:del w:id="841" w:author="Master Repository Process" w:date="2021-12-31T10:23:00Z">
        <w:r>
          <w:delText>Age marks, cullmarks and other</w:delText>
        </w:r>
      </w:del>
      <w:ins w:id="842" w:author="Master Repository Process" w:date="2021-12-31T10:23:00Z">
        <w:r>
          <w:t>Application of</w:t>
        </w:r>
      </w:ins>
      <w:r>
        <w:t xml:space="preserve"> markings</w:t>
      </w:r>
      <w:bookmarkEnd w:id="839"/>
      <w:ins w:id="843" w:author="Master Repository Process" w:date="2021-12-31T10:23:00Z">
        <w:r>
          <w:t>: sheep</w:t>
        </w:r>
      </w:ins>
      <w:bookmarkEnd w:id="840"/>
    </w:p>
    <w:p>
      <w:pPr>
        <w:pStyle w:val="Subsection"/>
        <w:rPr>
          <w:snapToGrid w:val="0"/>
        </w:rPr>
      </w:pPr>
      <w:r>
        <w:tab/>
      </w:r>
      <w:r>
        <w:tab/>
      </w:r>
      <w:r>
        <w:rPr>
          <w:snapToGrid w:val="0"/>
        </w:rPr>
        <w:t xml:space="preserve">A person must not apply a marking to a sheep, other than an identifier applied under regulation 120, unless — </w:t>
      </w:r>
    </w:p>
    <w:p>
      <w:pPr>
        <w:pStyle w:val="Indenta"/>
      </w:pPr>
      <w:r>
        <w:tab/>
        <w:t>(a)</w:t>
      </w:r>
      <w:r>
        <w:tab/>
        <w:t xml:space="preserve">if it is applied to the ear, it is — </w:t>
      </w:r>
    </w:p>
    <w:p>
      <w:pPr>
        <w:pStyle w:val="Indenti"/>
      </w:pPr>
      <w:r>
        <w:tab/>
        <w:t>(i)</w:t>
      </w:r>
      <w:r>
        <w:tab/>
        <w:t xml:space="preserve">in the left ear of a male </w:t>
      </w:r>
      <w:del w:id="844" w:author="Master Repository Process" w:date="2021-12-31T10:23:00Z">
        <w:r>
          <w:delText>animal</w:delText>
        </w:r>
      </w:del>
      <w:ins w:id="845" w:author="Master Repository Process" w:date="2021-12-31T10:23:00Z">
        <w:r>
          <w:t>sheep</w:t>
        </w:r>
      </w:ins>
      <w:r>
        <w:t>; or</w:t>
      </w:r>
    </w:p>
    <w:p>
      <w:pPr>
        <w:pStyle w:val="Indenti"/>
      </w:pPr>
      <w:r>
        <w:tab/>
        <w:t>(ii)</w:t>
      </w:r>
      <w:r>
        <w:tab/>
        <w:t xml:space="preserve">in the right ear of a female </w:t>
      </w:r>
      <w:del w:id="846" w:author="Master Repository Process" w:date="2021-12-31T10:23:00Z">
        <w:r>
          <w:delText>animal</w:delText>
        </w:r>
      </w:del>
      <w:ins w:id="847" w:author="Master Repository Process" w:date="2021-12-31T10:23:00Z">
        <w:r>
          <w:t>sheep</w:t>
        </w:r>
      </w:ins>
      <w:r>
        <w:t>;</w:t>
      </w:r>
    </w:p>
    <w:p>
      <w:pPr>
        <w:pStyle w:val="Indenta"/>
      </w:pPr>
      <w:r>
        <w:tab/>
      </w:r>
      <w:r>
        <w:tab/>
        <w:t>and</w:t>
      </w:r>
    </w:p>
    <w:p>
      <w:pPr>
        <w:pStyle w:val="Indenta"/>
        <w:rPr>
          <w:snapToGrid w:val="0"/>
        </w:rPr>
      </w:pPr>
      <w:r>
        <w:tab/>
        <w:t>(b)</w:t>
      </w:r>
      <w:r>
        <w:tab/>
        <w:t>if it is intended to identify an uncoloured sheep known to be a carrier of a gene for coloured wool — it is applied in the form of</w:t>
      </w:r>
      <w:r>
        <w:rPr>
          <w:snapToGrid w:val="0"/>
        </w:rPr>
        <w:t xml:space="preserve"> 3 circular holes in line, each being not less than 6 mm and not more than 10 mm in diameter, completely within the sheep’s ear; and</w:t>
      </w:r>
    </w:p>
    <w:p>
      <w:pPr>
        <w:pStyle w:val="Indenta"/>
        <w:keepNext/>
      </w:pPr>
      <w:r>
        <w:tab/>
        <w:t>(c)</w:t>
      </w:r>
      <w:r>
        <w:tab/>
      </w:r>
      <w:r>
        <w:rPr>
          <w:snapToGrid w:val="0"/>
        </w:rPr>
        <w:t xml:space="preserve">it is applied </w:t>
      </w:r>
      <w:r>
        <w:t xml:space="preserve">in such a manner, and in such a position, as to render it clearly distinguishable from an identifier applied to the sheep under </w:t>
      </w:r>
      <w:r>
        <w:rPr>
          <w:snapToGrid w:val="0"/>
        </w:rPr>
        <w:t>regulation 120</w:t>
      </w:r>
      <w:r>
        <w:t>.</w:t>
      </w:r>
    </w:p>
    <w:p>
      <w:pPr>
        <w:pStyle w:val="Penstart"/>
      </w:pPr>
      <w:r>
        <w:tab/>
        <w:t>Penalty: a fine of $2 000.</w:t>
      </w:r>
    </w:p>
    <w:p>
      <w:pPr>
        <w:pStyle w:val="Footnotesection"/>
        <w:rPr>
          <w:ins w:id="848" w:author="Master Repository Process" w:date="2021-12-31T10:23:00Z"/>
        </w:rPr>
      </w:pPr>
      <w:ins w:id="849" w:author="Master Repository Process" w:date="2021-12-31T10:23:00Z">
        <w:r>
          <w:tab/>
          <w:t>[Regulation 123 amended: SL 2021/204 r. 12.]</w:t>
        </w:r>
      </w:ins>
    </w:p>
    <w:p>
      <w:pPr>
        <w:pStyle w:val="Heading4"/>
      </w:pPr>
      <w:bookmarkStart w:id="850" w:name="_Toc90995651"/>
      <w:bookmarkStart w:id="851" w:name="_Toc90998704"/>
      <w:bookmarkStart w:id="852" w:name="_Toc91081364"/>
      <w:bookmarkStart w:id="853" w:name="_Toc89179971"/>
      <w:bookmarkStart w:id="854" w:name="_Toc89181438"/>
      <w:bookmarkStart w:id="855" w:name="_Toc89252655"/>
      <w:r>
        <w:t>Subdivision 2 — Identifiers for goats</w:t>
      </w:r>
      <w:bookmarkEnd w:id="850"/>
      <w:bookmarkEnd w:id="851"/>
      <w:bookmarkEnd w:id="852"/>
      <w:bookmarkEnd w:id="853"/>
      <w:bookmarkEnd w:id="854"/>
      <w:bookmarkEnd w:id="855"/>
    </w:p>
    <w:p>
      <w:pPr>
        <w:pStyle w:val="Footnoteheading"/>
      </w:pPr>
      <w:r>
        <w:tab/>
        <w:t>[Heading inserted: Gazette 27 Jun 2019 p. 2426.]</w:t>
      </w:r>
    </w:p>
    <w:p>
      <w:pPr>
        <w:pStyle w:val="Heading5"/>
      </w:pPr>
      <w:bookmarkStart w:id="856" w:name="_Toc91081365"/>
      <w:bookmarkStart w:id="857" w:name="_Toc89252656"/>
      <w:r>
        <w:rPr>
          <w:rStyle w:val="CharSectno"/>
        </w:rPr>
        <w:t>124</w:t>
      </w:r>
      <w:r>
        <w:t>.</w:t>
      </w:r>
      <w:r>
        <w:tab/>
        <w:t>Owners must identify goats in south</w:t>
      </w:r>
      <w:r>
        <w:noBreakHyphen/>
        <w:t>west of State</w:t>
      </w:r>
      <w:bookmarkEnd w:id="856"/>
      <w:bookmarkEnd w:id="857"/>
    </w:p>
    <w:p>
      <w:pPr>
        <w:pStyle w:val="Subsection"/>
        <w:rPr>
          <w:snapToGrid w:val="0"/>
        </w:rPr>
      </w:pPr>
      <w:r>
        <w:tab/>
        <w:t>(1)</w:t>
      </w:r>
      <w:r>
        <w:tab/>
        <w:t>An owner of a goat, other than an imported goat or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rPr>
          <w:snapToGrid w:val="0"/>
        </w:rPr>
      </w:pPr>
      <w:r>
        <w:rPr>
          <w:snapToGrid w:val="0"/>
        </w:rPr>
        <w:tab/>
        <w:t>(a)</w:t>
      </w:r>
      <w:r>
        <w:rPr>
          <w:snapToGrid w:val="0"/>
        </w:rPr>
        <w:tab/>
      </w:r>
      <w:r>
        <w:t xml:space="preserve">if it is moved from the property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rPr>
          <w:snapToGrid w:val="0"/>
        </w:rPr>
        <w:tab/>
        <w:t>(b)</w:t>
      </w:r>
      <w:r>
        <w:rPr>
          <w:snapToGrid w:val="0"/>
        </w:rPr>
        <w:tab/>
      </w:r>
      <w:r>
        <w:t xml:space="preserve">otherwise — </w:t>
      </w:r>
      <w:r>
        <w:rPr>
          <w:snapToGrid w:val="0"/>
        </w:rPr>
        <w:t>before it reaches 6 months of age.</w:t>
      </w:r>
    </w:p>
    <w:p>
      <w:pPr>
        <w:pStyle w:val="Penstart"/>
      </w:pPr>
      <w:r>
        <w:tab/>
        <w:t>Penalty</w:t>
      </w:r>
      <w:ins w:id="858" w:author="Master Repository Process" w:date="2021-12-31T10:23:00Z">
        <w:r>
          <w:t xml:space="preserve"> for this subregulation</w:t>
        </w:r>
      </w:ins>
      <w:r>
        <w:t>: a fine of $2 000.</w:t>
      </w:r>
    </w:p>
    <w:p>
      <w:pPr>
        <w:pStyle w:val="Subsection"/>
      </w:pPr>
      <w:r>
        <w:tab/>
        <w:t>(2)</w:t>
      </w:r>
      <w:r>
        <w:tab/>
        <w:t>An owner of an imported goat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w:t>
      </w:r>
      <w:ins w:id="859" w:author="Master Repository Process" w:date="2021-12-31T10:23:00Z">
        <w:r>
          <w:t xml:space="preserve"> for this subregulation</w:t>
        </w:r>
      </w:ins>
      <w:r>
        <w:t>: a fine of $2 000.</w:t>
      </w:r>
    </w:p>
    <w:p>
      <w:pPr>
        <w:pStyle w:val="Subsection"/>
        <w:keepNext/>
      </w:pPr>
      <w:r>
        <w:tab/>
        <w:t>(3)</w:t>
      </w:r>
      <w:r>
        <w:tab/>
        <w:t>An owner of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w:t>
      </w:r>
      <w:ins w:id="860" w:author="Master Repository Process" w:date="2021-12-31T10:23:00Z">
        <w:r>
          <w:t xml:space="preserve"> for this subregulation</w:t>
        </w:r>
      </w:ins>
      <w:r>
        <w:t>: a fine of $2 000.</w:t>
      </w:r>
    </w:p>
    <w:p>
      <w:pPr>
        <w:pStyle w:val="Subsection"/>
      </w:pPr>
      <w:r>
        <w:tab/>
        <w:t>(4)</w:t>
      </w:r>
      <w:r>
        <w:tab/>
        <w:t>A goat is identified in accordance with this regulation if it is identified with any of the following identifiers —</w:t>
      </w:r>
    </w:p>
    <w:p>
      <w:pPr>
        <w:pStyle w:val="Indenta"/>
      </w:pPr>
      <w:r>
        <w:tab/>
        <w:t>(a)</w:t>
      </w:r>
      <w:r>
        <w:tab/>
        <w:t>a registered identifier applied as an earmark in accordance with regulation 126;</w:t>
      </w:r>
    </w:p>
    <w:p>
      <w:pPr>
        <w:pStyle w:val="Indenta"/>
      </w:pPr>
      <w:r>
        <w:tab/>
        <w:t>(b)</w:t>
      </w:r>
      <w:r>
        <w:tab/>
        <w:t>an NLIS tag;</w:t>
      </w:r>
    </w:p>
    <w:p>
      <w:pPr>
        <w:pStyle w:val="Indenta"/>
      </w:pPr>
      <w:r>
        <w:tab/>
        <w:t>(c)</w:t>
      </w:r>
      <w:r>
        <w:tab/>
        <w:t>an NLIS device;</w:t>
      </w:r>
    </w:p>
    <w:p>
      <w:pPr>
        <w:pStyle w:val="Indenta"/>
      </w:pPr>
      <w:r>
        <w:tab/>
        <w:t>(d)</w:t>
      </w:r>
      <w:r>
        <w:tab/>
        <w:t>an approved identifier for goats.</w:t>
      </w:r>
    </w:p>
    <w:p>
      <w:pPr>
        <w:pStyle w:val="Footnotesection"/>
      </w:pPr>
      <w:r>
        <w:tab/>
        <w:t>[Regulation 124 amended: Gazette 27 Jun 2019 p. 2426</w:t>
      </w:r>
      <w:r>
        <w:noBreakHyphen/>
        <w:t>7</w:t>
      </w:r>
      <w:ins w:id="861" w:author="Master Repository Process" w:date="2021-12-31T10:23:00Z">
        <w:r>
          <w:t>; SL 2021/204 r. 14</w:t>
        </w:r>
      </w:ins>
      <w:r>
        <w:t>.]</w:t>
      </w:r>
    </w:p>
    <w:p>
      <w:pPr>
        <w:pStyle w:val="Heading5"/>
      </w:pPr>
      <w:bookmarkStart w:id="862" w:name="_Toc91081366"/>
      <w:bookmarkStart w:id="863" w:name="_Toc89252657"/>
      <w:r>
        <w:rPr>
          <w:rStyle w:val="CharSectno"/>
        </w:rPr>
        <w:t>125</w:t>
      </w:r>
      <w:r>
        <w:t>.</w:t>
      </w:r>
      <w:r>
        <w:tab/>
        <w:t>Exemption for unweaned goats</w:t>
      </w:r>
      <w:bookmarkEnd w:id="862"/>
      <w:bookmarkEnd w:id="863"/>
    </w:p>
    <w:p>
      <w:pPr>
        <w:pStyle w:val="Subsection"/>
      </w:pPr>
      <w:r>
        <w:tab/>
      </w:r>
      <w:r>
        <w:tab/>
        <w:t>It is not necessary for an unweaned goat to be identified in accordance with regulation 124(1)(a), (2)(a) or (3)(a) if it is being moved with its mother from the property on which it is kept to another property with the same relevant PIC.</w:t>
      </w:r>
    </w:p>
    <w:p>
      <w:pPr>
        <w:pStyle w:val="Footnotesection"/>
      </w:pPr>
      <w:r>
        <w:tab/>
        <w:t>[Regulation 125 amended: Gazette 27 Jun 2019 p. 2427.]</w:t>
      </w:r>
    </w:p>
    <w:p>
      <w:pPr>
        <w:pStyle w:val="Heading5"/>
      </w:pPr>
      <w:bookmarkStart w:id="864" w:name="_Toc91081367"/>
      <w:bookmarkStart w:id="865" w:name="_Toc89252658"/>
      <w:r>
        <w:rPr>
          <w:rStyle w:val="CharSectno"/>
        </w:rPr>
        <w:t>126</w:t>
      </w:r>
      <w:r>
        <w:t>.</w:t>
      </w:r>
      <w:r>
        <w:tab/>
        <w:t>Requirements for earmarks</w:t>
      </w:r>
      <w:bookmarkEnd w:id="864"/>
      <w:bookmarkEnd w:id="865"/>
    </w:p>
    <w:p>
      <w:pPr>
        <w:pStyle w:val="Subsection"/>
      </w:pPr>
      <w:r>
        <w:tab/>
      </w:r>
      <w:r>
        <w:tab/>
        <w:t>For the purposes of regulation 124(4)(a), a registered identifier is applied as an earmark in accordance with this regulation if —</w:t>
      </w:r>
    </w:p>
    <w:p>
      <w:pPr>
        <w:pStyle w:val="Indenta"/>
      </w:pPr>
      <w:r>
        <w:tab/>
        <w:t>(a)</w:t>
      </w:r>
      <w:r>
        <w:tab/>
        <w:t>in the case of a male goat — it is applied in the right ear; and</w:t>
      </w:r>
    </w:p>
    <w:p>
      <w:pPr>
        <w:pStyle w:val="Indenta"/>
      </w:pPr>
      <w:r>
        <w:tab/>
        <w:t>(b)</w:t>
      </w:r>
      <w:r>
        <w:tab/>
        <w:t>in the case of a female goat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126 inserted: Gazette 27 Jun 2019 p. 2427.]</w:t>
      </w:r>
    </w:p>
    <w:p>
      <w:pPr>
        <w:pStyle w:val="Heading5"/>
      </w:pPr>
      <w:bookmarkStart w:id="866" w:name="_Toc89252659"/>
      <w:bookmarkStart w:id="867" w:name="_Toc91081368"/>
      <w:r>
        <w:rPr>
          <w:rStyle w:val="CharSectno"/>
        </w:rPr>
        <w:t>127</w:t>
      </w:r>
      <w:r>
        <w:t>.</w:t>
      </w:r>
      <w:r>
        <w:tab/>
      </w:r>
      <w:del w:id="868" w:author="Master Repository Process" w:date="2021-12-31T10:23:00Z">
        <w:r>
          <w:delText>Age marks, cullmarks and other</w:delText>
        </w:r>
      </w:del>
      <w:ins w:id="869" w:author="Master Repository Process" w:date="2021-12-31T10:23:00Z">
        <w:r>
          <w:t>Application of</w:t>
        </w:r>
      </w:ins>
      <w:r>
        <w:t xml:space="preserve"> markings</w:t>
      </w:r>
      <w:bookmarkEnd w:id="866"/>
      <w:ins w:id="870" w:author="Master Repository Process" w:date="2021-12-31T10:23:00Z">
        <w:r>
          <w:t>: goat</w:t>
        </w:r>
      </w:ins>
      <w:bookmarkEnd w:id="867"/>
    </w:p>
    <w:p>
      <w:pPr>
        <w:pStyle w:val="Subsection"/>
        <w:rPr>
          <w:snapToGrid w:val="0"/>
        </w:rPr>
      </w:pPr>
      <w:r>
        <w:tab/>
      </w:r>
      <w:r>
        <w:tab/>
      </w:r>
      <w:r>
        <w:rPr>
          <w:snapToGrid w:val="0"/>
        </w:rPr>
        <w:t xml:space="preserve">A person must not apply a marking to a goat, other than an identifier applied under regulation 124, unless — </w:t>
      </w:r>
    </w:p>
    <w:p>
      <w:pPr>
        <w:pStyle w:val="Indenta"/>
      </w:pPr>
      <w:r>
        <w:tab/>
        <w:t>(a)</w:t>
      </w:r>
      <w:r>
        <w:tab/>
        <w:t xml:space="preserve">if it is applied to the ear, it is — </w:t>
      </w:r>
    </w:p>
    <w:p>
      <w:pPr>
        <w:pStyle w:val="Indenti"/>
      </w:pPr>
      <w:r>
        <w:tab/>
        <w:t>(i)</w:t>
      </w:r>
      <w:r>
        <w:tab/>
        <w:t xml:space="preserve">in the left ear of a male </w:t>
      </w:r>
      <w:del w:id="871" w:author="Master Repository Process" w:date="2021-12-31T10:23:00Z">
        <w:r>
          <w:delText>animal</w:delText>
        </w:r>
      </w:del>
      <w:ins w:id="872" w:author="Master Repository Process" w:date="2021-12-31T10:23:00Z">
        <w:r>
          <w:t>goat</w:t>
        </w:r>
      </w:ins>
      <w:r>
        <w:t>; or</w:t>
      </w:r>
    </w:p>
    <w:p>
      <w:pPr>
        <w:pStyle w:val="Indenti"/>
      </w:pPr>
      <w:r>
        <w:tab/>
        <w:t>(ii)</w:t>
      </w:r>
      <w:r>
        <w:tab/>
        <w:t xml:space="preserve">in the right ear of a female </w:t>
      </w:r>
      <w:del w:id="873" w:author="Master Repository Process" w:date="2021-12-31T10:23:00Z">
        <w:r>
          <w:delText>animal</w:delText>
        </w:r>
      </w:del>
      <w:ins w:id="874" w:author="Master Repository Process" w:date="2021-12-31T10:23:00Z">
        <w:r>
          <w:t>goat</w:t>
        </w:r>
      </w:ins>
      <w:r>
        <w:t>;</w:t>
      </w:r>
    </w:p>
    <w:p>
      <w:pPr>
        <w:pStyle w:val="Indenta"/>
      </w:pPr>
      <w:r>
        <w:tab/>
      </w:r>
      <w:r>
        <w:tab/>
        <w:t>and</w:t>
      </w:r>
    </w:p>
    <w:p>
      <w:pPr>
        <w:pStyle w:val="Indenta"/>
      </w:pPr>
      <w:r>
        <w:tab/>
        <w:t>(b)</w:t>
      </w:r>
      <w:r>
        <w:tab/>
      </w:r>
      <w:r>
        <w:rPr>
          <w:snapToGrid w:val="0"/>
        </w:rPr>
        <w:t xml:space="preserve">it is applied </w:t>
      </w:r>
      <w:r>
        <w:t xml:space="preserve">in such a manner, and in such a position, as to render it clearly distinguishable from an identifier applied to the goat under </w:t>
      </w:r>
      <w:r>
        <w:rPr>
          <w:snapToGrid w:val="0"/>
        </w:rPr>
        <w:t>regulation 124</w:t>
      </w:r>
      <w:r>
        <w:t>.</w:t>
      </w:r>
    </w:p>
    <w:p>
      <w:pPr>
        <w:pStyle w:val="Penstart"/>
      </w:pPr>
      <w:r>
        <w:tab/>
        <w:t>Penalty: a fine of $2 000.</w:t>
      </w:r>
    </w:p>
    <w:p>
      <w:pPr>
        <w:pStyle w:val="Footnotesection"/>
        <w:rPr>
          <w:ins w:id="875" w:author="Master Repository Process" w:date="2021-12-31T10:23:00Z"/>
        </w:rPr>
      </w:pPr>
      <w:bookmarkStart w:id="876" w:name="_Toc90995656"/>
      <w:ins w:id="877" w:author="Master Repository Process" w:date="2021-12-31T10:23:00Z">
        <w:r>
          <w:tab/>
          <w:t>[Regulation 127 amended: SL 2021/204 r. 13.]</w:t>
        </w:r>
      </w:ins>
    </w:p>
    <w:p>
      <w:pPr>
        <w:pStyle w:val="Heading4"/>
      </w:pPr>
      <w:bookmarkStart w:id="878" w:name="_Toc90998709"/>
      <w:bookmarkStart w:id="879" w:name="_Toc91081369"/>
      <w:bookmarkStart w:id="880" w:name="_Toc89179976"/>
      <w:bookmarkStart w:id="881" w:name="_Toc89181443"/>
      <w:bookmarkStart w:id="882" w:name="_Toc89252660"/>
      <w:r>
        <w:t>Subdivision 2A — Identifiers for pigs</w:t>
      </w:r>
      <w:bookmarkEnd w:id="876"/>
      <w:bookmarkEnd w:id="878"/>
      <w:bookmarkEnd w:id="879"/>
      <w:bookmarkEnd w:id="880"/>
      <w:bookmarkEnd w:id="881"/>
      <w:bookmarkEnd w:id="882"/>
    </w:p>
    <w:p>
      <w:pPr>
        <w:pStyle w:val="Footnoteheading"/>
      </w:pPr>
      <w:r>
        <w:tab/>
        <w:t>[Heading inserted: Gazette 27 Jun 2019 p. 2428.]</w:t>
      </w:r>
    </w:p>
    <w:p>
      <w:pPr>
        <w:pStyle w:val="Heading5"/>
      </w:pPr>
      <w:bookmarkStart w:id="883" w:name="_Toc91081370"/>
      <w:bookmarkStart w:id="884" w:name="_Toc89252661"/>
      <w:r>
        <w:rPr>
          <w:rStyle w:val="CharSectno"/>
        </w:rPr>
        <w:t>127A</w:t>
      </w:r>
      <w:r>
        <w:t>.</w:t>
      </w:r>
      <w:r>
        <w:tab/>
        <w:t>Owners to identify pigs</w:t>
      </w:r>
      <w:bookmarkEnd w:id="883"/>
      <w:bookmarkEnd w:id="884"/>
    </w:p>
    <w:p>
      <w:pPr>
        <w:pStyle w:val="Subsection"/>
      </w:pPr>
      <w:r>
        <w:tab/>
        <w:t>(1)</w:t>
      </w:r>
      <w:r>
        <w:tab/>
        <w:t>An owner of a pig must identify the pig, or cause it to be identified, in accordance with this regulation before it is moved from the farming property on which it is kept.</w:t>
      </w:r>
    </w:p>
    <w:p>
      <w:pPr>
        <w:pStyle w:val="Penstart"/>
      </w:pPr>
      <w:r>
        <w:tab/>
        <w:t>Penalty for this subregulation: a fine of $5 000.</w:t>
      </w:r>
    </w:p>
    <w:p>
      <w:pPr>
        <w:pStyle w:val="Subsection"/>
      </w:pPr>
      <w:r>
        <w:tab/>
        <w:t>(2)</w:t>
      </w:r>
      <w:r>
        <w:tab/>
        <w:t>A pig that weighs less than 25 kg is identified in accordance with this regulation if it is identified with an NLIS device or NLIS tag.</w:t>
      </w:r>
    </w:p>
    <w:p>
      <w:pPr>
        <w:pStyle w:val="Subsection"/>
      </w:pPr>
      <w:r>
        <w:tab/>
        <w:t>(3)</w:t>
      </w:r>
      <w:r>
        <w:tab/>
        <w:t xml:space="preserve">Subject to subregulation (4), a pig that weighs 25 kg or more is identified in accordance with this regulation if it is identified with any of the following — </w:t>
      </w:r>
    </w:p>
    <w:p>
      <w:pPr>
        <w:pStyle w:val="Indenta"/>
      </w:pPr>
      <w:r>
        <w:tab/>
        <w:t>(a)</w:t>
      </w:r>
      <w:r>
        <w:tab/>
        <w:t>a registered identifier applied as a slap brand in accordance with regulation 127C;</w:t>
      </w:r>
    </w:p>
    <w:p>
      <w:pPr>
        <w:pStyle w:val="Indenta"/>
      </w:pPr>
      <w:r>
        <w:tab/>
        <w:t>(b)</w:t>
      </w:r>
      <w:r>
        <w:tab/>
        <w:t>an NLIS device;</w:t>
      </w:r>
    </w:p>
    <w:p>
      <w:pPr>
        <w:pStyle w:val="Indenta"/>
      </w:pPr>
      <w:r>
        <w:tab/>
        <w:t>(c)</w:t>
      </w:r>
      <w:r>
        <w:tab/>
        <w:t>an NLIS tag.</w:t>
      </w:r>
    </w:p>
    <w:p>
      <w:pPr>
        <w:pStyle w:val="Subsection"/>
      </w:pPr>
      <w:r>
        <w:tab/>
        <w:t>(4)</w:t>
      </w:r>
      <w:r>
        <w:tab/>
        <w:t>Subregulation (3)(a) does not apply in relation to a pig that has been previously branded with a slap brand on its left rump.</w:t>
      </w:r>
    </w:p>
    <w:p>
      <w:pPr>
        <w:pStyle w:val="Footnotesection"/>
      </w:pPr>
      <w:r>
        <w:tab/>
        <w:t>[Regulation 127A inserted: Gazette 27 Jun 2019 p. 2428.]</w:t>
      </w:r>
    </w:p>
    <w:p>
      <w:pPr>
        <w:pStyle w:val="Heading5"/>
      </w:pPr>
      <w:bookmarkStart w:id="885" w:name="_Toc91081371"/>
      <w:bookmarkStart w:id="886" w:name="_Toc89252662"/>
      <w:r>
        <w:rPr>
          <w:rStyle w:val="CharSectno"/>
        </w:rPr>
        <w:t>127B</w:t>
      </w:r>
      <w:r>
        <w:t>.</w:t>
      </w:r>
      <w:r>
        <w:tab/>
        <w:t>Exemption for unweaned pigs</w:t>
      </w:r>
      <w:bookmarkEnd w:id="885"/>
      <w:bookmarkEnd w:id="886"/>
    </w:p>
    <w:p>
      <w:pPr>
        <w:pStyle w:val="Subsection"/>
      </w:pPr>
      <w:r>
        <w:tab/>
      </w:r>
      <w:r>
        <w:tab/>
        <w:t>It is not necessary for an unweaned pig to be identified in accordance with regulation 127A if it is being moved with its mother from the property on which it is kept to another property with the same relevant PIC.</w:t>
      </w:r>
    </w:p>
    <w:p>
      <w:pPr>
        <w:pStyle w:val="Footnotesection"/>
      </w:pPr>
      <w:r>
        <w:tab/>
        <w:t>[Regulation 127B inserted: Gazette 27 Jun 2019 p. 2428.]</w:t>
      </w:r>
    </w:p>
    <w:p>
      <w:pPr>
        <w:pStyle w:val="Heading5"/>
      </w:pPr>
      <w:bookmarkStart w:id="887" w:name="_Toc91081372"/>
      <w:bookmarkStart w:id="888" w:name="_Toc89252663"/>
      <w:r>
        <w:rPr>
          <w:rStyle w:val="CharSectno"/>
        </w:rPr>
        <w:t>127C</w:t>
      </w:r>
      <w:r>
        <w:t>.</w:t>
      </w:r>
      <w:r>
        <w:tab/>
        <w:t>Requirements for slap brands</w:t>
      </w:r>
      <w:bookmarkEnd w:id="887"/>
      <w:bookmarkEnd w:id="888"/>
    </w:p>
    <w:p>
      <w:pPr>
        <w:pStyle w:val="Subsection"/>
      </w:pPr>
      <w:r>
        <w:tab/>
      </w:r>
      <w:r>
        <w:tab/>
        <w:t xml:space="preserve">For the purposes of regulation 127A(3)(a), a registered identifier is applied as a slap brand in accordance with this regulation if — </w:t>
      </w:r>
    </w:p>
    <w:p>
      <w:pPr>
        <w:pStyle w:val="Indenta"/>
      </w:pPr>
      <w:r>
        <w:tab/>
        <w:t>(a)</w:t>
      </w:r>
      <w:r>
        <w:tab/>
        <w:t>it is applied to a pig using equipment that is approved identification equipment; and</w:t>
      </w:r>
    </w:p>
    <w:p>
      <w:pPr>
        <w:pStyle w:val="Indenta"/>
      </w:pPr>
      <w:r>
        <w:tab/>
        <w:t>(b)</w:t>
      </w:r>
      <w:r>
        <w:tab/>
        <w:t>it is applied using carbon black paste, or a tattooing ink or dye of the colour that is approved for that purpose; and</w:t>
      </w:r>
    </w:p>
    <w:p>
      <w:pPr>
        <w:pStyle w:val="Indenta"/>
      </w:pPr>
      <w:r>
        <w:tab/>
        <w:t>(c)</w:t>
      </w:r>
      <w:r>
        <w:tab/>
        <w:t>in the case of a slap brand applied to a pig at its property of birth — it is applied to the left shoulder of the pig; and</w:t>
      </w:r>
    </w:p>
    <w:p>
      <w:pPr>
        <w:pStyle w:val="Indenta"/>
        <w:keepNext/>
      </w:pPr>
      <w:r>
        <w:tab/>
        <w:t>(d)</w:t>
      </w:r>
      <w:r>
        <w:tab/>
        <w:t xml:space="preserve">in the case of a slap brand applied to a pig at a property other than its property of birth — </w:t>
      </w:r>
    </w:p>
    <w:p>
      <w:pPr>
        <w:pStyle w:val="Indenti"/>
      </w:pPr>
      <w:r>
        <w:tab/>
        <w:t>(i)</w:t>
      </w:r>
      <w:r>
        <w:tab/>
        <w:t>if the pig has not been previously branded with a slap brand on the right shoulder — it is applied to the right shoulder of the pig; or</w:t>
      </w:r>
    </w:p>
    <w:p>
      <w:pPr>
        <w:pStyle w:val="Indenti"/>
      </w:pPr>
      <w:r>
        <w:tab/>
        <w:t>(ii)</w:t>
      </w:r>
      <w:r>
        <w:tab/>
        <w:t>if the pig has been previously branded with a slap brand on the right shoulder — it is applied to the right rump of the pig; or</w:t>
      </w:r>
    </w:p>
    <w:p>
      <w:pPr>
        <w:pStyle w:val="Indenti"/>
      </w:pPr>
      <w:r>
        <w:tab/>
        <w:t>(iii)</w:t>
      </w:r>
      <w:r>
        <w:tab/>
        <w:t>if the pig has been previously branded with a slap brand on the right rump — it is applied to the left rump of the pig.</w:t>
      </w:r>
    </w:p>
    <w:p>
      <w:pPr>
        <w:pStyle w:val="Footnotesection"/>
      </w:pPr>
      <w:r>
        <w:tab/>
        <w:t>[Regulation 127C inserted: Gazette 27 Jun 2019 p. 2429.]</w:t>
      </w:r>
    </w:p>
    <w:p>
      <w:pPr>
        <w:pStyle w:val="Heading4"/>
      </w:pPr>
      <w:bookmarkStart w:id="889" w:name="_Toc90995660"/>
      <w:bookmarkStart w:id="890" w:name="_Toc90998713"/>
      <w:bookmarkStart w:id="891" w:name="_Toc91081373"/>
      <w:bookmarkStart w:id="892" w:name="_Toc89179980"/>
      <w:bookmarkStart w:id="893" w:name="_Toc89181447"/>
      <w:bookmarkStart w:id="894" w:name="_Toc89252664"/>
      <w:r>
        <w:t>Subdivision 3 — NLIS requirements for sheep, goats and pigs</w:t>
      </w:r>
      <w:bookmarkEnd w:id="889"/>
      <w:bookmarkEnd w:id="890"/>
      <w:bookmarkEnd w:id="891"/>
      <w:bookmarkEnd w:id="892"/>
      <w:bookmarkEnd w:id="893"/>
      <w:bookmarkEnd w:id="894"/>
      <w:r>
        <w:t xml:space="preserve"> </w:t>
      </w:r>
    </w:p>
    <w:p>
      <w:pPr>
        <w:pStyle w:val="Footnoteheading"/>
      </w:pPr>
      <w:r>
        <w:tab/>
        <w:t>[Heading inserted: Gazette 27 Jun 2019 p. 2429.]</w:t>
      </w:r>
    </w:p>
    <w:p>
      <w:pPr>
        <w:pStyle w:val="Heading5"/>
      </w:pPr>
      <w:bookmarkStart w:id="895" w:name="_Toc91081374"/>
      <w:bookmarkStart w:id="896" w:name="_Toc89252665"/>
      <w:r>
        <w:rPr>
          <w:rStyle w:val="CharSectno"/>
        </w:rPr>
        <w:t>128</w:t>
      </w:r>
      <w:r>
        <w:t>.</w:t>
      </w:r>
      <w:r>
        <w:tab/>
        <w:t>Responsibilities of owner before moving sheep or goat</w:t>
      </w:r>
      <w:bookmarkEnd w:id="895"/>
      <w:bookmarkEnd w:id="896"/>
    </w:p>
    <w:p>
      <w:pPr>
        <w:pStyle w:val="Subsection"/>
      </w:pPr>
      <w:r>
        <w:tab/>
      </w:r>
      <w:r>
        <w:tab/>
        <w:t>Except as provided in regulation 129, an owner of a sheep or a goat must not cause or permit the sheep or goat to be moved from the farming property on which it is kept unless —</w:t>
      </w:r>
    </w:p>
    <w:p>
      <w:pPr>
        <w:pStyle w:val="Indenta"/>
      </w:pPr>
      <w:r>
        <w:tab/>
        <w:t>(a)</w:t>
      </w:r>
      <w:r>
        <w:tab/>
        <w:t xml:space="preserve">the animal has an NLIS tag applied to it that displays — </w:t>
      </w:r>
    </w:p>
    <w:p>
      <w:pPr>
        <w:pStyle w:val="Indenti"/>
      </w:pPr>
      <w:r>
        <w:tab/>
        <w:t>(i)</w:t>
      </w:r>
      <w:r>
        <w:tab/>
        <w:t xml:space="preserve">the relevant PIC of the property; </w:t>
      </w:r>
      <w:r>
        <w:rPr>
          <w:snapToGrid w:val="0"/>
        </w:rPr>
        <w:t>or</w:t>
      </w:r>
    </w:p>
    <w:p>
      <w:pPr>
        <w:pStyle w:val="Indenti"/>
      </w:pPr>
      <w:r>
        <w:tab/>
        <w:t>(ii)</w:t>
      </w:r>
      <w:r>
        <w:tab/>
        <w:t xml:space="preserve">a registered identifier for which the corresponding PIC is the relevant PIC of the property; </w:t>
      </w:r>
    </w:p>
    <w:p>
      <w:pPr>
        <w:pStyle w:val="Indenta"/>
      </w:pPr>
      <w:r>
        <w:tab/>
      </w:r>
      <w:r>
        <w:tab/>
        <w:t>or</w:t>
      </w:r>
    </w:p>
    <w:p>
      <w:pPr>
        <w:pStyle w:val="Indenta"/>
      </w:pPr>
      <w:r>
        <w:tab/>
        <w:t>(b)</w:t>
      </w:r>
      <w:r>
        <w:tab/>
        <w:t>the animal has an NLIS device applied to it, and the PIC recorded in the NLIS database in relation to the device is the relevant PIC of the property from which the animal is to be moved.</w:t>
      </w:r>
    </w:p>
    <w:p>
      <w:pPr>
        <w:pStyle w:val="Penstart"/>
      </w:pPr>
      <w:r>
        <w:tab/>
        <w:t>Penalty: a fine of $5 000.</w:t>
      </w:r>
    </w:p>
    <w:p>
      <w:pPr>
        <w:pStyle w:val="Heading5"/>
      </w:pPr>
      <w:bookmarkStart w:id="897" w:name="_Toc91081375"/>
      <w:bookmarkStart w:id="898" w:name="_Toc89252666"/>
      <w:r>
        <w:rPr>
          <w:rStyle w:val="CharSectno"/>
        </w:rPr>
        <w:t>129</w:t>
      </w:r>
      <w:r>
        <w:t>.</w:t>
      </w:r>
      <w:r>
        <w:tab/>
        <w:t>Exemptions from NLIS identification of sheep and goats</w:t>
      </w:r>
      <w:bookmarkEnd w:id="897"/>
      <w:bookmarkEnd w:id="898"/>
    </w:p>
    <w:p>
      <w:pPr>
        <w:pStyle w:val="Subsection"/>
        <w:keepNext/>
      </w:pPr>
      <w:r>
        <w:tab/>
        <w:t>(1)</w:t>
      </w:r>
      <w:r>
        <w:tab/>
        <w:t>Regulation 128 does not apply —</w:t>
      </w:r>
    </w:p>
    <w:p>
      <w:pPr>
        <w:pStyle w:val="Indenta"/>
      </w:pPr>
      <w:r>
        <w:tab/>
        <w:t>(a)</w:t>
      </w:r>
      <w:r>
        <w:tab/>
        <w:t>to an unweaned sheep or unweaned goat being moved with its mother from the property on which it is kept to another property with the same relevant PIC; or</w:t>
      </w:r>
    </w:p>
    <w:p>
      <w:pPr>
        <w:pStyle w:val="Indenta"/>
      </w:pPr>
      <w:r>
        <w:tab/>
        <w:t>(b)</w:t>
      </w:r>
      <w:r>
        <w:tab/>
        <w:t>to a goat being moved from a property outside the south</w:t>
      </w:r>
      <w:r>
        <w:noBreakHyphen/>
        <w:t>west of the State to a contiguous property; or</w:t>
      </w:r>
    </w:p>
    <w:p>
      <w:pPr>
        <w:pStyle w:val="Indenta"/>
      </w:pPr>
      <w:r>
        <w:tab/>
        <w:t>(c)</w:t>
      </w:r>
      <w:r>
        <w:tab/>
        <w:t>to a goat being moved from a property outside the south</w:t>
      </w:r>
      <w:r>
        <w:noBreakHyphen/>
        <w:t>west of the State directly to an abattoir; or</w:t>
      </w:r>
    </w:p>
    <w:p>
      <w:pPr>
        <w:pStyle w:val="Indenta"/>
      </w:pPr>
      <w:r>
        <w:tab/>
        <w:t>(d)</w:t>
      </w:r>
      <w:r>
        <w:tab/>
        <w:t>if an inspector approves the movement of an animal without an NLIS identifier being applied to it.</w:t>
      </w:r>
    </w:p>
    <w:p>
      <w:pPr>
        <w:pStyle w:val="Subsection"/>
        <w:rPr>
          <w:snapToGrid w:val="0"/>
        </w:rPr>
      </w:pPr>
      <w:r>
        <w:tab/>
        <w:t>(2)</w:t>
      </w:r>
      <w:r>
        <w:tab/>
      </w:r>
      <w:r>
        <w:rPr>
          <w:snapToGrid w:val="0"/>
        </w:rPr>
        <w:t>A person cannot rely upon an exemption in subregulation (1)(b)</w:t>
      </w:r>
      <w:r>
        <w:t>, (c) or (d)</w:t>
      </w:r>
      <w:r>
        <w:rPr>
          <w:snapToGrid w:val="0"/>
        </w:rPr>
        <w:t xml:space="preserve"> unless — </w:t>
      </w:r>
    </w:p>
    <w:p>
      <w:pPr>
        <w:pStyle w:val="Indenta"/>
        <w:rPr>
          <w:snapToGrid w:val="0"/>
        </w:rPr>
      </w:pPr>
      <w:r>
        <w:tab/>
        <w:t>(a)</w:t>
      </w:r>
      <w:r>
        <w:tab/>
        <w:t xml:space="preserve">the person has </w:t>
      </w:r>
      <w:r>
        <w:rPr>
          <w:snapToGrid w:val="0"/>
        </w:rPr>
        <w:t>given the carrier of the animal a waybill that relates to the animal and to no other animals, unless all of them are being moved under the exemption; and</w:t>
      </w:r>
    </w:p>
    <w:p>
      <w:pPr>
        <w:pStyle w:val="Indenta"/>
      </w:pPr>
      <w:r>
        <w:tab/>
        <w:t>(b)</w:t>
      </w:r>
      <w:r>
        <w:tab/>
        <w:t>the person has taken all practicable measures to ensure that the animal, while it is being moved, is kept separate from —</w:t>
      </w:r>
    </w:p>
    <w:p>
      <w:pPr>
        <w:pStyle w:val="Indenti"/>
      </w:pPr>
      <w:r>
        <w:tab/>
        <w:t>(i)</w:t>
      </w:r>
      <w:r>
        <w:tab/>
        <w:t>any animal to which an NLIS identifier is applied; and</w:t>
      </w:r>
    </w:p>
    <w:p>
      <w:pPr>
        <w:pStyle w:val="Indenti"/>
      </w:pPr>
      <w:r>
        <w:tab/>
        <w:t>(ii)</w:t>
      </w:r>
      <w:r>
        <w:tab/>
        <w:t>any animal being moved from another property.</w:t>
      </w:r>
    </w:p>
    <w:p>
      <w:pPr>
        <w:pStyle w:val="Footnotesection"/>
      </w:pPr>
      <w:r>
        <w:tab/>
        <w:t>[Regulation 129 amended: Gazette 27 Jun 2019 p. 2430.]</w:t>
      </w:r>
    </w:p>
    <w:p>
      <w:pPr>
        <w:pStyle w:val="Heading5"/>
      </w:pPr>
      <w:bookmarkStart w:id="899" w:name="_Toc91081376"/>
      <w:bookmarkStart w:id="900" w:name="_Toc89252667"/>
      <w:r>
        <w:rPr>
          <w:rStyle w:val="CharSectno"/>
        </w:rPr>
        <w:t>129A</w:t>
      </w:r>
      <w:r>
        <w:t>.</w:t>
      </w:r>
      <w:r>
        <w:tab/>
        <w:t>Responsibilities of owner before moving pigs</w:t>
      </w:r>
      <w:bookmarkEnd w:id="899"/>
      <w:bookmarkEnd w:id="900"/>
    </w:p>
    <w:p>
      <w:pPr>
        <w:pStyle w:val="Subsection"/>
      </w:pPr>
      <w:r>
        <w:tab/>
        <w:t>(1)</w:t>
      </w:r>
      <w:r>
        <w:tab/>
        <w:t>Except as provided in regulation 129B, an owner of a pig that weighs less than 25 kg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w:t>
      </w:r>
    </w:p>
    <w:p>
      <w:pPr>
        <w:pStyle w:val="Penstart"/>
      </w:pPr>
      <w:r>
        <w:tab/>
        <w:t>Penalty for this subregulation: a fine of $5 000.</w:t>
      </w:r>
    </w:p>
    <w:p>
      <w:pPr>
        <w:pStyle w:val="Subsection"/>
      </w:pPr>
      <w:r>
        <w:tab/>
        <w:t>(2)</w:t>
      </w:r>
      <w:r>
        <w:tab/>
        <w:t>Except as provided in regulation 129B, an owner of a pig that weighs 25 kg or more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 or</w:t>
      </w:r>
    </w:p>
    <w:p>
      <w:pPr>
        <w:pStyle w:val="Indenta"/>
      </w:pPr>
      <w:r>
        <w:tab/>
        <w:t>(c)</w:t>
      </w:r>
      <w:r>
        <w:tab/>
        <w:t>it has a registered identifier applied to it for which the corresponding PIC is the relevant PIC of the property.</w:t>
      </w:r>
    </w:p>
    <w:p>
      <w:pPr>
        <w:pStyle w:val="Penstart"/>
      </w:pPr>
      <w:r>
        <w:tab/>
        <w:t>Penalty for this subregulation: a fine of $5 000.</w:t>
      </w:r>
    </w:p>
    <w:p>
      <w:pPr>
        <w:pStyle w:val="Footnotesection"/>
      </w:pPr>
      <w:r>
        <w:tab/>
        <w:t>[Regulation 129A inserted: Gazette 27 Jun 2019 p. 2430</w:t>
      </w:r>
      <w:r>
        <w:noBreakHyphen/>
        <w:t>1.]</w:t>
      </w:r>
    </w:p>
    <w:p>
      <w:pPr>
        <w:pStyle w:val="Heading5"/>
      </w:pPr>
      <w:bookmarkStart w:id="901" w:name="_Toc91081377"/>
      <w:bookmarkStart w:id="902" w:name="_Toc89252668"/>
      <w:r>
        <w:rPr>
          <w:rStyle w:val="CharSectno"/>
        </w:rPr>
        <w:t>129B</w:t>
      </w:r>
      <w:r>
        <w:t>.</w:t>
      </w:r>
      <w:r>
        <w:tab/>
        <w:t>Exemptions from identification of pigs</w:t>
      </w:r>
      <w:bookmarkEnd w:id="901"/>
      <w:bookmarkEnd w:id="902"/>
    </w:p>
    <w:p>
      <w:pPr>
        <w:pStyle w:val="Subsection"/>
      </w:pPr>
      <w:r>
        <w:tab/>
        <w:t>(1)</w:t>
      </w:r>
      <w:r>
        <w:tab/>
        <w:t>Regulation 129A does not apply —</w:t>
      </w:r>
    </w:p>
    <w:p>
      <w:pPr>
        <w:pStyle w:val="Indenta"/>
      </w:pPr>
      <w:r>
        <w:tab/>
        <w:t>(a)</w:t>
      </w:r>
      <w:r>
        <w:tab/>
        <w:t>to an unweaned pig being moved with its mother from the property on which it is kept to another property with the same relevant PIC; or</w:t>
      </w:r>
    </w:p>
    <w:p>
      <w:pPr>
        <w:pStyle w:val="Indenta"/>
      </w:pPr>
      <w:r>
        <w:tab/>
        <w:t>(b)</w:t>
      </w:r>
      <w:r>
        <w:tab/>
        <w:t>if an inspector approves the movement of the pig without an identifier that meets the requirements of regulation 129A(1) or (2), as the case requires, being applied to the pig.</w:t>
      </w:r>
    </w:p>
    <w:p>
      <w:pPr>
        <w:pStyle w:val="Subsection"/>
      </w:pPr>
      <w:r>
        <w:tab/>
        <w:t>(2)</w:t>
      </w:r>
      <w:r>
        <w:tab/>
        <w:t xml:space="preserve">A person cannot rely upon an exemption in subregulation (1)(b) unless — </w:t>
      </w:r>
    </w:p>
    <w:p>
      <w:pPr>
        <w:pStyle w:val="Indenta"/>
      </w:pPr>
      <w:r>
        <w:tab/>
        <w:t>(a)</w:t>
      </w:r>
      <w:r>
        <w:tab/>
        <w:t>the person has given the carrier of the pig a waybill that relates only to the pigs being moved under the exemption; and</w:t>
      </w:r>
    </w:p>
    <w:p>
      <w:pPr>
        <w:pStyle w:val="Indenta"/>
      </w:pPr>
      <w:r>
        <w:tab/>
        <w:t>(b)</w:t>
      </w:r>
      <w:r>
        <w:tab/>
        <w:t>the person has taken all practicable measures to ensure that the pig, while it is being moved, is kept separate from —</w:t>
      </w:r>
    </w:p>
    <w:p>
      <w:pPr>
        <w:pStyle w:val="Indenti"/>
      </w:pPr>
      <w:r>
        <w:tab/>
        <w:t>(i)</w:t>
      </w:r>
      <w:r>
        <w:tab/>
        <w:t>any pig to which a registered identifier or NLIS identifier is applied; and</w:t>
      </w:r>
    </w:p>
    <w:p>
      <w:pPr>
        <w:pStyle w:val="Indenti"/>
      </w:pPr>
      <w:r>
        <w:tab/>
        <w:t>(ii)</w:t>
      </w:r>
      <w:r>
        <w:tab/>
        <w:t>any pig being moved from another property.</w:t>
      </w:r>
    </w:p>
    <w:p>
      <w:pPr>
        <w:pStyle w:val="Footnotesection"/>
      </w:pPr>
      <w:r>
        <w:tab/>
        <w:t>[Regulation 129B inserted: Gazette 27 Jun 2019 p. 2431.]</w:t>
      </w:r>
    </w:p>
    <w:p>
      <w:pPr>
        <w:pStyle w:val="Heading5"/>
      </w:pPr>
      <w:bookmarkStart w:id="903" w:name="_Toc91081378"/>
      <w:bookmarkStart w:id="904" w:name="_Toc89252669"/>
      <w:r>
        <w:rPr>
          <w:rStyle w:val="CharSectno"/>
        </w:rPr>
        <w:t>130</w:t>
      </w:r>
      <w:r>
        <w:t>.</w:t>
      </w:r>
      <w:r>
        <w:tab/>
        <w:t>Responsibilities of owner after moving animal</w:t>
      </w:r>
      <w:bookmarkEnd w:id="903"/>
      <w:bookmarkEnd w:id="904"/>
    </w:p>
    <w:p>
      <w:pPr>
        <w:pStyle w:val="Subsection"/>
        <w:rPr>
          <w:snapToGrid w:val="0"/>
        </w:rPr>
      </w:pPr>
      <w:r>
        <w:tab/>
        <w:t>(1)</w:t>
      </w:r>
      <w:r>
        <w:tab/>
        <w:t xml:space="preserve">Except as provided in subregulation (3), if an owner of a sheep, goat or pig causes or permits a consignment of one or more animals to be moved from a property on which the animal is, or animals are, kept to a property without the same relevant PIC, </w:t>
      </w:r>
      <w:r>
        <w:rPr>
          <w:snapToGrid w:val="0"/>
        </w:rPr>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w:t>
      </w:r>
      <w:ins w:id="905" w:author="Master Repository Process" w:date="2021-12-31T10:23:00Z">
        <w:r>
          <w:t xml:space="preserve"> for this subregulation</w:t>
        </w:r>
      </w:ins>
      <w:r>
        <w:t>: a fine of $5 000.</w:t>
      </w:r>
    </w:p>
    <w:p>
      <w:pPr>
        <w:pStyle w:val="Subsection"/>
      </w:pPr>
      <w:r>
        <w:tab/>
        <w:t>(2)</w:t>
      </w:r>
      <w:r>
        <w:tab/>
        <w:t xml:space="preserve">It is sufficient compliance with subregulation (1), in relation to any animal in a consignment to which an NLIS device is applied, if the owner, </w:t>
      </w:r>
      <w:r>
        <w:rPr>
          <w:snapToGrid w:val="0"/>
        </w:rPr>
        <w:t xml:space="preserve">within 48 hours </w:t>
      </w:r>
      <w:r>
        <w:t>after the animal is moved, updates the NLIS database in relation to the device by recording</w:t>
      </w:r>
      <w:r>
        <w:rPr>
          <w:snapToGrid w:val="0"/>
        </w:rPr>
        <w:t xml:space="preserve"> the </w:t>
      </w:r>
      <w:r>
        <w:t>information referred to in subregulation (1)(c) to (f).</w:t>
      </w:r>
    </w:p>
    <w:p>
      <w:pPr>
        <w:pStyle w:val="Subsection"/>
      </w:pPr>
      <w:r>
        <w:tab/>
        <w:t>(3)</w:t>
      </w:r>
      <w:r>
        <w:tab/>
        <w:t>Subregulation (1) does not apply if —</w:t>
      </w:r>
    </w:p>
    <w:p>
      <w:pPr>
        <w:pStyle w:val="Indenta"/>
      </w:pPr>
      <w:r>
        <w:tab/>
        <w:t>(a)</w:t>
      </w:r>
      <w:r>
        <w:tab/>
        <w:t>the consignment is moved to a holding yard; or</w:t>
      </w:r>
    </w:p>
    <w:p>
      <w:pPr>
        <w:pStyle w:val="Indenta"/>
      </w:pPr>
      <w:r>
        <w:tab/>
        <w:t>(b)</w:t>
      </w:r>
      <w:r>
        <w:tab/>
        <w:t>the consignment is moved to a saleyard; or</w:t>
      </w:r>
    </w:p>
    <w:p>
      <w:pPr>
        <w:pStyle w:val="Indenta"/>
      </w:pPr>
      <w:r>
        <w:tab/>
        <w:t>(c)</w:t>
      </w:r>
      <w:r>
        <w:tab/>
        <w:t>the consignment is moved from a saleyard after purchasing the animal or animals there; or</w:t>
      </w:r>
    </w:p>
    <w:p>
      <w:pPr>
        <w:pStyle w:val="Indenta"/>
      </w:pPr>
      <w:r>
        <w:tab/>
        <w:t>(d)</w:t>
      </w:r>
      <w:r>
        <w:tab/>
      </w:r>
      <w:r>
        <w:rPr>
          <w:snapToGrid w:val="0"/>
        </w:rPr>
        <w:t xml:space="preserve">the </w:t>
      </w:r>
      <w:r>
        <w:t>consignment is moved</w:t>
      </w:r>
      <w:r>
        <w:rPr>
          <w:snapToGrid w:val="0"/>
        </w:rPr>
        <w:t xml:space="preserve"> directly to an abattoir for slaughter;</w:t>
      </w:r>
      <w:r>
        <w:t xml:space="preserve"> or</w:t>
      </w:r>
    </w:p>
    <w:p>
      <w:pPr>
        <w:pStyle w:val="Indenta"/>
        <w:rPr>
          <w:snapToGrid w:val="0"/>
        </w:rPr>
      </w:pPr>
      <w:r>
        <w:tab/>
        <w:t>(e)</w:t>
      </w:r>
      <w:r>
        <w:tab/>
        <w:t xml:space="preserve">the consignment is moved directly to </w:t>
      </w:r>
      <w:r>
        <w:rPr>
          <w:snapToGrid w:val="0"/>
        </w:rPr>
        <w:t>an export depot for export; or</w:t>
      </w:r>
    </w:p>
    <w:p>
      <w:pPr>
        <w:pStyle w:val="Indenta"/>
      </w:pPr>
      <w:r>
        <w:tab/>
        <w:t>(f)</w:t>
      </w:r>
      <w:r>
        <w:tab/>
        <w:t>an inspector has given written approval for the consignment to be moved to another property without updating the NLIS database.</w:t>
      </w:r>
    </w:p>
    <w:p>
      <w:pPr>
        <w:pStyle w:val="Footnotesection"/>
      </w:pPr>
      <w:r>
        <w:tab/>
        <w:t>[Regulation 130 amended: Gazette 27 Jun 2019 p. 2432</w:t>
      </w:r>
      <w:ins w:id="906" w:author="Master Repository Process" w:date="2021-12-31T10:23:00Z">
        <w:r>
          <w:t>; SL 2021/204 r. 14</w:t>
        </w:r>
      </w:ins>
      <w:r>
        <w:t>.]</w:t>
      </w:r>
    </w:p>
    <w:p>
      <w:pPr>
        <w:pStyle w:val="Heading3"/>
      </w:pPr>
      <w:bookmarkStart w:id="907" w:name="_Toc90995666"/>
      <w:bookmarkStart w:id="908" w:name="_Toc90998719"/>
      <w:bookmarkStart w:id="909" w:name="_Toc91081379"/>
      <w:bookmarkStart w:id="910" w:name="_Toc89179986"/>
      <w:bookmarkStart w:id="911" w:name="_Toc89181453"/>
      <w:bookmarkStart w:id="912" w:name="_Toc89252670"/>
      <w:r>
        <w:rPr>
          <w:rStyle w:val="CharDivNo"/>
        </w:rPr>
        <w:t>Division 3</w:t>
      </w:r>
      <w:r>
        <w:t> — </w:t>
      </w:r>
      <w:r>
        <w:rPr>
          <w:rStyle w:val="CharDivText"/>
        </w:rPr>
        <w:t>Other NLIS requirements for sheep, goats and pigs</w:t>
      </w:r>
      <w:bookmarkEnd w:id="907"/>
      <w:bookmarkEnd w:id="908"/>
      <w:bookmarkEnd w:id="909"/>
      <w:bookmarkEnd w:id="910"/>
      <w:bookmarkEnd w:id="911"/>
      <w:bookmarkEnd w:id="912"/>
    </w:p>
    <w:p>
      <w:pPr>
        <w:pStyle w:val="Footnoteheading"/>
      </w:pPr>
      <w:r>
        <w:tab/>
        <w:t>[Heading inserted: Gazette 27 Jun 2019 p. 2432.]</w:t>
      </w:r>
    </w:p>
    <w:p>
      <w:pPr>
        <w:pStyle w:val="Heading4"/>
      </w:pPr>
      <w:bookmarkStart w:id="913" w:name="_Toc90995667"/>
      <w:bookmarkStart w:id="914" w:name="_Toc90998720"/>
      <w:bookmarkStart w:id="915" w:name="_Toc91081380"/>
      <w:bookmarkStart w:id="916" w:name="_Toc89179987"/>
      <w:bookmarkStart w:id="917" w:name="_Toc89181454"/>
      <w:bookmarkStart w:id="918" w:name="_Toc89252671"/>
      <w:r>
        <w:t>Subdivision 1 — Imported animals, animals from a pound and dead stray animals</w:t>
      </w:r>
      <w:bookmarkEnd w:id="913"/>
      <w:bookmarkEnd w:id="914"/>
      <w:bookmarkEnd w:id="915"/>
      <w:bookmarkEnd w:id="916"/>
      <w:bookmarkEnd w:id="917"/>
      <w:bookmarkEnd w:id="918"/>
    </w:p>
    <w:p>
      <w:pPr>
        <w:pStyle w:val="Heading5"/>
      </w:pPr>
      <w:bookmarkStart w:id="919" w:name="_Toc91081381"/>
      <w:bookmarkStart w:id="920" w:name="_Toc89252672"/>
      <w:r>
        <w:rPr>
          <w:rStyle w:val="CharSectno"/>
        </w:rPr>
        <w:t>131</w:t>
      </w:r>
      <w:r>
        <w:t>.</w:t>
      </w:r>
      <w:r>
        <w:tab/>
        <w:t>Imported sheep, goats and pigs</w:t>
      </w:r>
      <w:bookmarkEnd w:id="919"/>
      <w:bookmarkEnd w:id="920"/>
    </w:p>
    <w:p>
      <w:pPr>
        <w:pStyle w:val="Subsection"/>
      </w:pPr>
      <w:r>
        <w:tab/>
      </w:r>
      <w:r>
        <w:tab/>
        <w:t>A person must not take possession or control of an imported animal unless the animal has an NLIS identifier applied to it.</w:t>
      </w:r>
    </w:p>
    <w:p>
      <w:pPr>
        <w:pStyle w:val="Penstart"/>
      </w:pPr>
      <w:r>
        <w:tab/>
        <w:t>Penalty: a fine of $5 000.</w:t>
      </w:r>
    </w:p>
    <w:p>
      <w:pPr>
        <w:pStyle w:val="Heading5"/>
      </w:pPr>
      <w:bookmarkStart w:id="921" w:name="_Toc91081382"/>
      <w:bookmarkStart w:id="922" w:name="_Toc89252673"/>
      <w:r>
        <w:rPr>
          <w:rStyle w:val="CharSectno"/>
        </w:rPr>
        <w:t>132</w:t>
      </w:r>
      <w:r>
        <w:t>.</w:t>
      </w:r>
      <w:r>
        <w:tab/>
        <w:t>Sheep, goats and pigs from pound</w:t>
      </w:r>
      <w:bookmarkEnd w:id="921"/>
      <w:bookmarkEnd w:id="922"/>
    </w:p>
    <w:p>
      <w:pPr>
        <w:pStyle w:val="Subsection"/>
      </w:pPr>
      <w:r>
        <w:tab/>
      </w:r>
      <w:r>
        <w:tab/>
        <w:t>A person must not take possession or control of an animal from a pound unless the animal has an NLIS identifier applied to it.</w:t>
      </w:r>
    </w:p>
    <w:p>
      <w:pPr>
        <w:pStyle w:val="Penstart"/>
      </w:pPr>
      <w:r>
        <w:tab/>
        <w:t>Penalty: a fine of $5 000.</w:t>
      </w:r>
    </w:p>
    <w:p>
      <w:pPr>
        <w:pStyle w:val="Heading5"/>
      </w:pPr>
      <w:bookmarkStart w:id="923" w:name="_Toc91081383"/>
      <w:bookmarkStart w:id="924" w:name="_Toc89252674"/>
      <w:r>
        <w:rPr>
          <w:rStyle w:val="CharSectno"/>
        </w:rPr>
        <w:t>133</w:t>
      </w:r>
      <w:r>
        <w:t>.</w:t>
      </w:r>
      <w:r>
        <w:tab/>
        <w:t>Dead stray sheep, goats and pigs</w:t>
      </w:r>
      <w:bookmarkEnd w:id="923"/>
      <w:bookmarkEnd w:id="924"/>
    </w:p>
    <w:p>
      <w:pPr>
        <w:pStyle w:val="Subsection"/>
        <w:keepNext/>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w:t>
      </w:r>
      <w:ins w:id="925" w:author="Master Repository Process" w:date="2021-12-31T10:23:00Z">
        <w:r>
          <w:t xml:space="preserve"> for this subregulation</w:t>
        </w:r>
      </w:ins>
      <w:r>
        <w:t>: a fine of $2 000.</w:t>
      </w:r>
    </w:p>
    <w:p>
      <w:pPr>
        <w:pStyle w:val="Footnotesection"/>
        <w:rPr>
          <w:ins w:id="926" w:author="Master Repository Process" w:date="2021-12-31T10:23:00Z"/>
        </w:rPr>
      </w:pPr>
      <w:ins w:id="927" w:author="Master Repository Process" w:date="2021-12-31T10:23:00Z">
        <w:r>
          <w:tab/>
          <w:t>[Regulation 133 amended: SL 2021/204 r. 14.]</w:t>
        </w:r>
      </w:ins>
    </w:p>
    <w:p>
      <w:pPr>
        <w:pStyle w:val="Heading4"/>
      </w:pPr>
      <w:bookmarkStart w:id="928" w:name="_Toc90995671"/>
      <w:bookmarkStart w:id="929" w:name="_Toc90998724"/>
      <w:bookmarkStart w:id="930" w:name="_Toc91081384"/>
      <w:bookmarkStart w:id="931" w:name="_Toc89179991"/>
      <w:bookmarkStart w:id="932" w:name="_Toc89181458"/>
      <w:bookmarkStart w:id="933" w:name="_Toc89252675"/>
      <w:r>
        <w:t>Subdivision 2 — Carriers and purchasers</w:t>
      </w:r>
      <w:bookmarkEnd w:id="928"/>
      <w:bookmarkEnd w:id="929"/>
      <w:bookmarkEnd w:id="930"/>
      <w:bookmarkEnd w:id="931"/>
      <w:bookmarkEnd w:id="932"/>
      <w:bookmarkEnd w:id="933"/>
    </w:p>
    <w:p>
      <w:pPr>
        <w:pStyle w:val="Heading5"/>
      </w:pPr>
      <w:bookmarkStart w:id="934" w:name="_Toc91081385"/>
      <w:bookmarkStart w:id="935" w:name="_Toc89252676"/>
      <w:r>
        <w:rPr>
          <w:rStyle w:val="CharSectno"/>
        </w:rPr>
        <w:t>134</w:t>
      </w:r>
      <w:r>
        <w:t>.</w:t>
      </w:r>
      <w:r>
        <w:tab/>
        <w:t>Responsibilities of carriers</w:t>
      </w:r>
      <w:bookmarkEnd w:id="934"/>
      <w:bookmarkEnd w:id="935"/>
    </w:p>
    <w:p>
      <w:pPr>
        <w:pStyle w:val="Subsection"/>
      </w:pPr>
      <w:r>
        <w:tab/>
        <w:t>(1)</w:t>
      </w:r>
      <w:r>
        <w:tab/>
        <w:t>A carrier moving an animal from a property to a holding yard must, as soon as practicable after arriving there, endorse on the transport document relating to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w:t>
      </w:r>
      <w:ins w:id="936" w:author="Master Repository Process" w:date="2021-12-31T10:23:00Z">
        <w:r>
          <w:t xml:space="preserve"> for this subregulation</w:t>
        </w:r>
      </w:ins>
      <w:r>
        <w:t>: a fine of $2 000.</w:t>
      </w:r>
    </w:p>
    <w:p>
      <w:pPr>
        <w:pStyle w:val="Subsection"/>
        <w:keepNext/>
      </w:pPr>
      <w:r>
        <w:tab/>
        <w:t>(2)</w:t>
      </w:r>
      <w:r>
        <w:tab/>
      </w:r>
      <w:r>
        <w:rPr>
          <w:snapToGrid w:val="0"/>
        </w:rPr>
        <w:t xml:space="preserve">If a carrier moves from a property an animal to which an NLIS identifier is not applied, the carrier must keep the </w:t>
      </w:r>
      <w:r>
        <w:t>animal separate from —</w:t>
      </w:r>
    </w:p>
    <w:p>
      <w:pPr>
        <w:pStyle w:val="Indenta"/>
      </w:pPr>
      <w:r>
        <w:tab/>
        <w:t>(a)</w:t>
      </w:r>
      <w:r>
        <w:tab/>
        <w:t>any animal to which an NLIS identifier is applied; and</w:t>
      </w:r>
    </w:p>
    <w:p>
      <w:pPr>
        <w:pStyle w:val="Indenta"/>
      </w:pPr>
      <w:r>
        <w:tab/>
        <w:t>(b)</w:t>
      </w:r>
      <w:r>
        <w:tab/>
        <w:t>any animal being moved from another property.</w:t>
      </w:r>
    </w:p>
    <w:p>
      <w:pPr>
        <w:pStyle w:val="Penstart"/>
      </w:pPr>
      <w:r>
        <w:tab/>
        <w:t>Penalty</w:t>
      </w:r>
      <w:ins w:id="937" w:author="Master Repository Process" w:date="2021-12-31T10:23:00Z">
        <w:r>
          <w:t xml:space="preserve"> for this subregulation</w:t>
        </w:r>
      </w:ins>
      <w:r>
        <w:t>: a fine of $2 000.</w:t>
      </w:r>
    </w:p>
    <w:p>
      <w:pPr>
        <w:pStyle w:val="Footnotesection"/>
        <w:rPr>
          <w:ins w:id="938" w:author="Master Repository Process" w:date="2021-12-31T10:23:00Z"/>
        </w:rPr>
      </w:pPr>
      <w:ins w:id="939" w:author="Master Repository Process" w:date="2021-12-31T10:23:00Z">
        <w:r>
          <w:tab/>
          <w:t>[Regulation 134 amended: SL 2021/204 r. 14.]</w:t>
        </w:r>
      </w:ins>
    </w:p>
    <w:p>
      <w:pPr>
        <w:pStyle w:val="Heading5"/>
      </w:pPr>
      <w:bookmarkStart w:id="940" w:name="_Toc91081386"/>
      <w:bookmarkStart w:id="941" w:name="_Toc89252677"/>
      <w:r>
        <w:rPr>
          <w:rStyle w:val="CharSectno"/>
        </w:rPr>
        <w:t>135</w:t>
      </w:r>
      <w:r>
        <w:t>.</w:t>
      </w:r>
      <w:r>
        <w:tab/>
        <w:t>Responsibilities of purchasers</w:t>
      </w:r>
      <w:bookmarkEnd w:id="940"/>
      <w:bookmarkEnd w:id="941"/>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w:t>
      </w:r>
      <w:ins w:id="942" w:author="Master Repository Process" w:date="2021-12-31T10:23:00Z">
        <w:r>
          <w:t xml:space="preserve"> for this subregulation</w:t>
        </w:r>
      </w:ins>
      <w:r>
        <w:t>: a fine of $5 000.</w:t>
      </w:r>
    </w:p>
    <w:p>
      <w:pPr>
        <w:pStyle w:val="Subsection"/>
      </w:pPr>
      <w:r>
        <w:tab/>
        <w:t>(2)</w:t>
      </w:r>
      <w:r>
        <w:tab/>
        <w:t>A purchaser of an animal at a saleyard must, when requested by the saleyard operator, give the saleyard operator either —</w:t>
      </w:r>
    </w:p>
    <w:p>
      <w:pPr>
        <w:pStyle w:val="Indenta"/>
      </w:pPr>
      <w:r>
        <w:tab/>
        <w:t>(a)</w:t>
      </w:r>
      <w:r>
        <w:tab/>
        <w:t>the relevant</w:t>
      </w:r>
      <w:r>
        <w:rPr>
          <w:snapToGrid w:val="0"/>
        </w:rPr>
        <w:t xml:space="preserve"> PIC of the property </w:t>
      </w:r>
      <w:r>
        <w:t>to which the animal is to be moved; or</w:t>
      </w:r>
    </w:p>
    <w:p>
      <w:pPr>
        <w:pStyle w:val="Indenta"/>
      </w:pPr>
      <w:r>
        <w:tab/>
        <w:t>(b)</w:t>
      </w:r>
      <w:r>
        <w:tab/>
        <w:t>the purchaser’s BIC.</w:t>
      </w:r>
    </w:p>
    <w:p>
      <w:pPr>
        <w:pStyle w:val="Penstart"/>
      </w:pPr>
      <w:r>
        <w:tab/>
        <w:t>Penalty</w:t>
      </w:r>
      <w:ins w:id="943" w:author="Master Repository Process" w:date="2021-12-31T10:23:00Z">
        <w:r>
          <w:t xml:space="preserve"> for this subregulation</w:t>
        </w:r>
      </w:ins>
      <w:r>
        <w:t>: a fine of $5 000.</w:t>
      </w:r>
    </w:p>
    <w:p>
      <w:pPr>
        <w:pStyle w:val="Subsection"/>
      </w:pPr>
      <w:r>
        <w:tab/>
        <w:t>(3)</w:t>
      </w:r>
      <w:r>
        <w:tab/>
        <w:t>A purchaser of a consignment of one or more animals at a property, other than a saleyard, must, within 48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property from which the consignment has been moved;</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w:t>
      </w:r>
      <w:ins w:id="944" w:author="Master Repository Process" w:date="2021-12-31T10:23:00Z">
        <w:r>
          <w:t xml:space="preserve"> for this subregulation</w:t>
        </w:r>
      </w:ins>
      <w:r>
        <w:t>: a fine of $5 000.</w:t>
      </w:r>
    </w:p>
    <w:p>
      <w:pPr>
        <w:pStyle w:val="Subsection"/>
      </w:pPr>
      <w:r>
        <w:tab/>
        <w:t>(4)</w:t>
      </w:r>
      <w:r>
        <w:tab/>
        <w:t>It is sufficient compliance with subregulation (3), in relation to any animal in a consignment to which an NLIS device is applied, if, within 48 hours after the animal is moved from the property, the purchaser updates the NLIS database in relation to the device by recording the information referred to in subregulation (3)(c) to (f).</w:t>
      </w:r>
    </w:p>
    <w:p>
      <w:pPr>
        <w:pStyle w:val="Subsection"/>
        <w:rPr>
          <w:snapToGrid w:val="0"/>
        </w:rPr>
      </w:pPr>
      <w:r>
        <w:tab/>
        <w:t>(5)</w:t>
      </w:r>
      <w:r>
        <w:tab/>
        <w:t>If, in relation to the purchase of a consignment of one or more animals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purchaser’s BIC;</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w:t>
      </w:r>
      <w:ins w:id="945" w:author="Master Repository Process" w:date="2021-12-31T10:23:00Z">
        <w:r>
          <w:t xml:space="preserve"> for this subregulation</w:t>
        </w:r>
      </w:ins>
      <w:r>
        <w:t>: a fine of $5 000.</w:t>
      </w:r>
    </w:p>
    <w:p>
      <w:pPr>
        <w:pStyle w:val="Subsection"/>
      </w:pPr>
      <w:r>
        <w:tab/>
        <w:t>(6)</w:t>
      </w:r>
      <w:r>
        <w:tab/>
        <w:t>It is sufficient compliance with subregulation (5), in relation to any animal in a consignment to which an NLIS device is applied, if, within 24 hours after the animal is moved from the saleyard, the purchaser updates the NLIS database in relation to the device by recording the information referred to in subregulation (5)(c) to (f).</w:t>
      </w:r>
    </w:p>
    <w:p>
      <w:pPr>
        <w:pStyle w:val="Subsection"/>
        <w:keepNext/>
      </w:pPr>
      <w:r>
        <w:tab/>
        <w:t>(7)</w:t>
      </w:r>
      <w:r>
        <w:tab/>
        <w:t>A purchaser of an animal at a property must not take possession or control of the animal unless it is moved in accordance with this Part.</w:t>
      </w:r>
    </w:p>
    <w:p>
      <w:pPr>
        <w:pStyle w:val="Penstart"/>
        <w:keepNext/>
      </w:pPr>
      <w:r>
        <w:tab/>
        <w:t>Penalty</w:t>
      </w:r>
      <w:ins w:id="946" w:author="Master Repository Process" w:date="2021-12-31T10:23:00Z">
        <w:r>
          <w:t xml:space="preserve"> for this subregulation</w:t>
        </w:r>
      </w:ins>
      <w:r>
        <w:t>: a fine of $5 000.</w:t>
      </w:r>
    </w:p>
    <w:p>
      <w:pPr>
        <w:pStyle w:val="Footnotesection"/>
      </w:pPr>
      <w:r>
        <w:tab/>
        <w:t>[Regulation 135 amended: Gazette 27 Jun 2019 p. 2433</w:t>
      </w:r>
      <w:r>
        <w:noBreakHyphen/>
        <w:t>4</w:t>
      </w:r>
      <w:ins w:id="947" w:author="Master Repository Process" w:date="2021-12-31T10:23:00Z">
        <w:r>
          <w:t>; SL 2021/204 r. 14</w:t>
        </w:r>
      </w:ins>
      <w:r>
        <w:t>.]</w:t>
      </w:r>
    </w:p>
    <w:p>
      <w:pPr>
        <w:pStyle w:val="Heading4"/>
      </w:pPr>
      <w:bookmarkStart w:id="948" w:name="_Toc90995674"/>
      <w:bookmarkStart w:id="949" w:name="_Toc90998727"/>
      <w:bookmarkStart w:id="950" w:name="_Toc91081387"/>
      <w:bookmarkStart w:id="951" w:name="_Toc89179994"/>
      <w:bookmarkStart w:id="952" w:name="_Toc89181461"/>
      <w:bookmarkStart w:id="953" w:name="_Toc89252678"/>
      <w:r>
        <w:t>Subdivision 3 — General provisions relating to property operators</w:t>
      </w:r>
      <w:bookmarkEnd w:id="948"/>
      <w:bookmarkEnd w:id="949"/>
      <w:bookmarkEnd w:id="950"/>
      <w:bookmarkEnd w:id="951"/>
      <w:bookmarkEnd w:id="952"/>
      <w:bookmarkEnd w:id="953"/>
    </w:p>
    <w:p>
      <w:pPr>
        <w:pStyle w:val="Heading5"/>
      </w:pPr>
      <w:bookmarkStart w:id="954" w:name="_Toc91081388"/>
      <w:bookmarkStart w:id="955" w:name="_Toc89252679"/>
      <w:r>
        <w:rPr>
          <w:rStyle w:val="CharSectno"/>
        </w:rPr>
        <w:t>136</w:t>
      </w:r>
      <w:r>
        <w:t>.</w:t>
      </w:r>
      <w:r>
        <w:tab/>
        <w:t>Sheep, goats and pigs not to be delivered to property without relevant PIC</w:t>
      </w:r>
      <w:bookmarkEnd w:id="954"/>
      <w:bookmarkEnd w:id="955"/>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956" w:name="_Toc91081389"/>
      <w:bookmarkStart w:id="957" w:name="_Toc89252680"/>
      <w:r>
        <w:rPr>
          <w:rStyle w:val="CharSectno"/>
        </w:rPr>
        <w:t>137</w:t>
      </w:r>
      <w:r>
        <w:t>.</w:t>
      </w:r>
      <w:r>
        <w:tab/>
        <w:t>Responsibilities of property operator if animal dies on or while being moved to property</w:t>
      </w:r>
      <w:bookmarkEnd w:id="956"/>
      <w:bookmarkEnd w:id="957"/>
    </w:p>
    <w:p>
      <w:pPr>
        <w:pStyle w:val="Subsection"/>
      </w:pPr>
      <w:r>
        <w:tab/>
        <w:t>(1)</w:t>
      </w:r>
      <w:r>
        <w:tab/>
        <w:t>This regulation does not apply to an animal that dies on the farming property on which it is kept or while being moved from a property to another property with the same relevant PIC.</w:t>
      </w:r>
    </w:p>
    <w:p>
      <w:pPr>
        <w:pStyle w:val="Subsection"/>
      </w:pPr>
      <w:r>
        <w:tab/>
        <w:t>(2)</w:t>
      </w:r>
      <w:r>
        <w:tab/>
        <w:t xml:space="preserve">If one or more animals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animals that died;</w:t>
      </w:r>
    </w:p>
    <w:p>
      <w:pPr>
        <w:pStyle w:val="Indenta"/>
      </w:pPr>
      <w:r>
        <w:tab/>
        <w:t>(c)</w:t>
      </w:r>
      <w:r>
        <w:tab/>
        <w:t>the relevant PIC of the last property at which the animal was kept;</w:t>
      </w:r>
    </w:p>
    <w:p>
      <w:pPr>
        <w:pStyle w:val="Indenta"/>
      </w:pPr>
      <w:r>
        <w:tab/>
        <w:t>(d)</w:t>
      </w:r>
      <w:r>
        <w:tab/>
        <w:t>the relevant PIC of the property on which the animal or animals died or to which the consignment was being moved;</w:t>
      </w:r>
    </w:p>
    <w:p>
      <w:pPr>
        <w:pStyle w:val="Indenta"/>
      </w:pPr>
      <w:r>
        <w:tab/>
        <w:t>(e)</w:t>
      </w:r>
      <w:r>
        <w:tab/>
        <w:t>the serial number of the transport document relating to the movement of the consignment;</w:t>
      </w:r>
    </w:p>
    <w:p>
      <w:pPr>
        <w:pStyle w:val="Indenta"/>
      </w:pPr>
      <w:r>
        <w:tab/>
        <w:t>(f)</w:t>
      </w:r>
      <w:r>
        <w:tab/>
        <w:t>the date of death for each animal.</w:t>
      </w:r>
    </w:p>
    <w:p>
      <w:pPr>
        <w:pStyle w:val="Penstart"/>
      </w:pPr>
      <w:r>
        <w:tab/>
        <w:t>Penalty</w:t>
      </w:r>
      <w:ins w:id="958" w:author="Master Repository Process" w:date="2021-12-31T10:23:00Z">
        <w:r>
          <w:t xml:space="preserve"> for this subregulation</w:t>
        </w:r>
      </w:ins>
      <w:r>
        <w:t>: a fine of $2 000.</w:t>
      </w:r>
    </w:p>
    <w:p>
      <w:pPr>
        <w:pStyle w:val="Subsection"/>
      </w:pPr>
      <w:r>
        <w:tab/>
        <w:t>(3)</w:t>
      </w:r>
      <w:r>
        <w:tab/>
        <w:t xml:space="preserve">It is sufficient compliance with subregulation (2), in relation to any animal in a consignment to which an NLIS device is applied, if within </w:t>
      </w:r>
      <w:r>
        <w:rPr>
          <w:snapToGrid w:val="0"/>
        </w:rPr>
        <w:t>48 hours</w:t>
      </w:r>
      <w:r>
        <w:t xml:space="preserve"> after the death of the animal, the property operator updates the NLIS database in relation to the device by recording the information referred to in subregulation (2)(c) to (f).</w:t>
      </w:r>
    </w:p>
    <w:p>
      <w:pPr>
        <w:pStyle w:val="Footnotesection"/>
      </w:pPr>
      <w:r>
        <w:tab/>
        <w:t>[Regulation 137 amended: Gazette 27 Jun 2019 p. 2434</w:t>
      </w:r>
      <w:r>
        <w:noBreakHyphen/>
        <w:t>5</w:t>
      </w:r>
      <w:ins w:id="959" w:author="Master Repository Process" w:date="2021-12-31T10:23:00Z">
        <w:r>
          <w:t>; SL 2021/204 r. 14</w:t>
        </w:r>
      </w:ins>
      <w:r>
        <w:t>.]</w:t>
      </w:r>
    </w:p>
    <w:p>
      <w:pPr>
        <w:pStyle w:val="Heading4"/>
      </w:pPr>
      <w:bookmarkStart w:id="960" w:name="_Toc90995677"/>
      <w:bookmarkStart w:id="961" w:name="_Toc90998730"/>
      <w:bookmarkStart w:id="962" w:name="_Toc91081390"/>
      <w:bookmarkStart w:id="963" w:name="_Toc89179997"/>
      <w:bookmarkStart w:id="964" w:name="_Toc89181464"/>
      <w:bookmarkStart w:id="965" w:name="_Toc89252681"/>
      <w:r>
        <w:t>Subdivision 4 — Pounds</w:t>
      </w:r>
      <w:bookmarkEnd w:id="960"/>
      <w:bookmarkEnd w:id="961"/>
      <w:bookmarkEnd w:id="962"/>
      <w:bookmarkEnd w:id="963"/>
      <w:bookmarkEnd w:id="964"/>
      <w:bookmarkEnd w:id="965"/>
    </w:p>
    <w:p>
      <w:pPr>
        <w:pStyle w:val="Heading5"/>
      </w:pPr>
      <w:bookmarkStart w:id="966" w:name="_Toc91081391"/>
      <w:bookmarkStart w:id="967" w:name="_Toc89252682"/>
      <w:r>
        <w:rPr>
          <w:rStyle w:val="CharSectno"/>
        </w:rPr>
        <w:t>138</w:t>
      </w:r>
      <w:r>
        <w:t>.</w:t>
      </w:r>
      <w:r>
        <w:tab/>
        <w:t>Responsibilities of pound operator if no NLIS device applied to animal</w:t>
      </w:r>
      <w:bookmarkEnd w:id="966"/>
      <w:bookmarkEnd w:id="967"/>
    </w:p>
    <w:p>
      <w:pPr>
        <w:pStyle w:val="Subsection"/>
      </w:pPr>
      <w:r>
        <w:tab/>
        <w:t>(1)</w:t>
      </w:r>
      <w:r>
        <w:tab/>
        <w:t>This regulation does not apply to an animal to which an NLIS device is applied.</w:t>
      </w:r>
    </w:p>
    <w:p>
      <w:pPr>
        <w:pStyle w:val="Subsection"/>
      </w:pPr>
      <w:r>
        <w:tab/>
        <w:t>(2)</w:t>
      </w:r>
      <w:r>
        <w:tab/>
        <w:t>The operator of a pound may, before an animal is moved to the pound, apply, or cause to be applied, to the animal an NLIS post breeder tag.</w:t>
      </w:r>
    </w:p>
    <w:p>
      <w:pPr>
        <w:pStyle w:val="Subsection"/>
      </w:pPr>
      <w:r>
        <w:tab/>
        <w:t>(3)</w:t>
      </w:r>
      <w:r>
        <w:tab/>
        <w:t xml:space="preserve">Unless an inspector in a particular case approves otherwise, if an animal is moved to a pound before the pound operator has applied, or caused to be applied, to the animal an NLIS post breeder tag, the pound operator </w:t>
      </w:r>
      <w:r>
        <w:rPr>
          <w:snapToGrid w:val="0"/>
        </w:rPr>
        <w:t>must</w:t>
      </w:r>
      <w:r>
        <w:t>, within the period specified in subregulation (4), apply, or cause to be applied, to the animal an NLIS post breeder tag.</w:t>
      </w:r>
    </w:p>
    <w:p>
      <w:pPr>
        <w:pStyle w:val="Penstart"/>
      </w:pPr>
      <w:r>
        <w:tab/>
        <w:t>Penalty</w:t>
      </w:r>
      <w:ins w:id="968" w:author="Master Repository Process" w:date="2021-12-31T10:23:00Z">
        <w:r>
          <w:t xml:space="preserve"> for this subregulation</w:t>
        </w:r>
      </w:ins>
      <w:r>
        <w:t>: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animal is moved to the pound and before it is moved from the pound.</w:t>
      </w:r>
    </w:p>
    <w:p>
      <w:pPr>
        <w:pStyle w:val="Footnotesection"/>
      </w:pPr>
      <w:r>
        <w:tab/>
        <w:t>[Regulation 138 amended: Gazette 27 Jun 2019 p. 2435</w:t>
      </w:r>
      <w:ins w:id="969" w:author="Master Repository Process" w:date="2021-12-31T10:23:00Z">
        <w:r>
          <w:t>; SL 2021/204 r. 14</w:t>
        </w:r>
      </w:ins>
      <w:r>
        <w:t>.]</w:t>
      </w:r>
    </w:p>
    <w:p>
      <w:pPr>
        <w:pStyle w:val="Heading5"/>
      </w:pPr>
      <w:bookmarkStart w:id="970" w:name="_Toc91081392"/>
      <w:bookmarkStart w:id="971" w:name="_Toc89252683"/>
      <w:r>
        <w:rPr>
          <w:rStyle w:val="CharSectno"/>
        </w:rPr>
        <w:t>139</w:t>
      </w:r>
      <w:r>
        <w:t>.</w:t>
      </w:r>
      <w:r>
        <w:tab/>
        <w:t>Responsibilities of pound operator if animal born at or while being moved to pound</w:t>
      </w:r>
      <w:bookmarkEnd w:id="970"/>
      <w:bookmarkEnd w:id="971"/>
    </w:p>
    <w:p>
      <w:pPr>
        <w:pStyle w:val="Subsection"/>
      </w:pPr>
      <w:r>
        <w:tab/>
      </w:r>
      <w:r>
        <w:tab/>
        <w:t xml:space="preserve">If an animal is born at, or while being moved to, a pound, the </w:t>
      </w:r>
      <w:r>
        <w:rPr>
          <w:snapToGrid w:val="0"/>
        </w:rPr>
        <w:t xml:space="preserve">pound operator </w:t>
      </w:r>
      <w:r>
        <w:t>must, as soon as practicable after its birth and before it is moved from the pound, apply, or cause to be applied, to the animal an NLIS post breeder tag.</w:t>
      </w:r>
    </w:p>
    <w:p>
      <w:pPr>
        <w:pStyle w:val="Penstart"/>
      </w:pPr>
      <w:r>
        <w:tab/>
        <w:t>Penalty: a fine of $2 000.</w:t>
      </w:r>
    </w:p>
    <w:p>
      <w:pPr>
        <w:pStyle w:val="Heading5"/>
      </w:pPr>
      <w:bookmarkStart w:id="972" w:name="_Toc91081393"/>
      <w:bookmarkStart w:id="973" w:name="_Toc89252684"/>
      <w:r>
        <w:rPr>
          <w:rStyle w:val="CharSectno"/>
        </w:rPr>
        <w:t>140</w:t>
      </w:r>
      <w:r>
        <w:t>.</w:t>
      </w:r>
      <w:r>
        <w:tab/>
        <w:t>Responsibilities of pound operator if NLIS device applied to animal</w:t>
      </w:r>
      <w:bookmarkEnd w:id="972"/>
      <w:bookmarkEnd w:id="973"/>
    </w:p>
    <w:p>
      <w:pPr>
        <w:pStyle w:val="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t>the date the animal arrived at the pound.</w:t>
      </w:r>
    </w:p>
    <w:p>
      <w:pPr>
        <w:pStyle w:val="Penstart"/>
      </w:pPr>
      <w:r>
        <w:tab/>
        <w:t>Penalty</w:t>
      </w:r>
      <w:ins w:id="974" w:author="Master Repository Process" w:date="2021-12-31T10:23:00Z">
        <w:r>
          <w:t xml:space="preserve"> for this subregulation</w:t>
        </w:r>
      </w:ins>
      <w:r>
        <w:t>: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is moved to the pound and before it is moved from the pound.</w:t>
      </w:r>
    </w:p>
    <w:p>
      <w:pPr>
        <w:pStyle w:val="Footnotesection"/>
        <w:rPr>
          <w:ins w:id="975" w:author="Master Repository Process" w:date="2021-12-31T10:23:00Z"/>
        </w:rPr>
      </w:pPr>
      <w:ins w:id="976" w:author="Master Repository Process" w:date="2021-12-31T10:23:00Z">
        <w:r>
          <w:tab/>
          <w:t>[Regulation 140 amended: SL 2021/204 r. 14.]</w:t>
        </w:r>
      </w:ins>
    </w:p>
    <w:p>
      <w:pPr>
        <w:pStyle w:val="Heading5"/>
      </w:pPr>
      <w:bookmarkStart w:id="977" w:name="_Toc91081394"/>
      <w:bookmarkStart w:id="978" w:name="_Toc89252685"/>
      <w:r>
        <w:rPr>
          <w:rStyle w:val="CharSectno"/>
        </w:rPr>
        <w:t>141</w:t>
      </w:r>
      <w:r>
        <w:t>.</w:t>
      </w:r>
      <w:r>
        <w:tab/>
        <w:t>Responsibilities of pound operator if animal moved from pound</w:t>
      </w:r>
      <w:bookmarkEnd w:id="977"/>
      <w:bookmarkEnd w:id="978"/>
    </w:p>
    <w:p>
      <w:pPr>
        <w:pStyle w:val="Subsection"/>
      </w:pPr>
      <w:r>
        <w:tab/>
        <w:t>(1)</w:t>
      </w:r>
      <w:r>
        <w:tab/>
        <w:t xml:space="preserve">A pound operator must not move, or permit to be moved, from the pound an animal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w:t>
      </w:r>
      <w:ins w:id="979" w:author="Master Repository Process" w:date="2021-12-31T10:23:00Z">
        <w:r>
          <w:t xml:space="preserve"> for this subregulation</w:t>
        </w:r>
      </w:ins>
      <w:r>
        <w:t>: a fine of $2 000.</w:t>
      </w:r>
    </w:p>
    <w:p>
      <w:pPr>
        <w:pStyle w:val="Subsection"/>
      </w:pPr>
      <w:r>
        <w:tab/>
        <w:t>(2)</w:t>
      </w:r>
      <w:r>
        <w:tab/>
        <w:t xml:space="preserve">If a consignment of one or more animals,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tab/>
        <w:t>(c)</w:t>
      </w:r>
      <w:r>
        <w:tab/>
        <w:t>the number of animals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animal or animals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w:t>
      </w:r>
      <w:ins w:id="980" w:author="Master Repository Process" w:date="2021-12-31T10:23:00Z">
        <w:r>
          <w:t xml:space="preserve"> for this subregulation</w:t>
        </w:r>
      </w:ins>
      <w:r>
        <w:t>: a fine of $2 000.</w:t>
      </w:r>
    </w:p>
    <w:p>
      <w:pPr>
        <w:pStyle w:val="Subsection"/>
      </w:pPr>
      <w:r>
        <w:tab/>
        <w:t>(3)</w:t>
      </w:r>
      <w:r>
        <w:tab/>
        <w:t>If an animal to which an NLIS device is applied is moved from a pound, the pound operator</w:t>
      </w:r>
      <w:r>
        <w:rPr>
          <w:snapToGrid w:val="0"/>
        </w:rPr>
        <w:t xml:space="preserve"> must</w:t>
      </w:r>
      <w:r>
        <w:t>, within 48 hours after the animal is moved, update the NLIS database in relation to the device by recording the following —</w:t>
      </w:r>
    </w:p>
    <w:p>
      <w:pPr>
        <w:pStyle w:val="Indenta"/>
      </w:pPr>
      <w:r>
        <w:tab/>
        <w:t>(a)</w:t>
      </w:r>
      <w:r>
        <w:tab/>
        <w:t>the relevant PIC of the property to which the animal has been moved;</w:t>
      </w:r>
    </w:p>
    <w:p>
      <w:pPr>
        <w:pStyle w:val="Indenta"/>
        <w:rPr>
          <w:snapToGrid w:val="0"/>
        </w:rPr>
      </w:pPr>
      <w:r>
        <w:tab/>
        <w:t>(b)</w:t>
      </w:r>
      <w:r>
        <w:tab/>
        <w:t xml:space="preserve">the serial number of the transport document </w:t>
      </w:r>
      <w:r>
        <w:rPr>
          <w:snapToGrid w:val="0"/>
        </w:rPr>
        <w:t>relating to the movement of the animal from the pound;</w:t>
      </w:r>
    </w:p>
    <w:p>
      <w:pPr>
        <w:pStyle w:val="Indenta"/>
      </w:pPr>
      <w:r>
        <w:tab/>
        <w:t>(c)</w:t>
      </w:r>
      <w:r>
        <w:tab/>
        <w:t>the date the animal was moved from the pound.</w:t>
      </w:r>
    </w:p>
    <w:p>
      <w:pPr>
        <w:pStyle w:val="Penstart"/>
      </w:pPr>
      <w:r>
        <w:tab/>
        <w:t>Penalty</w:t>
      </w:r>
      <w:ins w:id="981" w:author="Master Repository Process" w:date="2021-12-31T10:23:00Z">
        <w:r>
          <w:t xml:space="preserve"> for this subregulation</w:t>
        </w:r>
      </w:ins>
      <w:r>
        <w:t>: a fine of $2 000.</w:t>
      </w:r>
    </w:p>
    <w:p>
      <w:pPr>
        <w:pStyle w:val="Footnotesection"/>
      </w:pPr>
      <w:r>
        <w:tab/>
        <w:t>[Regulation 141 amended: Gazette 27 Jun 2019 p. 2436</w:t>
      </w:r>
      <w:ins w:id="982" w:author="Master Repository Process" w:date="2021-12-31T10:23:00Z">
        <w:r>
          <w:t>; SL 2021/204 r. 14</w:t>
        </w:r>
      </w:ins>
      <w:r>
        <w:t>.]</w:t>
      </w:r>
    </w:p>
    <w:p>
      <w:pPr>
        <w:pStyle w:val="Heading4"/>
        <w:keepLines/>
      </w:pPr>
      <w:bookmarkStart w:id="983" w:name="_Toc90995682"/>
      <w:bookmarkStart w:id="984" w:name="_Toc90998735"/>
      <w:bookmarkStart w:id="985" w:name="_Toc91081395"/>
      <w:bookmarkStart w:id="986" w:name="_Toc89180002"/>
      <w:bookmarkStart w:id="987" w:name="_Toc89181469"/>
      <w:bookmarkStart w:id="988" w:name="_Toc89252686"/>
      <w:r>
        <w:t>Subdivision 5 — Holding yards</w:t>
      </w:r>
      <w:bookmarkEnd w:id="983"/>
      <w:bookmarkEnd w:id="984"/>
      <w:bookmarkEnd w:id="985"/>
      <w:bookmarkEnd w:id="986"/>
      <w:bookmarkEnd w:id="987"/>
      <w:bookmarkEnd w:id="988"/>
    </w:p>
    <w:p>
      <w:pPr>
        <w:pStyle w:val="Heading5"/>
      </w:pPr>
      <w:bookmarkStart w:id="989" w:name="_Toc91081396"/>
      <w:bookmarkStart w:id="990" w:name="_Toc89252687"/>
      <w:r>
        <w:rPr>
          <w:rStyle w:val="CharSectno"/>
        </w:rPr>
        <w:t>142</w:t>
      </w:r>
      <w:r>
        <w:t>.</w:t>
      </w:r>
      <w:r>
        <w:tab/>
        <w:t>Responsibility of holding yard operator if no NLIS identifier applied to animal</w:t>
      </w:r>
      <w:bookmarkEnd w:id="989"/>
      <w:bookmarkEnd w:id="990"/>
    </w:p>
    <w:p>
      <w:pPr>
        <w:pStyle w:val="Subsection"/>
        <w:keepLines/>
      </w:pPr>
      <w:r>
        <w:tab/>
        <w:t>(1)</w:t>
      </w:r>
      <w:r>
        <w:tab/>
        <w:t>In this regulation —</w:t>
      </w:r>
    </w:p>
    <w:p>
      <w:pPr>
        <w:pStyle w:val="Defstart"/>
        <w:rPr>
          <w:snapToGrid/>
        </w:rPr>
      </w:pPr>
      <w:r>
        <w:tab/>
      </w:r>
      <w:r>
        <w:rPr>
          <w:rStyle w:val="CharDefText"/>
        </w:rPr>
        <w:t>NLIS device</w:t>
      </w:r>
      <w:r>
        <w:t>, in relation to an animal moved to a holding yard, means an NLIS device in relation to which the NLIS database has been updated with the relevant PIC of the property from which the animal was moved to the holding yard</w:t>
      </w:r>
      <w:r>
        <w:rPr>
          <w:snapToGrid/>
        </w:rPr>
        <w:t>;</w:t>
      </w:r>
    </w:p>
    <w:p>
      <w:pPr>
        <w:pStyle w:val="Defstart"/>
        <w:keepNext/>
        <w:keepLines/>
      </w:pPr>
      <w:r>
        <w:rPr>
          <w:b/>
        </w:rPr>
        <w:tab/>
      </w:r>
      <w:r>
        <w:rPr>
          <w:rStyle w:val="CharDefText"/>
        </w:rPr>
        <w:t>NLIS tag</w:t>
      </w:r>
      <w:r>
        <w:t xml:space="preserve">, in relation to an animal moved to a holding yard, means an NLIS tag that displays — </w:t>
      </w:r>
    </w:p>
    <w:p>
      <w:pPr>
        <w:pStyle w:val="Defpara"/>
      </w:pPr>
      <w:r>
        <w:tab/>
        <w:t>(a)</w:t>
      </w:r>
      <w:r>
        <w:tab/>
        <w:t>the relevant PIC of the property from which the animal was moved to the holding yard; or</w:t>
      </w:r>
    </w:p>
    <w:p>
      <w:pPr>
        <w:pStyle w:val="Defpara"/>
      </w:pPr>
      <w:r>
        <w:tab/>
        <w:t>(b)</w:t>
      </w:r>
      <w:r>
        <w:tab/>
        <w:t>a registered identifier for which the corresponding PIC is the relevant PIC of the property from which the animal was moved to the holding yard.</w:t>
      </w:r>
    </w:p>
    <w:p>
      <w:pPr>
        <w:pStyle w:val="Subsection"/>
      </w:pPr>
      <w:r>
        <w:tab/>
        <w:t>(2)</w:t>
      </w:r>
      <w:r>
        <w:tab/>
        <w:t>Unless an inspector in a particular case approves otherwise, if an animal to which neither an NLIS tag nor an NLIS device is applied is moved to a holding yard, the holding yard operator must, within the period specified in subregulation (3), apply, or cause to be applied, to the animal an NLIS post breeder tag.</w:t>
      </w:r>
    </w:p>
    <w:p>
      <w:pPr>
        <w:pStyle w:val="Penstart"/>
      </w:pPr>
      <w:r>
        <w:tab/>
        <w:t>Penalty</w:t>
      </w:r>
      <w:ins w:id="991" w:author="Master Repository Process" w:date="2021-12-31T10:23:00Z">
        <w:r>
          <w:t xml:space="preserve"> for this subregulation</w:t>
        </w:r>
      </w:ins>
      <w:r>
        <w:t>: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animal arrives at the holding yard and before it is moved from the holding yard.</w:t>
      </w:r>
    </w:p>
    <w:p>
      <w:pPr>
        <w:pStyle w:val="Subsection"/>
      </w:pPr>
      <w:r>
        <w:tab/>
        <w:t>(4)</w:t>
      </w:r>
      <w:r>
        <w:tab/>
        <w:t>If a consignment of animals is moved to a holding yard and more than 10% of the animals have neither an NLIS tag nor an NLIS device applied to them, the holding yard operator must —</w:t>
      </w:r>
    </w:p>
    <w:p>
      <w:pPr>
        <w:pStyle w:val="Indenta"/>
      </w:pPr>
      <w:r>
        <w:tab/>
        <w:t>(a)</w:t>
      </w:r>
      <w:r>
        <w:tab/>
        <w:t>hold the animals at the holding yard; and</w:t>
      </w:r>
    </w:p>
    <w:p>
      <w:pPr>
        <w:pStyle w:val="Indenta"/>
        <w:keepNext/>
      </w:pPr>
      <w:r>
        <w:tab/>
        <w:t>(b)</w:t>
      </w:r>
      <w:r>
        <w:tab/>
        <w:t>inform an inspector accordingly.</w:t>
      </w:r>
    </w:p>
    <w:p>
      <w:pPr>
        <w:pStyle w:val="Penstart"/>
        <w:keepNext/>
      </w:pPr>
      <w:r>
        <w:tab/>
        <w:t>Penalty</w:t>
      </w:r>
      <w:ins w:id="992" w:author="Master Repository Process" w:date="2021-12-31T10:23:00Z">
        <w:r>
          <w:t xml:space="preserve"> for this subregulation</w:t>
        </w:r>
      </w:ins>
      <w:r>
        <w:t>: a fine of $2 000.</w:t>
      </w:r>
    </w:p>
    <w:p>
      <w:pPr>
        <w:pStyle w:val="Footnotesection"/>
      </w:pPr>
      <w:r>
        <w:tab/>
        <w:t>[Regulation 142 amended: Gazette 27 Jun 2019 p. 2436</w:t>
      </w:r>
      <w:ins w:id="993" w:author="Master Repository Process" w:date="2021-12-31T10:23:00Z">
        <w:r>
          <w:t>; SL 2021/204 r. 14</w:t>
        </w:r>
      </w:ins>
      <w:r>
        <w:t>.]</w:t>
      </w:r>
    </w:p>
    <w:p>
      <w:pPr>
        <w:pStyle w:val="Heading5"/>
      </w:pPr>
      <w:bookmarkStart w:id="994" w:name="_Toc91081397"/>
      <w:bookmarkStart w:id="995" w:name="_Toc89252688"/>
      <w:r>
        <w:rPr>
          <w:rStyle w:val="CharSectno"/>
        </w:rPr>
        <w:t>143</w:t>
      </w:r>
      <w:r>
        <w:t>.</w:t>
      </w:r>
      <w:r>
        <w:tab/>
        <w:t>Directions by inspectors</w:t>
      </w:r>
      <w:bookmarkEnd w:id="994"/>
      <w:bookmarkEnd w:id="995"/>
    </w:p>
    <w:p>
      <w:pPr>
        <w:pStyle w:val="Subsection"/>
      </w:pPr>
      <w:r>
        <w:tab/>
        <w:t>(1)</w:t>
      </w:r>
      <w:r>
        <w:tab/>
        <w:t>For the purposes of regulation 142(4)(b),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w:t>
      </w:r>
      <w:ins w:id="996" w:author="Master Repository Process" w:date="2021-12-31T10:23:00Z">
        <w:r>
          <w:t xml:space="preserve"> for this subregulation</w:t>
        </w:r>
      </w:ins>
      <w:r>
        <w:t>: a fine of $5 000.</w:t>
      </w:r>
    </w:p>
    <w:p>
      <w:pPr>
        <w:pStyle w:val="Footnotesection"/>
        <w:rPr>
          <w:ins w:id="997" w:author="Master Repository Process" w:date="2021-12-31T10:23:00Z"/>
        </w:rPr>
      </w:pPr>
      <w:ins w:id="998" w:author="Master Repository Process" w:date="2021-12-31T10:23:00Z">
        <w:r>
          <w:tab/>
          <w:t>[Regulation 143 amended: SL 2021/204 r. 14.]</w:t>
        </w:r>
      </w:ins>
    </w:p>
    <w:p>
      <w:pPr>
        <w:pStyle w:val="Heading5"/>
      </w:pPr>
      <w:bookmarkStart w:id="999" w:name="_Toc91081398"/>
      <w:bookmarkStart w:id="1000" w:name="_Toc89252689"/>
      <w:r>
        <w:rPr>
          <w:rStyle w:val="CharSectno"/>
        </w:rPr>
        <w:t>144</w:t>
      </w:r>
      <w:r>
        <w:t>.</w:t>
      </w:r>
      <w:r>
        <w:tab/>
        <w:t>Responsibilities of holding yard operator if animal born at or while being moved to holding yard</w:t>
      </w:r>
      <w:bookmarkEnd w:id="999"/>
      <w:bookmarkEnd w:id="1000"/>
      <w:r>
        <w:t xml:space="preserve"> </w:t>
      </w:r>
    </w:p>
    <w:p>
      <w:pPr>
        <w:pStyle w:val="Subsection"/>
      </w:pPr>
      <w:r>
        <w:tab/>
      </w:r>
      <w:r>
        <w:tab/>
        <w:t xml:space="preserve">If an animal is born at, or while being moved to, a holding yard, the </w:t>
      </w:r>
      <w:r>
        <w:rPr>
          <w:snapToGrid w:val="0"/>
        </w:rPr>
        <w:t xml:space="preserve">holding yard operator </w:t>
      </w:r>
      <w:r>
        <w:t>must, as soon as practicable after its birth and before it is moved from the holding yard, apply, or cause to be applied, to the animal an NLIS post breeder tag.</w:t>
      </w:r>
    </w:p>
    <w:p>
      <w:pPr>
        <w:pStyle w:val="Penstart"/>
      </w:pPr>
      <w:r>
        <w:tab/>
        <w:t>Penalty: a fine of $2 000.</w:t>
      </w:r>
    </w:p>
    <w:p>
      <w:pPr>
        <w:pStyle w:val="Heading5"/>
      </w:pPr>
      <w:bookmarkStart w:id="1001" w:name="_Toc91081399"/>
      <w:bookmarkStart w:id="1002" w:name="_Toc89252690"/>
      <w:r>
        <w:rPr>
          <w:rStyle w:val="CharSectno"/>
        </w:rPr>
        <w:t>145</w:t>
      </w:r>
      <w:r>
        <w:t>.</w:t>
      </w:r>
      <w:r>
        <w:tab/>
        <w:t>Responsibilities of holding yard operator if animal held at holding yard for more than 48 hours or moved from holding yard in different consignment</w:t>
      </w:r>
      <w:bookmarkEnd w:id="1001"/>
      <w:bookmarkEnd w:id="1002"/>
    </w:p>
    <w:p>
      <w:pPr>
        <w:pStyle w:val="Subsection"/>
      </w:pPr>
      <w:r>
        <w:tab/>
        <w:t>(1)</w:t>
      </w:r>
      <w:r>
        <w:tab/>
        <w:t xml:space="preserve">If an animal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the holding yard operator must, before the animal is moved from the holding yard, apply, or cause to be applied, to the animal an NLIS post breeder tag.</w:t>
      </w:r>
    </w:p>
    <w:p>
      <w:pPr>
        <w:pStyle w:val="Penstart"/>
      </w:pPr>
      <w:r>
        <w:tab/>
        <w:t>Penalty</w:t>
      </w:r>
      <w:ins w:id="1003" w:author="Master Repository Process" w:date="2021-12-31T10:23:00Z">
        <w:r>
          <w:t xml:space="preserve"> for this subregulation</w:t>
        </w:r>
      </w:ins>
      <w:r>
        <w:t>: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animal an NLIS post breeder tag; or</w:t>
      </w:r>
    </w:p>
    <w:p>
      <w:pPr>
        <w:pStyle w:val="Indenta"/>
      </w:pPr>
      <w:r>
        <w:tab/>
        <w:t>(c)</w:t>
      </w:r>
      <w:r>
        <w:tab/>
        <w:t>the animal has an NLIS device applied to it and the holding yard operator has updated the NLIS database in relation to the device by recording the information referred to in regulation 146(2)(a) to (d).</w:t>
      </w:r>
    </w:p>
    <w:p>
      <w:pPr>
        <w:pStyle w:val="Footnotesection"/>
        <w:rPr>
          <w:ins w:id="1004" w:author="Master Repository Process" w:date="2021-12-31T10:23:00Z"/>
        </w:rPr>
      </w:pPr>
      <w:ins w:id="1005" w:author="Master Repository Process" w:date="2021-12-31T10:23:00Z">
        <w:r>
          <w:tab/>
          <w:t>[Regulation 145 amended: SL 2021/204 r. 14.]</w:t>
        </w:r>
      </w:ins>
    </w:p>
    <w:p>
      <w:pPr>
        <w:pStyle w:val="Heading5"/>
      </w:pPr>
      <w:bookmarkStart w:id="1006" w:name="_Toc91081400"/>
      <w:bookmarkStart w:id="1007" w:name="_Toc89252691"/>
      <w:r>
        <w:rPr>
          <w:rStyle w:val="CharSectno"/>
        </w:rPr>
        <w:t>146</w:t>
      </w:r>
      <w:r>
        <w:t>.</w:t>
      </w:r>
      <w:r>
        <w:tab/>
        <w:t>Other responsibilities of holding yard operators</w:t>
      </w:r>
      <w:bookmarkEnd w:id="1006"/>
      <w:bookmarkEnd w:id="1007"/>
    </w:p>
    <w:p>
      <w:pPr>
        <w:pStyle w:val="Subsection"/>
      </w:pPr>
      <w:r>
        <w:tab/>
        <w:t>(1)</w:t>
      </w:r>
      <w:r>
        <w:tab/>
        <w:t xml:space="preserve">Unless an inspector in a particular case approves otherwise, if a consignment of one or more animals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serial number displayed on any NLIS post breeder tag applied to the animal or animals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animal or animals;</w:t>
      </w:r>
    </w:p>
    <w:p>
      <w:pPr>
        <w:pStyle w:val="Indenta"/>
      </w:pPr>
      <w:r>
        <w:tab/>
        <w:t>(h)</w:t>
      </w:r>
      <w:r>
        <w:tab/>
        <w:t>the date the consignment arrived at the holding yard.</w:t>
      </w:r>
    </w:p>
    <w:p>
      <w:pPr>
        <w:pStyle w:val="Penstart"/>
      </w:pPr>
      <w:r>
        <w:tab/>
        <w:t>Penalty</w:t>
      </w:r>
      <w:ins w:id="1008" w:author="Master Repository Process" w:date="2021-12-31T10:23:00Z">
        <w:r>
          <w:t xml:space="preserve"> for this subregulation</w:t>
        </w:r>
      </w:ins>
      <w:r>
        <w:t>: a fine of $2 000.</w:t>
      </w:r>
    </w:p>
    <w:p>
      <w:pPr>
        <w:pStyle w:val="Subsection"/>
      </w:pPr>
      <w:r>
        <w:tab/>
        <w:t>(2)</w:t>
      </w:r>
      <w:r>
        <w:tab/>
        <w:t>It is sufficient compliance with subregulation (1), in relation to any animal in a consignment to which an NLIS device is applied, if the holding yard operator, before the animal is moved from the holding yard, updates the NLIS database in relation to the device by recording the information referred to in subregulation (1)(c), (d), (f) and (h).</w:t>
      </w:r>
    </w:p>
    <w:p>
      <w:pPr>
        <w:pStyle w:val="Footnotesection"/>
      </w:pPr>
      <w:r>
        <w:tab/>
        <w:t>[Regulation 146 amended: Gazette 27 Jun 2019 p. 2436</w:t>
      </w:r>
      <w:ins w:id="1009" w:author="Master Repository Process" w:date="2021-12-31T10:23:00Z">
        <w:r>
          <w:t>; SL 2021/204 r. 14</w:t>
        </w:r>
      </w:ins>
      <w:r>
        <w:t>.]</w:t>
      </w:r>
    </w:p>
    <w:p>
      <w:pPr>
        <w:pStyle w:val="Heading4"/>
      </w:pPr>
      <w:bookmarkStart w:id="1010" w:name="_Toc90995688"/>
      <w:bookmarkStart w:id="1011" w:name="_Toc90998741"/>
      <w:bookmarkStart w:id="1012" w:name="_Toc91081401"/>
      <w:bookmarkStart w:id="1013" w:name="_Toc89180008"/>
      <w:bookmarkStart w:id="1014" w:name="_Toc89181475"/>
      <w:bookmarkStart w:id="1015" w:name="_Toc89252692"/>
      <w:r>
        <w:t>Subdivision 6 — Saleyards</w:t>
      </w:r>
      <w:bookmarkEnd w:id="1010"/>
      <w:bookmarkEnd w:id="1011"/>
      <w:bookmarkEnd w:id="1012"/>
      <w:bookmarkEnd w:id="1013"/>
      <w:bookmarkEnd w:id="1014"/>
      <w:bookmarkEnd w:id="1015"/>
    </w:p>
    <w:p>
      <w:pPr>
        <w:pStyle w:val="Heading5"/>
      </w:pPr>
      <w:bookmarkStart w:id="1016" w:name="_Toc91081402"/>
      <w:bookmarkStart w:id="1017" w:name="_Toc89252693"/>
      <w:r>
        <w:rPr>
          <w:rStyle w:val="CharSectno"/>
        </w:rPr>
        <w:t>147</w:t>
      </w:r>
      <w:r>
        <w:t>.</w:t>
      </w:r>
      <w:r>
        <w:tab/>
        <w:t>When saleyard to be treated as holding yard</w:t>
      </w:r>
      <w:bookmarkEnd w:id="1016"/>
      <w:bookmarkEnd w:id="1017"/>
    </w:p>
    <w:p>
      <w:pPr>
        <w:pStyle w:val="Subsection"/>
      </w:pPr>
      <w:r>
        <w:tab/>
      </w:r>
      <w:r>
        <w:tab/>
        <w:t>If a sheep, goat or pig is moved to a saleyard for purposes other than for sale, and while the sheep, goat or pig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regulations 142 to 146 apply, with any necessary modifications, to the movement of the sheep, goat or pig as if the saleyard were a holding yard.</w:t>
      </w:r>
    </w:p>
    <w:p>
      <w:pPr>
        <w:pStyle w:val="Footnotesection"/>
      </w:pPr>
      <w:r>
        <w:tab/>
        <w:t>[Regulation 147 amended: Gazette 27 Jun 2019 p. 2436</w:t>
      </w:r>
      <w:r>
        <w:noBreakHyphen/>
        <w:t>7.]</w:t>
      </w:r>
    </w:p>
    <w:p>
      <w:pPr>
        <w:pStyle w:val="Heading5"/>
      </w:pPr>
      <w:bookmarkStart w:id="1018" w:name="_Toc91081403"/>
      <w:bookmarkStart w:id="1019" w:name="_Toc89252694"/>
      <w:r>
        <w:rPr>
          <w:rStyle w:val="CharSectno"/>
        </w:rPr>
        <w:t>148</w:t>
      </w:r>
      <w:r>
        <w:t>.</w:t>
      </w:r>
      <w:r>
        <w:tab/>
        <w:t>Responsibilities of saleyard operator if no NLIS identifier applied to animal</w:t>
      </w:r>
      <w:bookmarkEnd w:id="1018"/>
      <w:bookmarkEnd w:id="1019"/>
    </w:p>
    <w:p>
      <w:pPr>
        <w:pStyle w:val="Subsection"/>
        <w:keepNext/>
        <w:keepLines/>
      </w:pPr>
      <w:r>
        <w:tab/>
        <w:t>(1)</w:t>
      </w:r>
      <w:r>
        <w:tab/>
        <w:t>In this regulation —</w:t>
      </w:r>
    </w:p>
    <w:p>
      <w:pPr>
        <w:pStyle w:val="Defstart"/>
        <w:keepLines/>
        <w:rPr>
          <w:snapToGrid/>
        </w:rPr>
      </w:pPr>
      <w:r>
        <w:rPr>
          <w:b/>
        </w:rPr>
        <w:tab/>
      </w:r>
      <w:r>
        <w:rPr>
          <w:rStyle w:val="CharDefText"/>
        </w:rPr>
        <w:t>NLIS device</w:t>
      </w:r>
      <w:r>
        <w:t>, in relation to an animal moved to a saleyard, means an NLIS device in relation to which the NLIS database has been updated with the relevant PIC of the property from which the animal was moved to the saleyard</w:t>
      </w:r>
      <w:r>
        <w:rPr>
          <w:snapToGrid/>
        </w:rPr>
        <w:t>;</w:t>
      </w:r>
    </w:p>
    <w:p>
      <w:pPr>
        <w:pStyle w:val="Defstart"/>
        <w:keepLines/>
      </w:pPr>
      <w:r>
        <w:rPr>
          <w:b/>
        </w:rPr>
        <w:tab/>
      </w:r>
      <w:r>
        <w:rPr>
          <w:rStyle w:val="CharDefText"/>
        </w:rPr>
        <w:t>NLIS tag</w:t>
      </w:r>
      <w:r>
        <w:t xml:space="preserve">, in relation to an animal moved to a saleyard, means an NLIS tag that displays — </w:t>
      </w:r>
    </w:p>
    <w:p>
      <w:pPr>
        <w:pStyle w:val="Defpara"/>
      </w:pPr>
      <w:r>
        <w:tab/>
        <w:t>(a)</w:t>
      </w:r>
      <w:r>
        <w:tab/>
        <w:t>the relevant PIC of the property from which the animal was moved to the saleyard; or</w:t>
      </w:r>
    </w:p>
    <w:p>
      <w:pPr>
        <w:pStyle w:val="Defpara"/>
      </w:pPr>
      <w:r>
        <w:tab/>
        <w:t>(b)</w:t>
      </w:r>
      <w:r>
        <w:tab/>
        <w:t>a registered identifier for which the corresponding PIC is the relevant PIC of the property from which the animal was moved to the saleyard.</w:t>
      </w:r>
    </w:p>
    <w:p>
      <w:pPr>
        <w:pStyle w:val="Subsection"/>
      </w:pPr>
      <w:r>
        <w:tab/>
        <w:t>(2)</w:t>
      </w:r>
      <w:r>
        <w:tab/>
        <w:t>Unless an inspector in a particular case approves otherwise, if an animal to which neither an NLIS tag nor an NLIS device is applied is moved to a saleyard, the saleyard operator must, within the period specified in subregulation (3), apply, or cause to be applied, to the animal an NLIS post breeder tag.</w:t>
      </w:r>
    </w:p>
    <w:p>
      <w:pPr>
        <w:pStyle w:val="Penstart"/>
      </w:pPr>
      <w:r>
        <w:tab/>
        <w:t>Penalty</w:t>
      </w:r>
      <w:ins w:id="1020" w:author="Master Repository Process" w:date="2021-12-31T10:23:00Z">
        <w:r>
          <w:t xml:space="preserve"> for this subregulation</w:t>
        </w:r>
      </w:ins>
      <w:r>
        <w:t>: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animal arrives at the saleyard and before it is sold or moved from the saleyard.</w:t>
      </w:r>
    </w:p>
    <w:p>
      <w:pPr>
        <w:pStyle w:val="Subsection"/>
      </w:pPr>
      <w:r>
        <w:tab/>
        <w:t>(4)</w:t>
      </w:r>
      <w:r>
        <w:tab/>
        <w:t>Except as provided in subregulation (5), if a consignment of animals is moved to a saleyard and more than 10% of the animals have neither an NLIS tag nor an NLIS device applied to them, the operator of the saleyard must —</w:t>
      </w:r>
    </w:p>
    <w:p>
      <w:pPr>
        <w:pStyle w:val="Indenta"/>
      </w:pPr>
      <w:r>
        <w:tab/>
        <w:t>(a)</w:t>
      </w:r>
      <w:r>
        <w:tab/>
        <w:t>hold the animals at the saleyard without selling them; and</w:t>
      </w:r>
    </w:p>
    <w:p>
      <w:pPr>
        <w:pStyle w:val="Indenta"/>
      </w:pPr>
      <w:r>
        <w:tab/>
        <w:t>(b)</w:t>
      </w:r>
      <w:r>
        <w:tab/>
        <w:t>inform an inspector accordingly.</w:t>
      </w:r>
    </w:p>
    <w:p>
      <w:pPr>
        <w:pStyle w:val="Penstart"/>
      </w:pPr>
      <w:r>
        <w:tab/>
        <w:t>Penalty</w:t>
      </w:r>
      <w:ins w:id="1021" w:author="Master Repository Process" w:date="2021-12-31T10:23:00Z">
        <w:r>
          <w:t xml:space="preserve"> for this subregulation</w:t>
        </w:r>
      </w:ins>
      <w:r>
        <w:t>: a fine of $2 000.</w:t>
      </w:r>
    </w:p>
    <w:p>
      <w:pPr>
        <w:pStyle w:val="Subsection"/>
      </w:pPr>
      <w:r>
        <w:tab/>
        <w:t>(5)</w:t>
      </w:r>
      <w:r>
        <w:tab/>
        <w:t>Subregulation (4) does not apply to a consignment of animals to which an NLIS identifier is not applied that is moved to a saleyard under the exemption in regulation 129(1)(d) or 129B(1)(b).</w:t>
      </w:r>
    </w:p>
    <w:p>
      <w:pPr>
        <w:pStyle w:val="Footnotesection"/>
      </w:pPr>
      <w:r>
        <w:tab/>
        <w:t>[Regulation 148 amended: Gazette 27 Jun 2019 p. 2437</w:t>
      </w:r>
      <w:ins w:id="1022" w:author="Master Repository Process" w:date="2021-12-31T10:23:00Z">
        <w:r>
          <w:t>; SL 2021/204 r. 14</w:t>
        </w:r>
      </w:ins>
      <w:r>
        <w:t>.]</w:t>
      </w:r>
    </w:p>
    <w:p>
      <w:pPr>
        <w:pStyle w:val="Heading5"/>
      </w:pPr>
      <w:bookmarkStart w:id="1023" w:name="_Toc91081404"/>
      <w:bookmarkStart w:id="1024" w:name="_Toc89252695"/>
      <w:r>
        <w:rPr>
          <w:rStyle w:val="CharSectno"/>
        </w:rPr>
        <w:t>149</w:t>
      </w:r>
      <w:r>
        <w:t>.</w:t>
      </w:r>
      <w:r>
        <w:tab/>
        <w:t>Directions by inspectors</w:t>
      </w:r>
      <w:bookmarkEnd w:id="1023"/>
      <w:bookmarkEnd w:id="1024"/>
    </w:p>
    <w:p>
      <w:pPr>
        <w:pStyle w:val="Subsection"/>
      </w:pPr>
      <w:r>
        <w:tab/>
        <w:t>(1)</w:t>
      </w:r>
      <w:r>
        <w:tab/>
        <w:t>For the purposes of regulation 148(4)(b), the inspector may give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w:t>
      </w:r>
      <w:ins w:id="1025" w:author="Master Repository Process" w:date="2021-12-31T10:23:00Z">
        <w:r>
          <w:t xml:space="preserve"> for this subregulation</w:t>
        </w:r>
      </w:ins>
      <w:r>
        <w:t>: a fine of $5 000.</w:t>
      </w:r>
    </w:p>
    <w:p>
      <w:pPr>
        <w:pStyle w:val="Footnotesection"/>
        <w:rPr>
          <w:ins w:id="1026" w:author="Master Repository Process" w:date="2021-12-31T10:23:00Z"/>
        </w:rPr>
      </w:pPr>
      <w:ins w:id="1027" w:author="Master Repository Process" w:date="2021-12-31T10:23:00Z">
        <w:r>
          <w:tab/>
          <w:t>[Regulation 149 amended: SL 2021/204 r. 14.]</w:t>
        </w:r>
      </w:ins>
    </w:p>
    <w:p>
      <w:pPr>
        <w:pStyle w:val="Heading5"/>
      </w:pPr>
      <w:bookmarkStart w:id="1028" w:name="_Toc91081405"/>
      <w:bookmarkStart w:id="1029" w:name="_Toc89252696"/>
      <w:r>
        <w:rPr>
          <w:rStyle w:val="CharSectno"/>
        </w:rPr>
        <w:t>150</w:t>
      </w:r>
      <w:r>
        <w:t>.</w:t>
      </w:r>
      <w:r>
        <w:tab/>
        <w:t>Responsibilities of saleyard operator if animal born at or while being moved to saleyard</w:t>
      </w:r>
      <w:bookmarkEnd w:id="1028"/>
      <w:bookmarkEnd w:id="1029"/>
    </w:p>
    <w:p>
      <w:pPr>
        <w:pStyle w:val="Subsection"/>
      </w:pPr>
      <w:r>
        <w:tab/>
      </w:r>
      <w:r>
        <w:tab/>
        <w:t>If an animal is born at, or while being moved to, a saleyard, the saleyard operator must, as soon as practicable after its birth and before it is sold or moved from the saleyard, apply, or cause to be applied, to the animal an NLIS post breeder tag.</w:t>
      </w:r>
    </w:p>
    <w:p>
      <w:pPr>
        <w:pStyle w:val="Penstart"/>
      </w:pPr>
      <w:r>
        <w:tab/>
        <w:t>Penalty: a fine of $5 000.</w:t>
      </w:r>
    </w:p>
    <w:p>
      <w:pPr>
        <w:pStyle w:val="Heading5"/>
      </w:pPr>
      <w:bookmarkStart w:id="1030" w:name="_Toc91081406"/>
      <w:bookmarkStart w:id="1031" w:name="_Toc89252697"/>
      <w:r>
        <w:rPr>
          <w:rStyle w:val="CharSectno"/>
        </w:rPr>
        <w:t>151</w:t>
      </w:r>
      <w:r>
        <w:t>.</w:t>
      </w:r>
      <w:r>
        <w:tab/>
        <w:t>Responsibilities of saleyard operator if animal moved from saleyard</w:t>
      </w:r>
      <w:bookmarkEnd w:id="1030"/>
      <w:bookmarkEnd w:id="1031"/>
    </w:p>
    <w:p>
      <w:pPr>
        <w:pStyle w:val="Subsection"/>
        <w:keepNext/>
      </w:pPr>
      <w:r>
        <w:tab/>
        <w:t>(1)</w:t>
      </w:r>
      <w:r>
        <w:tab/>
        <w:t xml:space="preserve">A saleyard operator must not move, or permit to be moved, from the saleyard an animal to which an NLIS identifier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w:t>
      </w:r>
      <w:ins w:id="1032" w:author="Master Repository Process" w:date="2021-12-31T10:23:00Z">
        <w:r>
          <w:t xml:space="preserve"> for this subregulation</w:t>
        </w:r>
      </w:ins>
      <w:r>
        <w:t>: a fine of $5 000.</w:t>
      </w:r>
    </w:p>
    <w:p>
      <w:pPr>
        <w:pStyle w:val="Subsection"/>
      </w:pPr>
      <w:r>
        <w:tab/>
        <w:t>(2)</w:t>
      </w:r>
      <w:r>
        <w:tab/>
        <w:t>A saleyard operator must not, without the approval of an inspector, cause or permit an animal to which an NLIS tag is applied to be sold or moved from the saleyard unless the tag is legible.</w:t>
      </w:r>
    </w:p>
    <w:p>
      <w:pPr>
        <w:pStyle w:val="Penstart"/>
      </w:pPr>
      <w:r>
        <w:tab/>
        <w:t>Penalty</w:t>
      </w:r>
      <w:ins w:id="1033" w:author="Master Repository Process" w:date="2021-12-31T10:23:00Z">
        <w:r>
          <w:t xml:space="preserve"> for this subregulation</w:t>
        </w:r>
      </w:ins>
      <w:r>
        <w:t>: a fine of $5 000.</w:t>
      </w:r>
    </w:p>
    <w:p>
      <w:pPr>
        <w:pStyle w:val="Footnotesection"/>
      </w:pPr>
      <w:r>
        <w:tab/>
        <w:t>[Regulation 151 amended: Gazette 27 Jun 2019 p. 2437</w:t>
      </w:r>
      <w:ins w:id="1034" w:author="Master Repository Process" w:date="2021-12-31T10:23:00Z">
        <w:r>
          <w:t>; SL 2021/204 r. 14</w:t>
        </w:r>
      </w:ins>
      <w:r>
        <w:t>.]</w:t>
      </w:r>
    </w:p>
    <w:p>
      <w:pPr>
        <w:pStyle w:val="Heading5"/>
      </w:pPr>
      <w:bookmarkStart w:id="1035" w:name="_Toc91081407"/>
      <w:bookmarkStart w:id="1036" w:name="_Toc89252698"/>
      <w:r>
        <w:rPr>
          <w:rStyle w:val="CharSectno"/>
        </w:rPr>
        <w:t>152</w:t>
      </w:r>
      <w:r>
        <w:t>.</w:t>
      </w:r>
      <w:r>
        <w:tab/>
        <w:t>Other responsibilities of saleyard operators</w:t>
      </w:r>
      <w:bookmarkEnd w:id="1035"/>
      <w:bookmarkEnd w:id="1036"/>
    </w:p>
    <w:p>
      <w:pPr>
        <w:pStyle w:val="Subsection"/>
      </w:pPr>
      <w:r>
        <w:tab/>
        <w:t>(1)</w:t>
      </w:r>
      <w:r>
        <w:tab/>
        <w:t>The operator of a saleyard must, within the period specified in subregulation (3), record in the NLIS database the movement of a consignment of animals to the saleyard, and any subsequent sale or other movement of a consignment of animals from the saleyard, including the following (as applicable)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animal or animals;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serial number displayed of any NLIS post breeder tag applied to the animal or animals at the saleyard;</w:t>
      </w:r>
    </w:p>
    <w:p>
      <w:pPr>
        <w:pStyle w:val="Indenta"/>
      </w:pPr>
      <w:r>
        <w:tab/>
        <w:t>(i)</w:t>
      </w:r>
      <w:r>
        <w:tab/>
        <w:t>the date the consignment was sold at, or otherwise moved from, the saleyard.</w:t>
      </w:r>
    </w:p>
    <w:p>
      <w:pPr>
        <w:pStyle w:val="Penstart"/>
      </w:pPr>
      <w:r>
        <w:tab/>
        <w:t>Penalty</w:t>
      </w:r>
      <w:ins w:id="1037" w:author="Master Repository Process" w:date="2021-12-31T10:23:00Z">
        <w:r>
          <w:t xml:space="preserve"> for this subregulation</w:t>
        </w:r>
      </w:ins>
      <w:r>
        <w:t>: a fine of $5 000.</w:t>
      </w:r>
    </w:p>
    <w:p>
      <w:pPr>
        <w:pStyle w:val="Subsection"/>
      </w:pPr>
      <w:r>
        <w:tab/>
        <w:t>(2)</w:t>
      </w:r>
      <w:r>
        <w:tab/>
        <w:t>It is sufficient compliance with subregulation (1), in relation to any animal in a consignment to which an NLIS device is applied, if the saleyard operator, within the period specified in subregulation (3), updates the NLIS database in relation to the device by recording the following (as applicable) —</w:t>
      </w:r>
    </w:p>
    <w:p>
      <w:pPr>
        <w:pStyle w:val="Indenta"/>
      </w:pPr>
      <w:r>
        <w:tab/>
        <w:t>(a)</w:t>
      </w:r>
      <w:r>
        <w:tab/>
        <w:t>the date the animal arrived at the saleyard;</w:t>
      </w:r>
    </w:p>
    <w:p>
      <w:pPr>
        <w:pStyle w:val="Indenta"/>
      </w:pPr>
      <w:r>
        <w:tab/>
        <w:t>(b)</w:t>
      </w:r>
      <w:r>
        <w:tab/>
        <w:t>the information referred to in subregulation (1)(c), (d), (e), (g) and (i).</w:t>
      </w:r>
    </w:p>
    <w:p>
      <w:pPr>
        <w:pStyle w:val="Ednotepara"/>
      </w:pPr>
      <w:r>
        <w:tab/>
        <w:t>[(c)-(f)</w:t>
      </w:r>
      <w:r>
        <w:tab/>
        <w:t>deleted]</w:t>
      </w:r>
    </w:p>
    <w:p>
      <w:pPr>
        <w:pStyle w:val="Subsection"/>
        <w:keepNext/>
      </w:pPr>
      <w:r>
        <w:tab/>
        <w:t>(3)</w:t>
      </w:r>
      <w:r>
        <w:tab/>
        <w:t>The saleyard operator must comply with the requirements of subregulation (1) or (2) within 48 hours after the consignment is moved from the saleyard.</w:t>
      </w:r>
    </w:p>
    <w:p>
      <w:pPr>
        <w:pStyle w:val="Footnotesection"/>
      </w:pPr>
      <w:r>
        <w:tab/>
        <w:t>[Regulation 152 amended: Gazette 27 Jun 2019 p. 2438</w:t>
      </w:r>
      <w:ins w:id="1038" w:author="Master Repository Process" w:date="2021-12-31T10:23:00Z">
        <w:r>
          <w:t>; SL 2021/204 r. 14</w:t>
        </w:r>
      </w:ins>
      <w:r>
        <w:t>.]</w:t>
      </w:r>
    </w:p>
    <w:p>
      <w:pPr>
        <w:pStyle w:val="Heading4"/>
      </w:pPr>
      <w:bookmarkStart w:id="1039" w:name="_Toc90995695"/>
      <w:bookmarkStart w:id="1040" w:name="_Toc90998748"/>
      <w:bookmarkStart w:id="1041" w:name="_Toc91081408"/>
      <w:bookmarkStart w:id="1042" w:name="_Toc89180015"/>
      <w:bookmarkStart w:id="1043" w:name="_Toc89181482"/>
      <w:bookmarkStart w:id="1044" w:name="_Toc89252699"/>
      <w:r>
        <w:t>Subdivision 7 — Abattoirs</w:t>
      </w:r>
      <w:bookmarkEnd w:id="1039"/>
      <w:bookmarkEnd w:id="1040"/>
      <w:bookmarkEnd w:id="1041"/>
      <w:bookmarkEnd w:id="1042"/>
      <w:bookmarkEnd w:id="1043"/>
      <w:bookmarkEnd w:id="1044"/>
    </w:p>
    <w:p>
      <w:pPr>
        <w:pStyle w:val="Heading5"/>
      </w:pPr>
      <w:bookmarkStart w:id="1045" w:name="_Toc91081409"/>
      <w:bookmarkStart w:id="1046" w:name="_Toc89252700"/>
      <w:r>
        <w:rPr>
          <w:rStyle w:val="CharSectno"/>
        </w:rPr>
        <w:t>153</w:t>
      </w:r>
      <w:r>
        <w:t>.</w:t>
      </w:r>
      <w:r>
        <w:tab/>
        <w:t>Responsibilities of abattoir operator if no NLIS identifier applied to animal</w:t>
      </w:r>
      <w:bookmarkEnd w:id="1045"/>
      <w:bookmarkEnd w:id="1046"/>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animals before they are slaughtered; and</w:t>
      </w:r>
    </w:p>
    <w:p>
      <w:pPr>
        <w:pStyle w:val="Defsubpara"/>
      </w:pPr>
      <w:r>
        <w:tab/>
        <w:t>(ii)</w:t>
      </w:r>
      <w:r>
        <w:tab/>
        <w:t>giving consent for animals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an animal moved to an abattoir, means an NLIS device in relation to which the NLIS database has been updated with the relevant PIC of the property from which the animal was moved to the abattoir</w:t>
      </w:r>
      <w:r>
        <w:rPr>
          <w:snapToGrid/>
        </w:rPr>
        <w:t>;</w:t>
      </w:r>
    </w:p>
    <w:p>
      <w:pPr>
        <w:pStyle w:val="Defstart"/>
        <w:keepLines/>
      </w:pPr>
      <w:r>
        <w:rPr>
          <w:b/>
        </w:rPr>
        <w:tab/>
      </w:r>
      <w:r>
        <w:rPr>
          <w:rStyle w:val="CharDefText"/>
        </w:rPr>
        <w:t>NLIS tag</w:t>
      </w:r>
      <w:r>
        <w:t xml:space="preserve">, in relation to an animal moved to an abattoir, means an NLIS tag that displays — </w:t>
      </w:r>
    </w:p>
    <w:p>
      <w:pPr>
        <w:pStyle w:val="Defpara"/>
      </w:pPr>
      <w:r>
        <w:tab/>
        <w:t>(a)</w:t>
      </w:r>
      <w:r>
        <w:tab/>
        <w:t>the relevant PIC of the property from which the animal was moved to the abattoir; or</w:t>
      </w:r>
    </w:p>
    <w:p>
      <w:pPr>
        <w:pStyle w:val="Defpara"/>
      </w:pPr>
      <w:r>
        <w:tab/>
        <w:t>(b)</w:t>
      </w:r>
      <w:r>
        <w:tab/>
        <w:t>a registered identifier for which the corresponding PIC is the relevant PIC of the property from which the animal was moved to the abattoir.</w:t>
      </w:r>
    </w:p>
    <w:p>
      <w:pPr>
        <w:pStyle w:val="Subsection"/>
      </w:pPr>
      <w:r>
        <w:tab/>
        <w:t>(2)</w:t>
      </w:r>
      <w:r>
        <w:tab/>
        <w:t>This regulation does not apply to an animal to which an NLIS identifier is not applied that is moved to an abattoir under an exemption in regulation 129(1) or 129B(1).</w:t>
      </w:r>
    </w:p>
    <w:p>
      <w:pPr>
        <w:pStyle w:val="Subsection"/>
      </w:pPr>
      <w:r>
        <w:tab/>
        <w:t>(3)</w:t>
      </w:r>
      <w:r>
        <w:tab/>
        <w:t xml:space="preserve">Unless an abattoir inspector in a particular case approves otherwise, if an animal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t xml:space="preserve">within the period specified in </w:t>
      </w:r>
      <w:r>
        <w:t>subregulation (4), apply, or cause to be applied, to the animal an NLIS post breeder tag.</w:t>
      </w:r>
    </w:p>
    <w:p>
      <w:pPr>
        <w:pStyle w:val="Penstart"/>
      </w:pPr>
      <w:r>
        <w:tab/>
        <w:t>Penalty</w:t>
      </w:r>
      <w:ins w:id="1047" w:author="Master Repository Process" w:date="2021-12-31T10:23:00Z">
        <w:r>
          <w:t xml:space="preserve"> for this subregulation</w:t>
        </w:r>
      </w:ins>
      <w:r>
        <w:t>: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have neither an NLIS tag nor an NLIS device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w:t>
      </w:r>
      <w:ins w:id="1048" w:author="Master Repository Process" w:date="2021-12-31T10:23:00Z">
        <w:r>
          <w:t xml:space="preserve"> for this subregulation</w:t>
        </w:r>
      </w:ins>
      <w:r>
        <w:t>: a fine of $2 000.</w:t>
      </w:r>
    </w:p>
    <w:p>
      <w:pPr>
        <w:pStyle w:val="Footnotesection"/>
      </w:pPr>
      <w:r>
        <w:tab/>
        <w:t>[Regulation 153 amended: Gazette 27 Jun 2019 p. 2438</w:t>
      </w:r>
      <w:r>
        <w:noBreakHyphen/>
        <w:t>9</w:t>
      </w:r>
      <w:ins w:id="1049" w:author="Master Repository Process" w:date="2021-12-31T10:23:00Z">
        <w:r>
          <w:t>; SL 2021/204 r. 14</w:t>
        </w:r>
      </w:ins>
      <w:r>
        <w:t>.]</w:t>
      </w:r>
    </w:p>
    <w:p>
      <w:pPr>
        <w:pStyle w:val="Heading5"/>
      </w:pPr>
      <w:bookmarkStart w:id="1050" w:name="_Toc91081410"/>
      <w:bookmarkStart w:id="1051" w:name="_Toc89252701"/>
      <w:r>
        <w:rPr>
          <w:rStyle w:val="CharSectno"/>
        </w:rPr>
        <w:t>154</w:t>
      </w:r>
      <w:r>
        <w:t>.</w:t>
      </w:r>
      <w:r>
        <w:tab/>
        <w:t>Directions by inspectors</w:t>
      </w:r>
      <w:bookmarkEnd w:id="1050"/>
      <w:bookmarkEnd w:id="1051"/>
    </w:p>
    <w:p>
      <w:pPr>
        <w:pStyle w:val="Subsection"/>
      </w:pPr>
      <w:r>
        <w:tab/>
        <w:t>(1)</w:t>
      </w:r>
      <w:r>
        <w:tab/>
        <w:t>For the purposes of regulation 153(5)(b), an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w:t>
      </w:r>
      <w:ins w:id="1052" w:author="Master Repository Process" w:date="2021-12-31T10:23:00Z">
        <w:r>
          <w:t xml:space="preserve"> for this subregulation</w:t>
        </w:r>
      </w:ins>
      <w:r>
        <w:t>: a fine of $5 000.</w:t>
      </w:r>
    </w:p>
    <w:p>
      <w:pPr>
        <w:pStyle w:val="Footnotesection"/>
        <w:rPr>
          <w:ins w:id="1053" w:author="Master Repository Process" w:date="2021-12-31T10:23:00Z"/>
        </w:rPr>
      </w:pPr>
      <w:ins w:id="1054" w:author="Master Repository Process" w:date="2021-12-31T10:23:00Z">
        <w:r>
          <w:tab/>
          <w:t>[Regulation 154 amended: SL 2021/204 r. 14.]</w:t>
        </w:r>
      </w:ins>
    </w:p>
    <w:p>
      <w:pPr>
        <w:pStyle w:val="Heading5"/>
      </w:pPr>
      <w:bookmarkStart w:id="1055" w:name="_Toc91081411"/>
      <w:bookmarkStart w:id="1056" w:name="_Toc89252702"/>
      <w:r>
        <w:rPr>
          <w:rStyle w:val="CharSectno"/>
        </w:rPr>
        <w:t>155</w:t>
      </w:r>
      <w:r>
        <w:t>.</w:t>
      </w:r>
      <w:r>
        <w:tab/>
        <w:t>Responsibilities of abattoir operator if animal born at or while being moved to abattoir</w:t>
      </w:r>
      <w:bookmarkEnd w:id="1055"/>
      <w:bookmarkEnd w:id="1056"/>
    </w:p>
    <w:p>
      <w:pPr>
        <w:pStyle w:val="Subsection"/>
      </w:pPr>
      <w:r>
        <w:tab/>
      </w:r>
      <w:r>
        <w:tab/>
        <w:t>Unless an inspector in a particular case approves otherwise, if an animal is born at, or while being moved to, an abattoir, the abattoir operator must, as soon as practicable after its birth and before it is sold or moved from the abattoir, apply, or cause to be applied, to the animal an NLIS post breeder tag.</w:t>
      </w:r>
    </w:p>
    <w:p>
      <w:pPr>
        <w:pStyle w:val="Penstart"/>
      </w:pPr>
      <w:r>
        <w:tab/>
        <w:t>Penalty: a fine of $5 000.</w:t>
      </w:r>
    </w:p>
    <w:p>
      <w:pPr>
        <w:pStyle w:val="Heading5"/>
      </w:pPr>
      <w:bookmarkStart w:id="1057" w:name="_Toc91081412"/>
      <w:bookmarkStart w:id="1058" w:name="_Toc89252703"/>
      <w:r>
        <w:rPr>
          <w:rStyle w:val="CharSectno"/>
        </w:rPr>
        <w:t>156</w:t>
      </w:r>
      <w:r>
        <w:t>.</w:t>
      </w:r>
      <w:r>
        <w:tab/>
        <w:t>Responsibilities of abattoir operator if animal moved to abattoir</w:t>
      </w:r>
      <w:bookmarkEnd w:id="1057"/>
      <w:bookmarkEnd w:id="1058"/>
    </w:p>
    <w:p>
      <w:pPr>
        <w:pStyle w:val="Subsection"/>
      </w:pPr>
      <w:r>
        <w:tab/>
        <w:t>(1)</w:t>
      </w:r>
      <w:r>
        <w:tab/>
        <w:t>If a consignment of one or more animals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the serial number displayed on any NLIS post breeder tag applied to the animal or animals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animal or animals;</w:t>
      </w:r>
    </w:p>
    <w:p>
      <w:pPr>
        <w:pStyle w:val="Indenta"/>
      </w:pPr>
      <w:r>
        <w:tab/>
        <w:t>(h)</w:t>
      </w:r>
      <w:r>
        <w:tab/>
        <w:t>the date the consignment arrived at the abattoir.</w:t>
      </w:r>
    </w:p>
    <w:p>
      <w:pPr>
        <w:pStyle w:val="Penstart"/>
      </w:pPr>
      <w:r>
        <w:tab/>
        <w:t>Penalty</w:t>
      </w:r>
      <w:ins w:id="1059" w:author="Master Repository Process" w:date="2021-12-31T10:23:00Z">
        <w:r>
          <w:t xml:space="preserve"> for this subregulation</w:t>
        </w:r>
      </w:ins>
      <w:r>
        <w:t>: a fine of $5 000.</w:t>
      </w:r>
    </w:p>
    <w:p>
      <w:pPr>
        <w:pStyle w:val="Subsection"/>
      </w:pPr>
      <w:r>
        <w:tab/>
        <w:t>(2)</w:t>
      </w:r>
      <w:r>
        <w:tab/>
        <w:t>It is sufficient compliance with subregulation (1), in relation to any animal in a consignment to which an NLIS device is applied, if the abattoir operator, within 48 hours after the animal arrives at the abattoir, updates the NLIS database in relation to the device by recording the information referred to in subregulation (1)(c), (d), (f) and (h).</w:t>
      </w:r>
    </w:p>
    <w:p>
      <w:pPr>
        <w:pStyle w:val="Footnotesection"/>
      </w:pPr>
      <w:r>
        <w:tab/>
        <w:t>[Regulation 156 amended: Gazette 27 Jun 2019 p. 2439</w:t>
      </w:r>
      <w:ins w:id="1060" w:author="Master Repository Process" w:date="2021-12-31T10:23:00Z">
        <w:r>
          <w:t>; SL 2021/204 r. 14</w:t>
        </w:r>
      </w:ins>
      <w:r>
        <w:t>.]</w:t>
      </w:r>
    </w:p>
    <w:p>
      <w:pPr>
        <w:pStyle w:val="Heading5"/>
      </w:pPr>
      <w:bookmarkStart w:id="1061" w:name="_Toc91081413"/>
      <w:bookmarkStart w:id="1062" w:name="_Toc89252704"/>
      <w:r>
        <w:rPr>
          <w:rStyle w:val="CharSectno"/>
        </w:rPr>
        <w:t>157</w:t>
      </w:r>
      <w:r>
        <w:t>.</w:t>
      </w:r>
      <w:r>
        <w:tab/>
        <w:t>Responsibilities of abattoir operator after animal slaughtered</w:t>
      </w:r>
      <w:bookmarkEnd w:id="1061"/>
      <w:bookmarkEnd w:id="1062"/>
    </w:p>
    <w:p>
      <w:pPr>
        <w:pStyle w:val="Subsection"/>
      </w:pPr>
      <w:r>
        <w:tab/>
        <w:t>(1)</w:t>
      </w:r>
      <w:r>
        <w:tab/>
        <w:t xml:space="preserve">If a consignment of one or more animals is moved to an abattoir and is slaughtered there, the abattoir operator must, within 48 hours after the slaughter,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animal or animals at the abattoir;</w:t>
      </w:r>
    </w:p>
    <w:p>
      <w:pPr>
        <w:pStyle w:val="Indenta"/>
      </w:pPr>
      <w:r>
        <w:tab/>
        <w:t>(f)</w:t>
      </w:r>
      <w:r>
        <w:tab/>
        <w:t>the date of slaughter.</w:t>
      </w:r>
    </w:p>
    <w:p>
      <w:pPr>
        <w:pStyle w:val="Penstart"/>
      </w:pPr>
      <w:r>
        <w:tab/>
        <w:t>Penalty</w:t>
      </w:r>
      <w:ins w:id="1063" w:author="Master Repository Process" w:date="2021-12-31T10:23:00Z">
        <w:r>
          <w:t xml:space="preserve"> for this subregulation</w:t>
        </w:r>
      </w:ins>
      <w:r>
        <w:t>: a fine of $5 000.</w:t>
      </w:r>
    </w:p>
    <w:p>
      <w:pPr>
        <w:pStyle w:val="Subsection"/>
      </w:pPr>
      <w:r>
        <w:tab/>
        <w:t>(2)</w:t>
      </w:r>
      <w:r>
        <w:tab/>
        <w:t>It is sufficient compliance with subregulation (1), in relation to any animal in a consignment to which an NLIS device is applied, if the abattoir operator, within 48 hours after the animal is slaughtered, updates the NLIS database in relation to the NLIS device by recording the information referred to in subregulation (1)(c), (d) and (f).</w:t>
      </w:r>
    </w:p>
    <w:p>
      <w:pPr>
        <w:pStyle w:val="Footnotesection"/>
      </w:pPr>
      <w:r>
        <w:tab/>
        <w:t>[Regulation 157 amended: Gazette 27 Jun 2019 p. 2439</w:t>
      </w:r>
      <w:ins w:id="1064" w:author="Master Repository Process" w:date="2021-12-31T10:23:00Z">
        <w:r>
          <w:t>; SL 2021/204 r. 14</w:t>
        </w:r>
      </w:ins>
      <w:r>
        <w:t>.]</w:t>
      </w:r>
    </w:p>
    <w:p>
      <w:pPr>
        <w:pStyle w:val="Heading5"/>
      </w:pPr>
      <w:bookmarkStart w:id="1065" w:name="_Toc91081414"/>
      <w:bookmarkStart w:id="1066" w:name="_Toc89252705"/>
      <w:r>
        <w:rPr>
          <w:rStyle w:val="CharSectno"/>
        </w:rPr>
        <w:t>158</w:t>
      </w:r>
      <w:r>
        <w:t>.</w:t>
      </w:r>
      <w:r>
        <w:tab/>
        <w:t>Responsibilities of abattoir operator if live animal moved from abattoir</w:t>
      </w:r>
      <w:bookmarkEnd w:id="1065"/>
      <w:bookmarkEnd w:id="1066"/>
    </w:p>
    <w:p>
      <w:pPr>
        <w:pStyle w:val="Subsection"/>
        <w:keepNext/>
      </w:pPr>
      <w:r>
        <w:tab/>
        <w:t>(1)</w:t>
      </w:r>
      <w:r>
        <w:tab/>
        <w:t xml:space="preserve">Unless an inspector in a particular case approves otherwise, an abattoir operator must not move, or permit to be moved, from the abattoir a live animal unless — </w:t>
      </w:r>
    </w:p>
    <w:p>
      <w:pPr>
        <w:pStyle w:val="Indenta"/>
      </w:pPr>
      <w:r>
        <w:tab/>
        <w:t>(a)</w:t>
      </w:r>
      <w:r>
        <w:tab/>
        <w:t>the animal is moved back to the property from which it came or to another property with a relevant PIC; and</w:t>
      </w:r>
    </w:p>
    <w:p>
      <w:pPr>
        <w:pStyle w:val="Indenta"/>
      </w:pPr>
      <w:r>
        <w:tab/>
        <w:t>(b)</w:t>
      </w:r>
      <w:r>
        <w:tab/>
        <w:t>the abattoir operator has obtained from the person to whom the animal is sold or otherwise supplied the relevant PIC of the property to which the animal is to be moved; and</w:t>
      </w:r>
    </w:p>
    <w:p>
      <w:pPr>
        <w:pStyle w:val="Indenta"/>
      </w:pPr>
      <w:r>
        <w:tab/>
        <w:t>(c)</w:t>
      </w:r>
      <w:r>
        <w:tab/>
        <w:t xml:space="preserve">the animal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w:t>
      </w:r>
      <w:ins w:id="1067" w:author="Master Repository Process" w:date="2021-12-31T10:23:00Z">
        <w:r>
          <w:t xml:space="preserve"> for this subregulation</w:t>
        </w:r>
      </w:ins>
      <w:r>
        <w:t>: a fine of $5 000.</w:t>
      </w:r>
    </w:p>
    <w:p>
      <w:pPr>
        <w:pStyle w:val="Subsection"/>
        <w:spacing w:before="200"/>
      </w:pPr>
      <w:r>
        <w:tab/>
        <w:t>(2)</w:t>
      </w:r>
      <w:r>
        <w:tab/>
        <w:t>If a consignment of one or more live animals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the number of animals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serial number displayed on any NLIS tag applied to the animal or animals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tab/>
        <w:t>(g)</w:t>
      </w:r>
      <w:r>
        <w:tab/>
        <w:t>the date the consignment was moved from the abattoir.</w:t>
      </w:r>
    </w:p>
    <w:p>
      <w:pPr>
        <w:pStyle w:val="Penstart"/>
      </w:pPr>
      <w:r>
        <w:tab/>
        <w:t>Penalty</w:t>
      </w:r>
      <w:ins w:id="1068" w:author="Master Repository Process" w:date="2021-12-31T10:23:00Z">
        <w:r>
          <w:t xml:space="preserve"> for this subregulation</w:t>
        </w:r>
      </w:ins>
      <w:r>
        <w:t>: a fine of $5 000.</w:t>
      </w:r>
    </w:p>
    <w:p>
      <w:pPr>
        <w:pStyle w:val="Subsection"/>
        <w:spacing w:before="200"/>
      </w:pPr>
      <w:r>
        <w:tab/>
        <w:t>(3)</w:t>
      </w:r>
      <w:r>
        <w:tab/>
        <w:t>It is sufficient compliance with subregulation (2), in relation to any animal in a consignment to which an NLIS device is applied, if the abattoir operator, within 48 hours after the animal is moved from the abattoir, updates the NLIS database in relation to the device by recording the information referred to in subregulation (2)(c), (d), (f) and (g).</w:t>
      </w:r>
    </w:p>
    <w:p>
      <w:pPr>
        <w:pStyle w:val="Subsection"/>
        <w:spacing w:before="200"/>
      </w:pPr>
      <w:r>
        <w:tab/>
        <w:t>(4)</w:t>
      </w:r>
      <w:r>
        <w:tab/>
        <w:t xml:space="preserve">If a live animal to which an NLIS device, but not an NLIS post breeder tag, is applied is moved from an abattoir, the abattoir operator must, within 48 hours after the animal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animal has been moved;</w:t>
      </w:r>
    </w:p>
    <w:p>
      <w:pPr>
        <w:pStyle w:val="Indenta"/>
      </w:pPr>
      <w:r>
        <w:tab/>
        <w:t>(c)</w:t>
      </w:r>
      <w:r>
        <w:tab/>
        <w:t>the serial number of the transport document relating to the movement of the animal from the abattoir;</w:t>
      </w:r>
    </w:p>
    <w:p>
      <w:pPr>
        <w:pStyle w:val="Indenta"/>
      </w:pPr>
      <w:r>
        <w:tab/>
        <w:t>(d)</w:t>
      </w:r>
      <w:r>
        <w:tab/>
        <w:t>the date the animal was moved from the abattoir.</w:t>
      </w:r>
    </w:p>
    <w:p>
      <w:pPr>
        <w:pStyle w:val="Penstart"/>
      </w:pPr>
      <w:r>
        <w:tab/>
        <w:t>Penalty</w:t>
      </w:r>
      <w:ins w:id="1069" w:author="Master Repository Process" w:date="2021-12-31T10:23:00Z">
        <w:r>
          <w:t xml:space="preserve"> for this subregulation</w:t>
        </w:r>
      </w:ins>
      <w:r>
        <w:t>: a fine of $5 000.</w:t>
      </w:r>
    </w:p>
    <w:p>
      <w:pPr>
        <w:pStyle w:val="Footnotesection"/>
      </w:pPr>
      <w:r>
        <w:tab/>
        <w:t>[Regulation 158 amended: Gazette 27 Jun 2019 p. 2440</w:t>
      </w:r>
      <w:ins w:id="1070" w:author="Master Repository Process" w:date="2021-12-31T10:23:00Z">
        <w:r>
          <w:t>; SL 2021/204 r. 14</w:t>
        </w:r>
      </w:ins>
      <w:r>
        <w:t>.]</w:t>
      </w:r>
    </w:p>
    <w:p>
      <w:pPr>
        <w:pStyle w:val="Heading5"/>
        <w:rPr>
          <w:snapToGrid w:val="0"/>
        </w:rPr>
      </w:pPr>
      <w:bookmarkStart w:id="1071" w:name="_Toc91081415"/>
      <w:bookmarkStart w:id="1072" w:name="_Toc89252706"/>
      <w:r>
        <w:rPr>
          <w:rStyle w:val="CharSectno"/>
        </w:rPr>
        <w:t>159</w:t>
      </w:r>
      <w:r>
        <w:t>.</w:t>
      </w:r>
      <w:r>
        <w:tab/>
      </w:r>
      <w:r>
        <w:rPr>
          <w:snapToGrid w:val="0"/>
        </w:rPr>
        <w:t>Slaughtered animals moved to pet food processing plants</w:t>
      </w:r>
      <w:bookmarkEnd w:id="1071"/>
      <w:bookmarkEnd w:id="1072"/>
    </w:p>
    <w:p>
      <w:pPr>
        <w:pStyle w:val="Subsection"/>
      </w:pPr>
      <w:r>
        <w:tab/>
        <w:t>(1)</w:t>
      </w:r>
      <w:r>
        <w:tab/>
        <w:t>If a consignment of one or more slaughtered animals to which an NLIS identifier is applied is moved to a pet food processing plant, the operator of the pet food processing plant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w:t>
      </w:r>
      <w:ins w:id="1073" w:author="Master Repository Process" w:date="2021-12-31T10:23:00Z">
        <w:r>
          <w:t xml:space="preserve"> for this subregulation</w:t>
        </w:r>
      </w:ins>
      <w:r>
        <w:t>: a fine of $5 000.</w:t>
      </w:r>
    </w:p>
    <w:p>
      <w:pPr>
        <w:pStyle w:val="Subsection"/>
      </w:pPr>
      <w:r>
        <w:tab/>
        <w:t>(2)</w:t>
      </w:r>
      <w:r>
        <w:tab/>
        <w:t>It is sufficient compliance with subregulation (1), in relation to any animal in a consignment to which an NLIS device is applied, if the operator of the pet food processing plant, within 48 hours after the animal arrives there, updates the NLIS database in relation to the device by recording the information referred to in subregulation (1)(c) to (f).</w:t>
      </w:r>
    </w:p>
    <w:p>
      <w:pPr>
        <w:pStyle w:val="Footnotesection"/>
      </w:pPr>
      <w:r>
        <w:tab/>
        <w:t>[Regulation 159 amended: Gazette 27 Jun 2019 p. 2440</w:t>
      </w:r>
      <w:ins w:id="1074" w:author="Master Repository Process" w:date="2021-12-31T10:23:00Z">
        <w:r>
          <w:t>; SL 2021/204 r. 14</w:t>
        </w:r>
      </w:ins>
      <w:r>
        <w:t>.]</w:t>
      </w:r>
    </w:p>
    <w:p>
      <w:pPr>
        <w:pStyle w:val="Heading4"/>
      </w:pPr>
      <w:bookmarkStart w:id="1075" w:name="_Toc90995703"/>
      <w:bookmarkStart w:id="1076" w:name="_Toc90998756"/>
      <w:bookmarkStart w:id="1077" w:name="_Toc91081416"/>
      <w:bookmarkStart w:id="1078" w:name="_Toc89180023"/>
      <w:bookmarkStart w:id="1079" w:name="_Toc89181490"/>
      <w:bookmarkStart w:id="1080" w:name="_Toc89252707"/>
      <w:r>
        <w:t>Subdivision 8 — Export depots</w:t>
      </w:r>
      <w:bookmarkEnd w:id="1075"/>
      <w:bookmarkEnd w:id="1076"/>
      <w:bookmarkEnd w:id="1077"/>
      <w:bookmarkEnd w:id="1078"/>
      <w:bookmarkEnd w:id="1079"/>
      <w:bookmarkEnd w:id="1080"/>
    </w:p>
    <w:p>
      <w:pPr>
        <w:pStyle w:val="Heading5"/>
      </w:pPr>
      <w:bookmarkStart w:id="1081" w:name="_Toc91081417"/>
      <w:bookmarkStart w:id="1082" w:name="_Toc89252708"/>
      <w:r>
        <w:rPr>
          <w:rStyle w:val="CharSectno"/>
        </w:rPr>
        <w:t>160</w:t>
      </w:r>
      <w:r>
        <w:t>.</w:t>
      </w:r>
      <w:r>
        <w:tab/>
        <w:t>Responsibilities of export depot operator if no NLIS identifier applied to animal</w:t>
      </w:r>
      <w:bookmarkEnd w:id="1081"/>
      <w:bookmarkEnd w:id="1082"/>
    </w:p>
    <w:p>
      <w:pPr>
        <w:pStyle w:val="Subsection"/>
      </w:pPr>
      <w:r>
        <w:tab/>
        <w:t>(1)</w:t>
      </w:r>
      <w:r>
        <w:tab/>
        <w:t>In this regulation —</w:t>
      </w:r>
    </w:p>
    <w:p>
      <w:pPr>
        <w:pStyle w:val="Defstart"/>
        <w:keepLines/>
        <w:rPr>
          <w:snapToGrid/>
        </w:rPr>
      </w:pPr>
      <w:r>
        <w:rPr>
          <w:b/>
        </w:rPr>
        <w:tab/>
      </w:r>
      <w:r>
        <w:rPr>
          <w:rStyle w:val="CharDefText"/>
        </w:rPr>
        <w:t>NLIS device</w:t>
      </w:r>
      <w:r>
        <w:t>, in relation to an animal moved to an export depot, means an NLIS device in relation to which the NLIS database has been updated with the relevant PIC of the property from which the animal was moved to the export depot</w:t>
      </w:r>
      <w:r>
        <w:rPr>
          <w:snapToGrid/>
        </w:rPr>
        <w:t>;</w:t>
      </w:r>
    </w:p>
    <w:p>
      <w:pPr>
        <w:pStyle w:val="Defstart"/>
        <w:keepLines/>
      </w:pPr>
      <w:r>
        <w:rPr>
          <w:b/>
        </w:rPr>
        <w:tab/>
      </w:r>
      <w:r>
        <w:rPr>
          <w:rStyle w:val="CharDefText"/>
        </w:rPr>
        <w:t>NLIS tag</w:t>
      </w:r>
      <w:r>
        <w:t xml:space="preserve">, in relation to an animal moved to an export depot, means an NLIS tag that displays — </w:t>
      </w:r>
    </w:p>
    <w:p>
      <w:pPr>
        <w:pStyle w:val="Defpara"/>
      </w:pPr>
      <w:r>
        <w:tab/>
        <w:t>(a)</w:t>
      </w:r>
      <w:r>
        <w:tab/>
        <w:t>the relevant PIC of the property from which the animal was moved to the export depot; or</w:t>
      </w:r>
    </w:p>
    <w:p>
      <w:pPr>
        <w:pStyle w:val="Defpara"/>
      </w:pPr>
      <w:r>
        <w:tab/>
        <w:t>(b)</w:t>
      </w:r>
      <w:r>
        <w:tab/>
        <w:t>a registered identifier for which the corresponding PIC is the relevant PIC of the property from which the animal was moved to the export depot.</w:t>
      </w:r>
    </w:p>
    <w:p>
      <w:pPr>
        <w:pStyle w:val="Subsection"/>
      </w:pPr>
      <w:r>
        <w:tab/>
        <w:t>(2)</w:t>
      </w:r>
      <w:r>
        <w:tab/>
      </w:r>
      <w:r>
        <w:rPr>
          <w:snapToGrid w:val="0"/>
        </w:rPr>
        <w:t>Unless</w:t>
      </w:r>
      <w:r>
        <w:t xml:space="preserve"> an inspector in a particular case approves otherwise, if an animal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animal an NLIS post breeder tag.</w:t>
      </w:r>
    </w:p>
    <w:p>
      <w:pPr>
        <w:pStyle w:val="Penstart"/>
      </w:pPr>
      <w:r>
        <w:tab/>
        <w:t>Penalty</w:t>
      </w:r>
      <w:ins w:id="1083" w:author="Master Repository Process" w:date="2021-12-31T10:23:00Z">
        <w:r>
          <w:t xml:space="preserve"> for this subregulation</w:t>
        </w:r>
      </w:ins>
      <w:r>
        <w:t>: a fine of $5 000.</w:t>
      </w:r>
    </w:p>
    <w:p>
      <w:pPr>
        <w:pStyle w:val="Subsection"/>
      </w:pPr>
      <w:r>
        <w:tab/>
        <w:t>(3)</w:t>
      </w:r>
      <w:r>
        <w:tab/>
      </w:r>
      <w:r>
        <w:rPr>
          <w:snapToGrid w:val="0"/>
        </w:rPr>
        <w:t xml:space="preserve">The export depot operator must comply with subregulation (2) </w:t>
      </w:r>
      <w:r>
        <w:t>as soon as practicable after the animal arrives at the export depot and before it is exported or otherwise moved from the export depot.</w:t>
      </w:r>
    </w:p>
    <w:p>
      <w:pPr>
        <w:pStyle w:val="Subsection"/>
      </w:pPr>
      <w:r>
        <w:tab/>
        <w:t>(4)</w:t>
      </w:r>
      <w:r>
        <w:tab/>
        <w:t xml:space="preserve">If a consignment of animals is moved to an </w:t>
      </w:r>
      <w:r>
        <w:rPr>
          <w:snapToGrid w:val="0"/>
        </w:rPr>
        <w:t>export depot</w:t>
      </w:r>
      <w:r>
        <w:t xml:space="preserve"> and more than 10% of the animals have neither an NLIS tag nor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w:t>
      </w:r>
      <w:ins w:id="1084" w:author="Master Repository Process" w:date="2021-12-31T10:23:00Z">
        <w:r>
          <w:t xml:space="preserve"> for this subregulation</w:t>
        </w:r>
      </w:ins>
      <w:r>
        <w:t>: a fine of $2 000.</w:t>
      </w:r>
    </w:p>
    <w:p>
      <w:pPr>
        <w:pStyle w:val="Footnotesection"/>
      </w:pPr>
      <w:r>
        <w:tab/>
        <w:t>[Regulation 160 amended: Gazette 27 Jun 2019 p. 2441</w:t>
      </w:r>
      <w:ins w:id="1085" w:author="Master Repository Process" w:date="2021-12-31T10:23:00Z">
        <w:r>
          <w:t>; SL 2021/204 r. 14</w:t>
        </w:r>
      </w:ins>
      <w:r>
        <w:t>.]</w:t>
      </w:r>
    </w:p>
    <w:p>
      <w:pPr>
        <w:pStyle w:val="Heading5"/>
      </w:pPr>
      <w:bookmarkStart w:id="1086" w:name="_Toc91081418"/>
      <w:bookmarkStart w:id="1087" w:name="_Toc89252709"/>
      <w:r>
        <w:rPr>
          <w:rStyle w:val="CharSectno"/>
        </w:rPr>
        <w:t>161</w:t>
      </w:r>
      <w:r>
        <w:t>.</w:t>
      </w:r>
      <w:r>
        <w:tab/>
        <w:t>Directions by inspectors</w:t>
      </w:r>
      <w:bookmarkEnd w:id="1086"/>
      <w:bookmarkEnd w:id="1087"/>
    </w:p>
    <w:p>
      <w:pPr>
        <w:pStyle w:val="Subsection"/>
      </w:pPr>
      <w:r>
        <w:tab/>
        <w:t>(1)</w:t>
      </w:r>
      <w:r>
        <w:tab/>
        <w:t>For the purposes of regulation 160(4)(b),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w:t>
      </w:r>
      <w:ins w:id="1088" w:author="Master Repository Process" w:date="2021-12-31T10:23:00Z">
        <w:r>
          <w:t xml:space="preserve"> for this subregulation</w:t>
        </w:r>
      </w:ins>
      <w:r>
        <w:t>: a fine of $5 000.</w:t>
      </w:r>
    </w:p>
    <w:p>
      <w:pPr>
        <w:pStyle w:val="Footnotesection"/>
        <w:rPr>
          <w:ins w:id="1089" w:author="Master Repository Process" w:date="2021-12-31T10:23:00Z"/>
        </w:rPr>
      </w:pPr>
      <w:ins w:id="1090" w:author="Master Repository Process" w:date="2021-12-31T10:23:00Z">
        <w:r>
          <w:tab/>
          <w:t>[Regulation 161 amended: SL 2021/204 r. 14.]</w:t>
        </w:r>
      </w:ins>
    </w:p>
    <w:p>
      <w:pPr>
        <w:pStyle w:val="Heading5"/>
      </w:pPr>
      <w:bookmarkStart w:id="1091" w:name="_Toc91081419"/>
      <w:bookmarkStart w:id="1092" w:name="_Toc89252710"/>
      <w:r>
        <w:rPr>
          <w:rStyle w:val="CharSectno"/>
        </w:rPr>
        <w:t>162</w:t>
      </w:r>
      <w:r>
        <w:t>.</w:t>
      </w:r>
      <w:r>
        <w:tab/>
        <w:t>Responsibilities of export depot operator if animal born at or while being moved to export depot</w:t>
      </w:r>
      <w:bookmarkEnd w:id="1091"/>
      <w:bookmarkEnd w:id="1092"/>
    </w:p>
    <w:p>
      <w:pPr>
        <w:pStyle w:val="Subsection"/>
      </w:pPr>
      <w:r>
        <w:tab/>
      </w:r>
      <w:r>
        <w:tab/>
        <w:t>If an animal is born at, or while being moved to, an export depot, the export depot operator must, as soon as practicable after its birth and before it is moved from the export depot, apply, or cause to be applied, to the animal an NLIS post breeder tag.</w:t>
      </w:r>
    </w:p>
    <w:p>
      <w:pPr>
        <w:pStyle w:val="Penstart"/>
      </w:pPr>
      <w:r>
        <w:tab/>
        <w:t>Penalty: a fine of $5 000.</w:t>
      </w:r>
    </w:p>
    <w:p>
      <w:pPr>
        <w:pStyle w:val="Heading5"/>
      </w:pPr>
      <w:bookmarkStart w:id="1093" w:name="_Toc91081420"/>
      <w:bookmarkStart w:id="1094" w:name="_Toc89252711"/>
      <w:r>
        <w:rPr>
          <w:rStyle w:val="CharSectno"/>
        </w:rPr>
        <w:t>163</w:t>
      </w:r>
      <w:r>
        <w:t>.</w:t>
      </w:r>
      <w:r>
        <w:tab/>
        <w:t>Responsibilities of export depot operator if animal moved to export depot</w:t>
      </w:r>
      <w:bookmarkEnd w:id="1093"/>
      <w:bookmarkEnd w:id="1094"/>
    </w:p>
    <w:p>
      <w:pPr>
        <w:pStyle w:val="Subsection"/>
      </w:pPr>
      <w:r>
        <w:tab/>
        <w:t>(1)</w:t>
      </w:r>
      <w:r>
        <w:tab/>
        <w:t>If a consignment of one or more animals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the serial number recorded on any NLIS post breeder tag applied to the animal or animals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animal or animals;</w:t>
      </w:r>
    </w:p>
    <w:p>
      <w:pPr>
        <w:pStyle w:val="Indenta"/>
      </w:pPr>
      <w:r>
        <w:tab/>
        <w:t>(h)</w:t>
      </w:r>
      <w:r>
        <w:tab/>
        <w:t>the date the consignment arrived at the export depot.</w:t>
      </w:r>
    </w:p>
    <w:p>
      <w:pPr>
        <w:pStyle w:val="Penstart"/>
      </w:pPr>
      <w:r>
        <w:tab/>
        <w:t>Penalty</w:t>
      </w:r>
      <w:ins w:id="1095" w:author="Master Repository Process" w:date="2021-12-31T10:23:00Z">
        <w:r>
          <w:t xml:space="preserve"> for this subregulation</w:t>
        </w:r>
      </w:ins>
      <w:r>
        <w:t>: a fine of $5 000.</w:t>
      </w:r>
    </w:p>
    <w:p>
      <w:pPr>
        <w:pStyle w:val="Subsection"/>
      </w:pPr>
      <w:r>
        <w:tab/>
        <w:t>(2)</w:t>
      </w:r>
      <w:r>
        <w:tab/>
        <w:t>It is sufficient compliance with subregulation (1), in relation to any animal in a consignment to which an NLIS device is applied, if the export depot operator, within 48 hours after the animal arrives at the export depot, updates the NLIS database in relation to the device by recording the information referred to in subregulation (1)(c), (d), (f) and (h).</w:t>
      </w:r>
    </w:p>
    <w:p>
      <w:pPr>
        <w:pStyle w:val="Footnotesection"/>
      </w:pPr>
      <w:r>
        <w:tab/>
        <w:t>[Regulation 163 amended: Gazette 27 Jun 2019 p. 2441</w:t>
      </w:r>
      <w:ins w:id="1096" w:author="Master Repository Process" w:date="2021-12-31T10:23:00Z">
        <w:r>
          <w:t>; SL 2021/204 r. 14</w:t>
        </w:r>
      </w:ins>
      <w:r>
        <w:t>.]</w:t>
      </w:r>
    </w:p>
    <w:p>
      <w:pPr>
        <w:pStyle w:val="Heading5"/>
        <w:spacing w:before="260"/>
      </w:pPr>
      <w:bookmarkStart w:id="1097" w:name="_Toc91081421"/>
      <w:bookmarkStart w:id="1098" w:name="_Toc89252712"/>
      <w:r>
        <w:rPr>
          <w:rStyle w:val="CharSectno"/>
        </w:rPr>
        <w:t>164</w:t>
      </w:r>
      <w:r>
        <w:t>.</w:t>
      </w:r>
      <w:r>
        <w:tab/>
        <w:t>Responsibilities of export depot operator if animal exported or otherwise moved from export depot</w:t>
      </w:r>
      <w:bookmarkEnd w:id="1097"/>
      <w:bookmarkEnd w:id="1098"/>
    </w:p>
    <w:p>
      <w:pPr>
        <w:pStyle w:val="Subsection"/>
        <w:spacing w:before="240"/>
      </w:pPr>
      <w:r>
        <w:tab/>
        <w:t>(1)</w:t>
      </w:r>
      <w:r>
        <w:tab/>
        <w:t>If a consignment of one or more animals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animals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w:t>
      </w:r>
      <w:ins w:id="1099" w:author="Master Repository Process" w:date="2021-12-31T10:23:00Z">
        <w:r>
          <w:t xml:space="preserve"> for this subregulation</w:t>
        </w:r>
      </w:ins>
      <w:r>
        <w:t>: a fine of $5 000.</w:t>
      </w:r>
    </w:p>
    <w:p>
      <w:pPr>
        <w:pStyle w:val="Subsection"/>
        <w:spacing w:before="240"/>
      </w:pPr>
      <w:r>
        <w:tab/>
        <w:t>(2)</w:t>
      </w:r>
      <w:r>
        <w:tab/>
        <w:t>It is sufficient compliance with subregulation (1), in relation to any animal in a consignment to which an NLIS device is applied, if the export depot operator, within 48 hours after the animal is moved, updates the NLIS database in relation to the device by recording the information referred to in subregulation (1)(c) to (f).</w:t>
      </w:r>
    </w:p>
    <w:p>
      <w:pPr>
        <w:pStyle w:val="Subsection"/>
        <w:keepNext/>
        <w:spacing w:before="240"/>
      </w:pPr>
      <w:r>
        <w:tab/>
        <w:t>(3)</w:t>
      </w:r>
      <w:r>
        <w:tab/>
        <w:t xml:space="preserve">Unless an inspector in a particular case approves otherwise, an export depot operator must not, except by export, move or permit to be moved from the export depot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 and</w:t>
      </w:r>
    </w:p>
    <w:p>
      <w:pPr>
        <w:pStyle w:val="Indenta"/>
      </w:pPr>
      <w:r>
        <w:tab/>
        <w:t>(c)</w:t>
      </w:r>
      <w:r>
        <w:tab/>
        <w:t>the export depot operator has applied, or caused to be applied, to the animal an NLIS post breeder tag.</w:t>
      </w:r>
    </w:p>
    <w:p>
      <w:pPr>
        <w:pStyle w:val="Penstart"/>
      </w:pPr>
      <w:r>
        <w:tab/>
        <w:t>Penalty</w:t>
      </w:r>
      <w:ins w:id="1100" w:author="Master Repository Process" w:date="2021-12-31T10:23:00Z">
        <w:r>
          <w:t xml:space="preserve"> for this subregulation</w:t>
        </w:r>
      </w:ins>
      <w:r>
        <w:t>: a fine of $5 000.</w:t>
      </w:r>
    </w:p>
    <w:p>
      <w:pPr>
        <w:pStyle w:val="Subsection"/>
      </w:pPr>
      <w:r>
        <w:tab/>
        <w:t>(4)</w:t>
      </w:r>
      <w:r>
        <w:tab/>
        <w:t>It is not necessary to apply an NLIS post breeder tag to an animal under subregulation (3)(c) if the animal is being moved directly to an abattoir.</w:t>
      </w:r>
    </w:p>
    <w:p>
      <w:pPr>
        <w:pStyle w:val="Subsection"/>
      </w:pPr>
      <w:r>
        <w:tab/>
        <w:t>(5)</w:t>
      </w:r>
      <w:r>
        <w:tab/>
        <w:t>Unless an inspector in a particular case approves otherwise, if a consignment of one or more animals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animals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the serial number displayed on any NLIS post breeder tag applied to the animal or animals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w:t>
      </w:r>
      <w:ins w:id="1101" w:author="Master Repository Process" w:date="2021-12-31T10:23:00Z">
        <w:r>
          <w:t xml:space="preserve"> for this subregulation</w:t>
        </w:r>
      </w:ins>
      <w:r>
        <w:t>: a fine of $5 000.</w:t>
      </w:r>
    </w:p>
    <w:p>
      <w:pPr>
        <w:pStyle w:val="Subsection"/>
      </w:pPr>
      <w:r>
        <w:tab/>
        <w:t>(6)</w:t>
      </w:r>
      <w:r>
        <w:tab/>
        <w:t>It is sufficient compliance with subregulation (5), in relation to any animal in a consignment to which an NLIS device is applied, if the export depot operator, within 48 hours after the animal is moved, updates the NLIS database in relation to the device by recording the information referred to in subregulation (5)(c), (d), (f) and (g).</w:t>
      </w:r>
    </w:p>
    <w:p>
      <w:pPr>
        <w:pStyle w:val="Footnotesection"/>
      </w:pPr>
      <w:r>
        <w:tab/>
        <w:t>[Regulation 164 amended: Gazette 27 Jun 2019 p. 2441</w:t>
      </w:r>
      <w:r>
        <w:noBreakHyphen/>
        <w:t>2</w:t>
      </w:r>
      <w:ins w:id="1102" w:author="Master Repository Process" w:date="2021-12-31T10:23:00Z">
        <w:r>
          <w:t>; SL 2021/204 r. 14</w:t>
        </w:r>
      </w:ins>
      <w:r>
        <w:t>.]</w:t>
      </w:r>
    </w:p>
    <w:p>
      <w:pPr>
        <w:pStyle w:val="Heading2"/>
      </w:pPr>
      <w:bookmarkStart w:id="1103" w:name="_Toc90995709"/>
      <w:bookmarkStart w:id="1104" w:name="_Toc90998762"/>
      <w:bookmarkStart w:id="1105" w:name="_Toc91081422"/>
      <w:bookmarkStart w:id="1106" w:name="_Toc89180029"/>
      <w:bookmarkStart w:id="1107" w:name="_Toc89181496"/>
      <w:bookmarkStart w:id="1108" w:name="_Toc89252713"/>
      <w:r>
        <w:rPr>
          <w:rStyle w:val="CharPartNo"/>
        </w:rPr>
        <w:t>Part 7</w:t>
      </w:r>
      <w:r>
        <w:t> — </w:t>
      </w:r>
      <w:r>
        <w:rPr>
          <w:rStyle w:val="CharPartText"/>
        </w:rPr>
        <w:t>Identifying other species of stock</w:t>
      </w:r>
      <w:bookmarkEnd w:id="1103"/>
      <w:bookmarkEnd w:id="1104"/>
      <w:bookmarkEnd w:id="1105"/>
      <w:bookmarkEnd w:id="1106"/>
      <w:bookmarkEnd w:id="1107"/>
      <w:bookmarkEnd w:id="1108"/>
    </w:p>
    <w:p>
      <w:pPr>
        <w:pStyle w:val="Heading3"/>
      </w:pPr>
      <w:bookmarkStart w:id="1109" w:name="_Toc90995710"/>
      <w:bookmarkStart w:id="1110" w:name="_Toc90998763"/>
      <w:bookmarkStart w:id="1111" w:name="_Toc91081423"/>
      <w:bookmarkStart w:id="1112" w:name="_Toc89180030"/>
      <w:bookmarkStart w:id="1113" w:name="_Toc89181497"/>
      <w:bookmarkStart w:id="1114" w:name="_Toc89252714"/>
      <w:r>
        <w:rPr>
          <w:rStyle w:val="CharDivNo"/>
        </w:rPr>
        <w:t>Division 1</w:t>
      </w:r>
      <w:r>
        <w:t> — </w:t>
      </w:r>
      <w:r>
        <w:rPr>
          <w:rStyle w:val="CharDivText"/>
        </w:rPr>
        <w:t>Deer</w:t>
      </w:r>
      <w:bookmarkEnd w:id="1109"/>
      <w:bookmarkEnd w:id="1110"/>
      <w:bookmarkEnd w:id="1111"/>
      <w:bookmarkEnd w:id="1112"/>
      <w:bookmarkEnd w:id="1113"/>
      <w:bookmarkEnd w:id="1114"/>
    </w:p>
    <w:p>
      <w:pPr>
        <w:pStyle w:val="Heading5"/>
      </w:pPr>
      <w:bookmarkStart w:id="1115" w:name="_Toc91081424"/>
      <w:bookmarkStart w:id="1116" w:name="_Toc89252715"/>
      <w:r>
        <w:rPr>
          <w:rStyle w:val="CharSectno"/>
        </w:rPr>
        <w:t>165</w:t>
      </w:r>
      <w:r>
        <w:t>.</w:t>
      </w:r>
      <w:r>
        <w:tab/>
        <w:t>Owners to identify deer</w:t>
      </w:r>
      <w:bookmarkEnd w:id="1115"/>
      <w:bookmarkEnd w:id="1116"/>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r>
        <w:t>before</w:t>
      </w:r>
      <w:r>
        <w:rPr>
          <w:snapToGrid w:val="0"/>
        </w:rPr>
        <w:t xml:space="preserve"> it is moved; or</w:t>
      </w:r>
    </w:p>
    <w:p>
      <w:pPr>
        <w:pStyle w:val="Indenta"/>
      </w:pPr>
      <w:r>
        <w:tab/>
        <w:t>(c)</w:t>
      </w:r>
      <w:r>
        <w:tab/>
        <w:t>otherwise — before it reaches 12 months of age.</w:t>
      </w:r>
    </w:p>
    <w:p>
      <w:pPr>
        <w:pStyle w:val="Penstart"/>
      </w:pPr>
      <w:r>
        <w:tab/>
        <w:t>Penalty</w:t>
      </w:r>
      <w:ins w:id="1117" w:author="Master Repository Process" w:date="2021-12-31T10:23:00Z">
        <w:r>
          <w:t xml:space="preserve"> for this subregulation</w:t>
        </w:r>
      </w:ins>
      <w:r>
        <w:t>: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before it is moved; or</w:t>
      </w:r>
    </w:p>
    <w:p>
      <w:pPr>
        <w:pStyle w:val="Indenta"/>
      </w:pPr>
      <w:r>
        <w:tab/>
        <w:t>(b)</w:t>
      </w:r>
      <w:r>
        <w:tab/>
        <w:t>otherwise — within 14 days of it being imported.</w:t>
      </w:r>
    </w:p>
    <w:p>
      <w:pPr>
        <w:pStyle w:val="Penstart"/>
      </w:pPr>
      <w:r>
        <w:tab/>
        <w:t>Penalty</w:t>
      </w:r>
      <w:ins w:id="1118" w:author="Master Repository Process" w:date="2021-12-31T10:23:00Z">
        <w:r>
          <w:t xml:space="preserve"> for this subregulation</w:t>
        </w:r>
      </w:ins>
      <w:r>
        <w:t>: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before it is moved; or</w:t>
      </w:r>
    </w:p>
    <w:p>
      <w:pPr>
        <w:pStyle w:val="Indenta"/>
        <w:keepNext/>
      </w:pPr>
      <w:r>
        <w:tab/>
        <w:t>(b)</w:t>
      </w:r>
      <w:r>
        <w:tab/>
        <w:t>otherwise — within 14 days of the owner taking possession of it from the pound.</w:t>
      </w:r>
    </w:p>
    <w:p>
      <w:pPr>
        <w:pStyle w:val="Penstart"/>
      </w:pPr>
      <w:r>
        <w:tab/>
        <w:t>Penalty</w:t>
      </w:r>
      <w:ins w:id="1119" w:author="Master Repository Process" w:date="2021-12-31T10:23:00Z">
        <w:r>
          <w:t xml:space="preserve"> for this subregulation</w:t>
        </w:r>
      </w:ins>
      <w:r>
        <w:t>: a fine of $2 000.</w:t>
      </w:r>
    </w:p>
    <w:p>
      <w:pPr>
        <w:pStyle w:val="Subsection"/>
      </w:pPr>
      <w:r>
        <w:tab/>
        <w:t>(4)</w:t>
      </w:r>
      <w:r>
        <w:tab/>
        <w:t xml:space="preserve">A deer is identified in accordance with this regulation if it is identified with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pPr>
      <w:r>
        <w:tab/>
        <w:t>[Regulation 165 amended: Gazette 27 Jun 2019 p. 2442</w:t>
      </w:r>
      <w:ins w:id="1120" w:author="Master Repository Process" w:date="2021-12-31T10:23:00Z">
        <w:r>
          <w:t>; SL 2021/204 r. 14</w:t>
        </w:r>
      </w:ins>
      <w:r>
        <w:t>.]</w:t>
      </w:r>
    </w:p>
    <w:p>
      <w:pPr>
        <w:pStyle w:val="Heading5"/>
      </w:pPr>
      <w:bookmarkStart w:id="1121" w:name="_Toc91081425"/>
      <w:bookmarkStart w:id="1122" w:name="_Toc89252716"/>
      <w:r>
        <w:rPr>
          <w:rStyle w:val="CharSectno"/>
        </w:rPr>
        <w:t>166</w:t>
      </w:r>
      <w:r>
        <w:t>.</w:t>
      </w:r>
      <w:r>
        <w:tab/>
        <w:t>Exemption for unweaned deer</w:t>
      </w:r>
      <w:bookmarkEnd w:id="1121"/>
      <w:bookmarkEnd w:id="1122"/>
    </w:p>
    <w:p>
      <w:pPr>
        <w:pStyle w:val="Subsection"/>
        <w:rPr>
          <w:snapToGrid w:val="0"/>
        </w:rPr>
      </w:pPr>
      <w:r>
        <w:tab/>
      </w:r>
      <w:r>
        <w:tab/>
        <w:t xml:space="preserve">It is not necessary for an unweaned deer to be identified in accordance with </w:t>
      </w:r>
      <w:r>
        <w:rPr>
          <w:snapToGrid w:val="0"/>
        </w:rPr>
        <w:t>regulation 165(1)(b), (2)(a) or (3)(a) if</w:t>
      </w:r>
      <w:r>
        <w:t xml:space="preserve"> it is being moved with its mother from the property on which it is kept to another property with the same relevant PIC</w:t>
      </w:r>
      <w:r>
        <w:rPr>
          <w:snapToGrid w:val="0"/>
        </w:rPr>
        <w:t>.</w:t>
      </w:r>
    </w:p>
    <w:p>
      <w:pPr>
        <w:pStyle w:val="Footnotesection"/>
      </w:pPr>
      <w:r>
        <w:tab/>
        <w:t>[Regulation 166 inserted: Gazette 27 Jun 2019 p. 2442.]</w:t>
      </w:r>
    </w:p>
    <w:p>
      <w:pPr>
        <w:pStyle w:val="Heading5"/>
      </w:pPr>
      <w:bookmarkStart w:id="1123" w:name="_Toc91081426"/>
      <w:bookmarkStart w:id="1124" w:name="_Toc89252717"/>
      <w:r>
        <w:rPr>
          <w:rStyle w:val="CharSectno"/>
        </w:rPr>
        <w:t>167</w:t>
      </w:r>
      <w:r>
        <w:t>.</w:t>
      </w:r>
      <w:r>
        <w:tab/>
        <w:t>Deer identified by previous owner</w:t>
      </w:r>
      <w:bookmarkEnd w:id="1123"/>
      <w:bookmarkEnd w:id="1124"/>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1125" w:name="_Toc91081427"/>
      <w:bookmarkStart w:id="1126" w:name="_Toc89252718"/>
      <w:r>
        <w:rPr>
          <w:rStyle w:val="CharSectno"/>
        </w:rPr>
        <w:t>168</w:t>
      </w:r>
      <w:r>
        <w:t>.</w:t>
      </w:r>
      <w:r>
        <w:tab/>
        <w:t>Requirements for brands</w:t>
      </w:r>
      <w:bookmarkEnd w:id="1125"/>
      <w:bookmarkEnd w:id="1126"/>
    </w:p>
    <w:p>
      <w:pPr>
        <w:pStyle w:val="Subsection"/>
      </w:pPr>
      <w:r>
        <w:tab/>
      </w:r>
      <w:r>
        <w:tab/>
        <w:t xml:space="preserve">For the purposes of regulation 165(4)(a), a registered identifier is applied as a brand in accordance with this regulation if it is legibly displayed on an eartag that is — </w:t>
      </w:r>
    </w:p>
    <w:p>
      <w:pPr>
        <w:pStyle w:val="Indenta"/>
      </w:pPr>
      <w:r>
        <w:tab/>
        <w:t>(a)</w:t>
      </w:r>
      <w:r>
        <w:tab/>
        <w:t>an approved device; and</w:t>
      </w:r>
    </w:p>
    <w:p>
      <w:pPr>
        <w:pStyle w:val="Indenta"/>
      </w:pPr>
      <w:r>
        <w:tab/>
        <w:t>(b)</w:t>
      </w:r>
      <w:r>
        <w:tab/>
        <w:t>applied to the ear of the deer specified for the purpose of applying an eartag in the owner’s certificate of registration as an owner of stock.</w:t>
      </w:r>
    </w:p>
    <w:p>
      <w:pPr>
        <w:pStyle w:val="Footnotesection"/>
      </w:pPr>
      <w:r>
        <w:tab/>
        <w:t>[Regulation 168 inserted: Gazette 27 Jun 2019 p. 2443.]</w:t>
      </w:r>
    </w:p>
    <w:p>
      <w:pPr>
        <w:pStyle w:val="Heading5"/>
      </w:pPr>
      <w:bookmarkStart w:id="1127" w:name="_Toc91081428"/>
      <w:bookmarkStart w:id="1128" w:name="_Toc89252719"/>
      <w:r>
        <w:rPr>
          <w:rStyle w:val="CharSectno"/>
        </w:rPr>
        <w:t>169</w:t>
      </w:r>
      <w:r>
        <w:t>.</w:t>
      </w:r>
      <w:r>
        <w:tab/>
        <w:t>Requirements for earmarks</w:t>
      </w:r>
      <w:bookmarkEnd w:id="1127"/>
      <w:bookmarkEnd w:id="1128"/>
    </w:p>
    <w:p>
      <w:pPr>
        <w:pStyle w:val="Subsection"/>
      </w:pPr>
      <w:r>
        <w:tab/>
      </w:r>
      <w:r>
        <w:tab/>
        <w:t>For the purposes of regulation 165(4)(b), a registered identifier is applied as an earmark in accordance with this regulation if —</w:t>
      </w:r>
    </w:p>
    <w:p>
      <w:pPr>
        <w:pStyle w:val="Indenta"/>
      </w:pPr>
      <w:r>
        <w:tab/>
        <w:t>(a)</w:t>
      </w:r>
      <w:r>
        <w:tab/>
        <w:t>it is applied to the ear of the deer specified for the purpose of applying an earmark in the owner’s certificate of registration as an owner of stock; and</w:t>
      </w:r>
    </w:p>
    <w:p>
      <w:pPr>
        <w:pStyle w:val="Indenta"/>
      </w:pPr>
      <w:r>
        <w:tab/>
        <w:t>(b)</w:t>
      </w:r>
      <w:r>
        <w:tab/>
        <w:t>each symbol forming part of the earmark is not less than 12 mm across its maximum dimension at the time when the earmark is applied.</w:t>
      </w:r>
    </w:p>
    <w:p>
      <w:pPr>
        <w:pStyle w:val="Footnotesection"/>
      </w:pPr>
      <w:r>
        <w:tab/>
        <w:t>[Regulation 169 inserted: Gazette 27 Jun 2019 p. 2443.]</w:t>
      </w:r>
    </w:p>
    <w:p>
      <w:pPr>
        <w:pStyle w:val="Heading3"/>
      </w:pPr>
      <w:bookmarkStart w:id="1129" w:name="_Toc90995716"/>
      <w:bookmarkStart w:id="1130" w:name="_Toc90998769"/>
      <w:bookmarkStart w:id="1131" w:name="_Toc91081429"/>
      <w:bookmarkStart w:id="1132" w:name="_Toc89180036"/>
      <w:bookmarkStart w:id="1133" w:name="_Toc89181503"/>
      <w:bookmarkStart w:id="1134" w:name="_Toc89252720"/>
      <w:r>
        <w:rPr>
          <w:rStyle w:val="CharDivNo"/>
        </w:rPr>
        <w:t>Division 2</w:t>
      </w:r>
      <w:r>
        <w:t> — </w:t>
      </w:r>
      <w:r>
        <w:rPr>
          <w:rStyle w:val="CharDivText"/>
        </w:rPr>
        <w:t>Horses and donkeys</w:t>
      </w:r>
      <w:bookmarkEnd w:id="1129"/>
      <w:bookmarkEnd w:id="1130"/>
      <w:bookmarkEnd w:id="1131"/>
      <w:bookmarkEnd w:id="1132"/>
      <w:bookmarkEnd w:id="1133"/>
      <w:bookmarkEnd w:id="1134"/>
    </w:p>
    <w:p>
      <w:pPr>
        <w:pStyle w:val="Footnoteheading"/>
      </w:pPr>
      <w:r>
        <w:tab/>
        <w:t>[Heading inserted: Gazette 27 Jun 2019 p. 2444.]</w:t>
      </w:r>
    </w:p>
    <w:p>
      <w:pPr>
        <w:pStyle w:val="Heading5"/>
      </w:pPr>
      <w:bookmarkStart w:id="1135" w:name="_Toc91081430"/>
      <w:bookmarkStart w:id="1136" w:name="_Toc89252721"/>
      <w:r>
        <w:rPr>
          <w:rStyle w:val="CharSectno"/>
        </w:rPr>
        <w:t>170</w:t>
      </w:r>
      <w:r>
        <w:t>.</w:t>
      </w:r>
      <w:r>
        <w:tab/>
        <w:t>Owners to identify horses and donkeys</w:t>
      </w:r>
      <w:bookmarkEnd w:id="1135"/>
      <w:bookmarkEnd w:id="1136"/>
    </w:p>
    <w:p>
      <w:pPr>
        <w:pStyle w:val="Subsection"/>
      </w:pPr>
      <w:r>
        <w:tab/>
        <w:t>(1)</w:t>
      </w:r>
      <w:r>
        <w:tab/>
        <w:t>An owner of a horse or donkey, other than an imported horse or donkey or a horse or donkey from a pound, that is being kept on a property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6 months of age.</w:t>
      </w:r>
    </w:p>
    <w:p>
      <w:pPr>
        <w:pStyle w:val="zPenstart"/>
      </w:pPr>
      <w:r>
        <w:tab/>
        <w:t>Penalty for this subregulation: a fine of $2 000.</w:t>
      </w:r>
    </w:p>
    <w:p>
      <w:pPr>
        <w:pStyle w:val="Subsection"/>
      </w:pPr>
      <w:r>
        <w:tab/>
        <w:t>(2)</w:t>
      </w:r>
      <w:r>
        <w:tab/>
        <w:t>An owner of a horse or donkey, other than an imported horse or donkey or a horse or donkey from a pound, that is being kept on a property not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18 months of age.</w:t>
      </w:r>
    </w:p>
    <w:p>
      <w:pPr>
        <w:pStyle w:val="zPenstart"/>
      </w:pPr>
      <w:r>
        <w:tab/>
        <w:t>Penalty for this subregulation: a fine of $2 000.</w:t>
      </w:r>
    </w:p>
    <w:p>
      <w:pPr>
        <w:pStyle w:val="Subsection"/>
      </w:pPr>
      <w:r>
        <w:tab/>
        <w:t>(3)</w:t>
      </w:r>
      <w:r>
        <w:tab/>
        <w:t xml:space="preserve">An owner of an imported horse or donkey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it being imported.</w:t>
      </w:r>
    </w:p>
    <w:p>
      <w:pPr>
        <w:pStyle w:val="zPenstart"/>
      </w:pPr>
      <w:r>
        <w:tab/>
        <w:t>Penalty for this subregulation: a fine of $2 000.</w:t>
      </w:r>
    </w:p>
    <w:p>
      <w:pPr>
        <w:pStyle w:val="Subsection"/>
      </w:pPr>
      <w:r>
        <w:tab/>
        <w:t>(4)</w:t>
      </w:r>
      <w:r>
        <w:tab/>
        <w:t xml:space="preserve">An owner of a horse or donkey from a pound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the owner taking possession of it from the pound.</w:t>
      </w:r>
    </w:p>
    <w:p>
      <w:pPr>
        <w:pStyle w:val="zPenstart"/>
      </w:pPr>
      <w:r>
        <w:tab/>
        <w:t>Penalty for this subregulation: a fine of $2 000.</w:t>
      </w:r>
    </w:p>
    <w:p>
      <w:pPr>
        <w:pStyle w:val="Subsection"/>
      </w:pPr>
      <w:r>
        <w:tab/>
        <w:t>(5)</w:t>
      </w:r>
      <w:r>
        <w:tab/>
        <w:t>A horse or donkey is identified in accordance with this regulation if it is identified with any of the following identifiers —</w:t>
      </w:r>
    </w:p>
    <w:p>
      <w:pPr>
        <w:pStyle w:val="Indenta"/>
      </w:pPr>
      <w:r>
        <w:tab/>
        <w:t>(a)</w:t>
      </w:r>
      <w:r>
        <w:tab/>
        <w:t>a registered identifier applied as a brand in accordance with regulation 173;</w:t>
      </w:r>
    </w:p>
    <w:p>
      <w:pPr>
        <w:pStyle w:val="Indenta"/>
      </w:pPr>
      <w:r>
        <w:tab/>
        <w:t>(b)</w:t>
      </w:r>
      <w:r>
        <w:tab/>
        <w:t>an approved identifier for horses or donkeys.</w:t>
      </w:r>
    </w:p>
    <w:p>
      <w:pPr>
        <w:pStyle w:val="Footnotesection"/>
      </w:pPr>
      <w:r>
        <w:tab/>
        <w:t>[Regulation 170 inserted: Gazette 27 Jun 2019 p. 2444</w:t>
      </w:r>
      <w:r>
        <w:noBreakHyphen/>
        <w:t>5.]</w:t>
      </w:r>
    </w:p>
    <w:p>
      <w:pPr>
        <w:pStyle w:val="Heading5"/>
      </w:pPr>
      <w:bookmarkStart w:id="1137" w:name="_Toc91081431"/>
      <w:bookmarkStart w:id="1138" w:name="_Toc89252722"/>
      <w:r>
        <w:rPr>
          <w:rStyle w:val="CharSectno"/>
        </w:rPr>
        <w:t>171</w:t>
      </w:r>
      <w:r>
        <w:t>.</w:t>
      </w:r>
      <w:r>
        <w:tab/>
        <w:t>Exemption for unweaned horses and donkeys</w:t>
      </w:r>
      <w:bookmarkEnd w:id="1137"/>
      <w:bookmarkEnd w:id="1138"/>
    </w:p>
    <w:p>
      <w:pPr>
        <w:pStyle w:val="Subsection"/>
      </w:pPr>
      <w:r>
        <w:tab/>
      </w:r>
      <w:r>
        <w:tab/>
        <w:t>It is not necessary for an unweaned horse or unweaned donkey to be identified in accordance with regulation 170(1)(a), (2)(a), (3)(a) or (4)(a) if it is being moved with its mother from the property on which it is kept to another property with the same relevant PIC.</w:t>
      </w:r>
    </w:p>
    <w:p>
      <w:pPr>
        <w:pStyle w:val="Footnotesection"/>
      </w:pPr>
      <w:r>
        <w:tab/>
        <w:t>[Regulation 171 inserted: Gazette 27 Jun 2019 p. 2445.]</w:t>
      </w:r>
    </w:p>
    <w:p>
      <w:pPr>
        <w:pStyle w:val="Heading5"/>
      </w:pPr>
      <w:bookmarkStart w:id="1139" w:name="_Toc91081432"/>
      <w:bookmarkStart w:id="1140" w:name="_Toc89252723"/>
      <w:r>
        <w:rPr>
          <w:rStyle w:val="CharSectno"/>
        </w:rPr>
        <w:t>172</w:t>
      </w:r>
      <w:r>
        <w:t>.</w:t>
      </w:r>
      <w:r>
        <w:tab/>
        <w:t>Horses or donkeys identified by previous owner</w:t>
      </w:r>
      <w:bookmarkEnd w:id="1139"/>
      <w:bookmarkEnd w:id="1140"/>
    </w:p>
    <w:p>
      <w:pPr>
        <w:pStyle w:val="Subsection"/>
      </w:pPr>
      <w:r>
        <w:tab/>
      </w:r>
      <w:r>
        <w:tab/>
        <w:t>It is not necessary for an owner of a horse or donkey to identify it, or cause it to be identified, in accordance with regulation 170(1), (2), (3) or (4) if —</w:t>
      </w:r>
    </w:p>
    <w:p>
      <w:pPr>
        <w:pStyle w:val="Indenta"/>
      </w:pPr>
      <w:r>
        <w:tab/>
        <w:t>(a)</w:t>
      </w:r>
      <w:r>
        <w:tab/>
        <w:t>it is identified with the registered identifier or an approved identifier of a previous owner; and</w:t>
      </w:r>
    </w:p>
    <w:p>
      <w:pPr>
        <w:pStyle w:val="Indenta"/>
      </w:pPr>
      <w:r>
        <w:tab/>
        <w:t>(b)</w:t>
      </w:r>
      <w:r>
        <w:tab/>
        <w:t>the owner has in their possession or control documentary evidence of their right to possess the horse or donkey.</w:t>
      </w:r>
    </w:p>
    <w:p>
      <w:pPr>
        <w:pStyle w:val="Footnotesection"/>
      </w:pPr>
      <w:r>
        <w:tab/>
        <w:t>[Regulation 172 inserted: Gazette 27 Jun 2019 p. 2446.]</w:t>
      </w:r>
    </w:p>
    <w:p>
      <w:pPr>
        <w:pStyle w:val="Heading5"/>
      </w:pPr>
      <w:bookmarkStart w:id="1141" w:name="_Toc91081433"/>
      <w:bookmarkStart w:id="1142" w:name="_Toc89252724"/>
      <w:r>
        <w:rPr>
          <w:rStyle w:val="CharSectno"/>
        </w:rPr>
        <w:t>173</w:t>
      </w:r>
      <w:r>
        <w:t>.</w:t>
      </w:r>
      <w:r>
        <w:tab/>
        <w:t>Requirements for brands</w:t>
      </w:r>
      <w:bookmarkEnd w:id="1141"/>
      <w:bookmarkEnd w:id="1142"/>
    </w:p>
    <w:p>
      <w:pPr>
        <w:pStyle w:val="Subsection"/>
      </w:pPr>
      <w:r>
        <w:tab/>
      </w:r>
      <w:r>
        <w:tab/>
        <w:t xml:space="preserve">For the purposes of regulation 170(5)(a),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horse or donkey that has not been previously branded — it is applied on the left shoulder; and</w:t>
      </w:r>
    </w:p>
    <w:p>
      <w:pPr>
        <w:pStyle w:val="Indenta"/>
      </w:pPr>
      <w:r>
        <w:tab/>
        <w:t>(c)</w:t>
      </w:r>
      <w:r>
        <w:tab/>
        <w:t xml:space="preserve">in the case of a horse or donkey that has been previously branded — </w:t>
      </w:r>
    </w:p>
    <w:p>
      <w:pPr>
        <w:pStyle w:val="Indenti"/>
      </w:pPr>
      <w:r>
        <w:tab/>
        <w:t>(i)</w:t>
      </w:r>
      <w:r>
        <w:tab/>
        <w:t>if there is sufficient room on the left shoulder — it is applied on the left shoulder; or</w:t>
      </w:r>
    </w:p>
    <w:p>
      <w:pPr>
        <w:pStyle w:val="Indenti"/>
      </w:pPr>
      <w:r>
        <w:tab/>
        <w:t>(ii)</w:t>
      </w:r>
      <w:r>
        <w:tab/>
        <w:t>if there is insufficient room on the left shoulder — it is applied on the right shoulder;</w:t>
      </w:r>
    </w:p>
    <w:p>
      <w:pPr>
        <w:pStyle w:val="Indenta"/>
      </w:pPr>
      <w:r>
        <w:tab/>
      </w:r>
      <w:r>
        <w:tab/>
        <w:t>and</w:t>
      </w:r>
    </w:p>
    <w:p>
      <w:pPr>
        <w:pStyle w:val="Indenta"/>
      </w:pPr>
      <w:r>
        <w:tab/>
        <w:t>(d)</w:t>
      </w:r>
      <w:r>
        <w:tab/>
        <w:t>it is not less than 100 mm in length and 30 mm in height when it is applied; and</w:t>
      </w:r>
    </w:p>
    <w:p>
      <w:pPr>
        <w:pStyle w:val="Indenta"/>
      </w:pPr>
      <w:r>
        <w:tab/>
        <w:t>(e)</w:t>
      </w:r>
      <w:r>
        <w:tab/>
        <w:t>it is applied in the approved manner.</w:t>
      </w:r>
    </w:p>
    <w:p>
      <w:pPr>
        <w:pStyle w:val="Footnotesection"/>
      </w:pPr>
      <w:r>
        <w:tab/>
        <w:t>[Regulation 173 inserted: Gazette 27 Jun 2019 p. 2446.]</w:t>
      </w:r>
    </w:p>
    <w:p>
      <w:pPr>
        <w:pStyle w:val="Heading3"/>
      </w:pPr>
      <w:bookmarkStart w:id="1143" w:name="_Toc90995721"/>
      <w:bookmarkStart w:id="1144" w:name="_Toc90998774"/>
      <w:bookmarkStart w:id="1145" w:name="_Toc91081434"/>
      <w:bookmarkStart w:id="1146" w:name="_Toc89180041"/>
      <w:bookmarkStart w:id="1147" w:name="_Toc89181508"/>
      <w:bookmarkStart w:id="1148" w:name="_Toc89252725"/>
      <w:r>
        <w:rPr>
          <w:rStyle w:val="CharDivNo"/>
        </w:rPr>
        <w:t>Division 3</w:t>
      </w:r>
      <w:r>
        <w:t> — </w:t>
      </w:r>
      <w:r>
        <w:rPr>
          <w:rStyle w:val="CharDivText"/>
        </w:rPr>
        <w:t>Ostriches</w:t>
      </w:r>
      <w:bookmarkEnd w:id="1143"/>
      <w:bookmarkEnd w:id="1144"/>
      <w:bookmarkEnd w:id="1145"/>
      <w:bookmarkEnd w:id="1146"/>
      <w:bookmarkEnd w:id="1147"/>
      <w:bookmarkEnd w:id="1148"/>
    </w:p>
    <w:p>
      <w:pPr>
        <w:pStyle w:val="Heading5"/>
      </w:pPr>
      <w:bookmarkStart w:id="1149" w:name="_Toc91081435"/>
      <w:bookmarkStart w:id="1150" w:name="_Toc89252726"/>
      <w:r>
        <w:rPr>
          <w:rStyle w:val="CharSectno"/>
        </w:rPr>
        <w:t>174</w:t>
      </w:r>
      <w:r>
        <w:t>.</w:t>
      </w:r>
      <w:r>
        <w:tab/>
        <w:t>Identification of ostriches not required</w:t>
      </w:r>
      <w:bookmarkEnd w:id="1149"/>
      <w:bookmarkEnd w:id="1150"/>
    </w:p>
    <w:p>
      <w:pPr>
        <w:pStyle w:val="Subsection"/>
      </w:pPr>
      <w:r>
        <w:tab/>
      </w:r>
      <w:r>
        <w:tab/>
        <w:t>Nothing in these regulations requires a person to identify an ostrich or cause it to be identified.</w:t>
      </w:r>
    </w:p>
    <w:p>
      <w:pPr>
        <w:pStyle w:val="Heading5"/>
      </w:pPr>
      <w:bookmarkStart w:id="1151" w:name="_Toc91081436"/>
      <w:bookmarkStart w:id="1152" w:name="_Toc89252727"/>
      <w:r>
        <w:rPr>
          <w:rStyle w:val="CharSectno"/>
        </w:rPr>
        <w:t>175</w:t>
      </w:r>
      <w:r>
        <w:t>.</w:t>
      </w:r>
      <w:r>
        <w:tab/>
        <w:t>How ostriches may be identified</w:t>
      </w:r>
      <w:bookmarkEnd w:id="1151"/>
      <w:bookmarkEnd w:id="1152"/>
    </w:p>
    <w:p>
      <w:pPr>
        <w:pStyle w:val="Subsection"/>
      </w:pPr>
      <w:r>
        <w:tab/>
      </w:r>
      <w:r>
        <w:tab/>
        <w:t xml:space="preserve">An owner of an ostrich may identify the ostrich, or cause it to be identified, with either or both of the following — </w:t>
      </w:r>
    </w:p>
    <w:p>
      <w:pPr>
        <w:pStyle w:val="Indenta"/>
      </w:pPr>
      <w:r>
        <w:tab/>
        <w:t>(a)</w:t>
      </w:r>
      <w:r>
        <w:tab/>
        <w:t xml:space="preserve">a registered identifier applied as a brand in accordance with regulation 176; </w:t>
      </w:r>
    </w:p>
    <w:p>
      <w:pPr>
        <w:pStyle w:val="Indenta"/>
      </w:pPr>
      <w:r>
        <w:tab/>
        <w:t>(b)</w:t>
      </w:r>
      <w:r>
        <w:tab/>
        <w:t>an approved identifier for ostriches.</w:t>
      </w:r>
    </w:p>
    <w:p>
      <w:pPr>
        <w:pStyle w:val="Heading5"/>
      </w:pPr>
      <w:bookmarkStart w:id="1153" w:name="_Toc91081437"/>
      <w:bookmarkStart w:id="1154" w:name="_Toc89252728"/>
      <w:r>
        <w:rPr>
          <w:rStyle w:val="CharSectno"/>
        </w:rPr>
        <w:t>176</w:t>
      </w:r>
      <w:r>
        <w:t>.</w:t>
      </w:r>
      <w:r>
        <w:tab/>
        <w:t>Registered identifier applied as brand</w:t>
      </w:r>
      <w:bookmarkEnd w:id="1153"/>
      <w:bookmarkEnd w:id="1154"/>
    </w:p>
    <w:p>
      <w:pPr>
        <w:pStyle w:val="Subsection"/>
      </w:pPr>
      <w:r>
        <w:tab/>
      </w:r>
      <w:r>
        <w:tab/>
      </w:r>
      <w:r>
        <w:rPr>
          <w:snapToGrid w:val="0"/>
        </w:rPr>
        <w:t xml:space="preserve">A person must not apply a registered identifier as a brand </w:t>
      </w:r>
      <w:r>
        <w:t>to an ostrich unless it is legibly displayed on a neck tag</w:t>
      </w:r>
      <w:r>
        <w:rPr>
          <w:snapToGrid w:val="0"/>
        </w:rPr>
        <w:t xml:space="preserve"> or a leg band that is</w:t>
      </w:r>
      <w:r>
        <w:t> —</w:t>
      </w:r>
    </w:p>
    <w:p>
      <w:pPr>
        <w:pStyle w:val="Indenta"/>
      </w:pPr>
      <w:r>
        <w:tab/>
        <w:t>(a)</w:t>
      </w:r>
      <w:r>
        <w:tab/>
      </w:r>
      <w:r>
        <w:rPr>
          <w:snapToGrid w:val="0"/>
        </w:rPr>
        <w:t>an approved device</w:t>
      </w:r>
      <w:r>
        <w:t xml:space="preserve">; and </w:t>
      </w:r>
    </w:p>
    <w:p>
      <w:pPr>
        <w:pStyle w:val="Indenta"/>
        <w:rPr>
          <w:snapToGrid w:val="0"/>
        </w:rPr>
      </w:pPr>
      <w:r>
        <w:tab/>
        <w:t>(b)</w:t>
      </w:r>
      <w:r>
        <w:tab/>
        <w:t xml:space="preserve">if it is a neck tag — </w:t>
      </w:r>
      <w:r>
        <w:rPr>
          <w:snapToGrid w:val="0"/>
        </w:rPr>
        <w:t>secured to the base of the neck above the feather line of the ostrich; and</w:t>
      </w:r>
    </w:p>
    <w:p>
      <w:pPr>
        <w:pStyle w:val="Indenta"/>
        <w:rPr>
          <w:snapToGrid w:val="0"/>
        </w:rPr>
      </w:pPr>
      <w:r>
        <w:tab/>
        <w:t>(c)</w:t>
      </w:r>
      <w:r>
        <w:tab/>
        <w:t>if it is a leg band —</w:t>
      </w:r>
      <w:r>
        <w:rPr>
          <w:snapToGrid w:val="0"/>
        </w:rPr>
        <w:t xml:space="preserve"> secured to a leg of the ostrich.</w:t>
      </w:r>
    </w:p>
    <w:p>
      <w:pPr>
        <w:pStyle w:val="Penstart"/>
      </w:pPr>
      <w:r>
        <w:tab/>
        <w:t>Penalty: a fine of $2 000.</w:t>
      </w:r>
    </w:p>
    <w:p>
      <w:pPr>
        <w:pStyle w:val="Heading5"/>
      </w:pPr>
      <w:bookmarkStart w:id="1155" w:name="_Toc91081438"/>
      <w:bookmarkStart w:id="1156" w:name="_Toc89252729"/>
      <w:r>
        <w:rPr>
          <w:rStyle w:val="CharSectno"/>
        </w:rPr>
        <w:t>177</w:t>
      </w:r>
      <w:r>
        <w:t>.</w:t>
      </w:r>
      <w:r>
        <w:tab/>
        <w:t>Other markings on neck tags and leg bands</w:t>
      </w:r>
      <w:bookmarkEnd w:id="1155"/>
      <w:bookmarkEnd w:id="1156"/>
    </w:p>
    <w:p>
      <w:pPr>
        <w:pStyle w:val="Subsection"/>
        <w:keepNext/>
        <w:keepLines/>
      </w:pPr>
      <w:r>
        <w:rPr>
          <w:snapToGrid w:val="0"/>
        </w:rPr>
        <w:tab/>
      </w:r>
      <w:r>
        <w:rPr>
          <w:snapToGrid w:val="0"/>
        </w:rPr>
        <w:tab/>
        <w:t xml:space="preserve">A person must not apply to an ostrich a neck tag or leg band that displays a mark, </w:t>
      </w:r>
      <w:r>
        <w:t xml:space="preserve">other than an identifier referred to in regulation 175, unless the mark — </w:t>
      </w:r>
    </w:p>
    <w:p>
      <w:pPr>
        <w:pStyle w:val="Indenta"/>
      </w:pPr>
      <w:r>
        <w:tab/>
        <w:t>(a)</w:t>
      </w:r>
      <w:r>
        <w:tab/>
        <w:t xml:space="preserve">is clearly distinguishable from an identifier applied to the ostrich under regulation 175; and </w:t>
      </w:r>
    </w:p>
    <w:p>
      <w:pPr>
        <w:pStyle w:val="Indenta"/>
      </w:pPr>
      <w:r>
        <w:tab/>
        <w:t>(b)</w:t>
      </w:r>
      <w:r>
        <w:tab/>
        <w:t>is not displayed on the same side of the neck tag or leg band as an identifier referred to in regulation 175.</w:t>
      </w:r>
    </w:p>
    <w:p>
      <w:pPr>
        <w:pStyle w:val="Penstart"/>
      </w:pPr>
      <w:r>
        <w:tab/>
        <w:t>Penalty: a fine of $2 000.</w:t>
      </w:r>
    </w:p>
    <w:p>
      <w:pPr>
        <w:pStyle w:val="Ednotedivision"/>
      </w:pPr>
      <w:r>
        <w:t>[Div. 4 (r.178-180) deleted: Gazette 27 Jun 2019 p. 2447.]</w:t>
      </w:r>
    </w:p>
    <w:p>
      <w:pPr>
        <w:pStyle w:val="Heading3"/>
      </w:pPr>
      <w:bookmarkStart w:id="1157" w:name="_Toc90995726"/>
      <w:bookmarkStart w:id="1158" w:name="_Toc90998779"/>
      <w:bookmarkStart w:id="1159" w:name="_Toc91081439"/>
      <w:bookmarkStart w:id="1160" w:name="_Toc89180046"/>
      <w:bookmarkStart w:id="1161" w:name="_Toc89181513"/>
      <w:bookmarkStart w:id="1162" w:name="_Toc89252730"/>
      <w:r>
        <w:rPr>
          <w:rStyle w:val="CharDivNo"/>
        </w:rPr>
        <w:t>Division 5</w:t>
      </w:r>
      <w:r>
        <w:t> — </w:t>
      </w:r>
      <w:r>
        <w:rPr>
          <w:rStyle w:val="CharDivText"/>
        </w:rPr>
        <w:t>South American camelids</w:t>
      </w:r>
      <w:bookmarkEnd w:id="1157"/>
      <w:bookmarkEnd w:id="1158"/>
      <w:bookmarkEnd w:id="1159"/>
      <w:bookmarkEnd w:id="1160"/>
      <w:bookmarkEnd w:id="1161"/>
      <w:bookmarkEnd w:id="1162"/>
    </w:p>
    <w:p>
      <w:pPr>
        <w:pStyle w:val="Heading5"/>
      </w:pPr>
      <w:bookmarkStart w:id="1163" w:name="_Toc91081440"/>
      <w:bookmarkStart w:id="1164" w:name="_Toc89252731"/>
      <w:r>
        <w:rPr>
          <w:rStyle w:val="CharSectno"/>
        </w:rPr>
        <w:t>181</w:t>
      </w:r>
      <w:r>
        <w:t>.</w:t>
      </w:r>
      <w:r>
        <w:tab/>
        <w:t>Owners to identify South American camelids</w:t>
      </w:r>
      <w:bookmarkEnd w:id="1163"/>
      <w:bookmarkEnd w:id="1164"/>
    </w:p>
    <w:p>
      <w:pPr>
        <w:pStyle w:val="Subsection"/>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tab/>
        <w:t>(b)</w:t>
      </w:r>
      <w:r>
        <w:tab/>
        <w:t>otherwise — before it reaches 6 months of age.</w:t>
      </w:r>
    </w:p>
    <w:p>
      <w:pPr>
        <w:pStyle w:val="Penstart"/>
      </w:pPr>
      <w:r>
        <w:tab/>
        <w:t>Penalty</w:t>
      </w:r>
      <w:ins w:id="1165" w:author="Master Repository Process" w:date="2021-12-31T10:23:00Z">
        <w:r>
          <w:t xml:space="preserve"> for this subregulation</w:t>
        </w:r>
      </w:ins>
      <w:r>
        <w:t>: a fine of $2 000.</w:t>
      </w:r>
    </w:p>
    <w:p>
      <w:pPr>
        <w:pStyle w:val="Subsection"/>
      </w:pPr>
      <w:r>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before it is moved; or</w:t>
      </w:r>
    </w:p>
    <w:p>
      <w:pPr>
        <w:pStyle w:val="Indenta"/>
        <w:keepNext/>
      </w:pPr>
      <w:r>
        <w:tab/>
        <w:t>(b)</w:t>
      </w:r>
      <w:r>
        <w:tab/>
        <w:t>otherwise — within 14 days of it being imported.</w:t>
      </w:r>
    </w:p>
    <w:p>
      <w:pPr>
        <w:pStyle w:val="Penstart"/>
      </w:pPr>
      <w:r>
        <w:tab/>
        <w:t>Penalty</w:t>
      </w:r>
      <w:ins w:id="1166" w:author="Master Repository Process" w:date="2021-12-31T10:23:00Z">
        <w:r>
          <w:t xml:space="preserve"> for this subregulation</w:t>
        </w:r>
      </w:ins>
      <w:r>
        <w:t>: a fine of $2 000.</w:t>
      </w:r>
    </w:p>
    <w:p>
      <w:pPr>
        <w:pStyle w:val="Subsection"/>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w:t>
      </w:r>
      <w:ins w:id="1167" w:author="Master Repository Process" w:date="2021-12-31T10:23:00Z">
        <w:r>
          <w:t xml:space="preserve"> for this subregulation</w:t>
        </w:r>
      </w:ins>
      <w:r>
        <w:t>: a fine of $2 000.</w:t>
      </w:r>
    </w:p>
    <w:p>
      <w:pPr>
        <w:pStyle w:val="Subsection"/>
      </w:pPr>
      <w:r>
        <w:tab/>
        <w:t>(4)</w:t>
      </w:r>
      <w:r>
        <w:tab/>
        <w:t>A South American camelid is identified in accordance with this regulation if it is identified with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pPr>
      <w:r>
        <w:tab/>
        <w:t>(c)</w:t>
      </w:r>
      <w:r>
        <w:tab/>
        <w:t>an approved identifier for South American camelids.</w:t>
      </w:r>
    </w:p>
    <w:p>
      <w:pPr>
        <w:pStyle w:val="Footnotesection"/>
      </w:pPr>
      <w:r>
        <w:tab/>
        <w:t>[Regulation 181 amended: Gazette 27 Jun 2019 p. 2447</w:t>
      </w:r>
      <w:ins w:id="1168" w:author="Master Repository Process" w:date="2021-12-31T10:23:00Z">
        <w:r>
          <w:t>; SL 2021/204 r. 14</w:t>
        </w:r>
      </w:ins>
      <w:r>
        <w:t>.]</w:t>
      </w:r>
    </w:p>
    <w:p>
      <w:pPr>
        <w:pStyle w:val="Heading5"/>
      </w:pPr>
      <w:bookmarkStart w:id="1169" w:name="_Toc91081441"/>
      <w:bookmarkStart w:id="1170" w:name="_Toc89252732"/>
      <w:r>
        <w:rPr>
          <w:rStyle w:val="CharSectno"/>
        </w:rPr>
        <w:t>182</w:t>
      </w:r>
      <w:r>
        <w:t>.</w:t>
      </w:r>
      <w:r>
        <w:tab/>
        <w:t>Exemption for unweaned South American camelids</w:t>
      </w:r>
      <w:bookmarkEnd w:id="1169"/>
      <w:bookmarkEnd w:id="1170"/>
    </w:p>
    <w:p>
      <w:pPr>
        <w:pStyle w:val="Subsection"/>
      </w:pPr>
      <w:r>
        <w:tab/>
      </w:r>
      <w:r>
        <w:tab/>
        <w:t>It is not necessary for an unweaned South American camelid to be identified in accordance with regulation 181(1)(a), (2)(a) or (3)(a) if it is being moved with its mother from the property on which it is kept to another property with the same relevant PIC.</w:t>
      </w:r>
    </w:p>
    <w:p>
      <w:pPr>
        <w:pStyle w:val="Footnotesection"/>
      </w:pPr>
      <w:r>
        <w:tab/>
        <w:t>[Regulation 182 inserted: Gazette 27 Jun 2019 p. 2447.]</w:t>
      </w:r>
    </w:p>
    <w:p>
      <w:pPr>
        <w:pStyle w:val="Heading5"/>
      </w:pPr>
      <w:bookmarkStart w:id="1171" w:name="_Toc91081442"/>
      <w:bookmarkStart w:id="1172" w:name="_Toc89252733"/>
      <w:r>
        <w:rPr>
          <w:rStyle w:val="CharSectno"/>
        </w:rPr>
        <w:t>183</w:t>
      </w:r>
      <w:r>
        <w:t>.</w:t>
      </w:r>
      <w:r>
        <w:tab/>
        <w:t>South American camelids identified by previous owner</w:t>
      </w:r>
      <w:bookmarkEnd w:id="1171"/>
      <w:bookmarkEnd w:id="1172"/>
    </w:p>
    <w:p>
      <w:pPr>
        <w:pStyle w:val="Subsection"/>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1173" w:name="_Toc91081443"/>
      <w:bookmarkStart w:id="1174" w:name="_Toc89252734"/>
      <w:r>
        <w:rPr>
          <w:rStyle w:val="CharSectno"/>
        </w:rPr>
        <w:t>184</w:t>
      </w:r>
      <w:r>
        <w:t>.</w:t>
      </w:r>
      <w:r>
        <w:tab/>
        <w:t>Registered identifier applied as brand</w:t>
      </w:r>
      <w:bookmarkEnd w:id="1173"/>
      <w:bookmarkEnd w:id="1174"/>
    </w:p>
    <w:p>
      <w:pPr>
        <w:pStyle w:val="Subsection"/>
      </w:pPr>
      <w:r>
        <w:tab/>
      </w:r>
      <w:r>
        <w:tab/>
        <w:t xml:space="preserve">For the purposes of regulation 181(4)(a), a registered identifier is applied as a brand in accordance with this regulation if it is legibly displayed on an eartag that — </w:t>
      </w:r>
    </w:p>
    <w:p>
      <w:pPr>
        <w:pStyle w:val="Indenta"/>
      </w:pPr>
      <w:r>
        <w:tab/>
        <w:t>(a)</w:t>
      </w:r>
      <w:r>
        <w:tab/>
        <w:t>is an approved device; and</w:t>
      </w:r>
    </w:p>
    <w:p>
      <w:pPr>
        <w:pStyle w:val="Indenta"/>
      </w:pPr>
      <w:r>
        <w:tab/>
        <w:t>(b)</w:t>
      </w:r>
      <w:r>
        <w:tab/>
        <w:t>in the case of a male South American camelid — is applied to the left ear; and</w:t>
      </w:r>
    </w:p>
    <w:p>
      <w:pPr>
        <w:pStyle w:val="Indenta"/>
      </w:pPr>
      <w:r>
        <w:tab/>
        <w:t>(c)</w:t>
      </w:r>
      <w:r>
        <w:tab/>
        <w:t>in the case of a female South American camelid — is applied to the right ear.</w:t>
      </w:r>
    </w:p>
    <w:p>
      <w:pPr>
        <w:pStyle w:val="Footnotesection"/>
      </w:pPr>
      <w:r>
        <w:tab/>
        <w:t>[Regulation 184 inserted: Gazette 27 Jun 2019 p. 2448.]</w:t>
      </w:r>
    </w:p>
    <w:p>
      <w:pPr>
        <w:pStyle w:val="Heading5"/>
      </w:pPr>
      <w:bookmarkStart w:id="1175" w:name="_Toc91081444"/>
      <w:bookmarkStart w:id="1176" w:name="_Toc89252735"/>
      <w:r>
        <w:rPr>
          <w:rStyle w:val="CharSectno"/>
        </w:rPr>
        <w:t>185</w:t>
      </w:r>
      <w:r>
        <w:t>.</w:t>
      </w:r>
      <w:r>
        <w:tab/>
        <w:t>Registered identifier applied as earmark</w:t>
      </w:r>
      <w:bookmarkEnd w:id="1175"/>
      <w:bookmarkEnd w:id="1176"/>
    </w:p>
    <w:p>
      <w:pPr>
        <w:pStyle w:val="Subsection"/>
      </w:pPr>
      <w:r>
        <w:tab/>
      </w:r>
      <w:r>
        <w:tab/>
        <w:t xml:space="preserve">For the purposes of regulation 181(4)(b), a registered identifier is applied as an earmark in accordance with this regulation if — </w:t>
      </w:r>
    </w:p>
    <w:p>
      <w:pPr>
        <w:pStyle w:val="Indenta"/>
      </w:pPr>
      <w:r>
        <w:tab/>
        <w:t>(a)</w:t>
      </w:r>
      <w:r>
        <w:tab/>
        <w:t>in the case of a male South American camelid — it is applied to the right ear; and</w:t>
      </w:r>
    </w:p>
    <w:p>
      <w:pPr>
        <w:pStyle w:val="Indenta"/>
      </w:pPr>
      <w:r>
        <w:tab/>
        <w:t>(b)</w:t>
      </w:r>
      <w:r>
        <w:tab/>
        <w:t>in the case of a female South American camelid — it is applied to the left ear; and</w:t>
      </w:r>
    </w:p>
    <w:p>
      <w:pPr>
        <w:pStyle w:val="Indenta"/>
      </w:pPr>
      <w:r>
        <w:tab/>
        <w:t>(c)</w:t>
      </w:r>
      <w:r>
        <w:tab/>
        <w:t>each symbol forming part of the earmark is not less than 12 mm across its maximum dimension when it is applied.</w:t>
      </w:r>
    </w:p>
    <w:p>
      <w:pPr>
        <w:pStyle w:val="Footnotesection"/>
      </w:pPr>
      <w:r>
        <w:tab/>
        <w:t>[Regulation 185 inserted: Gazette 27 Jun 2019 p. 2448.]</w:t>
      </w:r>
    </w:p>
    <w:p>
      <w:pPr>
        <w:pStyle w:val="Heading5"/>
      </w:pPr>
      <w:bookmarkStart w:id="1177" w:name="_Toc91081445"/>
      <w:bookmarkStart w:id="1178" w:name="_Toc89252736"/>
      <w:r>
        <w:rPr>
          <w:rStyle w:val="CharSectno"/>
        </w:rPr>
        <w:t>186</w:t>
      </w:r>
      <w:r>
        <w:t>.</w:t>
      </w:r>
      <w:r>
        <w:tab/>
        <w:t>Earmarks and other markings</w:t>
      </w:r>
      <w:bookmarkEnd w:id="1177"/>
      <w:bookmarkEnd w:id="1178"/>
    </w:p>
    <w:p>
      <w:pPr>
        <w:pStyle w:val="Subsection"/>
      </w:pPr>
      <w:r>
        <w:tab/>
      </w:r>
      <w:r>
        <w:tab/>
        <w:t>A person must not apply an earmark to a South American camelid, other than an identifier applied under regulation 181, unless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pPr>
      <w:r>
        <w:tab/>
        <w:t>(b)</w:t>
      </w:r>
      <w:r>
        <w:tab/>
        <w:t>it is applied in such a manner, and in such a position, as to render it clearly distinguishable from an identifier applied to the animal under regulation 181.</w:t>
      </w:r>
    </w:p>
    <w:p>
      <w:pPr>
        <w:pStyle w:val="zPenstart"/>
      </w:pPr>
      <w:r>
        <w:tab/>
        <w:t>Penalty: a fine of $2 000.</w:t>
      </w:r>
    </w:p>
    <w:p>
      <w:pPr>
        <w:pStyle w:val="Footnotesection"/>
      </w:pPr>
      <w:r>
        <w:tab/>
        <w:t>[Regulation 186 inserted: Gazette 27 Jun 2019 p. 2448</w:t>
      </w:r>
      <w:r>
        <w:noBreakHyphen/>
        <w:t>9.]</w:t>
      </w:r>
    </w:p>
    <w:p>
      <w:pPr>
        <w:pStyle w:val="Heading2"/>
      </w:pPr>
      <w:bookmarkStart w:id="1179" w:name="_Toc90995733"/>
      <w:bookmarkStart w:id="1180" w:name="_Toc90998786"/>
      <w:bookmarkStart w:id="1181" w:name="_Toc91081446"/>
      <w:bookmarkStart w:id="1182" w:name="_Toc89180053"/>
      <w:bookmarkStart w:id="1183" w:name="_Toc89181520"/>
      <w:bookmarkStart w:id="1184" w:name="_Toc89252737"/>
      <w:r>
        <w:rPr>
          <w:rStyle w:val="CharPartNo"/>
        </w:rPr>
        <w:t>Part 8</w:t>
      </w:r>
      <w:r>
        <w:rPr>
          <w:rStyle w:val="CharDivNo"/>
        </w:rPr>
        <w:t> </w:t>
      </w:r>
      <w:r>
        <w:t>—</w:t>
      </w:r>
      <w:r>
        <w:rPr>
          <w:rStyle w:val="CharDivText"/>
        </w:rPr>
        <w:t> </w:t>
      </w:r>
      <w:r>
        <w:rPr>
          <w:rStyle w:val="CharPartText"/>
        </w:rPr>
        <w:t>Movement of animals</w:t>
      </w:r>
      <w:bookmarkEnd w:id="1179"/>
      <w:bookmarkEnd w:id="1180"/>
      <w:bookmarkEnd w:id="1181"/>
      <w:bookmarkEnd w:id="1182"/>
      <w:bookmarkEnd w:id="1183"/>
      <w:bookmarkEnd w:id="1184"/>
    </w:p>
    <w:p>
      <w:pPr>
        <w:pStyle w:val="Heading5"/>
      </w:pPr>
      <w:bookmarkStart w:id="1185" w:name="_Toc91081447"/>
      <w:bookmarkStart w:id="1186" w:name="_Toc89252738"/>
      <w:r>
        <w:rPr>
          <w:rStyle w:val="CharSectno"/>
        </w:rPr>
        <w:t>187</w:t>
      </w:r>
      <w:r>
        <w:t>.</w:t>
      </w:r>
      <w:r>
        <w:tab/>
        <w:t>Terms used</w:t>
      </w:r>
      <w:bookmarkEnd w:id="1185"/>
      <w:bookmarkEnd w:id="1186"/>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1187" w:name="_Toc91081448"/>
      <w:bookmarkStart w:id="1188" w:name="_Toc89252739"/>
      <w:r>
        <w:rPr>
          <w:rStyle w:val="CharSectno"/>
        </w:rPr>
        <w:t>188</w:t>
      </w:r>
      <w:r>
        <w:t>.</w:t>
      </w:r>
      <w:r>
        <w:tab/>
        <w:t>Application of Part</w:t>
      </w:r>
      <w:bookmarkEnd w:id="1187"/>
      <w:bookmarkEnd w:id="1188"/>
    </w:p>
    <w:p>
      <w:pPr>
        <w:pStyle w:val="Subsection"/>
      </w:pPr>
      <w:r>
        <w:tab/>
      </w:r>
      <w:r>
        <w:tab/>
        <w:t xml:space="preserve">This Part does not apply to the movement of — </w:t>
      </w:r>
    </w:p>
    <w:p>
      <w:pPr>
        <w:pStyle w:val="Indenta"/>
      </w:pPr>
      <w:r>
        <w:tab/>
        <w:t>(a)</w:t>
      </w:r>
      <w:r>
        <w:tab/>
        <w:t>a horse, donkey or camel unless it is being moved to an abattoir for slaughter for human consumption; or</w:t>
      </w:r>
    </w:p>
    <w:p>
      <w:pPr>
        <w:pStyle w:val="Indenta"/>
      </w:pPr>
      <w:r>
        <w:tab/>
        <w:t>(b)</w:t>
      </w:r>
      <w:r>
        <w:tab/>
        <w:t>an ostrich; or</w:t>
      </w:r>
    </w:p>
    <w:p>
      <w:pPr>
        <w:pStyle w:val="Indenta"/>
      </w:pPr>
      <w:r>
        <w:tab/>
        <w:t>(c)</w:t>
      </w:r>
      <w:r>
        <w:tab/>
        <w:t>a slaughtered animal being moved from an abattoir.</w:t>
      </w:r>
    </w:p>
    <w:p>
      <w:pPr>
        <w:pStyle w:val="Footnotesection"/>
      </w:pPr>
      <w:r>
        <w:tab/>
        <w:t>[Regulation 188 amended: Gazette 27 Jun 2019 p. 2449.]</w:t>
      </w:r>
    </w:p>
    <w:p>
      <w:pPr>
        <w:pStyle w:val="Heading5"/>
      </w:pPr>
      <w:bookmarkStart w:id="1189" w:name="_Toc91081449"/>
      <w:bookmarkStart w:id="1190" w:name="_Toc89252740"/>
      <w:r>
        <w:rPr>
          <w:rStyle w:val="CharSectno"/>
        </w:rPr>
        <w:t>189</w:t>
      </w:r>
      <w:r>
        <w:t>.</w:t>
      </w:r>
      <w:r>
        <w:tab/>
        <w:t>When waybill is required</w:t>
      </w:r>
      <w:bookmarkEnd w:id="1189"/>
      <w:bookmarkEnd w:id="1190"/>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pPr>
      <w:r>
        <w:tab/>
        <w:t>(c)</w:t>
      </w:r>
      <w:r>
        <w:tab/>
        <w:t>a person impounding an animal found wandering, straying, lying or trespassing on land,</w:t>
      </w:r>
    </w:p>
    <w:p>
      <w:pPr>
        <w:pStyle w:val="Subsection"/>
      </w:pPr>
      <w:r>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1191" w:name="_Toc91081450"/>
      <w:bookmarkStart w:id="1192" w:name="_Toc89252741"/>
      <w:r>
        <w:rPr>
          <w:rStyle w:val="CharSectno"/>
        </w:rPr>
        <w:t>190</w:t>
      </w:r>
      <w:r>
        <w:t>.</w:t>
      </w:r>
      <w:r>
        <w:tab/>
        <w:t>General requirements for waybills</w:t>
      </w:r>
      <w:bookmarkEnd w:id="1191"/>
      <w:bookmarkEnd w:id="1192"/>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tab/>
        <w:t>(h)</w:t>
      </w:r>
      <w:r>
        <w:tab/>
        <w:t>the number of animals in the consignment;</w:t>
      </w:r>
    </w:p>
    <w:p>
      <w:pPr>
        <w:pStyle w:val="Indenta"/>
      </w:pPr>
      <w:r>
        <w:tab/>
        <w:t>(i)</w:t>
      </w:r>
      <w:r>
        <w:tab/>
        <w:t>if the animal is, or animals are, being moved from a property other than a saleyard — the relevant PIC and 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pPr>
      <w:r>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w:t>
      </w:r>
      <w:ins w:id="1193" w:author="Master Repository Process" w:date="2021-12-31T10:23:00Z">
        <w:r>
          <w:t xml:space="preserve"> for this subregulation</w:t>
        </w:r>
      </w:ins>
      <w:r>
        <w:t>: a fine of $5 000.</w:t>
      </w:r>
    </w:p>
    <w:p>
      <w:pPr>
        <w:pStyle w:val="Footnotesection"/>
        <w:rPr>
          <w:ins w:id="1194" w:author="Master Repository Process" w:date="2021-12-31T10:23:00Z"/>
        </w:rPr>
      </w:pPr>
      <w:ins w:id="1195" w:author="Master Repository Process" w:date="2021-12-31T10:23:00Z">
        <w:r>
          <w:tab/>
          <w:t>[Regulation 190 amended: SL 2021/204 r. 14.]</w:t>
        </w:r>
      </w:ins>
    </w:p>
    <w:p>
      <w:pPr>
        <w:pStyle w:val="Heading5"/>
      </w:pPr>
      <w:bookmarkStart w:id="1196" w:name="_Toc91081451"/>
      <w:bookmarkStart w:id="1197" w:name="_Toc89252742"/>
      <w:r>
        <w:rPr>
          <w:rStyle w:val="CharSectno"/>
        </w:rPr>
        <w:t>191</w:t>
      </w:r>
      <w:r>
        <w:t>.</w:t>
      </w:r>
      <w:r>
        <w:tab/>
        <w:t>Movements from saleyards</w:t>
      </w:r>
      <w:bookmarkEnd w:id="1196"/>
      <w:bookmarkEnd w:id="1197"/>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to which the animal is to be moved — that relevant PIC;</w:t>
      </w:r>
    </w:p>
    <w:p>
      <w:pPr>
        <w:pStyle w:val="Indenta"/>
      </w:pPr>
      <w:r>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pPr>
      <w:r>
        <w:tab/>
        <w:t>[Regulation 191 amended: Gazette 27 Jun 2019 p. 2449.]</w:t>
      </w:r>
    </w:p>
    <w:p>
      <w:pPr>
        <w:pStyle w:val="Heading5"/>
      </w:pPr>
      <w:bookmarkStart w:id="1198" w:name="_Toc91081452"/>
      <w:bookmarkStart w:id="1199" w:name="_Toc89252743"/>
      <w:r>
        <w:rPr>
          <w:rStyle w:val="CharSectno"/>
        </w:rPr>
        <w:t>192</w:t>
      </w:r>
      <w:r>
        <w:t>.</w:t>
      </w:r>
      <w:r>
        <w:tab/>
        <w:t>When purchaser must provide waybill</w:t>
      </w:r>
      <w:bookmarkEnd w:id="1198"/>
      <w:bookmarkEnd w:id="1199"/>
    </w:p>
    <w:p>
      <w:pPr>
        <w:pStyle w:val="Subsection"/>
      </w:pPr>
      <w:r>
        <w:tab/>
        <w:t>(1)</w:t>
      </w:r>
      <w:r>
        <w:tab/>
        <w:t xml:space="preserve">If a purchaser of an animal at a saleyard does not give the saleyard operator the relevant PIC of the property to which the animal is to be moved, the purchaser must, before the animal is moved from the saleyard, give the carrier of the consignment 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the relevant PIC of the property to which the animal is to be moved;</w:t>
      </w:r>
    </w:p>
    <w:p>
      <w:pPr>
        <w:pStyle w:val="Indenta"/>
      </w:pPr>
      <w:r>
        <w:tab/>
        <w:t>(e)</w:t>
      </w:r>
      <w:r>
        <w:tab/>
        <w:t>the date of the movement of the animal from the saleyard.</w:t>
      </w:r>
    </w:p>
    <w:p>
      <w:pPr>
        <w:pStyle w:val="Penstart"/>
      </w:pPr>
      <w:r>
        <w:tab/>
        <w:t>Penalty</w:t>
      </w:r>
      <w:ins w:id="1200" w:author="Master Repository Process" w:date="2021-12-31T10:23:00Z">
        <w:r>
          <w:t xml:space="preserve"> for this subregulation</w:t>
        </w:r>
      </w:ins>
      <w:r>
        <w:t>: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w:t>
      </w:r>
      <w:ins w:id="1201" w:author="Master Repository Process" w:date="2021-12-31T10:23:00Z">
        <w:r>
          <w:t xml:space="preserve"> for this subregulation</w:t>
        </w:r>
      </w:ins>
      <w:r>
        <w:t>: a fine of $2 000.</w:t>
      </w:r>
    </w:p>
    <w:p>
      <w:pPr>
        <w:pStyle w:val="Footnotesection"/>
      </w:pPr>
      <w:r>
        <w:tab/>
        <w:t>[Regulation 192 amended: Gazette 27 Jun 2019 p. 2449</w:t>
      </w:r>
      <w:r>
        <w:noBreakHyphen/>
        <w:t>50</w:t>
      </w:r>
      <w:ins w:id="1202" w:author="Master Repository Process" w:date="2021-12-31T10:23:00Z">
        <w:r>
          <w:t>; SL 2021/204 r. 14</w:t>
        </w:r>
      </w:ins>
      <w:r>
        <w:t>.]</w:t>
      </w:r>
    </w:p>
    <w:p>
      <w:pPr>
        <w:pStyle w:val="Heading5"/>
      </w:pPr>
      <w:bookmarkStart w:id="1203" w:name="_Toc91081453"/>
      <w:bookmarkStart w:id="1204" w:name="_Toc89252744"/>
      <w:r>
        <w:rPr>
          <w:rStyle w:val="CharSectno"/>
        </w:rPr>
        <w:t>193</w:t>
      </w:r>
      <w:r>
        <w:t>.</w:t>
      </w:r>
      <w:r>
        <w:tab/>
        <w:t>Movements from export depots</w:t>
      </w:r>
      <w:bookmarkEnd w:id="1203"/>
      <w:bookmarkEnd w:id="1204"/>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1205" w:name="_Toc91081454"/>
      <w:bookmarkStart w:id="1206" w:name="_Toc89252745"/>
      <w:r>
        <w:rPr>
          <w:rStyle w:val="CharSectno"/>
        </w:rPr>
        <w:t>194</w:t>
      </w:r>
      <w:r>
        <w:t>.</w:t>
      </w:r>
      <w:r>
        <w:tab/>
        <w:t>Recording identifiers on waybills</w:t>
      </w:r>
      <w:bookmarkEnd w:id="1205"/>
      <w:bookmarkEnd w:id="1206"/>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applied to the animal or animals;</w:t>
      </w:r>
    </w:p>
    <w:p>
      <w:pPr>
        <w:pStyle w:val="Indenta"/>
      </w:pPr>
      <w:r>
        <w:tab/>
        <w:t>(d)</w:t>
      </w:r>
      <w:r>
        <w:tab/>
        <w:t>the details of any identifier, approved by an inspector under regulation 83(2)(a), applied to the animal or animals;</w:t>
      </w:r>
    </w:p>
    <w:p>
      <w:pPr>
        <w:pStyle w:val="Indenta"/>
      </w:pPr>
      <w:r>
        <w:tab/>
        <w:t>(da)</w:t>
      </w:r>
      <w:r>
        <w:tab/>
        <w:t>the details of any approved identifier applied to the animal or animals, including the type of identifier and the breed society to which it is issued;</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pPr>
      <w:r>
        <w:tab/>
        <w:t>[Regulation 194 amended: Gazette 27 Jun 2019 p. 2450.]</w:t>
      </w:r>
    </w:p>
    <w:p>
      <w:pPr>
        <w:pStyle w:val="Heading5"/>
      </w:pPr>
      <w:bookmarkStart w:id="1207" w:name="_Toc91081455"/>
      <w:bookmarkStart w:id="1208" w:name="_Toc89252746"/>
      <w:r>
        <w:rPr>
          <w:rStyle w:val="CharSectno"/>
        </w:rPr>
        <w:t>195</w:t>
      </w:r>
      <w:r>
        <w:t>.</w:t>
      </w:r>
      <w:r>
        <w:tab/>
        <w:t>When waybill is not required</w:t>
      </w:r>
      <w:bookmarkEnd w:id="1207"/>
      <w:bookmarkEnd w:id="1208"/>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1209" w:name="_Toc91081456"/>
      <w:bookmarkStart w:id="1210" w:name="_Toc89252747"/>
      <w:r>
        <w:rPr>
          <w:rStyle w:val="CharSectno"/>
        </w:rPr>
        <w:t>196</w:t>
      </w:r>
      <w:r>
        <w:t>.</w:t>
      </w:r>
      <w:r>
        <w:tab/>
        <w:t>Movement permits</w:t>
      </w:r>
      <w:bookmarkEnd w:id="1209"/>
      <w:bookmarkEnd w:id="1210"/>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w:t>
      </w:r>
      <w:ins w:id="1211" w:author="Master Repository Process" w:date="2021-12-31T10:23:00Z">
        <w:r>
          <w:t xml:space="preserve"> for this subregulation</w:t>
        </w:r>
      </w:ins>
      <w:r>
        <w:t>: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pPr>
      <w:r>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w:t>
      </w:r>
      <w:ins w:id="1212" w:author="Master Repository Process" w:date="2021-12-31T10:23:00Z">
        <w:r>
          <w:t xml:space="preserve"> for this subregulation</w:t>
        </w:r>
      </w:ins>
      <w:r>
        <w:t>: a fine of $2 000.</w:t>
      </w:r>
    </w:p>
    <w:p>
      <w:pPr>
        <w:pStyle w:val="Footnotesection"/>
        <w:rPr>
          <w:ins w:id="1213" w:author="Master Repository Process" w:date="2021-12-31T10:23:00Z"/>
        </w:rPr>
      </w:pPr>
      <w:ins w:id="1214" w:author="Master Repository Process" w:date="2021-12-31T10:23:00Z">
        <w:r>
          <w:tab/>
          <w:t>[Regulation 196 amended: SL 2021/204 r. 14.]</w:t>
        </w:r>
      </w:ins>
    </w:p>
    <w:p>
      <w:pPr>
        <w:pStyle w:val="Heading5"/>
      </w:pPr>
      <w:bookmarkStart w:id="1215" w:name="_Toc91081457"/>
      <w:bookmarkStart w:id="1216" w:name="_Toc89252748"/>
      <w:r>
        <w:rPr>
          <w:rStyle w:val="CharSectno"/>
        </w:rPr>
        <w:t>197</w:t>
      </w:r>
      <w:r>
        <w:t>.</w:t>
      </w:r>
      <w:r>
        <w:tab/>
        <w:t>When carrier may make out waybill</w:t>
      </w:r>
      <w:bookmarkEnd w:id="1215"/>
      <w:bookmarkEnd w:id="1216"/>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1217" w:name="_Toc91081458"/>
      <w:bookmarkStart w:id="1218" w:name="_Toc89252749"/>
      <w:r>
        <w:rPr>
          <w:rStyle w:val="CharSectno"/>
        </w:rPr>
        <w:t>198</w:t>
      </w:r>
      <w:r>
        <w:t>.</w:t>
      </w:r>
      <w:r>
        <w:tab/>
        <w:t>Movement of animals if transport documents retained by inspector</w:t>
      </w:r>
      <w:bookmarkEnd w:id="1217"/>
      <w:bookmarkEnd w:id="1218"/>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pPr>
      <w:r>
        <w:tab/>
        <w:t>(5)</w:t>
      </w:r>
      <w:r>
        <w:tab/>
        <w:t>A carrier who is given a written authority under subregulation </w:t>
      </w:r>
      <w:r>
        <w:rPr>
          <w:snapToGrid w:val="0"/>
        </w:rPr>
        <w:t>(2)(a)</w:t>
      </w:r>
      <w:r>
        <w:t xml:space="preserve"> must comply with any conditions specified in the written authority.</w:t>
      </w:r>
    </w:p>
    <w:p>
      <w:pPr>
        <w:pStyle w:val="Penstart"/>
      </w:pPr>
      <w:r>
        <w:tab/>
        <w:t>Penalty</w:t>
      </w:r>
      <w:ins w:id="1219" w:author="Master Repository Process" w:date="2021-12-31T10:23:00Z">
        <w:r>
          <w:t xml:space="preserve"> for this subregulation</w:t>
        </w:r>
      </w:ins>
      <w:r>
        <w:t>: a fine of $2 000.</w:t>
      </w:r>
    </w:p>
    <w:p>
      <w:pPr>
        <w:pStyle w:val="Footnotesection"/>
      </w:pPr>
      <w:r>
        <w:tab/>
        <w:t>[Regulation 198 amended: Gazette 27 Jun 2019 p. 2450</w:t>
      </w:r>
      <w:ins w:id="1220" w:author="Master Repository Process" w:date="2021-12-31T10:23:00Z">
        <w:r>
          <w:t>; SL 2021/204 r. 14</w:t>
        </w:r>
      </w:ins>
      <w:r>
        <w:t>.]</w:t>
      </w:r>
    </w:p>
    <w:p>
      <w:pPr>
        <w:pStyle w:val="Heading5"/>
      </w:pPr>
      <w:bookmarkStart w:id="1221" w:name="_Toc91081459"/>
      <w:bookmarkStart w:id="1222" w:name="_Toc89252750"/>
      <w:r>
        <w:rPr>
          <w:rStyle w:val="CharSectno"/>
        </w:rPr>
        <w:t>199</w:t>
      </w:r>
      <w:r>
        <w:t>.</w:t>
      </w:r>
      <w:r>
        <w:tab/>
        <w:t>Transport document must accompany animal being moved</w:t>
      </w:r>
      <w:bookmarkEnd w:id="1221"/>
      <w:bookmarkEnd w:id="1222"/>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w:t>
      </w:r>
      <w:ins w:id="1223" w:author="Master Repository Process" w:date="2021-12-31T10:23:00Z">
        <w:r>
          <w:t xml:space="preserve"> for this subregulation</w:t>
        </w:r>
      </w:ins>
      <w:r>
        <w:t>: a fine of $5 000.</w:t>
      </w:r>
    </w:p>
    <w:p>
      <w:pPr>
        <w:pStyle w:val="Subsection"/>
      </w:pPr>
      <w:r>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Footnotesection"/>
        <w:rPr>
          <w:ins w:id="1224" w:author="Master Repository Process" w:date="2021-12-31T10:23:00Z"/>
        </w:rPr>
      </w:pPr>
      <w:ins w:id="1225" w:author="Master Repository Process" w:date="2021-12-31T10:23:00Z">
        <w:r>
          <w:tab/>
          <w:t>[Regulation 199 amended: SL 2021/204 r. 14.]</w:t>
        </w:r>
      </w:ins>
    </w:p>
    <w:p>
      <w:pPr>
        <w:pStyle w:val="Heading5"/>
      </w:pPr>
      <w:bookmarkStart w:id="1226" w:name="_Toc91081460"/>
      <w:bookmarkStart w:id="1227" w:name="_Toc89252751"/>
      <w:r>
        <w:rPr>
          <w:rStyle w:val="CharSectno"/>
        </w:rPr>
        <w:t>200</w:t>
      </w:r>
      <w:r>
        <w:t>.</w:t>
      </w:r>
      <w:r>
        <w:tab/>
        <w:t>Carrier to deliver transport document to operator of destination property</w:t>
      </w:r>
      <w:bookmarkEnd w:id="1226"/>
      <w:bookmarkEnd w:id="1227"/>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w:t>
      </w:r>
      <w:ins w:id="1228" w:author="Master Repository Process" w:date="2021-12-31T10:23:00Z">
        <w:r>
          <w:t xml:space="preserve"> for this subregulation</w:t>
        </w:r>
      </w:ins>
      <w:r>
        <w:t>: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w:t>
      </w:r>
      <w:ins w:id="1229" w:author="Master Repository Process" w:date="2021-12-31T10:23:00Z">
        <w:r>
          <w:t xml:space="preserve"> for this subregulation</w:t>
        </w:r>
      </w:ins>
      <w:r>
        <w:t>: a fine of $2 000.</w:t>
      </w:r>
    </w:p>
    <w:p>
      <w:pPr>
        <w:pStyle w:val="Footnotesection"/>
        <w:rPr>
          <w:ins w:id="1230" w:author="Master Repository Process" w:date="2021-12-31T10:23:00Z"/>
        </w:rPr>
      </w:pPr>
      <w:ins w:id="1231" w:author="Master Repository Process" w:date="2021-12-31T10:23:00Z">
        <w:r>
          <w:tab/>
          <w:t>[Regulation 200 amended: SL 2021/204 r. 14.]</w:t>
        </w:r>
      </w:ins>
    </w:p>
    <w:p>
      <w:pPr>
        <w:pStyle w:val="Heading5"/>
      </w:pPr>
      <w:bookmarkStart w:id="1232" w:name="_Toc91081461"/>
      <w:bookmarkStart w:id="1233" w:name="_Toc89252752"/>
      <w:r>
        <w:rPr>
          <w:rStyle w:val="CharSectno"/>
        </w:rPr>
        <w:t>201</w:t>
      </w:r>
      <w:r>
        <w:t>.</w:t>
      </w:r>
      <w:r>
        <w:tab/>
        <w:t>Property operator to obtain transport document</w:t>
      </w:r>
      <w:bookmarkEnd w:id="1232"/>
      <w:bookmarkEnd w:id="1233"/>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w:t>
      </w:r>
      <w:ins w:id="1234" w:author="Master Repository Process" w:date="2021-12-31T10:23:00Z">
        <w:r>
          <w:t xml:space="preserve"> for this subregulation</w:t>
        </w:r>
      </w:ins>
      <w:r>
        <w:t>: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w:t>
      </w:r>
      <w:ins w:id="1235" w:author="Master Repository Process" w:date="2021-12-31T10:23:00Z">
        <w:r>
          <w:t xml:space="preserve"> for this subregulation</w:t>
        </w:r>
      </w:ins>
      <w:r>
        <w:t>: a fine of $2 000.</w:t>
      </w:r>
    </w:p>
    <w:p>
      <w:pPr>
        <w:pStyle w:val="Footnotesection"/>
        <w:rPr>
          <w:ins w:id="1236" w:author="Master Repository Process" w:date="2021-12-31T10:23:00Z"/>
        </w:rPr>
      </w:pPr>
      <w:bookmarkStart w:id="1237" w:name="_Toc90995749"/>
      <w:ins w:id="1238" w:author="Master Repository Process" w:date="2021-12-31T10:23:00Z">
        <w:r>
          <w:tab/>
          <w:t>[Regulation 201 amended: SL 2021/204 r. 14.]</w:t>
        </w:r>
      </w:ins>
    </w:p>
    <w:p>
      <w:pPr>
        <w:pStyle w:val="Heading2"/>
      </w:pPr>
      <w:bookmarkStart w:id="1239" w:name="_Toc90998802"/>
      <w:bookmarkStart w:id="1240" w:name="_Toc91081462"/>
      <w:bookmarkStart w:id="1241" w:name="_Toc89180069"/>
      <w:bookmarkStart w:id="1242" w:name="_Toc89181536"/>
      <w:bookmarkStart w:id="1243" w:name="_Toc89252753"/>
      <w:r>
        <w:rPr>
          <w:rStyle w:val="CharPartNo"/>
        </w:rPr>
        <w:t>Part 9</w:t>
      </w:r>
      <w:r>
        <w:rPr>
          <w:rStyle w:val="CharDivNo"/>
        </w:rPr>
        <w:t> </w:t>
      </w:r>
      <w:r>
        <w:t>—</w:t>
      </w:r>
      <w:r>
        <w:rPr>
          <w:rStyle w:val="CharDivText"/>
        </w:rPr>
        <w:t> </w:t>
      </w:r>
      <w:r>
        <w:rPr>
          <w:rStyle w:val="CharPartText"/>
        </w:rPr>
        <w:t>Identification and movement of apiaries</w:t>
      </w:r>
      <w:bookmarkEnd w:id="1237"/>
      <w:bookmarkEnd w:id="1239"/>
      <w:bookmarkEnd w:id="1240"/>
      <w:bookmarkEnd w:id="1241"/>
      <w:bookmarkEnd w:id="1242"/>
      <w:bookmarkEnd w:id="1243"/>
    </w:p>
    <w:p>
      <w:pPr>
        <w:pStyle w:val="Heading5"/>
      </w:pPr>
      <w:bookmarkStart w:id="1244" w:name="_Toc91081463"/>
      <w:bookmarkStart w:id="1245" w:name="_Toc89252754"/>
      <w:r>
        <w:rPr>
          <w:rStyle w:val="CharSectno"/>
        </w:rPr>
        <w:t>202</w:t>
      </w:r>
      <w:r>
        <w:t>.</w:t>
      </w:r>
      <w:r>
        <w:tab/>
        <w:t>Beekeepers to identify hives</w:t>
      </w:r>
      <w:bookmarkEnd w:id="1244"/>
      <w:bookmarkEnd w:id="1245"/>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1246" w:name="_Toc91081464"/>
      <w:bookmarkStart w:id="1247" w:name="_Toc89252755"/>
      <w:r>
        <w:rPr>
          <w:rStyle w:val="CharSectno"/>
        </w:rPr>
        <w:t>203</w:t>
      </w:r>
      <w:r>
        <w:t>.</w:t>
      </w:r>
      <w:r>
        <w:tab/>
        <w:t>Identifying hives</w:t>
      </w:r>
      <w:bookmarkEnd w:id="1246"/>
      <w:bookmarkEnd w:id="1247"/>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1248" w:name="_Toc91081465"/>
      <w:bookmarkStart w:id="1249" w:name="_Toc89252756"/>
      <w:r>
        <w:rPr>
          <w:rStyle w:val="CharSectno"/>
        </w:rPr>
        <w:t>204</w:t>
      </w:r>
      <w:r>
        <w:t>.</w:t>
      </w:r>
      <w:r>
        <w:tab/>
        <w:t>Exclusive use of registered identifiers</w:t>
      </w:r>
      <w:bookmarkEnd w:id="1248"/>
      <w:bookmarkEnd w:id="1249"/>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tab/>
        <w:t>(b)</w:t>
      </w:r>
      <w:r>
        <w:tab/>
        <w:t>required or empowered by these regulations to identify the hive, or cause it to be identified, with the registered identifier for hives.</w:t>
      </w:r>
    </w:p>
    <w:p>
      <w:pPr>
        <w:pStyle w:val="Penstart"/>
      </w:pPr>
      <w:r>
        <w:tab/>
        <w:t>Penalty: a fine of $5 000.</w:t>
      </w:r>
    </w:p>
    <w:p>
      <w:pPr>
        <w:pStyle w:val="Heading5"/>
      </w:pPr>
      <w:bookmarkStart w:id="1250" w:name="_Toc91081466"/>
      <w:bookmarkStart w:id="1251" w:name="_Toc89252757"/>
      <w:r>
        <w:rPr>
          <w:rStyle w:val="CharSectno"/>
        </w:rPr>
        <w:t>205</w:t>
      </w:r>
      <w:r>
        <w:t>.</w:t>
      </w:r>
      <w:r>
        <w:tab/>
        <w:t>Successive owners of hives</w:t>
      </w:r>
      <w:bookmarkEnd w:id="1250"/>
      <w:bookmarkEnd w:id="1251"/>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1252" w:name="_Toc91081467"/>
      <w:bookmarkStart w:id="1253" w:name="_Toc89252758"/>
      <w:r>
        <w:rPr>
          <w:rStyle w:val="CharSectno"/>
        </w:rPr>
        <w:t>206</w:t>
      </w:r>
      <w:r>
        <w:t>.</w:t>
      </w:r>
      <w:r>
        <w:tab/>
        <w:t>Altered or defaced identifiers</w:t>
      </w:r>
      <w:bookmarkEnd w:id="1252"/>
      <w:bookmarkEnd w:id="1253"/>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w:t>
      </w:r>
      <w:ins w:id="1254" w:author="Master Repository Process" w:date="2021-12-31T10:23:00Z">
        <w:r>
          <w:t xml:space="preserve"> for this subregulation</w:t>
        </w:r>
      </w:ins>
      <w:r>
        <w:t>: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Footnotesection"/>
        <w:rPr>
          <w:ins w:id="1255" w:author="Master Repository Process" w:date="2021-12-31T10:23:00Z"/>
        </w:rPr>
      </w:pPr>
      <w:ins w:id="1256" w:author="Master Repository Process" w:date="2021-12-31T10:23:00Z">
        <w:r>
          <w:tab/>
          <w:t>[Regulation 206 amended: SL 2021/204 r. 14.]</w:t>
        </w:r>
      </w:ins>
    </w:p>
    <w:p>
      <w:pPr>
        <w:pStyle w:val="Heading5"/>
      </w:pPr>
      <w:bookmarkStart w:id="1257" w:name="_Toc91081468"/>
      <w:bookmarkStart w:id="1258" w:name="_Toc89252759"/>
      <w:r>
        <w:rPr>
          <w:rStyle w:val="CharSectno"/>
        </w:rPr>
        <w:t>207</w:t>
      </w:r>
      <w:r>
        <w:t>.</w:t>
      </w:r>
      <w:r>
        <w:tab/>
        <w:t>Possession of unidentified hives</w:t>
      </w:r>
      <w:bookmarkEnd w:id="1257"/>
      <w:bookmarkEnd w:id="1258"/>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1259" w:name="_Toc91081469"/>
      <w:bookmarkStart w:id="1260" w:name="_Toc89252760"/>
      <w:r>
        <w:rPr>
          <w:rStyle w:val="CharSectno"/>
        </w:rPr>
        <w:t>208</w:t>
      </w:r>
      <w:r>
        <w:t>.</w:t>
      </w:r>
      <w:r>
        <w:tab/>
        <w:t>Notices for apiaries</w:t>
      </w:r>
      <w:bookmarkEnd w:id="1259"/>
      <w:bookmarkEnd w:id="1260"/>
    </w:p>
    <w:p>
      <w:pPr>
        <w:pStyle w:val="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w:t>
      </w:r>
      <w:ins w:id="1261" w:author="Master Repository Process" w:date="2021-12-31T10:23:00Z">
        <w:r>
          <w:t xml:space="preserve"> for this subregulation</w:t>
        </w:r>
      </w:ins>
      <w:r>
        <w:t>: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Footnotesection"/>
        <w:rPr>
          <w:ins w:id="1262" w:author="Master Repository Process" w:date="2021-12-31T10:23:00Z"/>
        </w:rPr>
      </w:pPr>
      <w:ins w:id="1263" w:author="Master Repository Process" w:date="2021-12-31T10:23:00Z">
        <w:r>
          <w:tab/>
          <w:t>[Regulation 208 amended: SL 2021/204 r. 14.]</w:t>
        </w:r>
      </w:ins>
    </w:p>
    <w:p>
      <w:pPr>
        <w:pStyle w:val="Heading5"/>
      </w:pPr>
      <w:bookmarkStart w:id="1264" w:name="_Toc91081470"/>
      <w:bookmarkStart w:id="1265" w:name="_Toc89252761"/>
      <w:r>
        <w:rPr>
          <w:rStyle w:val="CharSectno"/>
        </w:rPr>
        <w:t>209</w:t>
      </w:r>
      <w:r>
        <w:t>.</w:t>
      </w:r>
      <w:r>
        <w:tab/>
        <w:t>Establishment and movement of apiaries</w:t>
      </w:r>
      <w:bookmarkEnd w:id="1264"/>
      <w:bookmarkEnd w:id="1265"/>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w:t>
      </w:r>
      <w:ins w:id="1266" w:author="Master Repository Process" w:date="2021-12-31T10:23:00Z">
        <w:r>
          <w:t xml:space="preserve"> for this subregulation</w:t>
        </w:r>
      </w:ins>
      <w:r>
        <w:t>: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w:t>
      </w:r>
      <w:ins w:id="1267" w:author="Master Repository Process" w:date="2021-12-31T10:23:00Z">
        <w:r>
          <w:t xml:space="preserve"> for this subregulation</w:t>
        </w:r>
      </w:ins>
      <w:r>
        <w:t>: a fine of $2 000.</w:t>
      </w:r>
    </w:p>
    <w:p>
      <w:pPr>
        <w:pStyle w:val="Footnotesection"/>
        <w:rPr>
          <w:ins w:id="1268" w:author="Master Repository Process" w:date="2021-12-31T10:23:00Z"/>
        </w:rPr>
      </w:pPr>
      <w:ins w:id="1269" w:author="Master Repository Process" w:date="2021-12-31T10:23:00Z">
        <w:r>
          <w:tab/>
          <w:t>[Regulation 209 amended: SL 2021/204 r. 14.]</w:t>
        </w:r>
      </w:ins>
    </w:p>
    <w:p>
      <w:pPr>
        <w:pStyle w:val="Heading5"/>
      </w:pPr>
      <w:bookmarkStart w:id="1270" w:name="_Toc91081471"/>
      <w:bookmarkStart w:id="1271" w:name="_Toc89252762"/>
      <w:r>
        <w:rPr>
          <w:rStyle w:val="CharSectno"/>
        </w:rPr>
        <w:t>210</w:t>
      </w:r>
      <w:r>
        <w:t>.</w:t>
      </w:r>
      <w:r>
        <w:tab/>
        <w:t>Lease, supply or disposal of apiaries</w:t>
      </w:r>
      <w:bookmarkEnd w:id="1270"/>
      <w:bookmarkEnd w:id="1271"/>
    </w:p>
    <w:p>
      <w:pPr>
        <w:pStyle w:val="Subsection"/>
        <w:keepNext/>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w:t>
      </w:r>
      <w:ins w:id="1272" w:author="Master Repository Process" w:date="2021-12-31T10:23:00Z">
        <w:r>
          <w:t xml:space="preserve"> for this subregulation</w:t>
        </w:r>
      </w:ins>
      <w:r>
        <w:t>: a fine of $2 000.</w:t>
      </w:r>
    </w:p>
    <w:p>
      <w:pPr>
        <w:pStyle w:val="Subsection"/>
      </w:pPr>
      <w:r>
        <w:tab/>
        <w:t>(2)</w:t>
      </w:r>
      <w:r>
        <w:tab/>
        <w:t>A beekeeper must retain a record made under regulation 210(1)(b)(ii) for not less than 7 years after the record is made.</w:t>
      </w:r>
    </w:p>
    <w:p>
      <w:pPr>
        <w:pStyle w:val="Penstart"/>
      </w:pPr>
      <w:r>
        <w:tab/>
        <w:t>Penalty</w:t>
      </w:r>
      <w:ins w:id="1273" w:author="Master Repository Process" w:date="2021-12-31T10:23:00Z">
        <w:r>
          <w:t xml:space="preserve"> for this subregulation</w:t>
        </w:r>
      </w:ins>
      <w:r>
        <w:t>: a fine of $2 000.</w:t>
      </w:r>
    </w:p>
    <w:p>
      <w:pPr>
        <w:pStyle w:val="Footnotesection"/>
        <w:rPr>
          <w:ins w:id="1274" w:author="Master Repository Process" w:date="2021-12-31T10:23:00Z"/>
        </w:rPr>
      </w:pPr>
      <w:bookmarkStart w:id="1275" w:name="_Toc90995759"/>
      <w:ins w:id="1276" w:author="Master Repository Process" w:date="2021-12-31T10:23:00Z">
        <w:r>
          <w:tab/>
          <w:t>[Regulation 210 amended: SL 2021/204 r. 14.]</w:t>
        </w:r>
      </w:ins>
    </w:p>
    <w:p>
      <w:pPr>
        <w:pStyle w:val="Heading2"/>
      </w:pPr>
      <w:bookmarkStart w:id="1277" w:name="_Toc90998812"/>
      <w:bookmarkStart w:id="1278" w:name="_Toc91081472"/>
      <w:bookmarkStart w:id="1279" w:name="_Toc89180079"/>
      <w:bookmarkStart w:id="1280" w:name="_Toc89181546"/>
      <w:bookmarkStart w:id="1281" w:name="_Toc89252763"/>
      <w:r>
        <w:rPr>
          <w:rStyle w:val="CharPartNo"/>
        </w:rPr>
        <w:t>Part 10</w:t>
      </w:r>
      <w:r>
        <w:rPr>
          <w:rStyle w:val="CharDivNo"/>
        </w:rPr>
        <w:t> </w:t>
      </w:r>
      <w:r>
        <w:t>—</w:t>
      </w:r>
      <w:r>
        <w:rPr>
          <w:rStyle w:val="CharDivText"/>
        </w:rPr>
        <w:t> </w:t>
      </w:r>
      <w:r>
        <w:rPr>
          <w:rStyle w:val="CharPartText"/>
        </w:rPr>
        <w:t>Miscellaneous</w:t>
      </w:r>
      <w:bookmarkEnd w:id="1275"/>
      <w:bookmarkEnd w:id="1277"/>
      <w:bookmarkEnd w:id="1278"/>
      <w:bookmarkEnd w:id="1279"/>
      <w:bookmarkEnd w:id="1280"/>
      <w:bookmarkEnd w:id="1281"/>
    </w:p>
    <w:p>
      <w:pPr>
        <w:pStyle w:val="Heading5"/>
      </w:pPr>
      <w:bookmarkStart w:id="1282" w:name="_Toc91081473"/>
      <w:bookmarkStart w:id="1283" w:name="_Toc89252764"/>
      <w:r>
        <w:rPr>
          <w:rStyle w:val="CharSectno"/>
        </w:rPr>
        <w:t>211</w:t>
      </w:r>
      <w:r>
        <w:t>.</w:t>
      </w:r>
      <w:r>
        <w:tab/>
        <w:t>False or misleading information</w:t>
      </w:r>
      <w:bookmarkEnd w:id="1282"/>
      <w:bookmarkEnd w:id="1283"/>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w:t>
      </w:r>
      <w:ins w:id="1284" w:author="Master Repository Process" w:date="2021-12-31T10:23:00Z">
        <w:r>
          <w:t xml:space="preserve"> for this subregulation</w:t>
        </w:r>
      </w:ins>
      <w:r>
        <w:t>: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Footnotesection"/>
        <w:rPr>
          <w:ins w:id="1285" w:author="Master Repository Process" w:date="2021-12-31T10:23:00Z"/>
        </w:rPr>
      </w:pPr>
      <w:ins w:id="1286" w:author="Master Repository Process" w:date="2021-12-31T10:23:00Z">
        <w:r>
          <w:tab/>
          <w:t>[Regulation 211 amended: SL 2021/204 r. 14.]</w:t>
        </w:r>
      </w:ins>
    </w:p>
    <w:p>
      <w:pPr>
        <w:pStyle w:val="Heading5"/>
      </w:pPr>
      <w:bookmarkStart w:id="1287" w:name="_Toc91081474"/>
      <w:bookmarkStart w:id="1288" w:name="_Toc89252765"/>
      <w:r>
        <w:rPr>
          <w:rStyle w:val="CharSectno"/>
        </w:rPr>
        <w:t>212</w:t>
      </w:r>
      <w:r>
        <w:t>.</w:t>
      </w:r>
      <w:r>
        <w:tab/>
        <w:t>Directions may be given orally or in writing</w:t>
      </w:r>
      <w:bookmarkEnd w:id="1287"/>
      <w:bookmarkEnd w:id="1288"/>
    </w:p>
    <w:p>
      <w:pPr>
        <w:pStyle w:val="Subsection"/>
      </w:pPr>
      <w:r>
        <w:tab/>
        <w:t>(1)</w:t>
      </w:r>
      <w:r>
        <w:tab/>
        <w:t>A direction given by an inspector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1289" w:name="_Toc90995762"/>
      <w:bookmarkStart w:id="1290" w:name="_Toc90998815"/>
      <w:bookmarkStart w:id="1291" w:name="_Toc91081475"/>
      <w:bookmarkStart w:id="1292" w:name="_Toc89180082"/>
      <w:bookmarkStart w:id="1293" w:name="_Toc89181549"/>
      <w:bookmarkStart w:id="1294" w:name="_Toc89252766"/>
      <w:r>
        <w:rPr>
          <w:rStyle w:val="CharPartNo"/>
        </w:rPr>
        <w:t>Part 11</w:t>
      </w:r>
      <w:r>
        <w:t> — </w:t>
      </w:r>
      <w:r>
        <w:rPr>
          <w:rStyle w:val="CharPartText"/>
        </w:rPr>
        <w:t>Repeal of regulations and transitional provisions</w:t>
      </w:r>
      <w:bookmarkEnd w:id="1289"/>
      <w:bookmarkEnd w:id="1290"/>
      <w:bookmarkEnd w:id="1291"/>
      <w:bookmarkEnd w:id="1292"/>
      <w:bookmarkEnd w:id="1293"/>
      <w:bookmarkEnd w:id="1294"/>
    </w:p>
    <w:p>
      <w:pPr>
        <w:pStyle w:val="Heading3"/>
      </w:pPr>
      <w:bookmarkStart w:id="1295" w:name="_Toc90995763"/>
      <w:bookmarkStart w:id="1296" w:name="_Toc90998816"/>
      <w:bookmarkStart w:id="1297" w:name="_Toc91081476"/>
      <w:bookmarkStart w:id="1298" w:name="_Toc89180083"/>
      <w:bookmarkStart w:id="1299" w:name="_Toc89181550"/>
      <w:bookmarkStart w:id="1300" w:name="_Toc89252767"/>
      <w:r>
        <w:rPr>
          <w:rStyle w:val="CharDivNo"/>
        </w:rPr>
        <w:t>Division 1</w:t>
      </w:r>
      <w:r>
        <w:t> — </w:t>
      </w:r>
      <w:r>
        <w:rPr>
          <w:rStyle w:val="CharDivText"/>
        </w:rPr>
        <w:t>Repeals</w:t>
      </w:r>
      <w:bookmarkEnd w:id="1295"/>
      <w:bookmarkEnd w:id="1296"/>
      <w:bookmarkEnd w:id="1297"/>
      <w:bookmarkEnd w:id="1298"/>
      <w:bookmarkEnd w:id="1299"/>
      <w:bookmarkEnd w:id="1300"/>
    </w:p>
    <w:p>
      <w:pPr>
        <w:pStyle w:val="Heading5"/>
      </w:pPr>
      <w:bookmarkStart w:id="1301" w:name="_Toc91081477"/>
      <w:bookmarkStart w:id="1302" w:name="_Toc89252768"/>
      <w:r>
        <w:rPr>
          <w:rStyle w:val="CharSectno"/>
        </w:rPr>
        <w:t>213</w:t>
      </w:r>
      <w:r>
        <w:t>.</w:t>
      </w:r>
      <w:r>
        <w:tab/>
        <w:t>Repeals</w:t>
      </w:r>
      <w:bookmarkEnd w:id="1301"/>
      <w:bookmarkEnd w:id="1302"/>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1303" w:name="_Toc90995765"/>
      <w:bookmarkStart w:id="1304" w:name="_Toc90998818"/>
      <w:bookmarkStart w:id="1305" w:name="_Toc91081478"/>
      <w:bookmarkStart w:id="1306" w:name="_Toc89180085"/>
      <w:bookmarkStart w:id="1307" w:name="_Toc89181552"/>
      <w:bookmarkStart w:id="1308" w:name="_Toc89252769"/>
      <w:r>
        <w:rPr>
          <w:rStyle w:val="CharDivNo"/>
        </w:rPr>
        <w:t>Division 2</w:t>
      </w:r>
      <w:r>
        <w:t> — </w:t>
      </w:r>
      <w:r>
        <w:rPr>
          <w:rStyle w:val="CharDivText"/>
          <w:i/>
        </w:rPr>
        <w:t>Enzootic Diseases Regulations 1970</w:t>
      </w:r>
      <w:r>
        <w:rPr>
          <w:rStyle w:val="CharDivText"/>
        </w:rPr>
        <w:t>: transitional provisions</w:t>
      </w:r>
      <w:bookmarkEnd w:id="1303"/>
      <w:bookmarkEnd w:id="1304"/>
      <w:bookmarkEnd w:id="1305"/>
      <w:bookmarkEnd w:id="1306"/>
      <w:bookmarkEnd w:id="1307"/>
      <w:bookmarkEnd w:id="1308"/>
    </w:p>
    <w:p>
      <w:pPr>
        <w:pStyle w:val="Heading5"/>
      </w:pPr>
      <w:bookmarkStart w:id="1309" w:name="_Toc91081479"/>
      <w:bookmarkStart w:id="1310" w:name="_Toc89252770"/>
      <w:r>
        <w:rPr>
          <w:rStyle w:val="CharSectno"/>
        </w:rPr>
        <w:t>214</w:t>
      </w:r>
      <w:r>
        <w:t>.</w:t>
      </w:r>
      <w:r>
        <w:tab/>
        <w:t>Terms used</w:t>
      </w:r>
      <w:bookmarkEnd w:id="1309"/>
      <w:bookmarkEnd w:id="1310"/>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1311" w:name="_Toc91081480"/>
      <w:bookmarkStart w:id="1312" w:name="_Toc89252771"/>
      <w:r>
        <w:rPr>
          <w:rStyle w:val="CharSectno"/>
        </w:rPr>
        <w:t>215</w:t>
      </w:r>
      <w:r>
        <w:t>.</w:t>
      </w:r>
      <w:r>
        <w:tab/>
        <w:t>Identification codes</w:t>
      </w:r>
      <w:bookmarkEnd w:id="1311"/>
      <w:bookmarkEnd w:id="1312"/>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pPr>
      <w:r>
        <w:tab/>
        <w:t>(2)</w:t>
      </w:r>
      <w:r>
        <w:tab/>
        <w:t xml:space="preserve">If a person, immediately before the commencement day, held an identification code issued under the repealed regulations to the 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1313" w:name="_Toc91081481"/>
      <w:bookmarkStart w:id="1314" w:name="_Toc89252772"/>
      <w:r>
        <w:rPr>
          <w:rStyle w:val="CharSectno"/>
        </w:rPr>
        <w:t>216</w:t>
      </w:r>
      <w:r>
        <w:t>.</w:t>
      </w:r>
      <w:r>
        <w:tab/>
        <w:t xml:space="preserve">Notices given under </w:t>
      </w:r>
      <w:r>
        <w:rPr>
          <w:i/>
        </w:rPr>
        <w:t xml:space="preserve">Enzootic Diseases Regulations 1970 </w:t>
      </w:r>
      <w:r>
        <w:t>regulation 11(1)(a)</w:t>
      </w:r>
      <w:bookmarkEnd w:id="1313"/>
      <w:bookmarkEnd w:id="1314"/>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1315" w:name="_Toc91081482"/>
      <w:bookmarkStart w:id="1316" w:name="_Toc89252773"/>
      <w:r>
        <w:rPr>
          <w:rStyle w:val="CharSectno"/>
        </w:rPr>
        <w:t>217</w:t>
      </w:r>
      <w:r>
        <w:t>.</w:t>
      </w:r>
      <w:r>
        <w:tab/>
        <w:t xml:space="preserve">Notices given under </w:t>
      </w:r>
      <w:r>
        <w:rPr>
          <w:i/>
        </w:rPr>
        <w:t xml:space="preserve">Enzootic Diseases Regulations 1970 </w:t>
      </w:r>
      <w:r>
        <w:t>regulation 11(1)(b)</w:t>
      </w:r>
      <w:bookmarkEnd w:id="1315"/>
      <w:bookmarkEnd w:id="1316"/>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2"/>
      </w:pPr>
      <w:bookmarkStart w:id="1317" w:name="_Toc90995770"/>
      <w:bookmarkStart w:id="1318" w:name="_Toc90998823"/>
      <w:bookmarkStart w:id="1319" w:name="_Toc91081483"/>
      <w:bookmarkStart w:id="1320" w:name="_Toc89180090"/>
      <w:bookmarkStart w:id="1321" w:name="_Toc89181557"/>
      <w:bookmarkStart w:id="1322" w:name="_Toc89252774"/>
      <w:r>
        <w:rPr>
          <w:rStyle w:val="CharPartNo"/>
        </w:rPr>
        <w:t>Part 12</w:t>
      </w:r>
      <w:r>
        <w:t> — </w:t>
      </w:r>
      <w:r>
        <w:rPr>
          <w:rStyle w:val="CharPartText"/>
        </w:rPr>
        <w:t>Repealed Acts: transitional provisions</w:t>
      </w:r>
      <w:bookmarkEnd w:id="1317"/>
      <w:bookmarkEnd w:id="1318"/>
      <w:bookmarkEnd w:id="1319"/>
      <w:bookmarkEnd w:id="1320"/>
      <w:bookmarkEnd w:id="1321"/>
      <w:bookmarkEnd w:id="1322"/>
    </w:p>
    <w:p>
      <w:pPr>
        <w:pStyle w:val="Heading3"/>
      </w:pPr>
      <w:bookmarkStart w:id="1323" w:name="_Toc90995771"/>
      <w:bookmarkStart w:id="1324" w:name="_Toc90998824"/>
      <w:bookmarkStart w:id="1325" w:name="_Toc91081484"/>
      <w:bookmarkStart w:id="1326" w:name="_Toc89180091"/>
      <w:bookmarkStart w:id="1327" w:name="_Toc89181558"/>
      <w:bookmarkStart w:id="1328" w:name="_Toc89252775"/>
      <w:r>
        <w:rPr>
          <w:rStyle w:val="CharDivNo"/>
        </w:rPr>
        <w:t>Division 1</w:t>
      </w:r>
      <w:r>
        <w:t> — </w:t>
      </w:r>
      <w:r>
        <w:rPr>
          <w:rStyle w:val="CharDivText"/>
          <w:i/>
        </w:rPr>
        <w:t>Beekeepers Act 1963</w:t>
      </w:r>
      <w:bookmarkEnd w:id="1323"/>
      <w:bookmarkEnd w:id="1324"/>
      <w:bookmarkEnd w:id="1325"/>
      <w:bookmarkEnd w:id="1326"/>
      <w:bookmarkEnd w:id="1327"/>
      <w:bookmarkEnd w:id="1328"/>
    </w:p>
    <w:p>
      <w:pPr>
        <w:pStyle w:val="Heading5"/>
      </w:pPr>
      <w:bookmarkStart w:id="1329" w:name="_Toc91081485"/>
      <w:bookmarkStart w:id="1330" w:name="_Toc89252776"/>
      <w:r>
        <w:rPr>
          <w:rStyle w:val="CharSectno"/>
        </w:rPr>
        <w:t>218</w:t>
      </w:r>
      <w:r>
        <w:t>.</w:t>
      </w:r>
      <w:r>
        <w:tab/>
        <w:t>Terms used</w:t>
      </w:r>
      <w:bookmarkEnd w:id="1329"/>
      <w:bookmarkEnd w:id="133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1331" w:name="_Toc91081486"/>
      <w:bookmarkStart w:id="1332" w:name="_Toc89252777"/>
      <w:r>
        <w:rPr>
          <w:rStyle w:val="CharSectno"/>
        </w:rPr>
        <w:t>219</w:t>
      </w:r>
      <w:r>
        <w:t>.</w:t>
      </w:r>
      <w:r>
        <w:tab/>
        <w:t>Beekeepers</w:t>
      </w:r>
      <w:bookmarkEnd w:id="1331"/>
      <w:bookmarkEnd w:id="1332"/>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1333" w:name="_Toc91081487"/>
      <w:bookmarkStart w:id="1334" w:name="_Toc89252778"/>
      <w:r>
        <w:rPr>
          <w:rStyle w:val="CharSectno"/>
        </w:rPr>
        <w:t>220</w:t>
      </w:r>
      <w:r>
        <w:t>.</w:t>
      </w:r>
      <w:r>
        <w:tab/>
        <w:t>Brands</w:t>
      </w:r>
      <w:bookmarkEnd w:id="1333"/>
      <w:bookmarkEnd w:id="1334"/>
    </w:p>
    <w:p>
      <w:pPr>
        <w:pStyle w:val="Subsection"/>
      </w:pPr>
      <w:r>
        <w:tab/>
        <w:t>(1)</w:t>
      </w:r>
      <w:r>
        <w:tab/>
        <w:t>Any hive that was, immediately before the commencement day, branded with a brand registered under the repealed Act, is, for 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1335" w:name="_Toc90995775"/>
      <w:bookmarkStart w:id="1336" w:name="_Toc90998828"/>
      <w:bookmarkStart w:id="1337" w:name="_Toc91081488"/>
      <w:bookmarkStart w:id="1338" w:name="_Toc89180095"/>
      <w:bookmarkStart w:id="1339" w:name="_Toc89181562"/>
      <w:bookmarkStart w:id="1340" w:name="_Toc89252779"/>
      <w:r>
        <w:rPr>
          <w:rStyle w:val="CharDivNo"/>
        </w:rPr>
        <w:t>Division 2</w:t>
      </w:r>
      <w:r>
        <w:t> — </w:t>
      </w:r>
      <w:r>
        <w:rPr>
          <w:rStyle w:val="CharDivText"/>
          <w:i/>
        </w:rPr>
        <w:t>Stock (Identification and Movement) Act 1970</w:t>
      </w:r>
      <w:bookmarkEnd w:id="1335"/>
      <w:bookmarkEnd w:id="1336"/>
      <w:bookmarkEnd w:id="1337"/>
      <w:bookmarkEnd w:id="1338"/>
      <w:bookmarkEnd w:id="1339"/>
      <w:bookmarkEnd w:id="1340"/>
    </w:p>
    <w:p>
      <w:pPr>
        <w:pStyle w:val="Heading5"/>
      </w:pPr>
      <w:bookmarkStart w:id="1341" w:name="_Toc91081489"/>
      <w:bookmarkStart w:id="1342" w:name="_Toc89252780"/>
      <w:r>
        <w:rPr>
          <w:rStyle w:val="CharSectno"/>
        </w:rPr>
        <w:t>221</w:t>
      </w:r>
      <w:r>
        <w:t>.</w:t>
      </w:r>
      <w:r>
        <w:tab/>
        <w:t>Terms used</w:t>
      </w:r>
      <w:bookmarkEnd w:id="1341"/>
      <w:bookmarkEnd w:id="134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1343" w:name="_Toc91081490"/>
      <w:bookmarkStart w:id="1344" w:name="_Toc89252781"/>
      <w:r>
        <w:rPr>
          <w:rStyle w:val="CharSectno"/>
        </w:rPr>
        <w:t>222</w:t>
      </w:r>
      <w:r>
        <w:t>.</w:t>
      </w:r>
      <w:r>
        <w:tab/>
        <w:t>Owners of brands</w:t>
      </w:r>
      <w:bookmarkEnd w:id="1343"/>
      <w:bookmarkEnd w:id="1344"/>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tab/>
        <w:t>(3)</w:t>
      </w:r>
      <w:r>
        <w:tab/>
        <w:t>This regulation applies, with such modifications and adaptations as are necessary, to earmarks registered under the repealed Act.</w:t>
      </w:r>
    </w:p>
    <w:p>
      <w:pPr>
        <w:pStyle w:val="CentredBaseLine"/>
        <w:jc w:val="center"/>
      </w:pPr>
      <w:ins w:id="1345" w:author="Master Repository Process" w:date="2021-12-31T10:2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346" w:name="_Toc90995778"/>
      <w:bookmarkStart w:id="1347" w:name="_Toc90998831"/>
      <w:bookmarkStart w:id="1348" w:name="_Toc91081491"/>
      <w:bookmarkStart w:id="1349" w:name="_Toc89181565"/>
      <w:bookmarkStart w:id="1350" w:name="_Toc89252782"/>
      <w:bookmarkStart w:id="1351" w:name="_Toc89180100"/>
      <w:r>
        <w:t>Notes</w:t>
      </w:r>
      <w:bookmarkEnd w:id="1346"/>
      <w:bookmarkEnd w:id="1347"/>
      <w:bookmarkEnd w:id="1348"/>
      <w:bookmarkEnd w:id="1349"/>
      <w:bookmarkEnd w:id="1350"/>
    </w:p>
    <w:p>
      <w:pPr>
        <w:pStyle w:val="nStatement"/>
      </w:pPr>
      <w:r>
        <w:t xml:space="preserve">This is a compilation of the </w:t>
      </w:r>
      <w:r>
        <w:rPr>
          <w:i/>
          <w:noProof/>
        </w:rPr>
        <w:t>Biosecurity and Agriculture Management (Identification and Movement of Stock and Apiaries) Regulations</w:t>
      </w:r>
      <w:del w:id="1352" w:author="Master Repository Process" w:date="2021-12-31T10:23:00Z">
        <w:r>
          <w:rPr>
            <w:i/>
            <w:noProof/>
          </w:rPr>
          <w:delText xml:space="preserve"> </w:delText>
        </w:r>
      </w:del>
      <w:ins w:id="1353" w:author="Master Repository Process" w:date="2021-12-31T10:23:00Z">
        <w:r>
          <w:rPr>
            <w:i/>
            <w:noProof/>
          </w:rPr>
          <w:t> </w:t>
        </w:r>
      </w:ins>
      <w:r>
        <w:rPr>
          <w:i/>
          <w:noProof/>
        </w:rPr>
        <w:t>2013</w:t>
      </w:r>
      <w:r>
        <w:t xml:space="preserve"> and includes amendments made by other written laws. For provisions that have come into operation see the compilation table. </w:t>
      </w:r>
      <w:del w:id="1354" w:author="Master Repository Process" w:date="2021-12-31T10:23:00Z">
        <w:r>
          <w:delText>For provisions that have not yet come into operation see the uncommenced provisions table.</w:delText>
        </w:r>
      </w:del>
    </w:p>
    <w:p>
      <w:pPr>
        <w:pStyle w:val="nHeading3"/>
      </w:pPr>
      <w:bookmarkStart w:id="1355" w:name="_Toc91081492"/>
      <w:bookmarkStart w:id="1356" w:name="_Toc89252783"/>
      <w:r>
        <w:t>Compilation table</w:t>
      </w:r>
      <w:bookmarkEnd w:id="1355"/>
      <w:bookmarkEnd w:id="13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(Identification and Movement of Stock and Apiaries) Regulations 2013</w:t>
            </w:r>
            <w:r>
              <w:t xml:space="preserve"> </w:t>
            </w:r>
          </w:p>
        </w:tc>
        <w:tc>
          <w:tcPr>
            <w:tcW w:w="1276" w:type="dxa"/>
            <w:tcBorders>
              <w:bottom w:val="nil"/>
            </w:tcBorders>
          </w:tcPr>
          <w:p>
            <w:pPr>
              <w:pStyle w:val="nTable"/>
              <w:spacing w:after="40"/>
            </w:pPr>
            <w:r>
              <w:t>5 Feb 2013 p. 593-761</w:t>
            </w:r>
          </w:p>
        </w:tc>
        <w:tc>
          <w:tcPr>
            <w:tcW w:w="2693" w:type="dxa"/>
            <w:tcBorders>
              <w:bottom w:val="nil"/>
            </w:tcBorders>
          </w:tcPr>
          <w:p>
            <w:pPr>
              <w:pStyle w:val="nTable"/>
              <w:spacing w:after="40"/>
            </w:pPr>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2</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bl>
    <w:p>
      <w:pPr>
        <w:pStyle w:val="nHeading3"/>
        <w:rPr>
          <w:del w:id="1357" w:author="Master Repository Process" w:date="2021-12-31T10:23:00Z"/>
        </w:rPr>
      </w:pPr>
      <w:bookmarkStart w:id="1358" w:name="_Toc89252784"/>
      <w:del w:id="1359" w:author="Master Repository Process" w:date="2021-12-31T10:23:00Z">
        <w:r>
          <w:delText>Uncommenced provisions table</w:delText>
        </w:r>
        <w:bookmarkEnd w:id="1358"/>
      </w:del>
    </w:p>
    <w:p>
      <w:pPr>
        <w:pStyle w:val="nStatement"/>
        <w:keepNext/>
        <w:spacing w:after="240"/>
        <w:rPr>
          <w:del w:id="1360" w:author="Master Repository Process" w:date="2021-12-31T10:23:00Z"/>
        </w:rPr>
      </w:pPr>
      <w:del w:id="1361" w:author="Master Repository Process" w:date="2021-12-31T10:2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362" w:author="Master Repository Process" w:date="2021-12-31T10:23:00Z"/>
        </w:trPr>
        <w:tc>
          <w:tcPr>
            <w:tcW w:w="3118" w:type="dxa"/>
          </w:tcPr>
          <w:p>
            <w:pPr>
              <w:pStyle w:val="nTable"/>
              <w:spacing w:after="40"/>
              <w:rPr>
                <w:del w:id="1363" w:author="Master Repository Process" w:date="2021-12-31T10:23:00Z"/>
                <w:b/>
              </w:rPr>
            </w:pPr>
            <w:del w:id="1364" w:author="Master Repository Process" w:date="2021-12-31T10:23:00Z">
              <w:r>
                <w:rPr>
                  <w:b/>
                </w:rPr>
                <w:delText>Citation</w:delText>
              </w:r>
            </w:del>
          </w:p>
        </w:tc>
        <w:tc>
          <w:tcPr>
            <w:tcW w:w="1276" w:type="dxa"/>
          </w:tcPr>
          <w:p>
            <w:pPr>
              <w:pStyle w:val="nTable"/>
              <w:spacing w:after="40"/>
              <w:rPr>
                <w:del w:id="1365" w:author="Master Repository Process" w:date="2021-12-31T10:23:00Z"/>
                <w:b/>
              </w:rPr>
            </w:pPr>
            <w:del w:id="1366" w:author="Master Repository Process" w:date="2021-12-31T10:23:00Z">
              <w:r>
                <w:rPr>
                  <w:b/>
                </w:rPr>
                <w:delText>Published</w:delText>
              </w:r>
            </w:del>
          </w:p>
        </w:tc>
        <w:tc>
          <w:tcPr>
            <w:tcW w:w="2693" w:type="dxa"/>
          </w:tcPr>
          <w:p>
            <w:pPr>
              <w:pStyle w:val="nTable"/>
              <w:spacing w:after="40"/>
              <w:rPr>
                <w:del w:id="1367" w:author="Master Repository Process" w:date="2021-12-31T10:23:00Z"/>
                <w:b/>
              </w:rPr>
            </w:pPr>
            <w:del w:id="1368" w:author="Master Repository Process" w:date="2021-12-31T10:23:00Z">
              <w:r>
                <w:rPr>
                  <w:b/>
                </w:rPr>
                <w:delText>Commencement</w:delText>
              </w:r>
            </w:del>
          </w:p>
        </w:tc>
      </w:tr>
      <w:tr>
        <w:tc>
          <w:tcPr>
            <w:tcW w:w="3118" w:type="dxa"/>
            <w:tcBorders>
              <w:top w:val="nil"/>
              <w:bottom w:val="single" w:sz="4" w:space="0" w:color="auto"/>
            </w:tcBorders>
          </w:tcPr>
          <w:p>
            <w:pPr>
              <w:pStyle w:val="nTable"/>
              <w:spacing w:after="40"/>
              <w:rPr>
                <w:i/>
              </w:rPr>
            </w:pPr>
            <w:r>
              <w:rPr>
                <w:i/>
              </w:rPr>
              <w:t>Biosecurity and Agriculture Management (Identification and Movement of Stock and Apiaries) Amendment Regulations 2021</w:t>
            </w:r>
            <w:del w:id="1369" w:author="Master Repository Process" w:date="2021-12-31T10:23:00Z">
              <w:r>
                <w:delText xml:space="preserve"> (</w:delText>
              </w:r>
              <w:r>
                <w:rPr>
                  <w:snapToGrid w:val="0"/>
                  <w:spacing w:val="-2"/>
                </w:rPr>
                <w:delText>other than r. 1 and 2)</w:delText>
              </w:r>
            </w:del>
          </w:p>
        </w:tc>
        <w:tc>
          <w:tcPr>
            <w:tcW w:w="1276" w:type="dxa"/>
            <w:tcBorders>
              <w:top w:val="nil"/>
              <w:bottom w:val="single" w:sz="4" w:space="0" w:color="auto"/>
            </w:tcBorders>
          </w:tcPr>
          <w:p>
            <w:pPr>
              <w:pStyle w:val="nTable"/>
              <w:spacing w:after="40"/>
            </w:pPr>
            <w:r>
              <w:t>SL 2021/204 3 Dec 2021</w:t>
            </w:r>
          </w:p>
        </w:tc>
        <w:tc>
          <w:tcPr>
            <w:tcW w:w="2693" w:type="dxa"/>
            <w:tcBorders>
              <w:top w:val="nil"/>
              <w:bottom w:val="single" w:sz="4" w:space="0" w:color="auto"/>
            </w:tcBorders>
          </w:tcPr>
          <w:p>
            <w:pPr>
              <w:pStyle w:val="nTable"/>
              <w:spacing w:after="40"/>
              <w:rPr>
                <w:snapToGrid w:val="0"/>
                <w:spacing w:val="-2"/>
              </w:rPr>
            </w:pPr>
            <w:ins w:id="1370" w:author="Master Repository Process" w:date="2021-12-31T10:23:00Z">
              <w:r>
                <w:rPr>
                  <w:snapToGrid w:val="0"/>
                  <w:spacing w:val="-2"/>
                </w:rPr>
                <w:t>r. 1 and 2: 3 Dec 2021 (see r. 2(a));</w:t>
              </w:r>
              <w:r>
                <w:rPr>
                  <w:snapToGrid w:val="0"/>
                  <w:spacing w:val="-2"/>
                </w:rPr>
                <w:br/>
                <w:t xml:space="preserve">Regulations other than r. 1 and 2: </w:t>
              </w:r>
            </w:ins>
            <w:r>
              <w:rPr>
                <w:snapToGrid w:val="0"/>
                <w:spacing w:val="-2"/>
              </w:rPr>
              <w:t>1 Jan 2022 (see r. 2(b))</w:t>
            </w:r>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bookmarkEnd w:id="1351"/>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71" w:name="Compilation"/>
    <w:bookmarkEnd w:id="13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72" w:name="Coversheet"/>
    <w:bookmarkEnd w:id="13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60941"/>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 w:name="WAFER_20211130154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30154724_GUID" w:val="004d46ae-5d4b-4836-9c47-5bb7fc8b607c"/>
    <w:docVar w:name="WAFER_20211221160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60941_GUID" w:val="81a65a45-971b-455f-b3e2-63aad07ccc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C71302-1CDC-40D9-A606-F67FF73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1623B-8A67-4F03-A442-069884B58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37705</Words>
  <Characters>178345</Characters>
  <Application>Microsoft Office Word</Application>
  <DocSecurity>0</DocSecurity>
  <Lines>4693</Lines>
  <Paragraphs>2880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00-d0-00 - 00-e0-00</dc:title>
  <dc:subject/>
  <dc:creator/>
  <cp:keywords/>
  <dc:description/>
  <cp:lastModifiedBy>Master Repository Process</cp:lastModifiedBy>
  <cp:revision>2</cp:revision>
  <cp:lastPrinted>2013-01-07T01:31:00Z</cp:lastPrinted>
  <dcterms:created xsi:type="dcterms:W3CDTF">2021-12-31T02:23:00Z</dcterms:created>
  <dcterms:modified xsi:type="dcterms:W3CDTF">2021-12-31T02:24:00Z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CommencementDate">
    <vt:lpwstr>20220101</vt:lpwstr>
  </property>
  <property fmtid="{D5CDD505-2E9C-101B-9397-08002B2CF9AE}" pid="5" name="FromSuffix">
    <vt:lpwstr>00-d0-00</vt:lpwstr>
  </property>
  <property fmtid="{D5CDD505-2E9C-101B-9397-08002B2CF9AE}" pid="6" name="FromAsAtDate">
    <vt:lpwstr>03 Dec 2021</vt:lpwstr>
  </property>
  <property fmtid="{D5CDD505-2E9C-101B-9397-08002B2CF9AE}" pid="7" name="ToSuffix">
    <vt:lpwstr>00-e0-00</vt:lpwstr>
  </property>
  <property fmtid="{D5CDD505-2E9C-101B-9397-08002B2CF9AE}" pid="8" name="ToAsAtDate">
    <vt:lpwstr>01 Jan 2022</vt:lpwstr>
  </property>
</Properties>
</file>