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Resources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Nov 2020</w:t>
      </w:r>
      <w:r>
        <w:fldChar w:fldCharType="end"/>
      </w:r>
      <w:r>
        <w:t xml:space="preserve">, </w:t>
      </w:r>
      <w:r>
        <w:fldChar w:fldCharType="begin"/>
      </w:r>
      <w:r>
        <w:instrText xml:space="preserve"> DocProperty FromSuffix </w:instrText>
      </w:r>
      <w:r>
        <w:fldChar w:fldCharType="separate"/>
      </w:r>
      <w:r>
        <w:t>08-d0-01</w:t>
      </w:r>
      <w:r>
        <w:fldChar w:fldCharType="end"/>
      </w:r>
      <w:r>
        <w:t>] and [</w:t>
      </w:r>
      <w:r>
        <w:fldChar w:fldCharType="begin"/>
      </w:r>
      <w:r>
        <w:instrText xml:space="preserve"> DocProperty ToAsAtDate</w:instrText>
      </w:r>
      <w:r>
        <w:fldChar w:fldCharType="separate"/>
      </w:r>
      <w:r>
        <w:t>31 Mar 2022</w:t>
      </w:r>
      <w:r>
        <w:fldChar w:fldCharType="end"/>
      </w:r>
      <w:r>
        <w:t xml:space="preserve">, </w:t>
      </w:r>
      <w:r>
        <w:fldChar w:fldCharType="begin"/>
      </w:r>
      <w:r>
        <w:instrText xml:space="preserve"> DocProperty ToSuffix</w:instrText>
      </w:r>
      <w:r>
        <w:fldChar w:fldCharType="separate"/>
      </w:r>
      <w:r>
        <w:t>08-e0-00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1200"/>
      </w:pPr>
      <w:r>
        <w:t>Petroleum and Geothermal Energy Resources Act 1967</w:t>
      </w:r>
    </w:p>
    <w:p>
      <w:pPr>
        <w:pStyle w:val="LongTitle"/>
        <w:rPr>
          <w:snapToGrid w:val="0"/>
        </w:rPr>
      </w:pPr>
      <w:r>
        <w:rPr>
          <w:snapToGrid w:val="0"/>
        </w:rPr>
        <w:t>A</w:t>
      </w:r>
      <w:bookmarkStart w:id="1" w:name="_GoBack"/>
      <w:bookmarkEnd w:id="1"/>
      <w:r>
        <w:rPr>
          <w:snapToGrid w:val="0"/>
        </w:rPr>
        <w:t xml:space="preserve">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No. 35 of 2007 s. 4.]</w:t>
      </w:r>
    </w:p>
    <w:p>
      <w:pPr>
        <w:pStyle w:val="Heading2"/>
      </w:pPr>
      <w:bookmarkStart w:id="2" w:name="_Toc97629537"/>
      <w:bookmarkStart w:id="3" w:name="_Toc97629890"/>
      <w:bookmarkStart w:id="4" w:name="_Toc97630428"/>
      <w:bookmarkStart w:id="5" w:name="_Toc98748343"/>
      <w:bookmarkStart w:id="6" w:name="_Toc98765984"/>
      <w:bookmarkStart w:id="7" w:name="_Toc98834251"/>
      <w:bookmarkStart w:id="8" w:name="_Toc9894683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98946834"/>
      <w:bookmarkStart w:id="10" w:name="_Toc97630429"/>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w:t>
      </w:r>
    </w:p>
    <w:p>
      <w:pPr>
        <w:pStyle w:val="Footnotesection"/>
      </w:pPr>
      <w:r>
        <w:tab/>
        <w:t>[Section 1 amended: No. 35 of 2007 s. 5.]</w:t>
      </w:r>
    </w:p>
    <w:p>
      <w:pPr>
        <w:pStyle w:val="Heading5"/>
        <w:rPr>
          <w:snapToGrid w:val="0"/>
        </w:rPr>
      </w:pPr>
      <w:bookmarkStart w:id="11" w:name="_Toc98946835"/>
      <w:bookmarkStart w:id="12" w:name="_Toc97630430"/>
      <w:r>
        <w:rPr>
          <w:rStyle w:val="CharSectno"/>
        </w:rPr>
        <w:t>2</w:t>
      </w:r>
      <w:r>
        <w:rPr>
          <w:snapToGrid w:val="0"/>
        </w:rPr>
        <w:t>.</w:t>
      </w:r>
      <w:r>
        <w:rPr>
          <w:snapToGrid w:val="0"/>
        </w:rPr>
        <w:tab/>
        <w:t>Commencement</w:t>
      </w:r>
      <w:bookmarkEnd w:id="11"/>
      <w:bookmarkEnd w:id="12"/>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p>
    <w:p>
      <w:pPr>
        <w:pStyle w:val="Heading5"/>
        <w:rPr>
          <w:snapToGrid w:val="0"/>
        </w:rPr>
      </w:pPr>
      <w:bookmarkStart w:id="13" w:name="_Toc98946836"/>
      <w:bookmarkStart w:id="14" w:name="_Toc97630431"/>
      <w:r>
        <w:rPr>
          <w:rStyle w:val="CharSectno"/>
        </w:rPr>
        <w:t>3</w:t>
      </w:r>
      <w:r>
        <w:rPr>
          <w:snapToGrid w:val="0"/>
        </w:rPr>
        <w:t>.</w:t>
      </w:r>
      <w:r>
        <w:rPr>
          <w:snapToGrid w:val="0"/>
        </w:rPr>
        <w:tab/>
        <w:t>Repeal</w:t>
      </w:r>
      <w:bookmarkEnd w:id="13"/>
      <w:bookmarkEnd w:id="14"/>
    </w:p>
    <w:p>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Deleted: No. 12 of 1990 s. 4.]</w:t>
      </w:r>
    </w:p>
    <w:p>
      <w:pPr>
        <w:pStyle w:val="Heading5"/>
        <w:rPr>
          <w:snapToGrid w:val="0"/>
        </w:rPr>
      </w:pPr>
      <w:bookmarkStart w:id="15" w:name="_Toc98946837"/>
      <w:bookmarkStart w:id="16" w:name="_Toc97630432"/>
      <w:r>
        <w:rPr>
          <w:rStyle w:val="CharSectno"/>
        </w:rPr>
        <w:t>5</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access authority</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pPr>
        <w:pStyle w:val="Defstart"/>
      </w:pPr>
      <w:r>
        <w:rPr>
          <w:b/>
        </w:rPr>
        <w:tab/>
      </w:r>
      <w:r>
        <w:rPr>
          <w:rStyle w:val="CharDefText"/>
        </w:rPr>
        <w:t>approved</w:t>
      </w:r>
      <w:r>
        <w:t xml:space="preserve"> means approved by the Minister;</w:t>
      </w:r>
    </w:p>
    <w:p>
      <w:pPr>
        <w:pStyle w:val="Defstart"/>
      </w:pPr>
      <w:r>
        <w:rPr>
          <w:b/>
        </w:rPr>
        <w:tab/>
      </w:r>
      <w:r>
        <w:rPr>
          <w:rStyle w:val="CharDefText"/>
        </w:rPr>
        <w:t>approved development plan</w:t>
      </w:r>
      <w:r>
        <w:t>, in relation to a geothermal production licence, means the geothermal energy recovery development plan approved under section 62A that applies to the licence and includes that plan as varied under section 62B;</w:t>
      </w:r>
    </w:p>
    <w:p>
      <w:pPr>
        <w:pStyle w:val="Defstart"/>
      </w:pPr>
      <w:r>
        <w:rPr>
          <w:b/>
        </w:rPr>
        <w:tab/>
      </w:r>
      <w:r>
        <w:rPr>
          <w:rStyle w:val="CharDefText"/>
        </w:rPr>
        <w:t>Barrow Island lease</w:t>
      </w:r>
      <w:r>
        <w:t xml:space="preserve"> has the meaning given in section 128;</w:t>
      </w:r>
    </w:p>
    <w:p>
      <w:pPr>
        <w:pStyle w:val="Defstart"/>
      </w:pPr>
      <w:r>
        <w:rPr>
          <w:b/>
        </w:rPr>
        <w:tab/>
      </w:r>
      <w:r>
        <w:rPr>
          <w:rStyle w:val="CharDefText"/>
        </w:rPr>
        <w:t>block</w:t>
      </w:r>
      <w:r>
        <w:t xml:space="preserve"> means a block constituted as provided by section 27 or 135;</w:t>
      </w:r>
    </w:p>
    <w:p>
      <w:pPr>
        <w:pStyle w:val="Defstart"/>
      </w:pPr>
      <w:r>
        <w:tab/>
      </w:r>
      <w:r>
        <w:rPr>
          <w:rStyle w:val="CharDefText"/>
        </w:rPr>
        <w:t>boundary-change permit</w:t>
      </w:r>
      <w:r>
        <w:t xml:space="preserve"> means a petroleum exploration permit granted under section 37B;</w:t>
      </w:r>
    </w:p>
    <w:p>
      <w:pPr>
        <w:pStyle w:val="Defstart"/>
      </w:pPr>
      <w:r>
        <w:rPr>
          <w:b/>
          <w:i/>
        </w:rPr>
        <w:tab/>
      </w:r>
      <w:r>
        <w:rPr>
          <w:rStyle w:val="CharDefText"/>
        </w:rPr>
        <w:t>Commonwealth Act</w:t>
      </w:r>
      <w:r>
        <w:t xml:space="preserve"> means the </w:t>
      </w:r>
      <w:r>
        <w:rPr>
          <w:i/>
        </w:rPr>
        <w:t>Offshore Petroleum and Greenhouse Gas Storage Act 2006</w:t>
      </w:r>
      <w:r>
        <w:t xml:space="preserve"> (Commonwealth);</w:t>
      </w:r>
    </w:p>
    <w:p>
      <w:pPr>
        <w:pStyle w:val="Defstart"/>
      </w:pPr>
      <w:r>
        <w:tab/>
      </w:r>
      <w:r>
        <w:rPr>
          <w:rStyle w:val="CharDefText"/>
        </w:rPr>
        <w:t>Commonwealth lease</w:t>
      </w:r>
      <w:r>
        <w:t xml:space="preserve"> means a petroleum retention lease as defined in the Commonwealth Act section 7;</w:t>
      </w:r>
    </w:p>
    <w:p>
      <w:pPr>
        <w:pStyle w:val="Defstart"/>
      </w:pPr>
      <w:r>
        <w:tab/>
      </w:r>
      <w:r>
        <w:rPr>
          <w:rStyle w:val="CharDefText"/>
        </w:rPr>
        <w:t>Commonwealth licence</w:t>
      </w:r>
      <w:r>
        <w:t xml:space="preserve"> means a fixed</w:t>
      </w:r>
      <w:r>
        <w:noBreakHyphen/>
        <w:t>term petroleum production licence as defined in the Commonwealth Act section 7;</w:t>
      </w:r>
    </w:p>
    <w:p>
      <w:pPr>
        <w:pStyle w:val="Defstart"/>
      </w:pPr>
      <w:r>
        <w:tab/>
      </w:r>
      <w:r>
        <w:rPr>
          <w:rStyle w:val="CharDefText"/>
        </w:rPr>
        <w:t>Commonwealth permit</w:t>
      </w:r>
      <w:r>
        <w:t xml:space="preserve"> means a petroleum exploration permit as defined in the Commonwealth Act section 7;</w:t>
      </w:r>
    </w:p>
    <w:p>
      <w:pPr>
        <w:pStyle w:val="Defstart"/>
      </w:pPr>
      <w:r>
        <w:rPr>
          <w:b/>
        </w:rPr>
        <w:tab/>
      </w:r>
      <w:r>
        <w:rPr>
          <w:rStyle w:val="CharDefText"/>
        </w:rPr>
        <w:t>construct</w:t>
      </w:r>
      <w:r>
        <w:t xml:space="preserve"> includes “place” and </w:t>
      </w:r>
      <w:r>
        <w:rPr>
          <w:rStyle w:val="CharDefText"/>
        </w:rPr>
        <w:t>construction</w:t>
      </w:r>
      <w:r>
        <w:t xml:space="preserve"> has a corresponding meaning;</w:t>
      </w:r>
    </w:p>
    <w:p>
      <w:pPr>
        <w:pStyle w:val="Defstart"/>
      </w:pPr>
      <w:r>
        <w:rPr>
          <w:b/>
        </w:rPr>
        <w:tab/>
      </w:r>
      <w:r>
        <w:rPr>
          <w:rStyle w:val="CharDefText"/>
        </w:rPr>
        <w:t>Crown land</w:t>
      </w:r>
      <w:r>
        <w:t xml:space="preserve"> means all land in the State —</w:t>
      </w:r>
    </w:p>
    <w:p>
      <w:pPr>
        <w:pStyle w:val="Ednotedefpara"/>
        <w:tabs>
          <w:tab w:val="right" w:pos="1080"/>
          <w:tab w:val="left" w:pos="1610"/>
        </w:tabs>
        <w:ind w:left="1036" w:hanging="1036"/>
        <w:rPr>
          <w:iCs/>
        </w:rPr>
      </w:pPr>
      <w:r>
        <w:tab/>
      </w:r>
      <w:r>
        <w:rPr>
          <w:iCs/>
        </w:rPr>
        <w:t>[(a)</w:t>
      </w:r>
      <w:r>
        <w:rPr>
          <w:iCs/>
        </w:rP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pPr>
      <w:r>
        <w:tab/>
        <w:t>(i)</w:t>
      </w:r>
      <w:r>
        <w:tab/>
        <w:t xml:space="preserve">a pastoral lease within the meaning of the </w:t>
      </w:r>
      <w:r>
        <w:rPr>
          <w:i/>
        </w:rPr>
        <w:t>Land Administration Act 1997</w:t>
      </w:r>
      <w:r>
        <w:t>, or a lease otherwise granted for grazing purposes only; or</w:t>
      </w:r>
    </w:p>
    <w:p>
      <w:pPr>
        <w:pStyle w:val="Defsubpara"/>
      </w:pPr>
      <w:r>
        <w:tab/>
        <w:t>(ii)</w:t>
      </w:r>
      <w:r>
        <w:tab/>
        <w:t>a lease for timber purposes; or</w:t>
      </w:r>
    </w:p>
    <w:p>
      <w:pPr>
        <w:pStyle w:val="Defsubpara"/>
      </w:pPr>
      <w:r>
        <w:tab/>
        <w:t>(iii)</w:t>
      </w:r>
      <w:r>
        <w:tab/>
        <w:t>a lease for the use and benefit of the Aboriginal inhabitants,</w:t>
      </w:r>
    </w:p>
    <w:p>
      <w:pPr>
        <w:pStyle w:val="Defstart"/>
      </w:pPr>
      <w:r>
        <w:tab/>
        <w:t>and includes —</w:t>
      </w:r>
    </w:p>
    <w:p>
      <w:pPr>
        <w:pStyle w:val="Defpara"/>
      </w:pPr>
      <w:r>
        <w:tab/>
        <w:t>(d)</w:t>
      </w:r>
      <w:r>
        <w:tab/>
        <w:t xml:space="preserve">any land reserved, declared or otherwise dedicated under the </w:t>
      </w:r>
      <w:r>
        <w:rPr>
          <w:i/>
        </w:rPr>
        <w:t>Land Administration Act 1997</w:t>
      </w:r>
      <w:r>
        <w:t xml:space="preserve"> or any other written law; and</w:t>
      </w:r>
    </w:p>
    <w:p>
      <w:pPr>
        <w:pStyle w:val="Defpara"/>
      </w:pPr>
      <w:r>
        <w:tab/>
        <w:t>(e)</w:t>
      </w:r>
      <w:r>
        <w:tab/>
        <w:t xml:space="preserve">without limiting paragraph (d), State forests and timber reserves within the meaning of the </w:t>
      </w:r>
      <w:r>
        <w:rPr>
          <w:i/>
        </w:rPr>
        <w:t>Conservation and Land Management Act 1984</w:t>
      </w:r>
      <w:r>
        <w:t>; and</w:t>
      </w:r>
    </w:p>
    <w:p>
      <w:pPr>
        <w:pStyle w:val="Ednotedefpara"/>
        <w:tabs>
          <w:tab w:val="right" w:pos="1120"/>
          <w:tab w:val="left" w:pos="1610"/>
        </w:tabs>
        <w:ind w:left="1036" w:hanging="1036"/>
        <w:rPr>
          <w:iCs/>
        </w:rPr>
      </w:pPr>
      <w:r>
        <w:rPr>
          <w:iCs/>
        </w:rPr>
        <w:tab/>
        <w:t>[(f), (g)</w:t>
      </w:r>
      <w:r>
        <w:rPr>
          <w:iCs/>
        </w:rPr>
        <w:tab/>
        <w:t>deleted]</w:t>
      </w:r>
    </w:p>
    <w:p>
      <w:pPr>
        <w:pStyle w:val="Defpara"/>
      </w:pPr>
      <w:r>
        <w:tab/>
        <w:t>(h)</w:t>
      </w:r>
      <w:r>
        <w:tab/>
        <w:t>all land between —</w:t>
      </w:r>
    </w:p>
    <w:p>
      <w:pPr>
        <w:pStyle w:val="Defsubpara"/>
      </w:pPr>
      <w:r>
        <w:tab/>
        <w:t>(i)</w:t>
      </w:r>
      <w:r>
        <w:tab/>
        <w:t>high and low</w:t>
      </w:r>
      <w:r>
        <w:noBreakHyphen/>
        <w:t>water mark on the sea shore and on the margin of tidal rivers; and</w:t>
      </w:r>
    </w:p>
    <w:p>
      <w:pPr>
        <w:pStyle w:val="Defsubpara"/>
      </w:pPr>
      <w:r>
        <w:tab/>
        <w:t>(ii)</w:t>
      </w:r>
      <w:r>
        <w:tab/>
        <w:t>low</w:t>
      </w:r>
      <w:r>
        <w:noBreakHyphen/>
        <w:t>water mark referred to in subparagraph (i) and the inner limit of the territorial sea of Australia;</w:t>
      </w:r>
    </w:p>
    <w:p>
      <w:pPr>
        <w:pStyle w:val="Defstart"/>
      </w:pPr>
      <w:r>
        <w:rPr>
          <w:b/>
        </w:rPr>
        <w:tab/>
      </w:r>
      <w:r>
        <w:rPr>
          <w:rStyle w:val="CharDefText"/>
        </w:rPr>
        <w:t>document</w:t>
      </w:r>
      <w:r>
        <w:t xml:space="preserve"> includes any map, book, record or writing;</w:t>
      </w:r>
    </w:p>
    <w:p>
      <w:pPr>
        <w:pStyle w:val="Defstart"/>
        <w:keepNext/>
        <w:keepLines/>
      </w:pPr>
      <w:r>
        <w:rPr>
          <w:b/>
        </w:rPr>
        <w:tab/>
      </w:r>
      <w:r>
        <w:rPr>
          <w:rStyle w:val="CharDefText"/>
        </w:rPr>
        <w:t>drilling reservation</w:t>
      </w:r>
      <w:r>
        <w:t xml:space="preserve"> means — </w:t>
      </w:r>
    </w:p>
    <w:p>
      <w:pPr>
        <w:pStyle w:val="Defpara"/>
        <w:keepLines/>
      </w:pPr>
      <w:r>
        <w:tab/>
        <w:t>(a)</w:t>
      </w:r>
      <w:r>
        <w:tab/>
        <w:t>a petroleum drilling reservation; or</w:t>
      </w:r>
    </w:p>
    <w:p>
      <w:pPr>
        <w:pStyle w:val="Defpara"/>
      </w:pPr>
      <w:r>
        <w:tab/>
        <w:t>(b)</w:t>
      </w:r>
      <w:r>
        <w:tab/>
        <w:t>a geothermal drilling reservation;</w:t>
      </w:r>
    </w:p>
    <w:p>
      <w:pPr>
        <w:pStyle w:val="Defstart"/>
        <w:rPr>
          <w:bCs/>
          <w:i/>
        </w:rPr>
      </w:pPr>
      <w:r>
        <w:tab/>
      </w:r>
      <w:r>
        <w:rPr>
          <w:rStyle w:val="CharDefText"/>
        </w:rPr>
        <w:t xml:space="preserve">facility </w:t>
      </w:r>
      <w:r>
        <w:rPr>
          <w:bCs/>
          <w:iCs/>
        </w:rPr>
        <w:t>means a structure for or in connection with carrying out a petroleum operation</w:t>
      </w:r>
      <w:r>
        <w:t xml:space="preserve"> or geothermal energy operation</w:t>
      </w:r>
      <w:r>
        <w:rPr>
          <w:bCs/>
          <w:iCs/>
        </w:rPr>
        <w:t>;</w:t>
      </w:r>
    </w:p>
    <w:p>
      <w:pPr>
        <w:pStyle w:val="Defstart"/>
      </w:pPr>
      <w:r>
        <w:rPr>
          <w:b/>
        </w:rPr>
        <w:tab/>
      </w:r>
      <w:r>
        <w:rPr>
          <w:rStyle w:val="CharDefText"/>
        </w:rPr>
        <w:t>geothermal access authority</w:t>
      </w:r>
      <w:r>
        <w:t xml:space="preserve"> means a geothermal access authority under Part III;</w:t>
      </w:r>
    </w:p>
    <w:p>
      <w:pPr>
        <w:pStyle w:val="Defstart"/>
      </w:pPr>
      <w:r>
        <w:rPr>
          <w:b/>
        </w:rPr>
        <w:tab/>
      </w:r>
      <w:r>
        <w:rPr>
          <w:rStyle w:val="CharDefText"/>
        </w:rPr>
        <w:t>geothermal drilling reservation</w:t>
      </w:r>
      <w:r>
        <w:t xml:space="preserve"> means a geothermal drilling reservation referred to in section 43D(2);</w:t>
      </w:r>
    </w:p>
    <w:p>
      <w:pPr>
        <w:pStyle w:val="Defstart"/>
      </w:pPr>
      <w:r>
        <w:rPr>
          <w:b/>
        </w:rPr>
        <w:tab/>
      </w:r>
      <w:r>
        <w:rPr>
          <w:rStyle w:val="CharDefText"/>
        </w:rPr>
        <w:t>geothermal energy</w:t>
      </w:r>
      <w:r>
        <w:t xml:space="preserve"> means thermal energy that results from natural geological processes and is contained in geothermal energy resources;</w:t>
      </w:r>
    </w:p>
    <w:p>
      <w:pPr>
        <w:pStyle w:val="Defstart"/>
      </w:pPr>
      <w:r>
        <w:rPr>
          <w:b/>
        </w:rPr>
        <w:tab/>
      </w:r>
      <w:r>
        <w:rPr>
          <w:rStyle w:val="CharDefText"/>
        </w:rPr>
        <w:t>geothermal energy operation</w:t>
      </w:r>
      <w:r>
        <w:t xml:space="preserve"> means — </w:t>
      </w:r>
    </w:p>
    <w:p>
      <w:pPr>
        <w:pStyle w:val="Defpara"/>
      </w:pPr>
      <w:r>
        <w:tab/>
        <w:t>(a)</w:t>
      </w:r>
      <w:r>
        <w:tab/>
        <w:t>an operation to explore for geothermal energy resources, and the carrying on of such operations and the execution of such works as are necessary for that purpose;</w:t>
      </w:r>
    </w:p>
    <w:p>
      <w:pPr>
        <w:pStyle w:val="Defpara"/>
      </w:pPr>
      <w:r>
        <w:tab/>
        <w:t>(b)</w:t>
      </w:r>
      <w:r>
        <w:tab/>
        <w:t>an operation to drill for geothermal energy resources, and the carrying on of such operations and the execution of such works as are necessary for that purpose;</w:t>
      </w:r>
    </w:p>
    <w:p>
      <w:pPr>
        <w:pStyle w:val="Defpara"/>
      </w:pPr>
      <w:r>
        <w:tab/>
        <w:t>(c)</w:t>
      </w:r>
      <w:r>
        <w:tab/>
        <w:t>an operation to recover geothermal energy, and the carrying on of such operations and the execution of such works as are necessary for that purpose;</w:t>
      </w:r>
    </w:p>
    <w:p>
      <w:pPr>
        <w:pStyle w:val="Defpara"/>
      </w:pPr>
      <w:r>
        <w:tab/>
        <w:t>(d)</w:t>
      </w:r>
      <w:r>
        <w:tab/>
        <w:t>any other kind of operation that is prescribed by the regulations to be a geothermal energy operation for the purposes of this definition,</w:t>
      </w:r>
    </w:p>
    <w:p>
      <w:pPr>
        <w:pStyle w:val="Defstart"/>
      </w:pPr>
      <w:r>
        <w:tab/>
        <w:t>but does not include an operation of a kind that is prescribed by the regulations not to be a geothermal energy operation for the purposes of this definition;</w:t>
      </w:r>
    </w:p>
    <w:p>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pPr>
        <w:pStyle w:val="Defstart"/>
      </w:pPr>
      <w:r>
        <w:rPr>
          <w:b/>
        </w:rPr>
        <w:tab/>
      </w:r>
      <w:r>
        <w:rPr>
          <w:rStyle w:val="CharDefText"/>
        </w:rPr>
        <w:t>geothermal exploration permit</w:t>
      </w:r>
      <w:r>
        <w:t xml:space="preserve"> means a permit that confers the authority referred to in section 38(2);</w:t>
      </w:r>
    </w:p>
    <w:p>
      <w:pPr>
        <w:pStyle w:val="Defstart"/>
      </w:pPr>
      <w:r>
        <w:rPr>
          <w:b/>
        </w:rPr>
        <w:tab/>
      </w:r>
      <w:r>
        <w:rPr>
          <w:rStyle w:val="CharDefText"/>
        </w:rPr>
        <w:t>geothermal lease area</w:t>
      </w:r>
      <w:r>
        <w:t xml:space="preserve"> means the area constituted by the blocks that are the subject of a geothermal retention lease;</w:t>
      </w:r>
    </w:p>
    <w:p>
      <w:pPr>
        <w:pStyle w:val="Defstart"/>
      </w:pPr>
      <w:r>
        <w:rPr>
          <w:b/>
        </w:rPr>
        <w:tab/>
      </w:r>
      <w:r>
        <w:rPr>
          <w:rStyle w:val="CharDefText"/>
        </w:rPr>
        <w:t>geothermal lessee</w:t>
      </w:r>
      <w:r>
        <w:t xml:space="preserve"> means the registered holder of a geothermal retention lease;</w:t>
      </w:r>
    </w:p>
    <w:p>
      <w:pPr>
        <w:pStyle w:val="Defstart"/>
      </w:pPr>
      <w:r>
        <w:rPr>
          <w:b/>
        </w:rPr>
        <w:tab/>
      </w:r>
      <w:r>
        <w:rPr>
          <w:rStyle w:val="CharDefText"/>
        </w:rPr>
        <w:t>geothermal licensee</w:t>
      </w:r>
      <w:r>
        <w:t xml:space="preserve"> means the registered holder of a geothermal production licence;</w:t>
      </w:r>
    </w:p>
    <w:p>
      <w:pPr>
        <w:pStyle w:val="Defstart"/>
      </w:pPr>
      <w:r>
        <w:rPr>
          <w:b/>
        </w:rPr>
        <w:tab/>
      </w:r>
      <w:r>
        <w:rPr>
          <w:rStyle w:val="CharDefText"/>
        </w:rPr>
        <w:t>geothermal permit area</w:t>
      </w:r>
      <w:r>
        <w:t xml:space="preserve"> means the area constituted by the blocks that are the subject of a geothermal exploration permit;</w:t>
      </w:r>
    </w:p>
    <w:p>
      <w:pPr>
        <w:pStyle w:val="Defstart"/>
      </w:pPr>
      <w:r>
        <w:rPr>
          <w:b/>
        </w:rPr>
        <w:tab/>
      </w:r>
      <w:r>
        <w:rPr>
          <w:rStyle w:val="CharDefText"/>
        </w:rPr>
        <w:t>geothermal permittee</w:t>
      </w:r>
      <w:r>
        <w:t xml:space="preserve"> means the registered holder of a geothermal exploration permit;</w:t>
      </w:r>
    </w:p>
    <w:p>
      <w:pPr>
        <w:pStyle w:val="Defstart"/>
      </w:pPr>
      <w:r>
        <w:rPr>
          <w:b/>
        </w:rPr>
        <w:tab/>
      </w:r>
      <w:r>
        <w:rPr>
          <w:rStyle w:val="CharDefText"/>
        </w:rPr>
        <w:t>geothermal production licence</w:t>
      </w:r>
      <w:r>
        <w:t xml:space="preserve"> means a geothermal production licence under Part III;</w:t>
      </w:r>
    </w:p>
    <w:p>
      <w:pPr>
        <w:pStyle w:val="Defstart"/>
      </w:pPr>
      <w:r>
        <w:rPr>
          <w:b/>
        </w:rPr>
        <w:tab/>
      </w:r>
      <w:r>
        <w:rPr>
          <w:rStyle w:val="CharDefText"/>
        </w:rPr>
        <w:t>geothermal resources area</w:t>
      </w:r>
      <w:r>
        <w:t xml:space="preserve"> means a discrete area that contains geothermal energy resources;</w:t>
      </w:r>
    </w:p>
    <w:p>
      <w:pPr>
        <w:pStyle w:val="Defstart"/>
        <w:rPr>
          <w:bCs/>
        </w:rPr>
      </w:pPr>
      <w:r>
        <w:tab/>
      </w:r>
      <w:r>
        <w:rPr>
          <w:rStyle w:val="CharDefText"/>
        </w:rPr>
        <w:t>geothermal retention lease</w:t>
      </w:r>
      <w:r>
        <w:t xml:space="preserve"> means</w:t>
      </w:r>
      <w:r>
        <w:rPr>
          <w:bCs/>
        </w:rPr>
        <w:t xml:space="preserve"> a geothermal retention lease under Part III;</w:t>
      </w:r>
    </w:p>
    <w:p>
      <w:pPr>
        <w:pStyle w:val="Defstart"/>
        <w:rPr>
          <w:bCs/>
        </w:rPr>
      </w:pPr>
      <w:r>
        <w:tab/>
      </w:r>
      <w:r>
        <w:rPr>
          <w:rStyle w:val="CharDefText"/>
        </w:rPr>
        <w:t>geothermal special prospecting authority</w:t>
      </w:r>
      <w:r>
        <w:rPr>
          <w:bCs/>
        </w:rPr>
        <w:t xml:space="preserve"> means a geothermal special prospecting authority under Part III;</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the operations for the recovery of petroleum, as the case may be;</w:t>
      </w:r>
    </w:p>
    <w:p>
      <w:pPr>
        <w:pStyle w:val="Defstart"/>
      </w:pPr>
      <w:r>
        <w:tab/>
      </w:r>
      <w:r>
        <w:rPr>
          <w:rStyle w:val="CharDefText"/>
        </w:rPr>
        <w:t>granted</w:t>
      </w:r>
      <w:r>
        <w:t>, in relation to a boundary-change permit, a petroleum retention lease under section 48CD or a petroleum production licence under section 61A, means taken to have been granted;</w:t>
      </w:r>
    </w:p>
    <w:p>
      <w:pPr>
        <w:pStyle w:val="Defstart"/>
      </w:pPr>
      <w:r>
        <w:rPr>
          <w:b/>
        </w:rPr>
        <w:tab/>
      </w:r>
      <w:r>
        <w:rPr>
          <w:rStyle w:val="CharDefText"/>
        </w:rPr>
        <w:t>graticular section</w:t>
      </w:r>
      <w:r>
        <w:t xml:space="preserve"> means a section referred to in section 27;</w:t>
      </w:r>
    </w:p>
    <w:p>
      <w:pPr>
        <w:pStyle w:val="Defstart"/>
      </w:pPr>
      <w:r>
        <w:rPr>
          <w:b/>
        </w:rPr>
        <w:tab/>
      </w:r>
      <w:r>
        <w:rPr>
          <w:rStyle w:val="CharDefText"/>
        </w:rPr>
        <w:t>holder of a drilling reservation</w:t>
      </w:r>
      <w:r>
        <w:t xml:space="preserve"> means the registered holder of a drilling reservation;</w:t>
      </w:r>
    </w:p>
    <w:p>
      <w:pPr>
        <w:pStyle w:val="Defstart"/>
      </w:pPr>
      <w:r>
        <w:rPr>
          <w:b/>
        </w:rPr>
        <w:tab/>
      </w:r>
      <w:r>
        <w:rPr>
          <w:rStyle w:val="CharDefText"/>
        </w:rPr>
        <w:t>inspector</w:t>
      </w:r>
      <w:r>
        <w:t xml:space="preserve"> means a person appointed under section 118;</w:t>
      </w:r>
    </w:p>
    <w:p>
      <w:pPr>
        <w:pStyle w:val="Defstart"/>
      </w:pPr>
      <w:r>
        <w:rPr>
          <w:b/>
        </w:rPr>
        <w:tab/>
      </w:r>
      <w:r>
        <w:rPr>
          <w:rStyle w:val="CharDefText"/>
        </w:rPr>
        <w:t>lease</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rPr>
          <w:del w:id="17" w:author="Master Repository Process" w:date="2022-03-30T12:17:00Z"/>
          <w:b/>
        </w:rPr>
      </w:pPr>
      <w:del w:id="18" w:author="Master Repository Process" w:date="2022-03-30T12:17:00Z">
        <w:r>
          <w:tab/>
        </w:r>
        <w:r>
          <w:rPr>
            <w:rStyle w:val="CharDefText"/>
          </w:rPr>
          <w:delText>listed OSH law</w:delText>
        </w:r>
        <w:r>
          <w:delText xml:space="preserve"> means — </w:delText>
        </w:r>
      </w:del>
    </w:p>
    <w:p>
      <w:pPr>
        <w:pStyle w:val="Defpara"/>
        <w:rPr>
          <w:del w:id="19" w:author="Master Repository Process" w:date="2022-03-30T12:17:00Z"/>
          <w:snapToGrid/>
        </w:rPr>
      </w:pPr>
      <w:del w:id="20" w:author="Master Repository Process" w:date="2022-03-30T12:17:00Z">
        <w:r>
          <w:rPr>
            <w:snapToGrid/>
          </w:rPr>
          <w:tab/>
          <w:delText>(a)</w:delText>
        </w:r>
        <w:r>
          <w:rPr>
            <w:snapToGrid/>
          </w:rPr>
          <w:tab/>
          <w:delText>section 117A; or</w:delText>
        </w:r>
      </w:del>
    </w:p>
    <w:p>
      <w:pPr>
        <w:pStyle w:val="Defpara"/>
        <w:rPr>
          <w:del w:id="21" w:author="Master Repository Process" w:date="2022-03-30T12:17:00Z"/>
          <w:snapToGrid/>
        </w:rPr>
      </w:pPr>
      <w:del w:id="22" w:author="Master Repository Process" w:date="2022-03-30T12:17:00Z">
        <w:r>
          <w:rPr>
            <w:snapToGrid/>
          </w:rPr>
          <w:tab/>
          <w:delText>(b)</w:delText>
        </w:r>
        <w:r>
          <w:rPr>
            <w:snapToGrid/>
          </w:rPr>
          <w:tab/>
          <w:delText>Schedule 1; or</w:delText>
        </w:r>
      </w:del>
    </w:p>
    <w:p>
      <w:pPr>
        <w:pStyle w:val="Defpara"/>
        <w:rPr>
          <w:del w:id="23" w:author="Master Repository Process" w:date="2022-03-30T12:17:00Z"/>
          <w:snapToGrid/>
        </w:rPr>
      </w:pPr>
      <w:del w:id="24" w:author="Master Repository Process" w:date="2022-03-30T12:17:00Z">
        <w:r>
          <w:rPr>
            <w:snapToGrid/>
          </w:rPr>
          <w:tab/>
          <w:delText>(c)</w:delText>
        </w:r>
        <w:r>
          <w:rPr>
            <w:snapToGrid/>
          </w:rPr>
          <w:tab/>
          <w:delText>a regulation made for the purposes of Schedule 1; or</w:delText>
        </w:r>
      </w:del>
    </w:p>
    <w:p>
      <w:pPr>
        <w:pStyle w:val="Defpara"/>
        <w:rPr>
          <w:del w:id="25" w:author="Master Repository Process" w:date="2022-03-30T12:17:00Z"/>
          <w:snapToGrid/>
        </w:rPr>
      </w:pPr>
      <w:del w:id="26" w:author="Master Repository Process" w:date="2022-03-30T12:17:00Z">
        <w:r>
          <w:rPr>
            <w:snapToGrid/>
          </w:rPr>
          <w:tab/>
          <w:delText>(d)</w:delText>
        </w:r>
        <w:r>
          <w:rPr>
            <w:snapToGrid/>
          </w:rPr>
          <w:tab/>
          <w:delText>a regulation made for the purposes of section 149B; or</w:delText>
        </w:r>
      </w:del>
    </w:p>
    <w:p>
      <w:pPr>
        <w:pStyle w:val="Defpara"/>
        <w:rPr>
          <w:del w:id="27" w:author="Master Repository Process" w:date="2022-03-30T12:17:00Z"/>
          <w:snapToGrid/>
        </w:rPr>
      </w:pPr>
      <w:del w:id="28" w:author="Master Repository Process" w:date="2022-03-30T12:17:00Z">
        <w:r>
          <w:rPr>
            <w:snapToGrid/>
          </w:rPr>
          <w:tab/>
          <w:delText>(e)</w:delText>
        </w:r>
        <w:r>
          <w:rPr>
            <w:snapToGrid/>
          </w:rPr>
          <w:tab/>
          <w:delText>any other written law relating to occupational safety and health matters that is prescribed for the purposes of this paragraph;</w:delText>
        </w:r>
      </w:del>
    </w:p>
    <w:p>
      <w:pPr>
        <w:pStyle w:val="Defstart"/>
      </w:pPr>
      <w:r>
        <w:rPr>
          <w:b/>
        </w:rPr>
        <w:tab/>
      </w:r>
      <w:r>
        <w:rPr>
          <w:rStyle w:val="CharDefText"/>
        </w:rPr>
        <w:t>location</w:t>
      </w:r>
      <w:r>
        <w:t xml:space="preserve"> means a block or blocks in respect of which a declaration under section 47 is in force;</w:t>
      </w:r>
    </w:p>
    <w:p>
      <w:pPr>
        <w:pStyle w:val="Defstart"/>
      </w:pPr>
      <w:r>
        <w:tab/>
      </w:r>
      <w:r>
        <w:rPr>
          <w:rStyle w:val="CharDefText"/>
        </w:rPr>
        <w:t>offshore area</w:t>
      </w:r>
      <w:r>
        <w:t xml:space="preserve"> has the meaning given in the </w:t>
      </w:r>
      <w:r>
        <w:rPr>
          <w:i/>
        </w:rPr>
        <w:t>Petroleum (Submerged Lands) Act 1982</w:t>
      </w:r>
      <w:r>
        <w:t xml:space="preserve"> section 4;</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pPr>
      <w:r>
        <w:rPr>
          <w:b/>
        </w:rPr>
        <w:tab/>
      </w:r>
      <w:r>
        <w:rPr>
          <w:rStyle w:val="CharDefText"/>
        </w:rPr>
        <w:t>operator</w:t>
      </w:r>
      <w:r>
        <w:rPr>
          <w:bCs/>
        </w:rPr>
        <w:t xml:space="preserve"> — </w:t>
      </w:r>
    </w:p>
    <w:p>
      <w:pPr>
        <w:pStyle w:val="Defpara"/>
      </w:pPr>
      <w:r>
        <w:tab/>
        <w:t>(a)</w:t>
      </w:r>
      <w:r>
        <w:tab/>
      </w:r>
      <w:r>
        <w:rPr>
          <w:bCs/>
        </w:rPr>
        <w:t>in relation to</w:t>
      </w:r>
      <w:r>
        <w:t xml:space="preserve"> an operation to explore for petroleum or geothermal energy resources or the carrying on of such operations or the execution of such works as are necessary for that purpose, in a permit area, means the registered holder of the permit for that area;</w:t>
      </w:r>
    </w:p>
    <w:p>
      <w:pPr>
        <w:pStyle w:val="Defpara"/>
      </w:pPr>
      <w:r>
        <w:tab/>
        <w:t>(b)</w:t>
      </w:r>
      <w:r>
        <w:tab/>
      </w:r>
      <w:r>
        <w:rPr>
          <w:bCs/>
        </w:rPr>
        <w:t>in relation to</w:t>
      </w:r>
      <w:r>
        <w:t xml:space="preserve"> an operation to drill for petroleum or geothermal energy resources or the carrying on of such operations or the execution of such works as are necessary for that purpose, in a drilling reservation area, means the registered holder of the drilling reservation for that area;</w:t>
      </w:r>
    </w:p>
    <w:p>
      <w:pPr>
        <w:pStyle w:val="Defpara"/>
      </w:pPr>
      <w:r>
        <w:tab/>
        <w:t>(c)</w:t>
      </w:r>
      <w:r>
        <w:tab/>
      </w:r>
      <w:r>
        <w:rPr>
          <w:bCs/>
        </w:rPr>
        <w:t>in relation to</w:t>
      </w:r>
      <w:r>
        <w:t xml:space="preserve"> an operation to explore for petroleum or geothermal energy resources or the carrying on of such operations or the execution of such works as are necessary for that purpose, in a lease area, means the registered holder of the lease for that area;</w:t>
      </w:r>
    </w:p>
    <w:p>
      <w:pPr>
        <w:pStyle w:val="Defpara"/>
      </w:pPr>
      <w:r>
        <w:tab/>
        <w:t>(d)</w:t>
      </w:r>
      <w:r>
        <w:tab/>
        <w:t xml:space="preserve">in relation to — </w:t>
      </w:r>
    </w:p>
    <w:p>
      <w:pPr>
        <w:pStyle w:val="Defsubpara"/>
      </w:pPr>
      <w:r>
        <w:tab/>
        <w:t>(i)</w:t>
      </w:r>
      <w:r>
        <w:tab/>
        <w:t>an operation to recover petroleum or geothermal energy in a licence area or to recover petroleum or geothermal energy from a licence area in another area; or</w:t>
      </w:r>
    </w:p>
    <w:p>
      <w:pPr>
        <w:pStyle w:val="Defsubpara"/>
      </w:pPr>
      <w:r>
        <w:tab/>
        <w:t>(ii)</w:t>
      </w:r>
      <w:r>
        <w:tab/>
        <w:t>an operation to explore for petroleum or geothermal energy resources in a licence area; or</w:t>
      </w:r>
    </w:p>
    <w:p>
      <w:pPr>
        <w:pStyle w:val="Defsubpara"/>
      </w:pPr>
      <w:r>
        <w:tab/>
        <w:t>(iii)</w:t>
      </w:r>
      <w:r>
        <w:tab/>
        <w:t>the carrying on of such operations or the execution of such works in a licence area as are necessary for those purposes,</w:t>
      </w:r>
    </w:p>
    <w:p>
      <w:pPr>
        <w:pStyle w:val="Defpara"/>
      </w:pPr>
      <w:r>
        <w:tab/>
      </w:r>
      <w:r>
        <w:tab/>
        <w:t>means the registered holder of the licence for that area;</w:t>
      </w:r>
    </w:p>
    <w:p>
      <w:pPr>
        <w:pStyle w:val="Defpara"/>
      </w:pPr>
      <w:r>
        <w:tab/>
        <w:t>(e)</w:t>
      </w:r>
      <w:r>
        <w:tab/>
        <w:t>in relation to an operation for the mining, obtaining or production of petroleum under the Barrow Island lease as renewed, substituted or varied, means the lessee as defined in section 128;</w:t>
      </w:r>
    </w:p>
    <w:p>
      <w:pPr>
        <w:pStyle w:val="Defpara"/>
      </w:pPr>
      <w:r>
        <w:tab/>
        <w:t>(f)</w:t>
      </w:r>
      <w:r>
        <w:tab/>
      </w:r>
      <w:r>
        <w:rPr>
          <w:bCs/>
        </w:rPr>
        <w:t>in relation to</w:t>
      </w:r>
      <w:r>
        <w:t xml:space="preserve"> a petroleum exploration operation or geothermal energy resources exploration operation specified in a special prospecting authority, means the registered holder of the special prospecting authority;</w:t>
      </w:r>
    </w:p>
    <w:p>
      <w:pPr>
        <w:pStyle w:val="Defpara"/>
      </w:pPr>
      <w:r>
        <w:tab/>
        <w:t>(g)</w:t>
      </w:r>
      <w:r>
        <w:tab/>
      </w:r>
      <w:r>
        <w:rPr>
          <w:bCs/>
        </w:rPr>
        <w:t>in relation to</w:t>
      </w:r>
      <w:r>
        <w:t xml:space="preserve"> a petroleum exploration operation or geothermal energy resources exploration operation or an operation related to the recovery of petroleum or geothermal energy in or from an area specified in an access authority, means the registered holder of the access authority;</w:t>
      </w:r>
    </w:p>
    <w:p>
      <w:pPr>
        <w:pStyle w:val="Defpara"/>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Defpara"/>
        <w:rPr>
          <w:b/>
          <w:i/>
        </w:rPr>
      </w:pPr>
      <w:r>
        <w:tab/>
        <w:t>(j)</w:t>
      </w:r>
      <w:r>
        <w:tab/>
        <w:t xml:space="preserve">in relation to any other kind of operation that is prescribed by the regulations to be a petroleum operation for the purposes of the definition of </w:t>
      </w:r>
      <w:r>
        <w:rPr>
          <w:b/>
          <w:bCs/>
          <w:i/>
          <w:iCs/>
        </w:rPr>
        <w:t>petroleum operation</w:t>
      </w:r>
      <w:r>
        <w:t>, means the person prescribed by the regulations to be the operator of such a petroleum operation for the purposes of this definition;</w:t>
      </w:r>
    </w:p>
    <w:p>
      <w:pPr>
        <w:pStyle w:val="Defpara"/>
      </w:pPr>
      <w:r>
        <w:tab/>
        <w:t>(k)</w:t>
      </w:r>
      <w:r>
        <w:tab/>
        <w:t xml:space="preserve">in relation to any other kind of operation that is prescribed by the regulations to be a geothermal energy operation for the purposes of the definition of </w:t>
      </w:r>
      <w:r>
        <w:rPr>
          <w:b/>
          <w:bCs/>
          <w:i/>
          <w:iCs/>
        </w:rPr>
        <w:t>geothermal energy operation</w:t>
      </w:r>
      <w:r>
        <w:t>, means the person prescribed by the regulations to be the operator of such a geothermal energy operation for the purposes of this definition;</w:t>
      </w:r>
    </w:p>
    <w:p>
      <w:pPr>
        <w:pStyle w:val="Defstart"/>
        <w:rPr>
          <w:del w:id="29" w:author="Master Repository Process" w:date="2022-03-30T12:17:00Z"/>
        </w:rPr>
      </w:pPr>
      <w:del w:id="30" w:author="Master Repository Process" w:date="2022-03-30T12:17:00Z">
        <w:r>
          <w:rPr>
            <w:b/>
          </w:rPr>
          <w:tab/>
        </w:r>
        <w:r>
          <w:rPr>
            <w:rStyle w:val="CharDefText"/>
          </w:rPr>
          <w:delText>other protected person</w:delText>
        </w:r>
        <w:r>
          <w:delText xml:space="preserve">, in relation to a geothermal energy operation, means a person who is at or near a place where the geothermal energy operation is being carried on at the invitation of, or with the express or implied consent of — </w:delText>
        </w:r>
      </w:del>
    </w:p>
    <w:p>
      <w:pPr>
        <w:pStyle w:val="Defpara"/>
        <w:rPr>
          <w:del w:id="31" w:author="Master Repository Process" w:date="2022-03-30T12:17:00Z"/>
        </w:rPr>
      </w:pPr>
      <w:del w:id="32" w:author="Master Repository Process" w:date="2022-03-30T12:17:00Z">
        <w:r>
          <w:tab/>
          <w:delText>(a)</w:delText>
        </w:r>
        <w:r>
          <w:tab/>
          <w:delText xml:space="preserve">the operator of the geothermal energy operation; or </w:delText>
        </w:r>
      </w:del>
    </w:p>
    <w:p>
      <w:pPr>
        <w:pStyle w:val="Defpara"/>
        <w:rPr>
          <w:del w:id="33" w:author="Master Repository Process" w:date="2022-03-30T12:17:00Z"/>
        </w:rPr>
      </w:pPr>
      <w:del w:id="34" w:author="Master Repository Process" w:date="2022-03-30T12:17:00Z">
        <w:r>
          <w:tab/>
          <w:delText>(b)</w:delText>
        </w:r>
        <w:r>
          <w:tab/>
          <w:delText>a person in control of a part of the geothermal energy operation;</w:delText>
        </w:r>
      </w:del>
    </w:p>
    <w:p>
      <w:pPr>
        <w:pStyle w:val="Defstart"/>
        <w:rPr>
          <w:del w:id="35" w:author="Master Repository Process" w:date="2022-03-30T12:17:00Z"/>
        </w:rPr>
      </w:pPr>
      <w:del w:id="36" w:author="Master Repository Process" w:date="2022-03-30T12:17:00Z">
        <w:r>
          <w:rPr>
            <w:b/>
          </w:rPr>
          <w:tab/>
        </w:r>
        <w:r>
          <w:rPr>
            <w:rStyle w:val="CharDefText"/>
          </w:rPr>
          <w:delText>other protected person</w:delText>
        </w:r>
        <w:r>
          <w:delText xml:space="preserve">, in relation to a petroleum operation, means a person who is at or near a place where the petroleum operation is being carried on at the invitation of, or with the express or implied consent of — </w:delText>
        </w:r>
      </w:del>
    </w:p>
    <w:p>
      <w:pPr>
        <w:pStyle w:val="Defpara"/>
        <w:rPr>
          <w:del w:id="37" w:author="Master Repository Process" w:date="2022-03-30T12:17:00Z"/>
        </w:rPr>
      </w:pPr>
      <w:del w:id="38" w:author="Master Repository Process" w:date="2022-03-30T12:17:00Z">
        <w:r>
          <w:tab/>
          <w:delText>(a)</w:delText>
        </w:r>
        <w:r>
          <w:tab/>
          <w:delText xml:space="preserve">the operator of the petroleum operation; or </w:delText>
        </w:r>
      </w:del>
    </w:p>
    <w:p>
      <w:pPr>
        <w:pStyle w:val="Defpara"/>
        <w:rPr>
          <w:del w:id="39" w:author="Master Repository Process" w:date="2022-03-30T12:17:00Z"/>
        </w:rPr>
      </w:pPr>
      <w:del w:id="40" w:author="Master Repository Process" w:date="2022-03-30T12:17:00Z">
        <w:r>
          <w:tab/>
          <w:delText>(b)</w:delText>
        </w:r>
        <w:r>
          <w:tab/>
          <w:delText>a person in control of a part of the petroleum operation;</w:delText>
        </w:r>
      </w:del>
    </w:p>
    <w:p>
      <w:pPr>
        <w:pStyle w:val="Defstart"/>
      </w:pPr>
      <w:r>
        <w:rPr>
          <w:b/>
        </w:rPr>
        <w:tab/>
      </w:r>
      <w:r>
        <w:rPr>
          <w:rStyle w:val="CharDefText"/>
        </w:rPr>
        <w:t>partly cancelled</w:t>
      </w:r>
      <w:r>
        <w:t xml:space="preserve"> means — in relation to a permit, drilling reservation or licence — cancelled as to one or more but not all of the blocks the subject of the permit, drilling reservation or licence;</w:t>
      </w:r>
    </w:p>
    <w:p>
      <w:pPr>
        <w:pStyle w:val="Defstart"/>
      </w:pPr>
      <w:r>
        <w:rPr>
          <w:b/>
        </w:rPr>
        <w:tab/>
      </w:r>
      <w:r>
        <w:rPr>
          <w:rStyle w:val="CharDefText"/>
        </w:rPr>
        <w:t>partly determined</w:t>
      </w:r>
      <w:r>
        <w:t>, in relation to a permit, drilling reservation or lease, means determined as to one or more but not all of the blocks the subject of the permit, drilling reservation or lease;</w:t>
      </w:r>
    </w:p>
    <w:p>
      <w:pPr>
        <w:pStyle w:val="Defstart"/>
        <w:keepNext/>
      </w:pPr>
      <w:r>
        <w:rPr>
          <w:b/>
        </w:rPr>
        <w:tab/>
      </w:r>
      <w:r>
        <w:rPr>
          <w:rStyle w:val="CharDefText"/>
        </w:rPr>
        <w:t>permit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r>
      <w:r>
        <w:rPr>
          <w:rStyle w:val="CharDefText"/>
        </w:rPr>
        <w:t>permit area</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r>
      <w:r>
        <w:rPr>
          <w:rStyle w:val="CharDefText"/>
        </w:rPr>
        <w:t>permittee</w:t>
      </w:r>
      <w:r>
        <w:t xml:space="preserve"> means the registered holder of a permit;</w:t>
      </w:r>
    </w:p>
    <w:p>
      <w:pPr>
        <w:pStyle w:val="Defstart"/>
        <w:keepNex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 dioxide,</w:t>
      </w:r>
    </w:p>
    <w:p>
      <w:pPr>
        <w:pStyle w:val="Defstart"/>
      </w:pPr>
      <w:r>
        <w:tab/>
        <w:t>and includes any petroleum as defined by paragraph (a), (b) or (c) that has been returned to a natural reservoir, but excludes oil shale;</w:t>
      </w:r>
    </w:p>
    <w:p>
      <w:pPr>
        <w:pStyle w:val="Defstart"/>
      </w:pPr>
      <w:r>
        <w:rPr>
          <w:b/>
        </w:rPr>
        <w:tab/>
      </w:r>
      <w:r>
        <w:rPr>
          <w:rStyle w:val="CharDefText"/>
        </w:rPr>
        <w:t>petroleum access authority</w:t>
      </w:r>
      <w:r>
        <w:t xml:space="preserve"> means a petroleum access authority under Part III;</w:t>
      </w:r>
    </w:p>
    <w:p>
      <w:pPr>
        <w:pStyle w:val="Defstart"/>
      </w:pPr>
      <w:r>
        <w:rPr>
          <w:b/>
        </w:rPr>
        <w:tab/>
      </w:r>
      <w:r>
        <w:rPr>
          <w:rStyle w:val="CharDefText"/>
        </w:rPr>
        <w:t>petroleum drilling reservation</w:t>
      </w:r>
      <w:r>
        <w:t xml:space="preserve"> means a petroleum drilling reservation referred to in section 43D(1);</w:t>
      </w:r>
    </w:p>
    <w:p>
      <w:pPr>
        <w:pStyle w:val="Defstart"/>
      </w:pPr>
      <w:r>
        <w:rPr>
          <w:b/>
        </w:rPr>
        <w:tab/>
      </w:r>
      <w:r>
        <w:rPr>
          <w:rStyle w:val="CharDefText"/>
        </w:rPr>
        <w:t>petroleum exploration permit</w:t>
      </w:r>
      <w:r>
        <w:t xml:space="preserve"> means a permit that confers the authority referred to in section 38(1);</w:t>
      </w:r>
    </w:p>
    <w:p>
      <w:pPr>
        <w:pStyle w:val="Defstart"/>
      </w:pPr>
      <w:r>
        <w:rPr>
          <w:b/>
        </w:rPr>
        <w:tab/>
      </w:r>
      <w:r>
        <w:rPr>
          <w:rStyle w:val="CharDefText"/>
        </w:rPr>
        <w:t>petroleum lease area</w:t>
      </w:r>
      <w:r>
        <w:t xml:space="preserve"> means the area constituted by the blocks that are the subject of a petroleum retention lease;</w:t>
      </w:r>
    </w:p>
    <w:p>
      <w:pPr>
        <w:pStyle w:val="Defstart"/>
      </w:pPr>
      <w:r>
        <w:rPr>
          <w:b/>
        </w:rPr>
        <w:tab/>
      </w:r>
      <w:r>
        <w:rPr>
          <w:rStyle w:val="CharDefText"/>
        </w:rPr>
        <w:t>petroleum lessee</w:t>
      </w:r>
      <w:r>
        <w:t xml:space="preserve"> means the registered holder of a petroleum retention lease;</w:t>
      </w:r>
    </w:p>
    <w:p>
      <w:pPr>
        <w:pStyle w:val="Defstart"/>
      </w:pPr>
      <w:r>
        <w:rPr>
          <w:b/>
        </w:rPr>
        <w:tab/>
      </w:r>
      <w:r>
        <w:rPr>
          <w:rStyle w:val="CharDefText"/>
        </w:rPr>
        <w:t>petroleum licensee</w:t>
      </w:r>
      <w:r>
        <w:t xml:space="preserve"> means the registered holder of a petroleum production licence;</w:t>
      </w:r>
    </w:p>
    <w:p>
      <w:pPr>
        <w:pStyle w:val="Defstart"/>
        <w:keepNext/>
      </w:pPr>
      <w:r>
        <w:tab/>
      </w:r>
      <w:r>
        <w:rPr>
          <w:rStyle w:val="CharDefText"/>
        </w:rPr>
        <w:t>petroleum operation</w:t>
      </w:r>
      <w:r>
        <w:t xml:space="preserve"> means — </w:t>
      </w:r>
    </w:p>
    <w:p>
      <w:pPr>
        <w:pStyle w:val="Defpara"/>
      </w:pPr>
      <w:r>
        <w:tab/>
        <w:t>(a)</w:t>
      </w:r>
      <w:r>
        <w:tab/>
        <w:t>an operation to explore for petroleum, and the carrying on of such operations and the execution of such works as are necessary for that purpose;</w:t>
      </w:r>
    </w:p>
    <w:p>
      <w:pPr>
        <w:pStyle w:val="Defpara"/>
      </w:pPr>
      <w:r>
        <w:tab/>
        <w:t>(b)</w:t>
      </w:r>
      <w:r>
        <w:tab/>
        <w:t>an operation to drill for petroleum, and the carrying on of such operations and the execution of such works as are necessary for that purpose;</w:t>
      </w:r>
    </w:p>
    <w:p>
      <w:pPr>
        <w:pStyle w:val="Defpara"/>
      </w:pPr>
      <w:r>
        <w:tab/>
        <w:t>(c)</w:t>
      </w:r>
      <w:r>
        <w:tab/>
        <w:t>an operation to recover petroleum, and the carrying on of such operations and the execution of such works as are necessary for that purpose;</w:t>
      </w:r>
    </w:p>
    <w:p>
      <w:pPr>
        <w:pStyle w:val="Defpara"/>
        <w:rPr>
          <w:b/>
        </w:rPr>
      </w:pPr>
      <w:r>
        <w:tab/>
        <w:t>(d)</w:t>
      </w:r>
      <w:r>
        <w:tab/>
        <w:t>an operation for the mining, obtaining or production of petroleum under the Barrow Island lease as renewed, substituted or varied;</w:t>
      </w:r>
    </w:p>
    <w:p>
      <w:pPr>
        <w:pStyle w:val="Defpara"/>
      </w:pPr>
      <w:r>
        <w:tab/>
        <w:t>(e)</w:t>
      </w:r>
      <w:r>
        <w:tab/>
        <w:t>the injection of petroleum into a natural underground reservoir;</w:t>
      </w:r>
    </w:p>
    <w:p>
      <w:pPr>
        <w:pStyle w:val="Defpara"/>
      </w:pPr>
      <w:r>
        <w:tab/>
        <w:t>(f)</w:t>
      </w:r>
      <w:r>
        <w:tab/>
        <w:t xml:space="preserve">the injection of carbon dioxide, as defined in section 3 of the </w:t>
      </w:r>
      <w:r>
        <w:rPr>
          <w:i/>
        </w:rPr>
        <w:t>Barrow Island Act 2003</w:t>
      </w:r>
      <w:r>
        <w:t>, into an underground reservoir or other subsurface formation;</w:t>
      </w:r>
    </w:p>
    <w:p>
      <w:pPr>
        <w:pStyle w:val="Defpara"/>
      </w:pPr>
      <w:r>
        <w:tab/>
        <w:t>(g)</w:t>
      </w:r>
      <w:r>
        <w:tab/>
        <w:t>any other kind of operation that is prescribed by the regulations to be a petroleum operation for the purposes of this definition,</w:t>
      </w:r>
    </w:p>
    <w:p>
      <w:pPr>
        <w:pStyle w:val="Defstart"/>
      </w:pPr>
      <w:r>
        <w:tab/>
        <w:t>but does not include an operation of a kind that is prescribed by the regulations not to be a petroleum operation for the purposes of this definition;</w:t>
      </w:r>
    </w:p>
    <w:p>
      <w:pPr>
        <w:pStyle w:val="Defstart"/>
      </w:pPr>
      <w:r>
        <w:rPr>
          <w:b/>
        </w:rPr>
        <w:tab/>
      </w:r>
      <w:r>
        <w:rPr>
          <w:rStyle w:val="CharDefText"/>
        </w:rPr>
        <w:t>petroleum permit area</w:t>
      </w:r>
      <w:r>
        <w:t xml:space="preserve"> means the area constituted by the blocks that are the subject of a petroleum exploration permit;</w:t>
      </w:r>
    </w:p>
    <w:p>
      <w:pPr>
        <w:pStyle w:val="Defstart"/>
      </w:pPr>
      <w:r>
        <w:rPr>
          <w:b/>
        </w:rPr>
        <w:tab/>
      </w:r>
      <w:r>
        <w:rPr>
          <w:rStyle w:val="CharDefText"/>
        </w:rPr>
        <w:t>petroleum permittee</w:t>
      </w:r>
      <w:r>
        <w:t xml:space="preserve"> means the registered holder of a petroleum exploration permit;</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petroleum production licence</w:t>
      </w:r>
      <w:r>
        <w:t xml:space="preserve"> means a petroleum production licence under Part III;</w:t>
      </w:r>
    </w:p>
    <w:p>
      <w:pPr>
        <w:pStyle w:val="Defstart"/>
      </w:pPr>
      <w:r>
        <w:rPr>
          <w:b/>
        </w:rPr>
        <w:tab/>
      </w:r>
      <w:r>
        <w:rPr>
          <w:rStyle w:val="CharDefText"/>
        </w:rPr>
        <w:t>petroleum retention lease</w:t>
      </w:r>
      <w:r>
        <w:t xml:space="preserve"> means a petroleum retention lease under Part III;</w:t>
      </w:r>
    </w:p>
    <w:p>
      <w:pPr>
        <w:pStyle w:val="Defstart"/>
      </w:pPr>
      <w:r>
        <w:rPr>
          <w:b/>
        </w:rPr>
        <w:tab/>
      </w:r>
      <w:r>
        <w:rPr>
          <w:rStyle w:val="CharDefText"/>
        </w:rPr>
        <w:t>petroleum special prospecting authority</w:t>
      </w:r>
      <w:r>
        <w:t xml:space="preserve"> means a petroleum special prospecting authority under Part III;</w:t>
      </w:r>
    </w:p>
    <w:p>
      <w:pPr>
        <w:pStyle w:val="Defstart"/>
      </w:pPr>
      <w:r>
        <w:rPr>
          <w:b/>
        </w:rPr>
        <w:tab/>
      </w:r>
      <w:r>
        <w:rPr>
          <w:rStyle w:val="CharDefText"/>
        </w:rPr>
        <w:t>primary entitlement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r>
      <w:r>
        <w:rPr>
          <w:rStyle w:val="CharDefText"/>
        </w:rPr>
        <w:t>private land</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 or</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r>
      <w:r>
        <w:rPr>
          <w:rStyle w:val="CharDefText"/>
        </w:rPr>
        <w:t>recovery</w:t>
      </w:r>
      <w:r>
        <w:t>, of geothermal energy, includes the recovery of any geothermal energy resources necessary to recover geothermal energy;</w:t>
      </w:r>
    </w:p>
    <w:p>
      <w:pPr>
        <w:pStyle w:val="Defstart"/>
      </w:pPr>
      <w:r>
        <w:rPr>
          <w:b/>
        </w:rPr>
        <w:tab/>
      </w:r>
      <w:r>
        <w:rPr>
          <w:rStyle w:val="CharDefText"/>
        </w:rPr>
        <w:t>Register</w:t>
      </w:r>
      <w:r>
        <w:t xml:space="preserve"> means the Register kept by the Minister in pursuance of Division 4 of Part III;</w:t>
      </w:r>
    </w:p>
    <w:p>
      <w:pPr>
        <w:pStyle w:val="Defstart"/>
      </w:pPr>
      <w:r>
        <w:rPr>
          <w:b/>
        </w:rPr>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r>
      <w:r>
        <w:rPr>
          <w:rStyle w:val="CharDefText"/>
        </w:rPr>
        <w:t>regulations</w:t>
      </w:r>
      <w:r>
        <w:t xml:space="preserve"> means regulations made under section 153;</w:t>
      </w:r>
    </w:p>
    <w:p>
      <w:pPr>
        <w:pStyle w:val="Defstart"/>
        <w:keepNext/>
      </w:pPr>
      <w:r>
        <w:rPr>
          <w:b/>
          <w:bCs/>
          <w:i/>
          <w:iCs/>
        </w:rPr>
        <w:tab/>
      </w:r>
      <w:r>
        <w:rPr>
          <w:rStyle w:val="CharDefText"/>
        </w:rPr>
        <w:t>relinquished area</w:t>
      </w:r>
      <w:r>
        <w:t xml:space="preserve"> means —</w:t>
      </w:r>
    </w:p>
    <w:p>
      <w:pPr>
        <w:pStyle w:val="Defpara"/>
      </w:pPr>
      <w:r>
        <w:tab/>
        <w:t>(a)</w:t>
      </w:r>
      <w:r>
        <w:tab/>
        <w:t>in relation to a permit, drilling reservation, lease or licence that has expired — the area constituted by the blocks in respect of which the permit, drilling reservation, lease or licence was in force but has not been renewed; and</w:t>
      </w:r>
    </w:p>
    <w:p>
      <w:pPr>
        <w:pStyle w:val="Defpara"/>
      </w:pPr>
      <w:r>
        <w:tab/>
        <w:t>(b)</w:t>
      </w:r>
      <w:r>
        <w:tab/>
        <w:t>in relation to a permit, drilling reservation, or lease that has been wholly determined or partly determined — the area constituted by the blocks as to which the permit, drilling reservation or lease was so determined; and</w:t>
      </w:r>
    </w:p>
    <w:p>
      <w:pPr>
        <w:pStyle w:val="Defpara"/>
      </w:pPr>
      <w:r>
        <w:tab/>
        <w:t>(c)</w:t>
      </w:r>
      <w:r>
        <w:tab/>
        <w:t>in relation to a permit, drilling reservation or licence that has been wholly cancelled or partly cancelled —the area constituted by the blocks as to which the permit, drilling reservation or licence was so cancelled; and</w:t>
      </w:r>
    </w:p>
    <w:p>
      <w:pPr>
        <w:pStyle w:val="Defpara"/>
      </w:pPr>
      <w:r>
        <w:tab/>
        <w:t>(ca)</w:t>
      </w:r>
      <w:r>
        <w:tab/>
        <w:t>in relation to a lease that has been wholly cancelled — the area constituted by the blocks in respect of which the lease was in force; and</w:t>
      </w:r>
    </w:p>
    <w:p>
      <w:pPr>
        <w:pStyle w:val="Defpara"/>
        <w:rPr>
          <w:b/>
        </w:rPr>
      </w:pPr>
      <w:r>
        <w:tab/>
        <w:t>(d)</w:t>
      </w:r>
      <w:r>
        <w:tab/>
        <w:t>in relation to a special prospecting authority or access authority that has been surrendered or cancelled or has expired — the area constituted by the blocks in respect of which that authority was in force;</w:t>
      </w:r>
    </w:p>
    <w:p>
      <w:pPr>
        <w:pStyle w:val="Defstart"/>
        <w:keepNext/>
      </w:pPr>
      <w:r>
        <w:tab/>
      </w:r>
      <w:r>
        <w:rPr>
          <w:rStyle w:val="CharDefText"/>
        </w:rPr>
        <w:t>royalty period</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144A(1) or (2);</w:t>
      </w:r>
    </w:p>
    <w:p>
      <w:pPr>
        <w:pStyle w:val="Defstart"/>
      </w:pPr>
      <w:r>
        <w:rPr>
          <w:b/>
        </w:rPr>
        <w:tab/>
      </w:r>
      <w:r>
        <w:rPr>
          <w:rStyle w:val="CharDefText"/>
        </w:rPr>
        <w:t>special prospecting authority</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Defstart"/>
      </w:pPr>
      <w:r>
        <w:rPr>
          <w:b/>
        </w:rPr>
        <w:tab/>
      </w:r>
      <w:r>
        <w:rPr>
          <w:rStyle w:val="CharDefText"/>
        </w:rPr>
        <w:t>vessel</w:t>
      </w:r>
      <w:r>
        <w:t xml:space="preserve"> means a vessel used in navigation, other than air navigation, and includes a barge or other vessel;</w:t>
      </w:r>
    </w:p>
    <w:p>
      <w:pPr>
        <w:pStyle w:val="Defstart"/>
      </w:pPr>
      <w:r>
        <w:rPr>
          <w:b/>
        </w:rP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pPr>
      <w:r>
        <w:rPr>
          <w:b/>
        </w:rPr>
        <w:tab/>
      </w:r>
      <w:r>
        <w:rPr>
          <w:rStyle w:val="CharDefText"/>
        </w:rPr>
        <w:t>wholly cancelled</w:t>
      </w:r>
      <w:r>
        <w:t>, in relation to a permit, drilling reservation, lease or licence, means cancelled as to all the blocks the subject of the permit, drilling reservation, lease or licence;</w:t>
      </w:r>
    </w:p>
    <w:p>
      <w:pPr>
        <w:pStyle w:val="Defstart"/>
      </w:pPr>
      <w:r>
        <w:rPr>
          <w:b/>
        </w:rPr>
        <w:tab/>
      </w:r>
      <w:r>
        <w:rPr>
          <w:rStyle w:val="CharDefText"/>
        </w:rPr>
        <w:t>wholly determined</w:t>
      </w:r>
      <w:r>
        <w:t>, in relation to a permit, drilling reservation or lease, means determined as to all the blocks the subject of the permit, drilling reservation or lease.</w:t>
      </w:r>
    </w:p>
    <w:p>
      <w:pPr>
        <w:pStyle w:val="Subsection"/>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Subsection"/>
      </w:pPr>
      <w:r>
        <w:tab/>
        <w:t>(9)</w:t>
      </w:r>
      <w:r>
        <w:tab/>
        <w:t>Notes in this Act are provided to assist understanding and do not form part of the Act.</w:t>
      </w:r>
    </w:p>
    <w:p>
      <w:pPr>
        <w:pStyle w:val="Footnotesection"/>
      </w:pPr>
      <w:r>
        <w:tab/>
        <w:t>[Section 5 amended: No. 69 of 1981 s. 31; No. 12 of 1990 s. 5; No. 78 of 1990 s. 4; No. 11 of 1994 s. 4; No. 28 of 1994 s. 5; No. 31 of 1997 s. 141; No. 17 of 1999 s. 21; No. 13 of 2005 s. 4; No. 35 of 2007 s. 6 and 85; No. 42 of 2010 s. 4; No. 7 of 2017 s. </w:t>
      </w:r>
      <w:del w:id="41" w:author="Master Repository Process" w:date="2022-03-30T12:17:00Z">
        <w:r>
          <w:delText>4</w:delText>
        </w:r>
      </w:del>
      <w:ins w:id="42" w:author="Master Repository Process" w:date="2022-03-30T12:17:00Z">
        <w:r>
          <w:t>4; No. 36 of 2020 s. 300</w:t>
        </w:r>
      </w:ins>
      <w:r>
        <w:t>.]</w:t>
      </w:r>
    </w:p>
    <w:p>
      <w:pPr>
        <w:pStyle w:val="Heading5"/>
      </w:pPr>
      <w:bookmarkStart w:id="43" w:name="_Toc98946838"/>
      <w:bookmarkStart w:id="44" w:name="_Toc97630433"/>
      <w:r>
        <w:rPr>
          <w:rStyle w:val="CharSectno"/>
        </w:rPr>
        <w:t>6A</w:t>
      </w:r>
      <w:r>
        <w:t>.</w:t>
      </w:r>
      <w:r>
        <w:tab/>
        <w:t>Effect of alteration of inshore area</w:t>
      </w:r>
      <w:bookmarkEnd w:id="43"/>
      <w:bookmarkEnd w:id="44"/>
    </w:p>
    <w:p>
      <w:pPr>
        <w:pStyle w:val="Subsection"/>
      </w:pPr>
      <w:r>
        <w:tab/>
        <w:t>(1)</w:t>
      </w:r>
      <w:r>
        <w:tab/>
        <w:t xml:space="preserve">In this section — </w:t>
      </w:r>
    </w:p>
    <w:p>
      <w:pPr>
        <w:pStyle w:val="Defstart"/>
      </w:pPr>
      <w:r>
        <w:tab/>
      </w:r>
      <w:r>
        <w:rPr>
          <w:rStyle w:val="CharDefText"/>
        </w:rPr>
        <w:t>Commonwealth instrument</w:t>
      </w:r>
      <w:r>
        <w:t xml:space="preserve"> means an instrument under the Commonwealth Act that confers, in relation to the offshore area, some or all of the rights that a permit, lease or licence confers in relation to the inshore area;</w:t>
      </w:r>
    </w:p>
    <w:p>
      <w:pPr>
        <w:pStyle w:val="Defstart"/>
      </w:pPr>
      <w:r>
        <w:rPr>
          <w:b/>
        </w:rPr>
        <w:tab/>
      </w:r>
      <w:r>
        <w:rPr>
          <w:rStyle w:val="CharDefText"/>
        </w:rPr>
        <w:t>inshore area</w:t>
      </w:r>
      <w:r>
        <w:t xml:space="preserve"> means the area that comes within paragraph (h) of the definition of </w:t>
      </w:r>
      <w:r>
        <w:rPr>
          <w:b/>
          <w:bCs/>
          <w:i/>
          <w:iCs/>
        </w:rPr>
        <w:t>Crown land</w:t>
      </w:r>
      <w:r>
        <w:t xml:space="preserve"> in </w:t>
      </w:r>
      <w:r>
        <w:rPr>
          <w:iCs/>
        </w:rPr>
        <w:t>section 5(1).</w:t>
      </w:r>
    </w:p>
    <w:p>
      <w:pPr>
        <w:pStyle w:val="Subsection"/>
      </w:pPr>
      <w:r>
        <w:tab/>
        <w:t>(2)</w:t>
      </w:r>
      <w:r>
        <w:tab/>
        <w:t xml:space="preserve">This section applies to a change to the boundary of the inshore area whether occurring before, on or after the day on which the </w:t>
      </w:r>
      <w:r>
        <w:rPr>
          <w:i/>
          <w:snapToGrid w:val="0"/>
        </w:rPr>
        <w:t>Petroleum and Energy Legislation Amendment Act 2010</w:t>
      </w:r>
      <w:r>
        <w:rPr>
          <w:snapToGrid w:val="0"/>
        </w:rPr>
        <w:t xml:space="preserve"> </w:t>
      </w:r>
      <w:r>
        <w:t>section 5 comes into operation.</w:t>
      </w:r>
    </w:p>
    <w:p>
      <w:pPr>
        <w:pStyle w:val="Subsection"/>
        <w:keepNext/>
      </w:pPr>
      <w:r>
        <w:tab/>
        <w:t>(3)</w:t>
      </w:r>
      <w:r>
        <w:tab/>
        <w:t xml:space="preserve">If — </w:t>
      </w:r>
    </w:p>
    <w:p>
      <w:pPr>
        <w:pStyle w:val="Indenta"/>
      </w:pPr>
      <w:r>
        <w:tab/>
        <w:t>(a)</w:t>
      </w:r>
      <w:r>
        <w:tab/>
        <w:t xml:space="preserve">a permit, lease or licence has been granted on the basis that an area (the </w:t>
      </w:r>
      <w:r>
        <w:rPr>
          <w:rStyle w:val="CharDefText"/>
        </w:rPr>
        <w:t>affected area</w:t>
      </w:r>
      <w:r>
        <w:t>) is within the inshore area; and</w:t>
      </w:r>
    </w:p>
    <w:p>
      <w:pPr>
        <w:pStyle w:val="Indenta"/>
      </w:pPr>
      <w:r>
        <w:tab/>
        <w:t>(b)</w:t>
      </w:r>
      <w:r>
        <w:tab/>
        <w:t>as a result of a change to boundary of the inshore area, the affected area ceases to be within the inshore area,</w:t>
      </w:r>
    </w:p>
    <w:p>
      <w:pPr>
        <w:pStyle w:val="Subsection"/>
      </w:pPr>
      <w:r>
        <w:tab/>
      </w:r>
      <w:r>
        <w:tab/>
        <w:t>this Act applies in relation to the permit, lease or licence as if the affected area were still within the inshore area.</w:t>
      </w:r>
    </w:p>
    <w:p>
      <w:pPr>
        <w:pStyle w:val="Subsection"/>
      </w:pPr>
      <w:r>
        <w:tab/>
        <w:t>(4)</w:t>
      </w:r>
      <w:r>
        <w:tab/>
        <w:t>Subsection (3) continues to apply in relation to the affected area only while the permit, lease or licence remains in force.</w:t>
      </w:r>
    </w:p>
    <w:p>
      <w:pPr>
        <w:pStyle w:val="Subsection"/>
      </w:pPr>
      <w:r>
        <w:tab/>
        <w:t>(5)</w:t>
      </w:r>
      <w:r>
        <w:tab/>
        <w:t xml:space="preserve">If — </w:t>
      </w:r>
    </w:p>
    <w:p>
      <w:pPr>
        <w:pStyle w:val="Indenta"/>
      </w:pPr>
      <w:r>
        <w:tab/>
        <w:t>(a)</w:t>
      </w:r>
      <w:r>
        <w:tab/>
        <w:t xml:space="preserve">a Commonwealth instrument has been granted on the basis that an area (the </w:t>
      </w:r>
      <w:r>
        <w:rPr>
          <w:rStyle w:val="CharDefText"/>
        </w:rPr>
        <w:t>second affected area</w:t>
      </w:r>
      <w:r>
        <w:t>) is within the offshore area; and</w:t>
      </w:r>
    </w:p>
    <w:p>
      <w:pPr>
        <w:pStyle w:val="Indenta"/>
      </w:pPr>
      <w:r>
        <w:tab/>
        <w:t>(b)</w:t>
      </w:r>
      <w:r>
        <w:tab/>
        <w:t xml:space="preserve">as a result of a change to the boundary of the inshore area the second affected area — </w:t>
      </w:r>
    </w:p>
    <w:p>
      <w:pPr>
        <w:pStyle w:val="Indenti"/>
      </w:pPr>
      <w:r>
        <w:tab/>
        <w:t>(i)</w:t>
      </w:r>
      <w:r>
        <w:tab/>
        <w:t>ceases to be within the offshore area; and</w:t>
      </w:r>
    </w:p>
    <w:p>
      <w:pPr>
        <w:pStyle w:val="Indenti"/>
      </w:pPr>
      <w:r>
        <w:tab/>
        <w:t>(ii)</w:t>
      </w:r>
      <w:r>
        <w:tab/>
        <w:t>falls within the inshore area,</w:t>
      </w:r>
    </w:p>
    <w:p>
      <w:pPr>
        <w:pStyle w:val="Subsection"/>
      </w:pPr>
      <w:r>
        <w:tab/>
      </w:r>
      <w:r>
        <w:tab/>
        <w:t>then this Act does not apply to the second affected area.</w:t>
      </w:r>
    </w:p>
    <w:p>
      <w:pPr>
        <w:pStyle w:val="Subsection"/>
      </w:pPr>
      <w:r>
        <w:tab/>
        <w:t>(6)</w:t>
      </w:r>
      <w:r>
        <w:tab/>
        <w:t>Subsection (5) continues to apply in relation to the second affected area only while the Commonwealth instrument remains in force.</w:t>
      </w:r>
    </w:p>
    <w:p>
      <w:pPr>
        <w:pStyle w:val="Footnotesection"/>
      </w:pPr>
      <w:r>
        <w:tab/>
        <w:t>[Section 6A inserted: No. 42 of 2010 s. 5; amended: No. 7 of 2017 s. 5.]</w:t>
      </w:r>
    </w:p>
    <w:p>
      <w:pPr>
        <w:pStyle w:val="Heading2"/>
      </w:pPr>
      <w:bookmarkStart w:id="45" w:name="_Toc97629543"/>
      <w:bookmarkStart w:id="46" w:name="_Toc97629896"/>
      <w:bookmarkStart w:id="47" w:name="_Toc97630434"/>
      <w:bookmarkStart w:id="48" w:name="_Toc98748349"/>
      <w:bookmarkStart w:id="49" w:name="_Toc98765990"/>
      <w:bookmarkStart w:id="50" w:name="_Toc98834257"/>
      <w:bookmarkStart w:id="51" w:name="_Toc98946839"/>
      <w:r>
        <w:rPr>
          <w:rStyle w:val="CharPartNo"/>
        </w:rPr>
        <w:t>Part II</w:t>
      </w:r>
      <w:r>
        <w:rPr>
          <w:rStyle w:val="CharDivNo"/>
        </w:rPr>
        <w:t> </w:t>
      </w:r>
      <w:r>
        <w:t>—</w:t>
      </w:r>
      <w:r>
        <w:rPr>
          <w:rStyle w:val="CharDivText"/>
        </w:rPr>
        <w:t> </w:t>
      </w:r>
      <w:r>
        <w:rPr>
          <w:rStyle w:val="CharPartText"/>
        </w:rPr>
        <w:t>General</w:t>
      </w:r>
      <w:bookmarkEnd w:id="45"/>
      <w:bookmarkEnd w:id="46"/>
      <w:bookmarkEnd w:id="47"/>
      <w:bookmarkEnd w:id="48"/>
      <w:bookmarkEnd w:id="49"/>
      <w:bookmarkEnd w:id="50"/>
      <w:bookmarkEnd w:id="51"/>
    </w:p>
    <w:p>
      <w:pPr>
        <w:pStyle w:val="Heading5"/>
        <w:rPr>
          <w:snapToGrid w:val="0"/>
        </w:rPr>
      </w:pPr>
      <w:bookmarkStart w:id="52" w:name="_Toc98946840"/>
      <w:bookmarkStart w:id="53" w:name="_Toc97630435"/>
      <w:r>
        <w:rPr>
          <w:rStyle w:val="CharSectno"/>
        </w:rPr>
        <w:t>6</w:t>
      </w:r>
      <w:r>
        <w:rPr>
          <w:snapToGrid w:val="0"/>
        </w:rPr>
        <w:t>.</w:t>
      </w:r>
      <w:r>
        <w:rPr>
          <w:snapToGrid w:val="0"/>
        </w:rPr>
        <w:tab/>
        <w:t>Act to be construed subject to State’s legislative powers</w:t>
      </w:r>
      <w:bookmarkEnd w:id="52"/>
      <w:bookmarkEnd w:id="53"/>
    </w:p>
    <w:p>
      <w:pPr>
        <w:pStyle w:val="Subsection"/>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rPr>
          <w:snapToGrid w:val="0"/>
        </w:rPr>
      </w:pPr>
      <w:bookmarkStart w:id="54" w:name="_Toc98946841"/>
      <w:bookmarkStart w:id="55" w:name="_Toc97630436"/>
      <w:r>
        <w:rPr>
          <w:rStyle w:val="CharSectno"/>
        </w:rPr>
        <w:t>7</w:t>
      </w:r>
      <w:r>
        <w:rPr>
          <w:snapToGrid w:val="0"/>
        </w:rPr>
        <w:t>.</w:t>
      </w:r>
      <w:r>
        <w:rPr>
          <w:snapToGrid w:val="0"/>
        </w:rPr>
        <w:tab/>
        <w:t>Application of Act</w:t>
      </w:r>
      <w:bookmarkEnd w:id="54"/>
      <w:bookmarkEnd w:id="55"/>
    </w:p>
    <w:p>
      <w:pPr>
        <w:pStyle w:val="Subsection"/>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No. 107 of 1982 s. 6; No. 12 of 1990 s. 6; No. 78 of 1990 s. 7; No. 35 of 2007 s. 7.]</w:t>
      </w:r>
    </w:p>
    <w:p>
      <w:pPr>
        <w:pStyle w:val="Heading5"/>
        <w:rPr>
          <w:del w:id="56" w:author="Master Repository Process" w:date="2022-03-30T12:17:00Z"/>
        </w:rPr>
      </w:pPr>
      <w:ins w:id="57" w:author="Master Repository Process" w:date="2022-03-30T12:17:00Z">
        <w:r>
          <w:t>[</w:t>
        </w:r>
      </w:ins>
      <w:bookmarkStart w:id="58" w:name="_Toc97630437"/>
      <w:r>
        <w:t>7AA.</w:t>
      </w:r>
      <w:r>
        <w:tab/>
      </w:r>
      <w:del w:id="59" w:author="Master Repository Process" w:date="2022-03-30T12:17:00Z">
        <w:r>
          <w:delText>Disapplication of State occupational safety and health laws</w:delText>
        </w:r>
        <w:bookmarkEnd w:id="58"/>
      </w:del>
    </w:p>
    <w:p>
      <w:pPr>
        <w:pStyle w:val="Subsection"/>
        <w:rPr>
          <w:del w:id="60" w:author="Master Repository Process" w:date="2022-03-30T12:17:00Z"/>
        </w:rPr>
      </w:pPr>
      <w:del w:id="61" w:author="Master Repository Process" w:date="2022-03-30T12:17:00Z">
        <w:r>
          <w:tab/>
          <w:delText>(1)</w:delText>
        </w:r>
        <w:r>
          <w:tab/>
          <w:delText xml:space="preserve">The prescribed occupational safety and health laws do not apply in relation to — </w:delText>
        </w:r>
      </w:del>
    </w:p>
    <w:p>
      <w:pPr>
        <w:pStyle w:val="Indenta"/>
        <w:rPr>
          <w:del w:id="62" w:author="Master Repository Process" w:date="2022-03-30T12:17:00Z"/>
        </w:rPr>
      </w:pPr>
      <w:del w:id="63" w:author="Master Repository Process" w:date="2022-03-30T12:17:00Z">
        <w:r>
          <w:tab/>
          <w:delText>(a)</w:delText>
        </w:r>
        <w:r>
          <w:tab/>
          <w:delText>a petroleum operation or geothermal energy operation; or</w:delText>
        </w:r>
      </w:del>
    </w:p>
    <w:p>
      <w:pPr>
        <w:pStyle w:val="Indenta"/>
        <w:rPr>
          <w:del w:id="64" w:author="Master Repository Process" w:date="2022-03-30T12:17:00Z"/>
        </w:rPr>
      </w:pPr>
      <w:del w:id="65" w:author="Master Repository Process" w:date="2022-03-30T12:17:00Z">
        <w:r>
          <w:tab/>
          <w:delText>(b)</w:delText>
        </w:r>
        <w:r>
          <w:tab/>
          <w:delText>a person engaged in a petroleum operation or geothermal energy operation or any other protected person.</w:delText>
        </w:r>
      </w:del>
    </w:p>
    <w:p>
      <w:pPr>
        <w:pStyle w:val="Subsection"/>
        <w:rPr>
          <w:del w:id="66" w:author="Master Repository Process" w:date="2022-03-30T12:17:00Z"/>
        </w:rPr>
      </w:pPr>
      <w:del w:id="67" w:author="Master Repository Process" w:date="2022-03-30T12:17:00Z">
        <w:r>
          <w:tab/>
          <w:delText>(2)</w:delText>
        </w:r>
        <w:r>
          <w:tab/>
          <w:delText xml:space="preserve">In this section — </w:delText>
        </w:r>
      </w:del>
    </w:p>
    <w:p>
      <w:pPr>
        <w:pStyle w:val="Defstart"/>
        <w:rPr>
          <w:del w:id="68" w:author="Master Repository Process" w:date="2022-03-30T12:17:00Z"/>
        </w:rPr>
      </w:pPr>
      <w:del w:id="69" w:author="Master Repository Process" w:date="2022-03-30T12:17:00Z">
        <w:r>
          <w:rPr>
            <w:b/>
          </w:rPr>
          <w:tab/>
        </w:r>
        <w:r>
          <w:rPr>
            <w:rStyle w:val="CharDefText"/>
          </w:rPr>
          <w:delText>prescribed occupational safety and health laws</w:delText>
        </w:r>
        <w:r>
          <w:delText xml:space="preserve"> means any laws of the State relating to occupational safety and health (whether or not they also relate to other matters) that are prescribed by the regulations for the purposes of this section.</w:delText>
        </w:r>
      </w:del>
    </w:p>
    <w:p>
      <w:pPr>
        <w:pStyle w:val="Ednotesection"/>
        <w:spacing w:before="180"/>
      </w:pPr>
      <w:del w:id="70" w:author="Master Repository Process" w:date="2022-03-30T12:17:00Z">
        <w:r>
          <w:tab/>
          <w:delText>[Section 7AA inserted</w:delText>
        </w:r>
      </w:del>
      <w:ins w:id="71" w:author="Master Repository Process" w:date="2022-03-30T12:17:00Z">
        <w:r>
          <w:t>Deleted</w:t>
        </w:r>
      </w:ins>
      <w:r>
        <w:t>: No.</w:t>
      </w:r>
      <w:del w:id="72" w:author="Master Repository Process" w:date="2022-03-30T12:17:00Z">
        <w:r>
          <w:delText xml:space="preserve"> 13</w:delText>
        </w:r>
      </w:del>
      <w:ins w:id="73" w:author="Master Repository Process" w:date="2022-03-30T12:17:00Z">
        <w:r>
          <w:t> 36</w:t>
        </w:r>
      </w:ins>
      <w:r>
        <w:t xml:space="preserve"> of </w:t>
      </w:r>
      <w:del w:id="74" w:author="Master Repository Process" w:date="2022-03-30T12:17:00Z">
        <w:r>
          <w:delText>2005</w:delText>
        </w:r>
      </w:del>
      <w:ins w:id="75" w:author="Master Repository Process" w:date="2022-03-30T12:17:00Z">
        <w:r>
          <w:t>2020</w:t>
        </w:r>
      </w:ins>
      <w:r>
        <w:t xml:space="preserve"> s. </w:t>
      </w:r>
      <w:del w:id="76" w:author="Master Repository Process" w:date="2022-03-30T12:17:00Z">
        <w:r>
          <w:delText>5; amended: No. 35 of 2007 s. 86</w:delText>
        </w:r>
      </w:del>
      <w:ins w:id="77" w:author="Master Repository Process" w:date="2022-03-30T12:17:00Z">
        <w:r>
          <w:t>301</w:t>
        </w:r>
      </w:ins>
      <w:r>
        <w:t>.]</w:t>
      </w:r>
    </w:p>
    <w:p>
      <w:pPr>
        <w:pStyle w:val="Heading5"/>
        <w:rPr>
          <w:snapToGrid w:val="0"/>
        </w:rPr>
      </w:pPr>
      <w:bookmarkStart w:id="78" w:name="_Toc98946842"/>
      <w:bookmarkStart w:id="79" w:name="_Toc97630438"/>
      <w:r>
        <w:rPr>
          <w:rStyle w:val="CharSectno"/>
        </w:rPr>
        <w:t>7A</w:t>
      </w:r>
      <w:r>
        <w:rPr>
          <w:snapToGrid w:val="0"/>
        </w:rPr>
        <w:t>.</w:t>
      </w:r>
      <w:r>
        <w:rPr>
          <w:snapToGrid w:val="0"/>
        </w:rPr>
        <w:tab/>
        <w:t>Geothermal resources area in, or extending into, other areas</w:t>
      </w:r>
      <w:bookmarkEnd w:id="78"/>
      <w:bookmarkEnd w:id="79"/>
    </w:p>
    <w:p>
      <w:pPr>
        <w:pStyle w:val="Subsection"/>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rPr>
          <w:snapToGrid w:val="0"/>
        </w:rPr>
      </w:pPr>
      <w:r>
        <w:rPr>
          <w:snapToGrid w:val="0"/>
        </w:rPr>
        <w:tab/>
        <w:t>(2)</w:t>
      </w:r>
      <w:r>
        <w:rPr>
          <w:snapToGrid w:val="0"/>
        </w:rPr>
        <w:tab/>
        <w:t>Where a well</w:t>
      </w:r>
      <w:r>
        <w:rPr>
          <w:snapToGrid w:val="0"/>
        </w:rPr>
        <w:noBreakHyphen/>
        <w:t xml:space="preserve">head is situated in a licence area or in an area in respect of </w:t>
      </w:r>
      <w:r>
        <w:t>which a geothermal access</w:t>
      </w:r>
      <w:r>
        <w:rPr>
          <w:snapToGrid w:val="0"/>
        </w:rPr>
        <w:t xml:space="preserve"> authority is in force (in this subsection called an </w:t>
      </w:r>
      <w:r>
        <w:rPr>
          <w:rStyle w:val="CharDefText"/>
        </w:rPr>
        <w:t>access authority area</w:t>
      </w:r>
      <w:r>
        <w:rPr>
          <w:snapToGrid w:val="0"/>
        </w:rPr>
        <w:t>) and the well from that well</w:t>
      </w:r>
      <w:r>
        <w:rPr>
          <w:snapToGrid w:val="0"/>
        </w:rPr>
        <w:noBreakHyphen/>
        <w:t xml:space="preserve">head is inclined so as to enter a </w:t>
      </w:r>
      <w:r>
        <w:t>geothermal resources area, being an</w:t>
      </w:r>
      <w:r>
        <w:rPr>
          <w:snapToGrid w:val="0"/>
        </w:rPr>
        <w:t xml:space="preserve"> </w:t>
      </w:r>
      <w:r>
        <w:t>area</w:t>
      </w:r>
      <w:r>
        <w:rPr>
          <w:snapToGrid w:val="0"/>
        </w:rPr>
        <w:t xml:space="preserve"> that does not extend to that licence area or access authority area, at a place within an adjoining licence area of the same licensee or registered holder of the </w:t>
      </w:r>
      <w:r>
        <w:t>geothermal access authority, any</w:t>
      </w:r>
      <w:r>
        <w:rPr>
          <w:snapToGrid w:val="0"/>
        </w:rPr>
        <w:t xml:space="preserve"> </w:t>
      </w:r>
      <w:r>
        <w:t>geothermal energy</w:t>
      </w:r>
      <w:r>
        <w:rPr>
          <w:snapToGrid w:val="0"/>
        </w:rPr>
        <w:t xml:space="preserve"> recovered through that well shall be deemed to have been recovered in that adjoining licence area </w:t>
      </w:r>
      <w:r>
        <w:t>under the geothermal production licence</w:t>
      </w:r>
      <w:r>
        <w:rPr>
          <w:snapToGrid w:val="0"/>
        </w:rPr>
        <w:t xml:space="preserve"> in respect of that area.</w:t>
      </w:r>
    </w:p>
    <w:p>
      <w:pPr>
        <w:pStyle w:val="Subsection"/>
        <w:rPr>
          <w:snapToGrid w:val="0"/>
        </w:rPr>
      </w:pPr>
      <w:r>
        <w:rPr>
          <w:snapToGrid w:val="0"/>
        </w:rPr>
        <w:tab/>
        <w:t>(3)</w:t>
      </w:r>
      <w:r>
        <w:rPr>
          <w:snapToGrid w:val="0"/>
        </w:rPr>
        <w:tab/>
        <w:t xml:space="preserve">Where a </w:t>
      </w:r>
      <w:r>
        <w:t>geothermal resources area</w:t>
      </w:r>
      <w:r>
        <w:rPr>
          <w:snapToGrid w:val="0"/>
        </w:rPr>
        <w:t xml:space="preserve"> is partly in one licence area and partly in an adjoining licence area of the same licensee and </w:t>
      </w:r>
      <w:r>
        <w:t>geothermal energy</w:t>
      </w:r>
      <w:r>
        <w:rPr>
          <w:snapToGrid w:val="0"/>
        </w:rPr>
        <w:t xml:space="preserve"> is recovered from that </w:t>
      </w:r>
      <w:r>
        <w:t>geothermal resources area</w:t>
      </w:r>
      <w:r>
        <w:rPr>
          <w:snapToGrid w:val="0"/>
        </w:rPr>
        <w:t xml:space="preserve"> through a well or wells in one or both of the licence areas, there shall be deemed to have been recovered in each of the licence areas, </w:t>
      </w:r>
      <w:r>
        <w:t>under the geothermal production licence</w:t>
      </w:r>
      <w:r>
        <w:rPr>
          <w:snapToGrid w:val="0"/>
        </w:rPr>
        <w:t xml:space="preserve"> in respect of that area, such proportion of all </w:t>
      </w:r>
      <w:r>
        <w:t>geothermal energy</w:t>
      </w:r>
      <w:r>
        <w:rPr>
          <w:snapToGrid w:val="0"/>
        </w:rPr>
        <w:t xml:space="preserve"> so recovered as may reasonably be treated as being derived from that area, having regard to the nature and probable extent of the </w:t>
      </w:r>
      <w:r>
        <w:t>geothermal resources area</w:t>
      </w:r>
      <w:r>
        <w:rPr>
          <w:snapToGrid w:val="0"/>
        </w:rPr>
        <w:t>, and the respective proportions shall be determined in accordance with subsection (4).</w:t>
      </w:r>
    </w:p>
    <w:p>
      <w:pPr>
        <w:pStyle w:val="Subsection"/>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(5)</w:t>
      </w:r>
      <w:r>
        <w:rPr>
          <w:snapToGrid w:val="0"/>
        </w:rPr>
        <w:tab/>
        <w:t xml:space="preserve">Where a </w:t>
      </w:r>
      <w:r>
        <w:t>geothermal resources area</w:t>
      </w:r>
      <w:r>
        <w:rPr>
          <w:snapToGrid w:val="0"/>
        </w:rPr>
        <w:t xml:space="preserve"> is partly in a licence area and partly in another area in which the licensee has authority under another written law or a law of another State to explore for geothermal energy resources or recover geothermal energy, and geothermal energy is recovered from that </w:t>
      </w:r>
      <w:r>
        <w:t>geothermal resources area</w:t>
      </w:r>
      <w:r>
        <w:rPr>
          <w:snapToGrid w:val="0"/>
        </w:rPr>
        <w:t xml:space="preserve"> through a well or wells in the licence area, the other area or both, there shall be deemed to have been recovered in the licence area such proportion of all </w:t>
      </w:r>
      <w:r>
        <w:t>geothermal energy</w:t>
      </w:r>
      <w:r>
        <w:rPr>
          <w:snapToGrid w:val="0"/>
        </w:rPr>
        <w:t xml:space="preserve"> so recovered as may reasonably be treated as being derived from the licence area, having regard to the nature and probable extent of the </w:t>
      </w:r>
      <w:r>
        <w:t>geothermal resources area</w:t>
      </w:r>
      <w:r>
        <w:rPr>
          <w:snapToGrid w:val="0"/>
        </w:rPr>
        <w:t>, and that proportion shall be determined in accordance with subsection (6).</w:t>
      </w:r>
    </w:p>
    <w:p>
      <w:pPr>
        <w:pStyle w:val="Subsection"/>
        <w:keepNext/>
        <w:rPr>
          <w:snapToGrid w:val="0"/>
        </w:rPr>
      </w:pPr>
      <w:r>
        <w:rPr>
          <w:snapToGrid w:val="0"/>
        </w:rPr>
        <w:tab/>
        <w:t>(6)</w:t>
      </w:r>
      <w:r>
        <w:rPr>
          <w:snapToGrid w:val="0"/>
        </w:rPr>
        <w:tab/>
        <w:t>The proportion to be determined for the purposes of subsection (5) may be determined —</w:t>
      </w:r>
    </w:p>
    <w:p>
      <w:pPr>
        <w:pStyle w:val="Indenta"/>
        <w:rPr>
          <w:snapToGrid w:val="0"/>
        </w:rPr>
      </w:pPr>
      <w:r>
        <w:rPr>
          <w:snapToGrid w:val="0"/>
        </w:rPr>
        <w:tab/>
        <w:t>(a)</w:t>
      </w:r>
      <w:r>
        <w:rPr>
          <w:snapToGrid w:val="0"/>
        </w:rPr>
        <w:tab/>
        <w:t>in the case of a licensee having authority under another written law,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if the other written law is administered by a Minister of the Crown other than the Minister, that Minister of the Crown,</w:t>
      </w:r>
    </w:p>
    <w:p>
      <w:pPr>
        <w:pStyle w:val="Indenta"/>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Indenta"/>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 xml:space="preserve">a </w:t>
      </w:r>
      <w:r>
        <w:t>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r>
      <w:r>
        <w:t>geothermal energy</w:t>
      </w:r>
      <w:r>
        <w:rPr>
          <w:snapToGrid w:val="0"/>
        </w:rPr>
        <w:t xml:space="preserve"> is recovered from that </w:t>
      </w:r>
      <w:r>
        <w:t>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 xml:space="preserve">there shall be deemed to have been recovered in the licence area such proportion of </w:t>
      </w:r>
      <w:r>
        <w:t>all</w:t>
      </w:r>
      <w:r>
        <w:rPr>
          <w:snapToGrid w:val="0"/>
        </w:rPr>
        <w:t xml:space="preserve"> </w:t>
      </w:r>
      <w:r>
        <w:t>geothermal energy</w:t>
      </w:r>
      <w:r>
        <w:rPr>
          <w:snapToGrid w:val="0"/>
        </w:rPr>
        <w:t xml:space="preserve"> so recovered as is specified in, or determined in accordance with, the agreement referred to in paragraph (b).</w:t>
      </w:r>
    </w:p>
    <w:p>
      <w:pPr>
        <w:pStyle w:val="Subsection"/>
      </w:pPr>
      <w:r>
        <w:tab/>
        <w:t>(8)</w:t>
      </w:r>
      <w:r>
        <w:tab/>
        <w:t>In this section —</w:t>
      </w:r>
    </w:p>
    <w:p>
      <w:pPr>
        <w:pStyle w:val="Indenta"/>
      </w:pPr>
      <w:r>
        <w:tab/>
        <w:t>(a)</w:t>
      </w:r>
      <w:r>
        <w:tab/>
        <w:t>a reference to a geothermal production licence includes a reference to a geothermal exploration permit and a geothermal retention lease; and</w:t>
      </w:r>
    </w:p>
    <w:p>
      <w:pPr>
        <w:pStyle w:val="Indenta"/>
      </w:pPr>
      <w:r>
        <w:tab/>
        <w:t>(b)</w:t>
      </w:r>
      <w:r>
        <w:tab/>
        <w:t>a reference to a licensee is a reference to the registered holder of a geothermal production licence and includes a reference to a geothermal permittee and a geothermal lessee; and</w:t>
      </w:r>
    </w:p>
    <w:p>
      <w:pPr>
        <w:pStyle w:val="Indenta"/>
      </w:pPr>
      <w:r>
        <w:tab/>
        <w:t>(c)</w:t>
      </w:r>
      <w:r>
        <w:tab/>
        <w:t>a reference to a licence area is a reference to the area constituted by the blocks that are the subject of a geothermal production licence and includes a reference to a geothermal permit area and a geothermal lease area; and</w:t>
      </w:r>
    </w:p>
    <w:p>
      <w:pPr>
        <w:pStyle w:val="Indenta"/>
      </w:pPr>
      <w:r>
        <w:tab/>
        <w:t>(d)</w:t>
      </w:r>
      <w:r>
        <w:tab/>
        <w:t>a reference to a State includes a reference to the Northern Territory; and</w:t>
      </w:r>
    </w:p>
    <w:p>
      <w:pPr>
        <w:pStyle w:val="Indenta"/>
      </w:pPr>
      <w:r>
        <w:tab/>
        <w:t>(e)</w:t>
      </w:r>
      <w:r>
        <w:tab/>
        <w:t>a reference to the Supreme Court is a reference to the Supreme Court of the State, or of one of the States, in which the petroleum pool is wholly or partly situated.</w:t>
      </w:r>
    </w:p>
    <w:p>
      <w:pPr>
        <w:pStyle w:val="Footnotesection"/>
        <w:spacing w:before="80"/>
        <w:ind w:left="890" w:hanging="890"/>
      </w:pPr>
      <w:r>
        <w:tab/>
        <w:t>[Section 7A inserted: No. 12 of 1990 s. 7; amended: No. 35 of 2007 s. 8; No. 7 of 2017 s. 6.]</w:t>
      </w:r>
    </w:p>
    <w:p>
      <w:pPr>
        <w:pStyle w:val="Heading5"/>
      </w:pPr>
      <w:bookmarkStart w:id="80" w:name="_Toc98946843"/>
      <w:bookmarkStart w:id="81" w:name="_Toc97630439"/>
      <w:r>
        <w:rPr>
          <w:rStyle w:val="CharSectno"/>
        </w:rPr>
        <w:t>7B</w:t>
      </w:r>
      <w:r>
        <w:t>.</w:t>
      </w:r>
      <w:r>
        <w:tab/>
        <w:t>Petroleum pool in, or extending into, other areas</w:t>
      </w:r>
      <w:bookmarkEnd w:id="80"/>
      <w:bookmarkEnd w:id="81"/>
    </w:p>
    <w:p>
      <w:pPr>
        <w:pStyle w:val="Subsection"/>
      </w:pPr>
      <w:r>
        <w:tab/>
        <w:t>(1)</w:t>
      </w:r>
      <w:r>
        <w:tab/>
        <w:t>The provisions of this section have effect for the purposes of this Act (including any Act with which this Act is incorporated) and of licences (whether granted before or after the commencement of this section).</w:t>
      </w:r>
    </w:p>
    <w:p>
      <w:pPr>
        <w:pStyle w:val="Subsection"/>
      </w:pPr>
      <w:r>
        <w:tab/>
        <w:t>(2)</w:t>
      </w:r>
      <w:r>
        <w:tab/>
        <w:t>If a well</w:t>
      </w:r>
      <w:r>
        <w:noBreakHyphen/>
        <w:t xml:space="preserve">head is situated in a licence area or in an area in respect of which a petroleum access authority is in force (in this subsection called an </w:t>
      </w:r>
      <w:r>
        <w:rPr>
          <w:rStyle w:val="CharDefText"/>
        </w:rPr>
        <w:t>access authority area</w:t>
      </w:r>
      <w:r>
        <w:t>) and the well from that well</w:t>
      </w:r>
      <w:r>
        <w:noBreakHyphen/>
        <w:t>head is inclined so as to enter a petroleum pool, being a pool that does not extend to that licence area or access authority area, at a place within an adjoining licence area of the same licensee or registered holder of the petroleum access authority, any petroleum recovered through that well is taken to have been recovered in that adjoining licence area under the petroleum production licence in respect of that area.</w:t>
      </w:r>
    </w:p>
    <w:p>
      <w:pPr>
        <w:pStyle w:val="Subsection"/>
      </w:pPr>
      <w:r>
        <w:tab/>
        <w:t>(3)</w:t>
      </w:r>
      <w:r>
        <w:tab/>
        <w:t>If a petroleum pool is partly in one licence area and partly in an adjoining licence area of the same licensee and petroleum is recovered from that pool through a well or wells in one or both of the licence areas, there is taken to have been recovered in each of the licence areas, under the petroleum production licence in respect of that area, such proportion of all petroleum so recovered as may reasonably be treated as being derived from that area, having regard to the nature and probable extent of the pool, and the respective proportions are to be determined in accordance with subsection (4).</w:t>
      </w:r>
    </w:p>
    <w:p>
      <w:pPr>
        <w:pStyle w:val="Subsection"/>
      </w:pPr>
      <w:r>
        <w:tab/>
        <w:t>(4)</w:t>
      </w:r>
      <w: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pPr>
      <w:r>
        <w:tab/>
        <w:t>(5)</w:t>
      </w:r>
      <w:r>
        <w:tab/>
        <w:t>If a petroleum pool is partly in a licence area and partly in another area in which the licensee has authority under another written law or a law of another State or the Commonwealth to explore for, or recover, petroleum, and petroleum is recovered from that pool through a well or wells in the licence area, the other area or both, there is taken to have been recovered in the licence area such proportion of all petroleum so recovered as may reasonably be treated as being derived from the licence area, having regard to the nature and probable extent of the pool, and that proportion is to be determined in accordance with subsection (6).</w:t>
      </w:r>
    </w:p>
    <w:p>
      <w:pPr>
        <w:pStyle w:val="Subsection"/>
      </w:pPr>
      <w:r>
        <w:tab/>
        <w:t>(6)</w:t>
      </w:r>
      <w:r>
        <w:tab/>
        <w:t>The proportion to be determined for the purposes of subsection (5) may be determined —</w:t>
      </w:r>
    </w:p>
    <w:p>
      <w:pPr>
        <w:pStyle w:val="Indenta"/>
      </w:pPr>
      <w:r>
        <w:tab/>
        <w:t>(a)</w:t>
      </w:r>
      <w:r>
        <w:tab/>
        <w:t>in the case of a licensee having authority under another written law, by agreement between —</w:t>
      </w:r>
    </w:p>
    <w:p>
      <w:pPr>
        <w:pStyle w:val="Indenti"/>
      </w:pPr>
      <w:r>
        <w:tab/>
        <w:t>(i)</w:t>
      </w:r>
      <w:r>
        <w:tab/>
        <w:t>that licensee; and</w:t>
      </w:r>
    </w:p>
    <w:p>
      <w:pPr>
        <w:pStyle w:val="Indenti"/>
      </w:pPr>
      <w:r>
        <w:tab/>
        <w:t>(ii)</w:t>
      </w:r>
      <w:r>
        <w:tab/>
        <w:t>the Minister; and</w:t>
      </w:r>
    </w:p>
    <w:p>
      <w:pPr>
        <w:pStyle w:val="Indenti"/>
      </w:pPr>
      <w:r>
        <w:tab/>
        <w:t>(iii)</w:t>
      </w:r>
      <w:r>
        <w:tab/>
        <w:t>if the other written law is administered by a Minister of the Crown other than the Minister, that Minister of the Crown,</w:t>
      </w:r>
    </w:p>
    <w:p>
      <w:pPr>
        <w:pStyle w:val="Indenta"/>
      </w:pPr>
      <w:r>
        <w:tab/>
      </w:r>
      <w:r>
        <w:tab/>
        <w:t>or, in the absence of agreement, may be determined by the Supreme Court on the application of that licensee, the Minister, or the Minister of the Crown (if applicable) referred to in subparagraph (iii); or</w:t>
      </w:r>
    </w:p>
    <w:p>
      <w:pPr>
        <w:pStyle w:val="Indenta"/>
      </w:pPr>
      <w:r>
        <w:tab/>
        <w:t>(b)</w:t>
      </w:r>
      <w:r>
        <w:tab/>
        <w:t>in the case of a licensee having authority under a law of another State, by agreement between —</w:t>
      </w:r>
    </w:p>
    <w:p>
      <w:pPr>
        <w:pStyle w:val="Indenti"/>
      </w:pPr>
      <w:r>
        <w:tab/>
        <w:t>(i)</w:t>
      </w:r>
      <w:r>
        <w:tab/>
        <w:t>that licensee; and</w:t>
      </w:r>
    </w:p>
    <w:p>
      <w:pPr>
        <w:pStyle w:val="Indenti"/>
      </w:pPr>
      <w:r>
        <w:tab/>
        <w:t>(ii)</w:t>
      </w:r>
      <w:r>
        <w:tab/>
        <w:t>the Minister; and</w:t>
      </w:r>
    </w:p>
    <w:p>
      <w:pPr>
        <w:pStyle w:val="Indenti"/>
      </w:pPr>
      <w:r>
        <w:tab/>
        <w:t>(iii)</w:t>
      </w:r>
      <w:r>
        <w:tab/>
        <w:t>the State Minister administering the law of the other State,</w:t>
      </w:r>
    </w:p>
    <w:p>
      <w:pPr>
        <w:pStyle w:val="Indenta"/>
      </w:pPr>
      <w:r>
        <w:tab/>
      </w:r>
      <w:r>
        <w:tab/>
        <w:t>or, in the absence of agreement, may be determined by the Supreme Court on the application of that licensee, the Minister or the State Minister referred to in subparagraph (iii); or</w:t>
      </w:r>
    </w:p>
    <w:p>
      <w:pPr>
        <w:pStyle w:val="Indenta"/>
      </w:pPr>
      <w:r>
        <w:tab/>
        <w:t>(c)</w:t>
      </w:r>
      <w:r>
        <w:tab/>
        <w:t xml:space="preserve">in the case of a licensee having authority under a law of the Commonwealth, by agreement between — </w:t>
      </w:r>
    </w:p>
    <w:p>
      <w:pPr>
        <w:pStyle w:val="Indenti"/>
      </w:pPr>
      <w:r>
        <w:tab/>
        <w:t>(i)</w:t>
      </w:r>
      <w:r>
        <w:tab/>
        <w:t>that licensee; and</w:t>
      </w:r>
    </w:p>
    <w:p>
      <w:pPr>
        <w:pStyle w:val="Indenti"/>
      </w:pPr>
      <w:r>
        <w:tab/>
        <w:t>(ii)</w:t>
      </w:r>
      <w:r>
        <w:tab/>
        <w:t>the Minister; and</w:t>
      </w:r>
    </w:p>
    <w:p>
      <w:pPr>
        <w:pStyle w:val="Indenti"/>
      </w:pPr>
      <w:r>
        <w:tab/>
        <w:t>(iii)</w:t>
      </w:r>
      <w:r>
        <w:tab/>
        <w:t>the Joint Authority,</w:t>
      </w:r>
    </w:p>
    <w:p>
      <w:pPr>
        <w:pStyle w:val="Indenta"/>
      </w:pPr>
      <w:r>
        <w:tab/>
      </w:r>
      <w:r>
        <w:tab/>
        <w:t>or, in the absence of agreement, may be determined by the Supreme Court on the application of that licensee, the Minister or the Joint Authority.</w:t>
      </w:r>
    </w:p>
    <w:p>
      <w:pPr>
        <w:pStyle w:val="Subsection"/>
      </w:pPr>
      <w:r>
        <w:tab/>
        <w:t>(7)</w:t>
      </w:r>
      <w:r>
        <w:tab/>
        <w:t xml:space="preserve">In subsection (6) — </w:t>
      </w:r>
    </w:p>
    <w:p>
      <w:pPr>
        <w:pStyle w:val="Defstart"/>
      </w:pPr>
      <w:r>
        <w:tab/>
      </w:r>
      <w:r>
        <w:rPr>
          <w:rStyle w:val="CharDefText"/>
        </w:rPr>
        <w:t>Joint Authority</w:t>
      </w:r>
      <w:r>
        <w:t xml:space="preserve"> has the meaning given in the Commonwealth Act section 7.</w:t>
      </w:r>
    </w:p>
    <w:p>
      <w:pPr>
        <w:pStyle w:val="Subsection"/>
      </w:pPr>
      <w:r>
        <w:tab/>
        <w:t>(8)</w:t>
      </w:r>
      <w:r>
        <w:tab/>
        <w:t xml:space="preserve">If — </w:t>
      </w:r>
    </w:p>
    <w:p>
      <w:pPr>
        <w:pStyle w:val="Indenta"/>
      </w:pPr>
      <w:r>
        <w:tab/>
        <w:t>(a)</w:t>
      </w:r>
      <w:r>
        <w:tab/>
        <w:t xml:space="preserve">an agreement is in force to explore for, or recover, petroleum between — </w:t>
      </w:r>
    </w:p>
    <w:p>
      <w:pPr>
        <w:pStyle w:val="Indenti"/>
      </w:pPr>
      <w:r>
        <w:tab/>
        <w:t>(i)</w:t>
      </w:r>
      <w:r>
        <w:tab/>
        <w:t xml:space="preserve">a licensee, the Minister and, if the other written law mentioned in this subparagraph is administered by a Minister of the Crown other than the Minister, that Minister of the Crown in relation to a petroleum pool that is partly in the licence area and partly in another area (the </w:t>
      </w:r>
      <w:r>
        <w:rPr>
          <w:rStyle w:val="CharDefText"/>
        </w:rPr>
        <w:t>other area</w:t>
      </w:r>
      <w:r>
        <w:t>) in which the licensee has authority under another written law; or</w:t>
      </w:r>
    </w:p>
    <w:p>
      <w:pPr>
        <w:pStyle w:val="Indenti"/>
      </w:pPr>
      <w:r>
        <w:tab/>
        <w:t>(ii)</w:t>
      </w:r>
      <w:r>
        <w:tab/>
        <w:t xml:space="preserve">a licensee, the Minister and the State Minister administering a law of another State in relation to a petroleum pool that is partly in the licence area and partly in another area (the </w:t>
      </w:r>
      <w:r>
        <w:rPr>
          <w:rStyle w:val="CharDefText"/>
        </w:rPr>
        <w:t>other area</w:t>
      </w:r>
      <w:r>
        <w:t>) in which the licensee has authority under the law of the other State; or</w:t>
      </w:r>
    </w:p>
    <w:p>
      <w:pPr>
        <w:pStyle w:val="Indenti"/>
      </w:pPr>
      <w:r>
        <w:tab/>
        <w:t>(iii)</w:t>
      </w:r>
      <w:r>
        <w:tab/>
        <w:t xml:space="preserve">a licensee, the Minister and the Joint Authority in relation to a petroleum pool that is partly in the licence area and partly in another area (the </w:t>
      </w:r>
      <w:r>
        <w:rPr>
          <w:rStyle w:val="CharDefText"/>
        </w:rPr>
        <w:t>other area</w:t>
      </w:r>
      <w:r>
        <w:t>) in which the licensee has authority under a law of the Commonwealth;</w:t>
      </w:r>
    </w:p>
    <w:p>
      <w:pPr>
        <w:pStyle w:val="Indenta"/>
      </w:pPr>
      <w:r>
        <w:tab/>
      </w:r>
      <w:r>
        <w:tab/>
        <w:t>and</w:t>
      </w:r>
    </w:p>
    <w:p>
      <w:pPr>
        <w:pStyle w:val="Indenta"/>
      </w:pPr>
      <w:r>
        <w:tab/>
        <w:t>(b)</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petroleum pool; and</w:t>
      </w:r>
    </w:p>
    <w:p>
      <w:pPr>
        <w:pStyle w:val="Indenta"/>
      </w:pPr>
      <w:r>
        <w:tab/>
        <w:t>(c)</w:t>
      </w:r>
      <w:r>
        <w:tab/>
        <w:t>assuming that petroleum were recovered from the part of the seabed that is within the areal and vertical extents specified in the agreement, the specified proportion would be consistent with such proportion of all petroleum so recovered as may reasonably be treated as being derived from the licence area, having regard to the nature and probable extent of the petroleum in that part of the seabed; and</w:t>
      </w:r>
    </w:p>
    <w:p>
      <w:pPr>
        <w:pStyle w:val="Indenta"/>
      </w:pPr>
      <w:r>
        <w:tab/>
        <w:t>(d)</w:t>
      </w:r>
      <w:r>
        <w:tab/>
        <w:t>the agreement contains a provision to the effect that if it becomes apparent that the areal and vertical extents of the petroleum pool, as specified in the agreement, comprise or are likely to comprise more than one petroleum pool, the apportionment set out in the apportionment provision will apply to the petroleum recovered from any or all of those petroleum pools, regardless of their location but within those areal and vertical extents; and</w:t>
      </w:r>
    </w:p>
    <w:p>
      <w:pPr>
        <w:pStyle w:val="Indenta"/>
      </w:pPr>
      <w:r>
        <w:tab/>
        <w:t>(e)</w:t>
      </w:r>
      <w:r>
        <w:tab/>
        <w:t>after the time of the making of the agreement, it becomes apparent that the areal and vertical extents of the petroleum pool, as specified in the agreement, comprise, or are likely to comprise, 2 or more petroleum pools; and</w:t>
      </w:r>
    </w:p>
    <w:p>
      <w:pPr>
        <w:pStyle w:val="Indenta"/>
      </w:pPr>
      <w:r>
        <w:tab/>
        <w:t>(f)</w:t>
      </w:r>
      <w:r>
        <w:tab/>
        <w:t>petroleum is recovered from any of those petroleum pools through a well or wells in the licence area, the other area or both,</w:t>
      </w:r>
    </w:p>
    <w:p>
      <w:pPr>
        <w:pStyle w:val="Subsection"/>
      </w:pPr>
      <w:r>
        <w:tab/>
      </w:r>
      <w:r>
        <w:tab/>
        <w:t xml:space="preserve">then — </w:t>
      </w:r>
    </w:p>
    <w:p>
      <w:pPr>
        <w:pStyle w:val="Indenta"/>
      </w:pPr>
      <w:r>
        <w:tab/>
        <w:t>(g)</w:t>
      </w:r>
      <w:r>
        <w:tab/>
        <w:t>for the purposes of this Act, there is taken to have been recovered in the licence area such proportion of all petroleum so recovered as is specified in the apportionment provision; and</w:t>
      </w:r>
    </w:p>
    <w:p>
      <w:pPr>
        <w:pStyle w:val="Indenta"/>
      </w:pPr>
      <w:r>
        <w:tab/>
        <w:t>(h)</w:t>
      </w:r>
      <w:r>
        <w:tab/>
        <w:t>subsection (5) does not apply to any of those petroleum pools.</w:t>
      </w:r>
    </w:p>
    <w:p>
      <w:pPr>
        <w:pStyle w:val="Subsection"/>
        <w:keepNext/>
        <w:keepLines/>
      </w:pPr>
      <w:r>
        <w:tab/>
        <w:t>(9)</w:t>
      </w:r>
      <w:r>
        <w:tab/>
        <w:t>The question of whether there is or was a petroleum pool covered by subsection (8)(a) is to be determined on the basis of information known at the time of the making of the relevant agreement referred to in that provision.</w:t>
      </w:r>
    </w:p>
    <w:p>
      <w:pPr>
        <w:pStyle w:val="Subsection"/>
      </w:pPr>
      <w:r>
        <w:tab/>
        <w:t>(10)</w:t>
      </w:r>
      <w:r>
        <w:tab/>
        <w:t>The question of whether subsection (8)(c) applies is to be determined on the basis of information known at the time of the commencement of the apportionment provision.</w:t>
      </w:r>
    </w:p>
    <w:p>
      <w:pPr>
        <w:pStyle w:val="Subsection"/>
      </w:pPr>
      <w:r>
        <w:tab/>
        <w:t>(11)</w:t>
      </w:r>
      <w:r>
        <w:tab/>
        <w:t>The location of any of the 2 or more petroleum pools mentioned in subsection (8)(e) is immaterial.</w:t>
      </w:r>
    </w:p>
    <w:p>
      <w:pPr>
        <w:pStyle w:val="Subsection"/>
      </w:pPr>
      <w:r>
        <w:tab/>
        <w:t>(12)</w:t>
      </w:r>
      <w:r>
        <w:tab/>
        <w:t xml:space="preserve">If  — </w:t>
      </w:r>
    </w:p>
    <w:p>
      <w:pPr>
        <w:pStyle w:val="Indenta"/>
      </w:pPr>
      <w:r>
        <w:tab/>
        <w:t>(a)</w:t>
      </w:r>
      <w:r>
        <w:tab/>
        <w:t xml:space="preserve">at a particular time after the commencement of this section, a petroleum pool is partly in a licence area and partly in another area (the </w:t>
      </w:r>
      <w:r>
        <w:rPr>
          <w:rStyle w:val="CharDefText"/>
        </w:rPr>
        <w:t>other area</w:t>
      </w:r>
      <w:r>
        <w:t>) in which the licensee has authority under another written law or a law of another State or the Commonwealth to explore for, or recover, petroleum; and</w:t>
      </w:r>
    </w:p>
    <w:p>
      <w:pPr>
        <w:pStyle w:val="Indenta"/>
      </w:pPr>
      <w:r>
        <w:tab/>
        <w:t>(b)</w:t>
      </w:r>
      <w:r>
        <w:tab/>
        <w:t xml:space="preserve">at that time, an agreement is made between — </w:t>
      </w:r>
    </w:p>
    <w:p>
      <w:pPr>
        <w:pStyle w:val="Indenti"/>
      </w:pPr>
      <w:r>
        <w:tab/>
        <w:t>(i)</w:t>
      </w:r>
      <w:r>
        <w:tab/>
        <w:t>if the licensee has authority under another written law — the licensee, the Minister and, if the other written law is administered by a Minister of the Crown other than the Minister, that Minister of the Crown; or</w:t>
      </w:r>
    </w:p>
    <w:p>
      <w:pPr>
        <w:pStyle w:val="Indenti"/>
      </w:pPr>
      <w:r>
        <w:tab/>
        <w:t>(ii)</w:t>
      </w:r>
      <w:r>
        <w:tab/>
        <w:t>if the licensee has authority under a law of another State — the licensee, the Minister and the State Minister administering the law of the other State; or</w:t>
      </w:r>
    </w:p>
    <w:p>
      <w:pPr>
        <w:pStyle w:val="Indenti"/>
      </w:pPr>
      <w:r>
        <w:tab/>
        <w:t>(iii)</w:t>
      </w:r>
      <w:r>
        <w:tab/>
        <w:t>if the licensee has authority under a law of the Commonwealth — the licensee, the Minister and the Joint Authority;</w:t>
      </w:r>
    </w:p>
    <w:p>
      <w:pPr>
        <w:pStyle w:val="Indenta"/>
      </w:pPr>
      <w:r>
        <w:tab/>
      </w:r>
      <w:r>
        <w:tab/>
        <w:t>and</w:t>
      </w:r>
    </w:p>
    <w:p>
      <w:pPr>
        <w:pStyle w:val="Indenta"/>
      </w:pPr>
      <w:r>
        <w:tab/>
        <w:t>(c)</w:t>
      </w:r>
      <w:r>
        <w:tab/>
        <w:t>the agreement specifies a part of the seabed by reference to its areal and vertical extents; and</w:t>
      </w:r>
    </w:p>
    <w:p>
      <w:pPr>
        <w:pStyle w:val="Indenta"/>
      </w:pPr>
      <w:r>
        <w:tab/>
        <w:t>(d)</w:t>
      </w:r>
      <w:r>
        <w:tab/>
        <w:t xml:space="preserve">the areal and vertical extents of the specified part consist of — </w:t>
      </w:r>
    </w:p>
    <w:p>
      <w:pPr>
        <w:pStyle w:val="Indenti"/>
      </w:pPr>
      <w:r>
        <w:tab/>
        <w:t>(i)</w:t>
      </w:r>
      <w:r>
        <w:tab/>
        <w:t>the whole or a part of the licence area; and</w:t>
      </w:r>
    </w:p>
    <w:p>
      <w:pPr>
        <w:pStyle w:val="Indenti"/>
      </w:pPr>
      <w:r>
        <w:tab/>
        <w:t>(ii)</w:t>
      </w:r>
      <w:r>
        <w:tab/>
        <w:t>the whole or a part of the other area;</w:t>
      </w:r>
    </w:p>
    <w:p>
      <w:pPr>
        <w:pStyle w:val="Indenta"/>
      </w:pPr>
      <w:r>
        <w:tab/>
      </w:r>
      <w:r>
        <w:tab/>
        <w:t>and</w:t>
      </w:r>
    </w:p>
    <w:p>
      <w:pPr>
        <w:pStyle w:val="Indenta"/>
      </w:pPr>
      <w:r>
        <w:tab/>
        <w:t>(e)</w:t>
      </w:r>
      <w:r>
        <w:tab/>
        <w:t>the areal and vertical extents of the specified part include the petroleum pool; and</w:t>
      </w:r>
    </w:p>
    <w:p>
      <w:pPr>
        <w:pStyle w:val="Indenta"/>
      </w:pPr>
      <w:r>
        <w:tab/>
        <w:t>(f)</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specified part; and</w:t>
      </w:r>
    </w:p>
    <w:p>
      <w:pPr>
        <w:pStyle w:val="Indenta"/>
      </w:pPr>
      <w:r>
        <w:tab/>
        <w:t>(g)</w:t>
      </w:r>
      <w:r>
        <w:tab/>
        <w:t>assuming that petroleum were recovered from the specified part, the specified proportion would be consistent with such proportion of all petroleum so recovered as may reasonably be treated as being derived from the licence area, having regard to the nature and probable extent of the petroleum in the specified part; and</w:t>
      </w:r>
    </w:p>
    <w:p>
      <w:pPr>
        <w:pStyle w:val="Indenta"/>
      </w:pPr>
      <w:r>
        <w:tab/>
        <w:t>(h)</w:t>
      </w:r>
      <w:r>
        <w:tab/>
        <w:t>petroleum is recovered from the specified part through a well or wells in the licence area, the other area or both,</w:t>
      </w:r>
    </w:p>
    <w:p>
      <w:pPr>
        <w:pStyle w:val="Subsection"/>
      </w:pPr>
      <w:r>
        <w:tab/>
      </w:r>
      <w:r>
        <w:tab/>
        <w:t xml:space="preserve">then — </w:t>
      </w:r>
    </w:p>
    <w:p>
      <w:pPr>
        <w:pStyle w:val="Indenta"/>
      </w:pPr>
      <w:r>
        <w:tab/>
        <w:t>(i)</w:t>
      </w:r>
      <w:r>
        <w:tab/>
        <w:t>for the purposes of this Act, there is taken to have been recovered in the licence area such proportion of all petroleum so recovered as is specified in the apportionment provision; and</w:t>
      </w:r>
    </w:p>
    <w:p>
      <w:pPr>
        <w:pStyle w:val="Indenta"/>
      </w:pPr>
      <w:r>
        <w:tab/>
        <w:t>(j)</w:t>
      </w:r>
      <w:r>
        <w:tab/>
        <w:t>subsection (5) does not apply to a petroleum pool located in the specified part.</w:t>
      </w:r>
    </w:p>
    <w:p>
      <w:pPr>
        <w:pStyle w:val="Subsection"/>
      </w:pPr>
      <w:r>
        <w:tab/>
        <w:t>(13)</w:t>
      </w:r>
      <w:r>
        <w:tab/>
        <w:t>The question of whether there is or was a petroleum pool covered by subsection (12)(a) at a particular time is to be determined on the basis of information known at that time.</w:t>
      </w:r>
    </w:p>
    <w:p>
      <w:pPr>
        <w:pStyle w:val="Subsection"/>
      </w:pPr>
      <w:r>
        <w:tab/>
        <w:t>(14)</w:t>
      </w:r>
      <w:r>
        <w:tab/>
        <w:t>The question of whether subsection (12)(g) applies is to be determined on the basis of information known at the time of the commencement of the apportionment provision.</w:t>
      </w:r>
    </w:p>
    <w:p>
      <w:pPr>
        <w:pStyle w:val="Subsection"/>
        <w:keepNext/>
      </w:pPr>
      <w:r>
        <w:tab/>
        <w:t>(15)</w:t>
      </w:r>
      <w:r>
        <w:tab/>
        <w:t xml:space="preserve">If — </w:t>
      </w:r>
    </w:p>
    <w:p>
      <w:pPr>
        <w:pStyle w:val="Indenta"/>
      </w:pPr>
      <w:r>
        <w:tab/>
        <w:t>(a)</w:t>
      </w:r>
      <w:r>
        <w:tab/>
        <w:t>a petroleum pool is partly in a licence area and partly in another area, whether in the State or not, in respect of which another person has authority, whether under this Act or another written law or under the law of another State or the Commonwealth, to explore for or recover petroleum; and</w:t>
      </w:r>
    </w:p>
    <w:p>
      <w:pPr>
        <w:pStyle w:val="Indenta"/>
      </w:pPr>
      <w:r>
        <w:tab/>
        <w:t>(b)</w:t>
      </w:r>
      <w:r>
        <w:tab/>
        <w:t>a unit development agreement in accordance with section 69 is in force between the licensee and that other person; and</w:t>
      </w:r>
    </w:p>
    <w:p>
      <w:pPr>
        <w:pStyle w:val="Indenta"/>
      </w:pPr>
      <w:r>
        <w:tab/>
        <w:t>(c)</w:t>
      </w:r>
      <w:r>
        <w:tab/>
        <w:t>petroleum is recovered from that pool through a well or wells in the licence area, the other area or both,</w:t>
      </w:r>
    </w:p>
    <w:p>
      <w:pPr>
        <w:pStyle w:val="Subsection"/>
      </w:pPr>
      <w:r>
        <w:tab/>
      </w:r>
      <w:r>
        <w:tab/>
        <w:t>there is taken to have been recovered in the licence area such proportion of all petroleum so recovered as is specified in, or determined in accordance with, the agreement referred to in paragraph (b).</w:t>
      </w:r>
    </w:p>
    <w:p>
      <w:pPr>
        <w:pStyle w:val="Subsection"/>
      </w:pPr>
      <w:r>
        <w:tab/>
        <w:t>(16)</w:t>
      </w:r>
      <w:r>
        <w:tab/>
        <w:t xml:space="preserve">In this section — </w:t>
      </w:r>
    </w:p>
    <w:p>
      <w:pPr>
        <w:pStyle w:val="Indenta"/>
      </w:pPr>
      <w:r>
        <w:tab/>
        <w:t>(a)</w:t>
      </w:r>
      <w:r>
        <w:tab/>
        <w:t>a reference to a petroleum production licence includes a reference to a petroleum exploration permit and a petroleum retention lease; and</w:t>
      </w:r>
    </w:p>
    <w:p>
      <w:pPr>
        <w:pStyle w:val="Indenta"/>
      </w:pPr>
      <w:r>
        <w:tab/>
        <w:t>(b)</w:t>
      </w:r>
      <w:r>
        <w:tab/>
        <w:t>a reference to a licensee is a reference to the registered holder of a petroleum production licence and includes a reference to a petroleum permittee and a petroleum lessee; and</w:t>
      </w:r>
    </w:p>
    <w:p>
      <w:pPr>
        <w:pStyle w:val="Indenta"/>
      </w:pPr>
      <w:r>
        <w:tab/>
        <w:t>(c)</w:t>
      </w:r>
      <w:r>
        <w:tab/>
        <w:t>a reference to a licence area is a reference to the area constituted by the blocks that are the subject of a petroleum production licence and includes a reference to a petroleum permit area and a petroleum lease area; and</w:t>
      </w:r>
    </w:p>
    <w:p>
      <w:pPr>
        <w:pStyle w:val="Indenta"/>
      </w:pPr>
      <w:r>
        <w:tab/>
        <w:t>(d)</w:t>
      </w:r>
      <w:r>
        <w:tab/>
        <w:t>a reference to a State includes a reference to the Northern Territory; and</w:t>
      </w:r>
    </w:p>
    <w:p>
      <w:pPr>
        <w:pStyle w:val="Indenta"/>
      </w:pPr>
      <w:r>
        <w:tab/>
        <w:t>(e)</w:t>
      </w:r>
      <w:r>
        <w:tab/>
        <w:t>a reference to the Supreme Court is a reference to the Supreme Court of the State, or of one of the States, in which the petroleum pool is wholly or partly situated.</w:t>
      </w:r>
    </w:p>
    <w:p>
      <w:pPr>
        <w:pStyle w:val="Footnotesection"/>
        <w:spacing w:before="80"/>
        <w:ind w:left="890" w:hanging="890"/>
      </w:pPr>
      <w:r>
        <w:tab/>
        <w:t>[Section 7B inserted: No. 7 of 2017 s. 7.]</w:t>
      </w:r>
    </w:p>
    <w:p>
      <w:pPr>
        <w:pStyle w:val="Heading5"/>
        <w:spacing w:before="180"/>
      </w:pPr>
      <w:bookmarkStart w:id="82" w:name="_Toc98946844"/>
      <w:bookmarkStart w:id="83" w:name="_Toc97630440"/>
      <w:r>
        <w:rPr>
          <w:rStyle w:val="CharSectno"/>
        </w:rPr>
        <w:t>8</w:t>
      </w:r>
      <w:r>
        <w:t>.</w:t>
      </w:r>
      <w:r>
        <w:tab/>
        <w:t>Position on Earth’s surface</w:t>
      </w:r>
      <w:bookmarkEnd w:id="82"/>
      <w:bookmarkEnd w:id="83"/>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 or</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No. 54 of 2000 s. 7(2); amended: No. 13 of 2005 s. 16(1).]</w:t>
      </w:r>
    </w:p>
    <w:p>
      <w:pPr>
        <w:pStyle w:val="Heading5"/>
        <w:rPr>
          <w:snapToGrid w:val="0"/>
        </w:rPr>
      </w:pPr>
      <w:bookmarkStart w:id="84" w:name="_Toc98946845"/>
      <w:bookmarkStart w:id="85" w:name="_Toc97630441"/>
      <w:r>
        <w:rPr>
          <w:rStyle w:val="CharSectno"/>
        </w:rPr>
        <w:t>9</w:t>
      </w:r>
      <w:r>
        <w:rPr>
          <w:snapToGrid w:val="0"/>
        </w:rPr>
        <w:t>.</w:t>
      </w:r>
      <w:r>
        <w:rPr>
          <w:snapToGrid w:val="0"/>
        </w:rPr>
        <w:tab/>
        <w:t>Petroleum, geothermal energy resources and geothermal energy declared to be property of Crown</w:t>
      </w:r>
      <w:bookmarkEnd w:id="84"/>
      <w:bookmarkEnd w:id="85"/>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r>
        <w:tab/>
        <w:t>[Section 9 amended: No. 35 of 2007 s. 9.]</w:t>
      </w:r>
    </w:p>
    <w:p>
      <w:pPr>
        <w:pStyle w:val="Heading5"/>
        <w:rPr>
          <w:snapToGrid w:val="0"/>
        </w:rPr>
      </w:pPr>
      <w:bookmarkStart w:id="86" w:name="_Toc98946846"/>
      <w:bookmarkStart w:id="87" w:name="_Toc97630442"/>
      <w:r>
        <w:rPr>
          <w:rStyle w:val="CharSectno"/>
        </w:rPr>
        <w:t>10</w:t>
      </w:r>
      <w:r>
        <w:rPr>
          <w:snapToGrid w:val="0"/>
        </w:rPr>
        <w:t>.</w:t>
      </w:r>
      <w:r>
        <w:rPr>
          <w:snapToGrid w:val="0"/>
        </w:rPr>
        <w:tab/>
        <w:t>Reservations in Crown grants and leases</w:t>
      </w:r>
      <w:bookmarkEnd w:id="86"/>
      <w:bookmarkEnd w:id="87"/>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No. 31 of 1997 s. 76(1); No. 35 of 2007 s. 10.]</w:t>
      </w:r>
    </w:p>
    <w:p>
      <w:pPr>
        <w:pStyle w:val="Heading5"/>
        <w:spacing w:before="180"/>
        <w:rPr>
          <w:snapToGrid w:val="0"/>
        </w:rPr>
      </w:pPr>
      <w:bookmarkStart w:id="88" w:name="_Toc98946847"/>
      <w:bookmarkStart w:id="89" w:name="_Toc97630443"/>
      <w:r>
        <w:rPr>
          <w:rStyle w:val="CharSectno"/>
        </w:rPr>
        <w:t>11</w:t>
      </w:r>
      <w:r>
        <w:rPr>
          <w:snapToGrid w:val="0"/>
        </w:rPr>
        <w:t>.</w:t>
      </w:r>
      <w:r>
        <w:rPr>
          <w:snapToGrid w:val="0"/>
        </w:rPr>
        <w:tab/>
        <w:t>Minister may search for petroleum</w:t>
      </w:r>
      <w:r>
        <w:t xml:space="preserve"> or geothermal energy resources</w:t>
      </w:r>
      <w:bookmarkEnd w:id="88"/>
      <w:bookmarkEnd w:id="89"/>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No. 31 of 1997 s. 76(2); No. 35 of 2007 s. 11.]</w:t>
      </w:r>
    </w:p>
    <w:p>
      <w:pPr>
        <w:pStyle w:val="Heading5"/>
      </w:pPr>
      <w:bookmarkStart w:id="90" w:name="_Toc98946848"/>
      <w:bookmarkStart w:id="91" w:name="_Toc97630444"/>
      <w:r>
        <w:rPr>
          <w:rStyle w:val="CharSectno"/>
        </w:rPr>
        <w:t>11A</w:t>
      </w:r>
      <w:r>
        <w:t>.</w:t>
      </w:r>
      <w:r>
        <w:tab/>
        <w:t>Property rights in recovered petroleum and geothermal energy</w:t>
      </w:r>
      <w:bookmarkEnd w:id="90"/>
      <w:bookmarkEnd w:id="91"/>
    </w:p>
    <w:p>
      <w:pPr>
        <w:pStyle w:val="Subsection"/>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No. 35 of 2007 s. 12(1).]</w:t>
      </w:r>
    </w:p>
    <w:p>
      <w:pPr>
        <w:pStyle w:val="Heading5"/>
        <w:rPr>
          <w:snapToGrid w:val="0"/>
        </w:rPr>
      </w:pPr>
      <w:bookmarkStart w:id="92" w:name="_Toc98946849"/>
      <w:bookmarkStart w:id="93" w:name="_Toc97630445"/>
      <w:r>
        <w:rPr>
          <w:rStyle w:val="CharSectno"/>
        </w:rPr>
        <w:t>12</w:t>
      </w:r>
      <w:r>
        <w:rPr>
          <w:snapToGrid w:val="0"/>
        </w:rPr>
        <w:t>.</w:t>
      </w:r>
      <w:r>
        <w:rPr>
          <w:snapToGrid w:val="0"/>
        </w:rPr>
        <w:tab/>
        <w:t>Land may be resumed</w:t>
      </w:r>
      <w:bookmarkEnd w:id="92"/>
      <w:bookmarkEnd w:id="93"/>
    </w:p>
    <w:p>
      <w:pPr>
        <w:pStyle w:val="Subsection"/>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No. 31 of 1997 s. 76(3)</w:t>
      </w:r>
      <w:r>
        <w:noBreakHyphen/>
        <w:t>(5), 142 and 143; No. 55 of 2004 s. 916.]</w:t>
      </w:r>
    </w:p>
    <w:p>
      <w:pPr>
        <w:pStyle w:val="Heading5"/>
        <w:rPr>
          <w:snapToGrid w:val="0"/>
        </w:rPr>
      </w:pPr>
      <w:bookmarkStart w:id="94" w:name="_Toc98946850"/>
      <w:bookmarkStart w:id="95" w:name="_Toc97630446"/>
      <w:r>
        <w:rPr>
          <w:rStyle w:val="CharSectno"/>
        </w:rPr>
        <w:t>13</w:t>
      </w:r>
      <w:r>
        <w:rPr>
          <w:snapToGrid w:val="0"/>
        </w:rPr>
        <w:t>.</w:t>
      </w:r>
      <w:r>
        <w:rPr>
          <w:snapToGrid w:val="0"/>
        </w:rPr>
        <w:tab/>
        <w:t>Governor to have right of pre</w:t>
      </w:r>
      <w:r>
        <w:rPr>
          <w:snapToGrid w:val="0"/>
        </w:rPr>
        <w:noBreakHyphen/>
        <w:t>emption of petroleum in emergency</w:t>
      </w:r>
      <w:bookmarkEnd w:id="94"/>
      <w:bookmarkEnd w:id="95"/>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emption conferred by subsection (1) shall, failing mutual agreement between the Minister and the vendor, be determined by arbitration under the provisions of the</w:t>
      </w:r>
      <w:r>
        <w:rPr>
          <w:i/>
        </w:rPr>
        <w:t xml:space="preserve"> Commercial Arbitration Act 2012</w:t>
      </w:r>
      <w:r>
        <w:rPr>
          <w:snapToGrid w:val="0"/>
        </w:rPr>
        <w:t>.</w:t>
      </w:r>
    </w:p>
    <w:p>
      <w:pPr>
        <w:pStyle w:val="Footnotesection"/>
      </w:pPr>
      <w:r>
        <w:tab/>
        <w:t>[Section 13 amended: No. 12 of 1990 s. 8; No. 42 of 2010 s. 62(15); No. 23 of 2012 s. 45.]</w:t>
      </w:r>
    </w:p>
    <w:p>
      <w:pPr>
        <w:pStyle w:val="Heading5"/>
        <w:rPr>
          <w:snapToGrid w:val="0"/>
        </w:rPr>
      </w:pPr>
      <w:bookmarkStart w:id="96" w:name="_Toc98946851"/>
      <w:bookmarkStart w:id="97" w:name="_Toc97630447"/>
      <w:r>
        <w:rPr>
          <w:rStyle w:val="CharSectno"/>
        </w:rPr>
        <w:t>14</w:t>
      </w:r>
      <w:r>
        <w:rPr>
          <w:snapToGrid w:val="0"/>
        </w:rPr>
        <w:t>.</w:t>
      </w:r>
      <w:r>
        <w:rPr>
          <w:snapToGrid w:val="0"/>
        </w:rPr>
        <w:tab/>
        <w:t>Land comprised in permit, drilling reservation, lease or licence may be entered for certain purposes</w:t>
      </w:r>
      <w:bookmarkEnd w:id="96"/>
      <w:bookmarkEnd w:id="97"/>
    </w:p>
    <w:p>
      <w:pPr>
        <w:pStyle w:val="Subsection"/>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 and</w:t>
      </w:r>
    </w:p>
    <w:p>
      <w:pPr>
        <w:pStyle w:val="Indenta"/>
        <w:rPr>
          <w:snapToGrid w:val="0"/>
        </w:rPr>
      </w:pPr>
      <w:r>
        <w:rPr>
          <w:snapToGrid w:val="0"/>
        </w:rPr>
        <w:tab/>
        <w:t>(b)</w:t>
      </w:r>
      <w:r>
        <w:rPr>
          <w:snapToGrid w:val="0"/>
        </w:rPr>
        <w:tab/>
        <w:t>make or construct any tramways thereon, and from time to time repair, alter, or remove the same; and</w:t>
      </w:r>
    </w:p>
    <w:p>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 and</w:t>
      </w:r>
    </w:p>
    <w:p>
      <w:pPr>
        <w:pStyle w:val="Indenta"/>
        <w:rPr>
          <w:snapToGrid w:val="0"/>
        </w:rPr>
      </w:pPr>
      <w:r>
        <w:rPr>
          <w:snapToGrid w:val="0"/>
        </w:rPr>
        <w:tab/>
        <w:t>(d)</w:t>
      </w:r>
      <w:r>
        <w:rPr>
          <w:snapToGrid w:val="0"/>
        </w:rPr>
        <w:tab/>
        <w:t>any act or thing for or relating to a public purpose or the exercise of any right granted pursuant to law; and</w:t>
      </w:r>
    </w:p>
    <w:p>
      <w:pPr>
        <w:pStyle w:val="Indenta"/>
        <w:rPr>
          <w:snapToGrid w:val="0"/>
        </w:rPr>
      </w:pPr>
      <w:r>
        <w:rPr>
          <w:snapToGrid w:val="0"/>
        </w:rPr>
        <w:tab/>
        <w:t>(e)</w:t>
      </w:r>
      <w:r>
        <w:rPr>
          <w:snapToGrid w:val="0"/>
        </w:rPr>
        <w:tab/>
        <w:t>for carrying out any of the said purposes, break or otherwise disturb the surface and soil of such land.</w:t>
      </w:r>
    </w:p>
    <w:p>
      <w:pPr>
        <w:pStyle w:val="Subsection"/>
        <w:spacing w:before="120"/>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spacing w:before="120"/>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r>
        <w:t xml:space="preserve">Magistrates Court at the place </w:t>
      </w:r>
      <w:r>
        <w:rPr>
          <w:snapToGrid w:val="0"/>
        </w:rPr>
        <w:t>nearest to the place at which the land is situated in the prescribed manner to fix the amount of compensation to be paid.</w:t>
      </w:r>
    </w:p>
    <w:p>
      <w:pPr>
        <w:pStyle w:val="Footnotesection"/>
        <w:spacing w:before="80"/>
        <w:ind w:left="890" w:hanging="890"/>
      </w:pPr>
      <w:r>
        <w:tab/>
        <w:t>[Section 14 amended: No. 12 of 1990 s. 9; No. 78 of 1990 s. 7; No. 59 of 2004 s. 141.]</w:t>
      </w:r>
    </w:p>
    <w:p>
      <w:pPr>
        <w:pStyle w:val="Heading5"/>
        <w:spacing w:before="180"/>
        <w:rPr>
          <w:snapToGrid w:val="0"/>
        </w:rPr>
      </w:pPr>
      <w:bookmarkStart w:id="98" w:name="_Toc98946852"/>
      <w:bookmarkStart w:id="99" w:name="_Toc97630448"/>
      <w:r>
        <w:rPr>
          <w:rStyle w:val="CharSectno"/>
        </w:rPr>
        <w:t>15</w:t>
      </w:r>
      <w:r>
        <w:rPr>
          <w:snapToGrid w:val="0"/>
        </w:rPr>
        <w:t>.</w:t>
      </w:r>
      <w:r>
        <w:rPr>
          <w:snapToGrid w:val="0"/>
        </w:rPr>
        <w:tab/>
        <w:t>Authority conferred by permit, drilling reservation, lease or licence</w:t>
      </w:r>
      <w:bookmarkEnd w:id="98"/>
      <w:bookmarkEnd w:id="99"/>
    </w:p>
    <w:p>
      <w:pPr>
        <w:pStyle w:val="Subsection"/>
        <w:spacing w:before="120"/>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spacing w:before="80"/>
      </w:pPr>
      <w:r>
        <w:tab/>
        <w:t>[(2)</w:t>
      </w:r>
      <w:r>
        <w:tab/>
        <w:t>deleted]</w:t>
      </w:r>
    </w:p>
    <w:p>
      <w:pPr>
        <w:pStyle w:val="Footnotesection"/>
        <w:spacing w:before="80"/>
        <w:ind w:left="890" w:hanging="890"/>
      </w:pPr>
      <w:r>
        <w:tab/>
        <w:t>[Section 15 amended: No. 12 of 1990 s. 10; No. 78 of 1990 s. 7; No. 31 of 1997 s. 141; No. 17 of 1999 s. 22(1) and (2).]</w:t>
      </w:r>
    </w:p>
    <w:p>
      <w:pPr>
        <w:pStyle w:val="Heading5"/>
        <w:spacing w:before="180"/>
        <w:rPr>
          <w:snapToGrid w:val="0"/>
        </w:rPr>
      </w:pPr>
      <w:bookmarkStart w:id="100" w:name="_Toc98946853"/>
      <w:bookmarkStart w:id="101" w:name="_Toc97630449"/>
      <w:r>
        <w:rPr>
          <w:rStyle w:val="CharSectno"/>
        </w:rPr>
        <w:t>15A</w:t>
      </w:r>
      <w:r>
        <w:rPr>
          <w:snapToGrid w:val="0"/>
        </w:rPr>
        <w:t>.</w:t>
      </w:r>
      <w:r>
        <w:rPr>
          <w:snapToGrid w:val="0"/>
        </w:rPr>
        <w:tab/>
        <w:t>Consent of Minister required for entry on reserves for purposes of exploration etc.</w:t>
      </w:r>
      <w:bookmarkEnd w:id="100"/>
      <w:bookmarkEnd w:id="101"/>
    </w:p>
    <w:p>
      <w:pPr>
        <w:pStyle w:val="Subsection"/>
        <w:spacing w:before="120"/>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spacing w:before="60"/>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No. 17 of 1999 s. 23(1); amended: No. 35 of 2007 s. 13.]</w:t>
      </w:r>
    </w:p>
    <w:p>
      <w:pPr>
        <w:pStyle w:val="Heading5"/>
        <w:spacing w:before="180"/>
        <w:rPr>
          <w:snapToGrid w:val="0"/>
        </w:rPr>
      </w:pPr>
      <w:bookmarkStart w:id="102" w:name="_Toc98946854"/>
      <w:bookmarkStart w:id="103" w:name="_Toc97630450"/>
      <w:r>
        <w:rPr>
          <w:rStyle w:val="CharSectno"/>
        </w:rPr>
        <w:t>16</w:t>
      </w:r>
      <w:r>
        <w:rPr>
          <w:snapToGrid w:val="0"/>
        </w:rPr>
        <w:t>.</w:t>
      </w:r>
      <w:r>
        <w:rPr>
          <w:snapToGrid w:val="0"/>
        </w:rPr>
        <w:tab/>
        <w:t>Consent of owner or trustees required in certain cases for exploration etc.</w:t>
      </w:r>
      <w:bookmarkEnd w:id="102"/>
      <w:bookmarkEnd w:id="103"/>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m</w:t>
      </w:r>
      <w:r>
        <w:rPr>
          <w:snapToGrid w:val="0"/>
          <w:vertAlign w:val="superscript"/>
        </w:rPr>
        <w:t>2</w:t>
      </w:r>
      <w:r>
        <w:rPr>
          <w:snapToGrid w:val="0"/>
        </w:rPr>
        <w:t xml:space="preserve"> in extent; or</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pPr>
        <w:pStyle w:val="Indenta"/>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No. 94 of 1972 s. 4; No. 12 of 1990 s. 11; No. 78 of 1990 s. 7; No. 73 of 1994 s. 4; No. 14 of 1996 s. 4; No. 17 of 1999 s. 24; No. 35 of 2007 s. 14.]</w:t>
      </w:r>
    </w:p>
    <w:p>
      <w:pPr>
        <w:pStyle w:val="Heading5"/>
        <w:rPr>
          <w:snapToGrid w:val="0"/>
        </w:rPr>
      </w:pPr>
      <w:bookmarkStart w:id="104" w:name="_Toc98946855"/>
      <w:bookmarkStart w:id="105" w:name="_Toc97630451"/>
      <w:r>
        <w:rPr>
          <w:rStyle w:val="CharSectno"/>
        </w:rPr>
        <w:t>17</w:t>
      </w:r>
      <w:r>
        <w:rPr>
          <w:snapToGrid w:val="0"/>
        </w:rPr>
        <w:t>.</w:t>
      </w:r>
      <w:r>
        <w:rPr>
          <w:snapToGrid w:val="0"/>
        </w:rPr>
        <w:tab/>
        <w:t>Compensation to owners and occupiers of private land</w:t>
      </w:r>
      <w:bookmarkEnd w:id="104"/>
      <w:bookmarkEnd w:id="105"/>
    </w:p>
    <w:p>
      <w:pPr>
        <w:pStyle w:val="Subsection"/>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rPr>
          <w:snapToGrid w:val="0"/>
        </w:rPr>
      </w:pPr>
      <w:r>
        <w:tab/>
        <w:t>(4)</w:t>
      </w:r>
      <w:r>
        <w:tab/>
        <w:t>If within such time as may be prescribed the parties are unable to agree upon the amount of compensation to be paid, either party may apply to the Magistrates Court at the place nearest to where the land is situated to fix the amount of compensation.</w:t>
      </w:r>
    </w:p>
    <w:p>
      <w:pPr>
        <w:pStyle w:val="Subsection"/>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No. 12 of 1990 s. 12; No. 78 of 1990 s. 7; No. 59 of 2004 s. 141; No. 35 of 2007 s. 15.]</w:t>
      </w:r>
    </w:p>
    <w:p>
      <w:pPr>
        <w:pStyle w:val="Heading5"/>
        <w:rPr>
          <w:snapToGrid w:val="0"/>
        </w:rPr>
      </w:pPr>
      <w:bookmarkStart w:id="106" w:name="_Toc98946856"/>
      <w:bookmarkStart w:id="107" w:name="_Toc97630452"/>
      <w:r>
        <w:rPr>
          <w:rStyle w:val="CharSectno"/>
        </w:rPr>
        <w:t>18</w:t>
      </w:r>
      <w:r>
        <w:rPr>
          <w:snapToGrid w:val="0"/>
        </w:rPr>
        <w:t>.</w:t>
      </w:r>
      <w:r>
        <w:rPr>
          <w:snapToGrid w:val="0"/>
        </w:rPr>
        <w:tab/>
        <w:t>Owner of private land in vicinity of permit area, drilling reservation, lease area or licence area may be entitled to compensation</w:t>
      </w:r>
      <w:bookmarkEnd w:id="106"/>
      <w:bookmarkEnd w:id="107"/>
    </w:p>
    <w:p>
      <w:pPr>
        <w:pStyle w:val="Subsection"/>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No. 12 of 1990 s. 13; No. 78 of 1990 s. 7.]</w:t>
      </w:r>
    </w:p>
    <w:p>
      <w:pPr>
        <w:pStyle w:val="Heading5"/>
        <w:rPr>
          <w:snapToGrid w:val="0"/>
        </w:rPr>
      </w:pPr>
      <w:bookmarkStart w:id="108" w:name="_Toc98946857"/>
      <w:bookmarkStart w:id="109" w:name="_Toc97630453"/>
      <w:r>
        <w:rPr>
          <w:rStyle w:val="CharSectno"/>
        </w:rPr>
        <w:t>19</w:t>
      </w:r>
      <w:r>
        <w:rPr>
          <w:snapToGrid w:val="0"/>
        </w:rPr>
        <w:t>.</w:t>
      </w:r>
      <w:r>
        <w:rPr>
          <w:snapToGrid w:val="0"/>
        </w:rPr>
        <w:tab/>
        <w:t>Compensation for further damage</w:t>
      </w:r>
      <w:bookmarkEnd w:id="108"/>
      <w:bookmarkEnd w:id="109"/>
    </w:p>
    <w:p>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ind w:left="890" w:hanging="890"/>
      </w:pPr>
      <w:r>
        <w:tab/>
        <w:t>[Section 19 amended: No. 12 of 1990 s. 14; No. 78 of 1990 s. 7.]</w:t>
      </w:r>
    </w:p>
    <w:p>
      <w:pPr>
        <w:pStyle w:val="Heading5"/>
        <w:rPr>
          <w:snapToGrid w:val="0"/>
        </w:rPr>
      </w:pPr>
      <w:bookmarkStart w:id="110" w:name="_Toc98946858"/>
      <w:bookmarkStart w:id="111" w:name="_Toc97630454"/>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110"/>
      <w:bookmarkEnd w:id="111"/>
    </w:p>
    <w:p>
      <w:pPr>
        <w:pStyle w:val="Subsection"/>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80"/>
        <w:ind w:left="890" w:hanging="890"/>
      </w:pPr>
      <w:r>
        <w:tab/>
        <w:t>[Section 20 amended: No. 12 of 1990 s. 15; No. 78 of 1990 s. 7.]</w:t>
      </w:r>
    </w:p>
    <w:p>
      <w:pPr>
        <w:pStyle w:val="Heading5"/>
        <w:spacing w:before="180"/>
        <w:rPr>
          <w:snapToGrid w:val="0"/>
        </w:rPr>
      </w:pPr>
      <w:bookmarkStart w:id="112" w:name="_Toc98946859"/>
      <w:bookmarkStart w:id="113" w:name="_Toc97630455"/>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112"/>
      <w:bookmarkEnd w:id="113"/>
    </w:p>
    <w:p>
      <w:pPr>
        <w:pStyle w:val="Subsection"/>
        <w:spacing w:before="120"/>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spacing w:before="60"/>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Indenta"/>
        <w:spacing w:before="60"/>
        <w:rPr>
          <w:snapToGrid w:val="0"/>
        </w:rPr>
      </w:pPr>
      <w:r>
        <w:rPr>
          <w:snapToGrid w:val="0"/>
        </w:rPr>
        <w:tab/>
        <w:t>(b)</w:t>
      </w:r>
      <w:r>
        <w:rPr>
          <w:snapToGrid w:val="0"/>
        </w:rPr>
        <w:tab/>
        <w:t>a lease for timber purposes; or</w:t>
      </w:r>
    </w:p>
    <w:p>
      <w:pPr>
        <w:pStyle w:val="Indenta"/>
        <w:spacing w:before="6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t xml:space="preserve">the </w:t>
      </w:r>
      <w:r>
        <w:rPr>
          <w:rStyle w:val="CharDefText"/>
        </w:rPr>
        <w:t>compensable lessee</w:t>
      </w:r>
      <w:r>
        <w:rPr>
          <w:snapToGrid w:val="0"/>
        </w:rPr>
        <w:t xml:space="preserve"> </w:t>
      </w:r>
      <w:r>
        <w:t xml:space="preserve">or a </w:t>
      </w:r>
      <w:r>
        <w:rPr>
          <w:rStyle w:val="CharDefText"/>
        </w:rPr>
        <w:t>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r>
        <w:t xml:space="preserve">Magistrates Court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ind w:left="890" w:hanging="890"/>
      </w:pPr>
      <w:r>
        <w:tab/>
        <w:t>[Section 21 amended: No. 12 of 1990 s. 16; No. 78 of 1990 s. 7; No. 31 of 1997 s. 141; No. 59 of 2004 s. 141.]</w:t>
      </w:r>
    </w:p>
    <w:p>
      <w:pPr>
        <w:pStyle w:val="Heading5"/>
        <w:rPr>
          <w:snapToGrid w:val="0"/>
        </w:rPr>
      </w:pPr>
      <w:bookmarkStart w:id="114" w:name="_Toc98946860"/>
      <w:bookmarkStart w:id="115" w:name="_Toc97630456"/>
      <w:r>
        <w:rPr>
          <w:rStyle w:val="CharSectno"/>
        </w:rPr>
        <w:t>22</w:t>
      </w:r>
      <w:r>
        <w:rPr>
          <w:snapToGrid w:val="0"/>
        </w:rPr>
        <w:t>.</w:t>
      </w:r>
      <w:r>
        <w:rPr>
          <w:snapToGrid w:val="0"/>
        </w:rPr>
        <w:tab/>
        <w:t>Determination of partial compensation</w:t>
      </w:r>
      <w:bookmarkEnd w:id="114"/>
      <w:bookmarkEnd w:id="115"/>
    </w:p>
    <w:p>
      <w:pPr>
        <w:pStyle w:val="Subsection"/>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ind w:left="890" w:hanging="890"/>
      </w:pPr>
      <w:r>
        <w:tab/>
        <w:t>[Section 22 amended: No. 12 of 1990 s. 17.]</w:t>
      </w:r>
    </w:p>
    <w:p>
      <w:pPr>
        <w:pStyle w:val="Heading5"/>
        <w:spacing w:before="200"/>
        <w:rPr>
          <w:snapToGrid w:val="0"/>
        </w:rPr>
      </w:pPr>
      <w:bookmarkStart w:id="116" w:name="_Toc98946861"/>
      <w:bookmarkStart w:id="117" w:name="_Toc97630457"/>
      <w:r>
        <w:rPr>
          <w:rStyle w:val="CharSectno"/>
        </w:rPr>
        <w:t>23</w:t>
      </w:r>
      <w:r>
        <w:rPr>
          <w:snapToGrid w:val="0"/>
        </w:rPr>
        <w:t>.</w:t>
      </w:r>
      <w:r>
        <w:rPr>
          <w:snapToGrid w:val="0"/>
        </w:rPr>
        <w:tab/>
        <w:t>Security for compensation</w:t>
      </w:r>
      <w:bookmarkEnd w:id="116"/>
      <w:bookmarkEnd w:id="117"/>
    </w:p>
    <w:p>
      <w:pPr>
        <w:pStyle w:val="Subsection"/>
        <w:spacing w:before="140"/>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rPr>
          <w:snapToGrid w:val="0"/>
        </w:rPr>
      </w:pPr>
      <w:bookmarkStart w:id="118" w:name="_Toc98946862"/>
      <w:bookmarkStart w:id="119" w:name="_Toc97630458"/>
      <w:r>
        <w:rPr>
          <w:rStyle w:val="CharSectno"/>
        </w:rPr>
        <w:t>24</w:t>
      </w:r>
      <w:r>
        <w:rPr>
          <w:snapToGrid w:val="0"/>
        </w:rPr>
        <w:t>.</w:t>
      </w:r>
      <w:r>
        <w:rPr>
          <w:snapToGrid w:val="0"/>
        </w:rPr>
        <w:tab/>
        <w:t>Matters for which compensation not payable</w:t>
      </w:r>
      <w:bookmarkEnd w:id="118"/>
      <w:bookmarkEnd w:id="119"/>
    </w:p>
    <w:p>
      <w:pPr>
        <w:pStyle w:val="Subsection"/>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rStyle w:val="CharDefText"/>
        </w:rPr>
        <w:t>affected lessee</w:t>
      </w:r>
      <w:r>
        <w:rPr>
          <w:snapToGrid w:val="0"/>
        </w:rPr>
        <w:t>) —</w:t>
      </w:r>
    </w:p>
    <w:p>
      <w:pPr>
        <w:pStyle w:val="Indenta"/>
        <w:rPr>
          <w:snapToGrid w:val="0"/>
        </w:rPr>
      </w:pPr>
      <w:r>
        <w:rPr>
          <w:snapToGrid w:val="0"/>
        </w:rPr>
        <w:tab/>
        <w:t>(a)</w:t>
      </w:r>
      <w:r>
        <w:rPr>
          <w:snapToGrid w:val="0"/>
        </w:rPr>
        <w:tab/>
        <w:t>for deprivation of the possession of the surface of the land or any part of the surface; and</w:t>
      </w:r>
    </w:p>
    <w:p>
      <w:pPr>
        <w:pStyle w:val="Indenta"/>
        <w:rPr>
          <w:snapToGrid w:val="0"/>
        </w:rPr>
      </w:pPr>
      <w:r>
        <w:rPr>
          <w:snapToGrid w:val="0"/>
        </w:rPr>
        <w:tab/>
        <w:t>(b)</w:t>
      </w:r>
      <w:r>
        <w:rPr>
          <w:snapToGrid w:val="0"/>
        </w:rPr>
        <w:tab/>
        <w:t>for damage to the surface of the land; and</w:t>
      </w:r>
    </w:p>
    <w:p>
      <w:pPr>
        <w:pStyle w:val="Indenta"/>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rPr>
          <w:snapToGrid w:val="0"/>
        </w:rPr>
      </w:pPr>
      <w:r>
        <w:rPr>
          <w:snapToGrid w:val="0"/>
        </w:rPr>
        <w:tab/>
        <w:t>(d)</w:t>
      </w:r>
      <w:r>
        <w:rPr>
          <w:snapToGrid w:val="0"/>
        </w:rPr>
        <w:tab/>
        <w:t>for surface rights of way and easements.</w:t>
      </w:r>
    </w:p>
    <w:p>
      <w:pPr>
        <w:pStyle w:val="Subsection"/>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ind w:left="890" w:hanging="890"/>
      </w:pPr>
      <w:r>
        <w:tab/>
        <w:t>[Section 24 amended: No. 12 of 1990 s. 18; No. 31 of 1997 s. 141; No. 35 of 2007 s. 16.]</w:t>
      </w:r>
    </w:p>
    <w:p>
      <w:pPr>
        <w:pStyle w:val="Heading5"/>
        <w:rPr>
          <w:snapToGrid w:val="0"/>
        </w:rPr>
      </w:pPr>
      <w:bookmarkStart w:id="120" w:name="_Toc98946863"/>
      <w:bookmarkStart w:id="121" w:name="_Toc97630459"/>
      <w:r>
        <w:rPr>
          <w:rStyle w:val="CharSectno"/>
        </w:rPr>
        <w:t>24A</w:t>
      </w:r>
      <w:r>
        <w:rPr>
          <w:snapToGrid w:val="0"/>
        </w:rPr>
        <w:t>.</w:t>
      </w:r>
      <w:r>
        <w:rPr>
          <w:snapToGrid w:val="0"/>
        </w:rPr>
        <w:tab/>
        <w:t>Liability for payment of compensation to native title holders</w:t>
      </w:r>
      <w:bookmarkEnd w:id="120"/>
      <w:bookmarkEnd w:id="121"/>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spacing w:before="60"/>
      </w:pPr>
      <w:r>
        <w:tab/>
      </w:r>
      <w:r>
        <w:rPr>
          <w:rStyle w:val="CharDefText"/>
        </w:rPr>
        <w:t>authorisation</w:t>
      </w:r>
      <w:r>
        <w:t xml:space="preserve"> means a permit, drilling reservation, lease, licence, special prospecting authority or access authority;</w:t>
      </w:r>
    </w:p>
    <w:p>
      <w:pPr>
        <w:pStyle w:val="Defstart"/>
        <w:spacing w:before="60"/>
      </w:pPr>
      <w:r>
        <w:tab/>
      </w:r>
      <w:r>
        <w:rPr>
          <w:rStyle w:val="CharDefText"/>
        </w:rPr>
        <w:t>native title holders</w:t>
      </w:r>
      <w:r>
        <w:t xml:space="preserve"> has the same meaning as in the </w:t>
      </w:r>
      <w:r>
        <w:rPr>
          <w:i/>
        </w:rPr>
        <w:t>Native Title Act 1993</w:t>
      </w:r>
      <w:r>
        <w:t xml:space="preserve"> of the Commonwealth.</w:t>
      </w:r>
    </w:p>
    <w:p>
      <w:pPr>
        <w:pStyle w:val="Footnotesection"/>
        <w:spacing w:before="80"/>
        <w:ind w:left="890" w:hanging="890"/>
      </w:pPr>
      <w:r>
        <w:tab/>
        <w:t>[Section 24A inserted: No. 61 of 1998 s. 17.]</w:t>
      </w:r>
    </w:p>
    <w:p>
      <w:pPr>
        <w:pStyle w:val="Heading5"/>
        <w:spacing w:before="180"/>
        <w:rPr>
          <w:snapToGrid w:val="0"/>
        </w:rPr>
      </w:pPr>
      <w:bookmarkStart w:id="122" w:name="_Toc98946864"/>
      <w:bookmarkStart w:id="123" w:name="_Toc97630460"/>
      <w:r>
        <w:rPr>
          <w:rStyle w:val="CharSectno"/>
        </w:rPr>
        <w:t>25</w:t>
      </w:r>
      <w:r>
        <w:rPr>
          <w:snapToGrid w:val="0"/>
        </w:rPr>
        <w:t>.</w:t>
      </w:r>
      <w:r>
        <w:rPr>
          <w:snapToGrid w:val="0"/>
        </w:rPr>
        <w:tab/>
        <w:t>Delegation</w:t>
      </w:r>
      <w:bookmarkEnd w:id="122"/>
      <w:bookmarkEnd w:id="123"/>
    </w:p>
    <w:p>
      <w:pPr>
        <w:pStyle w:val="Subsection"/>
        <w:spacing w:before="1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(except this power of delegation); and</w:t>
      </w:r>
    </w:p>
    <w:p>
      <w:pPr>
        <w:pStyle w:val="Indenta"/>
        <w:rPr>
          <w:snapToGrid w:val="0"/>
        </w:rPr>
      </w:pPr>
      <w:r>
        <w:rPr>
          <w:snapToGrid w:val="0"/>
        </w:rPr>
        <w:tab/>
        <w:t>(b)</w:t>
      </w:r>
      <w:r>
        <w:rPr>
          <w:snapToGrid w:val="0"/>
        </w:rPr>
        <w:tab/>
        <w:t>vary or revoke a delegation given by him.</w:t>
      </w:r>
    </w:p>
    <w:p>
      <w:pPr>
        <w:pStyle w:val="Subsection"/>
        <w:spacing w:before="120"/>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keepLines/>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spacing w:before="120"/>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spacing w:before="120"/>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Footnotesection"/>
        <w:spacing w:before="60"/>
        <w:ind w:left="890" w:hanging="890"/>
      </w:pPr>
      <w:r>
        <w:tab/>
        <w:t>[Section 25 amended: No. 13 of 2005 s. 16(1).]</w:t>
      </w:r>
    </w:p>
    <w:p>
      <w:pPr>
        <w:pStyle w:val="Heading2"/>
      </w:pPr>
      <w:bookmarkStart w:id="124" w:name="_Toc97629570"/>
      <w:bookmarkStart w:id="125" w:name="_Toc97629923"/>
      <w:bookmarkStart w:id="126" w:name="_Toc97630461"/>
      <w:bookmarkStart w:id="127" w:name="_Toc98748376"/>
      <w:bookmarkStart w:id="128" w:name="_Toc98766016"/>
      <w:bookmarkStart w:id="129" w:name="_Toc98834283"/>
      <w:bookmarkStart w:id="130" w:name="_Toc98946865"/>
      <w:r>
        <w:rPr>
          <w:rStyle w:val="CharPartNo"/>
        </w:rPr>
        <w:t>Part III</w:t>
      </w:r>
      <w:r>
        <w:rPr>
          <w:b w:val="0"/>
        </w:rPr>
        <w:t> </w:t>
      </w:r>
      <w:r>
        <w:t>—</w:t>
      </w:r>
      <w:r>
        <w:rPr>
          <w:b w:val="0"/>
        </w:rPr>
        <w:t> </w:t>
      </w:r>
      <w:r>
        <w:rPr>
          <w:rStyle w:val="CharPartText"/>
        </w:rPr>
        <w:t>Mining for petroleum, geothermal energy resources and geothermal energy</w:t>
      </w:r>
      <w:bookmarkEnd w:id="124"/>
      <w:bookmarkEnd w:id="125"/>
      <w:bookmarkEnd w:id="126"/>
      <w:bookmarkEnd w:id="127"/>
      <w:bookmarkEnd w:id="128"/>
      <w:bookmarkEnd w:id="129"/>
      <w:bookmarkEnd w:id="130"/>
    </w:p>
    <w:p>
      <w:pPr>
        <w:pStyle w:val="Footnoteheading"/>
      </w:pPr>
      <w:r>
        <w:tab/>
        <w:t>[Heading inserted: No. 35 of 2007 s. 17.]</w:t>
      </w:r>
    </w:p>
    <w:p>
      <w:pPr>
        <w:pStyle w:val="Heading3"/>
      </w:pPr>
      <w:bookmarkStart w:id="131" w:name="_Toc97629571"/>
      <w:bookmarkStart w:id="132" w:name="_Toc97629924"/>
      <w:bookmarkStart w:id="133" w:name="_Toc97630462"/>
      <w:bookmarkStart w:id="134" w:name="_Toc98748377"/>
      <w:bookmarkStart w:id="135" w:name="_Toc98766017"/>
      <w:bookmarkStart w:id="136" w:name="_Toc98834284"/>
      <w:bookmarkStart w:id="137" w:name="_Toc98946866"/>
      <w:r>
        <w:rPr>
          <w:rStyle w:val="CharDivNo"/>
        </w:rPr>
        <w:t>Division 1</w:t>
      </w:r>
      <w:r>
        <w:rPr>
          <w:snapToGrid w:val="0"/>
        </w:rPr>
        <w:t> — </w:t>
      </w:r>
      <w:r>
        <w:rPr>
          <w:rStyle w:val="CharDivText"/>
        </w:rPr>
        <w:t>Preliminary</w:t>
      </w:r>
      <w:bookmarkEnd w:id="131"/>
      <w:bookmarkEnd w:id="132"/>
      <w:bookmarkEnd w:id="133"/>
      <w:bookmarkEnd w:id="134"/>
      <w:bookmarkEnd w:id="135"/>
      <w:bookmarkEnd w:id="136"/>
      <w:bookmarkEnd w:id="137"/>
    </w:p>
    <w:p>
      <w:pPr>
        <w:pStyle w:val="Heading5"/>
        <w:spacing w:before="240"/>
        <w:rPr>
          <w:snapToGrid w:val="0"/>
        </w:rPr>
      </w:pPr>
      <w:bookmarkStart w:id="138" w:name="_Toc98946867"/>
      <w:bookmarkStart w:id="139" w:name="_Toc97630463"/>
      <w:r>
        <w:rPr>
          <w:rStyle w:val="CharSectno"/>
        </w:rPr>
        <w:t>26</w:t>
      </w:r>
      <w:r>
        <w:rPr>
          <w:snapToGrid w:val="0"/>
        </w:rPr>
        <w:t>.</w:t>
      </w:r>
      <w:r>
        <w:rPr>
          <w:snapToGrid w:val="0"/>
        </w:rPr>
        <w:tab/>
        <w:t>Term used: State</w:t>
      </w:r>
      <w:bookmarkEnd w:id="138"/>
      <w:bookmarkEnd w:id="139"/>
    </w:p>
    <w:p>
      <w:pPr>
        <w:pStyle w:val="Subsection"/>
        <w:rPr>
          <w:snapToGrid w:val="0"/>
        </w:rPr>
      </w:pPr>
      <w:r>
        <w:rPr>
          <w:snapToGrid w:val="0"/>
        </w:rPr>
        <w:tab/>
      </w:r>
      <w:r>
        <w:rPr>
          <w:snapToGrid w:val="0"/>
        </w:rPr>
        <w:tab/>
        <w:t>In this Part</w:t>
      </w:r>
      <w:r>
        <w:t xml:space="preserve"> the </w:t>
      </w:r>
      <w:r>
        <w:rPr>
          <w:rStyle w:val="CharDefText"/>
        </w:rPr>
        <w:t>State</w:t>
      </w:r>
      <w:r>
        <w:rPr>
          <w:snapToGrid w:val="0"/>
        </w:rPr>
        <w:t xml:space="preserve"> means all that part of the State of Western Australia that is not comprised in the </w:t>
      </w:r>
      <w:r>
        <w:rPr>
          <w:b/>
          <w:bCs/>
          <w:i/>
          <w:iCs/>
        </w:rPr>
        <w:t>adjacent area</w:t>
      </w:r>
      <w:r>
        <w:rPr>
          <w:snapToGrid w:val="0"/>
        </w:rPr>
        <w:t xml:space="preserve"> as defined in the </w:t>
      </w:r>
      <w:r>
        <w:rPr>
          <w:i/>
          <w:snapToGrid w:val="0"/>
        </w:rPr>
        <w:t>Petroleum (Submerged Lands) Act 1982</w:t>
      </w:r>
      <w:r>
        <w:rPr>
          <w:snapToGrid w:val="0"/>
        </w:rPr>
        <w:t>.</w:t>
      </w:r>
    </w:p>
    <w:p>
      <w:pPr>
        <w:pStyle w:val="Footnotesection"/>
      </w:pPr>
      <w:r>
        <w:tab/>
        <w:t>[Section 26 amended: No. 90 of 1987 s. 4.]</w:t>
      </w:r>
    </w:p>
    <w:p>
      <w:pPr>
        <w:pStyle w:val="Heading5"/>
        <w:rPr>
          <w:snapToGrid w:val="0"/>
        </w:rPr>
      </w:pPr>
      <w:bookmarkStart w:id="140" w:name="_Toc98946868"/>
      <w:bookmarkStart w:id="141" w:name="_Toc97630464"/>
      <w:r>
        <w:rPr>
          <w:rStyle w:val="CharSectno"/>
        </w:rPr>
        <w:t>27</w:t>
      </w:r>
      <w:r>
        <w:rPr>
          <w:snapToGrid w:val="0"/>
        </w:rPr>
        <w:t>.</w:t>
      </w:r>
      <w:r>
        <w:rPr>
          <w:snapToGrid w:val="0"/>
        </w:rPr>
        <w:tab/>
        <w:t>Graticulation of Earth’s surface and constitution of blocks</w:t>
      </w:r>
      <w:bookmarkEnd w:id="140"/>
      <w:bookmarkEnd w:id="141"/>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spacing w:before="180"/>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No. 54 of 2000 s. 7(3).]</w:t>
      </w:r>
    </w:p>
    <w:p>
      <w:pPr>
        <w:pStyle w:val="Heading5"/>
        <w:spacing w:before="240"/>
        <w:rPr>
          <w:snapToGrid w:val="0"/>
        </w:rPr>
      </w:pPr>
      <w:bookmarkStart w:id="142" w:name="_Toc98946869"/>
      <w:bookmarkStart w:id="143" w:name="_Toc97630465"/>
      <w:r>
        <w:rPr>
          <w:rStyle w:val="CharSectno"/>
        </w:rPr>
        <w:t>28</w:t>
      </w:r>
      <w:r>
        <w:rPr>
          <w:snapToGrid w:val="0"/>
        </w:rPr>
        <w:t>.</w:t>
      </w:r>
      <w:r>
        <w:rPr>
          <w:snapToGrid w:val="0"/>
        </w:rPr>
        <w:tab/>
        <w:t>Reservation of blocks</w:t>
      </w:r>
      <w:bookmarkEnd w:id="142"/>
      <w:bookmarkEnd w:id="143"/>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No. 12 of 1990 s. 19; No. 78 of 1990 s. 7; No. 35 of 2007 s. 18.]</w:t>
      </w:r>
    </w:p>
    <w:p>
      <w:pPr>
        <w:pStyle w:val="Heading5"/>
        <w:rPr>
          <w:snapToGrid w:val="0"/>
        </w:rPr>
      </w:pPr>
      <w:bookmarkStart w:id="144" w:name="_Toc98946870"/>
      <w:bookmarkStart w:id="145" w:name="_Toc97630466"/>
      <w:r>
        <w:rPr>
          <w:rStyle w:val="CharSectno"/>
        </w:rPr>
        <w:t>28A</w:t>
      </w:r>
      <w:r>
        <w:rPr>
          <w:snapToGrid w:val="0"/>
        </w:rPr>
        <w:t>.</w:t>
      </w:r>
      <w:r>
        <w:rPr>
          <w:snapToGrid w:val="0"/>
        </w:rPr>
        <w:tab/>
        <w:t>Issue of permits etc. in marine reserves</w:t>
      </w:r>
      <w:bookmarkEnd w:id="144"/>
      <w:bookmarkEnd w:id="145"/>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deleted]</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No. 5 of 1997 s. 43; amended: No. 17 of 1999 s. 22(3).]</w:t>
      </w:r>
    </w:p>
    <w:p>
      <w:pPr>
        <w:pStyle w:val="Heading3"/>
        <w:pageBreakBefore/>
        <w:spacing w:before="0"/>
      </w:pPr>
      <w:bookmarkStart w:id="146" w:name="_Toc97629576"/>
      <w:bookmarkStart w:id="147" w:name="_Toc97629929"/>
      <w:bookmarkStart w:id="148" w:name="_Toc97630467"/>
      <w:bookmarkStart w:id="149" w:name="_Toc98748382"/>
      <w:bookmarkStart w:id="150" w:name="_Toc98766022"/>
      <w:bookmarkStart w:id="151" w:name="_Toc98834289"/>
      <w:bookmarkStart w:id="152" w:name="_Toc98946871"/>
      <w:r>
        <w:rPr>
          <w:rStyle w:val="CharDivNo"/>
        </w:rPr>
        <w:t>Division 2</w:t>
      </w:r>
      <w:r>
        <w:rPr>
          <w:snapToGrid w:val="0"/>
        </w:rPr>
        <w:t> — </w:t>
      </w:r>
      <w:r>
        <w:rPr>
          <w:rStyle w:val="CharDivText"/>
        </w:rPr>
        <w:t>Permits and drilling reservations</w:t>
      </w:r>
      <w:bookmarkEnd w:id="146"/>
      <w:bookmarkEnd w:id="147"/>
      <w:bookmarkEnd w:id="148"/>
      <w:bookmarkEnd w:id="149"/>
      <w:bookmarkEnd w:id="150"/>
      <w:bookmarkEnd w:id="151"/>
      <w:bookmarkEnd w:id="152"/>
    </w:p>
    <w:p>
      <w:pPr>
        <w:pStyle w:val="Footnoteheading"/>
        <w:keepNext/>
      </w:pPr>
      <w:r>
        <w:tab/>
        <w:t>[Heading inserted: No. 78 of 1990 s. 5.]</w:t>
      </w:r>
    </w:p>
    <w:p>
      <w:pPr>
        <w:pStyle w:val="Heading5"/>
        <w:spacing w:before="180"/>
        <w:rPr>
          <w:snapToGrid w:val="0"/>
        </w:rPr>
      </w:pPr>
      <w:bookmarkStart w:id="153" w:name="_Toc98946872"/>
      <w:bookmarkStart w:id="154" w:name="_Toc97630468"/>
      <w:r>
        <w:rPr>
          <w:rStyle w:val="CharSectno"/>
        </w:rPr>
        <w:t>29</w:t>
      </w:r>
      <w:r>
        <w:rPr>
          <w:snapToGrid w:val="0"/>
        </w:rPr>
        <w:t>.</w:t>
      </w:r>
      <w:r>
        <w:rPr>
          <w:snapToGrid w:val="0"/>
        </w:rPr>
        <w:tab/>
        <w:t>Exploration for petroleum and</w:t>
      </w:r>
      <w:r>
        <w:t xml:space="preserve"> geothermal energy resources restricted</w:t>
      </w:r>
      <w:bookmarkEnd w:id="153"/>
      <w:bookmarkEnd w:id="154"/>
    </w:p>
    <w:p>
      <w:pPr>
        <w:pStyle w:val="Subsection"/>
        <w:spacing w:before="120"/>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a fine of $50 000 or imprisonment for 5 years, or both.</w:t>
      </w:r>
    </w:p>
    <w:p>
      <w:pPr>
        <w:pStyle w:val="Subsection"/>
      </w:pPr>
      <w:r>
        <w:tab/>
        <w:t>(3)</w:t>
      </w:r>
      <w:r>
        <w:tab/>
        <w:t xml:space="preserve">In this section — </w:t>
      </w:r>
    </w:p>
    <w:p>
      <w:pPr>
        <w:pStyle w:val="Defstart"/>
      </w:pPr>
      <w:r>
        <w:rPr>
          <w:b/>
        </w:rPr>
        <w:tab/>
      </w:r>
      <w:r>
        <w:rPr>
          <w:rStyle w:val="CharDefText"/>
        </w:rPr>
        <w:t>explore for</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No. 12 of 1990 s. 20; amended: No. 78 of 1990 s. 7; No. 28 of 1994 s. 6; No. 35 of 2007 s. 19; No. 42 of 2010 s. 62(15).]</w:t>
      </w:r>
    </w:p>
    <w:p>
      <w:pPr>
        <w:pStyle w:val="Heading5"/>
        <w:spacing w:before="180"/>
        <w:rPr>
          <w:snapToGrid w:val="0"/>
        </w:rPr>
      </w:pPr>
      <w:bookmarkStart w:id="155" w:name="_Toc98946873"/>
      <w:bookmarkStart w:id="156" w:name="_Toc97630469"/>
      <w:r>
        <w:rPr>
          <w:rStyle w:val="CharSectno"/>
        </w:rPr>
        <w:t>30</w:t>
      </w:r>
      <w:r>
        <w:rPr>
          <w:snapToGrid w:val="0"/>
        </w:rPr>
        <w:t>.</w:t>
      </w:r>
      <w:r>
        <w:rPr>
          <w:snapToGrid w:val="0"/>
        </w:rPr>
        <w:tab/>
        <w:t>Advertisement of blocks</w:t>
      </w:r>
      <w:bookmarkEnd w:id="155"/>
      <w:bookmarkEnd w:id="156"/>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ind w:left="890" w:hanging="890"/>
      </w:pPr>
      <w:r>
        <w:tab/>
        <w:t>[Section 30 amended: No. 12 of 1990 s. 21.]</w:t>
      </w:r>
    </w:p>
    <w:p>
      <w:pPr>
        <w:pStyle w:val="Heading5"/>
        <w:spacing w:before="180"/>
        <w:rPr>
          <w:snapToGrid w:val="0"/>
        </w:rPr>
      </w:pPr>
      <w:bookmarkStart w:id="157" w:name="_Toc98946874"/>
      <w:bookmarkStart w:id="158" w:name="_Toc97630470"/>
      <w:r>
        <w:rPr>
          <w:rStyle w:val="CharSectno"/>
        </w:rPr>
        <w:t>31</w:t>
      </w:r>
      <w:r>
        <w:rPr>
          <w:snapToGrid w:val="0"/>
        </w:rPr>
        <w:t>.</w:t>
      </w:r>
      <w:r>
        <w:rPr>
          <w:snapToGrid w:val="0"/>
        </w:rPr>
        <w:tab/>
        <w:t>Application for permit</w:t>
      </w:r>
      <w:bookmarkEnd w:id="157"/>
      <w:bookmarkEnd w:id="158"/>
    </w:p>
    <w:p>
      <w:pPr>
        <w:pStyle w:val="Subsection"/>
        <w:spacing w:before="120"/>
        <w:rPr>
          <w:snapToGrid w:val="0"/>
        </w:rPr>
      </w:pPr>
      <w:r>
        <w:rPr>
          <w:snapToGrid w:val="0"/>
        </w:rPr>
        <w:tab/>
        <w:t>(1)</w:t>
      </w:r>
      <w:r>
        <w:rPr>
          <w:snapToGrid w:val="0"/>
        </w:rPr>
        <w:tab/>
        <w:t>An application under section 30 or 105(3)(a)(ii) —</w:t>
      </w:r>
    </w:p>
    <w:p>
      <w:pPr>
        <w:pStyle w:val="Ednotepara"/>
        <w:spacing w:before="7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pPr>
      <w:r>
        <w:tab/>
        <w:t>(c)</w:t>
      </w:r>
      <w:r>
        <w:tab/>
        <w:t xml:space="preserve">shall be in respect of not more than — </w:t>
      </w:r>
    </w:p>
    <w:p>
      <w:pPr>
        <w:pStyle w:val="Indenti"/>
      </w:pPr>
      <w:r>
        <w:tab/>
        <w:t>(i)</w:t>
      </w:r>
      <w:r>
        <w:tab/>
        <w:t>400 blocks, if the application relates to the exploration for petroleum; or</w:t>
      </w:r>
    </w:p>
    <w:p>
      <w:pPr>
        <w:pStyle w:val="Indenti"/>
      </w:pPr>
      <w:r>
        <w:tab/>
        <w:t>(ii)</w:t>
      </w:r>
      <w:r>
        <w:tab/>
        <w:t>160 blocks, if the application relates to the exploration for geothermal energy resources;</w:t>
      </w:r>
    </w:p>
    <w:p>
      <w:pPr>
        <w:pStyle w:val="Indenta"/>
      </w:pPr>
      <w:r>
        <w:tab/>
      </w:r>
      <w:r>
        <w:tab/>
        <w:t>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keepNext/>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No. 69 of 1981 s. 34; No. 12 of 1990 s. 22; No. 28 of 1994 s. 7; No. 35 of 2007 s. 20; No. 42 of 2010 s. 6.]</w:t>
      </w:r>
    </w:p>
    <w:p>
      <w:pPr>
        <w:pStyle w:val="Heading5"/>
      </w:pPr>
      <w:bookmarkStart w:id="159" w:name="_Toc98946875"/>
      <w:bookmarkStart w:id="160" w:name="_Toc97630471"/>
      <w:r>
        <w:rPr>
          <w:rStyle w:val="CharSectno"/>
        </w:rPr>
        <w:t>32A</w:t>
      </w:r>
      <w:r>
        <w:t>.</w:t>
      </w:r>
      <w:r>
        <w:tab/>
        <w:t>More than one permit application for same block or blocks</w:t>
      </w:r>
      <w:bookmarkEnd w:id="159"/>
      <w:bookmarkEnd w:id="160"/>
    </w:p>
    <w:p>
      <w:pPr>
        <w:pStyle w:val="Subsection"/>
      </w:pPr>
      <w:r>
        <w:tab/>
        <w:t>(1)</w:t>
      </w:r>
      <w:r>
        <w:tab/>
        <w:t xml:space="preserve">This section applies if — </w:t>
      </w:r>
    </w:p>
    <w:p>
      <w:pPr>
        <w:pStyle w:val="Indenta"/>
      </w:pPr>
      <w:r>
        <w:tab/>
        <w:t>(a)</w:t>
      </w:r>
      <w:r>
        <w:tab/>
        <w:t>2 or more applications are made under section 30 for the grant of a petroleum exploration permit for the same block or blocks; or</w:t>
      </w:r>
    </w:p>
    <w:p>
      <w:pPr>
        <w:pStyle w:val="Indenta"/>
      </w:pPr>
      <w:r>
        <w:tab/>
        <w:t>(b)</w:t>
      </w:r>
      <w:r>
        <w:tab/>
        <w:t>2 or more applications are made under section 30 for the grant of a geothermal exploration permit for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permit.</w:t>
      </w:r>
    </w:p>
    <w:p>
      <w:pPr>
        <w:pStyle w:val="Footnotesection"/>
      </w:pPr>
      <w:r>
        <w:tab/>
        <w:t>[Section 32A inserted: No. 42 of 2010 s. 7.]</w:t>
      </w:r>
    </w:p>
    <w:p>
      <w:pPr>
        <w:pStyle w:val="Heading5"/>
        <w:rPr>
          <w:snapToGrid w:val="0"/>
        </w:rPr>
      </w:pPr>
      <w:bookmarkStart w:id="161" w:name="_Toc98946876"/>
      <w:bookmarkStart w:id="162" w:name="_Toc97630472"/>
      <w:r>
        <w:rPr>
          <w:rStyle w:val="CharSectno"/>
        </w:rPr>
        <w:t>32</w:t>
      </w:r>
      <w:r>
        <w:rPr>
          <w:snapToGrid w:val="0"/>
        </w:rPr>
        <w:t>.</w:t>
      </w:r>
      <w:r>
        <w:rPr>
          <w:snapToGrid w:val="0"/>
        </w:rPr>
        <w:tab/>
        <w:t>Grant or refusal of permit in relation to application</w:t>
      </w:r>
      <w:bookmarkEnd w:id="161"/>
      <w:bookmarkEnd w:id="162"/>
    </w:p>
    <w:p>
      <w:pPr>
        <w:pStyle w:val="Subsection"/>
      </w:pPr>
      <w:r>
        <w:tab/>
        <w:t>(1A)</w:t>
      </w:r>
      <w:r>
        <w:tab/>
        <w:t>In sections 32, 33A and 33B —</w:t>
      </w:r>
    </w:p>
    <w:p>
      <w:pPr>
        <w:pStyle w:val="Defstart"/>
      </w:pPr>
      <w:r>
        <w:rPr>
          <w:b/>
        </w:rPr>
        <w:tab/>
      </w:r>
      <w:r>
        <w:rPr>
          <w:rStyle w:val="CharDefText"/>
        </w:rPr>
        <w:t>permit application</w:t>
      </w:r>
      <w:r>
        <w:t xml:space="preserve"> means an application for the grant of a permit made under section 30 or 105(3)(a)(ii).</w:t>
      </w:r>
    </w:p>
    <w:p>
      <w:pPr>
        <w:pStyle w:val="Subsection"/>
        <w:rPr>
          <w:snapToGrid w:val="0"/>
        </w:rPr>
      </w:pPr>
      <w:r>
        <w:rPr>
          <w:snapToGrid w:val="0"/>
        </w:rPr>
        <w:tab/>
        <w:t>(1)</w:t>
      </w:r>
      <w:r>
        <w:rPr>
          <w:snapToGrid w:val="0"/>
        </w:rPr>
        <w:tab/>
        <w:t xml:space="preserve">Where </w:t>
      </w:r>
      <w:r>
        <w:t xml:space="preserve">a permit application has been made, </w:t>
      </w:r>
      <w:r>
        <w:rPr>
          <w:snapToGrid w:val="0"/>
        </w:rPr>
        <w:t>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No. 28 of 1994 s. 8; No. 35 of 2007 s. 21; No. 42 of 2010 s. 8.]</w:t>
      </w:r>
    </w:p>
    <w:p>
      <w:pPr>
        <w:pStyle w:val="Heading5"/>
      </w:pPr>
      <w:bookmarkStart w:id="163" w:name="_Toc98946877"/>
      <w:bookmarkStart w:id="164" w:name="_Toc97630473"/>
      <w:r>
        <w:rPr>
          <w:rStyle w:val="CharSectno"/>
        </w:rPr>
        <w:t>33A</w:t>
      </w:r>
      <w:r>
        <w:t>.</w:t>
      </w:r>
      <w:r>
        <w:tab/>
        <w:t>Withdrawal of application</w:t>
      </w:r>
      <w:bookmarkEnd w:id="163"/>
      <w:bookmarkEnd w:id="164"/>
    </w:p>
    <w:p>
      <w:pPr>
        <w:pStyle w:val="Subsection"/>
      </w:pPr>
      <w:r>
        <w:tab/>
      </w:r>
      <w:r>
        <w:tab/>
        <w:t>The person who has made, or all the persons who have jointly made, a permit application may, by written notice served on the Minister, withdraw the application at any time before the permit is granted.</w:t>
      </w:r>
    </w:p>
    <w:p>
      <w:pPr>
        <w:pStyle w:val="Footnotesection"/>
      </w:pPr>
      <w:r>
        <w:tab/>
        <w:t>[Section 33A inserted: No. 42 of 2010 s. 9.]</w:t>
      </w:r>
    </w:p>
    <w:p>
      <w:pPr>
        <w:pStyle w:val="Heading5"/>
      </w:pPr>
      <w:bookmarkStart w:id="165" w:name="_Toc98946878"/>
      <w:bookmarkStart w:id="166" w:name="_Toc97630474"/>
      <w:r>
        <w:rPr>
          <w:rStyle w:val="CharSectno"/>
        </w:rPr>
        <w:t>33B</w:t>
      </w:r>
      <w:r>
        <w:t>.</w:t>
      </w:r>
      <w:r>
        <w:tab/>
        <w:t>Application continued after withdrawal of joint applicant</w:t>
      </w:r>
      <w:bookmarkEnd w:id="165"/>
      <w:bookmarkEnd w:id="166"/>
    </w:p>
    <w:p>
      <w:pPr>
        <w:pStyle w:val="Subsection"/>
        <w:keepNext/>
      </w:pPr>
      <w:r>
        <w:tab/>
      </w:r>
      <w:r>
        <w:tab/>
        <w:t xml:space="preserve">If — </w:t>
      </w:r>
    </w:p>
    <w:p>
      <w:pPr>
        <w:pStyle w:val="Indenta"/>
      </w:pPr>
      <w:r>
        <w:tab/>
        <w:t>(a)</w:t>
      </w:r>
      <w:r>
        <w:tab/>
        <w:t>a permit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permit in respect of the block or blocks to which the application relates, the Minister is taken not to have informed the applicants to that effect.</w:t>
      </w:r>
    </w:p>
    <w:p>
      <w:pPr>
        <w:pStyle w:val="Footnotesection"/>
      </w:pPr>
      <w:r>
        <w:tab/>
        <w:t>[Section 33B inserted: No. 42 of 2010 s. 9.]</w:t>
      </w:r>
    </w:p>
    <w:p>
      <w:pPr>
        <w:pStyle w:val="Heading5"/>
        <w:spacing w:before="180"/>
      </w:pPr>
      <w:bookmarkStart w:id="167" w:name="_Toc98946879"/>
      <w:bookmarkStart w:id="168" w:name="_Toc97630475"/>
      <w:r>
        <w:rPr>
          <w:rStyle w:val="CharSectno"/>
        </w:rPr>
        <w:t>33C</w:t>
      </w:r>
      <w:r>
        <w:t>.</w:t>
      </w:r>
      <w:r>
        <w:tab/>
        <w:t>Effect of withdrawal or lapse of s. 30 application</w:t>
      </w:r>
      <w:bookmarkEnd w:id="167"/>
      <w:bookmarkEnd w:id="168"/>
    </w:p>
    <w:p>
      <w:pPr>
        <w:pStyle w:val="Subsection"/>
      </w:pPr>
      <w:r>
        <w:tab/>
      </w:r>
      <w:r>
        <w:tab/>
        <w:t xml:space="preserve">If — </w:t>
      </w:r>
    </w:p>
    <w:p>
      <w:pPr>
        <w:pStyle w:val="Indenta"/>
      </w:pPr>
      <w:r>
        <w:tab/>
        <w:t>(a)</w:t>
      </w:r>
      <w:r>
        <w:tab/>
        <w:t>2 or more applications have been made under section 30 for the grant of a permit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permit in respect of the block or blocks to which the application related — the Minister is taken not to have informed the applicant or applicants to that effect;</w:t>
      </w:r>
    </w:p>
    <w:p>
      <w:pPr>
        <w:pStyle w:val="Indenta"/>
      </w:pPr>
      <w:r>
        <w:tab/>
        <w:t>(e)</w:t>
      </w:r>
      <w:r>
        <w:tab/>
        <w:t>if the applicant or one of the applicants whose application had been withdrawn had requested the Minister under section 32(3) to grant a permit to the applicant concerned — the request is taken not to have been made;</w:t>
      </w:r>
    </w:p>
    <w:p>
      <w:pPr>
        <w:pStyle w:val="Indenta"/>
      </w:pPr>
      <w:r>
        <w:tab/>
        <w:t>(f)</w:t>
      </w:r>
      <w:r>
        <w:tab/>
        <w:t>if the Minister had refused to grant a permit to the remaining applicant or to any of the remaining applicants — the refusal or refusals are taken not to have occurred.</w:t>
      </w:r>
    </w:p>
    <w:p>
      <w:pPr>
        <w:pStyle w:val="Footnotesection"/>
      </w:pPr>
      <w:r>
        <w:tab/>
        <w:t>[Section 33C inserted: No. 42 of 2010 s. 9.]</w:t>
      </w:r>
    </w:p>
    <w:p>
      <w:pPr>
        <w:pStyle w:val="Heading5"/>
        <w:rPr>
          <w:snapToGrid w:val="0"/>
        </w:rPr>
      </w:pPr>
      <w:bookmarkStart w:id="169" w:name="_Toc98946880"/>
      <w:bookmarkStart w:id="170" w:name="_Toc97630476"/>
      <w:r>
        <w:rPr>
          <w:rStyle w:val="CharSectno"/>
        </w:rPr>
        <w:t>33</w:t>
      </w:r>
      <w:r>
        <w:rPr>
          <w:snapToGrid w:val="0"/>
        </w:rPr>
        <w:t>.</w:t>
      </w:r>
      <w:r>
        <w:rPr>
          <w:snapToGrid w:val="0"/>
        </w:rPr>
        <w:tab/>
        <w:t>Application for permit in respect of surrendered etc. blocks</w:t>
      </w:r>
      <w:bookmarkEnd w:id="169"/>
      <w:bookmarkEnd w:id="17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pPr>
      <w:r>
        <w:tab/>
        <w:t>[(3)</w:t>
      </w:r>
      <w:r>
        <w:tab/>
        <w:t>deleted]</w:t>
      </w:r>
    </w:p>
    <w:p>
      <w:pPr>
        <w:pStyle w:val="Subsection"/>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31(1)(d); and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No. 12 of 1990 s. 23; No. 28 of 1994 s. 9; No. 35 of 2007 s. 22; No. 42 of 2010 s. 10.]</w:t>
      </w:r>
    </w:p>
    <w:p>
      <w:pPr>
        <w:pStyle w:val="Heading5"/>
        <w:rPr>
          <w:snapToGrid w:val="0"/>
        </w:rPr>
      </w:pPr>
      <w:bookmarkStart w:id="171" w:name="_Toc98946881"/>
      <w:bookmarkStart w:id="172" w:name="_Toc97630477"/>
      <w:r>
        <w:rPr>
          <w:rStyle w:val="CharSectno"/>
        </w:rPr>
        <w:t>34</w:t>
      </w:r>
      <w:r>
        <w:rPr>
          <w:snapToGrid w:val="0"/>
        </w:rPr>
        <w:t>.</w:t>
      </w:r>
      <w:r>
        <w:rPr>
          <w:snapToGrid w:val="0"/>
        </w:rPr>
        <w:tab/>
        <w:t>Application fee etc.</w:t>
      </w:r>
      <w:bookmarkEnd w:id="171"/>
      <w:bookmarkEnd w:id="172"/>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35 does not request the Minister, in accordance with section 36, to grant to him the permit referred to in the instrument, the deposit </w:t>
      </w:r>
      <w:r>
        <w:t>shall not</w:t>
      </w:r>
      <w:r>
        <w:rPr>
          <w:snapToGrid w:val="0"/>
        </w:rPr>
        <w:t xml:space="preserve"> be refunded to the applicant.</w:t>
      </w:r>
    </w:p>
    <w:p>
      <w:pPr>
        <w:pStyle w:val="Footnotesection"/>
        <w:ind w:left="890" w:hanging="890"/>
      </w:pPr>
      <w:r>
        <w:tab/>
        <w:t>[Section 34 amended: No. 69 of 1981 s. 34; No. 12 of 1990 s. 24; No. 42 of 2010 s. 11.]</w:t>
      </w:r>
    </w:p>
    <w:p>
      <w:pPr>
        <w:pStyle w:val="Heading5"/>
        <w:keepLines w:val="0"/>
        <w:spacing w:before="240"/>
        <w:rPr>
          <w:snapToGrid w:val="0"/>
        </w:rPr>
      </w:pPr>
      <w:bookmarkStart w:id="173" w:name="_Toc98946882"/>
      <w:bookmarkStart w:id="174" w:name="_Toc97630478"/>
      <w:r>
        <w:rPr>
          <w:rStyle w:val="CharSectno"/>
        </w:rPr>
        <w:t>35</w:t>
      </w:r>
      <w:r>
        <w:rPr>
          <w:snapToGrid w:val="0"/>
        </w:rPr>
        <w:t>.</w:t>
      </w:r>
      <w:r>
        <w:rPr>
          <w:snapToGrid w:val="0"/>
        </w:rPr>
        <w:tab/>
        <w:t>Consideration of application</w:t>
      </w:r>
      <w:bookmarkEnd w:id="173"/>
      <w:bookmarkEnd w:id="174"/>
    </w:p>
    <w:p>
      <w:pPr>
        <w:pStyle w:val="Subsection"/>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w:t>
      </w:r>
      <w:r>
        <w:t xml:space="preserve"> applicant.</w:t>
      </w:r>
    </w:p>
    <w:p>
      <w:pPr>
        <w:pStyle w:val="Footnotesection"/>
        <w:ind w:left="890" w:hanging="890"/>
      </w:pPr>
      <w:r>
        <w:tab/>
        <w:t>[Section 35 amended: No. 12 of 1990 s. 25; No. 28 of 1994 s. 10; No. 35 of 2007 s. 23; No. 42 of 2010 s. 12.]</w:t>
      </w:r>
    </w:p>
    <w:p>
      <w:pPr>
        <w:pStyle w:val="Heading5"/>
        <w:rPr>
          <w:snapToGrid w:val="0"/>
        </w:rPr>
      </w:pPr>
      <w:bookmarkStart w:id="175" w:name="_Toc98946883"/>
      <w:bookmarkStart w:id="176" w:name="_Toc97630479"/>
      <w:r>
        <w:rPr>
          <w:rStyle w:val="CharSectno"/>
        </w:rPr>
        <w:t>36</w:t>
      </w:r>
      <w:r>
        <w:rPr>
          <w:snapToGrid w:val="0"/>
        </w:rPr>
        <w:t>.</w:t>
      </w:r>
      <w:r>
        <w:rPr>
          <w:snapToGrid w:val="0"/>
        </w:rPr>
        <w:tab/>
        <w:t>Request by applicant for grant of permit in respect of advertised block</w:t>
      </w:r>
      <w:bookmarkEnd w:id="175"/>
      <w:bookmarkEnd w:id="176"/>
    </w:p>
    <w:p>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rPr>
          <w:snapToGrid w:val="0"/>
        </w:rPr>
      </w:pPr>
      <w:r>
        <w:rPr>
          <w:snapToGrid w:val="0"/>
        </w:rPr>
        <w:tab/>
        <w:t>(2)</w:t>
      </w:r>
      <w:r>
        <w:rPr>
          <w:snapToGrid w:val="0"/>
        </w:rPr>
        <w:tab/>
        <w:t>Where an applicant on whom there has been served an instrument under section 35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 xml:space="preserve">has not paid the balance of the amount to be paid in respect of the grant of the permit to </w:t>
      </w:r>
      <w:r>
        <w:t>the applicant,</w:t>
      </w:r>
    </w:p>
    <w:p>
      <w:pPr>
        <w:pStyle w:val="Subsection"/>
        <w:rPr>
          <w:snapToGrid w:val="0"/>
        </w:rPr>
      </w:pPr>
      <w:r>
        <w:rPr>
          <w:snapToGrid w:val="0"/>
        </w:rPr>
        <w:tab/>
      </w:r>
      <w:r>
        <w:rPr>
          <w:snapToGrid w:val="0"/>
        </w:rPr>
        <w:tab/>
        <w:t>within the period applicable under subsection (1), the application lapses upon the expiration of that period.</w:t>
      </w:r>
    </w:p>
    <w:p>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No. 28 of 1994 s. 11; No. 42 of 2010 s. 13.]</w:t>
      </w:r>
    </w:p>
    <w:p>
      <w:pPr>
        <w:pStyle w:val="Heading5"/>
        <w:rPr>
          <w:snapToGrid w:val="0"/>
        </w:rPr>
      </w:pPr>
      <w:bookmarkStart w:id="177" w:name="_Toc98946884"/>
      <w:bookmarkStart w:id="178" w:name="_Toc97630480"/>
      <w:r>
        <w:rPr>
          <w:rStyle w:val="CharSectno"/>
        </w:rPr>
        <w:t>37</w:t>
      </w:r>
      <w:r>
        <w:rPr>
          <w:snapToGrid w:val="0"/>
        </w:rPr>
        <w:t>.</w:t>
      </w:r>
      <w:r>
        <w:rPr>
          <w:snapToGrid w:val="0"/>
        </w:rPr>
        <w:tab/>
        <w:t>Grant of permit on request</w:t>
      </w:r>
      <w:bookmarkEnd w:id="177"/>
      <w:bookmarkEnd w:id="178"/>
    </w:p>
    <w:p>
      <w:pPr>
        <w:pStyle w:val="Subsection"/>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No. 28 of 1994 s. 12; No. 35 of 2007 s. 24; No. 42 of 2010 s. 14.]</w:t>
      </w:r>
    </w:p>
    <w:p>
      <w:pPr>
        <w:pStyle w:val="Heading5"/>
        <w:keepNext w:val="0"/>
        <w:keepLines w:val="0"/>
        <w:pageBreakBefore/>
        <w:spacing w:before="0"/>
        <w:rPr>
          <w:snapToGrid w:val="0"/>
        </w:rPr>
      </w:pPr>
      <w:bookmarkStart w:id="179" w:name="_Toc98946885"/>
      <w:bookmarkStart w:id="180" w:name="_Toc97630481"/>
      <w:r>
        <w:rPr>
          <w:rStyle w:val="CharSectno"/>
        </w:rPr>
        <w:t>37A</w:t>
      </w:r>
      <w:r>
        <w:rPr>
          <w:snapToGrid w:val="0"/>
        </w:rPr>
        <w:t>.</w:t>
      </w:r>
      <w:r>
        <w:rPr>
          <w:snapToGrid w:val="0"/>
        </w:rPr>
        <w:tab/>
        <w:t>Permit for 2 or more blocks may be divided into 2 or more permits</w:t>
      </w:r>
      <w:bookmarkEnd w:id="179"/>
      <w:bookmarkEnd w:id="180"/>
    </w:p>
    <w:p>
      <w:pPr>
        <w:pStyle w:val="Subsection"/>
        <w:rPr>
          <w:snapToGrid w:val="0"/>
        </w:rPr>
      </w:pPr>
      <w:r>
        <w:rPr>
          <w:snapToGrid w:val="0"/>
        </w:rPr>
        <w:tab/>
        <w:t>(1)</w:t>
      </w:r>
      <w:r>
        <w:rPr>
          <w:snapToGrid w:val="0"/>
        </w:rPr>
        <w:tab/>
        <w:t>Where a permit (in this section called</w:t>
      </w:r>
      <w:r>
        <w:t xml:space="preserve"> the </w:t>
      </w:r>
      <w:r>
        <w:rPr>
          <w:rStyle w:val="CharDefText"/>
        </w:rPr>
        <w:t>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permits required; and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r>
        <w:rPr>
          <w:snapToGrid w:val="0"/>
        </w:rPr>
        <w:t xml:space="preserve"> and</w:t>
      </w:r>
    </w:p>
    <w:p>
      <w:pPr>
        <w:pStyle w:val="Indenta"/>
        <w:rPr>
          <w:snapToGrid w:val="0"/>
        </w:rPr>
      </w:pPr>
      <w:r>
        <w:rPr>
          <w:snapToGrid w:val="0"/>
        </w:rPr>
        <w:tab/>
        <w:t>(e)</w:t>
      </w:r>
      <w:r>
        <w:rPr>
          <w:snapToGrid w:val="0"/>
        </w:rPr>
        <w:tab/>
        <w:t>shall be accompanied by the prescribed fee; and</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keepNext/>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keepNext/>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 and</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 and</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No. 28 of 1994 s. 13; amended: No. 35 of 2007 s. 25.]</w:t>
      </w:r>
    </w:p>
    <w:p>
      <w:pPr>
        <w:pStyle w:val="Heading5"/>
      </w:pPr>
      <w:bookmarkStart w:id="181" w:name="_Toc98946886"/>
      <w:bookmarkStart w:id="182" w:name="_Toc97630482"/>
      <w:r>
        <w:rPr>
          <w:rStyle w:val="CharSectno"/>
        </w:rPr>
        <w:t>37B</w:t>
      </w:r>
      <w:r>
        <w:t>.</w:t>
      </w:r>
      <w:r>
        <w:tab/>
        <w:t>Grant of boundary-change permit</w:t>
      </w:r>
      <w:bookmarkEnd w:id="181"/>
      <w:bookmarkEnd w:id="182"/>
    </w:p>
    <w:p>
      <w:pPr>
        <w:pStyle w:val="Subsection"/>
      </w:pPr>
      <w:r>
        <w:tab/>
        <w:t>(1)</w:t>
      </w:r>
      <w:r>
        <w:tab/>
        <w:t xml:space="preserve">In this section — </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tab/>
        <w:t>(b)</w:t>
      </w:r>
      <w:r>
        <w:tab/>
        <w:t>if a graticular section is wholly within the area that was covered by the Commonwealth permit concerned — the graticular section; or</w:t>
      </w:r>
    </w:p>
    <w:p>
      <w:pPr>
        <w:pStyle w:val="Defpara"/>
      </w:pPr>
      <w:r>
        <w:tab/>
        <w:t>(c)</w:t>
      </w:r>
      <w:r>
        <w:tab/>
        <w:t>if a part only of a graticular section is within the area that was covered by the Commonwealth permit concerned — that part of the graticular section.</w:t>
      </w:r>
    </w:p>
    <w:p>
      <w:pPr>
        <w:pStyle w:val="PermNoteHeading"/>
      </w:pPr>
      <w:r>
        <w:tab/>
        <w:t>Note for this definition:</w:t>
      </w:r>
    </w:p>
    <w:p>
      <w:pPr>
        <w:pStyle w:val="PermNoteText"/>
      </w:pPr>
      <w:r>
        <w:tab/>
      </w:r>
      <w:r>
        <w:tab/>
        <w:t>See also subsection (8).</w:t>
      </w:r>
    </w:p>
    <w:p>
      <w:pPr>
        <w:pStyle w:val="Subsection"/>
      </w:pPr>
      <w:r>
        <w:tab/>
        <w:t>(2)</w:t>
      </w:r>
      <w:r>
        <w:tab/>
        <w:t xml:space="preserve">This section applies if — </w:t>
      </w:r>
    </w:p>
    <w:p>
      <w:pPr>
        <w:pStyle w:val="Indenta"/>
      </w:pPr>
      <w:r>
        <w:tab/>
        <w:t>(a)</w:t>
      </w:r>
      <w:r>
        <w:tab/>
        <w:t xml:space="preserve">a Commonwealth permit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inshore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Subsection"/>
      </w:pPr>
      <w:r>
        <w:tab/>
        <w:t>(3)</w:t>
      </w:r>
      <w:r>
        <w:tab/>
        <w:t xml:space="preserve">The conditions mentioned in subsection (2)(c)(i) are — </w:t>
      </w:r>
    </w:p>
    <w:p>
      <w:pPr>
        <w:pStyle w:val="Indenta"/>
      </w:pPr>
      <w:r>
        <w:tab/>
        <w:t>(a)</w:t>
      </w:r>
      <w:r>
        <w:tab/>
        <w:t>one or more, but not all, of the section 27 blocks that were covered by the Commonwealth permit immediately before the change are in the relevant area; and</w:t>
      </w:r>
    </w:p>
    <w:p>
      <w:pPr>
        <w:pStyle w:val="Indenta"/>
      </w:pPr>
      <w:r>
        <w:tab/>
        <w:t>(b)</w:t>
      </w:r>
      <w:r>
        <w:tab/>
        <w:t xml:space="preserve">the Commonwealth permit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permit immediately before the change and that are in the offshore area; and</w:t>
      </w:r>
    </w:p>
    <w:p>
      <w:pPr>
        <w:pStyle w:val="Indenti"/>
      </w:pPr>
      <w:r>
        <w:tab/>
        <w:t>(ii)</w:t>
      </w:r>
      <w:r>
        <w:tab/>
        <w:t>otherwise than as the result of the cancellation or surrender of the Commonwealth permit.</w:t>
      </w:r>
    </w:p>
    <w:p>
      <w:pPr>
        <w:pStyle w:val="Subsection"/>
      </w:pPr>
      <w:r>
        <w:tab/>
        <w:t>(4)</w:t>
      </w:r>
      <w:r>
        <w:tab/>
        <w:t xml:space="preserve">The conditions mentioned in subsection (2)(c)(ii) are — </w:t>
      </w:r>
    </w:p>
    <w:p>
      <w:pPr>
        <w:pStyle w:val="Indenta"/>
      </w:pPr>
      <w:r>
        <w:tab/>
        <w:t>(a)</w:t>
      </w:r>
      <w:r>
        <w:tab/>
        <w:t>all of the section 27 blocks that were covered by the Commonwealth permit immediately before the change are in the relevant area; and</w:t>
      </w:r>
    </w:p>
    <w:p>
      <w:pPr>
        <w:pStyle w:val="Indenta"/>
      </w:pPr>
      <w:r>
        <w:tab/>
        <w:t>(b)</w:t>
      </w:r>
      <w:r>
        <w:tab/>
        <w:t xml:space="preserve">the Commonwealth permit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permit immediately before the change; and</w:t>
      </w:r>
    </w:p>
    <w:p>
      <w:pPr>
        <w:pStyle w:val="Indenti"/>
      </w:pPr>
      <w:r>
        <w:tab/>
        <w:t>(ii)</w:t>
      </w:r>
      <w:r>
        <w:tab/>
        <w:t>otherwise than as the result of the cancellation or surrender of the Commonwealth permit.</w:t>
      </w:r>
    </w:p>
    <w:p>
      <w:pPr>
        <w:pStyle w:val="Subsection"/>
      </w:pPr>
      <w:r>
        <w:tab/>
        <w:t>(5)</w:t>
      </w:r>
      <w:r>
        <w:tab/>
        <w:t xml:space="preserve">If — </w:t>
      </w:r>
    </w:p>
    <w:p>
      <w:pPr>
        <w:pStyle w:val="Indenta"/>
      </w:pPr>
      <w:r>
        <w:tab/>
        <w:t>(a)</w:t>
      </w:r>
      <w:r>
        <w:tab/>
        <w:t xml:space="preserve">assuming that — </w:t>
      </w:r>
    </w:p>
    <w:p>
      <w:pPr>
        <w:pStyle w:val="Indenti"/>
      </w:pPr>
      <w:r>
        <w:tab/>
        <w:t>(i)</w:t>
      </w:r>
      <w:r>
        <w:tab/>
        <w:t>the change to the boundary of the offshore area had not occurred; and</w:t>
      </w:r>
    </w:p>
    <w:p>
      <w:pPr>
        <w:pStyle w:val="Indenti"/>
      </w:pPr>
      <w:r>
        <w:tab/>
        <w:t>(ii)</w:t>
      </w:r>
      <w:r>
        <w:tab/>
        <w:t>the relevant area had remained in the offshore area,</w:t>
      </w:r>
    </w:p>
    <w:p>
      <w:pPr>
        <w:pStyle w:val="Indenta"/>
      </w:pPr>
      <w:r>
        <w:tab/>
      </w:r>
      <w:r>
        <w:tab/>
        <w:t xml:space="preserve">the holder of the Commonwealth permit would have been entitled to apply under the Commonwealth Act for the renewal of the Commonwealth permit in relation to all of the section 27 blocks that are — </w:t>
      </w:r>
    </w:p>
    <w:p>
      <w:pPr>
        <w:pStyle w:val="Indenti"/>
      </w:pPr>
      <w:r>
        <w:tab/>
        <w:t>(iii)</w:t>
      </w:r>
      <w:r>
        <w:tab/>
        <w:t>covered by the Commonwealth permit; and</w:t>
      </w:r>
    </w:p>
    <w:p>
      <w:pPr>
        <w:pStyle w:val="Indenti"/>
      </w:pPr>
      <w:r>
        <w:tab/>
        <w:t>(iv)</w:t>
      </w:r>
      <w:r>
        <w:tab/>
        <w:t>in the relevant area;</w:t>
      </w:r>
    </w:p>
    <w:p>
      <w:pPr>
        <w:pStyle w:val="Indenta"/>
      </w:pPr>
      <w:r>
        <w:tab/>
      </w:r>
      <w:r>
        <w:tab/>
        <w:t>and</w:t>
      </w:r>
    </w:p>
    <w:p>
      <w:pPr>
        <w:pStyle w:val="Indenta"/>
      </w:pPr>
      <w:r>
        <w:tab/>
        <w:t>(b)</w:t>
      </w:r>
      <w:r>
        <w:tab/>
        <w:t xml:space="preserve">there are one or more section 27 blocks (the </w:t>
      </w:r>
      <w:r>
        <w:rPr>
          <w:rStyle w:val="CharDefText"/>
        </w:rPr>
        <w:t>relevant section 27 blocks</w:t>
      </w:r>
      <w:r>
        <w:t xml:space="preserve">) that — </w:t>
      </w:r>
    </w:p>
    <w:p>
      <w:pPr>
        <w:pStyle w:val="Indenti"/>
      </w:pPr>
      <w:r>
        <w:tab/>
        <w:t>(i)</w:t>
      </w:r>
      <w:r>
        <w:tab/>
        <w:t>correspond to the section 27 blocks covered by paragraph (a); and</w:t>
      </w:r>
    </w:p>
    <w:p>
      <w:pPr>
        <w:pStyle w:val="Indenti"/>
      </w:pPr>
      <w:r>
        <w:tab/>
        <w:t>(ii)</w:t>
      </w:r>
      <w:r>
        <w:tab/>
        <w:t>are in the inshore area; and</w:t>
      </w:r>
    </w:p>
    <w:p>
      <w:pPr>
        <w:pStyle w:val="Indenti"/>
      </w:pPr>
      <w:r>
        <w:tab/>
        <w:t>(iii)</w:t>
      </w:r>
      <w:r>
        <w:tab/>
        <w:t>are not the subject of a variation under section 97A,</w:t>
      </w:r>
    </w:p>
    <w:p>
      <w:pPr>
        <w:pStyle w:val="Subsection"/>
      </w:pPr>
      <w:r>
        <w:tab/>
      </w:r>
      <w:r>
        <w:tab/>
        <w:t xml:space="preserve">the Minister is taken — </w:t>
      </w:r>
    </w:p>
    <w:p>
      <w:pPr>
        <w:pStyle w:val="Indenta"/>
      </w:pPr>
      <w:r>
        <w:tab/>
        <w:t>(c)</w:t>
      </w:r>
      <w:r>
        <w:tab/>
        <w:t>to have granted the holder of the Commonwealth permit a petroleum exploration permit over those relevant section 27 blocks; and</w:t>
      </w:r>
    </w:p>
    <w:p>
      <w:pPr>
        <w:pStyle w:val="Indenta"/>
      </w:pPr>
      <w:r>
        <w:tab/>
        <w:t>(d)</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petroleum exploration permit, see section 39(1A).</w:t>
      </w:r>
    </w:p>
    <w:p>
      <w:pPr>
        <w:pStyle w:val="Subsection"/>
      </w:pPr>
      <w:r>
        <w:tab/>
        <w:t>(6)</w:t>
      </w:r>
      <w:r>
        <w:tab/>
        <w:t xml:space="preserve">If — </w:t>
      </w:r>
    </w:p>
    <w:p>
      <w:pPr>
        <w:pStyle w:val="Indenta"/>
      </w:pPr>
      <w:r>
        <w:tab/>
        <w:t>(a)</w:t>
      </w:r>
      <w:r>
        <w:tab/>
        <w:t xml:space="preserve">assuming that — </w:t>
      </w:r>
    </w:p>
    <w:p>
      <w:pPr>
        <w:pStyle w:val="Indenti"/>
      </w:pPr>
      <w:r>
        <w:tab/>
        <w:t>(i)</w:t>
      </w:r>
      <w:r>
        <w:tab/>
        <w:t>the change to the boundary of the offshore area had not occurred; and</w:t>
      </w:r>
    </w:p>
    <w:p>
      <w:pPr>
        <w:pStyle w:val="Indenti"/>
      </w:pPr>
      <w:r>
        <w:tab/>
        <w:t>(ii)</w:t>
      </w:r>
      <w:r>
        <w:tab/>
        <w:t>the relevant area had remained in the offshore area,</w:t>
      </w:r>
    </w:p>
    <w:p>
      <w:pPr>
        <w:pStyle w:val="Indenta"/>
      </w:pPr>
      <w:r>
        <w:tab/>
      </w:r>
      <w:r>
        <w:tab/>
        <w:t xml:space="preserve">the holder of the Commonwealth permit would not have been entitled to apply under the Commonwealth Act for the renewal of the Commonwealth permit in relation to all of the section 27 blocks that are — </w:t>
      </w:r>
    </w:p>
    <w:p>
      <w:pPr>
        <w:pStyle w:val="Indenti"/>
      </w:pPr>
      <w:r>
        <w:tab/>
        <w:t>(iii)</w:t>
      </w:r>
      <w:r>
        <w:tab/>
        <w:t>covered by the Commonwealth permit; and</w:t>
      </w:r>
    </w:p>
    <w:p>
      <w:pPr>
        <w:pStyle w:val="Indenti"/>
      </w:pPr>
      <w:r>
        <w:tab/>
        <w:t>(iv)</w:t>
      </w:r>
      <w:r>
        <w:tab/>
        <w:t>in the relevant area;</w:t>
      </w:r>
    </w:p>
    <w:p>
      <w:pPr>
        <w:pStyle w:val="Indenta"/>
      </w:pPr>
      <w:r>
        <w:tab/>
      </w:r>
      <w:r>
        <w:tab/>
        <w:t>and</w:t>
      </w:r>
    </w:p>
    <w:p>
      <w:pPr>
        <w:pStyle w:val="Indenta"/>
      </w:pPr>
      <w:r>
        <w:tab/>
        <w:t>(b)</w:t>
      </w:r>
      <w:r>
        <w:tab/>
        <w:t xml:space="preserve">there are one or more section 27 blocks (the </w:t>
      </w:r>
      <w:r>
        <w:rPr>
          <w:rStyle w:val="CharDefText"/>
        </w:rPr>
        <w:t>relevant section 27 blocks</w:t>
      </w:r>
      <w:r>
        <w:t xml:space="preserve">) that — </w:t>
      </w:r>
    </w:p>
    <w:p>
      <w:pPr>
        <w:pStyle w:val="Indenti"/>
      </w:pPr>
      <w:r>
        <w:tab/>
        <w:t>(i)</w:t>
      </w:r>
      <w:r>
        <w:tab/>
        <w:t>correspond to the section 27 blocks that were covered by the Commonwealth permit immediately before the change; and</w:t>
      </w:r>
    </w:p>
    <w:p>
      <w:pPr>
        <w:pStyle w:val="Indenti"/>
      </w:pPr>
      <w:r>
        <w:tab/>
        <w:t>(ii)</w:t>
      </w:r>
      <w:r>
        <w:tab/>
        <w:t>are in the inshore area; and</w:t>
      </w:r>
    </w:p>
    <w:p>
      <w:pPr>
        <w:pStyle w:val="Indenti"/>
      </w:pPr>
      <w:r>
        <w:tab/>
        <w:t>(iii)</w:t>
      </w:r>
      <w:r>
        <w:tab/>
        <w:t>are not the subject of a variation under section 97A,</w:t>
      </w:r>
    </w:p>
    <w:p>
      <w:pPr>
        <w:pStyle w:val="Subsection"/>
      </w:pPr>
      <w:r>
        <w:tab/>
      </w:r>
      <w:r>
        <w:tab/>
        <w:t xml:space="preserve">the Minister is taken — </w:t>
      </w:r>
    </w:p>
    <w:p>
      <w:pPr>
        <w:pStyle w:val="Indenta"/>
      </w:pPr>
      <w:r>
        <w:tab/>
        <w:t>(c)</w:t>
      </w:r>
      <w:r>
        <w:tab/>
        <w:t>to have granted the holder of the Commonwealth permit a petroleum exploration permit over those relevant section 27 blocks; and</w:t>
      </w:r>
    </w:p>
    <w:p>
      <w:pPr>
        <w:pStyle w:val="Indenta"/>
      </w:pPr>
      <w:r>
        <w:tab/>
        <w:t>(d)</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petroleum exploration permit, see section 39(1B).</w:t>
      </w:r>
    </w:p>
    <w:p>
      <w:pPr>
        <w:pStyle w:val="Subsection"/>
      </w:pPr>
      <w:r>
        <w:tab/>
        <w:t>(7)</w:t>
      </w:r>
      <w:r>
        <w:tab/>
        <w:t xml:space="preserve">For the purposes of subsections (5) and (6), the following provisions of the Commonwealth Act are to be disregarded — </w:t>
      </w:r>
    </w:p>
    <w:p>
      <w:pPr>
        <w:pStyle w:val="Indenta"/>
      </w:pPr>
      <w:r>
        <w:tab/>
        <w:t>(a)</w:t>
      </w:r>
      <w:r>
        <w:tab/>
        <w:t>the standard halving rules in section 123 of that Act;</w:t>
      </w:r>
    </w:p>
    <w:p>
      <w:pPr>
        <w:pStyle w:val="Indenta"/>
      </w:pPr>
      <w:r>
        <w:tab/>
        <w:t>(b)</w:t>
      </w:r>
      <w:r>
        <w:tab/>
        <w:t>the modified halving rules in section 124 of that Act;</w:t>
      </w:r>
    </w:p>
    <w:p>
      <w:pPr>
        <w:pStyle w:val="Indenta"/>
      </w:pPr>
      <w:r>
        <w:tab/>
        <w:t>(c)</w:t>
      </w:r>
      <w:r>
        <w:tab/>
        <w:t>a provision of a kind specified in the regulations.</w:t>
      </w:r>
    </w:p>
    <w:p>
      <w:pPr>
        <w:pStyle w:val="Subsection"/>
      </w:pPr>
      <w:r>
        <w:tab/>
        <w:t>(8)</w:t>
      </w:r>
      <w:r>
        <w:tab/>
        <w:t xml:space="preserve">If, after the change to the boundary of the offshore area — </w:t>
      </w:r>
    </w:p>
    <w:p>
      <w:pPr>
        <w:pStyle w:val="Indenta"/>
      </w:pPr>
      <w:r>
        <w:tab/>
        <w:t>(a)</w:t>
      </w:r>
      <w:r>
        <w:tab/>
        <w:t>a part of a section 27 block that was covered by the Commonwealth permit immediately before the change is in the offshore area; and</w:t>
      </w:r>
    </w:p>
    <w:p>
      <w:pPr>
        <w:pStyle w:val="Indenta"/>
      </w:pPr>
      <w:r>
        <w:tab/>
        <w:t>(b)</w:t>
      </w:r>
      <w:r>
        <w:tab/>
        <w:t>the remaining part of the section 27 block is in the inshore area,</w:t>
      </w:r>
    </w:p>
    <w:p>
      <w:pPr>
        <w:pStyle w:val="Subsection"/>
      </w:pPr>
      <w:r>
        <w:tab/>
      </w:r>
      <w:r>
        <w:tab/>
        <w:t>then, for the purposes of this section (other than this subsection), each of those parts is taken to constitute, and to have always constituted, a section 27 block.</w:t>
      </w:r>
    </w:p>
    <w:p>
      <w:pPr>
        <w:pStyle w:val="Subsection"/>
      </w:pPr>
      <w:r>
        <w:tab/>
        <w:t>(9)</w:t>
      </w:r>
      <w:r>
        <w:tab/>
        <w:t>An assumption in subsection (5)(a) or (6)(a) does not affect subsection (8).</w:t>
      </w:r>
    </w:p>
    <w:p>
      <w:pPr>
        <w:pStyle w:val="Footnotesection"/>
      </w:pPr>
      <w:r>
        <w:tab/>
        <w:t>[Section 37B inserted: No. 7 of 2017 s. 8.]</w:t>
      </w:r>
    </w:p>
    <w:p>
      <w:pPr>
        <w:pStyle w:val="Heading5"/>
        <w:pageBreakBefore/>
        <w:spacing w:before="0"/>
        <w:rPr>
          <w:snapToGrid w:val="0"/>
        </w:rPr>
      </w:pPr>
      <w:bookmarkStart w:id="183" w:name="_Toc98946887"/>
      <w:bookmarkStart w:id="184" w:name="_Toc97630483"/>
      <w:r>
        <w:rPr>
          <w:rStyle w:val="CharSectno"/>
        </w:rPr>
        <w:t>38</w:t>
      </w:r>
      <w:r>
        <w:rPr>
          <w:snapToGrid w:val="0"/>
        </w:rPr>
        <w:t>.</w:t>
      </w:r>
      <w:r>
        <w:rPr>
          <w:snapToGrid w:val="0"/>
        </w:rPr>
        <w:tab/>
        <w:t>Rights conferred by permit</w:t>
      </w:r>
      <w:bookmarkEnd w:id="183"/>
      <w:bookmarkEnd w:id="184"/>
    </w:p>
    <w:p>
      <w:pPr>
        <w:pStyle w:val="Subsection"/>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Subsection"/>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No. 13 of 2005 s. 16(2); No. 35 of 2007 s. 26.]</w:t>
      </w:r>
    </w:p>
    <w:p>
      <w:pPr>
        <w:pStyle w:val="Heading5"/>
        <w:rPr>
          <w:snapToGrid w:val="0"/>
        </w:rPr>
      </w:pPr>
      <w:bookmarkStart w:id="185" w:name="_Toc98946888"/>
      <w:bookmarkStart w:id="186" w:name="_Toc97630484"/>
      <w:r>
        <w:rPr>
          <w:rStyle w:val="CharSectno"/>
        </w:rPr>
        <w:t>39</w:t>
      </w:r>
      <w:r>
        <w:rPr>
          <w:snapToGrid w:val="0"/>
        </w:rPr>
        <w:t>.</w:t>
      </w:r>
      <w:r>
        <w:rPr>
          <w:snapToGrid w:val="0"/>
        </w:rPr>
        <w:tab/>
        <w:t>Term of permit</w:t>
      </w:r>
      <w:bookmarkEnd w:id="185"/>
      <w:bookmarkEnd w:id="186"/>
    </w:p>
    <w:p>
      <w:pPr>
        <w:pStyle w:val="Subsection"/>
        <w:keepNext/>
        <w:keepLines/>
        <w:rPr>
          <w:snapToGrid w:val="0"/>
        </w:rPr>
      </w:pPr>
      <w:r>
        <w:rPr>
          <w:snapToGrid w:val="0"/>
        </w:rPr>
        <w:tab/>
        <w:t>(1)</w:t>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Subsection"/>
      </w:pPr>
      <w:r>
        <w:tab/>
        <w:t>(1A)</w:t>
      </w:r>
      <w:r>
        <w:tab/>
        <w:t>Subject to this Part, a boundary-change permit granted under section 37B(5) remains in force for a period of 5 years commencing on the day on which the permit is granted.</w:t>
      </w:r>
    </w:p>
    <w:p>
      <w:pPr>
        <w:pStyle w:val="Subsection"/>
      </w:pPr>
      <w:r>
        <w:tab/>
        <w:t>(1B)</w:t>
      </w:r>
      <w:r>
        <w:tab/>
        <w:t>Subject to this Part, a boundary-change permit granted under section 37B(6) remains in force for a period of 12 months commencing on the day on which the permit is granted.</w:t>
      </w:r>
    </w:p>
    <w:p>
      <w:pPr>
        <w:pStyle w:val="Subsection"/>
        <w:keepNext/>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48B(2) or (3A) of the instrument or notice refusing to grant the lease; or</w:t>
      </w:r>
    </w:p>
    <w:p>
      <w:pPr>
        <w:pStyle w:val="Indenta"/>
      </w:pPr>
      <w:r>
        <w:tab/>
        <w:t>(e)</w:t>
      </w:r>
      <w:r>
        <w:tab/>
        <w:t>if the Minister decides not to grant the permittee such a licence — notice of the decision is served on the permittee.</w:t>
      </w:r>
    </w:p>
    <w:p>
      <w:pPr>
        <w:pStyle w:val="Footnotesection"/>
        <w:ind w:left="890" w:hanging="890"/>
      </w:pPr>
      <w:r>
        <w:tab/>
        <w:t>[Section 39 amended: No. 12 of 1990 s. 26; No. 28 of 1994 s. 14; No. 42 of 2010 s. 15; No. 7 of 2017 s. 9.]</w:t>
      </w:r>
    </w:p>
    <w:p>
      <w:pPr>
        <w:pStyle w:val="Heading5"/>
        <w:pageBreakBefore/>
        <w:spacing w:before="0"/>
        <w:rPr>
          <w:snapToGrid w:val="0"/>
        </w:rPr>
      </w:pPr>
      <w:bookmarkStart w:id="187" w:name="_Toc98946889"/>
      <w:bookmarkStart w:id="188" w:name="_Toc97630485"/>
      <w:r>
        <w:rPr>
          <w:rStyle w:val="CharSectno"/>
        </w:rPr>
        <w:t>40</w:t>
      </w:r>
      <w:r>
        <w:rPr>
          <w:snapToGrid w:val="0"/>
        </w:rPr>
        <w:t>.</w:t>
      </w:r>
      <w:r>
        <w:rPr>
          <w:snapToGrid w:val="0"/>
        </w:rPr>
        <w:tab/>
        <w:t>Application for renewal of permit</w:t>
      </w:r>
      <w:bookmarkEnd w:id="187"/>
      <w:bookmarkEnd w:id="188"/>
    </w:p>
    <w:p>
      <w:pPr>
        <w:pStyle w:val="Subsection"/>
        <w:rPr>
          <w:snapToGrid w:val="0"/>
        </w:rPr>
      </w:pPr>
      <w:r>
        <w:rPr>
          <w:snapToGrid w:val="0"/>
        </w:rPr>
        <w:tab/>
        <w:t>(1)</w:t>
      </w:r>
      <w:r>
        <w:rPr>
          <w:snapToGrid w:val="0"/>
        </w:rPr>
        <w:tab/>
        <w:t xml:space="preserve">Subject to </w:t>
      </w:r>
      <w:r>
        <w:t xml:space="preserve">sections 41, 42A and 42B, </w:t>
      </w:r>
      <w:r>
        <w:rPr>
          <w:snapToGrid w:val="0"/>
        </w:rPr>
        <w:t>a permittee may, from time to time, make an application to the Minister for the renewal of the permit in respect of such of the blocks the subject of the permit as are specified in the application.</w:t>
      </w:r>
    </w:p>
    <w:p>
      <w:pPr>
        <w:pStyle w:val="Subsection"/>
        <w:keepNext/>
        <w:keepLines/>
        <w:rPr>
          <w:snapToGrid w:val="0"/>
        </w:rPr>
      </w:pPr>
      <w:r>
        <w:rPr>
          <w:snapToGrid w:val="0"/>
        </w:rPr>
        <w:tab/>
        <w:t>(2)</w:t>
      </w:r>
      <w:r>
        <w:rPr>
          <w:snapToGrid w:val="0"/>
        </w:rPr>
        <w:tab/>
        <w:t>An application for the renewal of the permit —</w:t>
      </w:r>
    </w:p>
    <w:p>
      <w:pPr>
        <w:pStyle w:val="Ednotepara"/>
        <w:keepLines/>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ind w:left="890" w:hanging="890"/>
      </w:pPr>
      <w:r>
        <w:tab/>
        <w:t>[Section 40 amended: No. 69 of 1981 s. 34; No. 12 of 1990 s. 27; No. 42 of 2010 s. 16; No. 7 of 2017 s. 10.]</w:t>
      </w:r>
    </w:p>
    <w:p>
      <w:pPr>
        <w:pStyle w:val="Heading5"/>
        <w:spacing w:before="240"/>
        <w:rPr>
          <w:snapToGrid w:val="0"/>
        </w:rPr>
      </w:pPr>
      <w:bookmarkStart w:id="189" w:name="_Toc98946890"/>
      <w:bookmarkStart w:id="190" w:name="_Toc97630486"/>
      <w:r>
        <w:rPr>
          <w:rStyle w:val="CharSectno"/>
        </w:rPr>
        <w:t>41</w:t>
      </w:r>
      <w:r>
        <w:rPr>
          <w:snapToGrid w:val="0"/>
        </w:rPr>
        <w:t>.</w:t>
      </w:r>
      <w:r>
        <w:rPr>
          <w:snapToGrid w:val="0"/>
        </w:rPr>
        <w:tab/>
        <w:t>Application for renewal of permit to be in respect of reduced area</w:t>
      </w:r>
      <w:bookmarkEnd w:id="189"/>
      <w:bookmarkEnd w:id="190"/>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spacing w:before="60"/>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keepNext/>
        <w:keepLines/>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pPr>
      <w:r>
        <w:tab/>
        <w:t>(a)</w:t>
      </w:r>
      <w:r>
        <w:tab/>
        <w:t xml:space="preserve">if a permit is in force in respect of 4 blocks, an application may be made for the renewal of the permit in respect of one, 2, 3 or all of those blocks; </w:t>
      </w:r>
    </w:p>
    <w:p>
      <w:pPr>
        <w:pStyle w:val="Indenta"/>
      </w:pPr>
      <w:r>
        <w:tab/>
        <w:t>(b)</w:t>
      </w:r>
      <w:r>
        <w:tab/>
        <w:t>if a permit is in force in respect of 3 blocks, an application may be made for the renewal of the permit in respect of one, 2 or all of those blocks;</w:t>
      </w:r>
    </w:p>
    <w:p>
      <w:pPr>
        <w:pStyle w:val="Indenta"/>
      </w:pPr>
      <w:r>
        <w:tab/>
        <w:t>(c)</w:t>
      </w:r>
      <w:r>
        <w:tab/>
        <w:t>if a permit is in force in respect of 2 blocks, an application may be made for the renewal of the permit in respect of either or both of those blocks;</w:t>
      </w:r>
    </w:p>
    <w:p>
      <w:pPr>
        <w:pStyle w:val="Indenta"/>
      </w:pPr>
      <w:r>
        <w:tab/>
        <w:t>(d)</w:t>
      </w:r>
      <w:r>
        <w:tab/>
        <w:t>an application may be made for the renewal of a permit that is in force in respect of one block.</w:t>
      </w:r>
    </w:p>
    <w:p>
      <w:pPr>
        <w:pStyle w:val="Subsection"/>
      </w:pPr>
      <w:r>
        <w:tab/>
        <w:t>(6)</w:t>
      </w:r>
      <w:r>
        <w:tab/>
        <w:t xml:space="preserve">Despite sections 40(1) and 42, if a permit has been renewed as a result of an application referred to in subsection (5)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Subsection"/>
      </w:pPr>
      <w:r>
        <w:tab/>
        <w:t>(7)</w:t>
      </w:r>
      <w:r>
        <w:tab/>
        <w:t xml:space="preserve">Subsections (1) to (5) do not apply to an application for the renewal of a permit if — </w:t>
      </w:r>
    </w:p>
    <w:p>
      <w:pPr>
        <w:pStyle w:val="Indenta"/>
      </w:pPr>
      <w:r>
        <w:tab/>
        <w:t>(a)</w:t>
      </w:r>
      <w:r>
        <w:tab/>
        <w:t xml:space="preserve">the permit was granted on the basis that an area (the </w:t>
      </w:r>
      <w:r>
        <w:rPr>
          <w:rStyle w:val="CharDefText"/>
        </w:rPr>
        <w:t>relevant area</w:t>
      </w:r>
      <w:r>
        <w:t>) was within the inshore area; and</w:t>
      </w:r>
    </w:p>
    <w:p>
      <w:pPr>
        <w:pStyle w:val="Indenta"/>
      </w:pPr>
      <w:r>
        <w:tab/>
        <w:t>(b)</w:t>
      </w:r>
      <w:r>
        <w:tab/>
        <w:t xml:space="preserve">as a result of a change to the boundary of the offshore area, the relevant area — </w:t>
      </w:r>
    </w:p>
    <w:p>
      <w:pPr>
        <w:pStyle w:val="Indenti"/>
      </w:pPr>
      <w:r>
        <w:tab/>
        <w:t>(i)</w:t>
      </w:r>
      <w:r>
        <w:tab/>
        <w:t>ceased to be within the inshore area; and</w:t>
      </w:r>
    </w:p>
    <w:p>
      <w:pPr>
        <w:pStyle w:val="Indenti"/>
      </w:pPr>
      <w:r>
        <w:tab/>
        <w:t>(ii)</w:t>
      </w:r>
      <w:r>
        <w:tab/>
        <w:t>fell within the offshore area;</w:t>
      </w:r>
    </w:p>
    <w:p>
      <w:pPr>
        <w:pStyle w:val="Indenta"/>
      </w:pPr>
      <w:r>
        <w:tab/>
      </w:r>
      <w:r>
        <w:tab/>
        <w:t>and</w:t>
      </w:r>
    </w:p>
    <w:p>
      <w:pPr>
        <w:pStyle w:val="Indenta"/>
      </w:pPr>
      <w:r>
        <w:tab/>
        <w:t>(c)</w:t>
      </w:r>
      <w:r>
        <w:tab/>
        <w:t>immediately before the change, the relevant area was a part of the permit area.</w:t>
      </w:r>
    </w:p>
    <w:p>
      <w:pPr>
        <w:pStyle w:val="Subsection"/>
      </w:pPr>
      <w:r>
        <w:tab/>
        <w:t>(8)</w:t>
      </w:r>
      <w:r>
        <w:tab/>
        <w:t xml:space="preserve">For the purposes of subsection (7) — </w:t>
      </w:r>
    </w:p>
    <w:p>
      <w:pPr>
        <w:pStyle w:val="Indenta"/>
      </w:pPr>
      <w:r>
        <w:tab/>
        <w:t>(a)</w:t>
      </w:r>
      <w:r>
        <w:tab/>
        <w:t>section 6A is to be disregarded; and</w:t>
      </w:r>
    </w:p>
    <w:p>
      <w:pPr>
        <w:pStyle w:val="Indenta"/>
      </w:pPr>
      <w:r>
        <w:tab/>
        <w:t>(b)</w:t>
      </w:r>
      <w:r>
        <w:tab/>
        <w:t>it is immaterial whether the change occurred before, at or after the commencement day.</w:t>
      </w:r>
    </w:p>
    <w:p>
      <w:pPr>
        <w:pStyle w:val="Subsection"/>
      </w:pPr>
      <w:r>
        <w:tab/>
        <w:t>(9)</w:t>
      </w:r>
      <w:r>
        <w:tab/>
        <w:t xml:space="preserve">In subsection (8)(b) — </w:t>
      </w:r>
    </w:p>
    <w:p>
      <w:pPr>
        <w:pStyle w:val="Defstart"/>
      </w:pPr>
      <w:r>
        <w:tab/>
      </w:r>
      <w:r>
        <w:rPr>
          <w:rStyle w:val="CharDefText"/>
        </w:rPr>
        <w:t>commencement day</w:t>
      </w:r>
      <w:r>
        <w:t xml:space="preserve"> means the day on which the </w:t>
      </w:r>
      <w:r>
        <w:rPr>
          <w:i/>
        </w:rPr>
        <w:t>Petroleum Legislation Amendment Act 2017</w:t>
      </w:r>
      <w:r>
        <w:t xml:space="preserve"> section 11 comes into operation.</w:t>
      </w:r>
    </w:p>
    <w:p>
      <w:pPr>
        <w:pStyle w:val="Footnotesection"/>
        <w:ind w:left="890" w:hanging="890"/>
      </w:pPr>
      <w:r>
        <w:tab/>
        <w:t>[Section 41 amended: No. 12 of 1990 s. 28; No. 28 of 1994 s. 15; No. 42 of 2010 s. 17; No. 7 of 2017 s. 11.]</w:t>
      </w:r>
    </w:p>
    <w:p>
      <w:pPr>
        <w:pStyle w:val="Heading5"/>
        <w:spacing w:before="240"/>
      </w:pPr>
      <w:bookmarkStart w:id="191" w:name="_Toc98946891"/>
      <w:bookmarkStart w:id="192" w:name="_Toc97630487"/>
      <w:r>
        <w:rPr>
          <w:rStyle w:val="CharSectno"/>
        </w:rPr>
        <w:t>42A</w:t>
      </w:r>
      <w:r>
        <w:t>.</w:t>
      </w:r>
      <w:r>
        <w:tab/>
        <w:t>Certain permits cannot be renewed more than twice</w:t>
      </w:r>
      <w:bookmarkEnd w:id="191"/>
      <w:bookmarkEnd w:id="192"/>
    </w:p>
    <w:p>
      <w:pPr>
        <w:pStyle w:val="Subsection"/>
      </w:pPr>
      <w:r>
        <w:tab/>
        <w:t>(1)</w:t>
      </w:r>
      <w:r>
        <w:tab/>
        <w:t xml:space="preserve">This section applies to a permit if — </w:t>
      </w:r>
    </w:p>
    <w:p>
      <w:pPr>
        <w:pStyle w:val="Indenta"/>
      </w:pPr>
      <w:r>
        <w:tab/>
        <w:t>(a)</w:t>
      </w:r>
      <w:r>
        <w:tab/>
        <w:t xml:space="preserve">the permit was granted under section 32 — </w:t>
      </w:r>
    </w:p>
    <w:p>
      <w:pPr>
        <w:pStyle w:val="Indenti"/>
      </w:pPr>
      <w:r>
        <w:tab/>
        <w:t>(i)</w:t>
      </w:r>
      <w:r>
        <w:tab/>
        <w:t xml:space="preserve">on or after the day of the coming into operation of </w:t>
      </w:r>
      <w:r>
        <w:rPr>
          <w:snapToGrid w:val="0"/>
        </w:rPr>
        <w:t>the</w:t>
      </w:r>
      <w:r>
        <w:rPr>
          <w:i/>
          <w:snapToGrid w:val="0"/>
        </w:rPr>
        <w:t xml:space="preserve"> Petroleum and Energy Legislation Amendment Act 2010</w:t>
      </w:r>
      <w:r>
        <w:rPr>
          <w:snapToGrid w:val="0"/>
        </w:rPr>
        <w:t xml:space="preserve"> </w:t>
      </w:r>
      <w:r>
        <w:t xml:space="preserve">section 18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30(1) on or after the commencement day; </w:t>
      </w:r>
    </w:p>
    <w:p>
      <w:pPr>
        <w:pStyle w:val="Indenta"/>
      </w:pPr>
      <w:r>
        <w:tab/>
      </w:r>
      <w:r>
        <w:tab/>
        <w:t>or</w:t>
      </w:r>
    </w:p>
    <w:p>
      <w:pPr>
        <w:pStyle w:val="Indenta"/>
      </w:pPr>
      <w:r>
        <w:tab/>
        <w:t>(b)</w:t>
      </w:r>
      <w:r>
        <w:tab/>
        <w:t>the permit was granted under section 37 on or after the commencement day.</w:t>
      </w:r>
    </w:p>
    <w:p>
      <w:pPr>
        <w:pStyle w:val="Subsection"/>
        <w:keepNext/>
      </w:pPr>
      <w:r>
        <w:tab/>
        <w:t>(2)</w:t>
      </w:r>
      <w:r>
        <w:tab/>
        <w:t xml:space="preserve">Despite sections 40(1) and 42,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42A inserted: No. 42 of 2010 s. 18.]</w:t>
      </w:r>
    </w:p>
    <w:p>
      <w:pPr>
        <w:pStyle w:val="Heading5"/>
      </w:pPr>
      <w:bookmarkStart w:id="193" w:name="_Toc98946892"/>
      <w:bookmarkStart w:id="194" w:name="_Toc97630488"/>
      <w:r>
        <w:rPr>
          <w:rStyle w:val="CharSectno"/>
        </w:rPr>
        <w:t>42B</w:t>
      </w:r>
      <w:r>
        <w:t>.</w:t>
      </w:r>
      <w:r>
        <w:tab/>
        <w:t>Limits on renewal of boundary-change permits</w:t>
      </w:r>
      <w:bookmarkEnd w:id="193"/>
      <w:bookmarkEnd w:id="194"/>
    </w:p>
    <w:p>
      <w:pPr>
        <w:pStyle w:val="Subsection"/>
      </w:pPr>
      <w:r>
        <w:tab/>
        <w:t>(1)</w:t>
      </w:r>
      <w:r>
        <w:tab/>
        <w:t xml:space="preserve">If — </w:t>
      </w:r>
    </w:p>
    <w:p>
      <w:pPr>
        <w:pStyle w:val="Indenta"/>
      </w:pPr>
      <w:r>
        <w:tab/>
        <w:t>(a)</w:t>
      </w:r>
      <w:r>
        <w:tab/>
        <w:t>a boundary-change permit is granted under section 37B(5); and</w:t>
      </w:r>
    </w:p>
    <w:p>
      <w:pPr>
        <w:pStyle w:val="Indenta"/>
      </w:pPr>
      <w:r>
        <w:tab/>
        <w:t>(b)</w:t>
      </w:r>
      <w:r>
        <w:tab/>
        <w:t>the relevant Commonwealth permit that ceases to be in force, as mentioned in section 37B(3)(b) or (4)(b), was granted otherwise than by way of renewal,</w:t>
      </w:r>
    </w:p>
    <w:p>
      <w:pPr>
        <w:pStyle w:val="Subsection"/>
      </w:pPr>
      <w:r>
        <w:tab/>
      </w:r>
      <w:r>
        <w:tab/>
        <w:t xml:space="preserve">then — </w:t>
      </w:r>
    </w:p>
    <w:p>
      <w:pPr>
        <w:pStyle w:val="Indenta"/>
      </w:pPr>
      <w:r>
        <w:tab/>
        <w:t>(c)</w:t>
      </w:r>
      <w:r>
        <w:tab/>
        <w:t>section 41 applies to an application for the renewal of the boundary-change permit; and</w:t>
      </w:r>
    </w:p>
    <w:p>
      <w:pPr>
        <w:pStyle w:val="Indenta"/>
      </w:pPr>
      <w:r>
        <w:tab/>
        <w:t>(d)</w:t>
      </w:r>
      <w:r>
        <w:tab/>
        <w:t>an application must not be made for the renewal of the boundary-change permit if the Minister has previously granted a renewal of the permit.</w:t>
      </w:r>
    </w:p>
    <w:p>
      <w:pPr>
        <w:pStyle w:val="Subsection"/>
      </w:pPr>
      <w:r>
        <w:tab/>
        <w:t>(2)</w:t>
      </w:r>
      <w:r>
        <w:tab/>
        <w:t xml:space="preserve">If — </w:t>
      </w:r>
    </w:p>
    <w:p>
      <w:pPr>
        <w:pStyle w:val="Indenta"/>
      </w:pPr>
      <w:r>
        <w:tab/>
        <w:t>(a)</w:t>
      </w:r>
      <w:r>
        <w:tab/>
        <w:t>a boundary-change permit is granted under section 37B(5); and</w:t>
      </w:r>
    </w:p>
    <w:p>
      <w:pPr>
        <w:pStyle w:val="Indenta"/>
      </w:pPr>
      <w:r>
        <w:tab/>
        <w:t>(b)</w:t>
      </w:r>
      <w:r>
        <w:tab/>
        <w:t>the relevant Commonwealth permit that ceases to be in force, as mentioned in section 37B(3)(b) or (4)(b), was granted by way of renewal,</w:t>
      </w:r>
    </w:p>
    <w:p>
      <w:pPr>
        <w:pStyle w:val="Subsection"/>
      </w:pPr>
      <w:r>
        <w:tab/>
      </w:r>
      <w:r>
        <w:tab/>
        <w:t>an application must not be made for the renewal of the boundary-change permit.</w:t>
      </w:r>
    </w:p>
    <w:p>
      <w:pPr>
        <w:pStyle w:val="Subsection"/>
      </w:pPr>
      <w:r>
        <w:tab/>
        <w:t>(3)</w:t>
      </w:r>
      <w:r>
        <w:tab/>
        <w:t>If a boundary-change permit is granted under section 37B(6), an application must not be made for the renewal of the permit.</w:t>
      </w:r>
    </w:p>
    <w:p>
      <w:pPr>
        <w:pStyle w:val="Footnotesection"/>
      </w:pPr>
      <w:r>
        <w:tab/>
        <w:t>[Section 42B inserted: No. 7 of 2017 s. 12.]</w:t>
      </w:r>
    </w:p>
    <w:p>
      <w:pPr>
        <w:pStyle w:val="Heading5"/>
        <w:rPr>
          <w:snapToGrid w:val="0"/>
        </w:rPr>
      </w:pPr>
      <w:bookmarkStart w:id="195" w:name="_Toc98946893"/>
      <w:bookmarkStart w:id="196" w:name="_Toc97630489"/>
      <w:r>
        <w:rPr>
          <w:rStyle w:val="CharSectno"/>
        </w:rPr>
        <w:t>42</w:t>
      </w:r>
      <w:r>
        <w:rPr>
          <w:snapToGrid w:val="0"/>
        </w:rPr>
        <w:t>.</w:t>
      </w:r>
      <w:r>
        <w:rPr>
          <w:snapToGrid w:val="0"/>
        </w:rPr>
        <w:tab/>
        <w:t>Grant or refusal of renewal of permit</w:t>
      </w:r>
      <w:bookmarkEnd w:id="195"/>
      <w:bookmarkEnd w:id="196"/>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tabs>
          <w:tab w:val="left" w:pos="2835"/>
        </w:tabs>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keepLines/>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spacing w:before="120"/>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No. 28 of 1994 s. 16.]</w:t>
      </w:r>
    </w:p>
    <w:p>
      <w:pPr>
        <w:pStyle w:val="Heading5"/>
        <w:spacing w:before="180"/>
        <w:rPr>
          <w:snapToGrid w:val="0"/>
        </w:rPr>
      </w:pPr>
      <w:bookmarkStart w:id="197" w:name="_Toc98946894"/>
      <w:bookmarkStart w:id="198" w:name="_Toc97630490"/>
      <w:r>
        <w:rPr>
          <w:rStyle w:val="CharSectno"/>
        </w:rPr>
        <w:t>43</w:t>
      </w:r>
      <w:r>
        <w:rPr>
          <w:snapToGrid w:val="0"/>
        </w:rPr>
        <w:t>.</w:t>
      </w:r>
      <w:r>
        <w:rPr>
          <w:snapToGrid w:val="0"/>
        </w:rPr>
        <w:tab/>
        <w:t>Conditions of permit</w:t>
      </w:r>
      <w:bookmarkEnd w:id="197"/>
      <w:bookmarkEnd w:id="198"/>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pPr>
      <w:r>
        <w:tab/>
        <w:t>(1A)</w:t>
      </w:r>
      <w:r>
        <w:tab/>
        <w:t>Subsection (1) does not apply to a boundary-change permit.</w:t>
      </w:r>
    </w:p>
    <w:p>
      <w:pPr>
        <w:pStyle w:val="Subsection"/>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Subsection"/>
      </w:pPr>
      <w:r>
        <w:tab/>
        <w:t>(3)</w:t>
      </w:r>
      <w:r>
        <w:tab/>
        <w:t>The Minister may, by written notice given to the permittee, vary a boundary-change permit by imposing one or more conditions to which the permit is subject.</w:t>
      </w:r>
    </w:p>
    <w:p>
      <w:pPr>
        <w:pStyle w:val="Subsection"/>
      </w:pPr>
      <w:r>
        <w:tab/>
        <w:t>(4)</w:t>
      </w:r>
      <w:r>
        <w:tab/>
        <w:t>A notice under subsection (3) may only be given within 14 days after the grant of the boundary-change permit.</w:t>
      </w:r>
    </w:p>
    <w:p>
      <w:pPr>
        <w:pStyle w:val="Subsection"/>
      </w:pPr>
      <w:r>
        <w:tab/>
        <w:t>(5)</w:t>
      </w:r>
      <w:r>
        <w:tab/>
        <w:t>A variation under subsection (3) takes effect on the day on which notice of the variation is given to the permittee.</w:t>
      </w:r>
    </w:p>
    <w:p>
      <w:pPr>
        <w:pStyle w:val="Subsection"/>
      </w:pPr>
      <w:r>
        <w:tab/>
        <w:t>(6)</w:t>
      </w:r>
      <w:r>
        <w:tab/>
        <w:t xml:space="preserve">If, when a boundary-change permit is granted, the relevant Commonwealth permit that ceases to be in force, as mentioned in section 37B(3)(b) or (4)(b), is of a kind that corresponds to a petroleum exploration permit granted under section 32(4) or 37, any or all of the conditions mentioned in subsection (7) may be specified in — </w:t>
      </w:r>
    </w:p>
    <w:p>
      <w:pPr>
        <w:pStyle w:val="Indenta"/>
      </w:pPr>
      <w:r>
        <w:tab/>
        <w:t>(a)</w:t>
      </w:r>
      <w:r>
        <w:tab/>
        <w:t>the boundary-change permit; or</w:t>
      </w:r>
    </w:p>
    <w:p>
      <w:pPr>
        <w:pStyle w:val="Indenta"/>
      </w:pPr>
      <w:r>
        <w:tab/>
        <w:t>(b)</w:t>
      </w:r>
      <w:r>
        <w:tab/>
        <w:t>a permit granted by way of the renewal of the boundary-change permit.</w:t>
      </w:r>
    </w:p>
    <w:p>
      <w:pPr>
        <w:pStyle w:val="Subsection"/>
      </w:pPr>
      <w:r>
        <w:tab/>
        <w:t>(7)</w:t>
      </w:r>
      <w:r>
        <w:tab/>
        <w:t xml:space="preserve">The following conditions are specified for the purposes of subsection (6) — </w:t>
      </w:r>
    </w:p>
    <w:p>
      <w:pPr>
        <w:pStyle w:val="Indenta"/>
      </w:pPr>
      <w:r>
        <w:tab/>
        <w:t>(a)</w:t>
      </w:r>
      <w:r>
        <w:tab/>
        <w:t>conditions requiring the permittee to carry out work in, or in relation to, the permit area (including conditions requiring the permittee to carry out the work during a period of 12 months or longer, or during periods each of which is 12 months or longer);</w:t>
      </w:r>
    </w:p>
    <w:p>
      <w:pPr>
        <w:pStyle w:val="Indenta"/>
      </w:pPr>
      <w:r>
        <w:tab/>
        <w:t>(b)</w:t>
      </w:r>
      <w:r>
        <w:tab/>
        <w:t>conditions relating to the amounts that the permittee must spend in carrying out such work;</w:t>
      </w:r>
    </w:p>
    <w:p>
      <w:pPr>
        <w:pStyle w:val="Indenta"/>
      </w:pPr>
      <w:r>
        <w:tab/>
        <w:t>(c)</w:t>
      </w:r>
      <w:r>
        <w:tab/>
        <w:t xml:space="preserve">conditions requiring the permittee to comply with directions that — </w:t>
      </w:r>
    </w:p>
    <w:p>
      <w:pPr>
        <w:pStyle w:val="Indenti"/>
      </w:pPr>
      <w:r>
        <w:tab/>
        <w:t>(i)</w:t>
      </w:r>
      <w:r>
        <w:tab/>
        <w:t>relate to the matters covered by paragraphs (a) and (b); and</w:t>
      </w:r>
    </w:p>
    <w:p>
      <w:pPr>
        <w:pStyle w:val="Indenti"/>
      </w:pPr>
      <w:r>
        <w:tab/>
        <w:t>(ii)</w:t>
      </w:r>
      <w:r>
        <w:tab/>
        <w:t>are given in accordance with the permit.</w:t>
      </w:r>
    </w:p>
    <w:p>
      <w:pPr>
        <w:pStyle w:val="Subsection"/>
      </w:pPr>
      <w:r>
        <w:tab/>
        <w:t>(8)</w:t>
      </w:r>
      <w:r>
        <w:tab/>
        <w:t>Subsection (6) does not limit subsection (3).</w:t>
      </w:r>
    </w:p>
    <w:p>
      <w:pPr>
        <w:pStyle w:val="Subsection"/>
      </w:pPr>
      <w:r>
        <w:tab/>
        <w:t>(9)</w:t>
      </w:r>
      <w:r>
        <w:tab/>
        <w:t xml:space="preserve">If — </w:t>
      </w:r>
    </w:p>
    <w:p>
      <w:pPr>
        <w:pStyle w:val="Indenta"/>
      </w:pPr>
      <w:r>
        <w:tab/>
        <w:t>(a)</w:t>
      </w:r>
      <w:r>
        <w:tab/>
        <w:t>a boundary-change permit is granted; and</w:t>
      </w:r>
    </w:p>
    <w:p>
      <w:pPr>
        <w:pStyle w:val="Indenta"/>
      </w:pPr>
      <w:r>
        <w:tab/>
        <w:t>(b)</w:t>
      </w:r>
      <w:r>
        <w:tab/>
        <w:t>the relevant Commonwealth permit that ceases to be in force, as mentioned in section 37B(3)(b) or (4)(b), is a cash</w:t>
      </w:r>
      <w:r>
        <w:noBreakHyphen/>
        <w:t>bid petroleum exploration permit, as defined in the Commonwealth Act section 7,</w:t>
      </w:r>
    </w:p>
    <w:p>
      <w:pPr>
        <w:pStyle w:val="Subsection"/>
      </w:pPr>
      <w:r>
        <w:tab/>
      </w:r>
      <w:r>
        <w:tab/>
        <w:t xml:space="preserve">the conditions mentioned in subsection (10) must not be specified in — </w:t>
      </w:r>
    </w:p>
    <w:p>
      <w:pPr>
        <w:pStyle w:val="Indenta"/>
      </w:pPr>
      <w:r>
        <w:tab/>
        <w:t>(c)</w:t>
      </w:r>
      <w:r>
        <w:tab/>
        <w:t>the boundary-change permit; or</w:t>
      </w:r>
    </w:p>
    <w:p>
      <w:pPr>
        <w:pStyle w:val="Indenta"/>
      </w:pPr>
      <w:r>
        <w:tab/>
        <w:t>(d)</w:t>
      </w:r>
      <w:r>
        <w:tab/>
        <w:t>a permit granted by way of the renewal of the boundary-change permit.</w:t>
      </w:r>
    </w:p>
    <w:p>
      <w:pPr>
        <w:pStyle w:val="Subsection"/>
      </w:pPr>
      <w:r>
        <w:tab/>
        <w:t>(10)</w:t>
      </w:r>
      <w:r>
        <w:tab/>
        <w:t xml:space="preserve">The following conditions are specified for the purposes of subsection (9) — </w:t>
      </w:r>
    </w:p>
    <w:p>
      <w:pPr>
        <w:pStyle w:val="Indenta"/>
      </w:pPr>
      <w:r>
        <w:tab/>
        <w:t>(a)</w:t>
      </w:r>
      <w:r>
        <w:tab/>
        <w:t xml:space="preserve">conditions requiring the permittee to carry out work in, or in relation to, the permit area; </w:t>
      </w:r>
    </w:p>
    <w:p>
      <w:pPr>
        <w:pStyle w:val="Indenta"/>
      </w:pPr>
      <w:r>
        <w:tab/>
        <w:t>(b)</w:t>
      </w:r>
      <w:r>
        <w:tab/>
        <w:t>conditions requiring the permittee to spend particular amounts on the carrying out of work in, or in relation to, the permit area.</w:t>
      </w:r>
    </w:p>
    <w:p>
      <w:pPr>
        <w:pStyle w:val="Footnotesection"/>
      </w:pPr>
      <w:r>
        <w:tab/>
        <w:t>[Section 43 amended: No. 12 of 1990 s. 29; No. 7 of 2017 s. 13.]</w:t>
      </w:r>
    </w:p>
    <w:p>
      <w:pPr>
        <w:pStyle w:val="Heading5"/>
        <w:keepNext w:val="0"/>
        <w:rPr>
          <w:snapToGrid w:val="0"/>
        </w:rPr>
      </w:pPr>
      <w:bookmarkStart w:id="199" w:name="_Toc98946895"/>
      <w:bookmarkStart w:id="200" w:name="_Toc97630491"/>
      <w:r>
        <w:rPr>
          <w:rStyle w:val="CharSectno"/>
        </w:rPr>
        <w:t>43A</w:t>
      </w:r>
      <w:r>
        <w:rPr>
          <w:snapToGrid w:val="0"/>
        </w:rPr>
        <w:t>.</w:t>
      </w:r>
      <w:r>
        <w:rPr>
          <w:snapToGrid w:val="0"/>
        </w:rPr>
        <w:tab/>
        <w:t>Advertisement of blocks for drilling reservations</w:t>
      </w:r>
      <w:bookmarkEnd w:id="199"/>
      <w:bookmarkEnd w:id="200"/>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No. 78 of 1990 s. 6; amended: No. 28 of 1994 s. 17; No. 35 of 2007 s. 27.]</w:t>
      </w:r>
    </w:p>
    <w:p>
      <w:pPr>
        <w:pStyle w:val="Heading5"/>
        <w:rPr>
          <w:snapToGrid w:val="0"/>
        </w:rPr>
      </w:pPr>
      <w:bookmarkStart w:id="201" w:name="_Toc98946896"/>
      <w:bookmarkStart w:id="202" w:name="_Toc97630492"/>
      <w:r>
        <w:rPr>
          <w:rStyle w:val="CharSectno"/>
        </w:rPr>
        <w:t>43B</w:t>
      </w:r>
      <w:r>
        <w:rPr>
          <w:snapToGrid w:val="0"/>
        </w:rPr>
        <w:t>.</w:t>
      </w:r>
      <w:r>
        <w:rPr>
          <w:snapToGrid w:val="0"/>
        </w:rPr>
        <w:tab/>
        <w:t>Application for drilling reservation</w:t>
      </w:r>
      <w:bookmarkEnd w:id="201"/>
      <w:bookmarkEnd w:id="202"/>
    </w:p>
    <w:p>
      <w:pPr>
        <w:pStyle w:val="Subsection"/>
        <w:rPr>
          <w:snapToGrid w:val="0"/>
        </w:rPr>
      </w:pPr>
      <w:r>
        <w:rPr>
          <w:snapToGrid w:val="0"/>
        </w:rPr>
        <w:tab/>
        <w:t>(1)</w:t>
      </w:r>
      <w:r>
        <w:rPr>
          <w:snapToGrid w:val="0"/>
        </w:rPr>
        <w:tab/>
        <w:t>An application under section 43A or 105(3)(a)(ii)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rPr>
          <w:snapToGrid w:val="0"/>
        </w:rPr>
      </w:pPr>
      <w:r>
        <w:rPr>
          <w:snapToGrid w:val="0"/>
        </w:rPr>
        <w:tab/>
        <w:t>(ii)</w:t>
      </w:r>
      <w:r>
        <w:rPr>
          <w:snapToGrid w:val="0"/>
        </w:rPr>
        <w:tab/>
        <w:t>the technical qualifications of the applicant and of the employees of the applicant;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rPr>
          <w:snapToGrid w:val="0"/>
        </w:rPr>
      </w:pPr>
      <w:r>
        <w:rPr>
          <w:snapToGrid w:val="0"/>
        </w:rPr>
        <w:tab/>
        <w:t>(v)</w:t>
      </w:r>
      <w:r>
        <w:rPr>
          <w:snapToGrid w:val="0"/>
        </w:rPr>
        <w:tab/>
        <w:t>a statement of the approximate time of the completion of the well; and</w:t>
      </w:r>
    </w:p>
    <w:p>
      <w:pPr>
        <w:pStyle w:val="Indenti"/>
        <w:rPr>
          <w:snapToGrid w:val="0"/>
        </w:rPr>
      </w:pPr>
      <w:r>
        <w:rPr>
          <w:snapToGrid w:val="0"/>
        </w:rPr>
        <w:tab/>
        <w:t>(vi)</w:t>
      </w:r>
      <w:r>
        <w:rPr>
          <w:snapToGrid w:val="0"/>
        </w:rPr>
        <w:tab/>
        <w:t xml:space="preserve">the financial resources available to the applicant;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ind w:left="890" w:hanging="890"/>
      </w:pPr>
      <w:r>
        <w:tab/>
        <w:t>[Section 43B inserted: No. 78 of 1990 s. 6; amended: No. 28 of 1994 s. 18; No. 35 of 2007 s. 28; No. 42 of 2010 s. 19.]</w:t>
      </w:r>
    </w:p>
    <w:p>
      <w:pPr>
        <w:pStyle w:val="Heading5"/>
      </w:pPr>
      <w:bookmarkStart w:id="203" w:name="_Toc98946897"/>
      <w:bookmarkStart w:id="204" w:name="_Toc97630493"/>
      <w:r>
        <w:rPr>
          <w:rStyle w:val="CharSectno"/>
        </w:rPr>
        <w:t>43CA</w:t>
      </w:r>
      <w:r>
        <w:t>.</w:t>
      </w:r>
      <w:r>
        <w:tab/>
        <w:t>More than one drilling reservation application for same block or blocks</w:t>
      </w:r>
      <w:bookmarkEnd w:id="203"/>
      <w:bookmarkEnd w:id="204"/>
    </w:p>
    <w:p>
      <w:pPr>
        <w:pStyle w:val="Subsection"/>
      </w:pPr>
      <w:r>
        <w:tab/>
        <w:t>(1)</w:t>
      </w:r>
      <w:r>
        <w:tab/>
        <w:t xml:space="preserve">This section applies if — </w:t>
      </w:r>
    </w:p>
    <w:p>
      <w:pPr>
        <w:pStyle w:val="Indenta"/>
      </w:pPr>
      <w:r>
        <w:tab/>
        <w:t>(a)</w:t>
      </w:r>
      <w:r>
        <w:tab/>
        <w:t>2 or more applications are made under section 43A for the grant of a petroleum drilling reservation for the same block or blocks; or</w:t>
      </w:r>
    </w:p>
    <w:p>
      <w:pPr>
        <w:pStyle w:val="Indenta"/>
      </w:pPr>
      <w:r>
        <w:tab/>
        <w:t>(b)</w:t>
      </w:r>
      <w:r>
        <w:tab/>
        <w:t>2 or more applications are made under section 43A for the grant of a geothermal drilling reservation for the same block or blocks.</w:t>
      </w:r>
    </w:p>
    <w:p>
      <w:pPr>
        <w:pStyle w:val="Subsection"/>
      </w:pPr>
      <w:r>
        <w:tab/>
        <w:t>(2)</w:t>
      </w:r>
      <w:r>
        <w:tab/>
        <w:t>The Minister may grant the drilling reservation to whichever applicant, in the Minister’s opinion, is most deserving of the grant of the drilling reservation,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drilling reservation.</w:t>
      </w:r>
    </w:p>
    <w:p>
      <w:pPr>
        <w:pStyle w:val="Subsection"/>
      </w:pPr>
      <w:r>
        <w:tab/>
        <w:t>(5)</w:t>
      </w:r>
      <w:r>
        <w:tab/>
        <w:t>If the Minister is of the opinion that, after considering the information accompanying the applications, 2 or more of the applicants are equally deserving of the grant of the drilling reservation,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drilling reservation.</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drilling reservation.</w:t>
      </w:r>
    </w:p>
    <w:p>
      <w:pPr>
        <w:pStyle w:val="Footnotesection"/>
      </w:pPr>
      <w:r>
        <w:tab/>
        <w:t>[Section 43CA inserted: No. 42 of 2010 s. 20.]</w:t>
      </w:r>
    </w:p>
    <w:p>
      <w:pPr>
        <w:pStyle w:val="Heading5"/>
        <w:rPr>
          <w:snapToGrid w:val="0"/>
        </w:rPr>
      </w:pPr>
      <w:bookmarkStart w:id="205" w:name="_Toc98946898"/>
      <w:bookmarkStart w:id="206" w:name="_Toc97630494"/>
      <w:r>
        <w:rPr>
          <w:rStyle w:val="CharSectno"/>
        </w:rPr>
        <w:t>43C</w:t>
      </w:r>
      <w:r>
        <w:rPr>
          <w:snapToGrid w:val="0"/>
        </w:rPr>
        <w:t>.</w:t>
      </w:r>
      <w:r>
        <w:rPr>
          <w:snapToGrid w:val="0"/>
        </w:rPr>
        <w:tab/>
        <w:t>Grant or refusal in relation to applications for drilling reservations</w:t>
      </w:r>
      <w:bookmarkEnd w:id="205"/>
      <w:bookmarkEnd w:id="206"/>
    </w:p>
    <w:p>
      <w:pPr>
        <w:pStyle w:val="Subsection"/>
        <w:rPr>
          <w:snapToGrid w:val="0"/>
        </w:rPr>
      </w:pPr>
      <w:r>
        <w:rPr>
          <w:snapToGrid w:val="0"/>
        </w:rPr>
        <w:tab/>
        <w:t>(1)</w:t>
      </w:r>
      <w:r>
        <w:rPr>
          <w:snapToGrid w:val="0"/>
        </w:rPr>
        <w:tab/>
        <w:t>Where an application has been made under section 43B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rPr>
          <w:snapToGrid w:val="0"/>
        </w:rPr>
      </w:pPr>
      <w:r>
        <w:rPr>
          <w:snapToGrid w:val="0"/>
        </w:rPr>
        <w:tab/>
        <w:t>(b)</w:t>
      </w:r>
      <w:r>
        <w:rPr>
          <w:snapToGrid w:val="0"/>
        </w:rPr>
        <w:tab/>
        <w:t>refuse to grant a drilling reservation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ind w:left="890" w:hanging="890"/>
      </w:pPr>
      <w:r>
        <w:tab/>
        <w:t>[Section 43C inserted: No. 78 of 1990 s. 6; amended: No. 28 of 1994 s. 19.]</w:t>
      </w:r>
    </w:p>
    <w:p>
      <w:pPr>
        <w:pStyle w:val="Heading5"/>
        <w:spacing w:before="180"/>
      </w:pPr>
      <w:bookmarkStart w:id="207" w:name="_Toc98946899"/>
      <w:bookmarkStart w:id="208" w:name="_Toc97630495"/>
      <w:r>
        <w:rPr>
          <w:rStyle w:val="CharSectno"/>
        </w:rPr>
        <w:t>43DA</w:t>
      </w:r>
      <w:r>
        <w:t>.</w:t>
      </w:r>
      <w:r>
        <w:tab/>
        <w:t>Withdrawal of application</w:t>
      </w:r>
      <w:bookmarkEnd w:id="207"/>
      <w:bookmarkEnd w:id="208"/>
    </w:p>
    <w:p>
      <w:pPr>
        <w:pStyle w:val="Subsection"/>
        <w:keepNext/>
      </w:pPr>
      <w:r>
        <w:tab/>
        <w:t>(1)</w:t>
      </w:r>
      <w:r>
        <w:tab/>
        <w:t xml:space="preserve">In this section and section 43DB — </w:t>
      </w:r>
    </w:p>
    <w:p>
      <w:pPr>
        <w:pStyle w:val="Defstart"/>
      </w:pPr>
      <w:r>
        <w:rPr>
          <w:b/>
        </w:rPr>
        <w:tab/>
      </w:r>
      <w:r>
        <w:rPr>
          <w:rStyle w:val="CharDefText"/>
        </w:rPr>
        <w:t>drilling reservation application</w:t>
      </w:r>
      <w:r>
        <w:t xml:space="preserve"> means an application for the grant of a drilling reservation made under section 43A or 105(3)(a)(ii).</w:t>
      </w:r>
    </w:p>
    <w:p>
      <w:pPr>
        <w:pStyle w:val="Subsection"/>
      </w:pPr>
      <w:r>
        <w:tab/>
        <w:t>(2)</w:t>
      </w:r>
      <w:r>
        <w:tab/>
        <w:t>The person who has made, or all the persons who have jointly made, a drilling reservation application may, by written notice served on the Minister, withdraw the application at any time before the drilling reservation is granted.</w:t>
      </w:r>
    </w:p>
    <w:p>
      <w:pPr>
        <w:pStyle w:val="Footnotesection"/>
      </w:pPr>
      <w:r>
        <w:tab/>
        <w:t>[Section 43DA inserted: No. 42 of 2010 s. 21.]</w:t>
      </w:r>
    </w:p>
    <w:p>
      <w:pPr>
        <w:pStyle w:val="Heading5"/>
        <w:spacing w:before="180"/>
      </w:pPr>
      <w:bookmarkStart w:id="209" w:name="_Toc98946900"/>
      <w:bookmarkStart w:id="210" w:name="_Toc97630496"/>
      <w:r>
        <w:rPr>
          <w:rStyle w:val="CharSectno"/>
        </w:rPr>
        <w:t>43DB</w:t>
      </w:r>
      <w:r>
        <w:t>.</w:t>
      </w:r>
      <w:r>
        <w:tab/>
        <w:t>Application continued after withdrawal of joint applicant</w:t>
      </w:r>
      <w:bookmarkEnd w:id="209"/>
      <w:bookmarkEnd w:id="210"/>
    </w:p>
    <w:p>
      <w:pPr>
        <w:pStyle w:val="Subsection"/>
      </w:pPr>
      <w:r>
        <w:tab/>
      </w:r>
      <w:r>
        <w:tab/>
        <w:t xml:space="preserve">If — </w:t>
      </w:r>
    </w:p>
    <w:p>
      <w:pPr>
        <w:pStyle w:val="Indenta"/>
      </w:pPr>
      <w:r>
        <w:tab/>
        <w:t>(a)</w:t>
      </w:r>
      <w:r>
        <w:tab/>
        <w:t>a drilling reservation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drilling reservation in respect of the block or blocks to which the application relates, the Minister is taken not to have informed the applicants to that effect.</w:t>
      </w:r>
    </w:p>
    <w:p>
      <w:pPr>
        <w:pStyle w:val="Footnotesection"/>
        <w:ind w:left="890" w:hanging="890"/>
      </w:pPr>
      <w:r>
        <w:tab/>
        <w:t>[Section 43DB inserted: No. 42 of 2010 s. 21.]</w:t>
      </w:r>
    </w:p>
    <w:p>
      <w:pPr>
        <w:pStyle w:val="Heading5"/>
      </w:pPr>
      <w:bookmarkStart w:id="211" w:name="_Toc98946901"/>
      <w:bookmarkStart w:id="212" w:name="_Toc97630497"/>
      <w:r>
        <w:rPr>
          <w:rStyle w:val="CharSectno"/>
        </w:rPr>
        <w:t>43DC</w:t>
      </w:r>
      <w:r>
        <w:t>.</w:t>
      </w:r>
      <w:r>
        <w:tab/>
        <w:t>Effect of withdrawal or lapse of s. 43A application</w:t>
      </w:r>
      <w:bookmarkEnd w:id="211"/>
      <w:bookmarkEnd w:id="212"/>
    </w:p>
    <w:p>
      <w:pPr>
        <w:pStyle w:val="Subsection"/>
        <w:keepNext/>
      </w:pPr>
      <w:r>
        <w:tab/>
      </w:r>
      <w:r>
        <w:tab/>
        <w:t xml:space="preserve">If — </w:t>
      </w:r>
    </w:p>
    <w:p>
      <w:pPr>
        <w:pStyle w:val="Indenta"/>
      </w:pPr>
      <w:r>
        <w:tab/>
        <w:t>(a)</w:t>
      </w:r>
      <w:r>
        <w:tab/>
        <w:t>2 or more applications have been made under section 43A for the grant of a drilling reservation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drilling reservation in respect of the block or blocks to which the application related — the Minister is taken not to have informed the applicant or applicants to that effect;</w:t>
      </w:r>
    </w:p>
    <w:p>
      <w:pPr>
        <w:pStyle w:val="Indenta"/>
        <w:keepLines/>
      </w:pPr>
      <w:r>
        <w:tab/>
        <w:t>(e)</w:t>
      </w:r>
      <w:r>
        <w:tab/>
        <w:t>if the applicant or one of the applicants whose application had been withdrawn had requested the Minister under section 43C(3) to grant a drilling reservation to the applicant concerned — the request is taken not to have been made;</w:t>
      </w:r>
    </w:p>
    <w:p>
      <w:pPr>
        <w:pStyle w:val="Indenta"/>
      </w:pPr>
      <w:r>
        <w:tab/>
        <w:t>(f)</w:t>
      </w:r>
      <w:r>
        <w:tab/>
        <w:t>if the Minister had refused to grant a drilling reservation to the remaining applicant or to any of the remaining applicants — the refusal or refusals are taken not to have occurred.</w:t>
      </w:r>
    </w:p>
    <w:p>
      <w:pPr>
        <w:pStyle w:val="Footnotesection"/>
      </w:pPr>
      <w:r>
        <w:tab/>
        <w:t>[Section 43DC inserted: No. 42 of 2010 s. 21.]</w:t>
      </w:r>
    </w:p>
    <w:p>
      <w:pPr>
        <w:pStyle w:val="Heading5"/>
        <w:rPr>
          <w:snapToGrid w:val="0"/>
        </w:rPr>
      </w:pPr>
      <w:bookmarkStart w:id="213" w:name="_Toc98946902"/>
      <w:bookmarkStart w:id="214" w:name="_Toc97630498"/>
      <w:r>
        <w:rPr>
          <w:rStyle w:val="CharSectno"/>
        </w:rPr>
        <w:t>43D</w:t>
      </w:r>
      <w:r>
        <w:rPr>
          <w:snapToGrid w:val="0"/>
        </w:rPr>
        <w:t>.</w:t>
      </w:r>
      <w:r>
        <w:rPr>
          <w:snapToGrid w:val="0"/>
        </w:rPr>
        <w:tab/>
        <w:t>Rights conferred by drilling reservation</w:t>
      </w:r>
      <w:bookmarkEnd w:id="213"/>
      <w:bookmarkEnd w:id="214"/>
    </w:p>
    <w:p>
      <w:pPr>
        <w:pStyle w:val="Subsection"/>
        <w:rPr>
          <w:snapToGrid w:val="0"/>
        </w:rPr>
      </w:pPr>
      <w:r>
        <w:rPr>
          <w:snapToGrid w:val="0"/>
        </w:rPr>
        <w:tab/>
        <w:t>(1)</w:t>
      </w:r>
      <w:r>
        <w:rPr>
          <w:snapToGrid w:val="0"/>
        </w:rPr>
        <w:tab/>
        <w:t>A petroleum drilling reservation, while it remains in force, authorises the holder of the drilling reservation, subject to this Act and in accordance with the conditions to which the drilling reservation is subject, to drill for petroleum, and to carry on such operations and execute such works as are necessary for that purpose, in the drilling reservation area.</w:t>
      </w:r>
    </w:p>
    <w:p>
      <w:pPr>
        <w:pStyle w:val="Subsection"/>
        <w:keepLines/>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No. 78 of 1990 s. 6; amended: No. 13 of 2005 s. 16(2); No. 35 of 2007 s. 29.]</w:t>
      </w:r>
    </w:p>
    <w:p>
      <w:pPr>
        <w:pStyle w:val="Heading5"/>
        <w:rPr>
          <w:snapToGrid w:val="0"/>
        </w:rPr>
      </w:pPr>
      <w:bookmarkStart w:id="215" w:name="_Toc98946903"/>
      <w:bookmarkStart w:id="216" w:name="_Toc97630499"/>
      <w:r>
        <w:rPr>
          <w:rStyle w:val="CharSectno"/>
        </w:rPr>
        <w:t>43E</w:t>
      </w:r>
      <w:r>
        <w:rPr>
          <w:snapToGrid w:val="0"/>
        </w:rPr>
        <w:t>.</w:t>
      </w:r>
      <w:r>
        <w:rPr>
          <w:snapToGrid w:val="0"/>
        </w:rPr>
        <w:tab/>
        <w:t>Term of drilling reservation</w:t>
      </w:r>
      <w:bookmarkEnd w:id="215"/>
      <w:bookmarkEnd w:id="216"/>
    </w:p>
    <w:p>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No. 78 of 1990 s. 6; amended: No. 17 of 1999 s. 25.]</w:t>
      </w:r>
    </w:p>
    <w:p>
      <w:pPr>
        <w:pStyle w:val="Heading5"/>
        <w:rPr>
          <w:snapToGrid w:val="0"/>
        </w:rPr>
      </w:pPr>
      <w:bookmarkStart w:id="217" w:name="_Toc98946904"/>
      <w:bookmarkStart w:id="218" w:name="_Toc97630500"/>
      <w:r>
        <w:rPr>
          <w:rStyle w:val="CharSectno"/>
        </w:rPr>
        <w:t>43F</w:t>
      </w:r>
      <w:r>
        <w:rPr>
          <w:snapToGrid w:val="0"/>
        </w:rPr>
        <w:t>.</w:t>
      </w:r>
      <w:r>
        <w:rPr>
          <w:snapToGrid w:val="0"/>
        </w:rPr>
        <w:tab/>
        <w:t>Extension of term of drilling reservation</w:t>
      </w:r>
      <w:bookmarkEnd w:id="217"/>
      <w:bookmarkEnd w:id="218"/>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 and</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No. 78 of 1990 s. 6; amended: No. 28 of 1994 s. 20; No. 17 of 1999 s. 26(1)</w:t>
      </w:r>
      <w:r>
        <w:noBreakHyphen/>
        <w:t>(4).]</w:t>
      </w:r>
    </w:p>
    <w:p>
      <w:pPr>
        <w:pStyle w:val="Heading5"/>
        <w:spacing w:before="180"/>
        <w:rPr>
          <w:snapToGrid w:val="0"/>
        </w:rPr>
      </w:pPr>
      <w:bookmarkStart w:id="219" w:name="_Toc98946905"/>
      <w:bookmarkStart w:id="220" w:name="_Toc97630501"/>
      <w:r>
        <w:rPr>
          <w:rStyle w:val="CharSectno"/>
        </w:rPr>
        <w:t>44</w:t>
      </w:r>
      <w:r>
        <w:rPr>
          <w:snapToGrid w:val="0"/>
        </w:rPr>
        <w:t>.</w:t>
      </w:r>
      <w:r>
        <w:rPr>
          <w:snapToGrid w:val="0"/>
        </w:rPr>
        <w:tab/>
        <w:t>Discovery of petroleum or</w:t>
      </w:r>
      <w:r>
        <w:t xml:space="preserve"> geothermal energy resources</w:t>
      </w:r>
      <w:r>
        <w:rPr>
          <w:snapToGrid w:val="0"/>
        </w:rPr>
        <w:t xml:space="preserve"> to be notified etc.</w:t>
      </w:r>
      <w:bookmarkEnd w:id="219"/>
      <w:bookmarkEnd w:id="220"/>
    </w:p>
    <w:p>
      <w:pPr>
        <w:pStyle w:val="Subsection"/>
        <w:spacing w:before="120"/>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pPr>
      <w:r>
        <w:tab/>
      </w:r>
      <w:r>
        <w:tab/>
        <w:t>the permittee or the holder of the drilling reservation, as the case requires, shall, within a period of 3 days after the date of the discovery, furnish to the Minister particulars in writing of the discovery.</w:t>
      </w:r>
    </w:p>
    <w:p>
      <w:pPr>
        <w:pStyle w:val="Penstart"/>
      </w:pPr>
      <w:r>
        <w:tab/>
        <w:t>Penalty for an offence under subsection (1), (1a) or (1b): a fine of $10 000.</w:t>
      </w:r>
    </w:p>
    <w:p>
      <w:pPr>
        <w:pStyle w:val="Ednotesubsection"/>
        <w:spacing w:before="120"/>
      </w:pPr>
      <w:r>
        <w:tab/>
        <w:t>[(2)</w:t>
      </w:r>
      <w:r>
        <w:tab/>
        <w:t>deleted]</w:t>
      </w:r>
    </w:p>
    <w:p>
      <w:pPr>
        <w:pStyle w:val="Footnotesection"/>
      </w:pPr>
      <w:r>
        <w:tab/>
        <w:t>[Section 44 amended: No. 12 of 1990 s. 30; No. 78 of 1990 s. 7; No. 35 of 2007 s. 30; No. 42 of 2010 s. 22.]</w:t>
      </w:r>
    </w:p>
    <w:p>
      <w:pPr>
        <w:pStyle w:val="Ednotesection"/>
        <w:spacing w:before="180"/>
      </w:pPr>
      <w:r>
        <w:t>[</w:t>
      </w:r>
      <w:r>
        <w:rPr>
          <w:b/>
        </w:rPr>
        <w:t>45.</w:t>
      </w:r>
      <w:r>
        <w:tab/>
        <w:t>Deleted: No. 42 of 2010 s. 23.]</w:t>
      </w:r>
    </w:p>
    <w:p>
      <w:pPr>
        <w:pStyle w:val="Heading5"/>
        <w:spacing w:before="180"/>
        <w:rPr>
          <w:snapToGrid w:val="0"/>
        </w:rPr>
      </w:pPr>
      <w:bookmarkStart w:id="221" w:name="_Toc98946906"/>
      <w:bookmarkStart w:id="222" w:name="_Toc97630502"/>
      <w:r>
        <w:rPr>
          <w:rStyle w:val="CharSectno"/>
        </w:rPr>
        <w:t>46</w:t>
      </w:r>
      <w:r>
        <w:rPr>
          <w:snapToGrid w:val="0"/>
        </w:rPr>
        <w:t>.</w:t>
      </w:r>
      <w:r>
        <w:rPr>
          <w:snapToGrid w:val="0"/>
        </w:rPr>
        <w:tab/>
        <w:t>Nomination of blocks as location</w:t>
      </w:r>
      <w:bookmarkEnd w:id="221"/>
      <w:bookmarkEnd w:id="222"/>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pPr>
      <w:r>
        <w:tab/>
        <w:t>(2a)</w:t>
      </w:r>
      <w:r>
        <w:tab/>
        <w:t>If 2 or more geothermal resources areas are identified in a geothermal permit area or geothermal drilling reservation, 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No. 12 of 1990 s. 32; amended: No. 78 of 1990 s. 7; No. 35 of 2007 s. 32 (correction to reprint</w:t>
      </w:r>
      <w:del w:id="223" w:author="Master Repository Process" w:date="2022-03-30T12:17:00Z">
        <w:r>
          <w:delText xml:space="preserve"> in</w:delText>
        </w:r>
      </w:del>
      <w:ins w:id="224" w:author="Master Repository Process" w:date="2022-03-30T12:17:00Z">
        <w:r>
          <w:t>:</w:t>
        </w:r>
      </w:ins>
      <w:r>
        <w:t xml:space="preserve"> Gazette 23 Jun 2009 p. 2470).]</w:t>
      </w:r>
    </w:p>
    <w:p>
      <w:pPr>
        <w:pStyle w:val="Heading5"/>
        <w:rPr>
          <w:snapToGrid w:val="0"/>
        </w:rPr>
      </w:pPr>
      <w:bookmarkStart w:id="225" w:name="_Toc98946907"/>
      <w:bookmarkStart w:id="226" w:name="_Toc97630503"/>
      <w:r>
        <w:rPr>
          <w:rStyle w:val="CharSectno"/>
        </w:rPr>
        <w:t>47</w:t>
      </w:r>
      <w:r>
        <w:rPr>
          <w:snapToGrid w:val="0"/>
        </w:rPr>
        <w:t>.</w:t>
      </w:r>
      <w:r>
        <w:rPr>
          <w:snapToGrid w:val="0"/>
        </w:rPr>
        <w:tab/>
        <w:t>Declaration of location</w:t>
      </w:r>
      <w:bookmarkEnd w:id="225"/>
      <w:bookmarkEnd w:id="226"/>
    </w:p>
    <w:p>
      <w:pPr>
        <w:pStyle w:val="Subsection"/>
      </w:pPr>
      <w:r>
        <w:tab/>
        <w:t>(1A)</w:t>
      </w:r>
      <w:r>
        <w:tab/>
        <w:t xml:space="preserve">In this section — </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tab/>
        <w:t>(b)</w:t>
      </w:r>
      <w:r>
        <w:tab/>
        <w:t>if a graticular section is wholly within the area that was covered by the Commonwealth permit concerned — the graticular section; or</w:t>
      </w:r>
    </w:p>
    <w:p>
      <w:pPr>
        <w:pStyle w:val="Defpara"/>
      </w:pPr>
      <w:r>
        <w:tab/>
        <w:t>(c)</w:t>
      </w:r>
      <w:r>
        <w:tab/>
        <w:t>if a part only of a graticular section is within the area that was covered by the Commonwealth permit concerned — that part of the graticular section.</w:t>
      </w:r>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pPr>
      <w:r>
        <w:tab/>
        <w:t>(2A)</w:t>
      </w:r>
      <w:r>
        <w:tab/>
        <w:t xml:space="preserve">Subsection (2B) applies if — </w:t>
      </w:r>
    </w:p>
    <w:p>
      <w:pPr>
        <w:pStyle w:val="Indenta"/>
      </w:pPr>
      <w:r>
        <w:tab/>
        <w:t>(a)</w:t>
      </w:r>
      <w:r>
        <w:tab/>
        <w:t>a boundary-change permit is granted over one or more section 27 blocks; and</w:t>
      </w:r>
    </w:p>
    <w:p>
      <w:pPr>
        <w:pStyle w:val="Indenta"/>
      </w:pPr>
      <w:r>
        <w:tab/>
        <w:t>(b)</w:t>
      </w:r>
      <w:r>
        <w:tab/>
        <w:t>immediately before the grant, those section 27 blocks were, or were part of, a location as defined in the Commonwealth Act section 7; and</w:t>
      </w:r>
    </w:p>
    <w:p>
      <w:pPr>
        <w:pStyle w:val="Indenta"/>
      </w:pPr>
      <w:r>
        <w:tab/>
        <w:t>(c)</w:t>
      </w:r>
      <w:r>
        <w:tab/>
        <w:t>apart from this subsection, those section 27 blocks are not, and are not part of, a location as defined in section 5 of this Act.</w:t>
      </w:r>
    </w:p>
    <w:p>
      <w:pPr>
        <w:pStyle w:val="Subsection"/>
      </w:pPr>
      <w:r>
        <w:tab/>
        <w:t>(2B)</w:t>
      </w:r>
      <w:r>
        <w:tab/>
        <w:t xml:space="preserve">The Minister is taken — </w:t>
      </w:r>
    </w:p>
    <w:p>
      <w:pPr>
        <w:pStyle w:val="Indenta"/>
      </w:pPr>
      <w:r>
        <w:tab/>
        <w:t>(a)</w:t>
      </w:r>
      <w:r>
        <w:tab/>
        <w:t>to have declared those section 27 blocks to be a location; and</w:t>
      </w:r>
    </w:p>
    <w:p>
      <w:pPr>
        <w:pStyle w:val="Indenta"/>
      </w:pPr>
      <w:r>
        <w:tab/>
        <w:t>(b)</w:t>
      </w:r>
      <w:r>
        <w:tab/>
        <w:t>to have done so immediately after the grant.</w:t>
      </w:r>
    </w:p>
    <w:p>
      <w:pPr>
        <w:pStyle w:val="Subsection"/>
      </w:pPr>
      <w:r>
        <w:tab/>
        <w:t>(2C)</w:t>
      </w:r>
      <w:r>
        <w:tab/>
        <w:t xml:space="preserve">Subsection (2D) applies if — </w:t>
      </w:r>
    </w:p>
    <w:p>
      <w:pPr>
        <w:pStyle w:val="Indenta"/>
      </w:pPr>
      <w:r>
        <w:tab/>
        <w:t>(a)</w:t>
      </w:r>
      <w:r>
        <w:tab/>
        <w:t>a permit is varied under section 97A so as to include in the permit area one or more section 27 blocks; and</w:t>
      </w:r>
    </w:p>
    <w:p>
      <w:pPr>
        <w:pStyle w:val="Indenta"/>
      </w:pPr>
      <w:r>
        <w:tab/>
        <w:t>(b)</w:t>
      </w:r>
      <w:r>
        <w:tab/>
        <w:t>immediately before the variation, those section 27 blocks were, or were part of, a location as defined in the Commonwealth Act section 7; and</w:t>
      </w:r>
    </w:p>
    <w:p>
      <w:pPr>
        <w:pStyle w:val="Indenta"/>
      </w:pPr>
      <w:r>
        <w:tab/>
        <w:t>(c)</w:t>
      </w:r>
      <w:r>
        <w:tab/>
        <w:t>apart from this subsection, those section 27 blocks are not, and are not part of, a location as defined in section 5 of this Act.</w:t>
      </w:r>
    </w:p>
    <w:p>
      <w:pPr>
        <w:pStyle w:val="Subsection"/>
      </w:pPr>
      <w:r>
        <w:tab/>
        <w:t>(2D)</w:t>
      </w:r>
      <w:r>
        <w:tab/>
        <w:t xml:space="preserve">The Minister is taken — </w:t>
      </w:r>
    </w:p>
    <w:p>
      <w:pPr>
        <w:pStyle w:val="Indenta"/>
      </w:pPr>
      <w:r>
        <w:tab/>
        <w:t>(a)</w:t>
      </w:r>
      <w:r>
        <w:tab/>
        <w:t>to have declared those section 27 blocks to be a location; and</w:t>
      </w:r>
    </w:p>
    <w:p>
      <w:pPr>
        <w:pStyle w:val="Indenta"/>
      </w:pPr>
      <w:r>
        <w:tab/>
        <w:t>(b)</w:t>
      </w:r>
      <w:r>
        <w:tab/>
        <w:t>to have done so immediately after the variation.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pPr>
      <w:r>
        <w:tab/>
        <w:t>(4a)</w:t>
      </w:r>
      <w:r>
        <w:tab/>
        <w:t xml:space="preserve">The Minister may vary a declaration that relates to geothermal energy resources by — </w:t>
      </w:r>
    </w:p>
    <w:p>
      <w:pPr>
        <w:pStyle w:val="Indenta"/>
      </w:pPr>
      <w:r>
        <w:tab/>
        <w:t>(a)</w:t>
      </w:r>
      <w:r>
        <w:tab/>
        <w:t>adding to the location a block in the permit area or drilling reservation, as the case requires, to which, in the opinion of the Minister, a geothermal resources area within the location extends; or</w:t>
      </w:r>
    </w:p>
    <w:p>
      <w:pPr>
        <w:pStyle w:val="Indenta"/>
      </w:pPr>
      <w:r>
        <w:tab/>
        <w:t>(b)</w:t>
      </w:r>
      <w:r>
        <w:tab/>
        <w:t>deleting from the location a block to which, in the opinion of the Minister, no geothermal resources area within the location extends.</w:t>
      </w:r>
    </w:p>
    <w:p>
      <w:pPr>
        <w:pStyle w:val="Subsection"/>
        <w:keepNext/>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Subsection"/>
        <w:spacing w:before="120"/>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spacing w:before="80"/>
        <w:ind w:left="890" w:hanging="890"/>
      </w:pPr>
      <w:r>
        <w:tab/>
        <w:t>[Section 47 inserted: No. 12 of 1990 s. 32; amended: No. 78 of 1990 s. 7; No. 35 of 2007 s. 33; No. 42 of 2010 s. 24; No. 7 of 2017 s. 14.]</w:t>
      </w:r>
    </w:p>
    <w:p>
      <w:pPr>
        <w:pStyle w:val="Heading5"/>
        <w:spacing w:before="180"/>
        <w:rPr>
          <w:snapToGrid w:val="0"/>
        </w:rPr>
      </w:pPr>
      <w:bookmarkStart w:id="227" w:name="_Toc98946908"/>
      <w:bookmarkStart w:id="228" w:name="_Toc97630504"/>
      <w:r>
        <w:rPr>
          <w:rStyle w:val="CharSectno"/>
        </w:rPr>
        <w:t>48</w:t>
      </w:r>
      <w:r>
        <w:rPr>
          <w:snapToGrid w:val="0"/>
        </w:rPr>
        <w:t>.</w:t>
      </w:r>
      <w:r>
        <w:rPr>
          <w:snapToGrid w:val="0"/>
        </w:rPr>
        <w:tab/>
        <w:t>Immediately adjoining blocks</w:t>
      </w:r>
      <w:bookmarkEnd w:id="227"/>
      <w:bookmarkEnd w:id="228"/>
    </w:p>
    <w:p>
      <w:pPr>
        <w:pStyle w:val="Subsection"/>
        <w:spacing w:before="120"/>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rPr>
          <w:snapToGrid w:val="0"/>
        </w:rPr>
      </w:pPr>
      <w:r>
        <w:rPr>
          <w:snapToGrid w:val="0"/>
        </w:rPr>
        <w:tab/>
        <w:t>(b)</w:t>
      </w:r>
      <w:r>
        <w:rPr>
          <w:snapToGrid w:val="0"/>
        </w:rPr>
        <w:tab/>
        <w:t>are joined together at one point only.</w:t>
      </w:r>
    </w:p>
    <w:p>
      <w:pPr>
        <w:pStyle w:val="Footnotesection"/>
        <w:keepLines w:val="0"/>
        <w:ind w:left="890" w:hanging="890"/>
      </w:pPr>
      <w:r>
        <w:tab/>
        <w:t>[Section 48 amended: No. 12 of 1990 s. 33.]</w:t>
      </w:r>
    </w:p>
    <w:p>
      <w:pPr>
        <w:pStyle w:val="Heading3"/>
        <w:pageBreakBefore/>
        <w:spacing w:before="0"/>
      </w:pPr>
      <w:bookmarkStart w:id="229" w:name="_Toc97629614"/>
      <w:bookmarkStart w:id="230" w:name="_Toc97629967"/>
      <w:bookmarkStart w:id="231" w:name="_Toc97630505"/>
      <w:bookmarkStart w:id="232" w:name="_Toc98748420"/>
      <w:bookmarkStart w:id="233" w:name="_Toc98766060"/>
      <w:bookmarkStart w:id="234" w:name="_Toc98834327"/>
      <w:bookmarkStart w:id="235" w:name="_Toc98946909"/>
      <w:r>
        <w:rPr>
          <w:rStyle w:val="CharDivNo"/>
        </w:rPr>
        <w:t>Division 2A</w:t>
      </w:r>
      <w:r>
        <w:rPr>
          <w:snapToGrid w:val="0"/>
        </w:rPr>
        <w:t> — </w:t>
      </w:r>
      <w:r>
        <w:rPr>
          <w:rStyle w:val="CharDivText"/>
        </w:rPr>
        <w:t>Retention leases</w:t>
      </w:r>
      <w:bookmarkEnd w:id="229"/>
      <w:bookmarkEnd w:id="230"/>
      <w:bookmarkEnd w:id="231"/>
      <w:bookmarkEnd w:id="232"/>
      <w:bookmarkEnd w:id="233"/>
      <w:bookmarkEnd w:id="234"/>
      <w:bookmarkEnd w:id="235"/>
    </w:p>
    <w:p>
      <w:pPr>
        <w:pStyle w:val="Footnoteheading"/>
      </w:pPr>
      <w:r>
        <w:tab/>
        <w:t>[Heading inserted: No. 12 of 1990 s. 34; amended: No. 35 of 2007 s. 34.]</w:t>
      </w:r>
    </w:p>
    <w:p>
      <w:pPr>
        <w:pStyle w:val="Heading5"/>
        <w:spacing w:before="240"/>
        <w:rPr>
          <w:snapToGrid w:val="0"/>
        </w:rPr>
      </w:pPr>
      <w:bookmarkStart w:id="236" w:name="_Toc98946910"/>
      <w:bookmarkStart w:id="237" w:name="_Toc97630506"/>
      <w:r>
        <w:rPr>
          <w:rStyle w:val="CharSectno"/>
        </w:rPr>
        <w:t>48A</w:t>
      </w:r>
      <w:r>
        <w:rPr>
          <w:snapToGrid w:val="0"/>
        </w:rPr>
        <w:t>.</w:t>
      </w:r>
      <w:r>
        <w:rPr>
          <w:snapToGrid w:val="0"/>
        </w:rPr>
        <w:tab/>
        <w:t>Application by permittee or holder of drilling reservation for lease</w:t>
      </w:r>
      <w:bookmarkEnd w:id="236"/>
      <w:bookmarkEnd w:id="237"/>
    </w:p>
    <w:p>
      <w:pPr>
        <w:pStyle w:val="Subsection"/>
        <w:spacing w:before="180"/>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spacing w:before="18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spacing w:before="180"/>
        <w:rPr>
          <w:snapToGrid w:val="0"/>
        </w:rPr>
      </w:pPr>
      <w:r>
        <w:rPr>
          <w:snapToGrid w:val="0"/>
        </w:rPr>
        <w:tab/>
        <w:t>(2)</w:t>
      </w:r>
      <w:r>
        <w:rPr>
          <w:snapToGrid w:val="0"/>
        </w:rPr>
        <w:tab/>
        <w:t>An application under subsection (1) or (1a)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petroleum </w:t>
      </w:r>
      <w:r>
        <w:t>or geothermal energy</w:t>
      </w:r>
      <w:r>
        <w:rPr>
          <w:snapToGrid w:val="0"/>
        </w:rPr>
        <w:t xml:space="preserve"> from that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set out any other matters that the applicant wishes to be considered;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ind w:left="890" w:hanging="890"/>
      </w:pPr>
      <w:r>
        <w:tab/>
        <w:t>[Section 48A inserted: No. 12 of 1990 s. 34; amended: No. 78 of 1990 s. 7; No. 35 of 2007 s. 35; No. 42 of 2010 s. 25.]</w:t>
      </w:r>
    </w:p>
    <w:p>
      <w:pPr>
        <w:pStyle w:val="Heading5"/>
        <w:rPr>
          <w:snapToGrid w:val="0"/>
        </w:rPr>
      </w:pPr>
      <w:bookmarkStart w:id="238" w:name="_Toc98946911"/>
      <w:bookmarkStart w:id="239" w:name="_Toc97630507"/>
      <w:r>
        <w:rPr>
          <w:rStyle w:val="CharSectno"/>
        </w:rPr>
        <w:t>48B</w:t>
      </w:r>
      <w:r>
        <w:rPr>
          <w:snapToGrid w:val="0"/>
        </w:rPr>
        <w:t>.</w:t>
      </w:r>
      <w:r>
        <w:rPr>
          <w:snapToGrid w:val="0"/>
        </w:rPr>
        <w:tab/>
        <w:t>Grant or refusal of lease in relation to application</w:t>
      </w:r>
      <w:bookmarkEnd w:id="238"/>
      <w:bookmarkEnd w:id="239"/>
    </w:p>
    <w:p>
      <w:pPr>
        <w:pStyle w:val="Subsection"/>
      </w:pPr>
      <w:r>
        <w:tab/>
        <w:t>(1)</w:t>
      </w:r>
      <w:r>
        <w:tab/>
        <w:t xml:space="preserve">If — </w:t>
      </w:r>
    </w:p>
    <w:p>
      <w:pPr>
        <w:pStyle w:val="Indenta"/>
      </w:pPr>
      <w:r>
        <w:tab/>
        <w:t>(a)</w:t>
      </w:r>
      <w:r>
        <w:tab/>
        <w:t>an application has been made under section 48A(1); and</w:t>
      </w:r>
    </w:p>
    <w:p>
      <w:pPr>
        <w:pStyle w:val="Indenta"/>
      </w:pPr>
      <w:r>
        <w:tab/>
        <w:t>(b)</w:t>
      </w:r>
      <w:r>
        <w:tab/>
        <w:t>the applicant has furnished any further information as and when required by the Minister under section 48A(3); and</w:t>
      </w:r>
    </w:p>
    <w:p>
      <w:pPr>
        <w:pStyle w:val="Indenta"/>
        <w:keepNext/>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petroleum retention lease in respect of the block or blocks as to which the Minister is satisfied as mentioned in paragraph (c).</w:t>
      </w:r>
    </w:p>
    <w:p>
      <w:pPr>
        <w:pStyle w:val="Subsection"/>
      </w:pPr>
      <w:r>
        <w:tab/>
        <w:t>(2A)</w:t>
      </w:r>
      <w:r>
        <w:tab/>
        <w:t xml:space="preserve">If — </w:t>
      </w:r>
    </w:p>
    <w:p>
      <w:pPr>
        <w:pStyle w:val="Indenta"/>
      </w:pPr>
      <w:r>
        <w:tab/>
        <w:t>(a)</w:t>
      </w:r>
      <w:r>
        <w:tab/>
        <w:t>an application has been made under section 48A(1a); and</w:t>
      </w:r>
    </w:p>
    <w:p>
      <w:pPr>
        <w:pStyle w:val="Indenta"/>
      </w:pPr>
      <w:r>
        <w:tab/>
        <w:t>(b)</w:t>
      </w:r>
      <w:r>
        <w:tab/>
        <w:t>the applicant has furnished any further information as and when required by the Minister under section 48A(3);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geothermal energy resources; and</w:t>
      </w:r>
    </w:p>
    <w:p>
      <w:pPr>
        <w:pStyle w:val="Indenti"/>
      </w:pPr>
      <w:r>
        <w:tab/>
        <w:t>(ii)</w:t>
      </w:r>
      <w:r>
        <w:tab/>
        <w:t>the recovery of geothermal energy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w:t>
      </w:r>
      <w:r>
        <w:t>1)(c) or (2A)(c), whichever is applicable, in relation to the block, or all the blocks,</w:t>
      </w:r>
      <w:r>
        <w:rPr>
          <w:snapToGrid w:val="0"/>
        </w:rPr>
        <w:t xml:space="preserve">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48A specifying 2 or more blocks; and</w:t>
      </w:r>
    </w:p>
    <w:p>
      <w:pPr>
        <w:pStyle w:val="Indenta"/>
        <w:keepNext/>
      </w:pPr>
      <w:r>
        <w:tab/>
        <w:t>(b)</w:t>
      </w:r>
      <w:r>
        <w:tab/>
        <w:t>the Minister is not satisfied as mentioned in subsection (1)(c) or (2A)(c), whichever is applicable, in relation to one or more, but not all, of the blocks,</w:t>
      </w:r>
    </w:p>
    <w:p>
      <w:pPr>
        <w:pStyle w:val="Subsection"/>
      </w:pPr>
      <w:r>
        <w:tab/>
      </w:r>
      <w:r>
        <w:tab/>
        <w:t>the Minister shall, by notice in writing served on the applicant, refuse to grant a lease to the applicant in respect of the block or blocks as to which the Minister is not satisfied as mentioned in subsection (1)(c) or (2A)(c).</w:t>
      </w:r>
    </w:p>
    <w:p>
      <w:pPr>
        <w:pStyle w:val="Subsection"/>
        <w:keepNext/>
        <w:rPr>
          <w:snapToGrid w:val="0"/>
        </w:rPr>
      </w:pPr>
      <w:r>
        <w:rPr>
          <w:snapToGrid w:val="0"/>
        </w:rPr>
        <w:tab/>
        <w:t>(3)</w:t>
      </w:r>
      <w:r>
        <w:rPr>
          <w:snapToGrid w:val="0"/>
        </w:rPr>
        <w:tab/>
        <w:t xml:space="preserve">An instrument under subsection (1) </w:t>
      </w:r>
      <w:r>
        <w:t xml:space="preserve">or (2A) </w:t>
      </w:r>
      <w:r>
        <w:rPr>
          <w:snapToGrid w:val="0"/>
        </w:rPr>
        <w:t>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80"/>
        <w:rPr>
          <w:snapToGrid w:val="0"/>
        </w:rPr>
      </w:pPr>
      <w:r>
        <w:rPr>
          <w:snapToGrid w:val="0"/>
        </w:rPr>
        <w:tab/>
        <w:t>(4)</w:t>
      </w:r>
      <w:r>
        <w:rPr>
          <w:snapToGrid w:val="0"/>
        </w:rPr>
        <w:tab/>
        <w:t xml:space="preserve">An applicant on whom there has been served an instrument under subsection (1) </w:t>
      </w:r>
      <w:r>
        <w:t xml:space="preserve">or (2A) </w:t>
      </w:r>
      <w:r>
        <w:rPr>
          <w:snapToGrid w:val="0"/>
        </w:rPr>
        <w:t>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spacing w:before="180"/>
        <w:rPr>
          <w:snapToGrid w:val="0"/>
        </w:rPr>
      </w:pPr>
      <w:r>
        <w:rPr>
          <w:snapToGrid w:val="0"/>
        </w:rPr>
        <w:tab/>
        <w:t>(5)</w:t>
      </w:r>
      <w:r>
        <w:rPr>
          <w:snapToGrid w:val="0"/>
        </w:rPr>
        <w:tab/>
        <w:t xml:space="preserve">Where an applicant on whom there has been served an instrument under subsection (1) </w:t>
      </w:r>
      <w:r>
        <w:t xml:space="preserve">or (2A) </w:t>
      </w:r>
      <w:r>
        <w:rPr>
          <w:snapToGrid w:val="0"/>
        </w:rPr>
        <w:t xml:space="preserve">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spacing w:before="180"/>
        <w:rPr>
          <w:snapToGrid w:val="0"/>
        </w:rPr>
      </w:pPr>
      <w:r>
        <w:rPr>
          <w:snapToGrid w:val="0"/>
        </w:rPr>
        <w:tab/>
        <w:t>(6)</w:t>
      </w:r>
      <w:r>
        <w:rPr>
          <w:snapToGrid w:val="0"/>
        </w:rPr>
        <w:tab/>
        <w:t xml:space="preserve">Where an applicant on whom there has been served an instrument under subsection (1) </w:t>
      </w:r>
      <w:r>
        <w:t xml:space="preserve">or (2A) </w:t>
      </w:r>
      <w:r>
        <w:rPr>
          <w:snapToGrid w:val="0"/>
        </w:rPr>
        <w:t>has not made a request under subsection (4) within the period applicable under subsection (4), the application lapses upon the expiration of that period.</w:t>
      </w:r>
    </w:p>
    <w:p>
      <w:pPr>
        <w:pStyle w:val="Subsection"/>
        <w:spacing w:before="180"/>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No. 12 of 1990 s. 34; amended: No. 78 of 1990 s. 7; No. 28 of 1994 s. 21; No. 35 of 2007 s. 36; No. 42 of 2010 s. 26.]</w:t>
      </w:r>
    </w:p>
    <w:p>
      <w:pPr>
        <w:pStyle w:val="Heading5"/>
        <w:rPr>
          <w:snapToGrid w:val="0"/>
        </w:rPr>
      </w:pPr>
      <w:bookmarkStart w:id="240" w:name="_Toc98946912"/>
      <w:bookmarkStart w:id="241" w:name="_Toc97630508"/>
      <w:r>
        <w:rPr>
          <w:rStyle w:val="CharSectno"/>
        </w:rPr>
        <w:t>48BA</w:t>
      </w:r>
      <w:r>
        <w:rPr>
          <w:snapToGrid w:val="0"/>
        </w:rPr>
        <w:t>.</w:t>
      </w:r>
      <w:r>
        <w:rPr>
          <w:snapToGrid w:val="0"/>
        </w:rPr>
        <w:tab/>
        <w:t>Application of s. 48A and 48B where permit is transferred</w:t>
      </w:r>
      <w:bookmarkEnd w:id="240"/>
      <w:bookmarkEnd w:id="241"/>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w:t>
      </w:r>
      <w:r>
        <w:t>48A</w:t>
      </w:r>
      <w:r>
        <w:rPr>
          <w:snapToGrid w:val="0"/>
        </w:rPr>
        <w:t xml:space="preserve"> in relation to a block or blocks in respect of which a permit is in force; and</w:t>
      </w:r>
    </w:p>
    <w:p>
      <w:pPr>
        <w:pStyle w:val="Indenta"/>
        <w:keepNext/>
        <w:rPr>
          <w:snapToGrid w:val="0"/>
        </w:rPr>
      </w:pPr>
      <w:r>
        <w:rPr>
          <w:snapToGrid w:val="0"/>
        </w:rPr>
        <w:tab/>
        <w:t>(b)</w:t>
      </w:r>
      <w:r>
        <w:rPr>
          <w:snapToGrid w:val="0"/>
        </w:rPr>
        <w:tab/>
        <w:t>before a decision has been made by the Minister under section </w:t>
      </w:r>
      <w:r>
        <w:t>48B(1), (2A), (2) or (3A)</w:t>
      </w:r>
      <w:r>
        <w:rPr>
          <w:snapToGrid w:val="0"/>
        </w:rPr>
        <w:t xml:space="preserve"> in relation to the application,</w:t>
      </w:r>
    </w:p>
    <w:p>
      <w:pPr>
        <w:pStyle w:val="Subsection"/>
        <w:spacing w:before="120"/>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No. 28 of 1994 s. 22; amended: No. 42 of 2010 s. 27.]</w:t>
      </w:r>
    </w:p>
    <w:p>
      <w:pPr>
        <w:pStyle w:val="Heading5"/>
      </w:pPr>
      <w:bookmarkStart w:id="242" w:name="_Toc98946913"/>
      <w:bookmarkStart w:id="243" w:name="_Toc97630509"/>
      <w:r>
        <w:rPr>
          <w:rStyle w:val="CharSectno"/>
        </w:rPr>
        <w:t>48CA</w:t>
      </w:r>
      <w:r>
        <w:t>.</w:t>
      </w:r>
      <w:r>
        <w:tab/>
        <w:t>Application by licensee for lease</w:t>
      </w:r>
      <w:bookmarkEnd w:id="242"/>
      <w:bookmarkEnd w:id="243"/>
    </w:p>
    <w:p>
      <w:pPr>
        <w:pStyle w:val="Subsection"/>
        <w:spacing w:before="120"/>
      </w:pPr>
      <w:r>
        <w:tab/>
        <w:t>(1)</w:t>
      </w:r>
      <w:r>
        <w:tab/>
        <w:t xml:space="preserve">If — </w:t>
      </w:r>
    </w:p>
    <w:p>
      <w:pPr>
        <w:pStyle w:val="Indenta"/>
      </w:pPr>
      <w:r>
        <w:tab/>
        <w:t>(a)</w:t>
      </w:r>
      <w:r>
        <w:tab/>
        <w:t>a petroleum production licence is in force under section 63(1)(c)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keepNext/>
      </w:pPr>
      <w:r>
        <w:tab/>
        <w:t>(ii)</w:t>
      </w:r>
      <w:r>
        <w:tab/>
        <w:t>in which petroleum has been found to exist,</w:t>
      </w:r>
    </w:p>
    <w:p>
      <w:pPr>
        <w:pStyle w:val="Subsection"/>
        <w:spacing w:before="120"/>
      </w:pPr>
      <w:r>
        <w:tab/>
      </w:r>
      <w:r>
        <w:tab/>
        <w:t>the licensee may, within the application period, apply to the Minister for the grant of a petroleum retention lease in respect of the unused area.</w:t>
      </w:r>
    </w:p>
    <w:p>
      <w:pPr>
        <w:pStyle w:val="Subsection"/>
        <w:spacing w:before="120"/>
      </w:pPr>
      <w:r>
        <w:tab/>
        <w:t>(2)</w:t>
      </w:r>
      <w:r>
        <w:tab/>
        <w:t xml:space="preserve">If — </w:t>
      </w:r>
    </w:p>
    <w:p>
      <w:pPr>
        <w:pStyle w:val="Indenta"/>
      </w:pPr>
      <w:r>
        <w:tab/>
        <w:t>(a)</w:t>
      </w:r>
      <w:r>
        <w:tab/>
        <w:t>a geothermal production licence is in force under section 63(1)(c) or (2) in respect of a block or blocks; and</w:t>
      </w:r>
    </w:p>
    <w:p>
      <w:pPr>
        <w:pStyle w:val="Indenta"/>
      </w:pPr>
      <w:r>
        <w:tab/>
        <w:t>(b)</w:t>
      </w:r>
      <w:r>
        <w:tab/>
        <w:t xml:space="preserve">no operations for the recovery of geothermal energy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geothermal energy resources have been found to exist,</w:t>
      </w:r>
    </w:p>
    <w:p>
      <w:pPr>
        <w:pStyle w:val="Subsection"/>
      </w:pPr>
      <w:r>
        <w:tab/>
      </w:r>
      <w:r>
        <w:tab/>
        <w:t>the licensee may, within the application period, apply to the Minister for the grant of a geothermal retention lease in respect of the unused area.</w:t>
      </w:r>
    </w:p>
    <w:p>
      <w:pPr>
        <w:pStyle w:val="Subsection"/>
      </w:pPr>
      <w:r>
        <w:tab/>
        <w:t>(3)</w:t>
      </w:r>
      <w:r>
        <w:tab/>
        <w:t xml:space="preserve">An application under this section — </w:t>
      </w:r>
    </w:p>
    <w:p>
      <w:pPr>
        <w:pStyle w:val="Indenta"/>
        <w:spacing w:before="60"/>
      </w:pPr>
      <w:r>
        <w:tab/>
        <w:t>(a)</w:t>
      </w:r>
      <w:r>
        <w:tab/>
        <w:t>is to be made in an approved manner; and</w:t>
      </w:r>
    </w:p>
    <w:p>
      <w:pPr>
        <w:pStyle w:val="Indenta"/>
        <w:spacing w:before="60"/>
      </w:pPr>
      <w:r>
        <w:tab/>
        <w:t>(b)</w:t>
      </w:r>
      <w:r>
        <w:tab/>
        <w:t>is to be accompanied by particulars of the proposals of the applicant for work and expenditure in respect of the unused area; and</w:t>
      </w:r>
    </w:p>
    <w:p>
      <w:pPr>
        <w:pStyle w:val="Indenta"/>
        <w:spacing w:before="60"/>
      </w:pPr>
      <w:r>
        <w:tab/>
        <w:t>(c)</w:t>
      </w:r>
      <w:r>
        <w:tab/>
        <w:t>may set out any other matters that the applicant wishes to be considered; and</w:t>
      </w:r>
    </w:p>
    <w:p>
      <w:pPr>
        <w:pStyle w:val="Indenta"/>
        <w:spacing w:before="60"/>
      </w:pPr>
      <w:r>
        <w:tab/>
        <w:t>(d)</w:t>
      </w:r>
      <w:r>
        <w:tab/>
        <w:t>is to be accompanied by the prescribed fee.</w:t>
      </w:r>
    </w:p>
    <w:p>
      <w:pPr>
        <w:pStyle w:val="Subsection"/>
        <w:spacing w:before="120"/>
      </w:pPr>
      <w:r>
        <w:tab/>
        <w:t>(4)</w:t>
      </w:r>
      <w:r>
        <w:tab/>
        <w:t>An application under subsection (1) is also to be accompanied by particulars of the commercial viability of the recovery of petroleum from the unused area at the time of the application, and particulars of the possible future commercial viability of the recovery of petroleum from that area.</w:t>
      </w:r>
    </w:p>
    <w:p>
      <w:pPr>
        <w:pStyle w:val="Subsection"/>
        <w:spacing w:before="120"/>
      </w:pPr>
      <w:r>
        <w:tab/>
        <w:t>(5)</w:t>
      </w:r>
      <w:r>
        <w:tab/>
        <w:t>An application under subsection (2) is also to be accompanied by particulars of the commercial viability of the recovery of geothermal energy from the unused area at the time of the application, and particulars of the possible future commercial viability of the recovery of geothermal energy from that area.</w:t>
      </w:r>
    </w:p>
    <w:p>
      <w:pPr>
        <w:pStyle w:val="Subsection"/>
        <w:spacing w:before="120"/>
      </w:pPr>
      <w:r>
        <w:tab/>
        <w:t>(6)</w:t>
      </w:r>
      <w:r>
        <w:tab/>
        <w:t>The Minister may, at any time, by written notice served on the applicant, require the applicant to give, within the period stated in the notice, further written information in connection with an application under this section.</w:t>
      </w:r>
    </w:p>
    <w:p>
      <w:pPr>
        <w:pStyle w:val="Subsection"/>
        <w:spacing w:before="120"/>
      </w:pPr>
      <w:r>
        <w:tab/>
        <w:t>(7)</w:t>
      </w:r>
      <w:r>
        <w:tab/>
        <w:t xml:space="preserve">The application period in respect of an application under subsection (1) by a licensee is the period of 5 years that began on — </w:t>
      </w:r>
    </w:p>
    <w:p>
      <w:pPr>
        <w:pStyle w:val="Indenta"/>
        <w:spacing w:before="60"/>
      </w:pPr>
      <w:r>
        <w:tab/>
        <w:t>(a)</w:t>
      </w:r>
      <w:r>
        <w:tab/>
        <w:t>the day on which the licence was granted; or</w:t>
      </w:r>
    </w:p>
    <w:p>
      <w:pPr>
        <w:pStyle w:val="Indenta"/>
        <w:spacing w:before="60"/>
      </w:pPr>
      <w:r>
        <w:tab/>
        <w:t>(b)</w:t>
      </w:r>
      <w:r>
        <w:tab/>
        <w:t>if any operations for the recovery of petroleum have been carried on under the licence in respect of the unused area — the last day on which any such operations were carried on.</w:t>
      </w:r>
    </w:p>
    <w:p>
      <w:pPr>
        <w:pStyle w:val="Subsection"/>
        <w:spacing w:before="120"/>
      </w:pPr>
      <w:r>
        <w:tab/>
        <w:t>(8)</w:t>
      </w:r>
      <w:r>
        <w:tab/>
        <w:t xml:space="preserve">The application period in respect of an application under subsection (2) by a licensee is the period of 5 years that began on — </w:t>
      </w:r>
    </w:p>
    <w:p>
      <w:pPr>
        <w:pStyle w:val="Indenta"/>
        <w:spacing w:before="60"/>
      </w:pPr>
      <w:r>
        <w:tab/>
        <w:t>(a)</w:t>
      </w:r>
      <w:r>
        <w:tab/>
        <w:t>the day on which the licence was granted; or</w:t>
      </w:r>
    </w:p>
    <w:p>
      <w:pPr>
        <w:pStyle w:val="Indenta"/>
      </w:pPr>
      <w:r>
        <w:tab/>
        <w:t>(b)</w:t>
      </w:r>
      <w:r>
        <w:tab/>
        <w:t>if any operations for the recovery of geothermal energy have been carried on under the licence in respect of the unused area — the last day on which any such operations were carried on.</w:t>
      </w:r>
    </w:p>
    <w:p>
      <w:pPr>
        <w:pStyle w:val="Footnotesection"/>
        <w:spacing w:before="80"/>
        <w:ind w:left="890" w:hanging="890"/>
      </w:pPr>
      <w:r>
        <w:tab/>
        <w:t>[Section 48CA inserted: No. 42 of 2010 s. 28.]</w:t>
      </w:r>
    </w:p>
    <w:p>
      <w:pPr>
        <w:pStyle w:val="Heading5"/>
        <w:spacing w:before="180"/>
      </w:pPr>
      <w:bookmarkStart w:id="244" w:name="_Toc98946914"/>
      <w:bookmarkStart w:id="245" w:name="_Toc97630510"/>
      <w:r>
        <w:rPr>
          <w:rStyle w:val="CharSectno"/>
        </w:rPr>
        <w:t>48CB</w:t>
      </w:r>
      <w:r>
        <w:t>.</w:t>
      </w:r>
      <w:r>
        <w:tab/>
        <w:t>Grant or refusal of lease in relation to application by licensee</w:t>
      </w:r>
      <w:bookmarkEnd w:id="244"/>
      <w:bookmarkEnd w:id="245"/>
    </w:p>
    <w:p>
      <w:pPr>
        <w:pStyle w:val="Subsection"/>
        <w:spacing w:before="120"/>
      </w:pPr>
      <w:r>
        <w:tab/>
        <w:t>(1)</w:t>
      </w:r>
      <w:r>
        <w:tab/>
        <w:t xml:space="preserve">If — </w:t>
      </w:r>
    </w:p>
    <w:p>
      <w:pPr>
        <w:pStyle w:val="Indenta"/>
      </w:pPr>
      <w:r>
        <w:tab/>
        <w:t>(a)</w:t>
      </w:r>
      <w:r>
        <w:tab/>
        <w:t>an application has been made under section 48CA(1); and</w:t>
      </w:r>
    </w:p>
    <w:p>
      <w:pPr>
        <w:pStyle w:val="Indenta"/>
      </w:pPr>
      <w:r>
        <w:tab/>
        <w:t>(b)</w:t>
      </w:r>
      <w:r>
        <w:tab/>
        <w:t>the applicant has given any further information as and when required by the Minister under section 48CA(6); and</w:t>
      </w:r>
    </w:p>
    <w:p>
      <w:pPr>
        <w:pStyle w:val="Indenta"/>
        <w:keepNext/>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keepNext/>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unused area.</w:t>
      </w:r>
    </w:p>
    <w:p>
      <w:pPr>
        <w:pStyle w:val="Subsection"/>
        <w:spacing w:before="120"/>
      </w:pPr>
      <w:r>
        <w:tab/>
        <w:t>(2)</w:t>
      </w:r>
      <w:r>
        <w:tab/>
        <w:t xml:space="preserve">If — </w:t>
      </w:r>
    </w:p>
    <w:p>
      <w:pPr>
        <w:pStyle w:val="Indenta"/>
        <w:spacing w:before="60"/>
      </w:pPr>
      <w:r>
        <w:tab/>
        <w:t>(a)</w:t>
      </w:r>
      <w:r>
        <w:tab/>
        <w:t>an application has been made under section 48CA(2); and</w:t>
      </w:r>
    </w:p>
    <w:p>
      <w:pPr>
        <w:pStyle w:val="Indenta"/>
        <w:spacing w:before="60"/>
      </w:pPr>
      <w:r>
        <w:tab/>
        <w:t>(b)</w:t>
      </w:r>
      <w:r>
        <w:tab/>
        <w:t>the applicant has given any further information as and when required by the Minister under section 48CA(6); and</w:t>
      </w:r>
    </w:p>
    <w:p>
      <w:pPr>
        <w:pStyle w:val="Indenta"/>
        <w:spacing w:before="60"/>
      </w:pPr>
      <w:r>
        <w:tab/>
        <w:t>(c)</w:t>
      </w:r>
      <w:r>
        <w:tab/>
        <w:t xml:space="preserve">the Minister is satisfied that recovery of geothermal energy from the unused area — </w:t>
      </w:r>
    </w:p>
    <w:p>
      <w:pPr>
        <w:pStyle w:val="Indenti"/>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unused area.</w:t>
      </w:r>
    </w:p>
    <w:p>
      <w:pPr>
        <w:pStyle w:val="Subsection"/>
      </w:pPr>
      <w:r>
        <w:tab/>
        <w:t>(3)</w:t>
      </w:r>
      <w:r>
        <w:tab/>
        <w:t xml:space="preserve">If an application has been made under section 48CA and — </w:t>
      </w:r>
    </w:p>
    <w:p>
      <w:pPr>
        <w:pStyle w:val="Indenta"/>
      </w:pPr>
      <w:r>
        <w:tab/>
        <w:t>(a)</w:t>
      </w:r>
      <w:r>
        <w:tab/>
        <w:t>the applicant has not given further information as and when required by the Minister under section 48CA(6); or</w:t>
      </w:r>
    </w:p>
    <w:p>
      <w:pPr>
        <w:pStyle w:val="Indenta"/>
      </w:pPr>
      <w:r>
        <w:tab/>
        <w:t>(b)</w:t>
      </w:r>
      <w:r>
        <w:tab/>
        <w:t>the Minister is not satisfied as mentioned in subsection (1)(c) or (2)(c), as the case requires, in relation to the unused area,</w:t>
      </w:r>
    </w:p>
    <w:p>
      <w:pPr>
        <w:pStyle w:val="Subsection"/>
      </w:pPr>
      <w:r>
        <w:tab/>
      </w:r>
      <w:r>
        <w:tab/>
        <w:t>the Minister shall, by written notice served on the applicant, refuse to grant a lease to the applicant.</w:t>
      </w:r>
    </w:p>
    <w:p>
      <w:pPr>
        <w:pStyle w:val="Subsection"/>
        <w:keepNext/>
      </w:pPr>
      <w:r>
        <w:tab/>
        <w:t>(4)</w:t>
      </w:r>
      <w:r>
        <w:tab/>
        <w:t xml:space="preserve">A notice under subsection (1) or (2)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(5) in respect of the grant of the lease.</w:t>
      </w:r>
    </w:p>
    <w:p>
      <w:pPr>
        <w:pStyle w:val="Subsection"/>
      </w:pPr>
      <w:r>
        <w:tab/>
        <w:t>(5)</w:t>
      </w:r>
      <w:r>
        <w:tab/>
        <w:t>An applicant on whom a notice is served under subsection (1) or (2) may request the Minister to grant the lease to the applicant.</w:t>
      </w:r>
    </w:p>
    <w:p>
      <w:pPr>
        <w:pStyle w:val="Subsection"/>
        <w:keepNext/>
      </w:pPr>
      <w:r>
        <w:tab/>
        <w:t>(6)</w:t>
      </w:r>
      <w:r>
        <w:tab/>
        <w:t xml:space="preserve">The request must be in writing and must be made — </w:t>
      </w:r>
    </w:p>
    <w:p>
      <w:pPr>
        <w:pStyle w:val="Indenta"/>
      </w:pPr>
      <w:r>
        <w:tab/>
        <w:t>(a)</w:t>
      </w:r>
      <w:r>
        <w:tab/>
        <w:t>before the end of the period of one month after the date of service of the notice on the applicant under subsection (1) or (2);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spacing w:before="180"/>
      </w:pPr>
      <w:r>
        <w:tab/>
        <w:t>(7)</w:t>
      </w:r>
      <w:r>
        <w:tab/>
        <w:t>If the applicant makes the request within the period applicable under subsection (6), the Minister shall</w:t>
      </w:r>
      <w:r>
        <w:rPr>
          <w:snapToGrid w:val="0"/>
        </w:rPr>
        <w:t xml:space="preserve"> grant to the applicant a </w:t>
      </w:r>
      <w:r>
        <w:t xml:space="preserve">petroleum retention lease or geothermal retention lease, as the case requires, </w:t>
      </w:r>
      <w:r>
        <w:rPr>
          <w:snapToGrid w:val="0"/>
        </w:rPr>
        <w:t>in respect of the unused area</w:t>
      </w:r>
      <w:r>
        <w:t>.</w:t>
      </w:r>
    </w:p>
    <w:p>
      <w:pPr>
        <w:pStyle w:val="Subsection"/>
        <w:spacing w:before="180"/>
      </w:pPr>
      <w:r>
        <w:tab/>
        <w:t>(8)</w:t>
      </w:r>
      <w:r>
        <w:tab/>
        <w:t>If the applicant does not make the request within the period applicable under subsection (6), the application lapses at the end of that period.</w:t>
      </w:r>
    </w:p>
    <w:p>
      <w:pPr>
        <w:pStyle w:val="Subsection"/>
        <w:spacing w:before="180"/>
      </w:pPr>
      <w:r>
        <w:tab/>
        <w:t>(9)</w:t>
      </w:r>
      <w:r>
        <w:tab/>
        <w:t>On the day on which a lease is granted under this section in respect of an unused area comes into force, the licence in respect of the block or blocks of which the area consists or in which the area is included ceases to be in force in respect of the area.</w:t>
      </w:r>
    </w:p>
    <w:p>
      <w:pPr>
        <w:pStyle w:val="Footnotesection"/>
      </w:pPr>
      <w:r>
        <w:tab/>
        <w:t>[Section 48CB inserted: No. 42 of 2010 s. 28.]</w:t>
      </w:r>
    </w:p>
    <w:p>
      <w:pPr>
        <w:pStyle w:val="Heading5"/>
        <w:spacing w:before="240"/>
      </w:pPr>
      <w:bookmarkStart w:id="246" w:name="_Toc98946915"/>
      <w:bookmarkStart w:id="247" w:name="_Toc97630511"/>
      <w:r>
        <w:rPr>
          <w:rStyle w:val="CharSectno"/>
        </w:rPr>
        <w:t>48CC</w:t>
      </w:r>
      <w:r>
        <w:t>.</w:t>
      </w:r>
      <w:r>
        <w:tab/>
        <w:t>Application of s. 48CA and 48CB if licence is transferred</w:t>
      </w:r>
      <w:bookmarkEnd w:id="246"/>
      <w:bookmarkEnd w:id="247"/>
    </w:p>
    <w:p>
      <w:pPr>
        <w:pStyle w:val="Subsection"/>
        <w:spacing w:before="180"/>
      </w:pPr>
      <w:r>
        <w:tab/>
      </w:r>
      <w:r>
        <w:tab/>
        <w:t xml:space="preserve">If — </w:t>
      </w:r>
    </w:p>
    <w:p>
      <w:pPr>
        <w:pStyle w:val="Indenta"/>
      </w:pPr>
      <w:r>
        <w:tab/>
        <w:t>(a)</w:t>
      </w:r>
      <w:r>
        <w:tab/>
        <w:t>after an application has been made under section 48CA in relation to an area consisting of or included in a block or blocks in respect of which a licence is in force; and</w:t>
      </w:r>
    </w:p>
    <w:p>
      <w:pPr>
        <w:pStyle w:val="Indenta"/>
      </w:pPr>
      <w:r>
        <w:tab/>
        <w:t>(b)</w:t>
      </w:r>
      <w:r>
        <w:tab/>
        <w:t>before a decision has been made by the Minister under section 48CB(1), (2) or (3) in relation to the application,</w:t>
      </w:r>
    </w:p>
    <w:p>
      <w:pPr>
        <w:pStyle w:val="Subsection"/>
        <w:spacing w:before="180"/>
      </w:pPr>
      <w:r>
        <w:tab/>
      </w:r>
      <w:r>
        <w:tab/>
        <w:t>a transfer of the licence is registered under section 72, sections 48CA and 48CB have effect, after the time of the transfer, as if any reference in those sections to the applicant were a reference to the transferee.</w:t>
      </w:r>
    </w:p>
    <w:p>
      <w:pPr>
        <w:pStyle w:val="Footnotesection"/>
      </w:pPr>
      <w:r>
        <w:tab/>
        <w:t>[Section 48CC inserted: No. 42 of 2010 s. 28.]</w:t>
      </w:r>
    </w:p>
    <w:p>
      <w:pPr>
        <w:pStyle w:val="Heading5"/>
      </w:pPr>
      <w:bookmarkStart w:id="248" w:name="_Toc98946916"/>
      <w:bookmarkStart w:id="249" w:name="_Toc97630512"/>
      <w:r>
        <w:rPr>
          <w:rStyle w:val="CharSectno"/>
        </w:rPr>
        <w:t>48CD</w:t>
      </w:r>
      <w:r>
        <w:t>.</w:t>
      </w:r>
      <w:r>
        <w:tab/>
        <w:t>Grant of petroleum retention lease as result of change to boundary of offshore area</w:t>
      </w:r>
      <w:bookmarkEnd w:id="248"/>
      <w:bookmarkEnd w:id="249"/>
    </w:p>
    <w:p>
      <w:pPr>
        <w:pStyle w:val="Subsection"/>
      </w:pPr>
      <w:r>
        <w:tab/>
        <w:t>(1)</w:t>
      </w:r>
      <w:r>
        <w:tab/>
        <w:t xml:space="preserve">In this section — </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tab/>
        <w:t>(b)</w:t>
      </w:r>
      <w:r>
        <w:tab/>
        <w:t>if a graticular section is wholly within the area that was covered by the Commonwealth lease concerned — the graticular section; or</w:t>
      </w:r>
    </w:p>
    <w:p>
      <w:pPr>
        <w:pStyle w:val="Defpara"/>
      </w:pPr>
      <w:r>
        <w:tab/>
        <w:t>(c)</w:t>
      </w:r>
      <w:r>
        <w:tab/>
        <w:t>if a part only of a graticular section is within the area that was covered by the Commonwealth lease concerned — that part of the graticular section.</w:t>
      </w:r>
    </w:p>
    <w:p>
      <w:pPr>
        <w:pStyle w:val="PermNoteHeading"/>
      </w:pPr>
      <w:r>
        <w:tab/>
        <w:t>Note for this definition:</w:t>
      </w:r>
    </w:p>
    <w:p>
      <w:pPr>
        <w:pStyle w:val="PermNoteText"/>
      </w:pPr>
      <w:r>
        <w:tab/>
      </w:r>
      <w:r>
        <w:tab/>
        <w:t>See also subsection (6).</w:t>
      </w:r>
    </w:p>
    <w:p>
      <w:pPr>
        <w:pStyle w:val="Subsection"/>
      </w:pPr>
      <w:r>
        <w:tab/>
        <w:t>(2)</w:t>
      </w:r>
      <w:r>
        <w:tab/>
        <w:t xml:space="preserve">This section applies if — </w:t>
      </w:r>
    </w:p>
    <w:p>
      <w:pPr>
        <w:pStyle w:val="Indenta"/>
      </w:pPr>
      <w:r>
        <w:tab/>
        <w:t>(a)</w:t>
      </w:r>
      <w:r>
        <w:tab/>
        <w:t xml:space="preserve">a Commonwealth lease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inshore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there are one or more section 27 blocks (the </w:t>
      </w:r>
      <w:r>
        <w:rPr>
          <w:rStyle w:val="CharDefText"/>
        </w:rPr>
        <w:t>relevant section 27 blocks</w:t>
      </w:r>
      <w:r>
        <w:t xml:space="preserve">) that — </w:t>
      </w:r>
    </w:p>
    <w:p>
      <w:pPr>
        <w:pStyle w:val="Indenti"/>
      </w:pPr>
      <w:r>
        <w:tab/>
        <w:t>(i)</w:t>
      </w:r>
      <w:r>
        <w:tab/>
        <w:t>correspond to the section 27 blocks that were covered by the Commonwealth lease immediately before the change; and</w:t>
      </w:r>
    </w:p>
    <w:p>
      <w:pPr>
        <w:pStyle w:val="Indenti"/>
      </w:pPr>
      <w:r>
        <w:tab/>
        <w:t>(ii)</w:t>
      </w:r>
      <w:r>
        <w:tab/>
        <w:t>are in the inshore area; and</w:t>
      </w:r>
    </w:p>
    <w:p>
      <w:pPr>
        <w:pStyle w:val="Indenti"/>
      </w:pPr>
      <w:r>
        <w:tab/>
        <w:t>(iii)</w:t>
      </w:r>
      <w:r>
        <w:tab/>
        <w:t>are not the subject of a variation under section 97A.</w:t>
      </w:r>
    </w:p>
    <w:p>
      <w:pPr>
        <w:pStyle w:val="Subsection"/>
        <w:keepNext/>
      </w:pPr>
      <w:r>
        <w:tab/>
        <w:t>(3)</w:t>
      </w:r>
      <w:r>
        <w:tab/>
        <w:t xml:space="preserve">The conditions mentioned in subsection (2)(c)(i) are — </w:t>
      </w:r>
    </w:p>
    <w:p>
      <w:pPr>
        <w:pStyle w:val="Indenta"/>
      </w:pPr>
      <w:r>
        <w:tab/>
        <w:t>(a)</w:t>
      </w:r>
      <w:r>
        <w:tab/>
        <w:t>one or more, but not all, of the section 27 blocks that were covered by the Commonwealth lease immediately before the change are in the relevant area; and</w:t>
      </w:r>
    </w:p>
    <w:p>
      <w:pPr>
        <w:pStyle w:val="Indenta"/>
      </w:pPr>
      <w:r>
        <w:tab/>
        <w:t>(b)</w:t>
      </w:r>
      <w:r>
        <w:tab/>
        <w:t xml:space="preserve">the Commonwealth lease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lease immediately before the change and that are in the offshore area; and</w:t>
      </w:r>
    </w:p>
    <w:p>
      <w:pPr>
        <w:pStyle w:val="Indenti"/>
      </w:pPr>
      <w:r>
        <w:tab/>
        <w:t>(ii)</w:t>
      </w:r>
      <w:r>
        <w:tab/>
        <w:t>otherwise than as the result of the cancellation or surrender of the Commonwealth lease.</w:t>
      </w:r>
    </w:p>
    <w:p>
      <w:pPr>
        <w:pStyle w:val="Subsection"/>
      </w:pPr>
      <w:r>
        <w:tab/>
        <w:t>(4)</w:t>
      </w:r>
      <w:r>
        <w:tab/>
        <w:t xml:space="preserve">The conditions mentioned in subsection (2)(c)(ii) are — </w:t>
      </w:r>
    </w:p>
    <w:p>
      <w:pPr>
        <w:pStyle w:val="Indenta"/>
      </w:pPr>
      <w:r>
        <w:tab/>
        <w:t>(a)</w:t>
      </w:r>
      <w:r>
        <w:tab/>
        <w:t>all of the section 27 blocks that were covered by the Commonwealth lease immediately before the change are in the relevant area; and</w:t>
      </w:r>
    </w:p>
    <w:p>
      <w:pPr>
        <w:pStyle w:val="Indenta"/>
      </w:pPr>
      <w:r>
        <w:tab/>
        <w:t>(b)</w:t>
      </w:r>
      <w:r>
        <w:tab/>
        <w:t xml:space="preserve">the Commonwealth lease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lease immediately before the change; and</w:t>
      </w:r>
    </w:p>
    <w:p>
      <w:pPr>
        <w:pStyle w:val="Indenti"/>
      </w:pPr>
      <w:r>
        <w:tab/>
        <w:t>(ii)</w:t>
      </w:r>
      <w:r>
        <w:tab/>
        <w:t>otherwise than as the result of the cancellation or surrender of the Commonwealth lease.</w:t>
      </w:r>
    </w:p>
    <w:p>
      <w:pPr>
        <w:pStyle w:val="Subsection"/>
      </w:pPr>
      <w:r>
        <w:tab/>
        <w:t>(5)</w:t>
      </w:r>
      <w:r>
        <w:tab/>
        <w:t xml:space="preserve">The Minister is taken — </w:t>
      </w:r>
    </w:p>
    <w:p>
      <w:pPr>
        <w:pStyle w:val="Indenta"/>
      </w:pPr>
      <w:r>
        <w:tab/>
        <w:t>(a)</w:t>
      </w:r>
      <w:r>
        <w:tab/>
        <w:t>to have granted the holder of the Commonwealth lease a petroleum retention lease over the relevant section 27 blocks; and</w:t>
      </w:r>
    </w:p>
    <w:p>
      <w:pPr>
        <w:pStyle w:val="Indenta"/>
      </w:pPr>
      <w:r>
        <w:tab/>
        <w:t>(b)</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petroleum retention lease, see section 48D(2).</w:t>
      </w:r>
    </w:p>
    <w:p>
      <w:pPr>
        <w:pStyle w:val="Subsection"/>
      </w:pPr>
      <w:r>
        <w:tab/>
        <w:t>(6)</w:t>
      </w:r>
      <w:r>
        <w:tab/>
        <w:t xml:space="preserve">If, after the change to the boundary of the offshore area — </w:t>
      </w:r>
    </w:p>
    <w:p>
      <w:pPr>
        <w:pStyle w:val="Indenta"/>
      </w:pPr>
      <w:r>
        <w:tab/>
        <w:t>(a)</w:t>
      </w:r>
      <w:r>
        <w:tab/>
        <w:t>a part of a section 27 block that was covered by the Commonwealth lease immediately before the change is in the offshore area; and</w:t>
      </w:r>
    </w:p>
    <w:p>
      <w:pPr>
        <w:pStyle w:val="Indenta"/>
      </w:pPr>
      <w:r>
        <w:tab/>
        <w:t>(b)</w:t>
      </w:r>
      <w:r>
        <w:tab/>
        <w:t>the remaining part of the section 27 block is in the inshore area,</w:t>
      </w:r>
    </w:p>
    <w:p>
      <w:pPr>
        <w:pStyle w:val="Subsection"/>
      </w:pPr>
      <w:r>
        <w:tab/>
      </w:r>
      <w:r>
        <w:tab/>
        <w:t>then, for the purposes of this section (other than this subsection), each of those parts is taken to constitute, and to have always constituted, a section 27 block.</w:t>
      </w:r>
    </w:p>
    <w:p>
      <w:pPr>
        <w:pStyle w:val="Footnotesection"/>
      </w:pPr>
      <w:r>
        <w:tab/>
        <w:t>[Section 48CD inserted: No. 7 of 2017 s. 15.]</w:t>
      </w:r>
    </w:p>
    <w:p>
      <w:pPr>
        <w:pStyle w:val="Heading5"/>
        <w:rPr>
          <w:snapToGrid w:val="0"/>
        </w:rPr>
      </w:pPr>
      <w:bookmarkStart w:id="250" w:name="_Toc98946917"/>
      <w:bookmarkStart w:id="251" w:name="_Toc97630513"/>
      <w:r>
        <w:rPr>
          <w:rStyle w:val="CharSectno"/>
        </w:rPr>
        <w:t>48C</w:t>
      </w:r>
      <w:r>
        <w:rPr>
          <w:snapToGrid w:val="0"/>
        </w:rPr>
        <w:t>.</w:t>
      </w:r>
      <w:r>
        <w:rPr>
          <w:snapToGrid w:val="0"/>
        </w:rPr>
        <w:tab/>
        <w:t>Rights conferred by lease</w:t>
      </w:r>
      <w:bookmarkEnd w:id="250"/>
      <w:bookmarkEnd w:id="251"/>
    </w:p>
    <w:p>
      <w:pPr>
        <w:pStyle w:val="Subsection"/>
        <w:rPr>
          <w:snapToGrid w:val="0"/>
        </w:rPr>
      </w:pPr>
      <w:r>
        <w:rPr>
          <w:snapToGrid w:val="0"/>
        </w:rPr>
        <w:tab/>
        <w:t>(1)</w:t>
      </w:r>
      <w:r>
        <w:rPr>
          <w:snapToGrid w:val="0"/>
        </w:rPr>
        <w:tab/>
        <w:t>A petroleum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keepNext/>
        <w:rPr>
          <w:snapToGrid w:val="0"/>
        </w:rPr>
      </w:pPr>
      <w:r>
        <w:tab/>
        <w:t>(c)</w:t>
      </w:r>
      <w:r>
        <w:tab/>
        <w:t>to carry on such operations and execute such works in the lease area as are necessary for those purposes.</w:t>
      </w:r>
    </w:p>
    <w:p>
      <w:pPr>
        <w:pStyle w:val="Footnotesection"/>
      </w:pPr>
      <w:r>
        <w:tab/>
        <w:t>[Section 48C inserted: No. 12 of 1990 s. 34; amended: No. 13 of 2005 s. 16(2); No. 35 of 2007 s. 37.]</w:t>
      </w:r>
    </w:p>
    <w:p>
      <w:pPr>
        <w:pStyle w:val="Heading5"/>
        <w:rPr>
          <w:snapToGrid w:val="0"/>
        </w:rPr>
      </w:pPr>
      <w:bookmarkStart w:id="252" w:name="_Toc98946918"/>
      <w:bookmarkStart w:id="253" w:name="_Toc97630514"/>
      <w:r>
        <w:rPr>
          <w:rStyle w:val="CharSectno"/>
        </w:rPr>
        <w:t>48D</w:t>
      </w:r>
      <w:r>
        <w:rPr>
          <w:snapToGrid w:val="0"/>
        </w:rPr>
        <w:t>.</w:t>
      </w:r>
      <w:r>
        <w:rPr>
          <w:snapToGrid w:val="0"/>
        </w:rPr>
        <w:tab/>
        <w:t>Term of lease</w:t>
      </w:r>
      <w:bookmarkEnd w:id="252"/>
      <w:bookmarkEnd w:id="253"/>
    </w:p>
    <w:p>
      <w:pPr>
        <w:pStyle w:val="Subsection"/>
        <w:rPr>
          <w:snapToGrid w:val="0"/>
        </w:rPr>
      </w:pPr>
      <w:r>
        <w:rPr>
          <w:snapToGrid w:val="0"/>
        </w:rPr>
        <w:tab/>
      </w:r>
      <w:r>
        <w:t>(1)</w:t>
      </w:r>
      <w:r>
        <w:tab/>
        <w:t>Subject</w:t>
      </w:r>
      <w:r>
        <w:rPr>
          <w:snapToGrid w:val="0"/>
        </w:rPr>
        <w:t xml:space="preserve"> to this Part, a lease (whether granted by way of renewal of a lease or </w:t>
      </w:r>
      <w:r>
        <w:t xml:space="preserve">otherwise and other than a petroleum retention lease granted under section 48CD) </w:t>
      </w:r>
      <w:r>
        <w:rPr>
          <w:snapToGrid w:val="0"/>
        </w:rPr>
        <w:t>remains in force for a period of 5 years commencing on the day on which the lease was granted or, if a later day is specified in the lease as being the day on which the lease is to come into force, on that later day.</w:t>
      </w:r>
    </w:p>
    <w:p>
      <w:pPr>
        <w:pStyle w:val="Subsection"/>
      </w:pPr>
      <w:r>
        <w:tab/>
        <w:t>(2)</w:t>
      </w:r>
      <w:r>
        <w:tab/>
        <w:t>Subject to this Part, a petroleum retention lease granted under section 48CD remains in force for a period of 5 years commencing on the day on which the lease is granted.</w:t>
      </w:r>
    </w:p>
    <w:p>
      <w:pPr>
        <w:pStyle w:val="Footnotesection"/>
        <w:ind w:left="890" w:hanging="890"/>
      </w:pPr>
      <w:r>
        <w:tab/>
        <w:t>[Section 48D inserted: No. 12 of 1990 s. 34; amended: No. 7 of 2017 s. 16.]</w:t>
      </w:r>
    </w:p>
    <w:p>
      <w:pPr>
        <w:pStyle w:val="Heading5"/>
        <w:keepNext w:val="0"/>
        <w:keepLines w:val="0"/>
        <w:rPr>
          <w:snapToGrid w:val="0"/>
        </w:rPr>
      </w:pPr>
      <w:bookmarkStart w:id="254" w:name="_Toc98946919"/>
      <w:bookmarkStart w:id="255" w:name="_Toc97630515"/>
      <w:r>
        <w:rPr>
          <w:rStyle w:val="CharSectno"/>
        </w:rPr>
        <w:t>48E</w:t>
      </w:r>
      <w:r>
        <w:rPr>
          <w:snapToGrid w:val="0"/>
        </w:rPr>
        <w:t>.</w:t>
      </w:r>
      <w:r>
        <w:rPr>
          <w:snapToGrid w:val="0"/>
        </w:rPr>
        <w:tab/>
        <w:t>Notice of intention to cancel lease</w:t>
      </w:r>
      <w:bookmarkEnd w:id="254"/>
      <w:bookmarkEnd w:id="25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spacing w:before="80"/>
        <w:ind w:left="890" w:hanging="890"/>
      </w:pPr>
      <w:r>
        <w:tab/>
        <w:t>[Section 48E inserted: No. 12 of 1990 s. 34; amended: No. 35 of 2007 s. 38.]</w:t>
      </w:r>
    </w:p>
    <w:p>
      <w:pPr>
        <w:pStyle w:val="Heading5"/>
        <w:rPr>
          <w:snapToGrid w:val="0"/>
        </w:rPr>
      </w:pPr>
      <w:bookmarkStart w:id="256" w:name="_Toc98946920"/>
      <w:bookmarkStart w:id="257" w:name="_Toc97630516"/>
      <w:r>
        <w:rPr>
          <w:rStyle w:val="CharSectno"/>
        </w:rPr>
        <w:t>48F</w:t>
      </w:r>
      <w:r>
        <w:rPr>
          <w:snapToGrid w:val="0"/>
        </w:rPr>
        <w:t>.</w:t>
      </w:r>
      <w:r>
        <w:rPr>
          <w:snapToGrid w:val="0"/>
        </w:rPr>
        <w:tab/>
        <w:t>Application for renewal of lease</w:t>
      </w:r>
      <w:bookmarkEnd w:id="256"/>
      <w:bookmarkEnd w:id="257"/>
    </w:p>
    <w:p>
      <w:pPr>
        <w:pStyle w:val="Subsection"/>
        <w:spacing w:before="120"/>
        <w:rPr>
          <w:snapToGrid w:val="0"/>
        </w:rPr>
      </w:pPr>
      <w:r>
        <w:rPr>
          <w:snapToGrid w:val="0"/>
        </w:rPr>
        <w:tab/>
        <w:t>(1)</w:t>
      </w:r>
      <w:r>
        <w:rPr>
          <w:snapToGrid w:val="0"/>
        </w:rPr>
        <w:tab/>
        <w:t>A lessee may, from time to time, make an application to the Minister for the renewal of the lease.</w:t>
      </w:r>
    </w:p>
    <w:p>
      <w:pPr>
        <w:pStyle w:val="Subsection"/>
        <w:spacing w:before="120"/>
        <w:rPr>
          <w:snapToGrid w:val="0"/>
        </w:rPr>
      </w:pPr>
      <w:r>
        <w:rPr>
          <w:snapToGrid w:val="0"/>
        </w:rPr>
        <w:tab/>
        <w:t>(2)</w:t>
      </w:r>
      <w:r>
        <w:rPr>
          <w:snapToGrid w:val="0"/>
        </w:rPr>
        <w:tab/>
        <w:t>An application for the renewal of a lease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keepNext/>
        <w:tabs>
          <w:tab w:val="left" w:pos="3360"/>
        </w:tabs>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ind w:left="890" w:hanging="890"/>
      </w:pPr>
      <w:r>
        <w:tab/>
        <w:t>[Section 48F inserted: No. 12 of 1990 s. 34; amended: No. 28 of 1994 s. 23; No. 35 of 2007 s. 39; No. 42 of 2010 s. 29.]</w:t>
      </w:r>
    </w:p>
    <w:p>
      <w:pPr>
        <w:pStyle w:val="Heading5"/>
        <w:rPr>
          <w:snapToGrid w:val="0"/>
        </w:rPr>
      </w:pPr>
      <w:bookmarkStart w:id="258" w:name="_Toc98946921"/>
      <w:bookmarkStart w:id="259" w:name="_Toc97630517"/>
      <w:r>
        <w:rPr>
          <w:rStyle w:val="CharSectno"/>
        </w:rPr>
        <w:t>48G</w:t>
      </w:r>
      <w:r>
        <w:rPr>
          <w:snapToGrid w:val="0"/>
        </w:rPr>
        <w:t>.</w:t>
      </w:r>
      <w:r>
        <w:rPr>
          <w:snapToGrid w:val="0"/>
        </w:rPr>
        <w:tab/>
        <w:t>Grant or refusal of renewal of lease</w:t>
      </w:r>
      <w:bookmarkEnd w:id="258"/>
      <w:bookmarkEnd w:id="259"/>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 and</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keepNext/>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keepNext/>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keepNext/>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spacing w:before="100"/>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ind w:left="890" w:hanging="890"/>
      </w:pPr>
      <w:r>
        <w:tab/>
        <w:t>[Section 48G inserted: No. 12 of 1990 s. 34; amended: No. 28 of 1994 s. 24; No. 35 of 2007 s. 40.]</w:t>
      </w:r>
    </w:p>
    <w:p>
      <w:pPr>
        <w:pStyle w:val="Heading5"/>
        <w:keepLines w:val="0"/>
        <w:rPr>
          <w:snapToGrid w:val="0"/>
        </w:rPr>
      </w:pPr>
      <w:bookmarkStart w:id="260" w:name="_Toc98946922"/>
      <w:bookmarkStart w:id="261" w:name="_Toc97630518"/>
      <w:r>
        <w:rPr>
          <w:rStyle w:val="CharSectno"/>
        </w:rPr>
        <w:t>48H</w:t>
      </w:r>
      <w:r>
        <w:rPr>
          <w:snapToGrid w:val="0"/>
        </w:rPr>
        <w:t>.</w:t>
      </w:r>
      <w:r>
        <w:rPr>
          <w:snapToGrid w:val="0"/>
        </w:rPr>
        <w:tab/>
        <w:t>Conditions of lease</w:t>
      </w:r>
      <w:bookmarkEnd w:id="260"/>
      <w:bookmarkEnd w:id="261"/>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pPr>
      <w:r>
        <w:tab/>
        <w:t>(1A)</w:t>
      </w:r>
      <w:r>
        <w:tab/>
        <w:t>Subsection (1) does not apply to a petroleum retention lease granted under section 48CD.</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Subsection"/>
      </w:pPr>
      <w:r>
        <w:tab/>
        <w:t>(5)</w:t>
      </w:r>
      <w:r>
        <w:tab/>
        <w:t>The Minister may, by written notice given to the lessee, vary a petroleum retention lease granted under section 48CD by imposing one or more conditions to which the lease is subject.</w:t>
      </w:r>
    </w:p>
    <w:p>
      <w:pPr>
        <w:pStyle w:val="Subsection"/>
      </w:pPr>
      <w:r>
        <w:tab/>
        <w:t>(6)</w:t>
      </w:r>
      <w:r>
        <w:tab/>
        <w:t>A notice under subsection (5) may only be given within 14 days after the grant of the petroleum retention lease.</w:t>
      </w:r>
    </w:p>
    <w:p>
      <w:pPr>
        <w:pStyle w:val="Subsection"/>
      </w:pPr>
      <w:r>
        <w:tab/>
        <w:t>(7)</w:t>
      </w:r>
      <w:r>
        <w:tab/>
        <w:t>A variation under subsection (5) takes effect on the day on which notice of the variation is given to the lessee.</w:t>
      </w:r>
    </w:p>
    <w:p>
      <w:pPr>
        <w:pStyle w:val="Footnotesection"/>
        <w:keepLines w:val="0"/>
        <w:widowControl w:val="0"/>
        <w:ind w:left="890" w:hanging="890"/>
      </w:pPr>
      <w:r>
        <w:tab/>
        <w:t>[Section 48H inserted: No. 12 of 1990 s. 34; amended: No. 35 of 2007 s. 41; No. 7 of 2017 s. 17.]</w:t>
      </w:r>
    </w:p>
    <w:p>
      <w:pPr>
        <w:pStyle w:val="Heading5"/>
        <w:rPr>
          <w:snapToGrid w:val="0"/>
        </w:rPr>
      </w:pPr>
      <w:bookmarkStart w:id="262" w:name="_Toc98946923"/>
      <w:bookmarkStart w:id="263" w:name="_Toc97630519"/>
      <w:r>
        <w:rPr>
          <w:rStyle w:val="CharSectno"/>
        </w:rPr>
        <w:t>48J</w:t>
      </w:r>
      <w:r>
        <w:rPr>
          <w:snapToGrid w:val="0"/>
        </w:rPr>
        <w:t>.</w:t>
      </w:r>
      <w:r>
        <w:rPr>
          <w:snapToGrid w:val="0"/>
        </w:rPr>
        <w:tab/>
        <w:t xml:space="preserve">Discovery of </w:t>
      </w:r>
      <w:r>
        <w:t>petroleum or geothermal energy resources</w:t>
      </w:r>
      <w:r>
        <w:rPr>
          <w:snapToGrid w:val="0"/>
        </w:rPr>
        <w:t xml:space="preserve"> to be notified</w:t>
      </w:r>
      <w:bookmarkEnd w:id="262"/>
      <w:bookmarkEnd w:id="263"/>
    </w:p>
    <w:p>
      <w:pPr>
        <w:pStyle w:val="Subsection"/>
        <w:rPr>
          <w:snapToGrid w:val="0"/>
        </w:rPr>
      </w:pPr>
      <w:r>
        <w:rPr>
          <w:snapToGrid w:val="0"/>
        </w:rPr>
        <w:tab/>
      </w:r>
      <w:r>
        <w:rPr>
          <w:snapToGrid w:val="0"/>
        </w:rPr>
        <w:tab/>
        <w:t>On the discovery of petroleum or geothermal energy resources in a lease area, the lessee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48J inserted: No. 42 of 2010 s. 30.]</w:t>
      </w:r>
    </w:p>
    <w:p>
      <w:pPr>
        <w:pStyle w:val="Heading5"/>
        <w:rPr>
          <w:snapToGrid w:val="0"/>
        </w:rPr>
      </w:pPr>
      <w:bookmarkStart w:id="264" w:name="_Toc98946924"/>
      <w:bookmarkStart w:id="265" w:name="_Toc97630520"/>
      <w:r>
        <w:rPr>
          <w:rStyle w:val="CharSectno"/>
        </w:rPr>
        <w:t>48K</w:t>
      </w:r>
      <w:r>
        <w:rPr>
          <w:snapToGrid w:val="0"/>
        </w:rPr>
        <w:t>.</w:t>
      </w:r>
      <w:r>
        <w:rPr>
          <w:snapToGrid w:val="0"/>
        </w:rPr>
        <w:tab/>
        <w:t>Directions by Minister on discovery of petroleum or</w:t>
      </w:r>
      <w:r>
        <w:t xml:space="preserve"> geothermal energy resources</w:t>
      </w:r>
      <w:bookmarkEnd w:id="264"/>
      <w:bookmarkEnd w:id="265"/>
    </w:p>
    <w:p>
      <w:pPr>
        <w:pStyle w:val="Subsection"/>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pPr>
      <w:r>
        <w:tab/>
        <w:t>Penalty for an offence under subsection (2): a fine of $10 000.</w:t>
      </w:r>
    </w:p>
    <w:p>
      <w:pPr>
        <w:pStyle w:val="Footnotesection"/>
      </w:pPr>
      <w:r>
        <w:tab/>
        <w:t>[Section 48K inserted: No. 12 of 1990 s. 34; amended: No. 35 of 2007 s. 43; No. 42 of 2010 s. 62(1).]</w:t>
      </w:r>
    </w:p>
    <w:p>
      <w:pPr>
        <w:pStyle w:val="Heading3"/>
      </w:pPr>
      <w:bookmarkStart w:id="266" w:name="_Toc97629630"/>
      <w:bookmarkStart w:id="267" w:name="_Toc97629983"/>
      <w:bookmarkStart w:id="268" w:name="_Toc97630521"/>
      <w:bookmarkStart w:id="269" w:name="_Toc98748436"/>
      <w:bookmarkStart w:id="270" w:name="_Toc98766076"/>
      <w:bookmarkStart w:id="271" w:name="_Toc98834343"/>
      <w:bookmarkStart w:id="272" w:name="_Toc98946925"/>
      <w:r>
        <w:rPr>
          <w:rStyle w:val="CharDivNo"/>
        </w:rPr>
        <w:t>Division 3</w:t>
      </w:r>
      <w:r>
        <w:rPr>
          <w:snapToGrid w:val="0"/>
        </w:rPr>
        <w:t> — </w:t>
      </w:r>
      <w:r>
        <w:rPr>
          <w:rStyle w:val="CharDivText"/>
        </w:rPr>
        <w:t>Production licences</w:t>
      </w:r>
      <w:bookmarkEnd w:id="266"/>
      <w:bookmarkEnd w:id="267"/>
      <w:bookmarkEnd w:id="268"/>
      <w:bookmarkEnd w:id="269"/>
      <w:bookmarkEnd w:id="270"/>
      <w:bookmarkEnd w:id="271"/>
      <w:bookmarkEnd w:id="272"/>
    </w:p>
    <w:p>
      <w:pPr>
        <w:pStyle w:val="Footnoteheading"/>
      </w:pPr>
      <w:r>
        <w:tab/>
        <w:t>[Heading amended: No. 35 of 2007 s. 44.]</w:t>
      </w:r>
    </w:p>
    <w:p>
      <w:pPr>
        <w:pStyle w:val="Heading5"/>
        <w:spacing w:before="180"/>
        <w:rPr>
          <w:snapToGrid w:val="0"/>
        </w:rPr>
      </w:pPr>
      <w:bookmarkStart w:id="273" w:name="_Toc98946926"/>
      <w:bookmarkStart w:id="274" w:name="_Toc97630522"/>
      <w:r>
        <w:rPr>
          <w:rStyle w:val="CharSectno"/>
        </w:rPr>
        <w:t>49</w:t>
      </w:r>
      <w:r>
        <w:rPr>
          <w:snapToGrid w:val="0"/>
        </w:rPr>
        <w:t>.</w:t>
      </w:r>
      <w:r>
        <w:rPr>
          <w:snapToGrid w:val="0"/>
        </w:rPr>
        <w:tab/>
        <w:t>Recovery of petroleum or</w:t>
      </w:r>
      <w:r>
        <w:t xml:space="preserve"> geothermal energy resources</w:t>
      </w:r>
      <w:r>
        <w:rPr>
          <w:snapToGrid w:val="0"/>
        </w:rPr>
        <w:t xml:space="preserve"> in State</w:t>
      </w:r>
      <w:bookmarkEnd w:id="273"/>
      <w:bookmarkEnd w:id="274"/>
    </w:p>
    <w:p>
      <w:pPr>
        <w:pStyle w:val="Subsection"/>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a fine of $50 000 or imprisonment for 5 years, or both.</w:t>
      </w:r>
    </w:p>
    <w:p>
      <w:pPr>
        <w:pStyle w:val="Footnotesection"/>
        <w:ind w:left="890" w:hanging="890"/>
      </w:pPr>
      <w:r>
        <w:tab/>
        <w:t>[Section 49 inserted: No. 12 of 1990 s. 35; amended: No. 35 of 2007 s. 45; No. 42 of 2010 s. 62(15).]</w:t>
      </w:r>
    </w:p>
    <w:p>
      <w:pPr>
        <w:pStyle w:val="Heading5"/>
        <w:spacing w:before="180"/>
        <w:rPr>
          <w:snapToGrid w:val="0"/>
        </w:rPr>
      </w:pPr>
      <w:bookmarkStart w:id="275" w:name="_Toc98946927"/>
      <w:bookmarkStart w:id="276" w:name="_Toc97630523"/>
      <w:r>
        <w:rPr>
          <w:rStyle w:val="CharSectno"/>
        </w:rPr>
        <w:t>50</w:t>
      </w:r>
      <w:r>
        <w:rPr>
          <w:snapToGrid w:val="0"/>
        </w:rPr>
        <w:t>.</w:t>
      </w:r>
      <w:r>
        <w:rPr>
          <w:snapToGrid w:val="0"/>
        </w:rPr>
        <w:tab/>
        <w:t>Application by permittee for licence</w:t>
      </w:r>
      <w:bookmarkEnd w:id="275"/>
      <w:bookmarkEnd w:id="276"/>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 in respect of one of those blocks; or</w:t>
      </w:r>
    </w:p>
    <w:p>
      <w:pPr>
        <w:pStyle w:val="Indenta"/>
        <w:rPr>
          <w:snapToGrid w:val="0"/>
        </w:rPr>
      </w:pPr>
      <w:r>
        <w:rPr>
          <w:snapToGrid w:val="0"/>
        </w:rPr>
        <w:tab/>
        <w:t>(f)</w:t>
      </w:r>
      <w:r>
        <w:rPr>
          <w:snapToGrid w:val="0"/>
        </w:rPr>
        <w:tab/>
        <w:t>where one block constitutes the location concerned — in respect of that block.</w:t>
      </w:r>
    </w:p>
    <w:p>
      <w:pPr>
        <w:pStyle w:val="Subsection"/>
        <w:spacing w:before="12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spacing w:before="120"/>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spacing w:before="120"/>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No. 12 of 1990 s. 36; No. 78 of 1990 s. 7; No. 28 of 1994 s. 25; No. 35 of 2007 s. 46.]</w:t>
      </w:r>
    </w:p>
    <w:p>
      <w:pPr>
        <w:pStyle w:val="Heading5"/>
        <w:rPr>
          <w:snapToGrid w:val="0"/>
        </w:rPr>
      </w:pPr>
      <w:bookmarkStart w:id="277" w:name="_Toc98946928"/>
      <w:bookmarkStart w:id="278" w:name="_Toc97630524"/>
      <w:r>
        <w:rPr>
          <w:rStyle w:val="CharSectno"/>
        </w:rPr>
        <w:t>50A</w:t>
      </w:r>
      <w:r>
        <w:rPr>
          <w:snapToGrid w:val="0"/>
        </w:rPr>
        <w:t>.</w:t>
      </w:r>
      <w:r>
        <w:rPr>
          <w:snapToGrid w:val="0"/>
        </w:rPr>
        <w:tab/>
        <w:t>Application by lessee for licence</w:t>
      </w:r>
      <w:bookmarkEnd w:id="277"/>
      <w:bookmarkEnd w:id="278"/>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keepNext/>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No. 12 of 1990 s. 37; amended: No. 35 of 2007 s. 47.]</w:t>
      </w:r>
    </w:p>
    <w:p>
      <w:pPr>
        <w:pStyle w:val="Heading5"/>
        <w:rPr>
          <w:snapToGrid w:val="0"/>
        </w:rPr>
      </w:pPr>
      <w:bookmarkStart w:id="279" w:name="_Toc98946929"/>
      <w:bookmarkStart w:id="280" w:name="_Toc97630525"/>
      <w:r>
        <w:rPr>
          <w:rStyle w:val="CharSectno"/>
        </w:rPr>
        <w:t>51</w:t>
      </w:r>
      <w:r>
        <w:rPr>
          <w:snapToGrid w:val="0"/>
        </w:rPr>
        <w:t>.</w:t>
      </w:r>
      <w:r>
        <w:rPr>
          <w:snapToGrid w:val="0"/>
        </w:rPr>
        <w:tab/>
        <w:t>Application for licence under s. 50 or 50A, requirements for</w:t>
      </w:r>
      <w:bookmarkEnd w:id="279"/>
      <w:bookmarkEnd w:id="280"/>
    </w:p>
    <w:p>
      <w:pPr>
        <w:pStyle w:val="Subsection"/>
        <w:rPr>
          <w:snapToGrid w:val="0"/>
        </w:rPr>
      </w:pPr>
      <w:r>
        <w:rPr>
          <w:snapToGrid w:val="0"/>
        </w:rPr>
        <w:tab/>
        <w:t>(1)</w:t>
      </w:r>
      <w:r>
        <w:rPr>
          <w:snapToGrid w:val="0"/>
        </w:rPr>
        <w:tab/>
        <w:t>An application under section 50 or 50A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No. 69 of 1981 s. 34; No. 12 of 1990 s. 38; No. 42 of 2010 s. 31.]</w:t>
      </w:r>
    </w:p>
    <w:p>
      <w:pPr>
        <w:pStyle w:val="Heading5"/>
        <w:rPr>
          <w:snapToGrid w:val="0"/>
        </w:rPr>
      </w:pPr>
      <w:bookmarkStart w:id="281" w:name="_Toc98946930"/>
      <w:bookmarkStart w:id="282" w:name="_Toc97630526"/>
      <w:r>
        <w:rPr>
          <w:rStyle w:val="CharSectno"/>
        </w:rPr>
        <w:t>52</w:t>
      </w:r>
      <w:r>
        <w:rPr>
          <w:snapToGrid w:val="0"/>
        </w:rPr>
        <w:t>.</w:t>
      </w:r>
      <w:r>
        <w:rPr>
          <w:snapToGrid w:val="0"/>
        </w:rPr>
        <w:tab/>
        <w:t>Determination of rate of royalty</w:t>
      </w:r>
      <w:bookmarkEnd w:id="281"/>
      <w:bookmarkEnd w:id="282"/>
    </w:p>
    <w:p>
      <w:pPr>
        <w:pStyle w:val="Subsection"/>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keepLines/>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w:t>
      </w:r>
      <w:r>
        <w:t xml:space="preserve"> licence, being a rate that —</w:t>
      </w:r>
    </w:p>
    <w:p>
      <w:pPr>
        <w:pStyle w:val="Indenta"/>
      </w:pPr>
      <w:r>
        <w:tab/>
        <w:t>(a)</w:t>
      </w:r>
      <w:r>
        <w:tab/>
        <w:t>for tight gas is not less than 5% nor more than 12.5% of the royalty value of that petroleum; and</w:t>
      </w:r>
    </w:p>
    <w:p>
      <w:pPr>
        <w:pStyle w:val="Indenta"/>
      </w:pPr>
      <w:r>
        <w:tab/>
        <w:t>(b)</w:t>
      </w:r>
      <w:r>
        <w:tab/>
        <w:t>for petroleum other than tight gas is not less than 10% nor more than 12.5% of the royalty value of that petroleum.</w:t>
      </w:r>
    </w:p>
    <w:p>
      <w:pPr>
        <w:pStyle w:val="Subsection"/>
      </w:pPr>
      <w:r>
        <w:tab/>
        <w:t>(4A)</w:t>
      </w:r>
      <w:r>
        <w:tab/>
        <w:t xml:space="preserve">In subsection (3) — </w:t>
      </w:r>
    </w:p>
    <w:p>
      <w:pPr>
        <w:pStyle w:val="Defstart"/>
      </w:pPr>
      <w:r>
        <w:tab/>
      </w:r>
      <w:r>
        <w:rPr>
          <w:rStyle w:val="CharDefText"/>
        </w:rPr>
        <w:t>tight gas</w:t>
      </w:r>
      <w:r>
        <w:t xml:space="preserve"> means petroleum in a gaseous state occurring in subsurface rock with a permeability of 0.1 millidarcy or less.</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No. 11 of 1994 s. 5; No. 42 of 2010 s. 32.]</w:t>
      </w:r>
    </w:p>
    <w:p>
      <w:pPr>
        <w:pStyle w:val="Heading5"/>
        <w:rPr>
          <w:snapToGrid w:val="0"/>
        </w:rPr>
      </w:pPr>
      <w:bookmarkStart w:id="283" w:name="_Toc98946931"/>
      <w:bookmarkStart w:id="284" w:name="_Toc97630527"/>
      <w:r>
        <w:rPr>
          <w:rStyle w:val="CharSectno"/>
        </w:rPr>
        <w:t>53</w:t>
      </w:r>
      <w:r>
        <w:rPr>
          <w:snapToGrid w:val="0"/>
        </w:rPr>
        <w:t>.</w:t>
      </w:r>
      <w:r>
        <w:rPr>
          <w:snapToGrid w:val="0"/>
        </w:rPr>
        <w:tab/>
        <w:t>Notification as to grant of licence</w:t>
      </w:r>
      <w:bookmarkEnd w:id="283"/>
      <w:bookmarkEnd w:id="284"/>
    </w:p>
    <w:p>
      <w:pPr>
        <w:pStyle w:val="Subsection"/>
        <w:spacing w:before="120"/>
      </w:pPr>
      <w:r>
        <w:tab/>
        <w:t>(1)</w:t>
      </w:r>
      <w:r>
        <w:tab/>
        <w:t xml:space="preserve">If — </w:t>
      </w:r>
    </w:p>
    <w:p>
      <w:pPr>
        <w:pStyle w:val="Indenta"/>
      </w:pPr>
      <w:r>
        <w:tab/>
        <w:t>(a)</w:t>
      </w:r>
      <w:r>
        <w:tab/>
        <w:t xml:space="preserve">an application for the grant of a </w:t>
      </w:r>
      <w:r>
        <w:rPr>
          <w:snapToGrid w:val="0"/>
        </w:rPr>
        <w:t xml:space="preserve">petroleum production </w:t>
      </w:r>
      <w:r>
        <w:t>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the Minister is satisfied that the area comprised in the block, or any one or more of the blocks, specified in the application contains petroleum,</w:t>
      </w:r>
    </w:p>
    <w:p>
      <w:pPr>
        <w:pStyle w:val="Subsection"/>
        <w:spacing w:before="120"/>
      </w:pPr>
      <w:r>
        <w:tab/>
      </w:r>
      <w:r>
        <w:tab/>
        <w:t xml:space="preserve">the Minister shall, by written notice served on the applicant, inform the applicant that the Minister is prepared to grant to the applicant a </w:t>
      </w:r>
      <w:r>
        <w:rPr>
          <w:snapToGrid w:val="0"/>
        </w:rPr>
        <w:t xml:space="preserve">petroleum production </w:t>
      </w:r>
      <w:r>
        <w:t>licence in respect of the block or blocks as to which the Minister is satisfied as mentioned in paragraph (c).</w:t>
      </w:r>
    </w:p>
    <w:p>
      <w:pPr>
        <w:pStyle w:val="Subsection"/>
        <w:spacing w:before="120"/>
      </w:pPr>
      <w:r>
        <w:tab/>
        <w:t>(2A)</w:t>
      </w:r>
      <w:r>
        <w:tab/>
        <w:t xml:space="preserve">If — </w:t>
      </w:r>
    </w:p>
    <w:p>
      <w:pPr>
        <w:pStyle w:val="Indenta"/>
      </w:pPr>
      <w:r>
        <w:tab/>
        <w:t>(a)</w:t>
      </w:r>
      <w:r>
        <w:tab/>
        <w:t>an application for the grant of a geothermal production 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 xml:space="preserve">the Minister is satisfied that the area comprised in the block, or any one or more of the blocks, specified in the application contains </w:t>
      </w:r>
      <w:r>
        <w:rPr>
          <w:snapToGrid w:val="0"/>
        </w:rPr>
        <w:t>geothermal energy resources</w:t>
      </w:r>
      <w:r>
        <w:t>,</w:t>
      </w:r>
    </w:p>
    <w:p>
      <w:pPr>
        <w:pStyle w:val="Subsection"/>
        <w:spacing w:before="120"/>
      </w:pPr>
      <w:r>
        <w:tab/>
      </w:r>
      <w:r>
        <w:tab/>
        <w:t>the Minister shall, by written notice served on the applicant, inform the applicant that the Minister is prepared to grant to the applicant a geothermal production licence in respect of the block or blocks as to which the Minister is satisfied as mentioned in paragraph (c).</w:t>
      </w:r>
    </w:p>
    <w:p>
      <w:pPr>
        <w:pStyle w:val="Subsection"/>
        <w:spacing w:before="120"/>
        <w:rPr>
          <w:snapToGrid w:val="0"/>
        </w:rPr>
      </w:pPr>
      <w:r>
        <w:rPr>
          <w:snapToGrid w:val="0"/>
        </w:rPr>
        <w:tab/>
        <w:t>(2)</w:t>
      </w:r>
      <w:r>
        <w:rPr>
          <w:snapToGrid w:val="0"/>
        </w:rPr>
        <w:tab/>
      </w:r>
      <w:r>
        <w:t xml:space="preserve">A notice under subsection (1) or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Subsection"/>
      </w:pPr>
      <w:r>
        <w:tab/>
        <w:t>(3)</w:t>
      </w:r>
      <w:r>
        <w:tab/>
        <w:t xml:space="preserve">If the Minister decides not to grant to the applicant a licence in respect of a block specified in the application because — </w:t>
      </w:r>
    </w:p>
    <w:p>
      <w:pPr>
        <w:pStyle w:val="Indenta"/>
      </w:pPr>
      <w:r>
        <w:tab/>
        <w:t>(a)</w:t>
      </w:r>
      <w:r>
        <w:tab/>
        <w:t>the applicant has failed to comply with a requirement made by the Minister under section 51(2); or</w:t>
      </w:r>
    </w:p>
    <w:p>
      <w:pPr>
        <w:pStyle w:val="Indenta"/>
      </w:pPr>
      <w:r>
        <w:tab/>
        <w:t>(b)</w:t>
      </w:r>
      <w:r>
        <w:tab/>
        <w:t>the Minister is not satisfied as mentioned in subsection (1)(c) or (2A)(c), whichever is applicable, in respect of the block,</w:t>
      </w:r>
    </w:p>
    <w:p>
      <w:pPr>
        <w:pStyle w:val="Subsection"/>
      </w:pPr>
      <w:r>
        <w:tab/>
      </w:r>
      <w:r>
        <w:tab/>
        <w:t>the Minister shall, by written notice served on the applicant, inform the applicant of the Minister’s decision and the reasons for the decision.</w:t>
      </w:r>
    </w:p>
    <w:p>
      <w:pPr>
        <w:pStyle w:val="Footnotesection"/>
      </w:pPr>
      <w:r>
        <w:tab/>
        <w:t>[Section 53 amended: No. 12 of 1990 s. 39; No. 28 of 1994 s. 26; No. 35 of 2007 s. 48; No. 42 of 2010 s. 33.]</w:t>
      </w:r>
    </w:p>
    <w:p>
      <w:pPr>
        <w:pStyle w:val="Heading5"/>
        <w:rPr>
          <w:snapToGrid w:val="0"/>
        </w:rPr>
      </w:pPr>
      <w:bookmarkStart w:id="285" w:name="_Toc98946932"/>
      <w:bookmarkStart w:id="286" w:name="_Toc97630528"/>
      <w:r>
        <w:rPr>
          <w:rStyle w:val="CharSectno"/>
        </w:rPr>
        <w:t>54</w:t>
      </w:r>
      <w:r>
        <w:rPr>
          <w:snapToGrid w:val="0"/>
        </w:rPr>
        <w:t>.</w:t>
      </w:r>
      <w:r>
        <w:rPr>
          <w:snapToGrid w:val="0"/>
        </w:rPr>
        <w:tab/>
        <w:t>Grant of licence</w:t>
      </w:r>
      <w:bookmarkEnd w:id="285"/>
      <w:bookmarkEnd w:id="286"/>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r>
        <w:rPr>
          <w:snapToGrid w:val="0"/>
        </w:rPr>
        <w:t>in respect of the</w:t>
      </w:r>
      <w:r>
        <w:t xml:space="preserve"> block or blocks as to which the Minister is satisfied as mentioned in section 53(1)(c) or (2A)(c).</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No. 12 of 1990 s. 40; No. 78 of 1990 s. 7; No. 28 of 1994 s. 27; No. 35 of 2007 s. 49; No. 42 of 2010 s. 34.]</w:t>
      </w:r>
    </w:p>
    <w:p>
      <w:pPr>
        <w:pStyle w:val="Heading5"/>
        <w:spacing w:before="180"/>
        <w:rPr>
          <w:snapToGrid w:val="0"/>
        </w:rPr>
      </w:pPr>
      <w:bookmarkStart w:id="287" w:name="_Toc98946933"/>
      <w:bookmarkStart w:id="288" w:name="_Toc97630529"/>
      <w:r>
        <w:rPr>
          <w:rStyle w:val="CharSectno"/>
        </w:rPr>
        <w:t>54A</w:t>
      </w:r>
      <w:r>
        <w:rPr>
          <w:snapToGrid w:val="0"/>
        </w:rPr>
        <w:t>.</w:t>
      </w:r>
      <w:r>
        <w:rPr>
          <w:snapToGrid w:val="0"/>
        </w:rPr>
        <w:tab/>
        <w:t>Application of s. 51 to 54 where permit etc. transferred</w:t>
      </w:r>
      <w:bookmarkEnd w:id="287"/>
      <w:bookmarkEnd w:id="288"/>
    </w:p>
    <w:p>
      <w:pPr>
        <w:pStyle w:val="Subsection"/>
        <w:keepNext/>
        <w:keepLines/>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No. 28 of 1994 s. 28.]</w:t>
      </w:r>
    </w:p>
    <w:p>
      <w:pPr>
        <w:pStyle w:val="Heading5"/>
        <w:rPr>
          <w:snapToGrid w:val="0"/>
        </w:rPr>
      </w:pPr>
      <w:bookmarkStart w:id="289" w:name="_Toc98946934"/>
      <w:bookmarkStart w:id="290" w:name="_Toc97630530"/>
      <w:r>
        <w:rPr>
          <w:rStyle w:val="CharSectno"/>
        </w:rPr>
        <w:t>55</w:t>
      </w:r>
      <w:r>
        <w:rPr>
          <w:snapToGrid w:val="0"/>
        </w:rPr>
        <w:t>.</w:t>
      </w:r>
      <w:r>
        <w:rPr>
          <w:snapToGrid w:val="0"/>
        </w:rPr>
        <w:tab/>
        <w:t>Variation of licence area</w:t>
      </w:r>
      <w:bookmarkEnd w:id="289"/>
      <w:bookmarkEnd w:id="290"/>
    </w:p>
    <w:p>
      <w:pPr>
        <w:pStyle w:val="Subsection"/>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53(1)(c) or (2A)(c).</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keepNext/>
        <w:rPr>
          <w:snapToGrid w:val="0"/>
        </w:rPr>
      </w:pPr>
      <w:r>
        <w:rPr>
          <w:snapToGrid w:val="0"/>
        </w:rPr>
        <w:tab/>
        <w:t>(b)</w:t>
      </w:r>
      <w:r>
        <w:rPr>
          <w:snapToGrid w:val="0"/>
        </w:rPr>
        <w:tab/>
        <w:t>the permit that is in force in respect of the blocks so included ceases to be in force in respect of those blocks.</w:t>
      </w:r>
    </w:p>
    <w:p>
      <w:pPr>
        <w:pStyle w:val="Footnotesection"/>
        <w:ind w:left="890" w:hanging="890"/>
      </w:pPr>
      <w:r>
        <w:tab/>
        <w:t>[Section 55 amended: No. 12 of 1990 s. 41; No. 42 of 2010 s. 35.]</w:t>
      </w:r>
    </w:p>
    <w:p>
      <w:pPr>
        <w:pStyle w:val="Heading5"/>
        <w:rPr>
          <w:snapToGrid w:val="0"/>
          <w:spacing w:val="-2"/>
        </w:rPr>
      </w:pPr>
      <w:bookmarkStart w:id="291" w:name="_Toc98946935"/>
      <w:bookmarkStart w:id="292" w:name="_Toc97630531"/>
      <w:r>
        <w:rPr>
          <w:rStyle w:val="CharSectno"/>
        </w:rPr>
        <w:t>56</w:t>
      </w:r>
      <w:r>
        <w:rPr>
          <w:snapToGrid w:val="0"/>
        </w:rPr>
        <w:t>.</w:t>
      </w:r>
      <w:r>
        <w:rPr>
          <w:snapToGrid w:val="0"/>
        </w:rPr>
        <w:tab/>
      </w:r>
      <w:r>
        <w:rPr>
          <w:snapToGrid w:val="0"/>
          <w:spacing w:val="-2"/>
        </w:rPr>
        <w:t>Determination of permit as to blocks not taken up by licensee</w:t>
      </w:r>
      <w:bookmarkEnd w:id="291"/>
      <w:bookmarkEnd w:id="292"/>
    </w:p>
    <w:p>
      <w:pPr>
        <w:pStyle w:val="Subsection"/>
        <w:keepNext/>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keepNext/>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keepNext/>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2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Subsection"/>
      </w:pPr>
      <w:r>
        <w:tab/>
        <w:t>(7)</w:t>
      </w:r>
      <w:r>
        <w:tab/>
        <w:t xml:space="preserve">This section does not apply in relation to a permit if — </w:t>
      </w:r>
    </w:p>
    <w:p>
      <w:pPr>
        <w:pStyle w:val="Indenta"/>
      </w:pPr>
      <w:r>
        <w:tab/>
        <w:t>(a)</w:t>
      </w:r>
      <w:r>
        <w:tab/>
        <w:t xml:space="preserve">the permit has been granted on the basis that an area (the </w:t>
      </w:r>
      <w:r>
        <w:rPr>
          <w:rStyle w:val="CharDefText"/>
        </w:rPr>
        <w:t>relevant area</w:t>
      </w:r>
      <w:r>
        <w:t>) is within the inshore area; and</w:t>
      </w:r>
    </w:p>
    <w:p>
      <w:pPr>
        <w:pStyle w:val="Indenta"/>
      </w:pPr>
      <w:r>
        <w:tab/>
        <w:t>(b)</w:t>
      </w:r>
      <w:r>
        <w:tab/>
        <w:t xml:space="preserve">as a result of a change to the boundary of the offshore area, the relevant area — </w:t>
      </w:r>
    </w:p>
    <w:p>
      <w:pPr>
        <w:pStyle w:val="Indenti"/>
      </w:pPr>
      <w:r>
        <w:tab/>
        <w:t>(i)</w:t>
      </w:r>
      <w:r>
        <w:tab/>
        <w:t>ceases to be within the inshore area; and</w:t>
      </w:r>
    </w:p>
    <w:p>
      <w:pPr>
        <w:pStyle w:val="Indenti"/>
      </w:pPr>
      <w:r>
        <w:tab/>
        <w:t>(ii)</w:t>
      </w:r>
      <w:r>
        <w:tab/>
        <w:t>falls within the offshore area;</w:t>
      </w:r>
    </w:p>
    <w:p>
      <w:pPr>
        <w:pStyle w:val="Indenta"/>
      </w:pPr>
      <w:r>
        <w:tab/>
      </w:r>
      <w:r>
        <w:tab/>
        <w:t>and</w:t>
      </w:r>
    </w:p>
    <w:p>
      <w:pPr>
        <w:pStyle w:val="Indenta"/>
      </w:pPr>
      <w:r>
        <w:tab/>
        <w:t>(c)</w:t>
      </w:r>
      <w:r>
        <w:tab/>
        <w:t>immediately before the change, the relevant area was a part of the permit area.</w:t>
      </w:r>
    </w:p>
    <w:p>
      <w:pPr>
        <w:pStyle w:val="Subsection"/>
      </w:pPr>
      <w:r>
        <w:tab/>
        <w:t>(8)</w:t>
      </w:r>
      <w:r>
        <w:tab/>
        <w:t xml:space="preserve">For the purposes of subsection (7) — </w:t>
      </w:r>
    </w:p>
    <w:p>
      <w:pPr>
        <w:pStyle w:val="Indenta"/>
      </w:pPr>
      <w:r>
        <w:tab/>
        <w:t>(a)</w:t>
      </w:r>
      <w:r>
        <w:tab/>
        <w:t>section 6A is to be disregarded; and</w:t>
      </w:r>
    </w:p>
    <w:p>
      <w:pPr>
        <w:pStyle w:val="Indenta"/>
      </w:pPr>
      <w:r>
        <w:tab/>
        <w:t>(b)</w:t>
      </w:r>
      <w:r>
        <w:tab/>
        <w:t>it is immaterial whether the change occurred before, at or after the commencement day.</w:t>
      </w:r>
    </w:p>
    <w:p>
      <w:pPr>
        <w:pStyle w:val="Subsection"/>
      </w:pPr>
      <w:r>
        <w:tab/>
        <w:t>(9)</w:t>
      </w:r>
      <w:r>
        <w:tab/>
        <w:t xml:space="preserve">In subsection (8)(b) — </w:t>
      </w:r>
    </w:p>
    <w:p>
      <w:pPr>
        <w:pStyle w:val="Defstart"/>
      </w:pPr>
      <w:r>
        <w:tab/>
      </w:r>
      <w:r>
        <w:rPr>
          <w:rStyle w:val="CharDefText"/>
        </w:rPr>
        <w:t>commencement day</w:t>
      </w:r>
      <w:r>
        <w:t xml:space="preserve"> means the day on which the </w:t>
      </w:r>
      <w:r>
        <w:rPr>
          <w:i/>
        </w:rPr>
        <w:t>Petroleum Legislation Amendment Act 2017</w:t>
      </w:r>
      <w:r>
        <w:t xml:space="preserve"> section 18 comes into operation.</w:t>
      </w:r>
    </w:p>
    <w:p>
      <w:pPr>
        <w:pStyle w:val="Footnotesection"/>
        <w:ind w:left="890" w:hanging="890"/>
      </w:pPr>
      <w:r>
        <w:tab/>
        <w:t>[Section 56 amended: No. 12 of 1990 s. 42; No. 78 of 1990 s. 7; No. 7 of 2017 s. 18.]</w:t>
      </w:r>
    </w:p>
    <w:p>
      <w:pPr>
        <w:pStyle w:val="Heading5"/>
        <w:rPr>
          <w:snapToGrid w:val="0"/>
        </w:rPr>
      </w:pPr>
      <w:bookmarkStart w:id="293" w:name="_Toc98946936"/>
      <w:bookmarkStart w:id="294" w:name="_Toc97630532"/>
      <w:r>
        <w:rPr>
          <w:rStyle w:val="CharSectno"/>
        </w:rPr>
        <w:t>57</w:t>
      </w:r>
      <w:r>
        <w:rPr>
          <w:snapToGrid w:val="0"/>
        </w:rPr>
        <w:t>.</w:t>
      </w:r>
      <w:r>
        <w:rPr>
          <w:snapToGrid w:val="0"/>
        </w:rPr>
        <w:tab/>
        <w:t>Application for licence in respect of surrendered etc. blocks</w:t>
      </w:r>
      <w:bookmarkEnd w:id="293"/>
      <w:bookmarkEnd w:id="294"/>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 or</w:t>
      </w:r>
    </w:p>
    <w:p>
      <w:pPr>
        <w:pStyle w:val="Indenta"/>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pPr>
      <w:r>
        <w:tab/>
        <w:t>(a)</w:t>
      </w:r>
      <w:r>
        <w:tab/>
        <w:t>a geothermal production licence is surrendered or cancelled as to a block; or</w:t>
      </w:r>
    </w:p>
    <w:p>
      <w:pPr>
        <w:pStyle w:val="Indenta"/>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pPr>
      <w:r>
        <w:tab/>
        <w:t>[(5)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No. 12 of 1990 s. 43; No. 78 of 1990 s. 7; No. 11 of 1994 s. 5; No. 28 of 1994 s. 29; No. 35 of 2007 s. 50; No. 42 of 2010 s. 36.]</w:t>
      </w:r>
    </w:p>
    <w:p>
      <w:pPr>
        <w:pStyle w:val="Heading5"/>
        <w:rPr>
          <w:snapToGrid w:val="0"/>
        </w:rPr>
      </w:pPr>
      <w:bookmarkStart w:id="295" w:name="_Toc98946937"/>
      <w:bookmarkStart w:id="296" w:name="_Toc97630533"/>
      <w:r>
        <w:rPr>
          <w:rStyle w:val="CharSectno"/>
        </w:rPr>
        <w:t>58</w:t>
      </w:r>
      <w:r>
        <w:rPr>
          <w:snapToGrid w:val="0"/>
        </w:rPr>
        <w:t>.</w:t>
      </w:r>
      <w:r>
        <w:rPr>
          <w:snapToGrid w:val="0"/>
        </w:rPr>
        <w:tab/>
        <w:t>Application fee etc. for s. 57 applications</w:t>
      </w:r>
      <w:bookmarkEnd w:id="295"/>
      <w:bookmarkEnd w:id="296"/>
    </w:p>
    <w:p>
      <w:pPr>
        <w:pStyle w:val="Subsection"/>
        <w:keepNext/>
        <w:rPr>
          <w:snapToGrid w:val="0"/>
        </w:rPr>
      </w:pPr>
      <w:r>
        <w:rPr>
          <w:snapToGrid w:val="0"/>
        </w:rPr>
        <w:tab/>
        <w:t>(1)</w:t>
      </w:r>
      <w:r>
        <w:rPr>
          <w:snapToGrid w:val="0"/>
        </w:rPr>
        <w:tab/>
        <w:t>An application under section 57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w:t>
      </w:r>
    </w:p>
    <w:p>
      <w:pPr>
        <w:pStyle w:val="Indenti"/>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r>
      <w:r>
        <w:rPr>
          <w:snapToGrid w:val="0"/>
          <w:spacing w:val="-4"/>
        </w:rPr>
        <w:t xml:space="preserve">Where an applicant on whom there has been served an instrument under subsection (1) of section 59 does not request the Minister, under subsection (6) of that section, to grant to him the licence referred to in the instrument, the deposit </w:t>
      </w:r>
      <w:r>
        <w:t>shall not</w:t>
      </w:r>
      <w:r>
        <w:rPr>
          <w:snapToGrid w:val="0"/>
          <w:spacing w:val="-4"/>
        </w:rPr>
        <w:t xml:space="preserve"> be refunded to the applicant.</w:t>
      </w:r>
    </w:p>
    <w:p>
      <w:pPr>
        <w:pStyle w:val="Footnotesection"/>
      </w:pPr>
      <w:r>
        <w:tab/>
        <w:t>[Section 58 amended: No. 69 of 1981 s. 34; No. 12 of 1990 s. 44; No. 42 of 2010 s. 37.]</w:t>
      </w:r>
    </w:p>
    <w:p>
      <w:pPr>
        <w:pStyle w:val="Heading5"/>
        <w:keepNext w:val="0"/>
        <w:keepLines w:val="0"/>
        <w:spacing w:before="180"/>
        <w:rPr>
          <w:snapToGrid w:val="0"/>
        </w:rPr>
      </w:pPr>
      <w:bookmarkStart w:id="297" w:name="_Toc98946938"/>
      <w:bookmarkStart w:id="298" w:name="_Toc97630534"/>
      <w:r>
        <w:rPr>
          <w:rStyle w:val="CharSectno"/>
        </w:rPr>
        <w:t>59</w:t>
      </w:r>
      <w:r>
        <w:rPr>
          <w:snapToGrid w:val="0"/>
        </w:rPr>
        <w:t>.</w:t>
      </w:r>
      <w:r>
        <w:rPr>
          <w:snapToGrid w:val="0"/>
        </w:rPr>
        <w:tab/>
        <w:t>Request by applicant for grant of licence</w:t>
      </w:r>
      <w:bookmarkEnd w:id="297"/>
      <w:bookmarkEnd w:id="298"/>
    </w:p>
    <w:p>
      <w:pPr>
        <w:pStyle w:val="Subsection"/>
        <w:spacing w:before="120"/>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spacing w:before="120"/>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spacing w:before="120"/>
      </w:pPr>
      <w:r>
        <w:tab/>
        <w:t>[(3), (4)</w:t>
      </w:r>
      <w:r>
        <w:tab/>
        <w:t>deleted]</w:t>
      </w:r>
    </w:p>
    <w:p>
      <w:pPr>
        <w:pStyle w:val="Subsection"/>
        <w:spacing w:before="120"/>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100"/>
        <w:rPr>
          <w:snapToGrid w:val="0"/>
        </w:rPr>
      </w:pPr>
      <w:r>
        <w:rPr>
          <w:snapToGrid w:val="0"/>
        </w:rPr>
        <w:tab/>
        <w:t>(a)</w:t>
      </w:r>
      <w:r>
        <w:rPr>
          <w:snapToGrid w:val="0"/>
        </w:rPr>
        <w:tab/>
        <w:t>by instrument in writing served on the Minister, request the Minister to grant to him the licence; and</w:t>
      </w:r>
    </w:p>
    <w:p>
      <w:pPr>
        <w:pStyle w:val="Indenta"/>
        <w:spacing w:before="100"/>
        <w:rPr>
          <w:snapToGrid w:val="0"/>
        </w:rPr>
      </w:pPr>
      <w:r>
        <w:rPr>
          <w:snapToGrid w:val="0"/>
        </w:rPr>
        <w:tab/>
        <w:t>(b)</w:t>
      </w:r>
      <w:r>
        <w:rPr>
          <w:snapToGrid w:val="0"/>
        </w:rPr>
        <w:tab/>
        <w:t>if the first</w:t>
      </w:r>
      <w:r>
        <w:rPr>
          <w:snapToGrid w:val="0"/>
        </w:rPr>
        <w:noBreakHyphen/>
        <w:t xml:space="preserve">mentioned instrument contains a statement of the balance of an amount that the applicant will be required to pay in respect of the grant of the licence to </w:t>
      </w:r>
      <w:r>
        <w:t>the applicant — pay</w:t>
      </w:r>
      <w:r>
        <w:rPr>
          <w:snapToGrid w:val="0"/>
        </w:rPr>
        <w:t xml:space="preserve"> that balance.</w:t>
      </w:r>
    </w:p>
    <w:p>
      <w:pPr>
        <w:pStyle w:val="Subsection"/>
        <w:spacing w:before="180"/>
        <w:rPr>
          <w:snapToGrid w:val="0"/>
        </w:rPr>
      </w:pPr>
      <w:r>
        <w:rPr>
          <w:snapToGrid w:val="0"/>
        </w:rPr>
        <w:tab/>
        <w:t>(7)</w:t>
      </w:r>
      <w:r>
        <w:rPr>
          <w:snapToGrid w:val="0"/>
        </w:rPr>
        <w:tab/>
        <w:t>Where an applicant on whom there has been served an instrument under subsection (1) or (2) —</w:t>
      </w:r>
    </w:p>
    <w:p>
      <w:pPr>
        <w:pStyle w:val="Indenta"/>
        <w:spacing w:before="100"/>
        <w:rPr>
          <w:snapToGrid w:val="0"/>
        </w:rPr>
      </w:pPr>
      <w:r>
        <w:rPr>
          <w:snapToGrid w:val="0"/>
        </w:rPr>
        <w:tab/>
        <w:t>(a)</w:t>
      </w:r>
      <w:r>
        <w:rPr>
          <w:snapToGrid w:val="0"/>
        </w:rPr>
        <w:tab/>
        <w:t>has not made a request under subsection (6); or</w:t>
      </w:r>
    </w:p>
    <w:p>
      <w:pPr>
        <w:pStyle w:val="Indenta"/>
        <w:spacing w:before="100"/>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not paid</w:t>
      </w:r>
      <w:r>
        <w:rPr>
          <w:snapToGrid w:val="0"/>
        </w:rPr>
        <w:t xml:space="preserve">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No. 12 of 1990 s. 45; No. 28 of 1994 s. 30; No. 35 of 2007 s. 51; No. 42 of 2010 s. 38.]</w:t>
      </w:r>
    </w:p>
    <w:p>
      <w:pPr>
        <w:pStyle w:val="Heading5"/>
        <w:spacing w:before="240"/>
        <w:rPr>
          <w:snapToGrid w:val="0"/>
        </w:rPr>
      </w:pPr>
      <w:bookmarkStart w:id="299" w:name="_Toc98946939"/>
      <w:bookmarkStart w:id="300" w:name="_Toc97630535"/>
      <w:r>
        <w:rPr>
          <w:rStyle w:val="CharSectno"/>
        </w:rPr>
        <w:t>60</w:t>
      </w:r>
      <w:r>
        <w:rPr>
          <w:snapToGrid w:val="0"/>
        </w:rPr>
        <w:t>.</w:t>
      </w:r>
      <w:r>
        <w:rPr>
          <w:snapToGrid w:val="0"/>
        </w:rPr>
        <w:tab/>
        <w:t>Grant of licence on request</w:t>
      </w:r>
      <w:bookmarkEnd w:id="299"/>
      <w:bookmarkEnd w:id="300"/>
    </w:p>
    <w:p>
      <w:pPr>
        <w:pStyle w:val="Subsection"/>
        <w:spacing w:before="180"/>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paid</w:t>
      </w:r>
      <w:r>
        <w:rPr>
          <w:snapToGrid w:val="0"/>
        </w:rPr>
        <w:t xml:space="preserve"> that balance,</w:t>
      </w:r>
    </w:p>
    <w:p>
      <w:pPr>
        <w:pStyle w:val="Subsection"/>
        <w:spacing w:before="180"/>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 No. 28 of 1994 s. 31; No. 35 of 2007 s. 52; No. 42 of 2010 s. 39.]</w:t>
      </w:r>
    </w:p>
    <w:p>
      <w:pPr>
        <w:pStyle w:val="Heading5"/>
        <w:rPr>
          <w:snapToGrid w:val="0"/>
        </w:rPr>
      </w:pPr>
      <w:bookmarkStart w:id="301" w:name="_Toc98946940"/>
      <w:bookmarkStart w:id="302" w:name="_Toc97630536"/>
      <w:r>
        <w:rPr>
          <w:rStyle w:val="CharSectno"/>
        </w:rPr>
        <w:t>61</w:t>
      </w:r>
      <w:r>
        <w:rPr>
          <w:snapToGrid w:val="0"/>
        </w:rPr>
        <w:t>.</w:t>
      </w:r>
      <w:r>
        <w:rPr>
          <w:snapToGrid w:val="0"/>
        </w:rPr>
        <w:tab/>
        <w:t>Licence for 2 or more blocks may be divided into 2 or more licences</w:t>
      </w:r>
      <w:bookmarkEnd w:id="301"/>
      <w:bookmarkEnd w:id="302"/>
    </w:p>
    <w:p>
      <w:pPr>
        <w:pStyle w:val="Subsection"/>
      </w:pPr>
      <w:r>
        <w:rPr>
          <w:snapToGrid w:val="0"/>
        </w:rPr>
        <w:tab/>
        <w:t>(1)</w:t>
      </w:r>
      <w:r>
        <w:rPr>
          <w:snapToGrid w:val="0"/>
        </w:rPr>
        <w:tab/>
        <w:t xml:space="preserve">Where a licence (in this section called the </w:t>
      </w:r>
      <w:r>
        <w:rPr>
          <w:rStyle w:val="CharDefText"/>
        </w:rPr>
        <w:t>original licence</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keepNext/>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 and</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spacing w:before="120"/>
        <w:rPr>
          <w:snapToGrid w:val="0"/>
        </w:rPr>
      </w:pPr>
      <w:r>
        <w:rPr>
          <w:snapToGrid w:val="0"/>
        </w:rPr>
        <w:tab/>
        <w:t>(6)</w:t>
      </w:r>
      <w:r>
        <w:rPr>
          <w:snapToGrid w:val="0"/>
        </w:rPr>
        <w:tab/>
        <w:t>Where licences are granted on an application under this section —</w:t>
      </w:r>
    </w:p>
    <w:p>
      <w:pPr>
        <w:pStyle w:val="Indenta"/>
        <w:spacing w:before="60"/>
        <w:rPr>
          <w:snapToGrid w:val="0"/>
        </w:rPr>
      </w:pPr>
      <w:r>
        <w:rPr>
          <w:snapToGrid w:val="0"/>
        </w:rPr>
        <w:tab/>
        <w:t>(a)</w:t>
      </w:r>
      <w:r>
        <w:rPr>
          <w:snapToGrid w:val="0"/>
        </w:rPr>
        <w:tab/>
        <w:t>the original licence is, by force of this subsection, determined; and</w:t>
      </w:r>
    </w:p>
    <w:p>
      <w:pPr>
        <w:pStyle w:val="Indenta"/>
        <w:keepNext/>
        <w:spacing w:before="60"/>
        <w:rPr>
          <w:snapToGrid w:val="0"/>
        </w:rPr>
      </w:pPr>
      <w:r>
        <w:rPr>
          <w:snapToGrid w:val="0"/>
        </w:rPr>
        <w:tab/>
        <w:t>(b)</w:t>
      </w:r>
      <w:r>
        <w:rPr>
          <w:snapToGrid w:val="0"/>
        </w:rPr>
        <w:tab/>
        <w:t>the determination has effect on and from the day on which those licences come into force.</w:t>
      </w:r>
    </w:p>
    <w:p>
      <w:pPr>
        <w:pStyle w:val="Footnotesection"/>
        <w:spacing w:before="80"/>
        <w:ind w:left="890" w:hanging="890"/>
      </w:pPr>
      <w:r>
        <w:tab/>
        <w:t>[Section 61 amended: No. 69 of 1981 s. 34; No. 12 of 1990 s. 46; No. 28 of 1994 s. 32; No. 35 of 2007 s. 53; No. 42 of 2010 s. 40.]</w:t>
      </w:r>
    </w:p>
    <w:p>
      <w:pPr>
        <w:pStyle w:val="Heading5"/>
      </w:pPr>
      <w:bookmarkStart w:id="303" w:name="_Toc98946941"/>
      <w:bookmarkStart w:id="304" w:name="_Toc97630537"/>
      <w:r>
        <w:rPr>
          <w:rStyle w:val="CharSectno"/>
        </w:rPr>
        <w:t>61A</w:t>
      </w:r>
      <w:r>
        <w:t>.</w:t>
      </w:r>
      <w:r>
        <w:tab/>
        <w:t>Grant of petroleum production licence as result of change to boundary of offshore area</w:t>
      </w:r>
      <w:bookmarkEnd w:id="303"/>
      <w:bookmarkEnd w:id="304"/>
    </w:p>
    <w:p>
      <w:pPr>
        <w:pStyle w:val="Subsection"/>
      </w:pPr>
      <w:r>
        <w:tab/>
        <w:t>(1)</w:t>
      </w:r>
      <w:r>
        <w:tab/>
        <w:t xml:space="preserve">In this section — </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tab/>
        <w:t>(b)</w:t>
      </w:r>
      <w:r>
        <w:tab/>
        <w:t>if a graticular section is wholly within the area that was covered by the Commonwealth licence concerned — the graticular section; or</w:t>
      </w:r>
    </w:p>
    <w:p>
      <w:pPr>
        <w:pStyle w:val="Defpara"/>
      </w:pPr>
      <w:r>
        <w:tab/>
        <w:t>(c)</w:t>
      </w:r>
      <w:r>
        <w:tab/>
        <w:t>if a part only of a graticular section is within the area that was covered by the Commonwealth licence concerned — that part of the graticular section.</w:t>
      </w:r>
    </w:p>
    <w:p>
      <w:pPr>
        <w:pStyle w:val="PermNoteHeading"/>
      </w:pPr>
      <w:r>
        <w:tab/>
        <w:t>Note for this definition:</w:t>
      </w:r>
    </w:p>
    <w:p>
      <w:pPr>
        <w:pStyle w:val="PermNoteText"/>
      </w:pPr>
      <w:r>
        <w:tab/>
      </w:r>
      <w:r>
        <w:tab/>
        <w:t>See also subsection (6).</w:t>
      </w:r>
    </w:p>
    <w:p>
      <w:pPr>
        <w:pStyle w:val="Subsection"/>
      </w:pPr>
      <w:r>
        <w:tab/>
        <w:t>(2)</w:t>
      </w:r>
      <w:r>
        <w:tab/>
        <w:t xml:space="preserve">This section applies if — </w:t>
      </w:r>
    </w:p>
    <w:p>
      <w:pPr>
        <w:pStyle w:val="Indenta"/>
      </w:pPr>
      <w:r>
        <w:tab/>
        <w:t>(a)</w:t>
      </w:r>
      <w:r>
        <w:tab/>
        <w:t xml:space="preserve">a Commonwealth licence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inshore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there are one or more section 27 blocks (the </w:t>
      </w:r>
      <w:r>
        <w:rPr>
          <w:rStyle w:val="CharDefText"/>
        </w:rPr>
        <w:t>relevant section 27 blocks</w:t>
      </w:r>
      <w:r>
        <w:t xml:space="preserve">) that — </w:t>
      </w:r>
    </w:p>
    <w:p>
      <w:pPr>
        <w:pStyle w:val="Indenti"/>
      </w:pPr>
      <w:r>
        <w:tab/>
        <w:t>(i)</w:t>
      </w:r>
      <w:r>
        <w:tab/>
        <w:t>correspond to the section 27 blocks that were covered by the Commonwealth licence immediately before the change; and</w:t>
      </w:r>
    </w:p>
    <w:p>
      <w:pPr>
        <w:pStyle w:val="Indenti"/>
      </w:pPr>
      <w:r>
        <w:tab/>
        <w:t>(ii)</w:t>
      </w:r>
      <w:r>
        <w:tab/>
        <w:t>are in the inshore area; and</w:t>
      </w:r>
    </w:p>
    <w:p>
      <w:pPr>
        <w:pStyle w:val="Indenti"/>
      </w:pPr>
      <w:r>
        <w:tab/>
        <w:t>(iii)</w:t>
      </w:r>
      <w:r>
        <w:tab/>
        <w:t>are not the subject of a variation under section 97A.</w:t>
      </w:r>
    </w:p>
    <w:p>
      <w:pPr>
        <w:pStyle w:val="Subsection"/>
        <w:keepNext/>
      </w:pPr>
      <w:r>
        <w:tab/>
        <w:t>(3)</w:t>
      </w:r>
      <w:r>
        <w:tab/>
        <w:t xml:space="preserve">The conditions mentioned in subsection (2)(c)(i) are — </w:t>
      </w:r>
    </w:p>
    <w:p>
      <w:pPr>
        <w:pStyle w:val="Indenta"/>
      </w:pPr>
      <w:r>
        <w:tab/>
        <w:t>(a)</w:t>
      </w:r>
      <w:r>
        <w:tab/>
        <w:t>one or more, but not all, of the section 27 blocks that were covered by the Commonwealth licence immediately before the change are in the relevant area; and</w:t>
      </w:r>
    </w:p>
    <w:p>
      <w:pPr>
        <w:pStyle w:val="Indenta"/>
      </w:pPr>
      <w:r>
        <w:tab/>
        <w:t>(b)</w:t>
      </w:r>
      <w:r>
        <w:tab/>
        <w:t xml:space="preserve">the Commonwealth licence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licence immediately before the change and that are in the offshore area; and</w:t>
      </w:r>
    </w:p>
    <w:p>
      <w:pPr>
        <w:pStyle w:val="Indenti"/>
      </w:pPr>
      <w:r>
        <w:tab/>
        <w:t>(ii)</w:t>
      </w:r>
      <w:r>
        <w:tab/>
        <w:t>otherwise than as the result of the cancellation or surrender of the Commonwealth licence.</w:t>
      </w:r>
    </w:p>
    <w:p>
      <w:pPr>
        <w:pStyle w:val="Subsection"/>
      </w:pPr>
      <w:r>
        <w:tab/>
        <w:t>(4)</w:t>
      </w:r>
      <w:r>
        <w:tab/>
        <w:t xml:space="preserve">The conditions mentioned in subsection (2)(c)(ii) are — </w:t>
      </w:r>
    </w:p>
    <w:p>
      <w:pPr>
        <w:pStyle w:val="Indenta"/>
      </w:pPr>
      <w:r>
        <w:tab/>
        <w:t>(a)</w:t>
      </w:r>
      <w:r>
        <w:tab/>
        <w:t>all of the section 27 blocks that were covered by the Commonwealth licence immediately before the change are in the relevant area; and</w:t>
      </w:r>
    </w:p>
    <w:p>
      <w:pPr>
        <w:pStyle w:val="Indenta"/>
      </w:pPr>
      <w:r>
        <w:tab/>
        <w:t>(b)</w:t>
      </w:r>
      <w:r>
        <w:tab/>
        <w:t xml:space="preserve">the Commonwealth licence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licence immediately before the change; and</w:t>
      </w:r>
    </w:p>
    <w:p>
      <w:pPr>
        <w:pStyle w:val="Indenti"/>
      </w:pPr>
      <w:r>
        <w:tab/>
        <w:t>(ii)</w:t>
      </w:r>
      <w:r>
        <w:tab/>
        <w:t>otherwise than as the result of the cancellation or surrender of the Commonwealth licence.</w:t>
      </w:r>
    </w:p>
    <w:p>
      <w:pPr>
        <w:pStyle w:val="Subsection"/>
      </w:pPr>
      <w:r>
        <w:tab/>
        <w:t>(5)</w:t>
      </w:r>
      <w:r>
        <w:tab/>
        <w:t xml:space="preserve">The Minister is taken — </w:t>
      </w:r>
    </w:p>
    <w:p>
      <w:pPr>
        <w:pStyle w:val="Indenta"/>
      </w:pPr>
      <w:r>
        <w:tab/>
        <w:t>(a)</w:t>
      </w:r>
      <w:r>
        <w:tab/>
        <w:t>to have granted the holder of the Commonwealth licence a petroleum production licence over the relevant section 27 blocks; and</w:t>
      </w:r>
    </w:p>
    <w:p>
      <w:pPr>
        <w:pStyle w:val="Indenta"/>
      </w:pPr>
      <w:r>
        <w:tab/>
        <w:t>(b)</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licence, see section 63(3).</w:t>
      </w:r>
    </w:p>
    <w:p>
      <w:pPr>
        <w:pStyle w:val="Subsection"/>
      </w:pPr>
      <w:r>
        <w:tab/>
        <w:t>(6)</w:t>
      </w:r>
      <w:r>
        <w:tab/>
        <w:t xml:space="preserve">If, after the change to the boundary of the offshore area — </w:t>
      </w:r>
    </w:p>
    <w:p>
      <w:pPr>
        <w:pStyle w:val="Indenta"/>
      </w:pPr>
      <w:r>
        <w:tab/>
        <w:t>(a)</w:t>
      </w:r>
      <w:r>
        <w:tab/>
        <w:t>a part of a section 27 block that was covered by the Commonwealth licence immediately before the change is in the offshore area; and</w:t>
      </w:r>
    </w:p>
    <w:p>
      <w:pPr>
        <w:pStyle w:val="Indenta"/>
      </w:pPr>
      <w:r>
        <w:tab/>
        <w:t>(b)</w:t>
      </w:r>
      <w:r>
        <w:tab/>
        <w:t>the remaining part of the section 27 block is in the inshore area,</w:t>
      </w:r>
    </w:p>
    <w:p>
      <w:pPr>
        <w:pStyle w:val="Subsection"/>
      </w:pPr>
      <w:r>
        <w:tab/>
      </w:r>
      <w:r>
        <w:tab/>
        <w:t>then, for the purposes of this section (other than this subsection), each of those parts is taken to constitute, and to have always constituted, a section 27 block.</w:t>
      </w:r>
    </w:p>
    <w:p>
      <w:pPr>
        <w:pStyle w:val="Footnotesection"/>
        <w:spacing w:before="80"/>
        <w:ind w:left="890" w:hanging="890"/>
      </w:pPr>
      <w:r>
        <w:tab/>
        <w:t>[Section 61A inserted: No. 7 of 2017 s. 19.]</w:t>
      </w:r>
    </w:p>
    <w:p>
      <w:pPr>
        <w:pStyle w:val="Heading5"/>
        <w:spacing w:before="180"/>
        <w:rPr>
          <w:snapToGrid w:val="0"/>
        </w:rPr>
      </w:pPr>
      <w:bookmarkStart w:id="305" w:name="_Toc98946942"/>
      <w:bookmarkStart w:id="306" w:name="_Toc97630538"/>
      <w:r>
        <w:rPr>
          <w:rStyle w:val="CharSectno"/>
        </w:rPr>
        <w:t>62</w:t>
      </w:r>
      <w:r>
        <w:rPr>
          <w:snapToGrid w:val="0"/>
        </w:rPr>
        <w:t>.</w:t>
      </w:r>
      <w:r>
        <w:rPr>
          <w:snapToGrid w:val="0"/>
        </w:rPr>
        <w:tab/>
        <w:t>Rights conferred by licence</w:t>
      </w:r>
      <w:bookmarkEnd w:id="305"/>
      <w:bookmarkEnd w:id="306"/>
    </w:p>
    <w:p>
      <w:pPr>
        <w:pStyle w:val="Subsection"/>
        <w:spacing w:before="120"/>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in accordance with the conditions to which the licence is subject —</w:t>
      </w:r>
    </w:p>
    <w:p>
      <w:pPr>
        <w:pStyle w:val="Indenta"/>
        <w:spacing w:before="60"/>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keepNext/>
        <w:rPr>
          <w:snapToGrid w:val="0"/>
        </w:rPr>
      </w:pPr>
      <w:r>
        <w:tab/>
        <w:t>(c)</w:t>
      </w:r>
      <w:r>
        <w:tab/>
        <w:t>to carry on such operations and execute such works in the licence area as are necessary for those purposes.</w:t>
      </w:r>
    </w:p>
    <w:p>
      <w:pPr>
        <w:pStyle w:val="Footnotesection"/>
      </w:pPr>
      <w:r>
        <w:tab/>
        <w:t>[Section 62 amended: No. 12 of 1990 s. 47; No. 13 of 2005 s. 16(2); No. 35 of 2007 s. 54.]</w:t>
      </w:r>
    </w:p>
    <w:p>
      <w:pPr>
        <w:pStyle w:val="Heading5"/>
      </w:pPr>
      <w:bookmarkStart w:id="307" w:name="_Toc98946943"/>
      <w:bookmarkStart w:id="308" w:name="_Toc97630539"/>
      <w:r>
        <w:rPr>
          <w:rStyle w:val="CharSectno"/>
        </w:rPr>
        <w:t>62A</w:t>
      </w:r>
      <w:r>
        <w:t>.</w:t>
      </w:r>
      <w:r>
        <w:tab/>
        <w:t>Geothermal energy recovery development plans</w:t>
      </w:r>
      <w:bookmarkEnd w:id="307"/>
      <w:bookmarkEnd w:id="308"/>
    </w:p>
    <w:p>
      <w:pPr>
        <w:pStyle w:val="Subsection"/>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keepNext/>
        <w:keepLines/>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pPr>
      <w:r>
        <w:tab/>
        <w:t>(3)</w:t>
      </w:r>
      <w:r>
        <w:tab/>
        <w:t>The Minister is not to give a direction under subsection (2) unless the Minister has given to the geothermal licensee an opportunity to confer with the Minister concerning the proposed direction.</w:t>
      </w:r>
    </w:p>
    <w:p>
      <w:pPr>
        <w:pStyle w:val="Subsection"/>
      </w:pPr>
      <w:r>
        <w:tab/>
        <w:t>(4)</w:t>
      </w:r>
      <w:r>
        <w:tab/>
        <w:t>The Minister may approve a geothermal energy recovery development plan submitted under subsection (1).</w:t>
      </w:r>
    </w:p>
    <w:p>
      <w:pPr>
        <w:pStyle w:val="Footnotesection"/>
      </w:pPr>
      <w:r>
        <w:tab/>
        <w:t>[Section 62A inserted: No. 35 of 2007 s. 55.]</w:t>
      </w:r>
    </w:p>
    <w:p>
      <w:pPr>
        <w:pStyle w:val="Heading5"/>
        <w:spacing w:before="180"/>
      </w:pPr>
      <w:bookmarkStart w:id="309" w:name="_Toc98946944"/>
      <w:bookmarkStart w:id="310" w:name="_Toc97630540"/>
      <w:r>
        <w:rPr>
          <w:rStyle w:val="CharSectno"/>
        </w:rPr>
        <w:t>62B</w:t>
      </w:r>
      <w:r>
        <w:t>.</w:t>
      </w:r>
      <w:r>
        <w:tab/>
        <w:t>Variation of approved development plans</w:t>
      </w:r>
      <w:bookmarkEnd w:id="309"/>
      <w:bookmarkEnd w:id="310"/>
    </w:p>
    <w:p>
      <w:pPr>
        <w:pStyle w:val="Subsection"/>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ind w:left="890" w:hanging="890"/>
      </w:pPr>
      <w:r>
        <w:tab/>
        <w:t>[Section 62B inserted: No. 35 of 2007 s. 55.]</w:t>
      </w:r>
    </w:p>
    <w:p>
      <w:pPr>
        <w:pStyle w:val="Heading5"/>
        <w:rPr>
          <w:snapToGrid w:val="0"/>
        </w:rPr>
      </w:pPr>
      <w:bookmarkStart w:id="311" w:name="_Toc98946945"/>
      <w:bookmarkStart w:id="312" w:name="_Toc97630541"/>
      <w:r>
        <w:rPr>
          <w:rStyle w:val="CharSectno"/>
        </w:rPr>
        <w:t>63</w:t>
      </w:r>
      <w:r>
        <w:rPr>
          <w:snapToGrid w:val="0"/>
        </w:rPr>
        <w:t>.</w:t>
      </w:r>
      <w:r>
        <w:rPr>
          <w:snapToGrid w:val="0"/>
        </w:rPr>
        <w:tab/>
        <w:t>Term of licence</w:t>
      </w:r>
      <w:bookmarkEnd w:id="311"/>
      <w:bookmarkEnd w:id="312"/>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41(3)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t xml:space="preserve"> </w:t>
      </w:r>
      <w:r>
        <w:rPr>
          <w:iCs/>
          <w:snapToGrid w:val="0"/>
        </w:rPr>
        <w:t xml:space="preserve"> </w:t>
      </w:r>
      <w:r>
        <w:t>section 41(3), other than a petroleum production licence granted under section 61A, remains in force indefinitely.</w:t>
      </w:r>
    </w:p>
    <w:p>
      <w:pPr>
        <w:pStyle w:val="Subsection"/>
      </w:pPr>
      <w:r>
        <w:tab/>
        <w:t>(3)</w:t>
      </w:r>
      <w:r>
        <w:tab/>
        <w:t>Subject to this Part, a petroleum production licence granted under section 61A remains in force for the period of 21 years commencing on the day on which the licence is granted.</w:t>
      </w:r>
    </w:p>
    <w:p>
      <w:pPr>
        <w:pStyle w:val="Footnotesection"/>
      </w:pPr>
      <w:r>
        <w:tab/>
        <w:t>[Section 63 inserted: No. 12 of 1990 s. 48; amended: No. 42 of 2010 s. 41; No. 7 of 2017 s. 20.]</w:t>
      </w:r>
    </w:p>
    <w:p>
      <w:pPr>
        <w:pStyle w:val="Heading5"/>
      </w:pPr>
      <w:bookmarkStart w:id="313" w:name="_Toc98946946"/>
      <w:bookmarkStart w:id="314" w:name="_Toc97630542"/>
      <w:r>
        <w:rPr>
          <w:rStyle w:val="CharSectno"/>
        </w:rPr>
        <w:t>64A</w:t>
      </w:r>
      <w:r>
        <w:t>.</w:t>
      </w:r>
      <w:r>
        <w:tab/>
        <w:t>Termination of licence if no operations for 5 years</w:t>
      </w:r>
      <w:bookmarkEnd w:id="313"/>
      <w:bookmarkEnd w:id="314"/>
    </w:p>
    <w:p>
      <w:pPr>
        <w:pStyle w:val="Subsection"/>
      </w:pPr>
      <w:r>
        <w:tab/>
        <w:t>(1)</w:t>
      </w:r>
      <w:r>
        <w:tab/>
        <w:t xml:space="preserve">If — </w:t>
      </w:r>
    </w:p>
    <w:p>
      <w:pPr>
        <w:pStyle w:val="Indenta"/>
      </w:pPr>
      <w:r>
        <w:tab/>
        <w:t>(a)</w:t>
      </w:r>
      <w:r>
        <w:tab/>
        <w:t>a petroleum production licence is in force under section 63(1)(c) or (2) and the licensee has not carried on any operations for the recovery of petroleum under the licence at any time during a continuous period of at least 5 years; or</w:t>
      </w:r>
    </w:p>
    <w:p>
      <w:pPr>
        <w:pStyle w:val="Indenta"/>
      </w:pPr>
      <w:r>
        <w:tab/>
        <w:t>(b)</w:t>
      </w:r>
      <w:r>
        <w:tab/>
        <w:t>a geothermal production licence is in force under section 63(1)(c) or (2) and the licensee has not carried on any operations for the recovery of geothermal energy under the licence at any time during a continuous period of at least 5 years,</w:t>
      </w:r>
    </w:p>
    <w:p>
      <w:pPr>
        <w:pStyle w:val="Subsection"/>
      </w:pPr>
      <w:r>
        <w:tab/>
      </w:r>
      <w:r>
        <w:tab/>
        <w:t>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keepNext/>
      </w:pPr>
      <w:r>
        <w:tab/>
        <w:t>(3)</w:t>
      </w:r>
      <w:r>
        <w:tab/>
        <w:t xml:space="preserve">In working out — </w:t>
      </w:r>
    </w:p>
    <w:p>
      <w:pPr>
        <w:pStyle w:val="Indenta"/>
      </w:pPr>
      <w:r>
        <w:tab/>
        <w:t>(a)</w:t>
      </w:r>
      <w:r>
        <w:tab/>
        <w:t xml:space="preserve">for the purposes of subsection (1)(a) the duration of the period in which no operations for the recovery of petroleum were carried on under a petroleum production licence; or </w:t>
      </w:r>
    </w:p>
    <w:p>
      <w:pPr>
        <w:pStyle w:val="Indenta"/>
      </w:pPr>
      <w:r>
        <w:tab/>
        <w:t>(b)</w:t>
      </w:r>
      <w:r>
        <w:tab/>
        <w:t xml:space="preserve">for the purposes of subsection (1)(b) the duration of the period in which no operations for the recovery of geothermal energy were carried on under a geothermal production licence, </w:t>
      </w:r>
    </w:p>
    <w:p>
      <w:pPr>
        <w:pStyle w:val="Subsection"/>
      </w:pPr>
      <w:r>
        <w:tab/>
      </w:r>
      <w:r>
        <w:tab/>
        <w:t>any period in which no such operations were carried on because of circumstances beyond the licensee’s control is to be disregarded.</w:t>
      </w:r>
    </w:p>
    <w:p>
      <w:pPr>
        <w:pStyle w:val="Footnotesection"/>
      </w:pPr>
      <w:r>
        <w:tab/>
        <w:t>[Section 64A inserted: No. 42 of 2010 s. 42.]</w:t>
      </w:r>
    </w:p>
    <w:p>
      <w:pPr>
        <w:pStyle w:val="Heading5"/>
        <w:rPr>
          <w:snapToGrid w:val="0"/>
        </w:rPr>
      </w:pPr>
      <w:bookmarkStart w:id="315" w:name="_Toc98946947"/>
      <w:bookmarkStart w:id="316" w:name="_Toc97630543"/>
      <w:r>
        <w:rPr>
          <w:rStyle w:val="CharSectno"/>
        </w:rPr>
        <w:t>64</w:t>
      </w:r>
      <w:r>
        <w:rPr>
          <w:snapToGrid w:val="0"/>
        </w:rPr>
        <w:t>.</w:t>
      </w:r>
      <w:r>
        <w:rPr>
          <w:snapToGrid w:val="0"/>
        </w:rPr>
        <w:tab/>
        <w:t>Application for renewal of licence</w:t>
      </w:r>
      <w:bookmarkEnd w:id="315"/>
      <w:bookmarkEnd w:id="316"/>
    </w:p>
    <w:p>
      <w:pPr>
        <w:pStyle w:val="Subsection"/>
        <w:keepNext/>
        <w:keepLines/>
      </w:pPr>
      <w:r>
        <w:tab/>
        <w:t>(1)</w:t>
      </w:r>
      <w:r>
        <w:tab/>
        <w:t>Subject to this section, a licensee under a licence to which section 63(1)(a) or (b) or (3) applies may, from time to time, make an application to the Minister for the renewal of the licence.</w:t>
      </w:r>
    </w:p>
    <w:p>
      <w:pPr>
        <w:pStyle w:val="Subsection"/>
        <w:spacing w:before="120"/>
        <w:rPr>
          <w:snapToGrid w:val="0"/>
        </w:rPr>
      </w:pPr>
      <w:r>
        <w:rPr>
          <w:snapToGrid w:val="0"/>
        </w:rPr>
        <w:tab/>
        <w:t>(2)</w:t>
      </w:r>
      <w:r>
        <w:rPr>
          <w:snapToGrid w:val="0"/>
        </w:rPr>
        <w:tab/>
        <w:t>An application for the renewal of the licence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spacing w:before="60"/>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spacing w:before="60"/>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Subsection"/>
      </w:pPr>
      <w:r>
        <w:tab/>
        <w:t>(4)</w:t>
      </w:r>
      <w:r>
        <w:tab/>
        <w:t xml:space="preserve">If — </w:t>
      </w:r>
    </w:p>
    <w:p>
      <w:pPr>
        <w:pStyle w:val="Indenta"/>
      </w:pPr>
      <w:r>
        <w:tab/>
        <w:t>(a)</w:t>
      </w:r>
      <w:r>
        <w:tab/>
        <w:t>a petroleum production licence is granted under section 61A; and</w:t>
      </w:r>
    </w:p>
    <w:p>
      <w:pPr>
        <w:pStyle w:val="Indenta"/>
      </w:pPr>
      <w:r>
        <w:tab/>
        <w:t>(b)</w:t>
      </w:r>
      <w:r>
        <w:tab/>
        <w:t>the relevant Commonwealth licence that ceases to be in force, as mentioned in section 61A(3)(b) or (4)(b), was granted otherwise than by way of renewal,</w:t>
      </w:r>
    </w:p>
    <w:p>
      <w:pPr>
        <w:pStyle w:val="Subsection"/>
      </w:pPr>
      <w:r>
        <w:tab/>
      </w:r>
      <w:r>
        <w:tab/>
        <w:t>an application must not be made for the renewal of the petroleum production licence if the Minister has previously granted a renewal of the licence.</w:t>
      </w:r>
    </w:p>
    <w:p>
      <w:pPr>
        <w:pStyle w:val="Subsection"/>
      </w:pPr>
      <w:r>
        <w:tab/>
        <w:t>(5)</w:t>
      </w:r>
      <w:r>
        <w:tab/>
        <w:t xml:space="preserve">If — </w:t>
      </w:r>
    </w:p>
    <w:p>
      <w:pPr>
        <w:pStyle w:val="Indenta"/>
      </w:pPr>
      <w:r>
        <w:tab/>
        <w:t>(a)</w:t>
      </w:r>
      <w:r>
        <w:tab/>
        <w:t>a petroleum production licence is granted under section 61A; and</w:t>
      </w:r>
    </w:p>
    <w:p>
      <w:pPr>
        <w:pStyle w:val="Indenta"/>
      </w:pPr>
      <w:r>
        <w:tab/>
        <w:t>(b)</w:t>
      </w:r>
      <w:r>
        <w:tab/>
        <w:t>the relevant Commonwealth licence that ceases to be in force, as mentioned in section 61A(3)(b) or (4)(b), was granted by way of renewal,</w:t>
      </w:r>
    </w:p>
    <w:p>
      <w:pPr>
        <w:pStyle w:val="Subsection"/>
      </w:pPr>
      <w:r>
        <w:tab/>
      </w:r>
      <w:r>
        <w:tab/>
        <w:t>an application must not be made for the renewal of the petroleum production licence.</w:t>
      </w:r>
    </w:p>
    <w:p>
      <w:pPr>
        <w:pStyle w:val="Footnotesection"/>
        <w:spacing w:before="100"/>
        <w:ind w:left="890" w:hanging="890"/>
      </w:pPr>
      <w:r>
        <w:tab/>
        <w:t>[Section 64 amended: No. 69 of 1981 s. 34; No. 12 of 1990 s. 49; No. 42 of 2010 s. 43; No. 7 of 2017 s. 21.]</w:t>
      </w:r>
    </w:p>
    <w:p>
      <w:pPr>
        <w:pStyle w:val="Heading5"/>
        <w:rPr>
          <w:snapToGrid w:val="0"/>
        </w:rPr>
      </w:pPr>
      <w:bookmarkStart w:id="317" w:name="_Toc98946948"/>
      <w:bookmarkStart w:id="318" w:name="_Toc97630544"/>
      <w:r>
        <w:rPr>
          <w:rStyle w:val="CharSectno"/>
        </w:rPr>
        <w:t>65</w:t>
      </w:r>
      <w:r>
        <w:rPr>
          <w:snapToGrid w:val="0"/>
        </w:rPr>
        <w:t>.</w:t>
      </w:r>
      <w:r>
        <w:rPr>
          <w:snapToGrid w:val="0"/>
        </w:rPr>
        <w:tab/>
        <w:t>Grant or refusal of renewal of licence</w:t>
      </w:r>
      <w:bookmarkEnd w:id="317"/>
      <w:bookmarkEnd w:id="318"/>
    </w:p>
    <w:p>
      <w:pPr>
        <w:pStyle w:val="Subsection"/>
        <w:spacing w:before="10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spacing w:before="100"/>
        <w:rPr>
          <w:snapToGrid w:val="0"/>
        </w:rPr>
      </w:pPr>
      <w:r>
        <w:rPr>
          <w:snapToGrid w:val="0"/>
        </w:rPr>
        <w:tab/>
      </w:r>
      <w:r>
        <w:rPr>
          <w:snapToGrid w:val="0"/>
        </w:rPr>
        <w:tab/>
        <w:t>the Minister —</w:t>
      </w:r>
    </w:p>
    <w:p>
      <w:pPr>
        <w:pStyle w:val="Indenta"/>
        <w:spacing w:before="60"/>
      </w:pPr>
      <w:r>
        <w:tab/>
        <w:t>(c)</w:t>
      </w:r>
      <w:r>
        <w:tab/>
        <w:t xml:space="preserve">shall if — </w:t>
      </w:r>
    </w:p>
    <w:p>
      <w:pPr>
        <w:pStyle w:val="Indenti"/>
        <w:spacing w:before="60"/>
      </w:pPr>
      <w:r>
        <w:tab/>
        <w:t>(i)</w:t>
      </w:r>
      <w:r>
        <w:tab/>
        <w:t>the application is in respect of the first renewal of the licence; or</w:t>
      </w:r>
    </w:p>
    <w:p>
      <w:pPr>
        <w:pStyle w:val="Indenti"/>
        <w:spacing w:before="60"/>
      </w:pPr>
      <w:r>
        <w:tab/>
        <w:t>(ii)</w:t>
      </w:r>
      <w:r>
        <w:tab/>
        <w:t>the application is in respect of a renewal of the licence other than the first renewal and operations for the recovery of petroleum have been carried on in the licence area within the period of 5 years before the application for the renewal was made;</w:t>
      </w:r>
    </w:p>
    <w:p>
      <w:pPr>
        <w:pStyle w:val="Indenta"/>
        <w:spacing w:before="60"/>
      </w:pPr>
      <w:r>
        <w:tab/>
      </w:r>
      <w:r>
        <w:tab/>
        <w:t>or</w:t>
      </w:r>
    </w:p>
    <w:p>
      <w:pPr>
        <w:pStyle w:val="Indenta"/>
        <w:keepNext/>
        <w:spacing w:before="60"/>
      </w:pPr>
      <w:r>
        <w:tab/>
        <w:t>(d)</w:t>
      </w:r>
      <w:r>
        <w:tab/>
        <w:t>may in any other case,</w:t>
      </w:r>
    </w:p>
    <w:p>
      <w:pPr>
        <w:pStyle w:val="Subsection"/>
        <w:spacing w:before="100"/>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spacing w:before="100"/>
        <w:rPr>
          <w:snapToGrid w:val="0"/>
        </w:rPr>
      </w:pPr>
      <w:r>
        <w:rPr>
          <w:snapToGrid w:val="0"/>
        </w:rPr>
        <w:tab/>
        <w:t>(2)</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spacing w:before="80"/>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keepNext/>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keepNext/>
        <w:rPr>
          <w:snapToGrid w:val="0"/>
        </w:rPr>
      </w:pPr>
      <w:r>
        <w:rPr>
          <w:snapToGrid w:val="0"/>
        </w:rPr>
        <w:tab/>
        <w:t>(11)</w:t>
      </w:r>
      <w:r>
        <w:rPr>
          <w:snapToGrid w:val="0"/>
        </w:rPr>
        <w:tab/>
        <w:t>Where —</w:t>
      </w:r>
    </w:p>
    <w:p>
      <w:pPr>
        <w:pStyle w:val="Indenta"/>
        <w:keepNext/>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spacing w:before="180"/>
        <w:rPr>
          <w:snapToGrid w:val="0"/>
        </w:rPr>
      </w:pPr>
      <w:r>
        <w:rPr>
          <w:snapToGrid w:val="0"/>
        </w:rPr>
        <w:tab/>
      </w:r>
      <w:r>
        <w:rPr>
          <w:snapToGrid w:val="0"/>
        </w:rPr>
        <w:tab/>
        <w:t>whichever first happens.</w:t>
      </w:r>
    </w:p>
    <w:p>
      <w:pPr>
        <w:pStyle w:val="Footnotesection"/>
      </w:pPr>
      <w:r>
        <w:tab/>
        <w:t>[Section 65 amended: No. 28 of 1994 s. 33; No. 42 of 2010 s. 44.]</w:t>
      </w:r>
    </w:p>
    <w:p>
      <w:pPr>
        <w:pStyle w:val="Heading5"/>
        <w:rPr>
          <w:snapToGrid w:val="0"/>
        </w:rPr>
      </w:pPr>
      <w:bookmarkStart w:id="319" w:name="_Toc98946949"/>
      <w:bookmarkStart w:id="320" w:name="_Toc97630545"/>
      <w:r>
        <w:rPr>
          <w:rStyle w:val="CharSectno"/>
        </w:rPr>
        <w:t>66</w:t>
      </w:r>
      <w:r>
        <w:rPr>
          <w:snapToGrid w:val="0"/>
        </w:rPr>
        <w:t>.</w:t>
      </w:r>
      <w:r>
        <w:rPr>
          <w:snapToGrid w:val="0"/>
        </w:rPr>
        <w:tab/>
        <w:t>Conditions of licence</w:t>
      </w:r>
      <w:bookmarkEnd w:id="319"/>
      <w:bookmarkEnd w:id="320"/>
    </w:p>
    <w:p>
      <w:pPr>
        <w:pStyle w:val="Subsection"/>
        <w:spacing w:before="180"/>
        <w:rPr>
          <w:snapToGrid w:val="0"/>
        </w:rPr>
      </w:pPr>
      <w:r>
        <w:rPr>
          <w:snapToGrid w:val="0"/>
        </w:rPr>
        <w:tab/>
        <w:t>(1)</w:t>
      </w:r>
      <w:r>
        <w:rPr>
          <w:snapToGrid w:val="0"/>
        </w:rPr>
        <w:tab/>
        <w:t>A licence may be granted subject to such conditions as the Minister thinks fit and specifies in the licence.</w:t>
      </w:r>
    </w:p>
    <w:p>
      <w:pPr>
        <w:pStyle w:val="Subsection"/>
        <w:spacing w:before="180"/>
      </w:pPr>
      <w:r>
        <w:tab/>
        <w:t>(2)</w:t>
      </w:r>
      <w:r>
        <w:tab/>
        <w:t>Without limiting subsection (1), a geothermal production licence is subject to the condition that geothermal energy may be recovered under the licence only in accordance with the approved development plan.</w:t>
      </w:r>
    </w:p>
    <w:p>
      <w:pPr>
        <w:pStyle w:val="Subsection"/>
      </w:pPr>
      <w:r>
        <w:tab/>
        <w:t>(3)</w:t>
      </w:r>
      <w:r>
        <w:tab/>
        <w:t>Subsection (1) does not apply to a petroleum production licence granted under section 61A.</w:t>
      </w:r>
    </w:p>
    <w:p>
      <w:pPr>
        <w:pStyle w:val="Subsection"/>
      </w:pPr>
      <w:r>
        <w:tab/>
        <w:t>(4)</w:t>
      </w:r>
      <w:r>
        <w:tab/>
        <w:t>The Minister may, by written notice given to the licensee, vary a petroleum production licence granted under section 61A by imposing one or more conditions to which the licence is subject.</w:t>
      </w:r>
    </w:p>
    <w:p>
      <w:pPr>
        <w:pStyle w:val="Subsection"/>
      </w:pPr>
      <w:r>
        <w:tab/>
        <w:t>(5)</w:t>
      </w:r>
      <w:r>
        <w:tab/>
        <w:t>A notice under subsection (4) may only be given within 14 days after the grant of the petroleum production licence.</w:t>
      </w:r>
    </w:p>
    <w:p>
      <w:pPr>
        <w:pStyle w:val="Subsection"/>
      </w:pPr>
      <w:r>
        <w:tab/>
        <w:t>(6)</w:t>
      </w:r>
      <w:r>
        <w:tab/>
        <w:t>A variation under subsection (4) takes effect on the day on which notice of the variation is given to the licensee.</w:t>
      </w:r>
    </w:p>
    <w:p>
      <w:pPr>
        <w:pStyle w:val="Footnotesection"/>
        <w:ind w:left="890" w:hanging="890"/>
      </w:pPr>
      <w:r>
        <w:tab/>
        <w:t>[Section 66 amended: No. 35 of 2007 s. 56; No. 7 of 2017 s. 22.]</w:t>
      </w:r>
    </w:p>
    <w:p>
      <w:pPr>
        <w:pStyle w:val="Heading5"/>
        <w:rPr>
          <w:snapToGrid w:val="0"/>
        </w:rPr>
      </w:pPr>
      <w:bookmarkStart w:id="321" w:name="_Toc98946950"/>
      <w:bookmarkStart w:id="322" w:name="_Toc97630546"/>
      <w:r>
        <w:rPr>
          <w:rStyle w:val="CharSectno"/>
        </w:rPr>
        <w:t>67</w:t>
      </w:r>
      <w:r>
        <w:rPr>
          <w:snapToGrid w:val="0"/>
        </w:rPr>
        <w:t>.</w:t>
      </w:r>
      <w:r>
        <w:rPr>
          <w:snapToGrid w:val="0"/>
        </w:rPr>
        <w:tab/>
        <w:t>Storage of petroleum underground</w:t>
      </w:r>
      <w:bookmarkEnd w:id="321"/>
      <w:bookmarkEnd w:id="322"/>
    </w:p>
    <w:p>
      <w:pPr>
        <w:pStyle w:val="Subsection"/>
        <w:spacing w:before="180"/>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w:t>
      </w:r>
      <w:r>
        <w:t xml:space="preserve"> a fine of</w:t>
      </w:r>
      <w:r>
        <w:rPr>
          <w:snapToGrid w:val="0"/>
        </w:rPr>
        <w:t xml:space="preserve"> $10 000.</w:t>
      </w:r>
    </w:p>
    <w:p>
      <w:pPr>
        <w:pStyle w:val="Subsection"/>
        <w:spacing w:before="180"/>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rPr>
          <w:snapToGrid w:val="0"/>
        </w:rPr>
      </w:pPr>
      <w:r>
        <w:rPr>
          <w:snapToGrid w:val="0"/>
        </w:rPr>
        <w:tab/>
        <w:t>(a)</w:t>
      </w:r>
      <w:r>
        <w:rPr>
          <w:snapToGrid w:val="0"/>
        </w:rPr>
        <w:tab/>
        <w:t>shall specify the details of the methods to be used for the injection, storage and subsequent recovery of the petroleum; and</w:t>
      </w:r>
    </w:p>
    <w:p>
      <w:pPr>
        <w:pStyle w:val="Indenta"/>
        <w:rPr>
          <w:snapToGrid w:val="0"/>
        </w:rPr>
      </w:pPr>
      <w:r>
        <w:rPr>
          <w:snapToGrid w:val="0"/>
        </w:rPr>
        <w:tab/>
        <w:t>(b)</w:t>
      </w:r>
      <w:r>
        <w:rPr>
          <w:snapToGrid w:val="0"/>
        </w:rPr>
        <w:tab/>
        <w:t>may specify —</w:t>
      </w:r>
    </w:p>
    <w:p>
      <w:pPr>
        <w:pStyle w:val="Indenti"/>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rPr>
          <w:snapToGrid w:val="0"/>
        </w:rPr>
      </w:pPr>
      <w:r>
        <w:rPr>
          <w:snapToGrid w:val="0"/>
        </w:rPr>
        <w:tab/>
        <w:t>(ii)</w:t>
      </w:r>
      <w:r>
        <w:rPr>
          <w:snapToGrid w:val="0"/>
        </w:rPr>
        <w:tab/>
        <w:t>such conditions, restrictions and other matters as the Minister thinks fit.</w:t>
      </w:r>
    </w:p>
    <w:p>
      <w:pPr>
        <w:pStyle w:val="Footnotesection"/>
        <w:ind w:left="890" w:hanging="890"/>
      </w:pPr>
      <w:r>
        <w:tab/>
        <w:t>[Section 67 inserted: No. 28 of 1994 s. 34; amended: No. 42 of 2010 s. 62(15).]</w:t>
      </w:r>
    </w:p>
    <w:p>
      <w:pPr>
        <w:pStyle w:val="Heading5"/>
        <w:rPr>
          <w:snapToGrid w:val="0"/>
        </w:rPr>
      </w:pPr>
      <w:bookmarkStart w:id="323" w:name="_Toc98946951"/>
      <w:bookmarkStart w:id="324" w:name="_Toc97630547"/>
      <w:r>
        <w:rPr>
          <w:rStyle w:val="CharSectno"/>
        </w:rPr>
        <w:t>68</w:t>
      </w:r>
      <w:r>
        <w:rPr>
          <w:snapToGrid w:val="0"/>
        </w:rPr>
        <w:t>.</w:t>
      </w:r>
      <w:r>
        <w:rPr>
          <w:snapToGrid w:val="0"/>
        </w:rPr>
        <w:tab/>
        <w:t>Directions as to recovery of petroleum</w:t>
      </w:r>
      <w:bookmarkEnd w:id="323"/>
      <w:bookmarkEnd w:id="324"/>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No. 12 of 1990 s. 51.]</w:t>
      </w:r>
    </w:p>
    <w:p>
      <w:pPr>
        <w:pStyle w:val="Heading5"/>
        <w:rPr>
          <w:snapToGrid w:val="0"/>
        </w:rPr>
      </w:pPr>
      <w:bookmarkStart w:id="325" w:name="_Toc98946952"/>
      <w:bookmarkStart w:id="326" w:name="_Toc97630548"/>
      <w:r>
        <w:rPr>
          <w:rStyle w:val="CharSectno"/>
        </w:rPr>
        <w:t>69</w:t>
      </w:r>
      <w:r>
        <w:rPr>
          <w:snapToGrid w:val="0"/>
        </w:rPr>
        <w:t>.</w:t>
      </w:r>
      <w:r>
        <w:rPr>
          <w:snapToGrid w:val="0"/>
        </w:rPr>
        <w:tab/>
        <w:t>Unit development</w:t>
      </w:r>
      <w:bookmarkEnd w:id="325"/>
      <w:bookmarkEnd w:id="326"/>
    </w:p>
    <w:p>
      <w:pPr>
        <w:pStyle w:val="Subsection"/>
      </w:pPr>
      <w:r>
        <w:tab/>
        <w:t>(1A)</w:t>
      </w:r>
      <w:r>
        <w:tab/>
        <w:t xml:space="preserve">In this section — </w:t>
      </w:r>
    </w:p>
    <w:p>
      <w:pPr>
        <w:pStyle w:val="Defstart"/>
      </w:pPr>
      <w:r>
        <w:tab/>
      </w:r>
      <w:r>
        <w:rPr>
          <w:rStyle w:val="CharDefText"/>
        </w:rPr>
        <w:t>Joint Authority</w:t>
      </w:r>
      <w:r>
        <w:t xml:space="preserve"> and </w:t>
      </w:r>
      <w:r>
        <w:rPr>
          <w:rStyle w:val="CharDefText"/>
        </w:rPr>
        <w:t>offshore area</w:t>
      </w:r>
      <w:r>
        <w:t xml:space="preserve"> have the respective meanings given in the Commonwealth Act section 7.</w:t>
      </w:r>
    </w:p>
    <w:p>
      <w:pPr>
        <w:pStyle w:val="Subsection"/>
        <w:keepNext/>
        <w:keepLines/>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keepNext/>
        <w:keepLines/>
      </w:pPr>
      <w:r>
        <w:tab/>
        <w:t>(a)</w:t>
      </w:r>
      <w:r>
        <w:tab/>
        <w:t xml:space="preserve">applies in relation to — </w:t>
      </w:r>
    </w:p>
    <w:p>
      <w:pPr>
        <w:pStyle w:val="Indenti"/>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the Northern Territory or the Commonwealth, to carry on operations for the recovery of petroleum from the pool; or</w:t>
      </w:r>
    </w:p>
    <w:p>
      <w:pPr>
        <w:pStyle w:val="Indenti"/>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pPr>
      <w:r>
        <w:tab/>
      </w:r>
      <w:r>
        <w:tab/>
        <w:t>and</w:t>
      </w:r>
    </w:p>
    <w:p>
      <w:pPr>
        <w:pStyle w:val="Indenta"/>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rPr>
          <w:snapToGrid w:val="0"/>
        </w:rPr>
      </w:pPr>
      <w:r>
        <w:rPr>
          <w:snapToGrid w:val="0"/>
        </w:rPr>
        <w:tab/>
        <w:t>(3)</w:t>
      </w:r>
      <w:r>
        <w:rPr>
          <w:snapToGrid w:val="0"/>
        </w:rPr>
        <w:tab/>
        <w:t>The Minister, of his own motion or on application made to him in writing by —</w:t>
      </w:r>
    </w:p>
    <w:p>
      <w:pPr>
        <w:pStyle w:val="Indenta"/>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keepNext/>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tab/>
        <w:t>(b)</w:t>
      </w:r>
      <w:r>
        <w:tab/>
        <w:t>the geothermal licensee in respect of 2 or more licence areas in each of which there is part of a particular geothermal resources area,</w:t>
      </w:r>
    </w:p>
    <w:p>
      <w:pPr>
        <w:pStyle w:val="Subsection"/>
        <w:spacing w:before="120"/>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spacing w:before="120"/>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spacing w:before="120"/>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spacing w:before="120"/>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spacing w:before="120"/>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pPr>
        <w:pStyle w:val="Subsection"/>
        <w:keepNext/>
        <w:spacing w:before="120"/>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 xml:space="preserve">the adjacent area of an adjoining State or </w:t>
      </w:r>
      <w:r>
        <w:t>Territory; or</w:t>
      </w:r>
    </w:p>
    <w:p>
      <w:pPr>
        <w:pStyle w:val="Indenta"/>
        <w:keepNext/>
      </w:pPr>
      <w:r>
        <w:tab/>
        <w:t>(c)</w:t>
      </w:r>
      <w:r>
        <w:tab/>
        <w:t>the offshore area,</w:t>
      </w:r>
    </w:p>
    <w:p>
      <w:pPr>
        <w:pStyle w:val="Subsection"/>
        <w:spacing w:before="100"/>
        <w:rPr>
          <w:snapToGrid w:val="0"/>
        </w:rPr>
      </w:pPr>
      <w:r>
        <w:rPr>
          <w:snapToGrid w:val="0"/>
        </w:rPr>
        <w:tab/>
      </w:r>
      <w:r>
        <w:rPr>
          <w:snapToGrid w:val="0"/>
        </w:rPr>
        <w:tab/>
        <w:t>each Minister concerned shall consult concerning the exploitation of the petroleum pool with any other Minister concerned and with the appropriate authority of</w:t>
      </w:r>
      <w:r>
        <w:t xml:space="preserve"> the other State or the Territory if paragraph (a) or (b) applies and with the Joint Authority if paragraph (c) applies.</w:t>
      </w:r>
    </w:p>
    <w:p>
      <w:pPr>
        <w:pStyle w:val="Subsection"/>
        <w:keepNext/>
        <w:keepLines/>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the other State or the Territory.</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 xml:space="preserve">except with the approval of any other Minister concerned and any State or Territory authority </w:t>
      </w:r>
      <w:r>
        <w:t>concerned and with the approval of the Joint Authority if subsection (11)(c) applies.</w:t>
      </w:r>
    </w:p>
    <w:p>
      <w:pPr>
        <w:pStyle w:val="Footnotesection"/>
        <w:ind w:left="890" w:hanging="890"/>
      </w:pPr>
      <w:r>
        <w:tab/>
        <w:t>[Section 69 amended: No. 12 of 1990 s. 52; No. 35 of 2007 s. 57; No. 7 of 2017 s. 23.]</w:t>
      </w:r>
    </w:p>
    <w:p>
      <w:pPr>
        <w:pStyle w:val="Heading3"/>
      </w:pPr>
      <w:bookmarkStart w:id="327" w:name="_Toc97629658"/>
      <w:bookmarkStart w:id="328" w:name="_Toc97630011"/>
      <w:bookmarkStart w:id="329" w:name="_Toc97630549"/>
      <w:bookmarkStart w:id="330" w:name="_Toc98748464"/>
      <w:bookmarkStart w:id="331" w:name="_Toc98766104"/>
      <w:bookmarkStart w:id="332" w:name="_Toc98834371"/>
      <w:bookmarkStart w:id="333" w:name="_Toc98946953"/>
      <w:r>
        <w:rPr>
          <w:rStyle w:val="CharDivNo"/>
        </w:rPr>
        <w:t>Division 3A</w:t>
      </w:r>
      <w:r>
        <w:t> — </w:t>
      </w:r>
      <w:r>
        <w:rPr>
          <w:rStyle w:val="CharDivText"/>
        </w:rPr>
        <w:t>Petroleum titles and geothermal titles may subsist in respect of same blocks</w:t>
      </w:r>
      <w:bookmarkEnd w:id="327"/>
      <w:bookmarkEnd w:id="328"/>
      <w:bookmarkEnd w:id="329"/>
      <w:bookmarkEnd w:id="330"/>
      <w:bookmarkEnd w:id="331"/>
      <w:bookmarkEnd w:id="332"/>
      <w:bookmarkEnd w:id="333"/>
    </w:p>
    <w:p>
      <w:pPr>
        <w:pStyle w:val="Footnoteheading"/>
        <w:keepNext/>
      </w:pPr>
      <w:r>
        <w:tab/>
        <w:t>[Heading inserted: No. 35 of 2007 s. 58.]</w:t>
      </w:r>
    </w:p>
    <w:p>
      <w:pPr>
        <w:pStyle w:val="Heading5"/>
      </w:pPr>
      <w:bookmarkStart w:id="334" w:name="_Toc98946954"/>
      <w:bookmarkStart w:id="335" w:name="_Toc97630550"/>
      <w:r>
        <w:rPr>
          <w:rStyle w:val="CharSectno"/>
        </w:rPr>
        <w:t>69A</w:t>
      </w:r>
      <w:r>
        <w:t>.</w:t>
      </w:r>
      <w:r>
        <w:tab/>
        <w:t>Petroleum titles and geothermal titles may subsist in respect of same blocks</w:t>
      </w:r>
      <w:bookmarkEnd w:id="334"/>
      <w:bookmarkEnd w:id="335"/>
    </w:p>
    <w:p>
      <w:pPr>
        <w:pStyle w:val="Subsection"/>
      </w:pPr>
      <w:r>
        <w:tab/>
        <w:t>(1)</w:t>
      </w:r>
      <w:r>
        <w:tab/>
        <w:t xml:space="preserve">In this section — </w:t>
      </w:r>
    </w:p>
    <w:p>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tab/>
        <w:t>(b)</w:t>
      </w:r>
      <w:r>
        <w:tab/>
        <w:t xml:space="preserve">has in the instrument — </w:t>
      </w:r>
    </w:p>
    <w:p>
      <w:pPr>
        <w:pStyle w:val="Indenti"/>
      </w:pPr>
      <w:r>
        <w:tab/>
        <w:t>(i)</w:t>
      </w:r>
      <w:r>
        <w:tab/>
        <w:t>given particulars of the petroleum title proposed to be granted or of the variation proposed to be made to the petroleum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keepNext/>
      </w:pPr>
      <w:r>
        <w:tab/>
        <w:t>(c)</w:t>
      </w:r>
      <w:r>
        <w:tab/>
        <w:t>has taken into account any matters submitted to the Minister on or before the specified date by that person.</w:t>
      </w:r>
    </w:p>
    <w:p>
      <w:pPr>
        <w:pStyle w:val="Subsection"/>
        <w:keepNext/>
      </w:pPr>
      <w:r>
        <w:tab/>
        <w:t>(4)</w:t>
      </w:r>
      <w:r>
        <w:tab/>
        <w:t xml:space="preserve">The Minister is not to — </w:t>
      </w:r>
    </w:p>
    <w:p>
      <w:pPr>
        <w:pStyle w:val="Indenta"/>
      </w:pPr>
      <w:r>
        <w:tab/>
        <w:t>(a)</w:t>
      </w:r>
      <w:r>
        <w:tab/>
        <w:t>grant a geothermal title on an application under this Act in respect of a block that is the subject of a petroleum title of which the registered holder is a person other than the applicant; or</w:t>
      </w:r>
    </w:p>
    <w:p>
      <w:pPr>
        <w:pStyle w:val="Indenta"/>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pPr>
      <w:r>
        <w:tab/>
      </w:r>
      <w:r>
        <w:tab/>
        <w:t>unless the Minister has complied with subsection (5).</w:t>
      </w:r>
    </w:p>
    <w:p>
      <w:pPr>
        <w:pStyle w:val="Subsection"/>
      </w:pPr>
      <w:r>
        <w:tab/>
        <w:t>(5)</w:t>
      </w:r>
      <w:r>
        <w:tab/>
        <w:t xml:space="preserve">The Minister has complied with this subsection if the Minister — </w:t>
      </w:r>
    </w:p>
    <w:p>
      <w:pPr>
        <w:pStyle w:val="Indenta"/>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pPr>
      <w:r>
        <w:tab/>
        <w:t>(b)</w:t>
      </w:r>
      <w:r>
        <w:tab/>
        <w:t xml:space="preserve">has in the instrument — </w:t>
      </w:r>
    </w:p>
    <w:p>
      <w:pPr>
        <w:pStyle w:val="Indenti"/>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spacing w:before="80"/>
        <w:ind w:left="890" w:hanging="890"/>
      </w:pPr>
      <w:r>
        <w:tab/>
        <w:t>[Section 69A inserted: No. 35 of 2007 s. 58.]</w:t>
      </w:r>
    </w:p>
    <w:p>
      <w:pPr>
        <w:pStyle w:val="Ednotesection"/>
      </w:pPr>
      <w:r>
        <w:t>[</w:t>
      </w:r>
      <w:r>
        <w:rPr>
          <w:b/>
          <w:bCs/>
        </w:rPr>
        <w:t>69B</w:t>
      </w:r>
      <w:r>
        <w:rPr>
          <w:b/>
          <w:bCs/>
        </w:rPr>
        <w:noBreakHyphen/>
        <w:t>69I.</w:t>
      </w:r>
      <w:r>
        <w:tab/>
        <w:t>Deleted: No. 52 of 1995 s. 37.]</w:t>
      </w:r>
    </w:p>
    <w:p>
      <w:pPr>
        <w:pStyle w:val="Heading3"/>
      </w:pPr>
      <w:bookmarkStart w:id="336" w:name="_Toc97629660"/>
      <w:bookmarkStart w:id="337" w:name="_Toc97630013"/>
      <w:bookmarkStart w:id="338" w:name="_Toc97630551"/>
      <w:bookmarkStart w:id="339" w:name="_Toc98748466"/>
      <w:bookmarkStart w:id="340" w:name="_Toc98766106"/>
      <w:bookmarkStart w:id="341" w:name="_Toc98834373"/>
      <w:bookmarkStart w:id="342" w:name="_Toc98946955"/>
      <w:r>
        <w:rPr>
          <w:rStyle w:val="CharDivNo"/>
        </w:rPr>
        <w:t>Division 4</w:t>
      </w:r>
      <w:r>
        <w:rPr>
          <w:snapToGrid w:val="0"/>
        </w:rPr>
        <w:t> — </w:t>
      </w:r>
      <w:r>
        <w:rPr>
          <w:rStyle w:val="CharDivText"/>
        </w:rPr>
        <w:t>Registration of instruments</w:t>
      </w:r>
      <w:bookmarkEnd w:id="336"/>
      <w:bookmarkEnd w:id="337"/>
      <w:bookmarkEnd w:id="338"/>
      <w:bookmarkEnd w:id="339"/>
      <w:bookmarkEnd w:id="340"/>
      <w:bookmarkEnd w:id="341"/>
      <w:bookmarkEnd w:id="342"/>
    </w:p>
    <w:p>
      <w:pPr>
        <w:pStyle w:val="Heading5"/>
        <w:rPr>
          <w:snapToGrid w:val="0"/>
        </w:rPr>
      </w:pPr>
      <w:bookmarkStart w:id="343" w:name="_Toc98946956"/>
      <w:bookmarkStart w:id="344" w:name="_Toc97630552"/>
      <w:r>
        <w:rPr>
          <w:rStyle w:val="CharSectno"/>
        </w:rPr>
        <w:t>69J</w:t>
      </w:r>
      <w:r>
        <w:rPr>
          <w:snapToGrid w:val="0"/>
        </w:rPr>
        <w:t>.</w:t>
      </w:r>
      <w:r>
        <w:rPr>
          <w:snapToGrid w:val="0"/>
        </w:rPr>
        <w:tab/>
        <w:t>Term used: title</w:t>
      </w:r>
      <w:bookmarkEnd w:id="343"/>
      <w:bookmarkEnd w:id="344"/>
    </w:p>
    <w:p>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pPr>
        <w:pStyle w:val="Footnotesection"/>
      </w:pPr>
      <w:r>
        <w:tab/>
        <w:t>[Section 69J (formerly 69A) inserted: No. 12 of 1990 s. 53; amended: No. 78 of 1990 s. 7; renumbered: No. 21 of 1993 s. 45.]</w:t>
      </w:r>
    </w:p>
    <w:p>
      <w:pPr>
        <w:pStyle w:val="Heading5"/>
        <w:rPr>
          <w:snapToGrid w:val="0"/>
        </w:rPr>
      </w:pPr>
      <w:bookmarkStart w:id="345" w:name="_Toc98946957"/>
      <w:bookmarkStart w:id="346" w:name="_Toc97630553"/>
      <w:r>
        <w:rPr>
          <w:rStyle w:val="CharSectno"/>
        </w:rPr>
        <w:t>70</w:t>
      </w:r>
      <w:r>
        <w:rPr>
          <w:snapToGrid w:val="0"/>
        </w:rPr>
        <w:t>.</w:t>
      </w:r>
      <w:r>
        <w:rPr>
          <w:snapToGrid w:val="0"/>
        </w:rPr>
        <w:tab/>
        <w:t>Register of certain instruments to be kept</w:t>
      </w:r>
      <w:bookmarkEnd w:id="345"/>
      <w:bookmarkEnd w:id="346"/>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 and</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 and</w:t>
      </w:r>
    </w:p>
    <w:p>
      <w:pPr>
        <w:pStyle w:val="Indenta"/>
        <w:rPr>
          <w:snapToGrid w:val="0"/>
        </w:rPr>
      </w:pPr>
      <w:r>
        <w:rPr>
          <w:snapToGrid w:val="0"/>
        </w:rPr>
        <w:tab/>
        <w:t>(d)</w:t>
      </w:r>
      <w:r>
        <w:rPr>
          <w:snapToGrid w:val="0"/>
        </w:rPr>
        <w:tab/>
        <w:t>specifying the term of the title or special prospecting authority; and</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 and</w:t>
      </w:r>
    </w:p>
    <w:p>
      <w:pPr>
        <w:pStyle w:val="Indenta"/>
        <w:rPr>
          <w:snapToGrid w:val="0"/>
        </w:rPr>
      </w:pPr>
      <w:r>
        <w:rPr>
          <w:snapToGrid w:val="0"/>
        </w:rPr>
        <w:tab/>
        <w:t>(b)</w:t>
      </w:r>
      <w:r>
        <w:rPr>
          <w:snapToGrid w:val="0"/>
        </w:rPr>
        <w:tab/>
        <w:t>any instrument under section 69(5), (6) or (7); and</w:t>
      </w:r>
    </w:p>
    <w:p>
      <w:pPr>
        <w:pStyle w:val="Indenta"/>
        <w:rPr>
          <w:snapToGrid w:val="0"/>
        </w:rPr>
      </w:pPr>
      <w:r>
        <w:rPr>
          <w:snapToGrid w:val="0"/>
        </w:rPr>
        <w:tab/>
        <w:t>(c)</w:t>
      </w:r>
      <w:r>
        <w:rPr>
          <w:snapToGrid w:val="0"/>
        </w:rPr>
        <w:tab/>
        <w:t>any agreement under section </w:t>
      </w:r>
      <w:r>
        <w:t>67;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deleted]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No. 12 of 1990 s. 54; No. 78 of 1990 s. 7; No. 28 of 1994 s. 35; No. 42 of 2010 s. 45.]</w:t>
      </w:r>
    </w:p>
    <w:p>
      <w:pPr>
        <w:pStyle w:val="Heading5"/>
        <w:rPr>
          <w:snapToGrid w:val="0"/>
        </w:rPr>
      </w:pPr>
      <w:bookmarkStart w:id="347" w:name="_Toc98946958"/>
      <w:bookmarkStart w:id="348" w:name="_Toc97630554"/>
      <w:r>
        <w:rPr>
          <w:rStyle w:val="CharSectno"/>
        </w:rPr>
        <w:t>71</w:t>
      </w:r>
      <w:r>
        <w:rPr>
          <w:snapToGrid w:val="0"/>
        </w:rPr>
        <w:t>.</w:t>
      </w:r>
      <w:r>
        <w:rPr>
          <w:snapToGrid w:val="0"/>
        </w:rPr>
        <w:tab/>
        <w:t>Memorials to be entered of permits determined etc.</w:t>
      </w:r>
      <w:bookmarkEnd w:id="347"/>
      <w:bookmarkEnd w:id="348"/>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spacing w:before="120"/>
        <w:rPr>
          <w:snapToGrid w:val="0"/>
        </w:rPr>
      </w:pPr>
      <w:r>
        <w:rPr>
          <w:snapToGrid w:val="0"/>
        </w:rPr>
        <w:tab/>
      </w:r>
      <w:r>
        <w:rPr>
          <w:snapToGrid w:val="0"/>
        </w:rPr>
        <w:tab/>
        <w:t>the Minister shall enter in the Register a memorial of the fact.</w:t>
      </w:r>
    </w:p>
    <w:p>
      <w:pPr>
        <w:pStyle w:val="Footnotesection"/>
        <w:ind w:left="890" w:hanging="890"/>
      </w:pPr>
      <w:r>
        <w:tab/>
        <w:t>[Section 71 amended: No. 12 of 1990 s. 55; No. 78 of 1990 s. 7.]</w:t>
      </w:r>
    </w:p>
    <w:p>
      <w:pPr>
        <w:pStyle w:val="Heading5"/>
        <w:spacing w:before="180"/>
        <w:rPr>
          <w:snapToGrid w:val="0"/>
        </w:rPr>
      </w:pPr>
      <w:bookmarkStart w:id="349" w:name="_Toc98946959"/>
      <w:bookmarkStart w:id="350" w:name="_Toc97630555"/>
      <w:r>
        <w:rPr>
          <w:rStyle w:val="CharSectno"/>
        </w:rPr>
        <w:t>72</w:t>
      </w:r>
      <w:r>
        <w:rPr>
          <w:snapToGrid w:val="0"/>
        </w:rPr>
        <w:t>.</w:t>
      </w:r>
      <w:r>
        <w:rPr>
          <w:snapToGrid w:val="0"/>
        </w:rPr>
        <w:tab/>
        <w:t>Approval and registration of transfers</w:t>
      </w:r>
      <w:bookmarkEnd w:id="349"/>
      <w:bookmarkEnd w:id="350"/>
    </w:p>
    <w:p>
      <w:pPr>
        <w:pStyle w:val="Subsection"/>
        <w:spacing w:before="120"/>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spacing w:before="120"/>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spacing w:before="120"/>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spacing w:before="40"/>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keepNext/>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No. 12 of 1990 s. 56; amended: No. 78 of 1990 s. 7; No. 28 of 1994 s. 36; No. 35 of 2007 s. 59.]</w:t>
      </w:r>
    </w:p>
    <w:p>
      <w:pPr>
        <w:pStyle w:val="Heading5"/>
        <w:rPr>
          <w:snapToGrid w:val="0"/>
        </w:rPr>
      </w:pPr>
      <w:bookmarkStart w:id="351" w:name="_Toc98946960"/>
      <w:bookmarkStart w:id="352" w:name="_Toc97630556"/>
      <w:r>
        <w:rPr>
          <w:rStyle w:val="CharSectno"/>
        </w:rPr>
        <w:t>73</w:t>
      </w:r>
      <w:r>
        <w:rPr>
          <w:snapToGrid w:val="0"/>
        </w:rPr>
        <w:t>.</w:t>
      </w:r>
      <w:r>
        <w:rPr>
          <w:snapToGrid w:val="0"/>
        </w:rPr>
        <w:tab/>
        <w:t>Entries in Register on devolution of title</w:t>
      </w:r>
      <w:bookmarkEnd w:id="351"/>
      <w:bookmarkEnd w:id="352"/>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No. 69 of 1981 s. 34; No. 12 of 1990 s. 57.]</w:t>
      </w:r>
    </w:p>
    <w:p>
      <w:pPr>
        <w:pStyle w:val="Ednotesection"/>
        <w:spacing w:before="200"/>
        <w:ind w:left="890" w:hanging="890"/>
      </w:pPr>
      <w:r>
        <w:t>[</w:t>
      </w:r>
      <w:r>
        <w:rPr>
          <w:b/>
        </w:rPr>
        <w:t>74.</w:t>
      </w:r>
      <w:r>
        <w:tab/>
        <w:t>Deleted: No. 12 of 1990 s. 58.]</w:t>
      </w:r>
    </w:p>
    <w:p>
      <w:pPr>
        <w:pStyle w:val="Heading5"/>
        <w:spacing w:before="180"/>
        <w:rPr>
          <w:snapToGrid w:val="0"/>
        </w:rPr>
      </w:pPr>
      <w:bookmarkStart w:id="353" w:name="_Toc98946961"/>
      <w:bookmarkStart w:id="354" w:name="_Toc97630557"/>
      <w:r>
        <w:rPr>
          <w:rStyle w:val="CharSectno"/>
        </w:rPr>
        <w:t>75</w:t>
      </w:r>
      <w:r>
        <w:rPr>
          <w:snapToGrid w:val="0"/>
        </w:rPr>
        <w:t>.</w:t>
      </w:r>
      <w:r>
        <w:rPr>
          <w:snapToGrid w:val="0"/>
        </w:rPr>
        <w:tab/>
        <w:t>Approval of dealings creating interests etc. in existing titles</w:t>
      </w:r>
      <w:bookmarkEnd w:id="353"/>
      <w:bookmarkEnd w:id="354"/>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keepNext/>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keepNext/>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keepNext/>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keepNext/>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keepNext/>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rPr>
      </w:pPr>
      <w:r>
        <w:rPr>
          <w:snapToGrid w:val="0"/>
        </w:rPr>
        <w:tab/>
        <w:t>(a)</w:t>
      </w:r>
      <w:r>
        <w:rPr>
          <w:snapToGrid w:val="0"/>
        </w:rPr>
        <w:tab/>
        <w:t xml:space="preserve">if the dealing was approved before the commencement of section 58 of the </w:t>
      </w:r>
      <w:r>
        <w:rPr>
          <w:i/>
          <w:snapToGrid w:val="0"/>
        </w:rPr>
        <w:t>Acts Amendment (Petroleum) Act 1990</w:t>
      </w:r>
      <w:r>
        <w:rPr>
          <w:snapToGrid w:val="0"/>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No. 12 of 1990 s. 58; amended: No. 78 of 1990 s. 7; No. 28 of 1994 s. 37; No. 20 of 2003 s. 35; No. 35 of 2007 s. 60.]</w:t>
      </w:r>
    </w:p>
    <w:p>
      <w:pPr>
        <w:pStyle w:val="Heading5"/>
        <w:rPr>
          <w:snapToGrid w:val="0"/>
        </w:rPr>
      </w:pPr>
      <w:bookmarkStart w:id="355" w:name="_Toc98946962"/>
      <w:bookmarkStart w:id="356" w:name="_Toc97630558"/>
      <w:r>
        <w:rPr>
          <w:rStyle w:val="CharSectno"/>
        </w:rPr>
        <w:t>75A</w:t>
      </w:r>
      <w:r>
        <w:rPr>
          <w:snapToGrid w:val="0"/>
        </w:rPr>
        <w:t>.</w:t>
      </w:r>
      <w:r>
        <w:rPr>
          <w:snapToGrid w:val="0"/>
        </w:rPr>
        <w:tab/>
        <w:t>Approval of dealings in future interests etc.</w:t>
      </w:r>
      <w:bookmarkEnd w:id="355"/>
      <w:bookmarkEnd w:id="356"/>
    </w:p>
    <w:p>
      <w:pPr>
        <w:pStyle w:val="Subsection"/>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No. 12 of 1990 s. 58; amended: No. 78 of 1990 s. 7.]</w:t>
      </w:r>
    </w:p>
    <w:p>
      <w:pPr>
        <w:pStyle w:val="Heading5"/>
        <w:rPr>
          <w:snapToGrid w:val="0"/>
        </w:rPr>
      </w:pPr>
      <w:bookmarkStart w:id="357" w:name="_Toc98946963"/>
      <w:bookmarkStart w:id="358" w:name="_Toc97630559"/>
      <w:r>
        <w:rPr>
          <w:rStyle w:val="CharSectno"/>
        </w:rPr>
        <w:t>76</w:t>
      </w:r>
      <w:r>
        <w:rPr>
          <w:snapToGrid w:val="0"/>
        </w:rPr>
        <w:t>.</w:t>
      </w:r>
      <w:r>
        <w:rPr>
          <w:snapToGrid w:val="0"/>
        </w:rPr>
        <w:tab/>
        <w:t>True consideration to be shown in transfer or dealing</w:t>
      </w:r>
      <w:bookmarkEnd w:id="357"/>
      <w:bookmarkEnd w:id="358"/>
    </w:p>
    <w:p>
      <w:pPr>
        <w:pStyle w:val="Subsection"/>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spacing w:before="120"/>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No. 12 of 1990 s. 59; No. 35 of 2007 s. 61; No. 42 of 2010 s. 62(15).]</w:t>
      </w:r>
    </w:p>
    <w:p>
      <w:pPr>
        <w:pStyle w:val="Heading5"/>
        <w:rPr>
          <w:snapToGrid w:val="0"/>
        </w:rPr>
      </w:pPr>
      <w:bookmarkStart w:id="359" w:name="_Toc98946964"/>
      <w:bookmarkStart w:id="360" w:name="_Toc97630560"/>
      <w:r>
        <w:rPr>
          <w:rStyle w:val="CharSectno"/>
        </w:rPr>
        <w:t>77</w:t>
      </w:r>
      <w:r>
        <w:rPr>
          <w:snapToGrid w:val="0"/>
        </w:rPr>
        <w:t>.</w:t>
      </w:r>
      <w:r>
        <w:rPr>
          <w:snapToGrid w:val="0"/>
        </w:rPr>
        <w:tab/>
        <w:t>Minister not concerned with certain matters</w:t>
      </w:r>
      <w:bookmarkEnd w:id="359"/>
      <w:bookmarkEnd w:id="360"/>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No. 12 of 1990 s. 60.]</w:t>
      </w:r>
    </w:p>
    <w:p>
      <w:pPr>
        <w:pStyle w:val="Heading5"/>
        <w:rPr>
          <w:snapToGrid w:val="0"/>
        </w:rPr>
      </w:pPr>
      <w:bookmarkStart w:id="361" w:name="_Toc98946965"/>
      <w:bookmarkStart w:id="362" w:name="_Toc97630561"/>
      <w:r>
        <w:rPr>
          <w:rStyle w:val="CharSectno"/>
        </w:rPr>
        <w:t>78</w:t>
      </w:r>
      <w:r>
        <w:rPr>
          <w:snapToGrid w:val="0"/>
        </w:rPr>
        <w:t>.</w:t>
      </w:r>
      <w:r>
        <w:rPr>
          <w:snapToGrid w:val="0"/>
        </w:rPr>
        <w:tab/>
        <w:t>Power of Minister to require information as to transfers or dealings</w:t>
      </w:r>
      <w:bookmarkEnd w:id="361"/>
      <w:bookmarkEnd w:id="362"/>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keepNext/>
        <w:keepLines/>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rPr>
          <w:snapToGrid w:val="0"/>
        </w:rPr>
      </w:pPr>
      <w:r>
        <w:rPr>
          <w:snapToGrid w:val="0"/>
        </w:rPr>
        <w:tab/>
        <w:t>(1c)</w:t>
      </w:r>
      <w:r>
        <w:rPr>
          <w:snapToGrid w:val="0"/>
        </w:rPr>
        <w:tab/>
        <w:t>A person shall not fail or refuse to comply with a requirement given to the person under subsection (1), (1a) or (1b).</w:t>
      </w:r>
    </w:p>
    <w:p>
      <w:pPr>
        <w:pStyle w:val="Subsection"/>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pPr>
      <w:r>
        <w:tab/>
        <w:t>Penalty for an offence under subsection (1c) or (2): a fine of $5 000.</w:t>
      </w:r>
    </w:p>
    <w:p>
      <w:pPr>
        <w:pStyle w:val="Footnotesection"/>
        <w:ind w:left="890" w:hanging="890"/>
      </w:pPr>
      <w:r>
        <w:tab/>
        <w:t>[Section 78 amended: No. 12 of 1990 s. 61; No. 28 of 1994 s. 38; No. 42 of 2010 s. 62(2) and (3).]</w:t>
      </w:r>
    </w:p>
    <w:p>
      <w:pPr>
        <w:pStyle w:val="Heading5"/>
        <w:rPr>
          <w:snapToGrid w:val="0"/>
        </w:rPr>
      </w:pPr>
      <w:bookmarkStart w:id="363" w:name="_Toc98946966"/>
      <w:bookmarkStart w:id="364" w:name="_Toc97630562"/>
      <w:r>
        <w:rPr>
          <w:rStyle w:val="CharSectno"/>
        </w:rPr>
        <w:t>79</w:t>
      </w:r>
      <w:r>
        <w:rPr>
          <w:snapToGrid w:val="0"/>
        </w:rPr>
        <w:t>.</w:t>
      </w:r>
      <w:r>
        <w:rPr>
          <w:snapToGrid w:val="0"/>
        </w:rPr>
        <w:tab/>
        <w:t>Production and inspection of documents</w:t>
      </w:r>
      <w:bookmarkEnd w:id="363"/>
      <w:bookmarkEnd w:id="364"/>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pPr>
      <w:r>
        <w:tab/>
        <w:t>Penalty for an offence under subsection (2): a fine of $5 000.</w:t>
      </w:r>
    </w:p>
    <w:p>
      <w:pPr>
        <w:pStyle w:val="Footnotesection"/>
        <w:ind w:left="890" w:hanging="890"/>
      </w:pPr>
      <w:r>
        <w:tab/>
        <w:t>[Section 79 amended: No. 12 of 1990 s. 62; No. 42 of 2010 s. 62(4).]</w:t>
      </w:r>
    </w:p>
    <w:p>
      <w:pPr>
        <w:pStyle w:val="Heading5"/>
        <w:rPr>
          <w:snapToGrid w:val="0"/>
        </w:rPr>
      </w:pPr>
      <w:bookmarkStart w:id="365" w:name="_Toc98946967"/>
      <w:bookmarkStart w:id="366" w:name="_Toc97630563"/>
      <w:r>
        <w:rPr>
          <w:rStyle w:val="CharSectno"/>
        </w:rPr>
        <w:t>80</w:t>
      </w:r>
      <w:r>
        <w:rPr>
          <w:snapToGrid w:val="0"/>
        </w:rPr>
        <w:t>.</w:t>
      </w:r>
      <w:r>
        <w:rPr>
          <w:snapToGrid w:val="0"/>
        </w:rPr>
        <w:tab/>
        <w:t>Inspection of Register and instruments</w:t>
      </w:r>
      <w:bookmarkEnd w:id="365"/>
      <w:bookmarkEnd w:id="366"/>
    </w:p>
    <w:p>
      <w:pPr>
        <w:pStyle w:val="Subsection"/>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keepNext/>
      </w:pPr>
      <w:r>
        <w:tab/>
        <w:t>[(2)</w:t>
      </w:r>
      <w:r>
        <w:tab/>
        <w:t>deleted]</w:t>
      </w:r>
    </w:p>
    <w:p>
      <w:pPr>
        <w:pStyle w:val="Footnotesection"/>
        <w:keepLines w:val="0"/>
        <w:spacing w:before="100"/>
        <w:ind w:left="890" w:hanging="890"/>
      </w:pPr>
      <w:r>
        <w:tab/>
        <w:t>[Section 80 amended: No. 69 of 1981 s. 34; No. 12 of 1990 s. 63.]</w:t>
      </w:r>
    </w:p>
    <w:p>
      <w:pPr>
        <w:pStyle w:val="Heading5"/>
        <w:rPr>
          <w:snapToGrid w:val="0"/>
        </w:rPr>
      </w:pPr>
      <w:bookmarkStart w:id="367" w:name="_Toc98946968"/>
      <w:bookmarkStart w:id="368" w:name="_Toc97630564"/>
      <w:r>
        <w:rPr>
          <w:rStyle w:val="CharSectno"/>
        </w:rPr>
        <w:t>81</w:t>
      </w:r>
      <w:r>
        <w:rPr>
          <w:snapToGrid w:val="0"/>
        </w:rPr>
        <w:t>.</w:t>
      </w:r>
      <w:r>
        <w:rPr>
          <w:snapToGrid w:val="0"/>
        </w:rPr>
        <w:tab/>
        <w:t>Evidentiary provisions</w:t>
      </w:r>
      <w:bookmarkEnd w:id="367"/>
      <w:bookmarkEnd w:id="368"/>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spacing w:before="100"/>
        <w:ind w:left="890" w:hanging="890"/>
      </w:pPr>
      <w:r>
        <w:tab/>
        <w:t>[Section 81 amended: No. 69 of 1981 s. 34; No. 12 of 1990 s. 64; No. 55 of 2004 s. 917.]</w:t>
      </w:r>
    </w:p>
    <w:p>
      <w:pPr>
        <w:pStyle w:val="Heading5"/>
        <w:rPr>
          <w:snapToGrid w:val="0"/>
        </w:rPr>
      </w:pPr>
      <w:bookmarkStart w:id="369" w:name="_Toc98946969"/>
      <w:bookmarkStart w:id="370" w:name="_Toc97630565"/>
      <w:r>
        <w:rPr>
          <w:rStyle w:val="CharSectno"/>
        </w:rPr>
        <w:t>81A</w:t>
      </w:r>
      <w:r>
        <w:rPr>
          <w:snapToGrid w:val="0"/>
        </w:rPr>
        <w:t>.</w:t>
      </w:r>
      <w:r>
        <w:rPr>
          <w:snapToGrid w:val="0"/>
        </w:rPr>
        <w:tab/>
        <w:t>Minister may make corrections to, and entries in, Register</w:t>
      </w:r>
      <w:bookmarkEnd w:id="369"/>
      <w:bookmarkEnd w:id="370"/>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spacing w:before="120"/>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No. 12 of 1990 s. 65.]</w:t>
      </w:r>
    </w:p>
    <w:p>
      <w:pPr>
        <w:pStyle w:val="Heading5"/>
        <w:spacing w:before="180"/>
        <w:rPr>
          <w:snapToGrid w:val="0"/>
        </w:rPr>
      </w:pPr>
      <w:bookmarkStart w:id="371" w:name="_Toc98946970"/>
      <w:bookmarkStart w:id="372" w:name="_Toc97630566"/>
      <w:r>
        <w:rPr>
          <w:rStyle w:val="CharSectno"/>
        </w:rPr>
        <w:t>82</w:t>
      </w:r>
      <w:r>
        <w:rPr>
          <w:snapToGrid w:val="0"/>
        </w:rPr>
        <w:t>.</w:t>
      </w:r>
      <w:r>
        <w:rPr>
          <w:snapToGrid w:val="0"/>
        </w:rPr>
        <w:tab/>
        <w:t>Application to State Administrative Tribunal for orders</w:t>
      </w:r>
      <w:bookmarkEnd w:id="371"/>
      <w:bookmarkEnd w:id="372"/>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No. 55 of 2004 s. 918.]</w:t>
      </w:r>
    </w:p>
    <w:p>
      <w:pPr>
        <w:pStyle w:val="Ednotesection"/>
        <w:spacing w:before="240"/>
      </w:pPr>
      <w:r>
        <w:t>[</w:t>
      </w:r>
      <w:r>
        <w:rPr>
          <w:b/>
          <w:bCs/>
        </w:rPr>
        <w:t>83.</w:t>
      </w:r>
      <w:r>
        <w:rPr>
          <w:b/>
          <w:bCs/>
        </w:rPr>
        <w:tab/>
      </w:r>
      <w:r>
        <w:t>Deleted: No. 13 of 2005 s. 6.]</w:t>
      </w:r>
    </w:p>
    <w:p>
      <w:pPr>
        <w:pStyle w:val="Heading5"/>
        <w:spacing w:before="240"/>
        <w:rPr>
          <w:snapToGrid w:val="0"/>
        </w:rPr>
      </w:pPr>
      <w:bookmarkStart w:id="373" w:name="_Toc98946971"/>
      <w:bookmarkStart w:id="374" w:name="_Toc97630567"/>
      <w:r>
        <w:rPr>
          <w:rStyle w:val="CharSectno"/>
        </w:rPr>
        <w:t>84</w:t>
      </w:r>
      <w:r>
        <w:rPr>
          <w:snapToGrid w:val="0"/>
        </w:rPr>
        <w:t>.</w:t>
      </w:r>
      <w:r>
        <w:rPr>
          <w:snapToGrid w:val="0"/>
        </w:rPr>
        <w:tab/>
        <w:t>Offences connected with Register and certain documents</w:t>
      </w:r>
      <w:bookmarkEnd w:id="373"/>
      <w:bookmarkEnd w:id="374"/>
    </w:p>
    <w:p>
      <w:pPr>
        <w:pStyle w:val="Subsection"/>
        <w:spacing w:before="18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keepNext/>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w:t>
      </w:r>
      <w:r>
        <w:t xml:space="preserve"> offence.</w:t>
      </w:r>
    </w:p>
    <w:p>
      <w:pPr>
        <w:pStyle w:val="Penstart"/>
      </w:pPr>
      <w:r>
        <w:tab/>
        <w:t>Penalty: a fine of $5 000.</w:t>
      </w:r>
    </w:p>
    <w:p>
      <w:pPr>
        <w:pStyle w:val="Footnotesection"/>
        <w:spacing w:before="80"/>
        <w:ind w:left="890" w:hanging="890"/>
      </w:pPr>
      <w:r>
        <w:tab/>
        <w:t>[Section 84 amended: No. 12 of 1990 s. 66; No. 42 of 2010 s. 62(5) and (6).]</w:t>
      </w:r>
    </w:p>
    <w:p>
      <w:pPr>
        <w:pStyle w:val="Heading5"/>
        <w:rPr>
          <w:snapToGrid w:val="0"/>
        </w:rPr>
      </w:pPr>
      <w:bookmarkStart w:id="375" w:name="_Toc98946972"/>
      <w:bookmarkStart w:id="376" w:name="_Toc97630568"/>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375"/>
      <w:bookmarkEnd w:id="376"/>
    </w:p>
    <w:p>
      <w:pPr>
        <w:pStyle w:val="Subsection"/>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tab/>
        <w:t>[Section 85 amended: No. 55 of 2004 s. 919; No. 35 of 2007 s. 62.]</w:t>
      </w:r>
    </w:p>
    <w:p>
      <w:pPr>
        <w:pStyle w:val="Heading5"/>
        <w:rPr>
          <w:snapToGrid w:val="0"/>
        </w:rPr>
      </w:pPr>
      <w:bookmarkStart w:id="377" w:name="_Toc98946973"/>
      <w:bookmarkStart w:id="378" w:name="_Toc97630569"/>
      <w:r>
        <w:rPr>
          <w:rStyle w:val="CharSectno"/>
        </w:rPr>
        <w:t>86</w:t>
      </w:r>
      <w:r>
        <w:rPr>
          <w:snapToGrid w:val="0"/>
        </w:rPr>
        <w:t>.</w:t>
      </w:r>
      <w:r>
        <w:rPr>
          <w:snapToGrid w:val="0"/>
        </w:rPr>
        <w:tab/>
        <w:t>Exemption from duty</w:t>
      </w:r>
      <w:bookmarkEnd w:id="377"/>
      <w:bookmarkEnd w:id="378"/>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w:t>
      </w:r>
    </w:p>
    <w:p>
      <w:pPr>
        <w:pStyle w:val="Indenta"/>
        <w:rPr>
          <w:snapToGrid w:val="0"/>
        </w:rPr>
      </w:pPr>
      <w:r>
        <w:rPr>
          <w:snapToGrid w:val="0"/>
        </w:rPr>
        <w:tab/>
        <w:t>(a)</w:t>
      </w:r>
      <w:r>
        <w:rPr>
          <w:snapToGrid w:val="0"/>
        </w:rPr>
        <w:tab/>
        <w:t>on a permit, drilling reservation, lease, licence or access authority; or</w:t>
      </w:r>
    </w:p>
    <w:p>
      <w:pPr>
        <w:pStyle w:val="Indenta"/>
        <w:rPr>
          <w:snapToGrid w:val="0"/>
        </w:rPr>
      </w:pPr>
      <w:r>
        <w:rPr>
          <w:snapToGrid w:val="0"/>
        </w:rPr>
        <w:tab/>
        <w:t>(b)</w:t>
      </w:r>
      <w:r>
        <w:rPr>
          <w:snapToGrid w:val="0"/>
        </w:rPr>
        <w:tab/>
        <w:t>on a transfer of a permit, drilling reservation, lease, licence or access authority to which section 72 applies; or</w:t>
      </w:r>
    </w:p>
    <w:p>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No. 12 of 1990 s. 67; No. 78 of 1990 s. 7; No. 31 of 2008 s. 34.]</w:t>
      </w:r>
    </w:p>
    <w:p>
      <w:pPr>
        <w:pStyle w:val="Heading3"/>
        <w:keepLines/>
      </w:pPr>
      <w:bookmarkStart w:id="379" w:name="_Toc97629679"/>
      <w:bookmarkStart w:id="380" w:name="_Toc97630032"/>
      <w:bookmarkStart w:id="381" w:name="_Toc97630570"/>
      <w:bookmarkStart w:id="382" w:name="_Toc98748485"/>
      <w:bookmarkStart w:id="383" w:name="_Toc98766125"/>
      <w:bookmarkStart w:id="384" w:name="_Toc98834392"/>
      <w:bookmarkStart w:id="385" w:name="_Toc98946974"/>
      <w:r>
        <w:rPr>
          <w:rStyle w:val="CharDivNo"/>
        </w:rPr>
        <w:t>Division 5</w:t>
      </w:r>
      <w:r>
        <w:rPr>
          <w:snapToGrid w:val="0"/>
        </w:rPr>
        <w:t> — </w:t>
      </w:r>
      <w:r>
        <w:rPr>
          <w:rStyle w:val="CharDivText"/>
        </w:rPr>
        <w:t>General</w:t>
      </w:r>
      <w:bookmarkEnd w:id="379"/>
      <w:bookmarkEnd w:id="380"/>
      <w:bookmarkEnd w:id="381"/>
      <w:bookmarkEnd w:id="382"/>
      <w:bookmarkEnd w:id="383"/>
      <w:bookmarkEnd w:id="384"/>
      <w:bookmarkEnd w:id="385"/>
    </w:p>
    <w:p>
      <w:pPr>
        <w:pStyle w:val="Ednotesection"/>
        <w:keepNext/>
        <w:keepLines/>
        <w:ind w:left="890" w:hanging="890"/>
      </w:pPr>
      <w:r>
        <w:t>[</w:t>
      </w:r>
      <w:r>
        <w:rPr>
          <w:b/>
        </w:rPr>
        <w:t>87.</w:t>
      </w:r>
      <w:r>
        <w:tab/>
        <w:t>Deleted: No. 12 of 1990 s. 68.]</w:t>
      </w:r>
    </w:p>
    <w:p>
      <w:pPr>
        <w:pStyle w:val="Heading5"/>
        <w:spacing w:before="180"/>
        <w:rPr>
          <w:snapToGrid w:val="0"/>
        </w:rPr>
      </w:pPr>
      <w:bookmarkStart w:id="386" w:name="_Toc98946975"/>
      <w:bookmarkStart w:id="387" w:name="_Toc97630571"/>
      <w:r>
        <w:rPr>
          <w:rStyle w:val="CharSectno"/>
        </w:rPr>
        <w:t>88</w:t>
      </w:r>
      <w:r>
        <w:rPr>
          <w:snapToGrid w:val="0"/>
        </w:rPr>
        <w:t>.</w:t>
      </w:r>
      <w:r>
        <w:rPr>
          <w:snapToGrid w:val="0"/>
        </w:rPr>
        <w:tab/>
        <w:t>Notice of grants of permits etc. to be published</w:t>
      </w:r>
      <w:bookmarkEnd w:id="386"/>
      <w:bookmarkEnd w:id="387"/>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or licence; and</w:t>
      </w:r>
    </w:p>
    <w:p>
      <w:pPr>
        <w:pStyle w:val="Indenta"/>
        <w:rPr>
          <w:snapToGrid w:val="0"/>
        </w:rPr>
      </w:pPr>
      <w:r>
        <w:rPr>
          <w:snapToGrid w:val="0"/>
        </w:rPr>
        <w:tab/>
        <w:t>(aa)</w:t>
      </w:r>
      <w:r>
        <w:rPr>
          <w:snapToGrid w:val="0"/>
        </w:rPr>
        <w:tab/>
        <w:t>the grant, and the extension of, a drilling reservation; and</w:t>
      </w:r>
    </w:p>
    <w:p>
      <w:pPr>
        <w:pStyle w:val="Indenta"/>
        <w:rPr>
          <w:snapToGrid w:val="0"/>
        </w:rPr>
      </w:pPr>
      <w:r>
        <w:rPr>
          <w:snapToGrid w:val="0"/>
        </w:rPr>
        <w:tab/>
        <w:t>(b)</w:t>
      </w:r>
      <w:r>
        <w:rPr>
          <w:snapToGrid w:val="0"/>
        </w:rPr>
        <w:tab/>
        <w:t>the variation of a licence; and</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 and</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No. 12 of 1990 s. 69; No. 78 of 1990 s. 7; No. 28 of 1994 s. 39.]</w:t>
      </w:r>
    </w:p>
    <w:p>
      <w:pPr>
        <w:pStyle w:val="Heading5"/>
        <w:rPr>
          <w:snapToGrid w:val="0"/>
        </w:rPr>
      </w:pPr>
      <w:bookmarkStart w:id="388" w:name="_Toc98946976"/>
      <w:bookmarkStart w:id="389" w:name="_Toc97630572"/>
      <w:r>
        <w:rPr>
          <w:rStyle w:val="CharSectno"/>
        </w:rPr>
        <w:t>89</w:t>
      </w:r>
      <w:r>
        <w:rPr>
          <w:snapToGrid w:val="0"/>
        </w:rPr>
        <w:t>.</w:t>
      </w:r>
      <w:r>
        <w:rPr>
          <w:snapToGrid w:val="0"/>
        </w:rPr>
        <w:tab/>
        <w:t>Date of effect of certain surrenders, cancellations and variations</w:t>
      </w:r>
      <w:bookmarkEnd w:id="388"/>
      <w:bookmarkEnd w:id="389"/>
    </w:p>
    <w:p>
      <w:pPr>
        <w:pStyle w:val="Ednotesubsection"/>
        <w:spacing w:before="120"/>
      </w:pPr>
      <w:r>
        <w:tab/>
        <w:t>[(1)</w:t>
      </w:r>
      <w:r>
        <w:tab/>
        <w:t>deleted]</w:t>
      </w:r>
    </w:p>
    <w:p>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keepNext/>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ind w:left="890" w:hanging="890"/>
      </w:pPr>
      <w:r>
        <w:tab/>
        <w:t>[Section 89 amended: No. 12 of 1990 s. 70; No. 78 of 1990 s. 7.]</w:t>
      </w:r>
    </w:p>
    <w:p>
      <w:pPr>
        <w:pStyle w:val="Heading5"/>
        <w:rPr>
          <w:snapToGrid w:val="0"/>
        </w:rPr>
      </w:pPr>
      <w:bookmarkStart w:id="390" w:name="_Toc98946977"/>
      <w:bookmarkStart w:id="391" w:name="_Toc97630573"/>
      <w:r>
        <w:rPr>
          <w:rStyle w:val="CharSectno"/>
        </w:rPr>
        <w:t>90</w:t>
      </w:r>
      <w:r>
        <w:rPr>
          <w:snapToGrid w:val="0"/>
        </w:rPr>
        <w:t>.</w:t>
      </w:r>
      <w:r>
        <w:rPr>
          <w:snapToGrid w:val="0"/>
        </w:rPr>
        <w:tab/>
        <w:t>Commencement of works</w:t>
      </w:r>
      <w:bookmarkEnd w:id="390"/>
      <w:bookmarkEnd w:id="391"/>
    </w:p>
    <w:p>
      <w:pPr>
        <w:pStyle w:val="Subsection"/>
        <w:spacing w:before="18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spacing w:before="180"/>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90 amended: No. 12 of 1990 s. 71; No. 78 of 1990 s. 7; No. 42 of 2010 s. 62(7).]</w:t>
      </w:r>
    </w:p>
    <w:p>
      <w:pPr>
        <w:pStyle w:val="Heading5"/>
        <w:rPr>
          <w:snapToGrid w:val="0"/>
        </w:rPr>
      </w:pPr>
      <w:bookmarkStart w:id="392" w:name="_Toc98946978"/>
      <w:bookmarkStart w:id="393" w:name="_Toc97630574"/>
      <w:r>
        <w:rPr>
          <w:rStyle w:val="CharSectno"/>
        </w:rPr>
        <w:t>91</w:t>
      </w:r>
      <w:r>
        <w:rPr>
          <w:snapToGrid w:val="0"/>
        </w:rPr>
        <w:t>.</w:t>
      </w:r>
      <w:r>
        <w:rPr>
          <w:snapToGrid w:val="0"/>
        </w:rPr>
        <w:tab/>
        <w:t>Work practices</w:t>
      </w:r>
      <w:bookmarkEnd w:id="392"/>
      <w:bookmarkEnd w:id="393"/>
    </w:p>
    <w:p>
      <w:pPr>
        <w:pStyle w:val="Subsection"/>
        <w:keepLines/>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spacing w:before="70"/>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drilling reservation, lease area or licence area; and</w:t>
      </w:r>
    </w:p>
    <w:p>
      <w:pPr>
        <w:pStyle w:val="Indenti"/>
        <w:keepNext/>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pPr>
      <w:r>
        <w:tab/>
        <w:t>(b)</w:t>
      </w:r>
      <w:r>
        <w:tab/>
        <w:t>prevent the escape in the permit area, drilling reservation, lease area or licence area of any mixture of water or drilling fluid with geothermal energy resources or any other matter; and</w:t>
      </w:r>
    </w:p>
    <w:p>
      <w:pPr>
        <w:pStyle w:val="Indenta"/>
      </w:pPr>
      <w:r>
        <w:tab/>
        <w:t>(c)</w:t>
      </w:r>
      <w:r>
        <w:tab/>
        <w:t>prevent damage to geothermal energy resources in an area, whether in the State or not, in respect of which the permit, drilling reservation, lease or licence is not in force; and</w:t>
      </w:r>
    </w:p>
    <w:p>
      <w:pPr>
        <w:pStyle w:val="Indenta"/>
        <w:keepNext/>
      </w:pPr>
      <w:r>
        <w:tab/>
        <w:t>(d)</w:t>
      </w:r>
      <w:r>
        <w:tab/>
        <w:t xml:space="preserve">keep separate — </w:t>
      </w:r>
    </w:p>
    <w:p>
      <w:pPr>
        <w:pStyle w:val="Indenti"/>
      </w:pPr>
      <w:r>
        <w:tab/>
        <w:t>(i)</w:t>
      </w:r>
      <w:r>
        <w:tab/>
        <w:t>each geothermal resources area discovered in the permit area, drilling reservation, lease area or licence area; and</w:t>
      </w:r>
    </w:p>
    <w:p>
      <w:pPr>
        <w:pStyle w:val="Indenti"/>
      </w:pPr>
      <w:r>
        <w:tab/>
        <w:t>(ii)</w:t>
      </w:r>
      <w:r>
        <w:tab/>
        <w:t>such of the sources of water, if any, discovered in that area as the Minister, by instrument in writing served on that person, directs;</w:t>
      </w:r>
    </w:p>
    <w:p>
      <w:pPr>
        <w:pStyle w:val="Indenta"/>
      </w:pPr>
      <w:r>
        <w:tab/>
      </w:r>
      <w:r>
        <w:tab/>
        <w:t>and</w:t>
      </w:r>
    </w:p>
    <w:p>
      <w:pPr>
        <w:pStyle w:val="Indenta"/>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spacing w:before="180"/>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w:t>
      </w:r>
    </w:p>
    <w:p>
      <w:pPr>
        <w:pStyle w:val="Subsection"/>
        <w:spacing w:before="180"/>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spacing w:before="100"/>
      </w:pPr>
      <w:r>
        <w:tab/>
        <w:t>Penalty for an offence under subsection (1), (2), (2a) or (3): a fine of $10 000.</w:t>
      </w:r>
    </w:p>
    <w:p>
      <w:pPr>
        <w:pStyle w:val="Footnotesection"/>
        <w:ind w:left="890" w:hanging="890"/>
      </w:pPr>
      <w:r>
        <w:tab/>
        <w:t>[Section 91 amended: No. 12 of 1990 s. 72; No. 78 of 1990 s. 7; No. 28 of 1994 s. 40; No. 13 of 2005 s. 7; No. 35 of 2007 s. 63; No. 42 of 2010 s. 62(8).]</w:t>
      </w:r>
    </w:p>
    <w:p>
      <w:pPr>
        <w:pStyle w:val="Heading5"/>
        <w:rPr>
          <w:snapToGrid w:val="0"/>
        </w:rPr>
      </w:pPr>
      <w:bookmarkStart w:id="394" w:name="_Toc98946979"/>
      <w:bookmarkStart w:id="395" w:name="_Toc97630575"/>
      <w:r>
        <w:rPr>
          <w:rStyle w:val="CharSectno"/>
        </w:rPr>
        <w:t>91A</w:t>
      </w:r>
      <w:r>
        <w:rPr>
          <w:snapToGrid w:val="0"/>
        </w:rPr>
        <w:t>.</w:t>
      </w:r>
      <w:r>
        <w:rPr>
          <w:snapToGrid w:val="0"/>
        </w:rPr>
        <w:tab/>
        <w:t>Conditions relating to insurance</w:t>
      </w:r>
      <w:bookmarkEnd w:id="394"/>
      <w:bookmarkEnd w:id="395"/>
    </w:p>
    <w:p>
      <w:pPr>
        <w:pStyle w:val="Subsection"/>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keepNext/>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ind w:left="890" w:hanging="890"/>
      </w:pPr>
      <w:r>
        <w:tab/>
        <w:t>[Section 91A inserted: No. 28 of 1994 s. 41; amended: No. 35 of 2007 s. 64.]</w:t>
      </w:r>
    </w:p>
    <w:p>
      <w:pPr>
        <w:pStyle w:val="Heading5"/>
        <w:rPr>
          <w:snapToGrid w:val="0"/>
        </w:rPr>
      </w:pPr>
      <w:bookmarkStart w:id="396" w:name="_Toc98946980"/>
      <w:bookmarkStart w:id="397" w:name="_Toc97630576"/>
      <w:r>
        <w:rPr>
          <w:rStyle w:val="CharSectno"/>
        </w:rPr>
        <w:t>91B</w:t>
      </w:r>
      <w:r>
        <w:rPr>
          <w:snapToGrid w:val="0"/>
        </w:rPr>
        <w:t>.</w:t>
      </w:r>
      <w:r>
        <w:rPr>
          <w:snapToGrid w:val="0"/>
        </w:rPr>
        <w:tab/>
        <w:t>Conditions prohibiting entry on certain land</w:t>
      </w:r>
      <w:bookmarkEnd w:id="396"/>
      <w:bookmarkEnd w:id="397"/>
    </w:p>
    <w:p>
      <w:pPr>
        <w:pStyle w:val="Subsection"/>
        <w:rPr>
          <w:snapToGrid w:val="0"/>
        </w:rPr>
      </w:pPr>
      <w:r>
        <w:rPr>
          <w:snapToGrid w:val="0"/>
        </w:rPr>
        <w:tab/>
        <w:t>(1)</w:t>
      </w:r>
      <w:r>
        <w:rPr>
          <w:snapToGrid w:val="0"/>
        </w:rPr>
        <w:tab/>
        <w:t>In this section —</w:t>
      </w:r>
    </w:p>
    <w:p>
      <w:pPr>
        <w:pStyle w:val="Defstart"/>
      </w:pPr>
      <w:r>
        <w:tab/>
      </w:r>
      <w:r>
        <w:rPr>
          <w:rStyle w:val="CharDefText"/>
        </w:rPr>
        <w:t>holder</w:t>
      </w:r>
      <w:r>
        <w:t xml:space="preserve"> means the holder of the permit, drilling reservation, lease or licence.</w:t>
      </w:r>
    </w:p>
    <w:p>
      <w:pPr>
        <w:pStyle w:val="Subsection"/>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No. 17 of 1999 s. 27.]</w:t>
      </w:r>
    </w:p>
    <w:p>
      <w:pPr>
        <w:pStyle w:val="Heading5"/>
        <w:keepLines w:val="0"/>
        <w:spacing w:before="240"/>
        <w:rPr>
          <w:snapToGrid w:val="0"/>
        </w:rPr>
      </w:pPr>
      <w:bookmarkStart w:id="398" w:name="_Toc98946981"/>
      <w:bookmarkStart w:id="399" w:name="_Toc97630577"/>
      <w:r>
        <w:rPr>
          <w:rStyle w:val="CharSectno"/>
        </w:rPr>
        <w:t>92</w:t>
      </w:r>
      <w:r>
        <w:rPr>
          <w:snapToGrid w:val="0"/>
        </w:rPr>
        <w:t>.</w:t>
      </w:r>
      <w:r>
        <w:rPr>
          <w:snapToGrid w:val="0"/>
        </w:rPr>
        <w:tab/>
        <w:t>Maintenance etc. of property</w:t>
      </w:r>
      <w:bookmarkEnd w:id="398"/>
      <w:bookmarkEnd w:id="399"/>
    </w:p>
    <w:p>
      <w:pPr>
        <w:pStyle w:val="Subsection"/>
        <w:keepNext/>
        <w:spacing w:before="180"/>
        <w:rPr>
          <w:snapToGrid w:val="0"/>
        </w:rPr>
      </w:pPr>
      <w:r>
        <w:rPr>
          <w:snapToGrid w:val="0"/>
        </w:rPr>
        <w:tab/>
        <w:t>(1)</w:t>
      </w:r>
      <w:r>
        <w:rPr>
          <w:snapToGrid w:val="0"/>
        </w:rPr>
        <w:tab/>
        <w:t>In this section —</w:t>
      </w:r>
    </w:p>
    <w:p>
      <w:pPr>
        <w:pStyle w:val="Defstart"/>
      </w:pPr>
      <w:r>
        <w:rPr>
          <w:b/>
        </w:rPr>
        <w:tab/>
      </w:r>
      <w:r>
        <w:rPr>
          <w:rStyle w:val="CharDefText"/>
        </w:rPr>
        <w:t>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Indenta"/>
        <w:rPr>
          <w:b/>
        </w:rPr>
      </w:pPr>
      <w:r>
        <w:tab/>
        <w:t>(b)</w:t>
      </w:r>
      <w:r>
        <w:tab/>
        <w:t>in relation to an operator who is the holder of a special prospecting authority or access authority — means the area in respect of which that authority is in force;</w:t>
      </w:r>
    </w:p>
    <w:p>
      <w:pPr>
        <w:pStyle w:val="Defstart"/>
      </w:pPr>
      <w:r>
        <w:tab/>
      </w:r>
      <w:r>
        <w:rPr>
          <w:rStyle w:val="CharDefText"/>
        </w:rPr>
        <w:t>operator</w:t>
      </w:r>
      <w:r>
        <w:t xml:space="preserve"> means a permittee, holder of a drilling reservation, lessee, licensee or holder of a special prospecting authority or access authority.</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keepNext/>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spacing w:before="80"/>
        <w:ind w:left="890" w:hanging="890"/>
      </w:pPr>
      <w:r>
        <w:tab/>
        <w:t>[Section 92 amended: No. 12 of 1990 s. 74; No. 78 of 1990 s. 7; No. 28 of 1994 s. 42; No. 42 of 2010 s. 62(9).]</w:t>
      </w:r>
    </w:p>
    <w:p>
      <w:pPr>
        <w:pStyle w:val="Heading5"/>
        <w:rPr>
          <w:snapToGrid w:val="0"/>
        </w:rPr>
      </w:pPr>
      <w:bookmarkStart w:id="400" w:name="_Toc98946982"/>
      <w:bookmarkStart w:id="401" w:name="_Toc97630578"/>
      <w:r>
        <w:rPr>
          <w:rStyle w:val="CharSectno"/>
        </w:rPr>
        <w:t>93</w:t>
      </w:r>
      <w:r>
        <w:rPr>
          <w:snapToGrid w:val="0"/>
        </w:rPr>
        <w:t>.</w:t>
      </w:r>
      <w:r>
        <w:rPr>
          <w:snapToGrid w:val="0"/>
        </w:rPr>
        <w:tab/>
        <w:t>Operation of s. 91, 91A and 92 subject to this Act and other laws</w:t>
      </w:r>
      <w:bookmarkEnd w:id="400"/>
      <w:bookmarkEnd w:id="401"/>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95; and</w:t>
      </w:r>
    </w:p>
    <w:p>
      <w:pPr>
        <w:pStyle w:val="Indenta"/>
        <w:rPr>
          <w:snapToGrid w:val="0"/>
        </w:rPr>
      </w:pPr>
      <w:r>
        <w:rPr>
          <w:snapToGrid w:val="0"/>
        </w:rPr>
        <w:tab/>
        <w:t>(d)</w:t>
      </w:r>
      <w:r>
        <w:rPr>
          <w:snapToGrid w:val="0"/>
        </w:rPr>
        <w:tab/>
        <w:t>any other law.</w:t>
      </w:r>
    </w:p>
    <w:p>
      <w:pPr>
        <w:pStyle w:val="Footnotesection"/>
        <w:spacing w:before="100"/>
        <w:ind w:left="890" w:hanging="890"/>
      </w:pPr>
      <w:r>
        <w:tab/>
        <w:t>[Section 93 amended: No. 28 of 1994 s. 43.]</w:t>
      </w:r>
    </w:p>
    <w:p>
      <w:pPr>
        <w:pStyle w:val="Ednotesection"/>
        <w:spacing w:before="180"/>
      </w:pPr>
      <w:r>
        <w:t>[</w:t>
      </w:r>
      <w:r>
        <w:rPr>
          <w:b/>
        </w:rPr>
        <w:t>94.</w:t>
      </w:r>
      <w:r>
        <w:tab/>
        <w:t>Deleted: No. 42 of 2010 s. 46.]</w:t>
      </w:r>
    </w:p>
    <w:p>
      <w:pPr>
        <w:pStyle w:val="Heading5"/>
        <w:spacing w:before="180"/>
        <w:rPr>
          <w:snapToGrid w:val="0"/>
        </w:rPr>
      </w:pPr>
      <w:bookmarkStart w:id="402" w:name="_Toc98946983"/>
      <w:bookmarkStart w:id="403" w:name="_Toc97630579"/>
      <w:r>
        <w:rPr>
          <w:rStyle w:val="CharSectno"/>
        </w:rPr>
        <w:t>95</w:t>
      </w:r>
      <w:r>
        <w:rPr>
          <w:snapToGrid w:val="0"/>
        </w:rPr>
        <w:t>.</w:t>
      </w:r>
      <w:r>
        <w:rPr>
          <w:snapToGrid w:val="0"/>
        </w:rPr>
        <w:tab/>
        <w:t>Directions by Minister</w:t>
      </w:r>
      <w:bookmarkEnd w:id="402"/>
      <w:bookmarkEnd w:id="403"/>
    </w:p>
    <w:p>
      <w:pPr>
        <w:pStyle w:val="Subsection"/>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w:t>
      </w:r>
      <w:r>
        <w:t xml:space="preserve"> a fine of</w:t>
      </w:r>
      <w:r>
        <w:rPr>
          <w:snapToGrid w:val="0"/>
        </w:rPr>
        <w:t xml:space="preserve"> $5 000.</w:t>
      </w:r>
    </w:p>
    <w:p>
      <w:pPr>
        <w:pStyle w:val="Subsection"/>
        <w:spacing w:before="180"/>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spacing w:before="180"/>
        <w:rPr>
          <w:snapToGrid w:val="0"/>
        </w:rPr>
      </w:pPr>
      <w:r>
        <w:rPr>
          <w:snapToGrid w:val="0"/>
        </w:rPr>
        <w:tab/>
        <w:t>(4)</w:t>
      </w:r>
      <w:r>
        <w:rPr>
          <w:snapToGrid w:val="0"/>
        </w:rPr>
        <w:tab/>
        <w:t>A direction under this section has effect and shall be complied with notwithstanding anything in the regulations.</w:t>
      </w:r>
    </w:p>
    <w:p>
      <w:pPr>
        <w:pStyle w:val="Subsection"/>
        <w:spacing w:before="180"/>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spacing w:before="180"/>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spacing w:before="180"/>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ind w:left="890" w:hanging="890"/>
      </w:pPr>
      <w:r>
        <w:tab/>
        <w:t>[Section 95 inserted: No. 12 of 1990 s. 76; amended: No. 78 of 1990 s. 7; No. 35 of 2007 s. 65; No. 42 of 2010 s. 62(15).]</w:t>
      </w:r>
    </w:p>
    <w:p>
      <w:pPr>
        <w:pStyle w:val="Heading5"/>
        <w:spacing w:before="180"/>
        <w:rPr>
          <w:snapToGrid w:val="0"/>
        </w:rPr>
      </w:pPr>
      <w:bookmarkStart w:id="404" w:name="_Toc98946984"/>
      <w:bookmarkStart w:id="405" w:name="_Toc97630580"/>
      <w:r>
        <w:rPr>
          <w:rStyle w:val="CharSectno"/>
        </w:rPr>
        <w:t>96</w:t>
      </w:r>
      <w:r>
        <w:rPr>
          <w:snapToGrid w:val="0"/>
        </w:rPr>
        <w:t>.</w:t>
      </w:r>
      <w:r>
        <w:rPr>
          <w:snapToGrid w:val="0"/>
        </w:rPr>
        <w:tab/>
        <w:t>Compliance with directions</w:t>
      </w:r>
      <w:bookmarkEnd w:id="404"/>
      <w:bookmarkEnd w:id="405"/>
    </w:p>
    <w:p>
      <w:pPr>
        <w:pStyle w:val="Subsection"/>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keepNext/>
        <w:keepLines/>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ind w:left="890" w:hanging="890"/>
      </w:pPr>
      <w:r>
        <w:tab/>
        <w:t>[Section 96 amended: No. 12 of 1990 s. 77.]</w:t>
      </w:r>
    </w:p>
    <w:p>
      <w:pPr>
        <w:pStyle w:val="Heading5"/>
        <w:spacing w:before="180"/>
        <w:rPr>
          <w:snapToGrid w:val="0"/>
        </w:rPr>
      </w:pPr>
      <w:bookmarkStart w:id="406" w:name="_Toc98946985"/>
      <w:bookmarkStart w:id="407" w:name="_Toc97630581"/>
      <w:r>
        <w:rPr>
          <w:rStyle w:val="CharSectno"/>
        </w:rPr>
        <w:t>97</w:t>
      </w:r>
      <w:r>
        <w:rPr>
          <w:snapToGrid w:val="0"/>
        </w:rPr>
        <w:t>.</w:t>
      </w:r>
      <w:r>
        <w:rPr>
          <w:snapToGrid w:val="0"/>
        </w:rPr>
        <w:tab/>
        <w:t>Variation and suspension of, and exemption from compliance with, conditions</w:t>
      </w:r>
      <w:bookmarkEnd w:id="406"/>
      <w:bookmarkEnd w:id="40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 or</w:t>
      </w:r>
    </w:p>
    <w:p>
      <w:pPr>
        <w:pStyle w:val="Indenta"/>
        <w:rPr>
          <w:snapToGrid w:val="0"/>
        </w:rPr>
      </w:pPr>
      <w:r>
        <w:rPr>
          <w:snapToGrid w:val="0"/>
        </w:rPr>
        <w:tab/>
        <w:t>(b)</w:t>
      </w:r>
      <w:r>
        <w:rPr>
          <w:snapToGrid w:val="0"/>
        </w:rPr>
        <w:tab/>
        <w:t>a licence is varied under section 55; or</w:t>
      </w:r>
    </w:p>
    <w:p>
      <w:pPr>
        <w:pStyle w:val="Indenta"/>
        <w:rPr>
          <w:snapToGrid w:val="0"/>
        </w:rPr>
      </w:pPr>
      <w:r>
        <w:rPr>
          <w:snapToGrid w:val="0"/>
        </w:rPr>
        <w:tab/>
        <w:t>(c)</w:t>
      </w:r>
      <w:r>
        <w:rPr>
          <w:snapToGrid w:val="0"/>
        </w:rPr>
        <w:tab/>
        <w:t>a licensee enters into an agreement under section 69, or a direction is given to a licensee under that section; or</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permittee, holder of a drilling reservation, lessee or licensee consents to the making of a determination under section 135; or</w:t>
      </w:r>
    </w:p>
    <w:p>
      <w:pPr>
        <w:pStyle w:val="Indenta"/>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 or</w:t>
      </w:r>
    </w:p>
    <w:p>
      <w:pPr>
        <w:pStyle w:val="Indenta"/>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rPr>
          <w:snapToGrid w:val="0"/>
        </w:rPr>
      </w:pPr>
      <w:r>
        <w:rPr>
          <w:snapToGrid w:val="0"/>
        </w:rPr>
        <w:tab/>
        <w:t>(i)</w:t>
      </w:r>
      <w:r>
        <w:rPr>
          <w:snapToGrid w:val="0"/>
        </w:rPr>
        <w:tab/>
        <w:t>vary or suspend; or</w:t>
      </w:r>
    </w:p>
    <w:p>
      <w:pPr>
        <w:pStyle w:val="Indenta"/>
        <w:keepNext/>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ind w:left="890" w:hanging="890"/>
      </w:pPr>
      <w:r>
        <w:tab/>
        <w:t>[Section 97 amended: No. 12 of 1990 s. 78; No. 78 of 1990 s. 7; No. 28 of 1994 s. 44.]</w:t>
      </w:r>
    </w:p>
    <w:p>
      <w:pPr>
        <w:pStyle w:val="Heading5"/>
      </w:pPr>
      <w:bookmarkStart w:id="408" w:name="_Toc98946986"/>
      <w:bookmarkStart w:id="409" w:name="_Toc97630582"/>
      <w:r>
        <w:rPr>
          <w:rStyle w:val="CharSectno"/>
        </w:rPr>
        <w:t>97A</w:t>
      </w:r>
      <w:r>
        <w:t>.</w:t>
      </w:r>
      <w:r>
        <w:tab/>
        <w:t>Variation of petroleum title by including area as result of change to boundary of offshore area</w:t>
      </w:r>
      <w:bookmarkEnd w:id="408"/>
      <w:bookmarkEnd w:id="409"/>
    </w:p>
    <w:p>
      <w:pPr>
        <w:pStyle w:val="Subsection"/>
      </w:pPr>
      <w:r>
        <w:tab/>
        <w:t>(1)</w:t>
      </w:r>
      <w:r>
        <w:tab/>
        <w:t xml:space="preserve">In this section — </w:t>
      </w:r>
    </w:p>
    <w:p>
      <w:pPr>
        <w:pStyle w:val="Defstart"/>
      </w:pPr>
      <w:r>
        <w:tab/>
      </w:r>
      <w:r>
        <w:rPr>
          <w:rStyle w:val="CharDefText"/>
        </w:rPr>
        <w:t>Commonwealth title</w:t>
      </w:r>
      <w:r>
        <w:t xml:space="preserve"> means — </w:t>
      </w:r>
    </w:p>
    <w:p>
      <w:pPr>
        <w:pStyle w:val="Defpara"/>
      </w:pPr>
      <w:r>
        <w:tab/>
        <w:t>(a)</w:t>
      </w:r>
      <w:r>
        <w:tab/>
        <w:t>a Commonwealth permit; or</w:t>
      </w:r>
    </w:p>
    <w:p>
      <w:pPr>
        <w:pStyle w:val="Defpara"/>
      </w:pPr>
      <w:r>
        <w:tab/>
        <w:t>(b)</w:t>
      </w:r>
      <w:r>
        <w:tab/>
        <w:t>a Commonwealth lease; or</w:t>
      </w:r>
    </w:p>
    <w:p>
      <w:pPr>
        <w:pStyle w:val="Defpara"/>
      </w:pPr>
      <w:r>
        <w:tab/>
        <w:t>(c)</w:t>
      </w:r>
      <w:r>
        <w:tab/>
        <w:t xml:space="preserve">a Commonwealth licence; </w:t>
      </w:r>
    </w:p>
    <w:p>
      <w:pPr>
        <w:pStyle w:val="Defstart"/>
      </w:pPr>
      <w:r>
        <w:tab/>
      </w:r>
      <w:r>
        <w:rPr>
          <w:rStyle w:val="CharDefText"/>
        </w:rPr>
        <w:t>fixed</w:t>
      </w:r>
      <w:r>
        <w:rPr>
          <w:rStyle w:val="CharDefText"/>
        </w:rPr>
        <w:noBreakHyphen/>
        <w:t>term WA petroleum production licence</w:t>
      </w:r>
      <w:r>
        <w:t xml:space="preserve"> means a petroleum production licence granted for a fixed period of years;</w:t>
      </w:r>
    </w:p>
    <w:p>
      <w:pPr>
        <w:pStyle w:val="Defstart"/>
      </w:pPr>
      <w:r>
        <w:tab/>
      </w:r>
      <w:r>
        <w:rPr>
          <w:rStyle w:val="CharDefText"/>
        </w:rPr>
        <w:t>petroleum title</w:t>
      </w:r>
      <w:r>
        <w:t xml:space="preserve"> means a petroleum exploration permit, petroleum retention lease or fixed</w:t>
      </w:r>
      <w:r>
        <w:noBreakHyphen/>
        <w:t>term WA petroleum production licence;</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tab/>
        <w:t>(b)</w:t>
      </w:r>
      <w:r>
        <w:tab/>
        <w:t>if a graticular section is wholly within the area that was covered by the Commonwealth title concerned — the graticular section; or</w:t>
      </w:r>
    </w:p>
    <w:p>
      <w:pPr>
        <w:pStyle w:val="Defpara"/>
      </w:pPr>
      <w:r>
        <w:tab/>
        <w:t>(c)</w:t>
      </w:r>
      <w:r>
        <w:tab/>
        <w:t>if a part only of a graticular section is within the area that was covered by the Commonwealth title concerned — that part of the graticular section.</w:t>
      </w:r>
    </w:p>
    <w:p>
      <w:pPr>
        <w:pStyle w:val="PermNoteHeading"/>
      </w:pPr>
      <w:r>
        <w:tab/>
        <w:t>Note for this definition:</w:t>
      </w:r>
    </w:p>
    <w:p>
      <w:pPr>
        <w:pStyle w:val="PermNoteText"/>
      </w:pPr>
      <w:r>
        <w:tab/>
      </w:r>
      <w:r>
        <w:tab/>
        <w:t>See also subsection (14).</w:t>
      </w:r>
    </w:p>
    <w:p>
      <w:pPr>
        <w:pStyle w:val="Subsection"/>
        <w:keepNext/>
      </w:pPr>
      <w:r>
        <w:tab/>
        <w:t>(2)</w:t>
      </w:r>
      <w:r>
        <w:tab/>
        <w:t xml:space="preserve">This section applies if — </w:t>
      </w:r>
    </w:p>
    <w:p>
      <w:pPr>
        <w:pStyle w:val="Indenta"/>
      </w:pPr>
      <w:r>
        <w:tab/>
        <w:t>(a)</w:t>
      </w:r>
      <w:r>
        <w:tab/>
        <w:t xml:space="preserve">a Commonwealth title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inshore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immediately before the relevant time mentioned in whichever of subsection (3) or (4) is applicable — </w:t>
      </w:r>
    </w:p>
    <w:p>
      <w:pPr>
        <w:pStyle w:val="Indenti"/>
      </w:pPr>
      <w:r>
        <w:tab/>
        <w:t>(i)</w:t>
      </w:r>
      <w:r>
        <w:tab/>
        <w:t>the Commonwealth title was held by the registered holder of a petroleum title that corresponds to the Commonwealth title; and</w:t>
      </w:r>
    </w:p>
    <w:p>
      <w:pPr>
        <w:pStyle w:val="Indenti"/>
      </w:pPr>
      <w:r>
        <w:tab/>
        <w:t>(ii)</w:t>
      </w:r>
      <w:r>
        <w:tab/>
        <w:t>at least one section 27 block covered by the petroleum title immediately adjoined at least one other section 27 block that was covered by the Commonwealth title and that is in the relevant area;</w:t>
      </w:r>
    </w:p>
    <w:p>
      <w:pPr>
        <w:pStyle w:val="Indenta"/>
      </w:pPr>
      <w:r>
        <w:tab/>
      </w:r>
      <w:r>
        <w:tab/>
        <w:t>and</w:t>
      </w:r>
    </w:p>
    <w:p>
      <w:pPr>
        <w:pStyle w:val="Indenta"/>
      </w:pPr>
      <w:r>
        <w:tab/>
        <w:t>(e)</w:t>
      </w:r>
      <w:r>
        <w:tab/>
        <w:t xml:space="preserve">before the relevant time mentioned in whichever of subsection (3) or (4) is applicable — </w:t>
      </w:r>
    </w:p>
    <w:p>
      <w:pPr>
        <w:pStyle w:val="Indenti"/>
      </w:pPr>
      <w:r>
        <w:tab/>
        <w:t>(i)</w:t>
      </w:r>
      <w:r>
        <w:tab/>
        <w:t>the registered holder of the Commonwealth title; and</w:t>
      </w:r>
    </w:p>
    <w:p>
      <w:pPr>
        <w:pStyle w:val="Indenti"/>
      </w:pPr>
      <w:r>
        <w:tab/>
        <w:t>(ii)</w:t>
      </w:r>
      <w:r>
        <w:tab/>
        <w:t>the registered holder of the petroleum title,</w:t>
      </w:r>
    </w:p>
    <w:p>
      <w:pPr>
        <w:pStyle w:val="Indenta"/>
      </w:pPr>
      <w:r>
        <w:tab/>
      </w:r>
      <w:r>
        <w:tab/>
        <w:t>gave the Minister a written notice electing to accept the variation under this section of the petroleum title.</w:t>
      </w:r>
    </w:p>
    <w:p>
      <w:pPr>
        <w:pStyle w:val="PermNoteHeading"/>
      </w:pPr>
      <w:r>
        <w:tab/>
        <w:t>Note for this subsection:</w:t>
      </w:r>
    </w:p>
    <w:p>
      <w:pPr>
        <w:pStyle w:val="PermNoteText"/>
      </w:pPr>
      <w:r>
        <w:tab/>
      </w:r>
      <w:r>
        <w:tab/>
        <w:t>For when a petroleum title corresponds to a Commonwealth title, see subsection (13).</w:t>
      </w:r>
    </w:p>
    <w:p>
      <w:pPr>
        <w:pStyle w:val="Subsection"/>
      </w:pPr>
      <w:r>
        <w:tab/>
        <w:t>(3)</w:t>
      </w:r>
      <w:r>
        <w:tab/>
        <w:t xml:space="preserve">The conditions mentioned in subsection (2)(c)(i) are — </w:t>
      </w:r>
    </w:p>
    <w:p>
      <w:pPr>
        <w:pStyle w:val="Indenta"/>
      </w:pPr>
      <w:r>
        <w:tab/>
        <w:t>(a)</w:t>
      </w:r>
      <w:r>
        <w:tab/>
        <w:t>one or more, but not all, of the section 27 blocks that were covered by the Commonwealth title immediately before the change are in the relevant area; and</w:t>
      </w:r>
    </w:p>
    <w:p>
      <w:pPr>
        <w:pStyle w:val="Indenta"/>
      </w:pPr>
      <w:r>
        <w:tab/>
        <w:t>(b)</w:t>
      </w:r>
      <w:r>
        <w:tab/>
        <w:t xml:space="preserve">the Commonwealth title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title immediately before the change and that are in the offshore area; and</w:t>
      </w:r>
    </w:p>
    <w:p>
      <w:pPr>
        <w:pStyle w:val="Indenti"/>
      </w:pPr>
      <w:r>
        <w:tab/>
        <w:t>(ii)</w:t>
      </w:r>
      <w:r>
        <w:tab/>
        <w:t>otherwise than as the result of the cancellation or surrender of the Commonwealth title.</w:t>
      </w:r>
    </w:p>
    <w:p>
      <w:pPr>
        <w:pStyle w:val="Subsection"/>
      </w:pPr>
      <w:r>
        <w:tab/>
        <w:t>(4)</w:t>
      </w:r>
      <w:r>
        <w:tab/>
        <w:t xml:space="preserve">The conditions mentioned in subsection (2)(c)(ii) are — </w:t>
      </w:r>
    </w:p>
    <w:p>
      <w:pPr>
        <w:pStyle w:val="Indenta"/>
      </w:pPr>
      <w:r>
        <w:tab/>
        <w:t>(a)</w:t>
      </w:r>
      <w:r>
        <w:tab/>
        <w:t>all of the section 27 blocks that were covered by the Commonwealth title immediately before the change are in the relevant area; and</w:t>
      </w:r>
    </w:p>
    <w:p>
      <w:pPr>
        <w:pStyle w:val="Indenta"/>
      </w:pPr>
      <w:r>
        <w:tab/>
        <w:t>(b)</w:t>
      </w:r>
      <w:r>
        <w:tab/>
        <w:t xml:space="preserve">the Commonwealth title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title immediately before the change; and</w:t>
      </w:r>
    </w:p>
    <w:p>
      <w:pPr>
        <w:pStyle w:val="Indenti"/>
      </w:pPr>
      <w:r>
        <w:tab/>
        <w:t>(ii)</w:t>
      </w:r>
      <w:r>
        <w:tab/>
        <w:t>otherwise than as the result of the cancellation or surrender of the Commonwealth title.</w:t>
      </w:r>
    </w:p>
    <w:p>
      <w:pPr>
        <w:pStyle w:val="Subsection"/>
      </w:pPr>
      <w:r>
        <w:tab/>
        <w:t>(5)</w:t>
      </w:r>
      <w:r>
        <w:tab/>
        <w:t xml:space="preserve">If the conditions set out in subsection (2)(d) and (e) are met in relation to only one petroleum title, that petroleum title is the </w:t>
      </w:r>
      <w:r>
        <w:rPr>
          <w:rStyle w:val="CharDefText"/>
        </w:rPr>
        <w:t>relevant petroleum title</w:t>
      </w:r>
      <w:r>
        <w:t xml:space="preserve"> for the purposes of this section.</w:t>
      </w:r>
    </w:p>
    <w:p>
      <w:pPr>
        <w:pStyle w:val="Subsection"/>
      </w:pPr>
      <w:r>
        <w:tab/>
        <w:t>(6)</w:t>
      </w:r>
      <w:r>
        <w:tab/>
        <w:t xml:space="preserve">If the conditions set out in subsection (2)(d) and (e) would, apart from this subsection, be met in relation to 2 or more petroleum titles that have the same registered holder, the Minister must, by written notice given to the registered holder, declare that one of those petroleum titles is the </w:t>
      </w:r>
      <w:r>
        <w:rPr>
          <w:rStyle w:val="CharDefText"/>
        </w:rPr>
        <w:t>relevant petroleum title</w:t>
      </w:r>
      <w:r>
        <w:t xml:space="preserve"> for the purposes of this section.</w:t>
      </w:r>
    </w:p>
    <w:p>
      <w:pPr>
        <w:pStyle w:val="Subsection"/>
      </w:pPr>
      <w:r>
        <w:tab/>
        <w:t>(7)</w:t>
      </w:r>
      <w:r>
        <w:tab/>
        <w:t xml:space="preserve">If the relevant petroleum title is a petroleum exploration permit — </w:t>
      </w:r>
    </w:p>
    <w:p>
      <w:pPr>
        <w:pStyle w:val="Indenta"/>
      </w:pPr>
      <w:r>
        <w:tab/>
        <w:t>(a)</w:t>
      </w:r>
      <w:r>
        <w:tab/>
        <w:t xml:space="preserve">the Minister must, by written notice given to the permittee, vary the permit to include in the permit area all of the section 27 blocks that — </w:t>
      </w:r>
    </w:p>
    <w:p>
      <w:pPr>
        <w:pStyle w:val="Indenti"/>
      </w:pPr>
      <w:r>
        <w:tab/>
        <w:t>(i)</w:t>
      </w:r>
      <w:r>
        <w:tab/>
        <w:t>correspond to the section 27 blocks that were covered by the Commonwealth title immediately before the change; and</w:t>
      </w:r>
    </w:p>
    <w:p>
      <w:pPr>
        <w:pStyle w:val="Indenti"/>
      </w:pPr>
      <w:r>
        <w:tab/>
        <w:t>(ii)</w:t>
      </w:r>
      <w:r>
        <w:tab/>
        <w:t>are in the inshore area;</w:t>
      </w:r>
    </w:p>
    <w:p>
      <w:pPr>
        <w:pStyle w:val="Indenta"/>
      </w:pPr>
      <w:r>
        <w:tab/>
      </w:r>
      <w:r>
        <w:tab/>
        <w:t>and</w:t>
      </w:r>
    </w:p>
    <w:p>
      <w:pPr>
        <w:pStyle w:val="Indenta"/>
      </w:pPr>
      <w:r>
        <w:tab/>
        <w:t>(b)</w:t>
      </w:r>
      <w:r>
        <w:tab/>
        <w:t>the section 27 blocks included in the permit area because of the variation are, for the remainder of the term of the permit, blocks in relation to which the permit is in force.</w:t>
      </w:r>
    </w:p>
    <w:p>
      <w:pPr>
        <w:pStyle w:val="Subsection"/>
      </w:pPr>
      <w:r>
        <w:tab/>
        <w:t>(8)</w:t>
      </w:r>
      <w:r>
        <w:tab/>
        <w:t xml:space="preserve">If the relevant petroleum title is a petroleum retention lease — </w:t>
      </w:r>
    </w:p>
    <w:p>
      <w:pPr>
        <w:pStyle w:val="Indenta"/>
      </w:pPr>
      <w:r>
        <w:tab/>
        <w:t>(a)</w:t>
      </w:r>
      <w:r>
        <w:tab/>
        <w:t xml:space="preserve">the Minister must, by written notice given to the lessee, vary the lease to include in the lease area all of the section 27 blocks that — </w:t>
      </w:r>
    </w:p>
    <w:p>
      <w:pPr>
        <w:pStyle w:val="Indenti"/>
      </w:pPr>
      <w:r>
        <w:tab/>
        <w:t>(i)</w:t>
      </w:r>
      <w:r>
        <w:tab/>
        <w:t>correspond to the section 27 blocks that were covered by the Commonwealth title immediately before the change; and</w:t>
      </w:r>
    </w:p>
    <w:p>
      <w:pPr>
        <w:pStyle w:val="Indenti"/>
      </w:pPr>
      <w:r>
        <w:tab/>
        <w:t>(ii)</w:t>
      </w:r>
      <w:r>
        <w:tab/>
        <w:t>are in the inshore area;</w:t>
      </w:r>
    </w:p>
    <w:p>
      <w:pPr>
        <w:pStyle w:val="Indenta"/>
      </w:pPr>
      <w:r>
        <w:tab/>
      </w:r>
      <w:r>
        <w:tab/>
        <w:t>and</w:t>
      </w:r>
    </w:p>
    <w:p>
      <w:pPr>
        <w:pStyle w:val="Indenta"/>
      </w:pPr>
      <w:r>
        <w:tab/>
        <w:t>(b)</w:t>
      </w:r>
      <w:r>
        <w:tab/>
        <w:t>the section 27 blocks included in the lease area because of the variation are, for the remainder of the term of the lease, blocks in relation to which the lease is in force.</w:t>
      </w:r>
    </w:p>
    <w:p>
      <w:pPr>
        <w:pStyle w:val="Subsection"/>
      </w:pPr>
      <w:r>
        <w:tab/>
        <w:t>(9)</w:t>
      </w:r>
      <w:r>
        <w:tab/>
        <w:t xml:space="preserve">If the relevant petroleum title is a petroleum production licence — </w:t>
      </w:r>
    </w:p>
    <w:p>
      <w:pPr>
        <w:pStyle w:val="Indenta"/>
      </w:pPr>
      <w:r>
        <w:tab/>
        <w:t>(a)</w:t>
      </w:r>
      <w:r>
        <w:tab/>
        <w:t xml:space="preserve">the Minister must, by written notice given to the licensee, vary the licence to include in the licence area all of the section 27 blocks that — </w:t>
      </w:r>
    </w:p>
    <w:p>
      <w:pPr>
        <w:pStyle w:val="Indenti"/>
      </w:pPr>
      <w:r>
        <w:tab/>
        <w:t>(i)</w:t>
      </w:r>
      <w:r>
        <w:tab/>
        <w:t>correspond to the section 27 blocks that were covered by the Commonwealth title immediately before the change; and</w:t>
      </w:r>
    </w:p>
    <w:p>
      <w:pPr>
        <w:pStyle w:val="Indenti"/>
      </w:pPr>
      <w:r>
        <w:tab/>
        <w:t>(ii)</w:t>
      </w:r>
      <w:r>
        <w:tab/>
        <w:t>are in the inshore area;</w:t>
      </w:r>
    </w:p>
    <w:p>
      <w:pPr>
        <w:pStyle w:val="Indenta"/>
      </w:pPr>
      <w:r>
        <w:tab/>
      </w:r>
      <w:r>
        <w:tab/>
        <w:t>and</w:t>
      </w:r>
    </w:p>
    <w:p>
      <w:pPr>
        <w:pStyle w:val="Indenta"/>
      </w:pPr>
      <w:r>
        <w:tab/>
        <w:t>(b)</w:t>
      </w:r>
      <w:r>
        <w:tab/>
        <w:t>the section 27 blocks included in the licence area because of the variation are, for the remainder of the term of the licence, blocks in relation to which the licence is in force.</w:t>
      </w:r>
    </w:p>
    <w:p>
      <w:pPr>
        <w:pStyle w:val="Subsection"/>
      </w:pPr>
      <w:r>
        <w:tab/>
        <w:t>(10)</w:t>
      </w:r>
      <w:r>
        <w:tab/>
        <w:t>Subsections (7)(b), (8)(b) and (9)(b) have effect subject to this Part.</w:t>
      </w:r>
    </w:p>
    <w:p>
      <w:pPr>
        <w:pStyle w:val="Subsection"/>
      </w:pPr>
      <w:r>
        <w:tab/>
        <w:t>(11)</w:t>
      </w:r>
      <w:r>
        <w:tab/>
        <w:t>A variation mentioned in subsection (7)(a), (8)(a) or (9)(a) takes effect immediately after the relevant time mentioned in whichever of subsection (3) or (4) is applicable.</w:t>
      </w:r>
    </w:p>
    <w:p>
      <w:pPr>
        <w:pStyle w:val="Subsection"/>
      </w:pPr>
      <w:r>
        <w:tab/>
        <w:t>(12)</w:t>
      </w:r>
      <w:r>
        <w:tab/>
        <w:t xml:space="preserve">For the purposes of this section, a section 27 block immediately adjoins another section 27 block if — </w:t>
      </w:r>
    </w:p>
    <w:p>
      <w:pPr>
        <w:pStyle w:val="Indenta"/>
      </w:pPr>
      <w:r>
        <w:tab/>
        <w:t>(a)</w:t>
      </w:r>
      <w:r>
        <w:tab/>
        <w:t xml:space="preserve">the graticular section that constitutes or includes that section 27 block and the graticular section that constitutes or includes that other section 27 block — </w:t>
      </w:r>
    </w:p>
    <w:p>
      <w:pPr>
        <w:pStyle w:val="Indenti"/>
      </w:pPr>
      <w:r>
        <w:tab/>
        <w:t>(i)</w:t>
      </w:r>
      <w:r>
        <w:tab/>
        <w:t>have a side in common; or</w:t>
      </w:r>
    </w:p>
    <w:p>
      <w:pPr>
        <w:pStyle w:val="Indenti"/>
      </w:pPr>
      <w:r>
        <w:tab/>
        <w:t>(ii)</w:t>
      </w:r>
      <w:r>
        <w:tab/>
        <w:t>are joined together at one point only;</w:t>
      </w:r>
    </w:p>
    <w:p>
      <w:pPr>
        <w:pStyle w:val="Indenta"/>
      </w:pPr>
      <w:r>
        <w:tab/>
      </w:r>
      <w:r>
        <w:tab/>
        <w:t>or</w:t>
      </w:r>
    </w:p>
    <w:p>
      <w:pPr>
        <w:pStyle w:val="Indenta"/>
      </w:pPr>
      <w:r>
        <w:tab/>
        <w:t>(b)</w:t>
      </w:r>
      <w:r>
        <w:tab/>
        <w:t>that section 27 block and that other section 27 block are in the same graticular section.</w:t>
      </w:r>
    </w:p>
    <w:p>
      <w:pPr>
        <w:pStyle w:val="Subsection"/>
      </w:pPr>
      <w:r>
        <w:tab/>
        <w:t>(13)</w:t>
      </w:r>
      <w:r>
        <w:tab/>
        <w:t xml:space="preserve">For the purposes of this section — </w:t>
      </w:r>
    </w:p>
    <w:p>
      <w:pPr>
        <w:pStyle w:val="Indenta"/>
      </w:pPr>
      <w:r>
        <w:tab/>
        <w:t>(a)</w:t>
      </w:r>
      <w:r>
        <w:tab/>
        <w:t>a petroleum exploration permit granted otherwise than by way of renewal corresponds to a Commonwealth permit granted otherwise than by way of renewal; and</w:t>
      </w:r>
    </w:p>
    <w:p>
      <w:pPr>
        <w:pStyle w:val="Indenta"/>
      </w:pPr>
      <w:r>
        <w:tab/>
        <w:t>(b)</w:t>
      </w:r>
      <w:r>
        <w:tab/>
        <w:t>a petroleum retention lease corresponds to a Commonwealth lease; and</w:t>
      </w:r>
    </w:p>
    <w:p>
      <w:pPr>
        <w:pStyle w:val="Indenta"/>
      </w:pPr>
      <w:r>
        <w:tab/>
        <w:t>(c)</w:t>
      </w:r>
      <w:r>
        <w:tab/>
        <w:t>a fixed</w:t>
      </w:r>
      <w:r>
        <w:noBreakHyphen/>
        <w:t>term WA petroleum production licence granted otherwise than by way of renewal corresponds to a Commonwealth licence granted otherwise than by way of renewal; and</w:t>
      </w:r>
    </w:p>
    <w:p>
      <w:pPr>
        <w:pStyle w:val="Indenta"/>
      </w:pPr>
      <w:r>
        <w:tab/>
        <w:t>(d)</w:t>
      </w:r>
      <w:r>
        <w:tab/>
        <w:t>a petroleum exploration permit granted by way of first renewal corresponds to a Commonwealth permit granted by way of first renewal; and</w:t>
      </w:r>
    </w:p>
    <w:p>
      <w:pPr>
        <w:pStyle w:val="Indenta"/>
      </w:pPr>
      <w:r>
        <w:tab/>
        <w:t>(e)</w:t>
      </w:r>
      <w:r>
        <w:tab/>
        <w:t>a fixed</w:t>
      </w:r>
      <w:r>
        <w:noBreakHyphen/>
        <w:t>term WA petroleum production licence granted by way of first renewal corresponds to a Commonwealth licence granted by way of first renewal; and</w:t>
      </w:r>
    </w:p>
    <w:p>
      <w:pPr>
        <w:pStyle w:val="Indenta"/>
      </w:pPr>
      <w:r>
        <w:tab/>
        <w:t>(f)</w:t>
      </w:r>
      <w:r>
        <w:tab/>
        <w:t>a petroleum exploration permit granted by way of second renewal corresponds to a Commonwealth permit granted by way of second renewal; and</w:t>
      </w:r>
    </w:p>
    <w:p>
      <w:pPr>
        <w:pStyle w:val="Indenta"/>
        <w:keepNext/>
        <w:keepLines/>
      </w:pPr>
      <w:r>
        <w:tab/>
        <w:t>(g)</w:t>
      </w:r>
      <w:r>
        <w:tab/>
        <w:t>a fixed</w:t>
      </w:r>
      <w:r>
        <w:noBreakHyphen/>
        <w:t>term WA petroleum production licence granted by way of second or subsequent renewal corresponds to a fixed</w:t>
      </w:r>
      <w:r>
        <w:noBreakHyphen/>
        <w:t>term petroleum production licence, as defined in the Commonwealth Act section 7, granted by way of second or subsequent renewal.</w:t>
      </w:r>
    </w:p>
    <w:p>
      <w:pPr>
        <w:pStyle w:val="Subsection"/>
      </w:pPr>
      <w:r>
        <w:tab/>
        <w:t>(14)</w:t>
      </w:r>
      <w:r>
        <w:tab/>
        <w:t xml:space="preserve">If, after the change to the boundary of the offshore area — </w:t>
      </w:r>
    </w:p>
    <w:p>
      <w:pPr>
        <w:pStyle w:val="Indenta"/>
      </w:pPr>
      <w:r>
        <w:tab/>
        <w:t>(a)</w:t>
      </w:r>
      <w:r>
        <w:tab/>
        <w:t>a part of a section 27 block that was covered by the Commonwealth title immediately before the change is in the offshore area; and</w:t>
      </w:r>
    </w:p>
    <w:p>
      <w:pPr>
        <w:pStyle w:val="Indenta"/>
      </w:pPr>
      <w:r>
        <w:tab/>
        <w:t>(b)</w:t>
      </w:r>
      <w:r>
        <w:tab/>
        <w:t>the remaining part of the section 27 block is in the inshore area,</w:t>
      </w:r>
    </w:p>
    <w:p>
      <w:pPr>
        <w:pStyle w:val="Subsection"/>
      </w:pPr>
      <w:r>
        <w:tab/>
      </w:r>
      <w:r>
        <w:tab/>
        <w:t>then, for the purposes of this section (other than this subsection), each of those parts is taken to constitute, and to have always constituted, a section 27 block.</w:t>
      </w:r>
    </w:p>
    <w:p>
      <w:pPr>
        <w:pStyle w:val="Footnotesection"/>
        <w:ind w:left="890" w:hanging="890"/>
      </w:pPr>
      <w:r>
        <w:tab/>
        <w:t>[Section 97A inserted: No. 7 of 2017 s. 24.]</w:t>
      </w:r>
    </w:p>
    <w:p>
      <w:pPr>
        <w:pStyle w:val="Heading5"/>
        <w:spacing w:before="240"/>
        <w:rPr>
          <w:snapToGrid w:val="0"/>
        </w:rPr>
      </w:pPr>
      <w:bookmarkStart w:id="410" w:name="_Toc98946987"/>
      <w:bookmarkStart w:id="411" w:name="_Toc97630583"/>
      <w:r>
        <w:rPr>
          <w:rStyle w:val="CharSectno"/>
        </w:rPr>
        <w:t>98</w:t>
      </w:r>
      <w:r>
        <w:rPr>
          <w:snapToGrid w:val="0"/>
        </w:rPr>
        <w:t>.</w:t>
      </w:r>
      <w:r>
        <w:rPr>
          <w:snapToGrid w:val="0"/>
        </w:rPr>
        <w:tab/>
        <w:t>Surrender of permits etc.</w:t>
      </w:r>
      <w:bookmarkEnd w:id="410"/>
      <w:bookmarkEnd w:id="411"/>
    </w:p>
    <w:p>
      <w:pPr>
        <w:pStyle w:val="Subsection"/>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 and</w:t>
      </w:r>
    </w:p>
    <w:p>
      <w:pPr>
        <w:pStyle w:val="Indenta"/>
        <w:rPr>
          <w:snapToGrid w:val="0"/>
        </w:rPr>
      </w:pPr>
      <w:r>
        <w:rPr>
          <w:snapToGrid w:val="0"/>
        </w:rPr>
        <w:tab/>
        <w:t>(b)</w:t>
      </w:r>
      <w:r>
        <w:rPr>
          <w:snapToGrid w:val="0"/>
        </w:rPr>
        <w:tab/>
        <w:t>has complied with the conditions to which the instrument is subject and with the provisions of this Part and of the regulations; and</w:t>
      </w:r>
    </w:p>
    <w:p>
      <w:pPr>
        <w:pStyle w:val="Indenta"/>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 and</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spacing w:before="120"/>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keepLines/>
        <w:spacing w:before="120"/>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2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keepNext/>
        <w:keepLines/>
        <w:spacing w:before="120"/>
        <w:rPr>
          <w:snapToGrid w:val="0"/>
        </w:rPr>
      </w:pPr>
      <w:r>
        <w:rPr>
          <w:snapToGrid w:val="0"/>
        </w:rPr>
        <w:tab/>
        <w:t>(5)</w:t>
      </w:r>
      <w:r>
        <w:rPr>
          <w:snapToGrid w:val="0"/>
        </w:rPr>
        <w:tab/>
        <w:t>In this section,</w:t>
      </w:r>
      <w:r>
        <w:t xml:space="preserve"> the </w:t>
      </w:r>
      <w:r>
        <w:rPr>
          <w:rStyle w:val="CharDefText"/>
        </w:rPr>
        <w:t>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spacing w:before="80"/>
        <w:ind w:left="890" w:hanging="890"/>
      </w:pPr>
      <w:r>
        <w:tab/>
        <w:t>[Section 98 amended: No. 12 of 1990 s. 79; No. 78 of 1990 s. 7.]</w:t>
      </w:r>
    </w:p>
    <w:p>
      <w:pPr>
        <w:pStyle w:val="Heading5"/>
        <w:spacing w:before="180"/>
        <w:rPr>
          <w:snapToGrid w:val="0"/>
        </w:rPr>
      </w:pPr>
      <w:bookmarkStart w:id="412" w:name="_Toc98946988"/>
      <w:bookmarkStart w:id="413" w:name="_Toc97630584"/>
      <w:r>
        <w:rPr>
          <w:rStyle w:val="CharSectno"/>
        </w:rPr>
        <w:t>99</w:t>
      </w:r>
      <w:r>
        <w:rPr>
          <w:snapToGrid w:val="0"/>
        </w:rPr>
        <w:t>.</w:t>
      </w:r>
      <w:r>
        <w:rPr>
          <w:snapToGrid w:val="0"/>
        </w:rPr>
        <w:tab/>
        <w:t>Cancellation of permits etc.</w:t>
      </w:r>
      <w:bookmarkEnd w:id="412"/>
      <w:bookmarkEnd w:id="413"/>
    </w:p>
    <w:p>
      <w:pPr>
        <w:pStyle w:val="Subsection"/>
        <w:spacing w:before="120"/>
        <w:rPr>
          <w:snapToGrid w:val="0"/>
        </w:rPr>
      </w:pPr>
      <w:r>
        <w:rPr>
          <w:snapToGrid w:val="0"/>
        </w:rPr>
        <w:tab/>
        <w:t>(1)</w:t>
      </w:r>
      <w:r>
        <w:rPr>
          <w:snapToGrid w:val="0"/>
        </w:rPr>
        <w:tab/>
        <w:t>Where a permittee, holder of a drilling reservation, lessee or licensee —</w:t>
      </w:r>
    </w:p>
    <w:p>
      <w:pPr>
        <w:pStyle w:val="Indenta"/>
        <w:rPr>
          <w:snapToGrid w:val="0"/>
        </w:rPr>
      </w:pPr>
      <w:r>
        <w:rPr>
          <w:snapToGrid w:val="0"/>
        </w:rPr>
        <w:tab/>
        <w:t>(a)</w:t>
      </w:r>
      <w:r>
        <w:rPr>
          <w:snapToGrid w:val="0"/>
        </w:rPr>
        <w:tab/>
        <w:t>has not complied with a condition to which the permit, drilling reservation, lease or licence is subject; or</w:t>
      </w:r>
    </w:p>
    <w:p>
      <w:pPr>
        <w:pStyle w:val="Indenta"/>
        <w:rPr>
          <w:snapToGrid w:val="0"/>
        </w:rPr>
      </w:pPr>
      <w:r>
        <w:rPr>
          <w:snapToGrid w:val="0"/>
        </w:rPr>
        <w:tab/>
        <w:t>(b)</w:t>
      </w:r>
      <w:r>
        <w:rPr>
          <w:snapToGrid w:val="0"/>
        </w:rPr>
        <w:tab/>
        <w:t>has not complied with a direction given to him under this Part by the Minister; or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ind w:left="890" w:hanging="890"/>
      </w:pPr>
      <w:r>
        <w:tab/>
        <w:t>[Section 99 amended: No. 12 of 1990 s. 80; No. 78 of 1990 s. 7.]</w:t>
      </w:r>
    </w:p>
    <w:p>
      <w:pPr>
        <w:pStyle w:val="Heading5"/>
        <w:keepNext w:val="0"/>
        <w:keepLines w:val="0"/>
        <w:rPr>
          <w:snapToGrid w:val="0"/>
        </w:rPr>
      </w:pPr>
      <w:bookmarkStart w:id="414" w:name="_Toc98946989"/>
      <w:bookmarkStart w:id="415" w:name="_Toc97630585"/>
      <w:r>
        <w:rPr>
          <w:rStyle w:val="CharSectno"/>
        </w:rPr>
        <w:t>100</w:t>
      </w:r>
      <w:r>
        <w:rPr>
          <w:snapToGrid w:val="0"/>
        </w:rPr>
        <w:t>.</w:t>
      </w:r>
      <w:r>
        <w:rPr>
          <w:snapToGrid w:val="0"/>
        </w:rPr>
        <w:tab/>
        <w:t>Cancellation of permit etc. not affected by other provisions</w:t>
      </w:r>
      <w:bookmarkEnd w:id="414"/>
      <w:bookmarkEnd w:id="415"/>
    </w:p>
    <w:p>
      <w:pPr>
        <w:pStyle w:val="Subsection"/>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keepNext/>
        <w:keepLines/>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keepLines w:val="0"/>
        <w:ind w:left="890" w:hanging="890"/>
      </w:pPr>
      <w:r>
        <w:tab/>
        <w:t>[Section 100 amended: No. 12 of 1990 s. 81; No. 78 of 1990 s. 7.]</w:t>
      </w:r>
    </w:p>
    <w:p>
      <w:pPr>
        <w:pStyle w:val="Heading5"/>
        <w:rPr>
          <w:snapToGrid w:val="0"/>
        </w:rPr>
      </w:pPr>
      <w:bookmarkStart w:id="416" w:name="_Toc98946990"/>
      <w:bookmarkStart w:id="417" w:name="_Toc97630586"/>
      <w:r>
        <w:rPr>
          <w:rStyle w:val="CharSectno"/>
        </w:rPr>
        <w:t>101</w:t>
      </w:r>
      <w:r>
        <w:rPr>
          <w:snapToGrid w:val="0"/>
        </w:rPr>
        <w:t>.</w:t>
      </w:r>
      <w:r>
        <w:rPr>
          <w:snapToGrid w:val="0"/>
        </w:rPr>
        <w:tab/>
        <w:t>Removal of property etc. by permittee etc.</w:t>
      </w:r>
      <w:bookmarkEnd w:id="416"/>
      <w:bookmarkEnd w:id="417"/>
    </w:p>
    <w:p>
      <w:pPr>
        <w:pStyle w:val="Subsection"/>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pPr>
      <w:r>
        <w:tab/>
        <w:t>Penalty for an offence under subsection (3): a fine of $10 000.</w:t>
      </w:r>
    </w:p>
    <w:p>
      <w:pPr>
        <w:pStyle w:val="Footnotesection"/>
        <w:spacing w:before="80"/>
        <w:ind w:left="890" w:hanging="890"/>
      </w:pPr>
      <w:r>
        <w:tab/>
        <w:t>[Section 101 amended: No. 12 of 1990 s. 82; No. 78 of 1990 s. 7; No. 42 of 2010 s. 62(10).]</w:t>
      </w:r>
    </w:p>
    <w:p>
      <w:pPr>
        <w:pStyle w:val="Heading5"/>
        <w:rPr>
          <w:snapToGrid w:val="0"/>
        </w:rPr>
      </w:pPr>
      <w:bookmarkStart w:id="418" w:name="_Toc98946991"/>
      <w:bookmarkStart w:id="419" w:name="_Toc97630587"/>
      <w:r>
        <w:rPr>
          <w:rStyle w:val="CharSectno"/>
        </w:rPr>
        <w:t>102</w:t>
      </w:r>
      <w:r>
        <w:rPr>
          <w:snapToGrid w:val="0"/>
        </w:rPr>
        <w:t>.</w:t>
      </w:r>
      <w:r>
        <w:rPr>
          <w:snapToGrid w:val="0"/>
        </w:rPr>
        <w:tab/>
        <w:t>Removal of property etc. by Minister</w:t>
      </w:r>
      <w:bookmarkEnd w:id="418"/>
      <w:bookmarkEnd w:id="419"/>
    </w:p>
    <w:p>
      <w:pPr>
        <w:pStyle w:val="Subsection"/>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No. 12 of 1990 s. 83; No. 78 of 1990 s. 7.]</w:t>
      </w:r>
    </w:p>
    <w:p>
      <w:pPr>
        <w:pStyle w:val="Ednotesection"/>
      </w:pPr>
      <w:r>
        <w:t>[</w:t>
      </w:r>
      <w:r>
        <w:rPr>
          <w:b/>
        </w:rPr>
        <w:t>103, 104.</w:t>
      </w:r>
      <w:r>
        <w:tab/>
        <w:t>Deleted: No. 42 of 2010 s. 47.]</w:t>
      </w:r>
    </w:p>
    <w:p>
      <w:pPr>
        <w:pStyle w:val="Heading5"/>
        <w:rPr>
          <w:snapToGrid w:val="0"/>
        </w:rPr>
      </w:pPr>
      <w:bookmarkStart w:id="420" w:name="_Toc98946992"/>
      <w:bookmarkStart w:id="421" w:name="_Toc97630588"/>
      <w:r>
        <w:rPr>
          <w:rStyle w:val="CharSectno"/>
        </w:rPr>
        <w:t>105</w:t>
      </w:r>
      <w:r>
        <w:rPr>
          <w:snapToGrid w:val="0"/>
        </w:rPr>
        <w:t>.</w:t>
      </w:r>
      <w:r>
        <w:rPr>
          <w:snapToGrid w:val="0"/>
        </w:rPr>
        <w:tab/>
        <w:t>Special prospecting authorities</w:t>
      </w:r>
      <w:bookmarkEnd w:id="420"/>
      <w:bookmarkEnd w:id="421"/>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keepNext/>
        <w:rPr>
          <w:snapToGrid w:val="0"/>
        </w:rPr>
      </w:pPr>
      <w:r>
        <w:rPr>
          <w:snapToGrid w:val="0"/>
        </w:rPr>
        <w:tab/>
        <w:t>(2)</w:t>
      </w:r>
      <w:r>
        <w:rPr>
          <w:snapToGrid w:val="0"/>
        </w:rPr>
        <w:tab/>
        <w:t>An application under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keepNext/>
        <w:keepLines/>
        <w:rPr>
          <w:snapToGrid w:val="0"/>
        </w:rPr>
      </w:pPr>
      <w:r>
        <w:rPr>
          <w:snapToGrid w:val="0"/>
        </w:rPr>
        <w:tab/>
        <w:t>(3)</w:t>
      </w:r>
      <w:r>
        <w:rPr>
          <w:snapToGrid w:val="0"/>
        </w:rPr>
        <w:tab/>
        <w:t>The Minister —</w:t>
      </w:r>
    </w:p>
    <w:p>
      <w:pPr>
        <w:pStyle w:val="Indenta"/>
        <w:keepNext/>
        <w:keepLines/>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No. 12 of 1990 s. 85; No. 28 of 1994 s. 45; No. 13 of 2005 s. 16(2); No. 35 of 2007 s. 66; No. 42 of 2010 s. 48 and 62(15).]</w:t>
      </w:r>
    </w:p>
    <w:p>
      <w:pPr>
        <w:pStyle w:val="Heading5"/>
        <w:rPr>
          <w:snapToGrid w:val="0"/>
        </w:rPr>
      </w:pPr>
      <w:bookmarkStart w:id="422" w:name="_Toc98946993"/>
      <w:bookmarkStart w:id="423" w:name="_Toc97630589"/>
      <w:r>
        <w:rPr>
          <w:rStyle w:val="CharSectno"/>
        </w:rPr>
        <w:t>106</w:t>
      </w:r>
      <w:r>
        <w:rPr>
          <w:snapToGrid w:val="0"/>
        </w:rPr>
        <w:t>.</w:t>
      </w:r>
      <w:r>
        <w:rPr>
          <w:snapToGrid w:val="0"/>
        </w:rPr>
        <w:tab/>
        <w:t>Access authorities</w:t>
      </w:r>
      <w:bookmarkEnd w:id="422"/>
      <w:bookmarkEnd w:id="423"/>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r>
      <w:r>
        <w:t>Subject to subsection (5A), the</w:t>
      </w:r>
      <w:r>
        <w:rPr>
          <w:snapToGrid w:val="0"/>
        </w:rPr>
        <w:t xml:space="preserv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petroleum production licence or petroleum special prospecting authority of which the registered holder is a person other than the applicant, or vary a petroleum access authority as in force in respect of a block that is the subject of a petroleum exploration permit, petroleum drilling reservation, petroleum retention lease, petroleum production licence or petroleum special prospecting authority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 geothermal production licence or geothermal special prospecting authority of which the registered holder is a person other than the applicant, or vary a geothermal access authority as in force in respect of a block that is the subject of a geothermal exploration permit, geothermal drilling reservation, geothermal retention lease, geothermal production licence or geothermal special prospecting authority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drilling reservation,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spacing w:before="60"/>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spacing w:before="60"/>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w:t>
      </w:r>
      <w:r>
        <w:t xml:space="preserve"> a fine of</w:t>
      </w:r>
      <w:r>
        <w:rPr>
          <w:snapToGrid w:val="0"/>
        </w:rPr>
        <w:t xml:space="preserve"> $5 000.</w:t>
      </w:r>
    </w:p>
    <w:p>
      <w:pPr>
        <w:pStyle w:val="Subsection"/>
        <w:keepNext/>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spacing w:before="180"/>
      </w:pPr>
      <w:r>
        <w:tab/>
        <w:t>(13)</w:t>
      </w:r>
      <w:r>
        <w:tab/>
        <w:t xml:space="preserve">In this section — </w:t>
      </w:r>
    </w:p>
    <w:p>
      <w:pPr>
        <w:pStyle w:val="Defstart"/>
      </w:pPr>
      <w:r>
        <w:rPr>
          <w:b/>
        </w:rPr>
        <w:tab/>
      </w:r>
      <w:r>
        <w:rPr>
          <w:rStyle w:val="CharDefText"/>
        </w:rPr>
        <w:t>geothermal title</w:t>
      </w:r>
      <w:r>
        <w:t xml:space="preserve"> means an authority, however described, under a law of the Commonwealth, of another State or of the Northern Territory to explore for geothermal energy resources or to recover geothermal energy;</w:t>
      </w:r>
    </w:p>
    <w:p>
      <w:pPr>
        <w:pStyle w:val="Defstart"/>
      </w:pPr>
      <w:r>
        <w:rPr>
          <w:b/>
        </w:rPr>
        <w:tab/>
      </w:r>
      <w:r>
        <w:rPr>
          <w:rStyle w:val="CharDefText"/>
        </w:rPr>
        <w:t>petroleum title</w:t>
      </w:r>
      <w:r>
        <w:t xml:space="preserve"> means an authority, however described, under the </w:t>
      </w:r>
      <w:r>
        <w:rPr>
          <w:i/>
          <w:iCs/>
        </w:rPr>
        <w:t>Petroleum (Submerged Lands) Act 1982</w:t>
      </w:r>
      <w:r>
        <w:t xml:space="preserve"> or a law of the Commonwealth, of another State or of the Northern Territory to explore for, or to recover, petroleum.</w:t>
      </w:r>
    </w:p>
    <w:p>
      <w:pPr>
        <w:pStyle w:val="Footnotesection"/>
      </w:pPr>
      <w:r>
        <w:tab/>
        <w:t>[Section 106 amended: No. 12 of 1990 s. 86; No. 78 of 1990 s. 7; No. 28 of 1994 s. 46; No. 13 of 2005 s. 16(2); No. 35 of 2007 s. 67; No. 42 of 2010 s. 49 and 62(15).]</w:t>
      </w:r>
    </w:p>
    <w:p>
      <w:pPr>
        <w:pStyle w:val="Heading5"/>
        <w:rPr>
          <w:snapToGrid w:val="0"/>
        </w:rPr>
      </w:pPr>
      <w:bookmarkStart w:id="424" w:name="_Toc98946994"/>
      <w:bookmarkStart w:id="425" w:name="_Toc97630590"/>
      <w:r>
        <w:rPr>
          <w:rStyle w:val="CharSectno"/>
        </w:rPr>
        <w:t>107</w:t>
      </w:r>
      <w:r>
        <w:rPr>
          <w:snapToGrid w:val="0"/>
        </w:rPr>
        <w:t>.</w:t>
      </w:r>
      <w:r>
        <w:rPr>
          <w:snapToGrid w:val="0"/>
        </w:rPr>
        <w:tab/>
        <w:t>Removal, disposal or sale of property</w:t>
      </w:r>
      <w:bookmarkEnd w:id="424"/>
      <w:bookmarkEnd w:id="425"/>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keepNext/>
        <w:spacing w:before="120"/>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spacing w:before="120"/>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spacing w:before="120"/>
        <w:rPr>
          <w:snapToGrid w:val="0"/>
        </w:rPr>
      </w:pPr>
      <w:r>
        <w:rPr>
          <w:snapToGrid w:val="0"/>
        </w:rPr>
        <w:tab/>
      </w:r>
      <w:r>
        <w:rPr>
          <w:snapToGrid w:val="0"/>
        </w:rPr>
        <w:tab/>
        <w:t>and, to the extent to which they are not recovered under subsection (2), are recoverable in a court of competent jurisdiction.</w:t>
      </w:r>
    </w:p>
    <w:p>
      <w:pPr>
        <w:pStyle w:val="Subsection"/>
        <w:spacing w:before="120"/>
        <w:rPr>
          <w:snapToGrid w:val="0"/>
        </w:rPr>
      </w:pPr>
      <w:r>
        <w:rPr>
          <w:snapToGrid w:val="0"/>
        </w:rPr>
        <w:tab/>
        <w:t>(4)</w:t>
      </w:r>
      <w:r>
        <w:rPr>
          <w:snapToGrid w:val="0"/>
        </w:rPr>
        <w:tab/>
        <w:t>Subject to subsection (3), no action lies in respect of the removal, disposal or sale of property under this section.</w:t>
      </w:r>
    </w:p>
    <w:p>
      <w:pPr>
        <w:pStyle w:val="Footnotesection"/>
        <w:spacing w:before="80"/>
        <w:ind w:left="890" w:hanging="890"/>
      </w:pPr>
      <w:r>
        <w:tab/>
        <w:t>[Section 107 amended: No. 12 of 1990 s. 87; No. 78 of 1990 s. 7.]</w:t>
      </w:r>
    </w:p>
    <w:p>
      <w:pPr>
        <w:pStyle w:val="Ednotesection"/>
      </w:pPr>
      <w:r>
        <w:t>[</w:t>
      </w:r>
      <w:r>
        <w:rPr>
          <w:b/>
        </w:rPr>
        <w:t>108.</w:t>
      </w:r>
      <w:r>
        <w:tab/>
        <w:t>Deleted: No. 28 of 1994 s. 47.]</w:t>
      </w:r>
    </w:p>
    <w:p>
      <w:pPr>
        <w:pStyle w:val="Heading5"/>
        <w:rPr>
          <w:snapToGrid w:val="0"/>
        </w:rPr>
      </w:pPr>
      <w:bookmarkStart w:id="426" w:name="_Toc98946995"/>
      <w:bookmarkStart w:id="427" w:name="_Toc97630591"/>
      <w:r>
        <w:rPr>
          <w:rStyle w:val="CharSectno"/>
        </w:rPr>
        <w:t>109</w:t>
      </w:r>
      <w:r>
        <w:rPr>
          <w:snapToGrid w:val="0"/>
        </w:rPr>
        <w:t>.</w:t>
      </w:r>
      <w:r>
        <w:rPr>
          <w:snapToGrid w:val="0"/>
        </w:rPr>
        <w:tab/>
        <w:t>Minister etc. may require information to be furnished etc.</w:t>
      </w:r>
      <w:bookmarkEnd w:id="426"/>
      <w:bookmarkEnd w:id="427"/>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any civil proceedings or in any criminal proceedings other than proceedings for an offence against section 111.</w:t>
      </w:r>
    </w:p>
    <w:p>
      <w:pPr>
        <w:pStyle w:val="Footnotesection"/>
        <w:ind w:left="890" w:hanging="890"/>
      </w:pPr>
      <w:r>
        <w:tab/>
        <w:t>[Section 109 amended: No. 35 of 2007 s. 68; No. 42 of 2010 s. 50.]</w:t>
      </w:r>
    </w:p>
    <w:p>
      <w:pPr>
        <w:pStyle w:val="Heading5"/>
        <w:rPr>
          <w:snapToGrid w:val="0"/>
        </w:rPr>
      </w:pPr>
      <w:bookmarkStart w:id="428" w:name="_Toc98946996"/>
      <w:bookmarkStart w:id="429" w:name="_Toc97630592"/>
      <w:r>
        <w:rPr>
          <w:rStyle w:val="CharSectno"/>
        </w:rPr>
        <w:t>110</w:t>
      </w:r>
      <w:r>
        <w:rPr>
          <w:snapToGrid w:val="0"/>
        </w:rPr>
        <w:t>.</w:t>
      </w:r>
      <w:r>
        <w:rPr>
          <w:snapToGrid w:val="0"/>
        </w:rPr>
        <w:tab/>
        <w:t>Power to examine on oath</w:t>
      </w:r>
      <w:bookmarkEnd w:id="428"/>
      <w:bookmarkEnd w:id="429"/>
    </w:p>
    <w:p>
      <w:pPr>
        <w:pStyle w:val="Subsection"/>
        <w:spacing w:before="120"/>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spacing w:before="120"/>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spacing w:before="120"/>
        <w:rPr>
          <w:snapToGrid w:val="0"/>
        </w:rPr>
      </w:pPr>
      <w:r>
        <w:rPr>
          <w:snapToGrid w:val="0"/>
        </w:rPr>
        <w:tab/>
        <w:t>(3)</w:t>
      </w:r>
      <w:r>
        <w:rPr>
          <w:snapToGrid w:val="0"/>
        </w:rPr>
        <w:tab/>
        <w:t>An affirmation made under subsection (2) is of the same force and effect, and entails the same penalties, as an oath.</w:t>
      </w:r>
    </w:p>
    <w:p>
      <w:pPr>
        <w:pStyle w:val="Heading5"/>
        <w:spacing w:before="180"/>
        <w:rPr>
          <w:snapToGrid w:val="0"/>
        </w:rPr>
      </w:pPr>
      <w:bookmarkStart w:id="430" w:name="_Toc98946997"/>
      <w:bookmarkStart w:id="431" w:name="_Toc97630593"/>
      <w:r>
        <w:rPr>
          <w:rStyle w:val="CharSectno"/>
        </w:rPr>
        <w:t>111</w:t>
      </w:r>
      <w:r>
        <w:rPr>
          <w:snapToGrid w:val="0"/>
        </w:rPr>
        <w:t>.</w:t>
      </w:r>
      <w:r>
        <w:rPr>
          <w:snapToGrid w:val="0"/>
        </w:rPr>
        <w:tab/>
        <w:t>Failing to furnish information etc.</w:t>
      </w:r>
      <w:bookmarkEnd w:id="430"/>
      <w:bookmarkEnd w:id="431"/>
    </w:p>
    <w:p>
      <w:pPr>
        <w:pStyle w:val="Subsection"/>
        <w:keepNext/>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 or</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Footnotesection"/>
        <w:spacing w:before="80"/>
        <w:ind w:left="890" w:hanging="890"/>
      </w:pPr>
      <w:r>
        <w:tab/>
        <w:t>[Section 111 amended: No. 12 of 1990 s. 89; No. 42 of 2010 s. 62(15).]</w:t>
      </w:r>
    </w:p>
    <w:p>
      <w:pPr>
        <w:pStyle w:val="Ednotesection"/>
        <w:spacing w:before="160"/>
        <w:ind w:left="890" w:hanging="890"/>
      </w:pPr>
      <w:r>
        <w:t>[</w:t>
      </w:r>
      <w:r>
        <w:rPr>
          <w:b/>
        </w:rPr>
        <w:t>112.</w:t>
      </w:r>
      <w:r>
        <w:tab/>
        <w:t>Deleted: No. 42 of 2010 s. 51.]</w:t>
      </w:r>
    </w:p>
    <w:p>
      <w:pPr>
        <w:pStyle w:val="Heading5"/>
        <w:spacing w:before="160"/>
        <w:rPr>
          <w:snapToGrid w:val="0"/>
        </w:rPr>
      </w:pPr>
      <w:bookmarkStart w:id="432" w:name="_Toc98946998"/>
      <w:bookmarkStart w:id="433" w:name="_Toc97630594"/>
      <w:r>
        <w:rPr>
          <w:rStyle w:val="CharSectno"/>
        </w:rPr>
        <w:t>112A</w:t>
      </w:r>
      <w:r>
        <w:rPr>
          <w:snapToGrid w:val="0"/>
        </w:rPr>
        <w:t>.</w:t>
      </w:r>
      <w:r>
        <w:rPr>
          <w:snapToGrid w:val="0"/>
        </w:rPr>
        <w:tab/>
      </w:r>
      <w:del w:id="434" w:author="Master Repository Process" w:date="2022-03-30T12:17:00Z">
        <w:r>
          <w:rPr>
            <w:snapToGrid w:val="0"/>
          </w:rPr>
          <w:delText>Safety</w:delText>
        </w:r>
      </w:del>
      <w:ins w:id="435" w:author="Master Repository Process" w:date="2022-03-30T12:17:00Z">
        <w:r>
          <w:t>Exclusion</w:t>
        </w:r>
      </w:ins>
      <w:r>
        <w:t xml:space="preserve"> zones</w:t>
      </w:r>
      <w:bookmarkEnd w:id="432"/>
      <w:bookmarkEnd w:id="433"/>
    </w:p>
    <w:p>
      <w:pPr>
        <w:pStyle w:val="Subsection"/>
        <w:spacing w:before="120"/>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w:t>
      </w:r>
      <w:del w:id="436" w:author="Master Repository Process" w:date="2022-03-30T12:17:00Z">
        <w:r>
          <w:rPr>
            <w:snapToGrid w:val="0"/>
          </w:rPr>
          <w:delText xml:space="preserve">a </w:delText>
        </w:r>
        <w:r>
          <w:rPr>
            <w:rStyle w:val="CharDefText"/>
          </w:rPr>
          <w:delText>safety</w:delText>
        </w:r>
      </w:del>
      <w:ins w:id="437" w:author="Master Repository Process" w:date="2022-03-30T12:17:00Z">
        <w:r>
          <w:t xml:space="preserve">an </w:t>
        </w:r>
        <w:r>
          <w:rPr>
            <w:rStyle w:val="CharDefText"/>
          </w:rPr>
          <w:t>exclusion</w:t>
        </w:r>
      </w:ins>
      <w:r>
        <w:rPr>
          <w:rStyle w:val="CharDefText"/>
        </w:rPr>
        <w:t xml:space="preserve">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r>
      <w:del w:id="438" w:author="Master Repository Process" w:date="2022-03-30T12:17:00Z">
        <w:r>
          <w:rPr>
            <w:snapToGrid w:val="0"/>
          </w:rPr>
          <w:delText>A safety</w:delText>
        </w:r>
      </w:del>
      <w:ins w:id="439" w:author="Master Repository Process" w:date="2022-03-30T12:17:00Z">
        <w:r>
          <w:t>An exclusion</w:t>
        </w:r>
      </w:ins>
      <w:r>
        <w:rPr>
          <w:snapToGrid w:val="0"/>
        </w:rPr>
        <w:t xml:space="preserve"> zone specified in an instrument under subsection (1) may extend to a distance of 500 m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 xml:space="preserve">The owner and the person in command or in charge of a vessel shall ensure that the vessel does not enter or remain in </w:t>
      </w:r>
      <w:del w:id="440" w:author="Master Repository Process" w:date="2022-03-30T12:17:00Z">
        <w:r>
          <w:rPr>
            <w:snapToGrid w:val="0"/>
          </w:rPr>
          <w:delText>a safety</w:delText>
        </w:r>
      </w:del>
      <w:ins w:id="441" w:author="Master Repository Process" w:date="2022-03-30T12:17:00Z">
        <w:r>
          <w:t>an exclusion</w:t>
        </w:r>
      </w:ins>
      <w:r>
        <w:rPr>
          <w:snapToGrid w:val="0"/>
        </w:rPr>
        <w:t xml:space="preserve"> zone specified in an instrument under subsection (1) in contravention of the instrument.</w:t>
      </w:r>
    </w:p>
    <w:p>
      <w:pPr>
        <w:pStyle w:val="Penstart"/>
      </w:pPr>
      <w:r>
        <w:tab/>
        <w:t>Penalty for an offence under subsection (3): a fine of $100 000 or imprisonment for 10 years.</w:t>
      </w:r>
    </w:p>
    <w:p>
      <w:pPr>
        <w:pStyle w:val="Footnotesection"/>
        <w:spacing w:before="80"/>
        <w:ind w:left="890" w:hanging="890"/>
      </w:pPr>
      <w:r>
        <w:tab/>
        <w:t>[Section 112A inserted: No. 28 of 1994 s. 49; amended: No. 42 of 2010 s. 62(11</w:t>
      </w:r>
      <w:del w:id="442" w:author="Master Repository Process" w:date="2022-03-30T12:17:00Z">
        <w:r>
          <w:delText>).]</w:delText>
        </w:r>
      </w:del>
      <w:ins w:id="443" w:author="Master Repository Process" w:date="2022-03-30T12:17:00Z">
        <w:r>
          <w:t>); No. 36 of 2020 s. 302.]</w:t>
        </w:r>
      </w:ins>
    </w:p>
    <w:p>
      <w:pPr>
        <w:pStyle w:val="Heading5"/>
        <w:rPr>
          <w:snapToGrid w:val="0"/>
        </w:rPr>
      </w:pPr>
      <w:bookmarkStart w:id="444" w:name="_Toc98946999"/>
      <w:bookmarkStart w:id="445" w:name="_Toc97630595"/>
      <w:r>
        <w:rPr>
          <w:rStyle w:val="CharSectno"/>
        </w:rPr>
        <w:t>113</w:t>
      </w:r>
      <w:r>
        <w:rPr>
          <w:snapToGrid w:val="0"/>
        </w:rPr>
        <w:t>.</w:t>
      </w:r>
      <w:r>
        <w:rPr>
          <w:snapToGrid w:val="0"/>
        </w:rPr>
        <w:tab/>
        <w:t>Discovery of water to be notified</w:t>
      </w:r>
      <w:bookmarkEnd w:id="444"/>
      <w:bookmarkEnd w:id="445"/>
    </w:p>
    <w:p>
      <w:pPr>
        <w:pStyle w:val="Subsection"/>
        <w:spacing w:before="140"/>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w:t>
      </w:r>
      <w:r>
        <w:t xml:space="preserve"> a fine of</w:t>
      </w:r>
      <w:r>
        <w:rPr>
          <w:snapToGrid w:val="0"/>
        </w:rPr>
        <w:t xml:space="preserve"> $10 000.</w:t>
      </w:r>
    </w:p>
    <w:p>
      <w:pPr>
        <w:pStyle w:val="Subsection"/>
        <w:keepNext/>
        <w:spacing w:before="140"/>
      </w:pPr>
      <w:r>
        <w:tab/>
        <w:t>(2)</w:t>
      </w:r>
      <w:r>
        <w:tab/>
        <w:t xml:space="preserve">In subsection (1) — </w:t>
      </w:r>
    </w:p>
    <w:p>
      <w:pPr>
        <w:pStyle w:val="Defstart"/>
      </w:pPr>
      <w:r>
        <w:rPr>
          <w:b/>
        </w:rPr>
        <w:tab/>
      </w:r>
      <w:r>
        <w:rPr>
          <w:rStyle w:val="CharDefText"/>
        </w:rPr>
        <w:t>water</w:t>
      </w:r>
      <w:r>
        <w:t xml:space="preserve"> does not include water that constitutes geothermal energy resources.</w:t>
      </w:r>
    </w:p>
    <w:p>
      <w:pPr>
        <w:pStyle w:val="Footnotesection"/>
        <w:spacing w:before="80"/>
        <w:ind w:left="890" w:hanging="890"/>
      </w:pPr>
      <w:r>
        <w:tab/>
        <w:t>[Section 113 amended: No. 12 of 1990 s. 91; No. 78 of 1990 s. 7; No. 28 of 1994 s. 50; No. 35 of 2007 s. 70; No. 42 of 2010 s. 62(15).]</w:t>
      </w:r>
    </w:p>
    <w:p>
      <w:pPr>
        <w:pStyle w:val="Ednotesection"/>
      </w:pPr>
      <w:r>
        <w:t>[</w:t>
      </w:r>
      <w:r>
        <w:rPr>
          <w:b/>
        </w:rPr>
        <w:t>114</w:t>
      </w:r>
      <w:r>
        <w:t>.</w:t>
      </w:r>
      <w:r>
        <w:tab/>
        <w:t>Deleted: No. 42 of 2010 s. 52.]</w:t>
      </w:r>
    </w:p>
    <w:p>
      <w:pPr>
        <w:pStyle w:val="Heading5"/>
        <w:rPr>
          <w:snapToGrid w:val="0"/>
        </w:rPr>
      </w:pPr>
      <w:bookmarkStart w:id="446" w:name="_Toc98947000"/>
      <w:bookmarkStart w:id="447" w:name="_Toc97630596"/>
      <w:r>
        <w:rPr>
          <w:rStyle w:val="CharSectno"/>
        </w:rPr>
        <w:t>115</w:t>
      </w:r>
      <w:r>
        <w:rPr>
          <w:snapToGrid w:val="0"/>
        </w:rPr>
        <w:t>.</w:t>
      </w:r>
      <w:r>
        <w:rPr>
          <w:snapToGrid w:val="0"/>
        </w:rPr>
        <w:tab/>
        <w:t>Records etc. to be kept</w:t>
      </w:r>
      <w:bookmarkEnd w:id="446"/>
      <w:bookmarkEnd w:id="447"/>
    </w:p>
    <w:p>
      <w:pPr>
        <w:pStyle w:val="Subsection"/>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spacing w:before="140"/>
        <w:ind w:left="890" w:hanging="890"/>
      </w:pPr>
      <w:r>
        <w:tab/>
        <w:t>[Section 115 amended: No. 12 of 1990 s. 93; No. 78 of 1990 s. 7; No. 28 of 1994 s. 52; No. 42 of 2010 s. 62(12).]</w:t>
      </w:r>
    </w:p>
    <w:p>
      <w:pPr>
        <w:pStyle w:val="Heading5"/>
      </w:pPr>
      <w:bookmarkStart w:id="448" w:name="_Toc98947001"/>
      <w:bookmarkStart w:id="449" w:name="_Toc97630597"/>
      <w:r>
        <w:rPr>
          <w:rStyle w:val="CharSectno"/>
        </w:rPr>
        <w:t>116A</w:t>
      </w:r>
      <w:r>
        <w:t>.</w:t>
      </w:r>
      <w:r>
        <w:tab/>
        <w:t>Data management: regulations</w:t>
      </w:r>
      <w:bookmarkEnd w:id="448"/>
      <w:bookmarkEnd w:id="449"/>
    </w:p>
    <w:p>
      <w:pPr>
        <w:pStyle w:val="Subsection"/>
      </w:pPr>
      <w:r>
        <w:tab/>
        <w:t>(1)</w:t>
      </w:r>
      <w:r>
        <w:tab/>
        <w:t xml:space="preserve">The regulations may make provision for and in relation to — </w:t>
      </w:r>
    </w:p>
    <w:p>
      <w:pPr>
        <w:pStyle w:val="Indenta"/>
      </w:pPr>
      <w:r>
        <w:tab/>
        <w:t>(a)</w:t>
      </w:r>
      <w:r>
        <w:tab/>
        <w:t xml:space="preserve">the keeping of accounts, records and other documents in connection with operations under — </w:t>
      </w:r>
    </w:p>
    <w:p>
      <w:pPr>
        <w:pStyle w:val="Indenti"/>
      </w:pPr>
      <w:r>
        <w:tab/>
        <w:t>(i)</w:t>
      </w:r>
      <w:r>
        <w:tab/>
        <w:t>a permit; or</w:t>
      </w:r>
    </w:p>
    <w:p>
      <w:pPr>
        <w:pStyle w:val="Indenti"/>
      </w:pPr>
      <w:r>
        <w:tab/>
        <w:t>(ii)</w:t>
      </w:r>
      <w:r>
        <w:tab/>
        <w:t>a drilling reservation; or</w:t>
      </w:r>
    </w:p>
    <w:p>
      <w:pPr>
        <w:pStyle w:val="Indenti"/>
      </w:pPr>
      <w:r>
        <w:tab/>
        <w:t>(iii)</w:t>
      </w:r>
      <w:r>
        <w:tab/>
        <w:t>a lease; or</w:t>
      </w:r>
    </w:p>
    <w:p>
      <w:pPr>
        <w:pStyle w:val="Indenti"/>
      </w:pPr>
      <w:r>
        <w:tab/>
        <w:t>(iv)</w:t>
      </w:r>
      <w:r>
        <w:tab/>
        <w:t>a licence; or</w:t>
      </w:r>
    </w:p>
    <w:p>
      <w:pPr>
        <w:pStyle w:val="Indenti"/>
      </w:pPr>
      <w:r>
        <w:tab/>
        <w:t>(v)</w:t>
      </w:r>
      <w:r>
        <w:tab/>
        <w:t>a special prospecting authority; or</w:t>
      </w:r>
    </w:p>
    <w:p>
      <w:pPr>
        <w:pStyle w:val="Indenti"/>
      </w:pPr>
      <w:r>
        <w:tab/>
        <w:t>(vi)</w:t>
      </w:r>
      <w:r>
        <w:tab/>
        <w:t>an access authority; or</w:t>
      </w:r>
    </w:p>
    <w:p>
      <w:pPr>
        <w:pStyle w:val="Indenti"/>
      </w:pPr>
      <w:r>
        <w:tab/>
        <w:t>(vii)</w:t>
      </w:r>
      <w:r>
        <w:tab/>
        <w:t xml:space="preserve">a consent under section 116; </w:t>
      </w:r>
    </w:p>
    <w:p>
      <w:pPr>
        <w:pStyle w:val="Indenta"/>
      </w:pPr>
      <w:r>
        <w:tab/>
      </w:r>
      <w:r>
        <w:tab/>
        <w:t>and</w:t>
      </w:r>
    </w:p>
    <w:p>
      <w:pPr>
        <w:pStyle w:val="Indenta"/>
      </w:pPr>
      <w:r>
        <w:tab/>
        <w:t>(b)</w:t>
      </w:r>
      <w:r>
        <w:tab/>
        <w:t>the collection and retention of cores, cuttings and samples in connection with those operations; and</w:t>
      </w:r>
    </w:p>
    <w:p>
      <w:pPr>
        <w:pStyle w:val="Indenta"/>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115 is in addition to a requirement under regulations made for the purposes of this section.</w:t>
      </w:r>
    </w:p>
    <w:p>
      <w:pPr>
        <w:pStyle w:val="Footnotesection"/>
        <w:spacing w:before="140"/>
        <w:ind w:left="890" w:hanging="890"/>
      </w:pPr>
      <w:r>
        <w:tab/>
        <w:t>[Section 116A inserted: No. 42 of 2010 s. 53.]</w:t>
      </w:r>
    </w:p>
    <w:p>
      <w:pPr>
        <w:pStyle w:val="Heading5"/>
        <w:rPr>
          <w:snapToGrid w:val="0"/>
        </w:rPr>
      </w:pPr>
      <w:bookmarkStart w:id="450" w:name="_Toc98947002"/>
      <w:bookmarkStart w:id="451" w:name="_Toc97630598"/>
      <w:r>
        <w:rPr>
          <w:rStyle w:val="CharSectno"/>
        </w:rPr>
        <w:t>116</w:t>
      </w:r>
      <w:r>
        <w:rPr>
          <w:snapToGrid w:val="0"/>
        </w:rPr>
        <w:t>.</w:t>
      </w:r>
      <w:r>
        <w:rPr>
          <w:snapToGrid w:val="0"/>
        </w:rPr>
        <w:tab/>
        <w:t>Scientific investigations</w:t>
      </w:r>
      <w:bookmarkEnd w:id="450"/>
      <w:bookmarkEnd w:id="451"/>
    </w:p>
    <w:p>
      <w:pPr>
        <w:pStyle w:val="Subsection"/>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No. 35 of 2007 s. 71.]</w:t>
      </w:r>
    </w:p>
    <w:p>
      <w:pPr>
        <w:pStyle w:val="Heading5"/>
        <w:rPr>
          <w:snapToGrid w:val="0"/>
        </w:rPr>
      </w:pPr>
      <w:bookmarkStart w:id="452" w:name="_Toc98947003"/>
      <w:bookmarkStart w:id="453" w:name="_Toc97630599"/>
      <w:r>
        <w:rPr>
          <w:rStyle w:val="CharSectno"/>
        </w:rPr>
        <w:t>117</w:t>
      </w:r>
      <w:r>
        <w:rPr>
          <w:snapToGrid w:val="0"/>
        </w:rPr>
        <w:t>.</w:t>
      </w:r>
      <w:r>
        <w:rPr>
          <w:snapToGrid w:val="0"/>
        </w:rPr>
        <w:tab/>
        <w:t>Interference with other rights etc.</w:t>
      </w:r>
      <w:bookmarkEnd w:id="452"/>
      <w:bookmarkEnd w:id="453"/>
    </w:p>
    <w:p>
      <w:pPr>
        <w:pStyle w:val="Subsection"/>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 or</w:t>
      </w:r>
    </w:p>
    <w:p>
      <w:pPr>
        <w:pStyle w:val="Indenta"/>
        <w:rPr>
          <w:snapToGrid w:val="0"/>
        </w:rPr>
      </w:pPr>
      <w:r>
        <w:rPr>
          <w:snapToGrid w:val="0"/>
        </w:rPr>
        <w:tab/>
        <w:t>(b)</w:t>
      </w:r>
      <w:r>
        <w:rPr>
          <w:snapToGrid w:val="0"/>
        </w:rPr>
        <w:tab/>
        <w:t>the conservation of the resources of the soil or the Earth’s crust; or</w:t>
      </w:r>
    </w:p>
    <w:p>
      <w:pPr>
        <w:pStyle w:val="Indenta"/>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w:t>
      </w:r>
      <w:r>
        <w:t xml:space="preserve"> pipeline; or</w:t>
      </w:r>
    </w:p>
    <w:p>
      <w:pPr>
        <w:pStyle w:val="Indenta"/>
      </w:pPr>
      <w:r>
        <w:tab/>
        <w:t>(d)</w:t>
      </w:r>
      <w:r>
        <w:tab/>
        <w:t>navigation; or</w:t>
      </w:r>
    </w:p>
    <w:p>
      <w:pPr>
        <w:pStyle w:val="Indenta"/>
      </w:pPr>
      <w:r>
        <w:tab/>
        <w:t>(e)</w:t>
      </w:r>
      <w:r>
        <w:tab/>
        <w:t>fishing; or</w:t>
      </w:r>
    </w:p>
    <w:p>
      <w:pPr>
        <w:pStyle w:val="Indenta"/>
        <w:keepNext/>
      </w:pPr>
      <w:r>
        <w:tab/>
        <w:t>(f)</w:t>
      </w:r>
      <w:r>
        <w:tab/>
        <w:t>the conservation of the resources of the sea and the seabed,</w:t>
      </w:r>
    </w:p>
    <w:p>
      <w:pPr>
        <w:pStyle w:val="Subsection"/>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rPr>
          <w:snapToGrid w:val="0"/>
        </w:rPr>
      </w:pPr>
      <w:r>
        <w:rPr>
          <w:snapToGrid w:val="0"/>
        </w:rPr>
        <w:tab/>
        <w:t>Penalty</w:t>
      </w:r>
      <w:r>
        <w:t>: a fine of</w:t>
      </w:r>
      <w:r>
        <w:rPr>
          <w:snapToGrid w:val="0"/>
        </w:rPr>
        <w:t xml:space="preserve"> $10 000.</w:t>
      </w:r>
    </w:p>
    <w:p>
      <w:pPr>
        <w:pStyle w:val="Footnotesection"/>
        <w:keepLines w:val="0"/>
        <w:ind w:left="890" w:hanging="890"/>
      </w:pPr>
      <w:r>
        <w:tab/>
        <w:t>[Section 117 amended: No. 12 of 1990 s. 94; No. 78 of 1990 s. 7; No. 35 of 2007 s. 72; No. 42 of 2010 s. 54 and 62(15).]</w:t>
      </w:r>
    </w:p>
    <w:p>
      <w:pPr>
        <w:pStyle w:val="Heading5"/>
        <w:spacing w:before="180"/>
      </w:pPr>
      <w:bookmarkStart w:id="454" w:name="_Toc98947004"/>
      <w:bookmarkStart w:id="455" w:name="_Toc97630600"/>
      <w:r>
        <w:rPr>
          <w:rStyle w:val="CharSectno"/>
        </w:rPr>
        <w:t>117A</w:t>
      </w:r>
      <w:r>
        <w:t>.</w:t>
      </w:r>
      <w:r>
        <w:tab/>
        <w:t>Interfering with petroleum operation or geothermal energy operation</w:t>
      </w:r>
      <w:bookmarkEnd w:id="454"/>
      <w:bookmarkEnd w:id="455"/>
    </w:p>
    <w:p>
      <w:pPr>
        <w:pStyle w:val="Subsection"/>
      </w:pPr>
      <w:r>
        <w:tab/>
      </w:r>
      <w:r>
        <w:tab/>
        <w:t xml:space="preserve">A person must not intentionally or recklessly — </w:t>
      </w:r>
    </w:p>
    <w:p>
      <w:pPr>
        <w:pStyle w:val="Indenta"/>
      </w:pPr>
      <w:r>
        <w:tab/>
        <w:t>(a)</w:t>
      </w:r>
      <w:r>
        <w:tab/>
        <w:t>cause damage to, or interfere with, a well or any structure or vessel in the State that is, or is to be, used in a petroleum operation or geothermal energy operation; or</w:t>
      </w:r>
    </w:p>
    <w:p>
      <w:pPr>
        <w:pStyle w:val="Indenta"/>
      </w:pPr>
      <w:r>
        <w:tab/>
        <w:t>(b)</w:t>
      </w:r>
      <w:r>
        <w:tab/>
        <w:t>interfere with any petroleum operation or geothermal energy operation.</w:t>
      </w:r>
    </w:p>
    <w:p>
      <w:pPr>
        <w:pStyle w:val="Penstart"/>
      </w:pPr>
      <w:r>
        <w:tab/>
        <w:t>Penalty: imprisonment for 10 years.</w:t>
      </w:r>
    </w:p>
    <w:p>
      <w:pPr>
        <w:pStyle w:val="Footnotesection"/>
        <w:spacing w:before="80"/>
        <w:ind w:left="890" w:hanging="890"/>
      </w:pPr>
      <w:r>
        <w:tab/>
        <w:t>[Section 117A inserted: No. 13 of 2005 s. 8; amended: No. 35 of 2007 s. 86.]</w:t>
      </w:r>
    </w:p>
    <w:p>
      <w:pPr>
        <w:pStyle w:val="Heading5"/>
        <w:spacing w:before="180"/>
        <w:rPr>
          <w:snapToGrid w:val="0"/>
        </w:rPr>
      </w:pPr>
      <w:bookmarkStart w:id="456" w:name="_Toc98947005"/>
      <w:bookmarkStart w:id="457" w:name="_Toc97630601"/>
      <w:r>
        <w:rPr>
          <w:rStyle w:val="CharSectno"/>
        </w:rPr>
        <w:t>118</w:t>
      </w:r>
      <w:r>
        <w:rPr>
          <w:snapToGrid w:val="0"/>
        </w:rPr>
        <w:t>.</w:t>
      </w:r>
      <w:r>
        <w:rPr>
          <w:snapToGrid w:val="0"/>
        </w:rPr>
        <w:tab/>
        <w:t>Inspectors</w:t>
      </w:r>
      <w:bookmarkEnd w:id="456"/>
      <w:bookmarkEnd w:id="457"/>
    </w:p>
    <w:p>
      <w:pPr>
        <w:pStyle w:val="Subsection"/>
        <w:rPr>
          <w:snapToGrid w:val="0"/>
        </w:rPr>
      </w:pPr>
      <w:r>
        <w:rPr>
          <w:snapToGrid w:val="0"/>
        </w:rPr>
        <w:tab/>
        <w:t>(1)</w:t>
      </w:r>
      <w:r>
        <w:rPr>
          <w:snapToGrid w:val="0"/>
        </w:rPr>
        <w:tab/>
        <w:t xml:space="preserve">The Minister may, by instrument in writing, appoint a person to be an inspector for </w:t>
      </w:r>
      <w:r>
        <w:t>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ind w:left="890" w:hanging="890"/>
      </w:pPr>
      <w:r>
        <w:tab/>
        <w:t>[Section 118 amended: No. 12 of 1990 s. 95; No. 13 of 2005 s. 9; No. 42 of 2010 s. 62(13).]</w:t>
      </w:r>
    </w:p>
    <w:p>
      <w:pPr>
        <w:pStyle w:val="Heading5"/>
        <w:spacing w:before="180"/>
        <w:rPr>
          <w:snapToGrid w:val="0"/>
        </w:rPr>
      </w:pPr>
      <w:bookmarkStart w:id="458" w:name="_Toc98947006"/>
      <w:bookmarkStart w:id="459" w:name="_Toc97630602"/>
      <w:r>
        <w:rPr>
          <w:rStyle w:val="CharSectno"/>
        </w:rPr>
        <w:t>119</w:t>
      </w:r>
      <w:r>
        <w:rPr>
          <w:snapToGrid w:val="0"/>
        </w:rPr>
        <w:t>.</w:t>
      </w:r>
      <w:r>
        <w:rPr>
          <w:snapToGrid w:val="0"/>
        </w:rPr>
        <w:tab/>
        <w:t>Powers of inspectors</w:t>
      </w:r>
      <w:bookmarkEnd w:id="458"/>
      <w:bookmarkEnd w:id="459"/>
    </w:p>
    <w:p>
      <w:pPr>
        <w:pStyle w:val="Subsection"/>
        <w:keepNext/>
        <w:keepLines/>
        <w:rPr>
          <w:snapToGrid w:val="0"/>
        </w:rPr>
      </w:pPr>
      <w:r>
        <w:rPr>
          <w:snapToGrid w:val="0"/>
        </w:rPr>
        <w:tab/>
        <w:t>(1)</w:t>
      </w:r>
      <w:r>
        <w:rPr>
          <w:snapToGrid w:val="0"/>
        </w:rPr>
        <w:tab/>
        <w:t>For the purposes of this Act</w:t>
      </w:r>
      <w:del w:id="460" w:author="Master Repository Process" w:date="2022-03-30T12:17:00Z">
        <w:r>
          <w:delText>, but without affecting the powers of an inspector under Schedule 1</w:delText>
        </w:r>
      </w:del>
      <w:r>
        <w:t xml:space="preserve">, </w:t>
      </w:r>
      <w:r>
        <w:rPr>
          <w:snapToGrid w:val="0"/>
        </w:rPr>
        <w:t>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 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pPr>
      <w:r>
        <w:tab/>
        <w:t>Penalty for an offence under subsection (2) or (3): a fine of $5 000.</w:t>
      </w:r>
    </w:p>
    <w:p>
      <w:pPr>
        <w:pStyle w:val="Footnotesection"/>
      </w:pPr>
      <w:r>
        <w:tab/>
        <w:t>[Section 119 amended: No. 12 of 1990 s. 96; No. 13 of 2005 s. 10; No. 35 of 2007 s. 73; No. 42 of 2010 s. 62(14</w:t>
      </w:r>
      <w:del w:id="461" w:author="Master Repository Process" w:date="2022-03-30T12:17:00Z">
        <w:r>
          <w:delText>).]</w:delText>
        </w:r>
      </w:del>
      <w:ins w:id="462" w:author="Master Repository Process" w:date="2022-03-30T12:17:00Z">
        <w:r>
          <w:t>); No. 36 of 2020 s. 303.]</w:t>
        </w:r>
      </w:ins>
    </w:p>
    <w:p>
      <w:pPr>
        <w:pStyle w:val="Heading5"/>
      </w:pPr>
      <w:bookmarkStart w:id="463" w:name="_Toc98947007"/>
      <w:bookmarkStart w:id="464" w:name="_Toc97630603"/>
      <w:r>
        <w:rPr>
          <w:rStyle w:val="CharSectno"/>
        </w:rPr>
        <w:t>119A</w:t>
      </w:r>
      <w:r>
        <w:t>.</w:t>
      </w:r>
      <w:r>
        <w:tab/>
        <w:t>Protection from liability for wrongdoing</w:t>
      </w:r>
      <w:bookmarkEnd w:id="463"/>
      <w:bookmarkEnd w:id="46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ind w:left="890" w:hanging="890"/>
        <w:rPr>
          <w:b/>
          <w:i w:val="0"/>
        </w:rPr>
      </w:pPr>
      <w:r>
        <w:tab/>
        <w:t>[Section 119A inserted: No. 13 of 2005 s. 11.]</w:t>
      </w:r>
    </w:p>
    <w:p>
      <w:pPr>
        <w:pStyle w:val="Ednotesection"/>
        <w:ind w:left="890" w:hanging="890"/>
      </w:pPr>
      <w:r>
        <w:t>[</w:t>
      </w:r>
      <w:r>
        <w:rPr>
          <w:b/>
          <w:bCs/>
        </w:rPr>
        <w:t>120.</w:t>
      </w:r>
      <w:r>
        <w:tab/>
        <w:t>Deleted: No. 35 of 2007 s. 12(2).]</w:t>
      </w:r>
    </w:p>
    <w:p>
      <w:pPr>
        <w:pStyle w:val="Heading5"/>
        <w:rPr>
          <w:snapToGrid w:val="0"/>
        </w:rPr>
      </w:pPr>
      <w:bookmarkStart w:id="465" w:name="_Toc98947008"/>
      <w:bookmarkStart w:id="466" w:name="_Toc97630604"/>
      <w:r>
        <w:rPr>
          <w:rStyle w:val="CharSectno"/>
        </w:rPr>
        <w:t>121</w:t>
      </w:r>
      <w:r>
        <w:rPr>
          <w:snapToGrid w:val="0"/>
        </w:rPr>
        <w:t>.</w:t>
      </w:r>
      <w:r>
        <w:rPr>
          <w:snapToGrid w:val="0"/>
        </w:rPr>
        <w:tab/>
        <w:t>Continuing offences</w:t>
      </w:r>
      <w:bookmarkEnd w:id="465"/>
      <w:bookmarkEnd w:id="466"/>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No. 12 of 1990 s. 98; No. 13 of 2005 s. 16(1).]</w:t>
      </w:r>
    </w:p>
    <w:p>
      <w:pPr>
        <w:pStyle w:val="Heading5"/>
      </w:pPr>
      <w:bookmarkStart w:id="467" w:name="_Toc98947009"/>
      <w:bookmarkStart w:id="468" w:name="_Toc97630605"/>
      <w:r>
        <w:rPr>
          <w:rStyle w:val="CharSectno"/>
        </w:rPr>
        <w:t>122</w:t>
      </w:r>
      <w:r>
        <w:t>.</w:t>
      </w:r>
      <w:r>
        <w:tab/>
        <w:t>Crimes and other offences</w:t>
      </w:r>
      <w:bookmarkEnd w:id="467"/>
      <w:bookmarkEnd w:id="468"/>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keepNext/>
      </w:pPr>
      <w:r>
        <w:tab/>
        <w:t>(3)</w:t>
      </w:r>
      <w:r>
        <w:tab/>
        <w:t>Unless the contrary intention appears, an offence under this Act, other than a crime, is punishable summarily.</w:t>
      </w:r>
    </w:p>
    <w:p>
      <w:pPr>
        <w:pStyle w:val="Footnotesection"/>
        <w:ind w:left="890" w:hanging="890"/>
      </w:pPr>
      <w:r>
        <w:tab/>
        <w:t>[Section 122 inserted: No. 4 of 2004 s. 58.]</w:t>
      </w:r>
    </w:p>
    <w:p>
      <w:pPr>
        <w:pStyle w:val="Heading5"/>
        <w:rPr>
          <w:snapToGrid w:val="0"/>
        </w:rPr>
      </w:pPr>
      <w:bookmarkStart w:id="469" w:name="_Toc98947010"/>
      <w:bookmarkStart w:id="470" w:name="_Toc97630606"/>
      <w:r>
        <w:rPr>
          <w:rStyle w:val="CharSectno"/>
        </w:rPr>
        <w:t>123</w:t>
      </w:r>
      <w:r>
        <w:rPr>
          <w:snapToGrid w:val="0"/>
        </w:rPr>
        <w:t>.</w:t>
      </w:r>
      <w:r>
        <w:rPr>
          <w:snapToGrid w:val="0"/>
        </w:rPr>
        <w:tab/>
        <w:t>Orders for forfeiture etc. in respect of certain offences</w:t>
      </w:r>
      <w:bookmarkEnd w:id="469"/>
      <w:bookmarkEnd w:id="470"/>
    </w:p>
    <w:p>
      <w:pPr>
        <w:pStyle w:val="Subsection"/>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rPr>
          <w:snapToGrid w:val="0"/>
        </w:rPr>
      </w:pPr>
      <w:r>
        <w:rPr>
          <w:snapToGrid w:val="0"/>
        </w:rPr>
        <w:tab/>
        <w:t>(a)</w:t>
      </w:r>
      <w:r>
        <w:rPr>
          <w:snapToGrid w:val="0"/>
        </w:rPr>
        <w:tab/>
        <w:t>an order for the forfeiture of a specified vessel, aircraft or vehicle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in the course of the commission of the offence; or</w:t>
      </w:r>
    </w:p>
    <w:p>
      <w:pPr>
        <w:pStyle w:val="Indenti"/>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rPr>
          <w:snapToGrid w:val="0"/>
        </w:rPr>
      </w:pPr>
      <w:r>
        <w:rPr>
          <w:snapToGrid w:val="0"/>
        </w:rPr>
        <w:tab/>
        <w:t>(2)</w:t>
      </w:r>
      <w:r>
        <w:rPr>
          <w:snapToGrid w:val="0"/>
        </w:rPr>
        <w:tab/>
        <w:t>Where</w:t>
      </w:r>
      <w:r>
        <w:t>, in respect of petroleum,</w:t>
      </w:r>
      <w:r>
        <w:rPr>
          <w:snapToGrid w:val="0"/>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keepNext/>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keepLines w:val="0"/>
        <w:ind w:left="890" w:hanging="890"/>
      </w:pPr>
      <w:r>
        <w:tab/>
        <w:t>[Section 123 amended: No. 28 of 1994 s. 53; No. 35 of 2007 s. 74.]</w:t>
      </w:r>
    </w:p>
    <w:p>
      <w:pPr>
        <w:pStyle w:val="Heading5"/>
        <w:rPr>
          <w:snapToGrid w:val="0"/>
        </w:rPr>
      </w:pPr>
      <w:bookmarkStart w:id="471" w:name="_Toc98947011"/>
      <w:bookmarkStart w:id="472" w:name="_Toc97630607"/>
      <w:r>
        <w:rPr>
          <w:rStyle w:val="CharSectno"/>
        </w:rPr>
        <w:t>124</w:t>
      </w:r>
      <w:r>
        <w:rPr>
          <w:snapToGrid w:val="0"/>
        </w:rPr>
        <w:t>.</w:t>
      </w:r>
      <w:r>
        <w:rPr>
          <w:snapToGrid w:val="0"/>
        </w:rPr>
        <w:tab/>
        <w:t>Power of Attorney General to direct disposal of goods</w:t>
      </w:r>
      <w:bookmarkEnd w:id="471"/>
      <w:bookmarkEnd w:id="472"/>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473" w:name="_Toc98947012"/>
      <w:bookmarkStart w:id="474" w:name="_Toc97630608"/>
      <w:r>
        <w:rPr>
          <w:rStyle w:val="CharSectno"/>
        </w:rPr>
        <w:t>125</w:t>
      </w:r>
      <w:r>
        <w:rPr>
          <w:snapToGrid w:val="0"/>
        </w:rPr>
        <w:t>.</w:t>
      </w:r>
      <w:r>
        <w:rPr>
          <w:snapToGrid w:val="0"/>
        </w:rPr>
        <w:tab/>
        <w:t>Time for bringing proceedings for offences</w:t>
      </w:r>
      <w:bookmarkEnd w:id="473"/>
      <w:bookmarkEnd w:id="474"/>
    </w:p>
    <w:p>
      <w:pPr>
        <w:pStyle w:val="Subsection"/>
        <w:rPr>
          <w:snapToGrid w:val="0"/>
        </w:rPr>
      </w:pPr>
      <w:r>
        <w:rPr>
          <w:snapToGrid w:val="0"/>
        </w:rPr>
        <w:tab/>
      </w:r>
      <w:r>
        <w:rPr>
          <w:snapToGrid w:val="0"/>
        </w:rPr>
        <w:tab/>
        <w:t>Notwithstanding the provisions of any other Act, proceedings in respect of an offence against this Act may be brought at any time.</w:t>
      </w:r>
    </w:p>
    <w:p>
      <w:pPr>
        <w:pStyle w:val="Footnotesection"/>
        <w:ind w:left="890" w:hanging="890"/>
      </w:pPr>
      <w:r>
        <w:tab/>
        <w:t>[Section 125 amended: No. 13 of 2005 s. 12.]</w:t>
      </w:r>
    </w:p>
    <w:p>
      <w:pPr>
        <w:pStyle w:val="Heading5"/>
        <w:rPr>
          <w:snapToGrid w:val="0"/>
        </w:rPr>
      </w:pPr>
      <w:bookmarkStart w:id="475" w:name="_Toc98947013"/>
      <w:bookmarkStart w:id="476" w:name="_Toc97630609"/>
      <w:r>
        <w:rPr>
          <w:rStyle w:val="CharSectno"/>
        </w:rPr>
        <w:t>126</w:t>
      </w:r>
      <w:r>
        <w:rPr>
          <w:snapToGrid w:val="0"/>
        </w:rPr>
        <w:t>.</w:t>
      </w:r>
      <w:r>
        <w:rPr>
          <w:snapToGrid w:val="0"/>
        </w:rPr>
        <w:tab/>
        <w:t>Judicial notice</w:t>
      </w:r>
      <w:bookmarkEnd w:id="475"/>
      <w:bookmarkEnd w:id="476"/>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477" w:name="_Toc98947014"/>
      <w:bookmarkStart w:id="478" w:name="_Toc97630610"/>
      <w:r>
        <w:rPr>
          <w:rStyle w:val="CharSectno"/>
        </w:rPr>
        <w:t>126A</w:t>
      </w:r>
      <w:r>
        <w:t>.</w:t>
      </w:r>
      <w:r>
        <w:tab/>
        <w:t>Evidentiary matters</w:t>
      </w:r>
      <w:bookmarkEnd w:id="477"/>
      <w:bookmarkEnd w:id="478"/>
    </w:p>
    <w:p>
      <w:pPr>
        <w:pStyle w:val="Subsection"/>
        <w:spacing w:before="120"/>
      </w:pPr>
      <w:r>
        <w:tab/>
        <w:t>(1)</w:t>
      </w:r>
      <w:r>
        <w:tab/>
        <w:t xml:space="preserve">In a proceeding for an offence against this Act an averment in the charge of the offence that at a particular time — </w:t>
      </w:r>
    </w:p>
    <w:p>
      <w:pPr>
        <w:pStyle w:val="Indenta"/>
      </w:pPr>
      <w:r>
        <w:tab/>
        <w:t>(a)</w:t>
      </w:r>
      <w:r>
        <w:tab/>
        <w:t>a particular operation was a petroleum operation or geothermal energy operation; or</w:t>
      </w:r>
    </w:p>
    <w:p>
      <w:pPr>
        <w:pStyle w:val="Indenta"/>
      </w:pPr>
      <w:r>
        <w:tab/>
        <w:t>(b)</w:t>
      </w:r>
      <w:r>
        <w:tab/>
        <w:t>a particular person was the operator of a petroleum operation or geothermal energy operation; or</w:t>
      </w:r>
    </w:p>
    <w:p>
      <w:pPr>
        <w:pStyle w:val="Indenta"/>
      </w:pPr>
      <w:r>
        <w:tab/>
        <w:t>(c)</w:t>
      </w:r>
      <w:r>
        <w:tab/>
        <w:t>a particular person was in control of a particular part of a petroleum operation or geothermal energy operation; or</w:t>
      </w:r>
    </w:p>
    <w:p>
      <w:pPr>
        <w:pStyle w:val="Indenta"/>
      </w:pPr>
      <w:r>
        <w:tab/>
        <w:t>(d)</w:t>
      </w:r>
      <w:r>
        <w:tab/>
        <w:t>a particular person was an employer who carried on a petroleum operation or geothermal energy operation; or</w:t>
      </w:r>
    </w:p>
    <w:p>
      <w:pPr>
        <w:pStyle w:val="Indenta"/>
      </w:pPr>
      <w:r>
        <w:tab/>
        <w:t>(e)</w:t>
      </w:r>
      <w:r>
        <w:tab/>
        <w:t>a particular person was an employer of a particular person or particular persons engaged in a petroleum operation or geothermal energy operation; or</w:t>
      </w:r>
    </w:p>
    <w:p>
      <w:pPr>
        <w:pStyle w:val="Indenta"/>
      </w:pPr>
      <w:r>
        <w:tab/>
        <w:t>(f)</w:t>
      </w:r>
      <w:r>
        <w:tab/>
        <w:t>a particular person was an employee or inspector,</w:t>
      </w:r>
    </w:p>
    <w:p>
      <w:pPr>
        <w:pStyle w:val="Subsection"/>
        <w:spacing w:before="120"/>
      </w:pPr>
      <w:r>
        <w:tab/>
      </w:r>
      <w:r>
        <w:tab/>
        <w:t>is to be taken to have been proved in the absence of evidence to the contrary.</w:t>
      </w:r>
    </w:p>
    <w:p>
      <w:pPr>
        <w:pStyle w:val="Subsection"/>
        <w:spacing w:before="120"/>
      </w:pPr>
      <w:r>
        <w:tab/>
        <w:t>(2)</w:t>
      </w:r>
      <w:r>
        <w:tab/>
        <w:t xml:space="preserve">In a proceeding for an offence against this Act, proof is not required as to any of the following matters, unless evidence is given to the contrary — </w:t>
      </w:r>
    </w:p>
    <w:p>
      <w:pPr>
        <w:pStyle w:val="Indenta"/>
      </w:pPr>
      <w:r>
        <w:tab/>
        <w:t>(a)</w:t>
      </w:r>
      <w:r>
        <w:tab/>
        <w:t>a delegation under section 25 by the Minister of a power or function;</w:t>
      </w:r>
    </w:p>
    <w:p>
      <w:pPr>
        <w:pStyle w:val="Indenta"/>
      </w:pPr>
      <w:r>
        <w:tab/>
        <w:t>(b)</w:t>
      </w:r>
      <w:r>
        <w:tab/>
        <w:t>the authority of any person to institute a proceeding for an offence against this Act</w:t>
      </w:r>
      <w:del w:id="479" w:author="Master Repository Process" w:date="2022-03-30T12:17:00Z">
        <w:r>
          <w:delText xml:space="preserve"> other than an offence against a listed OSH law;</w:delText>
        </w:r>
      </w:del>
      <w:ins w:id="480" w:author="Master Repository Process" w:date="2022-03-30T12:17:00Z">
        <w:r>
          <w:t>.</w:t>
        </w:r>
      </w:ins>
    </w:p>
    <w:p>
      <w:pPr>
        <w:pStyle w:val="Indenta"/>
        <w:rPr>
          <w:del w:id="481" w:author="Master Repository Process" w:date="2022-03-30T12:17:00Z"/>
        </w:rPr>
      </w:pPr>
      <w:del w:id="482" w:author="Master Repository Process" w:date="2022-03-30T12:17:00Z">
        <w:r>
          <w:tab/>
          <w:delText>(c)</w:delText>
        </w:r>
        <w:r>
          <w:tab/>
          <w:delText>the authority of an inspector to institute a proceeding for an offence against a listed OSH law.</w:delText>
        </w:r>
      </w:del>
    </w:p>
    <w:p>
      <w:pPr>
        <w:pStyle w:val="Ednotepara"/>
        <w:rPr>
          <w:ins w:id="483" w:author="Master Repository Process" w:date="2022-03-30T12:17:00Z"/>
        </w:rPr>
      </w:pPr>
      <w:ins w:id="484" w:author="Master Repository Process" w:date="2022-03-30T12:17:00Z">
        <w:r>
          <w:tab/>
          <w:t>[(c)</w:t>
        </w:r>
        <w:r>
          <w:tab/>
          <w:t>deleted]</w:t>
        </w:r>
      </w:ins>
    </w:p>
    <w:p>
      <w:pPr>
        <w:pStyle w:val="Subsection"/>
      </w:pPr>
      <w:r>
        <w:tab/>
        <w:t>(3)</w:t>
      </w:r>
      <w:r>
        <w:tab/>
        <w:t xml:space="preserve">In a proceeding for an offence against this Act, production of a copy of —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 xml:space="preserve">In subsection (3) —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ind w:left="890" w:hanging="890"/>
      </w:pPr>
      <w:r>
        <w:tab/>
        <w:t>[Section 126A inserted: No. 13 of 2005 s. 13; amended: No. 35 of 2007 s. 86; No. 17 of 2014 s. </w:t>
      </w:r>
      <w:del w:id="485" w:author="Master Repository Process" w:date="2022-03-30T12:17:00Z">
        <w:r>
          <w:delText>8</w:delText>
        </w:r>
      </w:del>
      <w:ins w:id="486" w:author="Master Repository Process" w:date="2022-03-30T12:17:00Z">
        <w:r>
          <w:t>8; No. 36 of 2020 s. 304</w:t>
        </w:r>
      </w:ins>
      <w:r>
        <w:t>.]</w:t>
      </w:r>
    </w:p>
    <w:p>
      <w:pPr>
        <w:pStyle w:val="Heading5"/>
        <w:spacing w:before="240"/>
        <w:rPr>
          <w:snapToGrid w:val="0"/>
        </w:rPr>
      </w:pPr>
      <w:bookmarkStart w:id="487" w:name="_Toc98947015"/>
      <w:bookmarkStart w:id="488" w:name="_Toc97630611"/>
      <w:r>
        <w:rPr>
          <w:rStyle w:val="CharSectno"/>
        </w:rPr>
        <w:t>127</w:t>
      </w:r>
      <w:r>
        <w:rPr>
          <w:snapToGrid w:val="0"/>
        </w:rPr>
        <w:t>.</w:t>
      </w:r>
      <w:r>
        <w:rPr>
          <w:snapToGrid w:val="0"/>
        </w:rPr>
        <w:tab/>
        <w:t>Service of documents</w:t>
      </w:r>
      <w:bookmarkEnd w:id="487"/>
      <w:bookmarkEnd w:id="488"/>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spacing w:before="100"/>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spacing w:before="100"/>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ind w:left="890" w:hanging="890"/>
      </w:pPr>
      <w:r>
        <w:tab/>
        <w:t>[Section 127 amended: No. 12 of 1990 s. 100.]</w:t>
      </w:r>
    </w:p>
    <w:p>
      <w:pPr>
        <w:pStyle w:val="Heading5"/>
        <w:spacing w:before="180"/>
        <w:rPr>
          <w:snapToGrid w:val="0"/>
        </w:rPr>
      </w:pPr>
      <w:bookmarkStart w:id="489" w:name="_Toc98947016"/>
      <w:bookmarkStart w:id="490" w:name="_Toc97630612"/>
      <w:r>
        <w:rPr>
          <w:rStyle w:val="CharSectno"/>
        </w:rPr>
        <w:t>127A</w:t>
      </w:r>
      <w:r>
        <w:rPr>
          <w:snapToGrid w:val="0"/>
        </w:rPr>
        <w:t>.</w:t>
      </w:r>
      <w:r>
        <w:rPr>
          <w:snapToGrid w:val="0"/>
        </w:rPr>
        <w:tab/>
        <w:t>Service of documents on 2 or more permittees etc.</w:t>
      </w:r>
      <w:bookmarkEnd w:id="489"/>
      <w:bookmarkEnd w:id="490"/>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127A inserted: No. 12 of 1990 s. 101.]</w:t>
      </w:r>
    </w:p>
    <w:p>
      <w:pPr>
        <w:pStyle w:val="Heading3"/>
        <w:keepNext w:val="0"/>
      </w:pPr>
      <w:bookmarkStart w:id="491" w:name="_Toc97629722"/>
      <w:bookmarkStart w:id="492" w:name="_Toc97630075"/>
      <w:bookmarkStart w:id="493" w:name="_Toc97630613"/>
      <w:bookmarkStart w:id="494" w:name="_Toc98748528"/>
      <w:bookmarkStart w:id="495" w:name="_Toc98766168"/>
      <w:bookmarkStart w:id="496" w:name="_Toc98834435"/>
      <w:bookmarkStart w:id="497" w:name="_Toc98947017"/>
      <w:r>
        <w:rPr>
          <w:rStyle w:val="CharDivNo"/>
        </w:rPr>
        <w:t>Division 6</w:t>
      </w:r>
      <w:r>
        <w:rPr>
          <w:snapToGrid w:val="0"/>
        </w:rPr>
        <w:t> — </w:t>
      </w:r>
      <w:r>
        <w:rPr>
          <w:rStyle w:val="CharDivText"/>
        </w:rPr>
        <w:t>Transitional provisions</w:t>
      </w:r>
      <w:bookmarkEnd w:id="491"/>
      <w:bookmarkEnd w:id="492"/>
      <w:bookmarkEnd w:id="493"/>
      <w:bookmarkEnd w:id="494"/>
      <w:bookmarkEnd w:id="495"/>
      <w:bookmarkEnd w:id="496"/>
      <w:bookmarkEnd w:id="497"/>
    </w:p>
    <w:p>
      <w:pPr>
        <w:pStyle w:val="Heading5"/>
        <w:spacing w:before="180"/>
        <w:rPr>
          <w:snapToGrid w:val="0"/>
        </w:rPr>
      </w:pPr>
      <w:bookmarkStart w:id="498" w:name="_Toc98947018"/>
      <w:bookmarkStart w:id="499" w:name="_Toc97630614"/>
      <w:r>
        <w:rPr>
          <w:rStyle w:val="CharSectno"/>
        </w:rPr>
        <w:t>128</w:t>
      </w:r>
      <w:r>
        <w:rPr>
          <w:snapToGrid w:val="0"/>
        </w:rPr>
        <w:t>.</w:t>
      </w:r>
      <w:r>
        <w:rPr>
          <w:snapToGrid w:val="0"/>
        </w:rPr>
        <w:tab/>
        <w:t>Terms used</w:t>
      </w:r>
      <w:bookmarkEnd w:id="498"/>
      <w:bookmarkEnd w:id="499"/>
    </w:p>
    <w:p>
      <w:pPr>
        <w:pStyle w:val="Subsection"/>
        <w:keepNext/>
        <w:spacing w:before="120"/>
        <w:rPr>
          <w:snapToGrid w:val="0"/>
        </w:rPr>
      </w:pPr>
      <w:r>
        <w:rPr>
          <w:snapToGrid w:val="0"/>
        </w:rPr>
        <w:tab/>
      </w:r>
      <w:r>
        <w:rPr>
          <w:snapToGrid w:val="0"/>
        </w:rPr>
        <w:tab/>
        <w:t>In this Division, unless the contrary intention appears —</w:t>
      </w:r>
    </w:p>
    <w:p>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pPr>
        <w:pStyle w:val="Defstart"/>
      </w:pPr>
      <w:r>
        <w:rPr>
          <w:b/>
        </w:rPr>
        <w:tab/>
      </w:r>
      <w:r>
        <w:rPr>
          <w:rStyle w:val="CharDefText"/>
        </w:rPr>
        <w:t>commencing day</w:t>
      </w:r>
      <w:r>
        <w:t xml:space="preserve"> means the day on which this Division commences;</w:t>
      </w:r>
    </w:p>
    <w:p>
      <w:pPr>
        <w:pStyle w:val="Defstart"/>
      </w:pPr>
      <w:r>
        <w:rPr>
          <w:b/>
        </w:rPr>
        <w:tab/>
      </w:r>
      <w:r>
        <w:rPr>
          <w:rStyle w:val="CharDefText"/>
        </w:rPr>
        <w:t>former provisions</w:t>
      </w:r>
      <w:r>
        <w:t xml:space="preserve"> means the provisions of the </w:t>
      </w:r>
      <w:r>
        <w:rPr>
          <w:i/>
        </w:rPr>
        <w:t>Petroleum Act 1936</w:t>
      </w:r>
      <w:r>
        <w:t> </w:t>
      </w:r>
      <w:r>
        <w:rPr>
          <w:vertAlign w:val="superscript"/>
        </w:rPr>
        <w:t>1</w:t>
      </w:r>
      <w:r>
        <w:t>;</w:t>
      </w:r>
    </w:p>
    <w:p>
      <w:pPr>
        <w:pStyle w:val="Defstart"/>
        <w:keepNext/>
        <w:keepLines/>
      </w:pPr>
      <w:r>
        <w:rPr>
          <w:b/>
        </w:rPr>
        <w:tab/>
      </w:r>
      <w:r>
        <w:rPr>
          <w:rStyle w:val="CharDefText"/>
        </w:rPr>
        <w:t>lessee</w:t>
      </w:r>
      <w:r>
        <w:t xml:space="preserve"> means the lessee for the time being under the Barrow Island lease;</w:t>
      </w:r>
    </w:p>
    <w:p>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pPr>
        <w:pStyle w:val="Defstart"/>
        <w:spacing w:before="60"/>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pPr>
        <w:pStyle w:val="Defstart"/>
        <w:spacing w:before="60"/>
      </w:pPr>
      <w:r>
        <w:rPr>
          <w:b/>
        </w:rPr>
        <w:tab/>
      </w:r>
      <w:r>
        <w:rPr>
          <w:rStyle w:val="CharDefText"/>
        </w:rPr>
        <w:t>variation agreement</w:t>
      </w:r>
      <w:r>
        <w:t xml:space="preserve"> means the agreement a copy of which is set forth in the Schedule to the </w:t>
      </w:r>
      <w:r>
        <w:rPr>
          <w:i/>
        </w:rPr>
        <w:t>Barrow Island Royalty Variation Agreement Act 1985</w:t>
      </w:r>
      <w:r>
        <w:t>.</w:t>
      </w:r>
    </w:p>
    <w:p>
      <w:pPr>
        <w:pStyle w:val="Footnotesection"/>
        <w:spacing w:before="80"/>
        <w:ind w:left="890" w:hanging="890"/>
      </w:pPr>
      <w:r>
        <w:tab/>
        <w:t>[Section 128 amended: No. 113 of 1985 s. 6; No. 90 of 1987 s. 5; No. 42 of 2010 s. 55.]</w:t>
      </w:r>
    </w:p>
    <w:p>
      <w:pPr>
        <w:pStyle w:val="Heading5"/>
        <w:spacing w:before="180"/>
        <w:rPr>
          <w:snapToGrid w:val="0"/>
        </w:rPr>
      </w:pPr>
      <w:bookmarkStart w:id="500" w:name="_Toc98947019"/>
      <w:bookmarkStart w:id="501" w:name="_Toc97630615"/>
      <w:r>
        <w:rPr>
          <w:rStyle w:val="CharSectno"/>
        </w:rPr>
        <w:t>129</w:t>
      </w:r>
      <w:r>
        <w:rPr>
          <w:snapToGrid w:val="0"/>
        </w:rPr>
        <w:t>.</w:t>
      </w:r>
      <w:r>
        <w:rPr>
          <w:snapToGrid w:val="0"/>
        </w:rPr>
        <w:tab/>
        <w:t>This Division prevails over other provisions</w:t>
      </w:r>
      <w:bookmarkEnd w:id="500"/>
      <w:bookmarkEnd w:id="501"/>
    </w:p>
    <w:p>
      <w:pPr>
        <w:pStyle w:val="Subsection"/>
        <w:spacing w:before="120"/>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spacing w:before="60"/>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spacing w:before="120"/>
        <w:rPr>
          <w:snapToGrid w:val="0"/>
        </w:rPr>
      </w:pPr>
      <w:r>
        <w:rPr>
          <w:snapToGrid w:val="0"/>
        </w:rPr>
        <w:tab/>
      </w:r>
      <w:r>
        <w:rPr>
          <w:snapToGrid w:val="0"/>
        </w:rPr>
        <w:tab/>
        <w:t>and to and in relation to a permit or licence granted on such an application.</w:t>
      </w:r>
    </w:p>
    <w:p>
      <w:pPr>
        <w:pStyle w:val="Heading5"/>
        <w:spacing w:before="180"/>
        <w:rPr>
          <w:snapToGrid w:val="0"/>
        </w:rPr>
      </w:pPr>
      <w:bookmarkStart w:id="502" w:name="_Toc98947020"/>
      <w:bookmarkStart w:id="503" w:name="_Toc97630616"/>
      <w:r>
        <w:rPr>
          <w:rStyle w:val="CharSectno"/>
        </w:rPr>
        <w:t>130</w:t>
      </w:r>
      <w:r>
        <w:rPr>
          <w:snapToGrid w:val="0"/>
        </w:rPr>
        <w:t>.</w:t>
      </w:r>
      <w:r>
        <w:rPr>
          <w:snapToGrid w:val="0"/>
        </w:rPr>
        <w:tab/>
        <w:t>Cessation of operation of former provisions</w:t>
      </w:r>
      <w:bookmarkEnd w:id="502"/>
      <w:bookmarkEnd w:id="503"/>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2</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180"/>
        <w:rPr>
          <w:snapToGrid w:val="0"/>
        </w:rPr>
      </w:pPr>
      <w:bookmarkStart w:id="504" w:name="_Toc98947021"/>
      <w:bookmarkStart w:id="505" w:name="_Toc97630617"/>
      <w:r>
        <w:rPr>
          <w:rStyle w:val="CharSectno"/>
        </w:rPr>
        <w:t>131</w:t>
      </w:r>
      <w:r>
        <w:rPr>
          <w:snapToGrid w:val="0"/>
        </w:rPr>
        <w:t>.</w:t>
      </w:r>
      <w:r>
        <w:rPr>
          <w:snapToGrid w:val="0"/>
        </w:rPr>
        <w:tab/>
        <w:t>Prohibition on granting of instruments under former provisions after commencing day</w:t>
      </w:r>
      <w:bookmarkEnd w:id="504"/>
      <w:bookmarkEnd w:id="505"/>
    </w:p>
    <w:p>
      <w:pPr>
        <w:pStyle w:val="Subsection"/>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spacing w:before="180"/>
        <w:rPr>
          <w:snapToGrid w:val="0"/>
        </w:rPr>
      </w:pPr>
      <w:bookmarkStart w:id="506" w:name="_Toc98947022"/>
      <w:bookmarkStart w:id="507" w:name="_Toc97630618"/>
      <w:r>
        <w:rPr>
          <w:rStyle w:val="CharSectno"/>
        </w:rPr>
        <w:t>132</w:t>
      </w:r>
      <w:r>
        <w:rPr>
          <w:snapToGrid w:val="0"/>
        </w:rPr>
        <w:t>.</w:t>
      </w:r>
      <w:r>
        <w:rPr>
          <w:snapToGrid w:val="0"/>
        </w:rPr>
        <w:tab/>
        <w:t>Rights of holders of existing prescribed instruments</w:t>
      </w:r>
      <w:bookmarkEnd w:id="506"/>
      <w:bookmarkEnd w:id="507"/>
    </w:p>
    <w:p>
      <w:pPr>
        <w:pStyle w:val="Subsection"/>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spacing w:before="180"/>
        <w:rPr>
          <w:snapToGrid w:val="0"/>
        </w:rPr>
      </w:pPr>
      <w:bookmarkStart w:id="508" w:name="_Toc98947023"/>
      <w:bookmarkStart w:id="509" w:name="_Toc97630619"/>
      <w:r>
        <w:rPr>
          <w:rStyle w:val="CharSectno"/>
        </w:rPr>
        <w:t>133</w:t>
      </w:r>
      <w:r>
        <w:rPr>
          <w:snapToGrid w:val="0"/>
        </w:rPr>
        <w:t>.</w:t>
      </w:r>
      <w:r>
        <w:rPr>
          <w:snapToGrid w:val="0"/>
        </w:rPr>
        <w:tab/>
        <w:t>Holders of existing instruments may be granted permits under this Part</w:t>
      </w:r>
      <w:bookmarkEnd w:id="508"/>
      <w:bookmarkEnd w:id="50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rPr>
          <w:snapToGrid w:val="0"/>
        </w:rPr>
      </w:pPr>
      <w:r>
        <w:rPr>
          <w:snapToGrid w:val="0"/>
        </w:rPr>
        <w:tab/>
      </w:r>
      <w:r>
        <w:rPr>
          <w:snapToGrid w:val="0"/>
        </w:rPr>
        <w:tab/>
        <w:t>may make one or more applications for the grant of a permit.</w:t>
      </w:r>
    </w:p>
    <w:p>
      <w:pPr>
        <w:pStyle w:val="Subsection"/>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the whole or any part of the area (in this subsection referred to as</w:t>
      </w:r>
      <w:r>
        <w:t xml:space="preserve"> the</w:t>
      </w:r>
      <w:r>
        <w:rPr>
          <w:b/>
          <w:i/>
        </w:rPr>
        <w:t xml:space="preserve"> </w:t>
      </w:r>
      <w:r>
        <w:rPr>
          <w:rStyle w:val="CharDefText"/>
        </w:rPr>
        <w:t>former area</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keepNext/>
        <w:keepLines/>
        <w:rPr>
          <w:snapToGrid w:val="0"/>
        </w:rPr>
      </w:pPr>
      <w:r>
        <w:rPr>
          <w:snapToGrid w:val="0"/>
        </w:rPr>
        <w:tab/>
        <w:t>(b)</w:t>
      </w:r>
      <w:r>
        <w:rPr>
          <w:snapToGrid w:val="0"/>
        </w:rPr>
        <w:tab/>
        <w:t>shall be accompanied by a fee of $300.</w:t>
      </w:r>
    </w:p>
    <w:p>
      <w:pPr>
        <w:pStyle w:val="Subsection"/>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ind w:left="890" w:hanging="890"/>
      </w:pPr>
      <w:r>
        <w:tab/>
        <w:t>[Section 133 amended: No. 69 of 1981 s. 34.]</w:t>
      </w:r>
    </w:p>
    <w:p>
      <w:pPr>
        <w:pStyle w:val="Heading5"/>
        <w:keepNext w:val="0"/>
        <w:keepLines w:val="0"/>
        <w:rPr>
          <w:snapToGrid w:val="0"/>
        </w:rPr>
      </w:pPr>
      <w:bookmarkStart w:id="510" w:name="_Toc98947024"/>
      <w:bookmarkStart w:id="511" w:name="_Toc97630620"/>
      <w:r>
        <w:rPr>
          <w:rStyle w:val="CharSectno"/>
        </w:rPr>
        <w:t>134</w:t>
      </w:r>
      <w:r>
        <w:rPr>
          <w:snapToGrid w:val="0"/>
        </w:rPr>
        <w:t>.</w:t>
      </w:r>
      <w:r>
        <w:rPr>
          <w:snapToGrid w:val="0"/>
        </w:rPr>
        <w:tab/>
        <w:t>Transitional provisions relating to Barrow Island lease</w:t>
      </w:r>
      <w:bookmarkEnd w:id="510"/>
      <w:bookmarkEnd w:id="511"/>
    </w:p>
    <w:p>
      <w:pPr>
        <w:pStyle w:val="Subsection"/>
        <w:rPr>
          <w:snapToGrid w:val="0"/>
        </w:rPr>
      </w:pPr>
      <w:r>
        <w:rPr>
          <w:snapToGrid w:val="0"/>
        </w:rPr>
        <w:tab/>
      </w:r>
      <w:r>
        <w:rPr>
          <w:snapToGrid w:val="0"/>
        </w:rPr>
        <w:tab/>
        <w:t>Notwithstanding the repeal effected by section 3, the former provisions shall, by force of this section, be deemed to subsist and enure in their application to or in relation to the Barrow Island lease and to any renewal thereof.</w:t>
      </w:r>
    </w:p>
    <w:p>
      <w:pPr>
        <w:pStyle w:val="Heading5"/>
        <w:keepLines w:val="0"/>
        <w:rPr>
          <w:snapToGrid w:val="0"/>
        </w:rPr>
      </w:pPr>
      <w:bookmarkStart w:id="512" w:name="_Toc98947025"/>
      <w:bookmarkStart w:id="513" w:name="_Toc97630621"/>
      <w:r>
        <w:rPr>
          <w:rStyle w:val="CharSectno"/>
        </w:rPr>
        <w:t>134A</w:t>
      </w:r>
      <w:r>
        <w:rPr>
          <w:snapToGrid w:val="0"/>
        </w:rPr>
        <w:t>.</w:t>
      </w:r>
      <w:r>
        <w:rPr>
          <w:snapToGrid w:val="0"/>
        </w:rPr>
        <w:tab/>
        <w:t>Application of former provisions after coming into operation of variation agreement</w:t>
      </w:r>
      <w:bookmarkEnd w:id="512"/>
      <w:bookmarkEnd w:id="513"/>
    </w:p>
    <w:p>
      <w:pPr>
        <w:pStyle w:val="Subsection"/>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keepLines/>
        <w:ind w:left="1610" w:hanging="1610"/>
        <w:rPr>
          <w:snapToGrid w:val="0"/>
        </w:rPr>
      </w:pPr>
      <w:r>
        <w:rPr>
          <w:snapToGrid w:val="0"/>
        </w:rPr>
        <w:tab/>
        <w:t>(a)</w:t>
      </w:r>
      <w:r>
        <w:rPr>
          <w:snapToGrid w:val="0"/>
        </w:rPr>
        <w:tab/>
        <w:t xml:space="preserve">in section 4, by substituting for the definitions of </w:t>
      </w:r>
      <w:r>
        <w:rPr>
          <w:b/>
          <w:i/>
          <w:iCs/>
          <w:snapToGrid w:val="0"/>
        </w:rPr>
        <w:t>Minister</w:t>
      </w:r>
      <w:r>
        <w:rPr>
          <w:snapToGrid w:val="0"/>
        </w:rPr>
        <w:t xml:space="preserve"> and </w:t>
      </w:r>
      <w:r>
        <w:rPr>
          <w:b/>
          <w:i/>
          <w:iCs/>
          <w:snapToGrid w:val="0"/>
        </w:rPr>
        <w:t>petroleum</w:t>
      </w:r>
      <w:r>
        <w:rPr>
          <w:snapToGrid w:val="0"/>
        </w:rPr>
        <w:t xml:space="preserve"> definitions as follows —</w:t>
      </w:r>
    </w:p>
    <w:p>
      <w:pPr>
        <w:pStyle w:val="BlankOpen"/>
      </w:pPr>
    </w:p>
    <w:p>
      <w:pPr>
        <w:pStyle w:val="zDefstart"/>
        <w:ind w:left="1588" w:hanging="1021"/>
      </w:pPr>
      <w:r>
        <w:tab/>
      </w:r>
      <w:r>
        <w:rPr>
          <w:b/>
          <w:i/>
        </w:rPr>
        <w:t xml:space="preserve">Minister </w:t>
      </w:r>
      <w:r>
        <w:t xml:space="preserve">means the Minister of the Crown for the time being charged with the administration of the </w:t>
      </w:r>
      <w:r>
        <w:rPr>
          <w:i/>
        </w:rPr>
        <w:t xml:space="preserve">Petroleum </w:t>
      </w:r>
      <w:r>
        <w:rPr>
          <w:i/>
          <w:iCs/>
        </w:rPr>
        <w:t>and Geothermal Energy Resources</w:t>
      </w:r>
      <w:r>
        <w:rPr>
          <w:i/>
        </w:rPr>
        <w:t xml:space="preserve"> Act 1967</w:t>
      </w:r>
      <w:r>
        <w:t>;</w:t>
      </w:r>
    </w:p>
    <w:p>
      <w:pPr>
        <w:pStyle w:val="BlankOpen"/>
      </w:pPr>
    </w:p>
    <w:p>
      <w:pPr>
        <w:pStyle w:val="zDefstart"/>
        <w:ind w:left="1588" w:hanging="1021"/>
      </w:pPr>
      <w:r>
        <w:tab/>
      </w:r>
      <w:r>
        <w:rPr>
          <w:b/>
          <w:i/>
        </w:rPr>
        <w:t>petroleum</w:t>
      </w:r>
      <w:r>
        <w:t xml:space="preserve"> has the same meaning as it has in and for the purposes of the </w:t>
      </w:r>
      <w:r>
        <w:rPr>
          <w:i/>
        </w:rPr>
        <w:t xml:space="preserve">Petroleum </w:t>
      </w:r>
      <w:r>
        <w:rPr>
          <w:i/>
          <w:iCs/>
        </w:rPr>
        <w:t>and Geothermal Energy Resources</w:t>
      </w:r>
      <w:r>
        <w:rPr>
          <w:i/>
        </w:rPr>
        <w:t xml:space="preserve"> Act 1967</w:t>
      </w:r>
      <w:r>
        <w:t>;</w:t>
      </w:r>
    </w:p>
    <w:p>
      <w:pPr>
        <w:pStyle w:val="MiscClose"/>
      </w:pPr>
      <w:r>
        <w:t>; and</w:t>
      </w:r>
    </w:p>
    <w:p>
      <w:pPr>
        <w:pStyle w:val="Indenta"/>
        <w:keepNext/>
        <w:ind w:left="1610" w:hanging="1610"/>
        <w:rPr>
          <w:snapToGrid w:val="0"/>
        </w:rPr>
      </w:pPr>
      <w:r>
        <w:rPr>
          <w:snapToGrid w:val="0"/>
        </w:rPr>
        <w:tab/>
        <w:t>(b)</w:t>
      </w:r>
      <w:r>
        <w:rPr>
          <w:snapToGrid w:val="0"/>
        </w:rPr>
        <w:tab/>
        <w:t>by substituting for sections 71 to 75 sections as follows —</w:t>
      </w:r>
    </w:p>
    <w:p>
      <w:pPr>
        <w:pStyle w:val="zHeading5"/>
      </w:pPr>
      <w:bookmarkStart w:id="514" w:name="_Toc98947026"/>
      <w:bookmarkStart w:id="515" w:name="_Toc97630622"/>
      <w:r>
        <w:rPr>
          <w:snapToGrid w:val="0"/>
        </w:rPr>
        <w:t>71.</w:t>
      </w:r>
      <w:r>
        <w:rPr>
          <w:snapToGrid w:val="0"/>
        </w:rPr>
        <w:tab/>
        <w:t>Interpretation</w:t>
      </w:r>
      <w:bookmarkEnd w:id="514"/>
      <w:bookmarkEnd w:id="515"/>
    </w:p>
    <w:p>
      <w:pPr>
        <w:pStyle w:val="zSubsection"/>
        <w:rPr>
          <w:snapToGrid w:val="0"/>
        </w:rPr>
      </w:pPr>
      <w:r>
        <w:rPr>
          <w:snapToGrid w:val="0"/>
        </w:rPr>
        <w:tab/>
        <w:t>(1)</w:t>
      </w:r>
      <w:r>
        <w:rPr>
          <w:snapToGrid w:val="0"/>
        </w:rPr>
        <w:tab/>
        <w:t xml:space="preserve">In this section and in sections 72, 74 and 75 </w:t>
      </w:r>
      <w:r>
        <w:rPr>
          <w:b/>
          <w:i/>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b/>
          <w:i/>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bookmarkStart w:id="516" w:name="_Toc98947027"/>
      <w:bookmarkStart w:id="517" w:name="_Toc97630623"/>
      <w:r>
        <w:rPr>
          <w:snapToGrid w:val="0"/>
        </w:rPr>
        <w:t xml:space="preserve">72. </w:t>
      </w:r>
      <w:r>
        <w:rPr>
          <w:snapToGrid w:val="0"/>
        </w:rPr>
        <w:tab/>
        <w:t>Statements, information and records</w:t>
      </w:r>
      <w:bookmarkEnd w:id="516"/>
      <w:bookmarkEnd w:id="517"/>
    </w:p>
    <w:p>
      <w:pPr>
        <w:pStyle w:val="zSubsection"/>
        <w:rPr>
          <w:snapToGrid w:val="0"/>
        </w:rPr>
      </w:pPr>
      <w:r>
        <w:rPr>
          <w:snapToGrid w:val="0"/>
        </w:rPr>
        <w:tab/>
      </w:r>
      <w:r>
        <w:rPr>
          <w:snapToGrid w:val="0"/>
        </w:rPr>
        <w:tab/>
        <w:t>The lessee of the Barrow Island lease shall furnish statements, supply information and keep books and records in accordance with the royalty provisions.</w:t>
      </w:r>
    </w:p>
    <w:p>
      <w:pPr>
        <w:pStyle w:val="zHeading5"/>
        <w:spacing w:before="180"/>
        <w:rPr>
          <w:snapToGrid w:val="0"/>
        </w:rPr>
      </w:pPr>
      <w:bookmarkStart w:id="518" w:name="_Toc98947028"/>
      <w:bookmarkStart w:id="519" w:name="_Toc97630624"/>
      <w:r>
        <w:rPr>
          <w:snapToGrid w:val="0"/>
        </w:rPr>
        <w:t>73.</w:t>
      </w:r>
      <w:r>
        <w:rPr>
          <w:snapToGrid w:val="0"/>
        </w:rPr>
        <w:tab/>
        <w:t>Powers of officers</w:t>
      </w:r>
      <w:bookmarkEnd w:id="518"/>
      <w:bookmarkEnd w:id="519"/>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spacing w:before="180"/>
        <w:rPr>
          <w:snapToGrid w:val="0"/>
        </w:rPr>
      </w:pPr>
      <w:bookmarkStart w:id="520" w:name="_Toc98947029"/>
      <w:bookmarkStart w:id="521" w:name="_Toc97630625"/>
      <w:r>
        <w:rPr>
          <w:snapToGrid w:val="0"/>
        </w:rPr>
        <w:t>74.</w:t>
      </w:r>
      <w:r>
        <w:rPr>
          <w:snapToGrid w:val="0"/>
        </w:rPr>
        <w:tab/>
        <w:t>Royalty a debt due to the State</w:t>
      </w:r>
      <w:bookmarkEnd w:id="520"/>
      <w:bookmarkEnd w:id="521"/>
    </w:p>
    <w:p>
      <w:pPr>
        <w:pStyle w:val="zSubsection"/>
        <w:spacing w:before="120"/>
        <w:rPr>
          <w:snapToGrid w:val="0"/>
        </w:rPr>
      </w:pPr>
      <w:r>
        <w:rPr>
          <w:snapToGrid w:val="0"/>
        </w:rPr>
        <w:tab/>
      </w:r>
      <w:r>
        <w:rPr>
          <w:snapToGrid w:val="0"/>
        </w:rPr>
        <w:tab/>
        <w:t>The amount of royalty due under the Barrow Island lease shall, until paid or recovered under the royalty provisions, be a debt due from the lessee of the lease to the State.</w:t>
      </w:r>
    </w:p>
    <w:p>
      <w:pPr>
        <w:pStyle w:val="zHeading5"/>
        <w:spacing w:before="180"/>
        <w:rPr>
          <w:snapToGrid w:val="0"/>
        </w:rPr>
      </w:pPr>
      <w:bookmarkStart w:id="522" w:name="_Toc98947030"/>
      <w:bookmarkStart w:id="523" w:name="_Toc97630626"/>
      <w:r>
        <w:rPr>
          <w:snapToGrid w:val="0"/>
        </w:rPr>
        <w:t>75.</w:t>
      </w:r>
      <w:r>
        <w:rPr>
          <w:snapToGrid w:val="0"/>
        </w:rPr>
        <w:tab/>
        <w:t>Offences</w:t>
      </w:r>
      <w:bookmarkEnd w:id="522"/>
      <w:bookmarkEnd w:id="523"/>
    </w:p>
    <w:p>
      <w:pPr>
        <w:pStyle w:val="zSubsection"/>
        <w:spacing w:before="120"/>
        <w:rPr>
          <w:snapToGrid w:val="0"/>
        </w:rPr>
      </w:pPr>
      <w:r>
        <w:rPr>
          <w:snapToGrid w:val="0"/>
        </w:rPr>
        <w:tab/>
        <w:t>(1)</w:t>
      </w:r>
      <w:r>
        <w:rPr>
          <w:snapToGrid w:val="0"/>
        </w:rPr>
        <w:tab/>
        <w:t>Where the lessee of the Barrow Island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w:t>
      </w:r>
      <w:r>
        <w:t xml:space="preserve"> a fine of</w:t>
      </w:r>
      <w:r>
        <w:rPr>
          <w:snapToGrid w:val="0"/>
        </w:rPr>
        <w:t xml:space="preserve">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a fine of $5 000.</w:t>
      </w:r>
    </w:p>
    <w:p>
      <w:pPr>
        <w:pStyle w:val="MiscClose"/>
      </w:pPr>
      <w:r>
        <w:t>; and</w:t>
      </w:r>
    </w:p>
    <w:p>
      <w:pPr>
        <w:pStyle w:val="Indenta"/>
        <w:spacing w:before="120"/>
        <w:ind w:left="1610" w:hanging="1610"/>
        <w:rPr>
          <w:snapToGrid w:val="0"/>
        </w:rPr>
      </w:pPr>
      <w:r>
        <w:rPr>
          <w:snapToGrid w:val="0"/>
        </w:rPr>
        <w:tab/>
        <w:t>(c)</w:t>
      </w:r>
      <w:r>
        <w:rPr>
          <w:snapToGrid w:val="0"/>
        </w:rPr>
        <w:tab/>
        <w:t>by adding after section 116 a section as follows —</w:t>
      </w:r>
    </w:p>
    <w:p>
      <w:pPr>
        <w:pStyle w:val="BlankOpen"/>
        <w:rPr>
          <w:snapToGrid w:val="0"/>
        </w:rPr>
      </w:pPr>
    </w:p>
    <w:p>
      <w:pPr>
        <w:pStyle w:val="zHeading5"/>
        <w:spacing w:before="180"/>
        <w:rPr>
          <w:snapToGrid w:val="0"/>
        </w:rPr>
      </w:pPr>
      <w:bookmarkStart w:id="524" w:name="_Toc98947031"/>
      <w:bookmarkStart w:id="525" w:name="_Toc97630627"/>
      <w:r>
        <w:rPr>
          <w:snapToGrid w:val="0"/>
        </w:rPr>
        <w:t>117.</w:t>
      </w:r>
      <w:r>
        <w:rPr>
          <w:snapToGrid w:val="0"/>
        </w:rPr>
        <w:tab/>
        <w:t>Application of regulations to Barrow Island lease</w:t>
      </w:r>
      <w:bookmarkEnd w:id="524"/>
      <w:bookmarkEnd w:id="525"/>
    </w:p>
    <w:p>
      <w:pPr>
        <w:pStyle w:val="zSubsection"/>
        <w:spacing w:before="120"/>
        <w:rPr>
          <w:snapToGrid w:val="0"/>
        </w:rPr>
      </w:pPr>
      <w:r>
        <w:rPr>
          <w:snapToGrid w:val="0"/>
        </w:rPr>
        <w:tab/>
        <w:t>(1)</w:t>
      </w:r>
      <w:r>
        <w:rPr>
          <w:snapToGrid w:val="0"/>
        </w:rPr>
        <w:tab/>
        <w:t>Where the royalty provisions are inconsistent with a regulation made under section 116 the royalty provisions shall prevail to the extent of the inconsistency.</w:t>
      </w:r>
    </w:p>
    <w:p>
      <w:pPr>
        <w:pStyle w:val="zSubsection"/>
        <w:spacing w:before="120"/>
      </w:pPr>
      <w:r>
        <w:tab/>
        <w:t>(2)</w:t>
      </w:r>
      <w:r>
        <w:tab/>
        <w:t xml:space="preserve">Regulations under the </w:t>
      </w:r>
      <w:r>
        <w:rPr>
          <w:i/>
        </w:rPr>
        <w:t>Petroleum and Geothermal Energy Resources Act 1967</w:t>
      </w:r>
      <w:r>
        <w:t xml:space="preserve"> section 153(2)(la) to (lc) may apply in relation to operations referred to in paragraphs (d) and (f) of the definition of </w:t>
      </w:r>
      <w:r>
        <w:rPr>
          <w:b/>
          <w:bCs/>
          <w:i/>
          <w:iCs/>
        </w:rPr>
        <w:t>petroleum operation</w:t>
      </w:r>
      <w:r>
        <w:t xml:space="preserve"> in section 5(1) of that Act.</w:t>
      </w:r>
    </w:p>
    <w:p>
      <w:pPr>
        <w:pStyle w:val="MiscClose"/>
      </w:pPr>
      <w:r>
        <w:t>; and</w:t>
      </w:r>
    </w:p>
    <w:p>
      <w:pPr>
        <w:pStyle w:val="Indenta"/>
        <w:spacing w:before="120"/>
        <w:rPr>
          <w:snapToGrid w:val="0"/>
        </w:rPr>
      </w:pPr>
      <w:r>
        <w:rPr>
          <w:snapToGrid w:val="0"/>
        </w:rPr>
        <w:tab/>
        <w:t>(d)</w:t>
      </w:r>
      <w:r>
        <w:rPr>
          <w:snapToGrid w:val="0"/>
        </w:rPr>
        <w:tab/>
        <w:t xml:space="preserve">without affecting the character and incidents of the Barrow Island lease as a petroleum lease under the </w:t>
      </w:r>
      <w:r>
        <w:rPr>
          <w:i/>
          <w:snapToGrid w:val="0"/>
        </w:rPr>
        <w:t>Petroleum Act 1936</w:t>
      </w:r>
      <w:r>
        <w:rPr>
          <w:snapToGrid w:val="0"/>
        </w:rPr>
        <w:t xml:space="preserve"> </w:t>
      </w:r>
      <w:r>
        <w:rPr>
          <w:snapToGrid w:val="0"/>
          <w:vertAlign w:val="superscript"/>
        </w:rPr>
        <w:t>1</w:t>
      </w:r>
      <w:r>
        <w:rPr>
          <w:snapToGrid w:val="0"/>
        </w:rPr>
        <w:t xml:space="preserve"> but notwithstanding anything in that Act the following provisions apply —</w:t>
      </w:r>
    </w:p>
    <w:p>
      <w:pPr>
        <w:pStyle w:val="Indenti"/>
        <w:spacing w:before="60"/>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spacing w:before="60"/>
        <w:rPr>
          <w:snapToGrid w:val="0"/>
        </w:rPr>
      </w:pPr>
      <w:r>
        <w:rPr>
          <w:snapToGrid w:val="0"/>
        </w:rPr>
        <w:tab/>
        <w:t>(ii)</w:t>
      </w:r>
      <w:r>
        <w:rPr>
          <w:snapToGrid w:val="0"/>
        </w:rPr>
        <w:tab/>
        <w:t>with respect to the term of any renewal of the lease section 63(b) and (c) applies;</w:t>
      </w:r>
    </w:p>
    <w:p>
      <w:pPr>
        <w:pStyle w:val="Indenti"/>
        <w:spacing w:before="60"/>
        <w:rPr>
          <w:snapToGrid w:val="0"/>
        </w:rPr>
      </w:pPr>
      <w:r>
        <w:rPr>
          <w:snapToGrid w:val="0"/>
        </w:rPr>
        <w:tab/>
        <w:t>(iii)</w:t>
      </w:r>
      <w:r>
        <w:rPr>
          <w:snapToGrid w:val="0"/>
        </w:rPr>
        <w:tab/>
        <w:t>section 64(1) and (2)(d) applies with respect to the application fee to be paid;</w:t>
      </w:r>
    </w:p>
    <w:p>
      <w:pPr>
        <w:pStyle w:val="Indenti"/>
        <w:spacing w:before="60"/>
        <w:rPr>
          <w:snapToGrid w:val="0"/>
        </w:rPr>
      </w:pPr>
      <w:r>
        <w:rPr>
          <w:snapToGrid w:val="0"/>
        </w:rPr>
        <w:tab/>
        <w:t>(iv)</w:t>
      </w:r>
      <w:r>
        <w:rPr>
          <w:snapToGrid w:val="0"/>
        </w:rPr>
        <w:tab/>
        <w:t>section 65 applies with respect to the renewal;</w:t>
      </w:r>
    </w:p>
    <w:p>
      <w:pPr>
        <w:pStyle w:val="Indenti"/>
        <w:spacing w:before="60"/>
        <w:rPr>
          <w:snapToGrid w:val="0"/>
        </w:rPr>
      </w:pPr>
      <w:r>
        <w:rPr>
          <w:snapToGrid w:val="0"/>
        </w:rPr>
        <w:tab/>
        <w:t>(v)</w:t>
      </w:r>
      <w:r>
        <w:rPr>
          <w:snapToGrid w:val="0"/>
        </w:rPr>
        <w:tab/>
        <w:t>section 91A applies to and in relation to the insurance to be maintained by the lessee;</w:t>
      </w:r>
    </w:p>
    <w:p>
      <w:pPr>
        <w:pStyle w:val="Indenti"/>
        <w:spacing w:before="60"/>
        <w:rPr>
          <w:snapToGrid w:val="0"/>
        </w:rPr>
      </w:pPr>
      <w:r>
        <w:rPr>
          <w:snapToGrid w:val="0"/>
        </w:rPr>
        <w:tab/>
        <w:t>(vi)</w:t>
      </w:r>
      <w:r>
        <w:rPr>
          <w:snapToGrid w:val="0"/>
        </w:rPr>
        <w:tab/>
        <w:t>section 138 applies as to the fee payable,</w:t>
      </w:r>
    </w:p>
    <w:p>
      <w:pPr>
        <w:pStyle w:val="Indenta"/>
        <w:spacing w:before="120"/>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spacing w:before="60"/>
        <w:ind w:left="890" w:hanging="890"/>
      </w:pPr>
      <w:r>
        <w:tab/>
        <w:t>[Section 134A inserted: No. 113 of 1985 s. 7; amended: No. 90 of 1987 s. 6; No. 28 of 1994 s. 54; No. 42 of 2010 s. 56 and 62(15).]</w:t>
      </w:r>
    </w:p>
    <w:p>
      <w:pPr>
        <w:pStyle w:val="Ednotesection"/>
      </w:pPr>
      <w:r>
        <w:t>[</w:t>
      </w:r>
      <w:r>
        <w:rPr>
          <w:b/>
        </w:rPr>
        <w:t>134B.</w:t>
      </w:r>
      <w:r>
        <w:tab/>
        <w:t>Deleted: No. 28 of 1994 s. 55.]</w:t>
      </w:r>
    </w:p>
    <w:p>
      <w:pPr>
        <w:pStyle w:val="Heading5"/>
        <w:rPr>
          <w:snapToGrid w:val="0"/>
        </w:rPr>
      </w:pPr>
      <w:bookmarkStart w:id="526" w:name="_Toc98947032"/>
      <w:bookmarkStart w:id="527" w:name="_Toc97630628"/>
      <w:r>
        <w:rPr>
          <w:rStyle w:val="CharSectno"/>
        </w:rPr>
        <w:t>135</w:t>
      </w:r>
      <w:r>
        <w:rPr>
          <w:snapToGrid w:val="0"/>
        </w:rPr>
        <w:t>.</w:t>
      </w:r>
      <w:r>
        <w:rPr>
          <w:snapToGrid w:val="0"/>
        </w:rPr>
        <w:tab/>
        <w:t>Certain portions of blocks to be blocks</w:t>
      </w:r>
      <w:bookmarkEnd w:id="526"/>
      <w:bookmarkEnd w:id="527"/>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 and</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No. 12 of 1990 s. 102; No. 78 of 1990 s. 7.]</w:t>
      </w:r>
    </w:p>
    <w:p>
      <w:pPr>
        <w:pStyle w:val="Heading5"/>
        <w:rPr>
          <w:snapToGrid w:val="0"/>
        </w:rPr>
      </w:pPr>
      <w:bookmarkStart w:id="528" w:name="_Toc98947033"/>
      <w:bookmarkStart w:id="529" w:name="_Toc97630629"/>
      <w:r>
        <w:rPr>
          <w:rStyle w:val="CharSectno"/>
        </w:rPr>
        <w:t>136</w:t>
      </w:r>
      <w:r>
        <w:rPr>
          <w:snapToGrid w:val="0"/>
        </w:rPr>
        <w:t>.</w:t>
      </w:r>
      <w:r>
        <w:rPr>
          <w:snapToGrid w:val="0"/>
        </w:rPr>
        <w:tab/>
        <w:t>Certain petroleum exploration or recovery activities not prohibited by s. 29 or 49</w:t>
      </w:r>
      <w:bookmarkEnd w:id="528"/>
      <w:bookmarkEnd w:id="529"/>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section 49 for the lessee to carry on operations for the recovery of petroleum in the State before the coming into operation of clause 6 of the variation agreement in accordance with the Barrow Island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No. 113 of 1985 s. 8.]</w:t>
      </w:r>
    </w:p>
    <w:p>
      <w:pPr>
        <w:pStyle w:val="Heading3"/>
      </w:pPr>
      <w:bookmarkStart w:id="530" w:name="_Toc97629739"/>
      <w:bookmarkStart w:id="531" w:name="_Toc97630092"/>
      <w:bookmarkStart w:id="532" w:name="_Toc97630630"/>
      <w:bookmarkStart w:id="533" w:name="_Toc98748545"/>
      <w:bookmarkStart w:id="534" w:name="_Toc98766185"/>
      <w:bookmarkStart w:id="535" w:name="_Toc98834452"/>
      <w:bookmarkStart w:id="536" w:name="_Toc98947034"/>
      <w:r>
        <w:rPr>
          <w:rStyle w:val="CharDivNo"/>
        </w:rPr>
        <w:t>Division 7</w:t>
      </w:r>
      <w:r>
        <w:rPr>
          <w:snapToGrid w:val="0"/>
        </w:rPr>
        <w:t> — </w:t>
      </w:r>
      <w:r>
        <w:rPr>
          <w:rStyle w:val="CharDivText"/>
        </w:rPr>
        <w:t>Fees and royalties</w:t>
      </w:r>
      <w:bookmarkEnd w:id="530"/>
      <w:bookmarkEnd w:id="531"/>
      <w:bookmarkEnd w:id="532"/>
      <w:bookmarkEnd w:id="533"/>
      <w:bookmarkEnd w:id="534"/>
      <w:bookmarkEnd w:id="535"/>
      <w:bookmarkEnd w:id="536"/>
    </w:p>
    <w:p>
      <w:pPr>
        <w:pStyle w:val="Heading5"/>
        <w:rPr>
          <w:snapToGrid w:val="0"/>
        </w:rPr>
      </w:pPr>
      <w:bookmarkStart w:id="537" w:name="_Toc98947035"/>
      <w:bookmarkStart w:id="538" w:name="_Toc97630631"/>
      <w:r>
        <w:rPr>
          <w:rStyle w:val="CharSectno"/>
        </w:rPr>
        <w:t>137</w:t>
      </w:r>
      <w:r>
        <w:rPr>
          <w:snapToGrid w:val="0"/>
        </w:rPr>
        <w:t>.</w:t>
      </w:r>
      <w:r>
        <w:rPr>
          <w:snapToGrid w:val="0"/>
        </w:rPr>
        <w:tab/>
        <w:t>Permit and drilling reservation fees</w:t>
      </w:r>
      <w:bookmarkEnd w:id="537"/>
      <w:bookmarkEnd w:id="538"/>
    </w:p>
    <w:p>
      <w:pPr>
        <w:pStyle w:val="Subsection"/>
        <w:spacing w:before="180"/>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spacing w:before="100"/>
        <w:rPr>
          <w:snapToGrid w:val="0"/>
        </w:rPr>
      </w:pPr>
      <w:r>
        <w:rPr>
          <w:snapToGrid w:val="0"/>
        </w:rPr>
        <w:tab/>
      </w:r>
      <w:r>
        <w:rPr>
          <w:snapToGrid w:val="0"/>
        </w:rPr>
        <w:tab/>
        <w:t>whichever is the greater.</w:t>
      </w:r>
    </w:p>
    <w:p>
      <w:pPr>
        <w:pStyle w:val="Footnotesection"/>
        <w:spacing w:before="80"/>
        <w:ind w:left="890" w:hanging="890"/>
      </w:pPr>
      <w:r>
        <w:tab/>
        <w:t>[Section 137 amended: No. 69 of 1981 s. 34; No. 12 of 1990 s. 103; No. 78 of 1990 s. 7.]</w:t>
      </w:r>
    </w:p>
    <w:p>
      <w:pPr>
        <w:pStyle w:val="Heading5"/>
        <w:spacing w:before="180"/>
        <w:rPr>
          <w:snapToGrid w:val="0"/>
        </w:rPr>
      </w:pPr>
      <w:bookmarkStart w:id="539" w:name="_Toc98947036"/>
      <w:bookmarkStart w:id="540" w:name="_Toc97630632"/>
      <w:r>
        <w:rPr>
          <w:rStyle w:val="CharSectno"/>
        </w:rPr>
        <w:t>137A</w:t>
      </w:r>
      <w:r>
        <w:rPr>
          <w:snapToGrid w:val="0"/>
        </w:rPr>
        <w:t>.</w:t>
      </w:r>
      <w:r>
        <w:rPr>
          <w:snapToGrid w:val="0"/>
        </w:rPr>
        <w:tab/>
        <w:t>Lease fees</w:t>
      </w:r>
      <w:bookmarkEnd w:id="539"/>
      <w:bookmarkEnd w:id="540"/>
    </w:p>
    <w:p>
      <w:pPr>
        <w:pStyle w:val="Subsection"/>
        <w:spacing w:before="12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spacing w:before="80"/>
        <w:ind w:left="890" w:hanging="890"/>
      </w:pPr>
      <w:r>
        <w:tab/>
        <w:t>[Section 137A inserted: No. 12 of 1990 s. 104.]</w:t>
      </w:r>
    </w:p>
    <w:p>
      <w:pPr>
        <w:pStyle w:val="Heading5"/>
        <w:spacing w:before="180"/>
        <w:rPr>
          <w:snapToGrid w:val="0"/>
        </w:rPr>
      </w:pPr>
      <w:bookmarkStart w:id="541" w:name="_Toc98947037"/>
      <w:bookmarkStart w:id="542" w:name="_Toc97630633"/>
      <w:r>
        <w:rPr>
          <w:rStyle w:val="CharSectno"/>
        </w:rPr>
        <w:t>138</w:t>
      </w:r>
      <w:r>
        <w:rPr>
          <w:snapToGrid w:val="0"/>
        </w:rPr>
        <w:t>.</w:t>
      </w:r>
      <w:r>
        <w:rPr>
          <w:snapToGrid w:val="0"/>
        </w:rPr>
        <w:tab/>
        <w:t>Licence fees</w:t>
      </w:r>
      <w:bookmarkEnd w:id="541"/>
      <w:bookmarkEnd w:id="542"/>
    </w:p>
    <w:p>
      <w:pPr>
        <w:pStyle w:val="Subsection"/>
        <w:spacing w:before="120"/>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spacing w:before="120"/>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spacing w:before="120"/>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spacing w:before="80"/>
        <w:ind w:left="890" w:hanging="890"/>
      </w:pPr>
      <w:r>
        <w:tab/>
        <w:t>[Section 138 amended: No. 69 of 1981 s. 34; No. 12 of 1990 s. 105; No. 28 of 1994 s. 56.]</w:t>
      </w:r>
    </w:p>
    <w:p>
      <w:pPr>
        <w:pStyle w:val="Heading5"/>
        <w:spacing w:before="180"/>
        <w:rPr>
          <w:snapToGrid w:val="0"/>
        </w:rPr>
      </w:pPr>
      <w:bookmarkStart w:id="543" w:name="_Toc98947038"/>
      <w:bookmarkStart w:id="544" w:name="_Toc97630634"/>
      <w:r>
        <w:rPr>
          <w:rStyle w:val="CharSectno"/>
        </w:rPr>
        <w:t>139</w:t>
      </w:r>
      <w:r>
        <w:rPr>
          <w:snapToGrid w:val="0"/>
        </w:rPr>
        <w:t>.</w:t>
      </w:r>
      <w:r>
        <w:rPr>
          <w:snapToGrid w:val="0"/>
        </w:rPr>
        <w:tab/>
        <w:t>Time of payment of fees</w:t>
      </w:r>
      <w:bookmarkEnd w:id="543"/>
      <w:bookmarkEnd w:id="544"/>
    </w:p>
    <w:p>
      <w:pPr>
        <w:pStyle w:val="Subsection"/>
        <w:spacing w:before="120"/>
        <w:rPr>
          <w:snapToGrid w:val="0"/>
        </w:rPr>
      </w:pPr>
      <w:r>
        <w:rPr>
          <w:snapToGrid w:val="0"/>
        </w:rPr>
        <w:tab/>
      </w:r>
      <w:r>
        <w:rPr>
          <w:snapToGrid w:val="0"/>
        </w:rPr>
        <w:tab/>
        <w:t>A fee referred to in section 137, 137A or 138 is payable within one month after —</w:t>
      </w:r>
    </w:p>
    <w:p>
      <w:pPr>
        <w:pStyle w:val="Indenta"/>
        <w:spacing w:before="60"/>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No. 12 of 1990 s. 106; No. 28 of 1994 s. 57.]</w:t>
      </w:r>
    </w:p>
    <w:p>
      <w:pPr>
        <w:pStyle w:val="Heading5"/>
        <w:rPr>
          <w:snapToGrid w:val="0"/>
        </w:rPr>
      </w:pPr>
      <w:bookmarkStart w:id="545" w:name="_Toc98947039"/>
      <w:bookmarkStart w:id="546" w:name="_Toc97630635"/>
      <w:r>
        <w:rPr>
          <w:rStyle w:val="CharSectno"/>
        </w:rPr>
        <w:t>140</w:t>
      </w:r>
      <w:r>
        <w:rPr>
          <w:snapToGrid w:val="0"/>
        </w:rPr>
        <w:t>.</w:t>
      </w:r>
      <w:r>
        <w:rPr>
          <w:snapToGrid w:val="0"/>
        </w:rPr>
        <w:tab/>
        <w:t>Penalty for late payment of fees</w:t>
      </w:r>
      <w:bookmarkEnd w:id="545"/>
      <w:bookmarkEnd w:id="546"/>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No. 12 of 1990 s. 107; No. 28 of 1994 s. 58.]</w:t>
      </w:r>
    </w:p>
    <w:p>
      <w:pPr>
        <w:pStyle w:val="Heading5"/>
        <w:rPr>
          <w:snapToGrid w:val="0"/>
        </w:rPr>
      </w:pPr>
      <w:bookmarkStart w:id="547" w:name="_Toc98947040"/>
      <w:bookmarkStart w:id="548" w:name="_Toc97630636"/>
      <w:r>
        <w:rPr>
          <w:rStyle w:val="CharSectno"/>
        </w:rPr>
        <w:t>141</w:t>
      </w:r>
      <w:r>
        <w:rPr>
          <w:snapToGrid w:val="0"/>
        </w:rPr>
        <w:t>.</w:t>
      </w:r>
      <w:r>
        <w:rPr>
          <w:snapToGrid w:val="0"/>
        </w:rPr>
        <w:tab/>
        <w:t>Fees and penalties debts due to Crown</w:t>
      </w:r>
      <w:bookmarkEnd w:id="547"/>
      <w:bookmarkEnd w:id="548"/>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No. 12 of 1990 s. 108; No. 78 of 1990 s. 7.]</w:t>
      </w:r>
    </w:p>
    <w:p>
      <w:pPr>
        <w:pStyle w:val="Heading5"/>
        <w:rPr>
          <w:snapToGrid w:val="0"/>
        </w:rPr>
      </w:pPr>
      <w:bookmarkStart w:id="549" w:name="_Toc98947041"/>
      <w:bookmarkStart w:id="550" w:name="_Toc97630637"/>
      <w:r>
        <w:rPr>
          <w:rStyle w:val="CharSectno"/>
        </w:rPr>
        <w:t>142</w:t>
      </w:r>
      <w:r>
        <w:rPr>
          <w:snapToGrid w:val="0"/>
        </w:rPr>
        <w:t>.</w:t>
      </w:r>
      <w:r>
        <w:rPr>
          <w:snapToGrid w:val="0"/>
        </w:rPr>
        <w:tab/>
        <w:t>Royalty</w:t>
      </w:r>
      <w:bookmarkEnd w:id="549"/>
      <w:bookmarkEnd w:id="550"/>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No. 12 of 1990 s. 109; No. 78 of 1990 s. 7; No. 11 of 1994 s. 5; No. 35 of 2007 s. 75.]</w:t>
      </w:r>
    </w:p>
    <w:p>
      <w:pPr>
        <w:pStyle w:val="Heading5"/>
        <w:rPr>
          <w:snapToGrid w:val="0"/>
        </w:rPr>
      </w:pPr>
      <w:bookmarkStart w:id="551" w:name="_Toc98947042"/>
      <w:bookmarkStart w:id="552" w:name="_Toc97630638"/>
      <w:r>
        <w:rPr>
          <w:rStyle w:val="CharSectno"/>
        </w:rPr>
        <w:t>143</w:t>
      </w:r>
      <w:r>
        <w:rPr>
          <w:snapToGrid w:val="0"/>
        </w:rPr>
        <w:t>.</w:t>
      </w:r>
      <w:r>
        <w:rPr>
          <w:snapToGrid w:val="0"/>
        </w:rPr>
        <w:tab/>
        <w:t>Reduction of royalty in certain cases</w:t>
      </w:r>
      <w:bookmarkEnd w:id="551"/>
      <w:bookmarkEnd w:id="552"/>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No. 35 of 2007 s. 76.]</w:t>
      </w:r>
    </w:p>
    <w:p>
      <w:pPr>
        <w:pStyle w:val="Heading5"/>
        <w:rPr>
          <w:snapToGrid w:val="0"/>
        </w:rPr>
      </w:pPr>
      <w:bookmarkStart w:id="553" w:name="_Toc98947043"/>
      <w:bookmarkStart w:id="554" w:name="_Toc97630639"/>
      <w:r>
        <w:rPr>
          <w:rStyle w:val="CharSectno"/>
        </w:rPr>
        <w:t>144</w:t>
      </w:r>
      <w:r>
        <w:rPr>
          <w:snapToGrid w:val="0"/>
        </w:rPr>
        <w:t>.</w:t>
      </w:r>
      <w:r>
        <w:rPr>
          <w:snapToGrid w:val="0"/>
        </w:rPr>
        <w:tab/>
        <w:t>Royalty not payable in certain cases</w:t>
      </w:r>
      <w:bookmarkEnd w:id="553"/>
      <w:bookmarkEnd w:id="554"/>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spacing w:before="60"/>
      </w:pPr>
      <w:r>
        <w:tab/>
        <w:t>(c)</w:t>
      </w:r>
      <w:r>
        <w:tab/>
        <w:t xml:space="preserve">is not payable in respect of — </w:t>
      </w:r>
    </w:p>
    <w:p>
      <w:pPr>
        <w:pStyle w:val="Indenti"/>
        <w:spacing w:before="60"/>
      </w:pPr>
      <w:r>
        <w:tab/>
        <w:t>(i)</w:t>
      </w:r>
      <w:r>
        <w:tab/>
        <w:t>petroleum that, with the approval of the Minister, is flared or vented in connection with operations for the recovery of petroleum; or</w:t>
      </w:r>
    </w:p>
    <w:p>
      <w:pPr>
        <w:pStyle w:val="Indenti"/>
        <w:spacing w:before="60"/>
      </w:pPr>
      <w:r>
        <w:tab/>
        <w:t>(ii)</w:t>
      </w:r>
      <w:r>
        <w:tab/>
        <w:t>geothermal energy that, with the approval of the Minister, is dissipated in connection with operations for the recovery of geothermal energy.</w:t>
      </w:r>
    </w:p>
    <w:p>
      <w:pPr>
        <w:pStyle w:val="Subsection"/>
        <w:spacing w:before="140"/>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spacing w:before="140"/>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spacing w:before="140"/>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spacing w:before="100"/>
        <w:ind w:left="890" w:hanging="890"/>
      </w:pPr>
      <w:r>
        <w:tab/>
        <w:t>[Section 144 amended: No. 12 of 1990 s. 110; No. 78 of 1990 s. 7; No. 28 of 1994 s. 59; No. 35 of 2007 s. 77.]</w:t>
      </w:r>
    </w:p>
    <w:p>
      <w:pPr>
        <w:pStyle w:val="Heading5"/>
        <w:rPr>
          <w:snapToGrid w:val="0"/>
        </w:rPr>
      </w:pPr>
      <w:bookmarkStart w:id="555" w:name="_Toc98947044"/>
      <w:bookmarkStart w:id="556" w:name="_Toc97630640"/>
      <w:r>
        <w:rPr>
          <w:rStyle w:val="CharSectno"/>
        </w:rPr>
        <w:t>144A</w:t>
      </w:r>
      <w:r>
        <w:rPr>
          <w:snapToGrid w:val="0"/>
        </w:rPr>
        <w:t>.</w:t>
      </w:r>
      <w:r>
        <w:rPr>
          <w:snapToGrid w:val="0"/>
        </w:rPr>
        <w:tab/>
        <w:t>Royalty value</w:t>
      </w:r>
      <w:bookmarkEnd w:id="555"/>
      <w:bookmarkEnd w:id="556"/>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ind w:left="890" w:hanging="890"/>
      </w:pPr>
      <w:r>
        <w:tab/>
        <w:t>[Section 144A inserted: No. 11 of 1994 s. 6; amended: No. 35 of 2007 s. 78.]</w:t>
      </w:r>
    </w:p>
    <w:p>
      <w:pPr>
        <w:pStyle w:val="Heading5"/>
        <w:rPr>
          <w:snapToGrid w:val="0"/>
        </w:rPr>
      </w:pPr>
      <w:bookmarkStart w:id="557" w:name="_Toc98947045"/>
      <w:bookmarkStart w:id="558" w:name="_Toc97630641"/>
      <w:r>
        <w:rPr>
          <w:rStyle w:val="CharSectno"/>
        </w:rPr>
        <w:t>145</w:t>
      </w:r>
      <w:r>
        <w:rPr>
          <w:snapToGrid w:val="0"/>
        </w:rPr>
        <w:t>.</w:t>
      </w:r>
      <w:r>
        <w:rPr>
          <w:snapToGrid w:val="0"/>
        </w:rPr>
        <w:tab/>
        <w:t>Ascertainment of value of petroleum or geothermal energy</w:t>
      </w:r>
      <w:bookmarkEnd w:id="557"/>
      <w:bookmarkEnd w:id="558"/>
    </w:p>
    <w:p>
      <w:pPr>
        <w:pStyle w:val="Subsection"/>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No. 12 of 1990 s. 111; No. 78 of 1990 s. 7; No. 35 of 2007 s. 79.]</w:t>
      </w:r>
    </w:p>
    <w:p>
      <w:pPr>
        <w:pStyle w:val="Heading5"/>
        <w:rPr>
          <w:snapToGrid w:val="0"/>
        </w:rPr>
      </w:pPr>
      <w:bookmarkStart w:id="559" w:name="_Toc98947046"/>
      <w:bookmarkStart w:id="560" w:name="_Toc97630642"/>
      <w:r>
        <w:rPr>
          <w:rStyle w:val="CharSectno"/>
        </w:rPr>
        <w:t>146</w:t>
      </w:r>
      <w:r>
        <w:rPr>
          <w:snapToGrid w:val="0"/>
        </w:rPr>
        <w:t>.</w:t>
      </w:r>
      <w:r>
        <w:rPr>
          <w:snapToGrid w:val="0"/>
        </w:rPr>
        <w:tab/>
        <w:t>Ascertainment of well</w:t>
      </w:r>
      <w:r>
        <w:rPr>
          <w:snapToGrid w:val="0"/>
        </w:rPr>
        <w:noBreakHyphen/>
        <w:t>head</w:t>
      </w:r>
      <w:bookmarkEnd w:id="559"/>
      <w:bookmarkEnd w:id="560"/>
    </w:p>
    <w:p>
      <w:pPr>
        <w:pStyle w:val="Subsection"/>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No. 12 of 1990 s. 112; No. 78 of 1990 s. 7; No. 35 of 2007 s. 80.]</w:t>
      </w:r>
    </w:p>
    <w:p>
      <w:pPr>
        <w:pStyle w:val="Heading5"/>
        <w:rPr>
          <w:snapToGrid w:val="0"/>
        </w:rPr>
      </w:pPr>
      <w:bookmarkStart w:id="561" w:name="_Toc98947047"/>
      <w:bookmarkStart w:id="562" w:name="_Toc97630643"/>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561"/>
      <w:bookmarkEnd w:id="562"/>
    </w:p>
    <w:p>
      <w:pPr>
        <w:pStyle w:val="Subsection"/>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ind w:left="890" w:hanging="890"/>
      </w:pPr>
      <w:r>
        <w:tab/>
        <w:t>[Section 147 amended: No. 12 of 1990 s. 113; No. 78 of 1990 s. 7; No. 35 of 2007 s. 81.]</w:t>
      </w:r>
    </w:p>
    <w:p>
      <w:pPr>
        <w:pStyle w:val="Heading5"/>
        <w:rPr>
          <w:snapToGrid w:val="0"/>
        </w:rPr>
      </w:pPr>
      <w:bookmarkStart w:id="563" w:name="_Toc98947048"/>
      <w:bookmarkStart w:id="564" w:name="_Toc97630644"/>
      <w:r>
        <w:rPr>
          <w:rStyle w:val="CharSectno"/>
        </w:rPr>
        <w:t>148</w:t>
      </w:r>
      <w:r>
        <w:rPr>
          <w:snapToGrid w:val="0"/>
        </w:rPr>
        <w:t>.</w:t>
      </w:r>
      <w:r>
        <w:rPr>
          <w:snapToGrid w:val="0"/>
        </w:rPr>
        <w:tab/>
        <w:t>Payment of royalty and penalty for late payment</w:t>
      </w:r>
      <w:bookmarkEnd w:id="563"/>
      <w:bookmarkEnd w:id="564"/>
    </w:p>
    <w:p>
      <w:pPr>
        <w:pStyle w:val="Subsection"/>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ind w:left="890" w:hanging="890"/>
      </w:pPr>
      <w:r>
        <w:tab/>
        <w:t>[Section 148 amended: No. 12 of 1990 s. 114; No. 78 of 1990 s. 7; No. 28 of 1994 s. 60; No. 35 of 2007 s. 82.]</w:t>
      </w:r>
    </w:p>
    <w:p>
      <w:pPr>
        <w:pStyle w:val="Heading5"/>
        <w:rPr>
          <w:snapToGrid w:val="0"/>
        </w:rPr>
      </w:pPr>
      <w:bookmarkStart w:id="565" w:name="_Toc98947049"/>
      <w:bookmarkStart w:id="566" w:name="_Toc97630645"/>
      <w:r>
        <w:rPr>
          <w:rStyle w:val="CharSectno"/>
        </w:rPr>
        <w:t>149</w:t>
      </w:r>
      <w:r>
        <w:rPr>
          <w:snapToGrid w:val="0"/>
        </w:rPr>
        <w:t>.</w:t>
      </w:r>
      <w:r>
        <w:rPr>
          <w:snapToGrid w:val="0"/>
        </w:rPr>
        <w:tab/>
        <w:t>Royalty or late payment amount is debt due to Crown</w:t>
      </w:r>
      <w:bookmarkEnd w:id="565"/>
      <w:bookmarkEnd w:id="566"/>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No. 12 of 1990 s. 115; No. 78 of 1990 s. 7.]</w:t>
      </w:r>
    </w:p>
    <w:p>
      <w:pPr>
        <w:pStyle w:val="Heading2"/>
        <w:rPr>
          <w:del w:id="567" w:author="Master Repository Process" w:date="2022-03-30T12:17:00Z"/>
        </w:rPr>
      </w:pPr>
      <w:ins w:id="568" w:author="Master Repository Process" w:date="2022-03-30T12:17:00Z">
        <w:r>
          <w:t>[</w:t>
        </w:r>
      </w:ins>
      <w:bookmarkStart w:id="569" w:name="_Toc97629755"/>
      <w:bookmarkStart w:id="570" w:name="_Toc97630108"/>
      <w:bookmarkStart w:id="571" w:name="_Toc97630646"/>
      <w:r>
        <w:t>Part</w:t>
      </w:r>
      <w:del w:id="572" w:author="Master Repository Process" w:date="2022-03-30T12:17:00Z">
        <w:r>
          <w:rPr>
            <w:rStyle w:val="CharPartNo"/>
          </w:rPr>
          <w:delText xml:space="preserve"> </w:delText>
        </w:r>
      </w:del>
      <w:ins w:id="573" w:author="Master Repository Process" w:date="2022-03-30T12:17:00Z">
        <w:r>
          <w:t> </w:t>
        </w:r>
      </w:ins>
      <w:r>
        <w:t>IIIA</w:t>
      </w:r>
      <w:del w:id="574" w:author="Master Repository Process" w:date="2022-03-30T12:17:00Z">
        <w:r>
          <w:rPr>
            <w:rStyle w:val="CharDivNo"/>
          </w:rPr>
          <w:delText> </w:delText>
        </w:r>
        <w:r>
          <w:delText>—</w:delText>
        </w:r>
        <w:r>
          <w:rPr>
            <w:rStyle w:val="CharDivText"/>
          </w:rPr>
          <w:delText> </w:delText>
        </w:r>
        <w:r>
          <w:rPr>
            <w:rStyle w:val="CharPartText"/>
          </w:rPr>
          <w:delText>Occupational safety and health</w:delText>
        </w:r>
        <w:bookmarkEnd w:id="569"/>
        <w:bookmarkEnd w:id="570"/>
        <w:bookmarkEnd w:id="571"/>
      </w:del>
    </w:p>
    <w:p>
      <w:pPr>
        <w:pStyle w:val="Footnoteheading"/>
        <w:rPr>
          <w:del w:id="575" w:author="Master Repository Process" w:date="2022-03-30T12:17:00Z"/>
        </w:rPr>
      </w:pPr>
      <w:del w:id="576" w:author="Master Repository Process" w:date="2022-03-30T12:17:00Z">
        <w:r>
          <w:tab/>
          <w:delText>[Heading inserted</w:delText>
        </w:r>
      </w:del>
      <w:ins w:id="577" w:author="Master Repository Process" w:date="2022-03-30T12:17:00Z">
        <w:r>
          <w:t xml:space="preserve"> (s. 149A</w:t>
        </w:r>
        <w:r>
          <w:noBreakHyphen/>
          <w:t>149C) deleted</w:t>
        </w:r>
      </w:ins>
      <w:r>
        <w:t>: No.</w:t>
      </w:r>
      <w:del w:id="578" w:author="Master Repository Process" w:date="2022-03-30T12:17:00Z">
        <w:r>
          <w:delText xml:space="preserve"> 13</w:delText>
        </w:r>
      </w:del>
      <w:ins w:id="579" w:author="Master Repository Process" w:date="2022-03-30T12:17:00Z">
        <w:r>
          <w:t> 36</w:t>
        </w:r>
      </w:ins>
      <w:r>
        <w:t xml:space="preserve"> of </w:t>
      </w:r>
      <w:del w:id="580" w:author="Master Repository Process" w:date="2022-03-30T12:17:00Z">
        <w:r>
          <w:delText>2005 s. 14.]</w:delText>
        </w:r>
      </w:del>
    </w:p>
    <w:p>
      <w:pPr>
        <w:pStyle w:val="Heading5"/>
        <w:spacing w:before="240"/>
        <w:rPr>
          <w:del w:id="581" w:author="Master Repository Process" w:date="2022-03-30T12:17:00Z"/>
        </w:rPr>
      </w:pPr>
      <w:bookmarkStart w:id="582" w:name="_Toc97630647"/>
      <w:del w:id="583" w:author="Master Repository Process" w:date="2022-03-30T12:17:00Z">
        <w:r>
          <w:rPr>
            <w:rStyle w:val="CharSectno"/>
          </w:rPr>
          <w:delText>149A</w:delText>
        </w:r>
        <w:r>
          <w:delText>.</w:delText>
        </w:r>
        <w:r>
          <w:tab/>
          <w:delText>Occupational safety and health (Sch. 1)</w:delText>
        </w:r>
        <w:bookmarkEnd w:id="582"/>
      </w:del>
    </w:p>
    <w:p>
      <w:pPr>
        <w:pStyle w:val="Subsection"/>
        <w:spacing w:before="180"/>
        <w:rPr>
          <w:del w:id="584" w:author="Master Repository Process" w:date="2022-03-30T12:17:00Z"/>
        </w:rPr>
      </w:pPr>
      <w:del w:id="585" w:author="Master Repository Process" w:date="2022-03-30T12:17:00Z">
        <w:r>
          <w:tab/>
        </w:r>
        <w:r>
          <w:tab/>
          <w:delText>Schedule 1 has effect.</w:delText>
        </w:r>
      </w:del>
    </w:p>
    <w:p>
      <w:pPr>
        <w:pStyle w:val="Footnotesection"/>
        <w:ind w:left="890" w:hanging="890"/>
        <w:rPr>
          <w:del w:id="586" w:author="Master Repository Process" w:date="2022-03-30T12:17:00Z"/>
        </w:rPr>
      </w:pPr>
      <w:del w:id="587" w:author="Master Repository Process" w:date="2022-03-30T12:17:00Z">
        <w:r>
          <w:tab/>
          <w:delText>[Section 149A inserted: No. 13 of 2005</w:delText>
        </w:r>
      </w:del>
      <w:ins w:id="588" w:author="Master Repository Process" w:date="2022-03-30T12:17:00Z">
        <w:r>
          <w:t>2020</w:t>
        </w:r>
      </w:ins>
      <w:r>
        <w:t xml:space="preserve"> s. </w:t>
      </w:r>
      <w:del w:id="589" w:author="Master Repository Process" w:date="2022-03-30T12:17:00Z">
        <w:r>
          <w:delText>14.]</w:delText>
        </w:r>
      </w:del>
    </w:p>
    <w:p>
      <w:pPr>
        <w:pStyle w:val="Heading5"/>
        <w:spacing w:before="240"/>
        <w:rPr>
          <w:del w:id="590" w:author="Master Repository Process" w:date="2022-03-30T12:17:00Z"/>
        </w:rPr>
      </w:pPr>
      <w:bookmarkStart w:id="591" w:name="_Toc97630648"/>
      <w:del w:id="592" w:author="Master Repository Process" w:date="2022-03-30T12:17:00Z">
        <w:r>
          <w:rPr>
            <w:rStyle w:val="CharSectno"/>
          </w:rPr>
          <w:delText>149B</w:delText>
        </w:r>
        <w:r>
          <w:delText>.</w:delText>
        </w:r>
        <w:r>
          <w:tab/>
          <w:delText>Regulations relating to occupational safety and health</w:delText>
        </w:r>
        <w:bookmarkEnd w:id="591"/>
      </w:del>
    </w:p>
    <w:p>
      <w:pPr>
        <w:pStyle w:val="Subsection"/>
        <w:spacing w:before="180"/>
        <w:rPr>
          <w:del w:id="593" w:author="Master Repository Process" w:date="2022-03-30T12:17:00Z"/>
        </w:rPr>
      </w:pPr>
      <w:del w:id="594" w:author="Master Repository Process" w:date="2022-03-30T12:17:00Z">
        <w:r>
          <w:tab/>
          <w:delText>(1)</w:delText>
        </w:r>
        <w:r>
          <w:tab/>
          <w:delText xml:space="preserve">The regulations may make provision in relation to — </w:delText>
        </w:r>
      </w:del>
    </w:p>
    <w:p>
      <w:pPr>
        <w:pStyle w:val="Indenta"/>
        <w:rPr>
          <w:del w:id="595" w:author="Master Repository Process" w:date="2022-03-30T12:17:00Z"/>
        </w:rPr>
      </w:pPr>
      <w:del w:id="596" w:author="Master Repository Process" w:date="2022-03-30T12:17:00Z">
        <w:r>
          <w:tab/>
          <w:delText>(a)</w:delText>
        </w:r>
        <w:r>
          <w:tab/>
          <w:delText xml:space="preserve">the occupational safety and health of a person engaged in a petroleum operation or geothermal energy operation; or </w:delText>
        </w:r>
      </w:del>
    </w:p>
    <w:p>
      <w:pPr>
        <w:pStyle w:val="Indenta"/>
        <w:rPr>
          <w:del w:id="597" w:author="Master Repository Process" w:date="2022-03-30T12:17:00Z"/>
        </w:rPr>
      </w:pPr>
      <w:del w:id="598" w:author="Master Repository Process" w:date="2022-03-30T12:17:00Z">
        <w:r>
          <w:tab/>
          <w:delText>(b)</w:delText>
        </w:r>
        <w:r>
          <w:tab/>
          <w:delText>the safety and health of any other protected person.</w:delText>
        </w:r>
      </w:del>
    </w:p>
    <w:p>
      <w:pPr>
        <w:pStyle w:val="Subsection"/>
        <w:spacing w:before="180"/>
        <w:rPr>
          <w:del w:id="599" w:author="Master Repository Process" w:date="2022-03-30T12:17:00Z"/>
        </w:rPr>
      </w:pPr>
      <w:del w:id="600" w:author="Master Repository Process" w:date="2022-03-30T12:17:00Z">
        <w:r>
          <w:tab/>
          <w:delText>(2)</w:delText>
        </w:r>
        <w:r>
          <w:tab/>
          <w:delText xml:space="preserve">Without limiting subsection (1), regulations for the purpose of that subsection may — </w:delText>
        </w:r>
      </w:del>
    </w:p>
    <w:p>
      <w:pPr>
        <w:pStyle w:val="Indenta"/>
        <w:rPr>
          <w:del w:id="601" w:author="Master Repository Process" w:date="2022-03-30T12:17:00Z"/>
        </w:rPr>
      </w:pPr>
      <w:del w:id="602" w:author="Master Repository Process" w:date="2022-03-30T12:17:00Z">
        <w:r>
          <w:tab/>
          <w:delText>(a)</w:delText>
        </w:r>
        <w:r>
          <w:tab/>
          <w:delText xml:space="preserve">require a person who is carrying on a petroleum operation or geothermal energy operation to establish and maintain a system of management to secure — </w:delText>
        </w:r>
      </w:del>
    </w:p>
    <w:p>
      <w:pPr>
        <w:pStyle w:val="Indenti"/>
        <w:rPr>
          <w:del w:id="603" w:author="Master Repository Process" w:date="2022-03-30T12:17:00Z"/>
        </w:rPr>
      </w:pPr>
      <w:del w:id="604" w:author="Master Repository Process" w:date="2022-03-30T12:17:00Z">
        <w:r>
          <w:tab/>
          <w:delText>(i)</w:delText>
        </w:r>
        <w:r>
          <w:tab/>
          <w:delText xml:space="preserve">the occupational safety and health of a person engaged in a petroleum operation or geothermal energy operation; or </w:delText>
        </w:r>
      </w:del>
    </w:p>
    <w:p>
      <w:pPr>
        <w:pStyle w:val="Indenti"/>
        <w:rPr>
          <w:del w:id="605" w:author="Master Repository Process" w:date="2022-03-30T12:17:00Z"/>
        </w:rPr>
      </w:pPr>
      <w:del w:id="606" w:author="Master Repository Process" w:date="2022-03-30T12:17:00Z">
        <w:r>
          <w:tab/>
          <w:delText>(ii)</w:delText>
        </w:r>
        <w:r>
          <w:tab/>
          <w:delText>the safety and health of any other protected person;</w:delText>
        </w:r>
      </w:del>
    </w:p>
    <w:p>
      <w:pPr>
        <w:pStyle w:val="Indenta"/>
        <w:rPr>
          <w:del w:id="607" w:author="Master Repository Process" w:date="2022-03-30T12:17:00Z"/>
        </w:rPr>
      </w:pPr>
      <w:del w:id="608" w:author="Master Repository Process" w:date="2022-03-30T12:17:00Z">
        <w:r>
          <w:tab/>
        </w:r>
        <w:r>
          <w:tab/>
          <w:delText>and</w:delText>
        </w:r>
      </w:del>
    </w:p>
    <w:p>
      <w:pPr>
        <w:pStyle w:val="Indenta"/>
        <w:rPr>
          <w:del w:id="609" w:author="Master Repository Process" w:date="2022-03-30T12:17:00Z"/>
        </w:rPr>
      </w:pPr>
      <w:del w:id="610" w:author="Master Repository Process" w:date="2022-03-30T12:17:00Z">
        <w:r>
          <w:tab/>
          <w:delText>(b)</w:delText>
        </w:r>
        <w:r>
          <w:tab/>
          <w:delText>specify requirements with which the system must comply.</w:delText>
        </w:r>
      </w:del>
    </w:p>
    <w:p>
      <w:pPr>
        <w:pStyle w:val="Footnotesection"/>
        <w:ind w:left="890" w:hanging="890"/>
        <w:rPr>
          <w:del w:id="611" w:author="Master Repository Process" w:date="2022-03-30T12:17:00Z"/>
        </w:rPr>
      </w:pPr>
      <w:del w:id="612" w:author="Master Repository Process" w:date="2022-03-30T12:17:00Z">
        <w:r>
          <w:tab/>
          <w:delText>[Section 149B inserted: No. 13 of 2005 s. 14; amended: No. 35 of 2007 s. 86.]</w:delText>
        </w:r>
      </w:del>
    </w:p>
    <w:p>
      <w:pPr>
        <w:pStyle w:val="Heading5"/>
        <w:keepNext w:val="0"/>
        <w:keepLines w:val="0"/>
        <w:pageBreakBefore/>
        <w:spacing w:before="0"/>
        <w:rPr>
          <w:del w:id="613" w:author="Master Repository Process" w:date="2022-03-30T12:17:00Z"/>
        </w:rPr>
      </w:pPr>
      <w:bookmarkStart w:id="614" w:name="_Toc97630649"/>
      <w:del w:id="615" w:author="Master Repository Process" w:date="2022-03-30T12:17:00Z">
        <w:r>
          <w:rPr>
            <w:rStyle w:val="CharSectno"/>
          </w:rPr>
          <w:delText>149C</w:delText>
        </w:r>
        <w:r>
          <w:delText>.</w:delText>
        </w:r>
        <w:r>
          <w:tab/>
          <w:delText>Minister’s occupational safety and health functions</w:delText>
        </w:r>
        <w:bookmarkEnd w:id="614"/>
      </w:del>
    </w:p>
    <w:p>
      <w:pPr>
        <w:pStyle w:val="Subsection"/>
        <w:spacing w:before="180"/>
        <w:rPr>
          <w:del w:id="616" w:author="Master Repository Process" w:date="2022-03-30T12:17:00Z"/>
        </w:rPr>
      </w:pPr>
      <w:del w:id="617" w:author="Master Repository Process" w:date="2022-03-30T12:17:00Z">
        <w:r>
          <w:tab/>
          <w:delText>(1)</w:delText>
        </w:r>
        <w:r>
          <w:tab/>
          <w:delText xml:space="preserve">The Minister has the following functions — </w:delText>
        </w:r>
      </w:del>
    </w:p>
    <w:p>
      <w:pPr>
        <w:pStyle w:val="Indenta"/>
        <w:rPr>
          <w:del w:id="618" w:author="Master Repository Process" w:date="2022-03-30T12:17:00Z"/>
        </w:rPr>
      </w:pPr>
      <w:del w:id="619" w:author="Master Repository Process" w:date="2022-03-30T12:17:00Z">
        <w:r>
          <w:tab/>
          <w:delText>(a)</w:delText>
        </w:r>
        <w:r>
          <w:tab/>
          <w:delText>to promote the occupational safety and health of persons engaged in petroleum operations or geothermal energy operations;</w:delText>
        </w:r>
      </w:del>
    </w:p>
    <w:p>
      <w:pPr>
        <w:pStyle w:val="Indenta"/>
        <w:rPr>
          <w:del w:id="620" w:author="Master Repository Process" w:date="2022-03-30T12:17:00Z"/>
        </w:rPr>
      </w:pPr>
      <w:del w:id="621" w:author="Master Repository Process" w:date="2022-03-30T12:17:00Z">
        <w:r>
          <w:tab/>
          <w:delText>(b)</w:delText>
        </w:r>
        <w:r>
          <w:tab/>
          <w:delText>to develop and implement effective monitoring and enforcement strategies to secure compliance by persons with their occupational safety and health obligations under this Act;</w:delText>
        </w:r>
      </w:del>
    </w:p>
    <w:p>
      <w:pPr>
        <w:pStyle w:val="Indenta"/>
        <w:rPr>
          <w:del w:id="622" w:author="Master Repository Process" w:date="2022-03-30T12:17:00Z"/>
        </w:rPr>
      </w:pPr>
      <w:del w:id="623" w:author="Master Repository Process" w:date="2022-03-30T12:17:00Z">
        <w:r>
          <w:tab/>
          <w:delText>(c)</w:delText>
        </w:r>
        <w:r>
          <w:tab/>
          <w:delText xml:space="preserve">to investigate accidents, occurrences and circumstances that affect, or have the potential to affect, the occupational safety and health of persons engaged in petroleum operations or geothermal energy operations; </w:delText>
        </w:r>
      </w:del>
    </w:p>
    <w:p>
      <w:pPr>
        <w:pStyle w:val="Indenta"/>
        <w:rPr>
          <w:del w:id="624" w:author="Master Repository Process" w:date="2022-03-30T12:17:00Z"/>
        </w:rPr>
      </w:pPr>
      <w:del w:id="625" w:author="Master Repository Process" w:date="2022-03-30T12:17:00Z">
        <w:r>
          <w:tab/>
          <w:delText>(d)</w:delText>
        </w:r>
        <w:r>
          <w:tab/>
          <w:delText>to advise persons, either on the Minister’s own initiative or on request, on occupational safety and health matters relating to petroleum operations or geothermal energy operations.</w:delText>
        </w:r>
      </w:del>
    </w:p>
    <w:p>
      <w:pPr>
        <w:pStyle w:val="Subsection"/>
        <w:rPr>
          <w:del w:id="626" w:author="Master Repository Process" w:date="2022-03-30T12:17:00Z"/>
        </w:rPr>
      </w:pPr>
      <w:del w:id="627" w:author="Master Repository Process" w:date="2022-03-30T12:17:00Z">
        <w:r>
          <w:tab/>
          <w:delText>(2)</w:delText>
        </w:r>
        <w:r>
          <w:tab/>
          <w:delText>The Minister has power to do all things necessary or convenient to be done for or in connection with the performance of the Minister’s functions.</w:delText>
        </w:r>
      </w:del>
    </w:p>
    <w:p>
      <w:pPr>
        <w:pStyle w:val="Ednotepart"/>
      </w:pPr>
      <w:del w:id="628" w:author="Master Repository Process" w:date="2022-03-30T12:17:00Z">
        <w:r>
          <w:tab/>
          <w:delText>[Section 149C inserted: No. 13 of 2005 s. 14; amended: No. 35 of 2007 s. 87</w:delText>
        </w:r>
      </w:del>
      <w:ins w:id="629" w:author="Master Repository Process" w:date="2022-03-30T12:17:00Z">
        <w:r>
          <w:t>305</w:t>
        </w:r>
      </w:ins>
      <w:r>
        <w:t>.]</w:t>
      </w:r>
    </w:p>
    <w:p>
      <w:pPr>
        <w:pStyle w:val="Heading2"/>
      </w:pPr>
      <w:bookmarkStart w:id="630" w:name="_Toc97629759"/>
      <w:bookmarkStart w:id="631" w:name="_Toc97630112"/>
      <w:bookmarkStart w:id="632" w:name="_Toc97630650"/>
      <w:bookmarkStart w:id="633" w:name="_Toc98748565"/>
      <w:bookmarkStart w:id="634" w:name="_Toc98766201"/>
      <w:bookmarkStart w:id="635" w:name="_Toc98834468"/>
      <w:bookmarkStart w:id="636" w:name="_Toc98947050"/>
      <w:r>
        <w:rPr>
          <w:rStyle w:val="CharPartNo"/>
        </w:rPr>
        <w:t>Part IVA</w:t>
      </w:r>
      <w:r>
        <w:rPr>
          <w:b w:val="0"/>
        </w:rPr>
        <w:t> </w:t>
      </w:r>
      <w:r>
        <w:t>—</w:t>
      </w:r>
      <w:r>
        <w:rPr>
          <w:b w:val="0"/>
        </w:rPr>
        <w:t> </w:t>
      </w:r>
      <w:r>
        <w:rPr>
          <w:rStyle w:val="CharPartText"/>
        </w:rPr>
        <w:t>Release of information</w:t>
      </w:r>
      <w:bookmarkEnd w:id="630"/>
      <w:bookmarkEnd w:id="631"/>
      <w:bookmarkEnd w:id="632"/>
      <w:bookmarkEnd w:id="633"/>
      <w:bookmarkEnd w:id="634"/>
      <w:bookmarkEnd w:id="635"/>
      <w:bookmarkEnd w:id="636"/>
    </w:p>
    <w:p>
      <w:pPr>
        <w:pStyle w:val="Footnoteheading"/>
        <w:spacing w:before="80"/>
      </w:pPr>
      <w:r>
        <w:tab/>
        <w:t>[Heading inserted: No. 42 of 2010 s. 57.]</w:t>
      </w:r>
    </w:p>
    <w:p>
      <w:pPr>
        <w:pStyle w:val="Heading3"/>
        <w:spacing w:before="180"/>
      </w:pPr>
      <w:bookmarkStart w:id="637" w:name="_Toc97629760"/>
      <w:bookmarkStart w:id="638" w:name="_Toc97630113"/>
      <w:bookmarkStart w:id="639" w:name="_Toc97630651"/>
      <w:bookmarkStart w:id="640" w:name="_Toc98748566"/>
      <w:bookmarkStart w:id="641" w:name="_Toc98766202"/>
      <w:bookmarkStart w:id="642" w:name="_Toc98834469"/>
      <w:bookmarkStart w:id="643" w:name="_Toc98947051"/>
      <w:r>
        <w:rPr>
          <w:rStyle w:val="CharDivNo"/>
        </w:rPr>
        <w:t>Division 1</w:t>
      </w:r>
      <w:r>
        <w:t> — </w:t>
      </w:r>
      <w:r>
        <w:rPr>
          <w:rStyle w:val="CharDivText"/>
        </w:rPr>
        <w:t>Preliminary</w:t>
      </w:r>
      <w:bookmarkEnd w:id="637"/>
      <w:bookmarkEnd w:id="638"/>
      <w:bookmarkEnd w:id="639"/>
      <w:bookmarkEnd w:id="640"/>
      <w:bookmarkEnd w:id="641"/>
      <w:bookmarkEnd w:id="642"/>
      <w:bookmarkEnd w:id="643"/>
    </w:p>
    <w:p>
      <w:pPr>
        <w:pStyle w:val="Footnoteheading"/>
        <w:spacing w:before="80"/>
      </w:pPr>
      <w:r>
        <w:tab/>
        <w:t>[Heading inserted: No. 42 of 2010 s. 57.]</w:t>
      </w:r>
    </w:p>
    <w:p>
      <w:pPr>
        <w:pStyle w:val="Heading5"/>
        <w:spacing w:before="160"/>
      </w:pPr>
      <w:bookmarkStart w:id="644" w:name="_Toc98947052"/>
      <w:bookmarkStart w:id="645" w:name="_Toc97630652"/>
      <w:r>
        <w:rPr>
          <w:rStyle w:val="CharSectno"/>
        </w:rPr>
        <w:t>150A</w:t>
      </w:r>
      <w:r>
        <w:t>.</w:t>
      </w:r>
      <w:r>
        <w:tab/>
        <w:t>Terms used</w:t>
      </w:r>
      <w:bookmarkEnd w:id="644"/>
      <w:bookmarkEnd w:id="645"/>
    </w:p>
    <w:p>
      <w:pPr>
        <w:pStyle w:val="Subsection"/>
        <w:spacing w:before="120"/>
      </w:pPr>
      <w:r>
        <w:tab/>
      </w:r>
      <w:r>
        <w:tab/>
        <w:t xml:space="preserve">In this Part, unless the contrary intention appears — </w:t>
      </w:r>
    </w:p>
    <w:p>
      <w:pPr>
        <w:pStyle w:val="Defstart"/>
      </w:pPr>
      <w:r>
        <w:tab/>
      </w:r>
      <w:r>
        <w:rPr>
          <w:rStyle w:val="CharDefText"/>
        </w:rPr>
        <w:t>applicable document</w:t>
      </w:r>
      <w:r>
        <w:t xml:space="preserve"> means — </w:t>
      </w:r>
    </w:p>
    <w:p>
      <w:pPr>
        <w:pStyle w:val="Defpara"/>
      </w:pPr>
      <w:r>
        <w:tab/>
        <w:t>(a)</w:t>
      </w:r>
      <w:r>
        <w:tab/>
        <w:t>an application made after the commencement to the Minister under this Act; or</w:t>
      </w:r>
    </w:p>
    <w:p>
      <w:pPr>
        <w:pStyle w:val="Defpara"/>
      </w:pPr>
      <w:r>
        <w:tab/>
        <w:t>(b)</w:t>
      </w:r>
      <w:r>
        <w:tab/>
        <w:t>a document accompanying an application so made; or</w:t>
      </w:r>
    </w:p>
    <w:p>
      <w:pPr>
        <w:pStyle w:val="Defpara"/>
      </w:pPr>
      <w:r>
        <w:tab/>
        <w:t>(c)</w:t>
      </w:r>
      <w:r>
        <w:tab/>
        <w:t xml:space="preserve">a report, return or other document relating to a block given after the commencement to the Minister under — </w:t>
      </w:r>
    </w:p>
    <w:p>
      <w:pPr>
        <w:pStyle w:val="Defsubpara"/>
        <w:keepLines w:val="0"/>
      </w:pPr>
      <w:r>
        <w:tab/>
        <w:t>(i)</w:t>
      </w:r>
      <w:r>
        <w:tab/>
        <w:t>this Act; or</w:t>
      </w:r>
    </w:p>
    <w:p>
      <w:pPr>
        <w:pStyle w:val="Defsubpara"/>
        <w:keepLines w:val="0"/>
      </w:pPr>
      <w:r>
        <w:tab/>
        <w:t>(ii)</w:t>
      </w:r>
      <w:r>
        <w:tab/>
        <w:t>regulations made for the purposes of section 116A;</w:t>
      </w:r>
    </w:p>
    <w:p>
      <w:pPr>
        <w:pStyle w:val="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57;</w:t>
      </w:r>
    </w:p>
    <w:p>
      <w:pPr>
        <w:pStyle w:val="Defstart"/>
      </w:pPr>
      <w:r>
        <w:rPr>
          <w:b/>
        </w:rPr>
        <w:tab/>
      </w:r>
      <w:r>
        <w:rPr>
          <w:rStyle w:val="CharDefText"/>
        </w:rPr>
        <w:t>documentary information</w:t>
      </w:r>
      <w:r>
        <w:t xml:space="preserve"> means information contained in an applicable document;</w:t>
      </w:r>
    </w:p>
    <w:p>
      <w:pPr>
        <w:pStyle w:val="Defstart"/>
      </w:pPr>
      <w:r>
        <w:tab/>
      </w:r>
      <w:r>
        <w:rPr>
          <w:rStyle w:val="CharDefText"/>
        </w:rPr>
        <w:t>mining sample</w:t>
      </w:r>
      <w:r>
        <w:t xml:space="preserve"> means — </w:t>
      </w:r>
    </w:p>
    <w:p>
      <w:pPr>
        <w:pStyle w:val="Defpara"/>
        <w:spacing w:before="60"/>
      </w:pPr>
      <w:r>
        <w:tab/>
        <w:t>(a)</w:t>
      </w:r>
      <w:r>
        <w:tab/>
        <w:t xml:space="preserve">a core or cutting from, or a sample of, the seabed or subsoil; or </w:t>
      </w:r>
    </w:p>
    <w:p>
      <w:pPr>
        <w:pStyle w:val="Defpara"/>
        <w:spacing w:before="60"/>
      </w:pPr>
      <w:r>
        <w:tab/>
        <w:t>(b)</w:t>
      </w:r>
      <w:r>
        <w:tab/>
        <w:t xml:space="preserve">a sample of petroleum recovered; or </w:t>
      </w:r>
    </w:p>
    <w:p>
      <w:pPr>
        <w:pStyle w:val="Defpara"/>
        <w:spacing w:before="60"/>
      </w:pPr>
      <w:r>
        <w:tab/>
        <w:t>(c)</w:t>
      </w:r>
      <w:r>
        <w:tab/>
        <w:t xml:space="preserve">a sample of fluid recovered (other than fluid petroleum), </w:t>
      </w:r>
    </w:p>
    <w:p>
      <w:pPr>
        <w:pStyle w:val="Defstart"/>
      </w:pPr>
      <w:r>
        <w:tab/>
        <w:t>that has been given at any time, whether before or after the commencement, to the Minister, and includes a portion of such a core, cutting or sample;</w:t>
      </w:r>
    </w:p>
    <w:p>
      <w:pPr>
        <w:pStyle w:val="Defstart"/>
      </w:pPr>
      <w:r>
        <w:rPr>
          <w:b/>
        </w:rPr>
        <w:tab/>
      </w:r>
      <w:r>
        <w:rPr>
          <w:rStyle w:val="CharDefText"/>
        </w:rPr>
        <w:t>Minister of another jurisdiction</w:t>
      </w:r>
      <w:r>
        <w:t xml:space="preserve"> means a Minister of the Commonwealth, a Minister of another State or a Minister of the Northern Territory.</w:t>
      </w:r>
    </w:p>
    <w:p>
      <w:pPr>
        <w:pStyle w:val="Footnotesection"/>
        <w:spacing w:before="60"/>
        <w:ind w:left="890" w:hanging="890"/>
      </w:pPr>
      <w:r>
        <w:tab/>
        <w:t>[Section 150A inserted: No. 42 of 2010 s. 57.]</w:t>
      </w:r>
    </w:p>
    <w:p>
      <w:pPr>
        <w:pStyle w:val="Heading3"/>
      </w:pPr>
      <w:bookmarkStart w:id="646" w:name="_Toc97629762"/>
      <w:bookmarkStart w:id="647" w:name="_Toc97630115"/>
      <w:bookmarkStart w:id="648" w:name="_Toc97630653"/>
      <w:bookmarkStart w:id="649" w:name="_Toc98748568"/>
      <w:bookmarkStart w:id="650" w:name="_Toc98766204"/>
      <w:bookmarkStart w:id="651" w:name="_Toc98834471"/>
      <w:bookmarkStart w:id="652" w:name="_Toc98947053"/>
      <w:r>
        <w:rPr>
          <w:rStyle w:val="CharDivNo"/>
        </w:rPr>
        <w:t>Division 2</w:t>
      </w:r>
      <w:r>
        <w:t> — </w:t>
      </w:r>
      <w:r>
        <w:rPr>
          <w:rStyle w:val="CharDivText"/>
        </w:rPr>
        <w:t>Protection of confidentiality of information and samples</w:t>
      </w:r>
      <w:bookmarkEnd w:id="646"/>
      <w:bookmarkEnd w:id="647"/>
      <w:bookmarkEnd w:id="648"/>
      <w:bookmarkEnd w:id="649"/>
      <w:bookmarkEnd w:id="650"/>
      <w:bookmarkEnd w:id="651"/>
      <w:bookmarkEnd w:id="652"/>
    </w:p>
    <w:p>
      <w:pPr>
        <w:pStyle w:val="Footnoteheading"/>
        <w:spacing w:before="80"/>
      </w:pPr>
      <w:r>
        <w:tab/>
        <w:t>[Heading inserted: No. 42 of 2010 s. 57.]</w:t>
      </w:r>
    </w:p>
    <w:p>
      <w:pPr>
        <w:pStyle w:val="Heading4"/>
        <w:spacing w:before="180"/>
      </w:pPr>
      <w:bookmarkStart w:id="653" w:name="_Toc97629763"/>
      <w:bookmarkStart w:id="654" w:name="_Toc97630116"/>
      <w:bookmarkStart w:id="655" w:name="_Toc97630654"/>
      <w:bookmarkStart w:id="656" w:name="_Toc98748569"/>
      <w:bookmarkStart w:id="657" w:name="_Toc98766205"/>
      <w:bookmarkStart w:id="658" w:name="_Toc98834472"/>
      <w:bookmarkStart w:id="659" w:name="_Toc98947054"/>
      <w:r>
        <w:t>Subdivision 1 — Information and samples obtained by the Minister</w:t>
      </w:r>
      <w:bookmarkEnd w:id="653"/>
      <w:bookmarkEnd w:id="654"/>
      <w:bookmarkEnd w:id="655"/>
      <w:bookmarkEnd w:id="656"/>
      <w:bookmarkEnd w:id="657"/>
      <w:bookmarkEnd w:id="658"/>
      <w:bookmarkEnd w:id="659"/>
    </w:p>
    <w:p>
      <w:pPr>
        <w:pStyle w:val="Footnoteheading"/>
        <w:spacing w:before="80"/>
      </w:pPr>
      <w:r>
        <w:tab/>
        <w:t>[Heading inserted: No. 42 of 2010 s. 57.]</w:t>
      </w:r>
    </w:p>
    <w:p>
      <w:pPr>
        <w:pStyle w:val="Heading5"/>
        <w:spacing w:before="180"/>
      </w:pPr>
      <w:bookmarkStart w:id="660" w:name="_Toc98947055"/>
      <w:bookmarkStart w:id="661" w:name="_Toc97630655"/>
      <w:r>
        <w:rPr>
          <w:rStyle w:val="CharSectno"/>
        </w:rPr>
        <w:t>150B</w:t>
      </w:r>
      <w:r>
        <w:t>.</w:t>
      </w:r>
      <w:r>
        <w:tab/>
        <w:t>Protection of confidentiality of information obtained by Minister</w:t>
      </w:r>
      <w:bookmarkEnd w:id="660"/>
      <w:bookmarkEnd w:id="661"/>
    </w:p>
    <w:p>
      <w:pPr>
        <w:pStyle w:val="Subsection"/>
      </w:pPr>
      <w:r>
        <w:tab/>
        <w:t>(1)</w:t>
      </w:r>
      <w:r>
        <w:tab/>
        <w:t>This section restricts what the Minister may do with documentary information.</w:t>
      </w:r>
    </w:p>
    <w:p>
      <w:pPr>
        <w:pStyle w:val="Subsection"/>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150B inserted: No. 42 of 2010 s. 57.]</w:t>
      </w:r>
    </w:p>
    <w:p>
      <w:pPr>
        <w:pStyle w:val="Heading5"/>
        <w:spacing w:before="180"/>
      </w:pPr>
      <w:bookmarkStart w:id="662" w:name="_Toc98947056"/>
      <w:bookmarkStart w:id="663" w:name="_Toc97630656"/>
      <w:r>
        <w:rPr>
          <w:rStyle w:val="CharSectno"/>
        </w:rPr>
        <w:t>150C</w:t>
      </w:r>
      <w:r>
        <w:t>.</w:t>
      </w:r>
      <w:r>
        <w:tab/>
        <w:t>Protection of confidentiality of samples obtained by Minister</w:t>
      </w:r>
      <w:bookmarkEnd w:id="662"/>
      <w:bookmarkEnd w:id="663"/>
    </w:p>
    <w:p>
      <w:pPr>
        <w:pStyle w:val="Subsection"/>
      </w:pPr>
      <w:r>
        <w:tab/>
        <w:t>(1)</w:t>
      </w:r>
      <w:r>
        <w:tab/>
        <w:t>This section restricts what the Minister may do with a mining sample.</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ind w:left="890" w:hanging="890"/>
      </w:pPr>
      <w:r>
        <w:tab/>
        <w:t>[Section 150C inserted: No. 42 of 2010 s. 57.]</w:t>
      </w:r>
    </w:p>
    <w:p>
      <w:pPr>
        <w:pStyle w:val="Heading5"/>
        <w:spacing w:before="240"/>
      </w:pPr>
      <w:bookmarkStart w:id="664" w:name="_Toc98947057"/>
      <w:bookmarkStart w:id="665" w:name="_Toc97630657"/>
      <w:r>
        <w:rPr>
          <w:rStyle w:val="CharSectno"/>
        </w:rPr>
        <w:t>150D</w:t>
      </w:r>
      <w:r>
        <w:t>.</w:t>
      </w:r>
      <w:r>
        <w:tab/>
        <w:t>Information or samples obtained by Minister can be made available to certain persons</w:t>
      </w:r>
      <w:bookmarkEnd w:id="664"/>
      <w:bookmarkEnd w:id="665"/>
    </w:p>
    <w:p>
      <w:pPr>
        <w:pStyle w:val="Subsection"/>
        <w:spacing w:before="180"/>
      </w:pPr>
      <w:r>
        <w:tab/>
      </w:r>
      <w:r>
        <w:tab/>
        <w:t>The Minister may make documentary information or a mining sample available to another Minister or a Minister of another jurisdiction.</w:t>
      </w:r>
    </w:p>
    <w:p>
      <w:pPr>
        <w:pStyle w:val="Footnotesection"/>
        <w:spacing w:before="100"/>
        <w:ind w:left="890" w:hanging="890"/>
      </w:pPr>
      <w:r>
        <w:tab/>
        <w:t>[Section 150D inserted: No. 42 of 2010 s. 57.]</w:t>
      </w:r>
    </w:p>
    <w:p>
      <w:pPr>
        <w:pStyle w:val="Heading4"/>
        <w:spacing w:before="180"/>
      </w:pPr>
      <w:bookmarkStart w:id="666" w:name="_Toc97629767"/>
      <w:bookmarkStart w:id="667" w:name="_Toc97630120"/>
      <w:bookmarkStart w:id="668" w:name="_Toc97630658"/>
      <w:bookmarkStart w:id="669" w:name="_Toc98748573"/>
      <w:bookmarkStart w:id="670" w:name="_Toc98766209"/>
      <w:bookmarkStart w:id="671" w:name="_Toc98834476"/>
      <w:bookmarkStart w:id="672" w:name="_Toc98947058"/>
      <w:r>
        <w:t>Subdivision 2 — Information and samples obtained by another Minister</w:t>
      </w:r>
      <w:bookmarkEnd w:id="666"/>
      <w:bookmarkEnd w:id="667"/>
      <w:bookmarkEnd w:id="668"/>
      <w:bookmarkEnd w:id="669"/>
      <w:bookmarkEnd w:id="670"/>
      <w:bookmarkEnd w:id="671"/>
      <w:bookmarkEnd w:id="672"/>
    </w:p>
    <w:p>
      <w:pPr>
        <w:pStyle w:val="Footnoteheading"/>
      </w:pPr>
      <w:r>
        <w:tab/>
        <w:t>[Heading inserted: No. 42 of 2010 s. 57.]</w:t>
      </w:r>
    </w:p>
    <w:p>
      <w:pPr>
        <w:pStyle w:val="Heading5"/>
        <w:spacing w:before="240"/>
      </w:pPr>
      <w:bookmarkStart w:id="673" w:name="_Toc98947059"/>
      <w:bookmarkStart w:id="674" w:name="_Toc97630659"/>
      <w:r>
        <w:rPr>
          <w:rStyle w:val="CharSectno"/>
        </w:rPr>
        <w:t>150E</w:t>
      </w:r>
      <w:r>
        <w:t>.</w:t>
      </w:r>
      <w:r>
        <w:tab/>
        <w:t>Protection of confidentiality of information obtained by another Minister</w:t>
      </w:r>
      <w:bookmarkEnd w:id="673"/>
      <w:bookmarkEnd w:id="674"/>
    </w:p>
    <w:p>
      <w:pPr>
        <w:pStyle w:val="Subsection"/>
        <w:spacing w:before="180"/>
      </w:pPr>
      <w:r>
        <w:tab/>
        <w:t>(1)</w:t>
      </w:r>
      <w:r>
        <w:tab/>
        <w:t>This section restricts what a Minister may do with documentary information made available to that Minister under section 150D or 150G.</w:t>
      </w:r>
    </w:p>
    <w:p>
      <w:pPr>
        <w:pStyle w:val="Subsection"/>
        <w:spacing w:before="180"/>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spacing w:before="180"/>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ind w:left="890" w:hanging="890"/>
      </w:pPr>
      <w:r>
        <w:tab/>
        <w:t>[Section 150E inserted: No. 42 of 2010 s. 57.]</w:t>
      </w:r>
    </w:p>
    <w:p>
      <w:pPr>
        <w:pStyle w:val="Heading5"/>
        <w:keepNext w:val="0"/>
        <w:keepLines w:val="0"/>
        <w:pageBreakBefore/>
        <w:spacing w:before="0"/>
      </w:pPr>
      <w:bookmarkStart w:id="675" w:name="_Toc98947060"/>
      <w:bookmarkStart w:id="676" w:name="_Toc97630660"/>
      <w:r>
        <w:rPr>
          <w:rStyle w:val="CharSectno"/>
        </w:rPr>
        <w:t>150F</w:t>
      </w:r>
      <w:r>
        <w:t>.</w:t>
      </w:r>
      <w:r>
        <w:tab/>
        <w:t>Protection of confidentiality of samples obtained by another Minister</w:t>
      </w:r>
      <w:bookmarkEnd w:id="675"/>
      <w:bookmarkEnd w:id="676"/>
    </w:p>
    <w:p>
      <w:pPr>
        <w:pStyle w:val="Subsection"/>
        <w:spacing w:before="120"/>
      </w:pPr>
      <w:r>
        <w:tab/>
        <w:t>(1)</w:t>
      </w:r>
      <w:r>
        <w:tab/>
        <w:t>This section restricts what a Minister may do with a mining sample made available to that Minister under section 150D or 150G.</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150F inserted: No. 42 of 2010 s. 57.]</w:t>
      </w:r>
    </w:p>
    <w:p>
      <w:pPr>
        <w:pStyle w:val="Heading5"/>
      </w:pPr>
      <w:bookmarkStart w:id="677" w:name="_Toc98947061"/>
      <w:bookmarkStart w:id="678" w:name="_Toc97630661"/>
      <w:r>
        <w:rPr>
          <w:rStyle w:val="CharSectno"/>
        </w:rPr>
        <w:t>150G</w:t>
      </w:r>
      <w:r>
        <w:t>.</w:t>
      </w:r>
      <w:r>
        <w:tab/>
        <w:t>Information or samples obtained by another Minister can be made available to certain persons</w:t>
      </w:r>
      <w:bookmarkEnd w:id="677"/>
      <w:bookmarkEnd w:id="678"/>
    </w:p>
    <w:p>
      <w:pPr>
        <w:pStyle w:val="Subsection"/>
      </w:pPr>
      <w:r>
        <w:tab/>
      </w:r>
      <w:r>
        <w:tab/>
        <w:t>A Minister to whom documentary information or a mining sample is made available under section 150D or this section may make the information or sample available to another Minister or a Minister of another jurisdiction.</w:t>
      </w:r>
    </w:p>
    <w:p>
      <w:pPr>
        <w:pStyle w:val="Footnotesection"/>
      </w:pPr>
      <w:r>
        <w:tab/>
        <w:t>[Section 150G inserted: No. 42 of 2010 s. 57.]</w:t>
      </w:r>
    </w:p>
    <w:p>
      <w:pPr>
        <w:pStyle w:val="Heading4"/>
      </w:pPr>
      <w:bookmarkStart w:id="679" w:name="_Toc97629771"/>
      <w:bookmarkStart w:id="680" w:name="_Toc97630124"/>
      <w:bookmarkStart w:id="681" w:name="_Toc97630662"/>
      <w:bookmarkStart w:id="682" w:name="_Toc98748577"/>
      <w:bookmarkStart w:id="683" w:name="_Toc98766213"/>
      <w:bookmarkStart w:id="684" w:name="_Toc98834480"/>
      <w:bookmarkStart w:id="685" w:name="_Toc98947062"/>
      <w:r>
        <w:t>Subdivision 3 — Miscellaneous</w:t>
      </w:r>
      <w:bookmarkEnd w:id="679"/>
      <w:bookmarkEnd w:id="680"/>
      <w:bookmarkEnd w:id="681"/>
      <w:bookmarkEnd w:id="682"/>
      <w:bookmarkEnd w:id="683"/>
      <w:bookmarkEnd w:id="684"/>
      <w:bookmarkEnd w:id="685"/>
    </w:p>
    <w:p>
      <w:pPr>
        <w:pStyle w:val="Footnoteheading"/>
      </w:pPr>
      <w:r>
        <w:tab/>
        <w:t>[Heading inserted: No. 42 of 2010 s. 57.]</w:t>
      </w:r>
    </w:p>
    <w:p>
      <w:pPr>
        <w:pStyle w:val="Heading5"/>
      </w:pPr>
      <w:bookmarkStart w:id="686" w:name="_Toc98947063"/>
      <w:bookmarkStart w:id="687" w:name="_Toc97630663"/>
      <w:r>
        <w:rPr>
          <w:rStyle w:val="CharSectno"/>
        </w:rPr>
        <w:t>150H</w:t>
      </w:r>
      <w:r>
        <w:t>.</w:t>
      </w:r>
      <w:r>
        <w:tab/>
        <w:t>Fees</w:t>
      </w:r>
      <w:bookmarkEnd w:id="686"/>
      <w:bookmarkEnd w:id="687"/>
    </w:p>
    <w:p>
      <w:pPr>
        <w:pStyle w:val="Subsection"/>
      </w:pPr>
      <w:r>
        <w:tab/>
        <w:t>(1)</w:t>
      </w:r>
      <w:r>
        <w:tab/>
        <w:t xml:space="preserve">This section applies to regulations made for the purposes of any of the following — </w:t>
      </w:r>
    </w:p>
    <w:p>
      <w:pPr>
        <w:pStyle w:val="Indenta"/>
      </w:pPr>
      <w:r>
        <w:tab/>
        <w:t>(a)</w:t>
      </w:r>
      <w:r>
        <w:tab/>
        <w:t>section 150B(2)(c);</w:t>
      </w:r>
    </w:p>
    <w:p>
      <w:pPr>
        <w:pStyle w:val="Indenta"/>
      </w:pPr>
      <w:r>
        <w:tab/>
        <w:t>(b)</w:t>
      </w:r>
      <w:r>
        <w:tab/>
        <w:t>section 150C(2)(c);</w:t>
      </w:r>
    </w:p>
    <w:p>
      <w:pPr>
        <w:pStyle w:val="Indenta"/>
      </w:pPr>
      <w:r>
        <w:tab/>
        <w:t>(c)</w:t>
      </w:r>
      <w:r>
        <w:tab/>
        <w:t>section 150E(2)(c);</w:t>
      </w:r>
    </w:p>
    <w:p>
      <w:pPr>
        <w:pStyle w:val="Indenta"/>
      </w:pPr>
      <w:r>
        <w:tab/>
        <w:t>(d)</w:t>
      </w:r>
      <w:r>
        <w:tab/>
        <w:t>section 150F(2)(c).</w:t>
      </w:r>
    </w:p>
    <w:p>
      <w:pPr>
        <w:pStyle w:val="Subsection"/>
      </w:pPr>
      <w:r>
        <w:tab/>
        <w:t>(2)</w:t>
      </w:r>
      <w:r>
        <w:tab/>
        <w:t xml:space="preserve">The regulations may make provision for fees relating to — </w:t>
      </w:r>
    </w:p>
    <w:p>
      <w:pPr>
        <w:pStyle w:val="Indenta"/>
      </w:pPr>
      <w:r>
        <w:tab/>
        <w:t>(a)</w:t>
      </w:r>
      <w:r>
        <w:tab/>
        <w:t>making information available to a person; or</w:t>
      </w:r>
    </w:p>
    <w:p>
      <w:pPr>
        <w:pStyle w:val="Indenta"/>
      </w:pPr>
      <w:r>
        <w:tab/>
        <w:t>(b)</w:t>
      </w:r>
      <w:r>
        <w:tab/>
        <w:t>permitting a person to inspect a sample.</w:t>
      </w:r>
    </w:p>
    <w:p>
      <w:pPr>
        <w:pStyle w:val="Footnotesection"/>
      </w:pPr>
      <w:r>
        <w:tab/>
        <w:t>[Section 150H inserted: No. 42 of 2010 s. 57.]</w:t>
      </w:r>
    </w:p>
    <w:p>
      <w:pPr>
        <w:pStyle w:val="Heading2"/>
      </w:pPr>
      <w:bookmarkStart w:id="688" w:name="_Toc97629773"/>
      <w:bookmarkStart w:id="689" w:name="_Toc97630126"/>
      <w:bookmarkStart w:id="690" w:name="_Toc97630664"/>
      <w:bookmarkStart w:id="691" w:name="_Toc98748579"/>
      <w:bookmarkStart w:id="692" w:name="_Toc98766215"/>
      <w:bookmarkStart w:id="693" w:name="_Toc98834482"/>
      <w:bookmarkStart w:id="694" w:name="_Toc98947064"/>
      <w:r>
        <w:rPr>
          <w:rStyle w:val="CharPartNo"/>
        </w:rPr>
        <w:t>Part IV</w:t>
      </w:r>
      <w:r>
        <w:rPr>
          <w:rStyle w:val="CharDivNo"/>
        </w:rPr>
        <w:t> </w:t>
      </w:r>
      <w:r>
        <w:t>—</w:t>
      </w:r>
      <w:r>
        <w:rPr>
          <w:rStyle w:val="CharDivText"/>
        </w:rPr>
        <w:t> </w:t>
      </w:r>
      <w:r>
        <w:rPr>
          <w:rStyle w:val="CharPartText"/>
        </w:rPr>
        <w:t>Miscellaneous</w:t>
      </w:r>
      <w:bookmarkEnd w:id="688"/>
      <w:bookmarkEnd w:id="689"/>
      <w:bookmarkEnd w:id="690"/>
      <w:bookmarkEnd w:id="691"/>
      <w:bookmarkEnd w:id="692"/>
      <w:bookmarkEnd w:id="693"/>
      <w:bookmarkEnd w:id="694"/>
    </w:p>
    <w:p>
      <w:pPr>
        <w:pStyle w:val="Heading5"/>
        <w:rPr>
          <w:snapToGrid w:val="0"/>
        </w:rPr>
      </w:pPr>
      <w:bookmarkStart w:id="695" w:name="_Toc98947065"/>
      <w:bookmarkStart w:id="696" w:name="_Toc97630665"/>
      <w:r>
        <w:rPr>
          <w:rStyle w:val="CharSectno"/>
        </w:rPr>
        <w:t>150</w:t>
      </w:r>
      <w:r>
        <w:rPr>
          <w:snapToGrid w:val="0"/>
        </w:rPr>
        <w:t>.</w:t>
      </w:r>
      <w:r>
        <w:rPr>
          <w:snapToGrid w:val="0"/>
        </w:rPr>
        <w:tab/>
        <w:t>Jurisdiction of Magistrates Court</w:t>
      </w:r>
      <w:bookmarkEnd w:id="695"/>
      <w:bookmarkEnd w:id="696"/>
    </w:p>
    <w:p>
      <w:pPr>
        <w:pStyle w:val="Subsection"/>
        <w:rPr>
          <w:snapToGrid w:val="0"/>
        </w:rPr>
      </w:pPr>
      <w:r>
        <w:rPr>
          <w:snapToGrid w:val="0"/>
        </w:rPr>
        <w:tab/>
        <w:t>(1)</w:t>
      </w:r>
      <w:r>
        <w:rPr>
          <w:snapToGrid w:val="0"/>
        </w:rPr>
        <w:tab/>
        <w:t xml:space="preserve">In any action brought before </w:t>
      </w:r>
      <w:r>
        <w:t xml:space="preserve">the Magistrates Court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Magistrates Court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No. 59 of 2004 s. 141.]</w:t>
      </w:r>
    </w:p>
    <w:p>
      <w:pPr>
        <w:pStyle w:val="Heading5"/>
        <w:rPr>
          <w:snapToGrid w:val="0"/>
        </w:rPr>
      </w:pPr>
      <w:bookmarkStart w:id="697" w:name="_Toc98947066"/>
      <w:bookmarkStart w:id="698" w:name="_Toc97630666"/>
      <w:r>
        <w:rPr>
          <w:rStyle w:val="CharSectno"/>
        </w:rPr>
        <w:t>151</w:t>
      </w:r>
      <w:r>
        <w:rPr>
          <w:snapToGrid w:val="0"/>
        </w:rPr>
        <w:t>.</w:t>
      </w:r>
      <w:r>
        <w:rPr>
          <w:snapToGrid w:val="0"/>
        </w:rPr>
        <w:tab/>
        <w:t>Special case may be reserved for Supreme Court</w:t>
      </w:r>
      <w:bookmarkEnd w:id="697"/>
      <w:bookmarkEnd w:id="698"/>
    </w:p>
    <w:p>
      <w:pPr>
        <w:pStyle w:val="Subsection"/>
        <w:rPr>
          <w:snapToGrid w:val="0"/>
        </w:rPr>
      </w:pPr>
      <w:r>
        <w:rPr>
          <w:snapToGrid w:val="0"/>
        </w:rPr>
        <w:tab/>
      </w:r>
      <w:r>
        <w:rPr>
          <w:snapToGrid w:val="0"/>
        </w:rPr>
        <w:tab/>
        <w:t xml:space="preserve">At any stage of any civil proceedings before it </w:t>
      </w:r>
      <w:r>
        <w:t xml:space="preserve">the Magistrates Court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Magistrates Court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Magistrates Court </w:t>
      </w:r>
      <w:r>
        <w:rPr>
          <w:snapToGrid w:val="0"/>
        </w:rPr>
        <w:t xml:space="preserve">shall act in accordance therewith, and in the meantime no judgment or order of </w:t>
      </w:r>
      <w:r>
        <w:t xml:space="preserve">the Magistrates Court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No. 12 of 1990 s. 116; No. 59 of 2004 s. 141.]</w:t>
      </w:r>
    </w:p>
    <w:p>
      <w:pPr>
        <w:pStyle w:val="Heading5"/>
      </w:pPr>
      <w:bookmarkStart w:id="699" w:name="_Toc98947067"/>
      <w:bookmarkStart w:id="700" w:name="_Toc97630667"/>
      <w:r>
        <w:rPr>
          <w:rStyle w:val="CharSectno"/>
        </w:rPr>
        <w:t>152</w:t>
      </w:r>
      <w:r>
        <w:t>.</w:t>
      </w:r>
      <w:r>
        <w:tab/>
        <w:t xml:space="preserve">Certain things are not personal property for purposes of </w:t>
      </w:r>
      <w:r>
        <w:rPr>
          <w:i/>
          <w:iCs/>
        </w:rPr>
        <w:t>Personal Property Securities Act 2009</w:t>
      </w:r>
      <w:r>
        <w:t xml:space="preserve"> (Commonwealth)</w:t>
      </w:r>
      <w:bookmarkEnd w:id="699"/>
      <w:bookmarkEnd w:id="700"/>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petroleum exploration permit or a geothermal exploration permit granted under section 37;</w:t>
      </w:r>
    </w:p>
    <w:p>
      <w:pPr>
        <w:pStyle w:val="Indenta"/>
      </w:pPr>
      <w:r>
        <w:tab/>
        <w:t>(b)</w:t>
      </w:r>
      <w:r>
        <w:tab/>
        <w:t>a drilling reservation granted under section 43C(4);</w:t>
      </w:r>
    </w:p>
    <w:p>
      <w:pPr>
        <w:pStyle w:val="Indenta"/>
      </w:pPr>
      <w:r>
        <w:tab/>
        <w:t>(c)</w:t>
      </w:r>
      <w:r>
        <w:tab/>
        <w:t>a petroleum retention lease or geothermal retention lease granted under section 48B(5);</w:t>
      </w:r>
    </w:p>
    <w:p>
      <w:pPr>
        <w:pStyle w:val="Indenta"/>
      </w:pPr>
      <w:r>
        <w:tab/>
        <w:t>(d)</w:t>
      </w:r>
      <w:r>
        <w:tab/>
        <w:t>a petroleum production licence or geothermal production licence granted under section 61(4).</w:t>
      </w:r>
    </w:p>
    <w:p>
      <w:pPr>
        <w:pStyle w:val="Footnotesection"/>
      </w:pPr>
      <w:r>
        <w:tab/>
        <w:t>[Section 152 inserted: No. 42 of 2011 s. 87.]</w:t>
      </w:r>
    </w:p>
    <w:p>
      <w:pPr>
        <w:pStyle w:val="Ednotesection"/>
      </w:pPr>
      <w:r>
        <w:t>[</w:t>
      </w:r>
      <w:r>
        <w:rPr>
          <w:b/>
        </w:rPr>
        <w:t>152A, 152B.</w:t>
      </w:r>
      <w:r>
        <w:tab/>
        <w:t>Deleted: No. 28 of 1994 s. 61.]</w:t>
      </w:r>
    </w:p>
    <w:p>
      <w:pPr>
        <w:pStyle w:val="Heading5"/>
        <w:spacing w:before="180"/>
        <w:rPr>
          <w:snapToGrid w:val="0"/>
        </w:rPr>
      </w:pPr>
      <w:bookmarkStart w:id="701" w:name="_Toc98947068"/>
      <w:bookmarkStart w:id="702" w:name="_Toc97630668"/>
      <w:r>
        <w:rPr>
          <w:rStyle w:val="CharSectno"/>
        </w:rPr>
        <w:t>153</w:t>
      </w:r>
      <w:r>
        <w:rPr>
          <w:snapToGrid w:val="0"/>
        </w:rPr>
        <w:t>.</w:t>
      </w:r>
      <w:r>
        <w:rPr>
          <w:snapToGrid w:val="0"/>
        </w:rPr>
        <w:tab/>
        <w:t>Regulations</w:t>
      </w:r>
      <w:bookmarkEnd w:id="701"/>
      <w:bookmarkEnd w:id="702"/>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w:t>
      </w:r>
      <w:r>
        <w:t xml:space="preserve"> installations, equipment or facilities;</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w:t>
      </w:r>
    </w:p>
    <w:p>
      <w:pPr>
        <w:pStyle w:val="Indenta"/>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w:t>
      </w:r>
      <w:r>
        <w:t>State;</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tab/>
        <w:t>(lc)</w:t>
      </w:r>
      <w:r>
        <w:rPr>
          <w:snapToGrid w:val="0"/>
        </w:rPr>
        <w:tab/>
        <w:t xml:space="preserve">the responsibilities of </w:t>
      </w:r>
      <w:r>
        <w:t>a permittee, holder of a drilling reservation, lessee, licensee or holder of a special prospecting authority or access authority</w:t>
      </w:r>
      <w:r>
        <w:rPr>
          <w:snapToGrid w:val="0"/>
        </w:rPr>
        <w:t xml:space="preserve"> as to authorising, or obtaining authorisation for, the release of documentary information as defined in section 150A;</w:t>
      </w:r>
    </w:p>
    <w:p>
      <w:pPr>
        <w:pStyle w:val="Indenta"/>
      </w:pPr>
      <w:r>
        <w:tab/>
        <w:t>(l)</w:t>
      </w:r>
      <w:r>
        <w:tab/>
        <w:t xml:space="preserve">fees in relation to petroleum operations or geothermal energy operations, </w:t>
      </w:r>
      <w:del w:id="703" w:author="Master Repository Process" w:date="2022-03-30T12:17:00Z">
        <w:r>
          <w:delText xml:space="preserve">safety </w:delText>
        </w:r>
      </w:del>
      <w:r>
        <w:t>audits or other services provided by the Minister;</w:t>
      </w:r>
    </w:p>
    <w:p>
      <w:pPr>
        <w:pStyle w:val="Indenta"/>
        <w:rPr>
          <w:snapToGrid w:val="0"/>
        </w:rPr>
      </w:pPr>
      <w:r>
        <w:tab/>
        <w:t>(m)</w:t>
      </w:r>
      <w:r>
        <w:tab/>
        <w:t xml:space="preserve">any transitional matter arising out of the amendments made to this Act by the </w:t>
      </w:r>
      <w:r>
        <w:rPr>
          <w:i/>
          <w:iCs/>
        </w:rPr>
        <w:t>Petroleum Legislation Amendment and Repeal Act 2005</w:t>
      </w:r>
      <w:r>
        <w:t>.</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No. 12 of 1990 s. 118; No. 78 of 1990 s. 7; No. 28 of 1994 s. 62; No. 13 of 2005 s. 15; No. 35 of 2007 s. 83 and 87; No. 42 of 2010 s. </w:t>
      </w:r>
      <w:del w:id="704" w:author="Master Repository Process" w:date="2022-03-30T12:17:00Z">
        <w:r>
          <w:delText>58</w:delText>
        </w:r>
      </w:del>
      <w:ins w:id="705" w:author="Master Repository Process" w:date="2022-03-30T12:17:00Z">
        <w:r>
          <w:t>58; No. 36 of 2020 s. 306</w:t>
        </w:r>
      </w:ins>
      <w:r>
        <w:t>.]</w:t>
      </w:r>
    </w:p>
    <w:p>
      <w:pPr>
        <w:pStyle w:val="Heading5"/>
      </w:pPr>
      <w:bookmarkStart w:id="706" w:name="_Toc98947069"/>
      <w:bookmarkStart w:id="707" w:name="_Toc97630669"/>
      <w:r>
        <w:rPr>
          <w:rStyle w:val="CharSectno"/>
        </w:rPr>
        <w:t>154</w:t>
      </w:r>
      <w:r>
        <w:t>.</w:t>
      </w:r>
      <w:r>
        <w:tab/>
        <w:t>Further transitional provisions</w:t>
      </w:r>
      <w:bookmarkEnd w:id="706"/>
      <w:bookmarkEnd w:id="707"/>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2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154 inserted: No. 42 of 2010 s. 59.]</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rPr>
          <w:del w:id="708" w:author="Master Repository Process" w:date="2022-03-30T12:17:00Z"/>
        </w:rPr>
      </w:pPr>
      <w:ins w:id="709" w:author="Master Repository Process" w:date="2022-03-30T12:17:00Z">
        <w:r>
          <w:t>[</w:t>
        </w:r>
      </w:ins>
      <w:bookmarkStart w:id="710" w:name="_Toc97629779"/>
      <w:bookmarkStart w:id="711" w:name="_Toc97630132"/>
      <w:bookmarkStart w:id="712" w:name="_Toc97630670"/>
      <w:r>
        <w:t>Schedule 1</w:t>
      </w:r>
      <w:del w:id="713" w:author="Master Repository Process" w:date="2022-03-30T12:17:00Z">
        <w:r>
          <w:delText> — </w:delText>
        </w:r>
        <w:r>
          <w:rPr>
            <w:rStyle w:val="CharSchText"/>
          </w:rPr>
          <w:delText>Occupational safety and health</w:delText>
        </w:r>
        <w:bookmarkEnd w:id="710"/>
        <w:bookmarkEnd w:id="711"/>
        <w:bookmarkEnd w:id="712"/>
      </w:del>
    </w:p>
    <w:p>
      <w:pPr>
        <w:pStyle w:val="yShoulderClause"/>
        <w:rPr>
          <w:del w:id="714" w:author="Master Repository Process" w:date="2022-03-30T12:17:00Z"/>
        </w:rPr>
      </w:pPr>
      <w:del w:id="715" w:author="Master Repository Process" w:date="2022-03-30T12:17:00Z">
        <w:r>
          <w:delText>[s. 149A]</w:delText>
        </w:r>
      </w:del>
    </w:p>
    <w:p>
      <w:pPr>
        <w:pStyle w:val="yFootnoteheading"/>
        <w:rPr>
          <w:del w:id="716" w:author="Master Repository Process" w:date="2022-03-30T12:17:00Z"/>
        </w:rPr>
      </w:pPr>
      <w:del w:id="717" w:author="Master Repository Process" w:date="2022-03-30T12:17:00Z">
        <w:r>
          <w:tab/>
          <w:delText>[Heading inserted</w:delText>
        </w:r>
      </w:del>
      <w:ins w:id="718" w:author="Master Repository Process" w:date="2022-03-30T12:17:00Z">
        <w:r>
          <w:t xml:space="preserve"> (Div. 1</w:t>
        </w:r>
        <w:r>
          <w:noBreakHyphen/>
          <w:t>6) deleted</w:t>
        </w:r>
      </w:ins>
      <w:r>
        <w:t>: No.</w:t>
      </w:r>
      <w:del w:id="719" w:author="Master Repository Process" w:date="2022-03-30T12:17:00Z">
        <w:r>
          <w:delText xml:space="preserve"> 13</w:delText>
        </w:r>
      </w:del>
      <w:ins w:id="720" w:author="Master Repository Process" w:date="2022-03-30T12:17:00Z">
        <w:r>
          <w:t> 36</w:t>
        </w:r>
      </w:ins>
      <w:r>
        <w:t xml:space="preserve"> of </w:t>
      </w:r>
      <w:del w:id="721" w:author="Master Repository Process" w:date="2022-03-30T12:17:00Z">
        <w:r>
          <w:delText>2005</w:delText>
        </w:r>
      </w:del>
      <w:ins w:id="722" w:author="Master Repository Process" w:date="2022-03-30T12:17:00Z">
        <w:r>
          <w:t>2020</w:t>
        </w:r>
      </w:ins>
      <w:r>
        <w:t xml:space="preserve"> s. </w:t>
      </w:r>
      <w:del w:id="723" w:author="Master Repository Process" w:date="2022-03-30T12:17:00Z">
        <w:r>
          <w:delText>17.]</w:delText>
        </w:r>
      </w:del>
    </w:p>
    <w:p>
      <w:pPr>
        <w:pStyle w:val="yHeading3"/>
        <w:rPr>
          <w:del w:id="724" w:author="Master Repository Process" w:date="2022-03-30T12:17:00Z"/>
        </w:rPr>
      </w:pPr>
      <w:bookmarkStart w:id="725" w:name="_Toc97629780"/>
      <w:bookmarkStart w:id="726" w:name="_Toc97630133"/>
      <w:bookmarkStart w:id="727" w:name="_Toc97630671"/>
      <w:del w:id="728" w:author="Master Repository Process" w:date="2022-03-30T12:17:00Z">
        <w:r>
          <w:rPr>
            <w:rStyle w:val="CharSDivNo"/>
          </w:rPr>
          <w:delText>Division 1</w:delText>
        </w:r>
        <w:r>
          <w:rPr>
            <w:b w:val="0"/>
          </w:rPr>
          <w:delText> — </w:delText>
        </w:r>
        <w:r>
          <w:rPr>
            <w:rStyle w:val="CharSDivText"/>
          </w:rPr>
          <w:delText>Introduction</w:delText>
        </w:r>
        <w:bookmarkEnd w:id="725"/>
        <w:bookmarkEnd w:id="726"/>
        <w:bookmarkEnd w:id="727"/>
      </w:del>
    </w:p>
    <w:p>
      <w:pPr>
        <w:pStyle w:val="yFootnoteheading"/>
        <w:rPr>
          <w:del w:id="729" w:author="Master Repository Process" w:date="2022-03-30T12:17:00Z"/>
        </w:rPr>
      </w:pPr>
      <w:del w:id="730" w:author="Master Repository Process" w:date="2022-03-30T12:17:00Z">
        <w:r>
          <w:tab/>
          <w:delText>[Heading inserted: No. 13 of 2005 s. 17.]</w:delText>
        </w:r>
      </w:del>
    </w:p>
    <w:p>
      <w:pPr>
        <w:pStyle w:val="yHeading5"/>
        <w:rPr>
          <w:del w:id="731" w:author="Master Repository Process" w:date="2022-03-30T12:17:00Z"/>
        </w:rPr>
      </w:pPr>
      <w:bookmarkStart w:id="732" w:name="_Toc97630672"/>
      <w:del w:id="733" w:author="Master Repository Process" w:date="2022-03-30T12:17:00Z">
        <w:r>
          <w:rPr>
            <w:rStyle w:val="CharSClsNo"/>
          </w:rPr>
          <w:delText>1</w:delText>
        </w:r>
        <w:r>
          <w:delText>.</w:delText>
        </w:r>
        <w:r>
          <w:rPr>
            <w:b w:val="0"/>
          </w:rPr>
          <w:tab/>
        </w:r>
        <w:r>
          <w:delText>Objects</w:delText>
        </w:r>
        <w:bookmarkEnd w:id="732"/>
      </w:del>
    </w:p>
    <w:p>
      <w:pPr>
        <w:pStyle w:val="ySubsection"/>
        <w:rPr>
          <w:del w:id="734" w:author="Master Repository Process" w:date="2022-03-30T12:17:00Z"/>
        </w:rPr>
      </w:pPr>
      <w:del w:id="735" w:author="Master Repository Process" w:date="2022-03-30T12:17:00Z">
        <w:r>
          <w:tab/>
        </w:r>
        <w:r>
          <w:tab/>
          <w:delText xml:space="preserve">The objects of this Schedule are, in relation to petroleum operations or geothermal energy operations — </w:delText>
        </w:r>
      </w:del>
    </w:p>
    <w:p>
      <w:pPr>
        <w:pStyle w:val="yIndenta"/>
        <w:rPr>
          <w:del w:id="736" w:author="Master Repository Process" w:date="2022-03-30T12:17:00Z"/>
        </w:rPr>
      </w:pPr>
      <w:del w:id="737" w:author="Master Repository Process" w:date="2022-03-30T12:17:00Z">
        <w:r>
          <w:tab/>
          <w:delText>(a)</w:delText>
        </w:r>
        <w:r>
          <w:tab/>
          <w:delText xml:space="preserve">to secure the occupational safety and health of persons engaged in those operations; </w:delText>
        </w:r>
        <w:r>
          <w:rPr>
            <w:snapToGrid w:val="0"/>
          </w:rPr>
          <w:delText>and</w:delText>
        </w:r>
      </w:del>
    </w:p>
    <w:p>
      <w:pPr>
        <w:pStyle w:val="yIndenta"/>
        <w:rPr>
          <w:del w:id="738" w:author="Master Repository Process" w:date="2022-03-30T12:17:00Z"/>
        </w:rPr>
      </w:pPr>
      <w:del w:id="739" w:author="Master Repository Process" w:date="2022-03-30T12:17:00Z">
        <w:r>
          <w:tab/>
          <w:delText>(b)</w:delText>
        </w:r>
        <w:r>
          <w:tab/>
          <w:delText xml:space="preserve">to protect persons in the vicinity of those operations at the invitation of, or with the express or implied consent of, the operators of, or persons in control of a part of, those operations from risks to safety and health arising out of those operations; </w:delText>
        </w:r>
        <w:r>
          <w:rPr>
            <w:snapToGrid w:val="0"/>
          </w:rPr>
          <w:delText>and</w:delText>
        </w:r>
      </w:del>
    </w:p>
    <w:p>
      <w:pPr>
        <w:pStyle w:val="yIndenta"/>
        <w:rPr>
          <w:del w:id="740" w:author="Master Repository Process" w:date="2022-03-30T12:17:00Z"/>
        </w:rPr>
      </w:pPr>
      <w:del w:id="741" w:author="Master Repository Process" w:date="2022-03-30T12:17:00Z">
        <w:r>
          <w:tab/>
          <w:delText>(c)</w:delText>
        </w:r>
        <w:r>
          <w:tab/>
          <w:delText xml:space="preserve">to ensure that expert advice is available on occupational safety and health matters in relation to those operations; </w:delText>
        </w:r>
        <w:r>
          <w:rPr>
            <w:snapToGrid w:val="0"/>
          </w:rPr>
          <w:delText>and</w:delText>
        </w:r>
      </w:del>
    </w:p>
    <w:p>
      <w:pPr>
        <w:pStyle w:val="yIndenta"/>
        <w:rPr>
          <w:del w:id="742" w:author="Master Repository Process" w:date="2022-03-30T12:17:00Z"/>
        </w:rPr>
      </w:pPr>
      <w:del w:id="743" w:author="Master Repository Process" w:date="2022-03-30T12:17:00Z">
        <w:r>
          <w:tab/>
          <w:delText>(d)</w:delText>
        </w:r>
        <w:r>
          <w:tab/>
          <w:delText>to promote an occupational environment for members of the workforce engaged in those operations that is adapted to their needs relating to safety and health; and</w:delText>
        </w:r>
      </w:del>
    </w:p>
    <w:p>
      <w:pPr>
        <w:pStyle w:val="yIndenta"/>
        <w:rPr>
          <w:del w:id="744" w:author="Master Repository Process" w:date="2022-03-30T12:17:00Z"/>
        </w:rPr>
      </w:pPr>
      <w:del w:id="745" w:author="Master Repository Process" w:date="2022-03-30T12:17:00Z">
        <w:r>
          <w:tab/>
          <w:delText>(e)</w:delText>
        </w:r>
        <w:r>
          <w:tab/>
          <w:delText>to foster a consultative relationship between all relevant persons concerning the safety and health of members of the workforce engaged in those operations.</w:delText>
        </w:r>
      </w:del>
    </w:p>
    <w:p>
      <w:pPr>
        <w:pStyle w:val="yFootnotesection"/>
        <w:rPr>
          <w:del w:id="746" w:author="Master Repository Process" w:date="2022-03-30T12:17:00Z"/>
        </w:rPr>
      </w:pPr>
      <w:del w:id="747" w:author="Master Repository Process" w:date="2022-03-30T12:17:00Z">
        <w:r>
          <w:tab/>
          <w:delText>[Clause 1 inserted: No. 13 of 2005 s. 17; amended: No. 35 of 2007 s. 87.]</w:delText>
        </w:r>
      </w:del>
    </w:p>
    <w:p>
      <w:pPr>
        <w:pStyle w:val="yHeading5"/>
        <w:rPr>
          <w:del w:id="748" w:author="Master Repository Process" w:date="2022-03-30T12:17:00Z"/>
        </w:rPr>
      </w:pPr>
      <w:bookmarkStart w:id="749" w:name="_Toc97630673"/>
      <w:del w:id="750" w:author="Master Repository Process" w:date="2022-03-30T12:17:00Z">
        <w:r>
          <w:rPr>
            <w:rStyle w:val="CharSClsNo"/>
          </w:rPr>
          <w:delText>2</w:delText>
        </w:r>
        <w:r>
          <w:delText>.</w:delText>
        </w:r>
        <w:r>
          <w:rPr>
            <w:b w:val="0"/>
          </w:rPr>
          <w:tab/>
        </w:r>
        <w:r>
          <w:delText>Simplified outline</w:delText>
        </w:r>
        <w:bookmarkEnd w:id="749"/>
      </w:del>
    </w:p>
    <w:p>
      <w:pPr>
        <w:pStyle w:val="ySubsection"/>
        <w:rPr>
          <w:del w:id="751" w:author="Master Repository Process" w:date="2022-03-30T12:17:00Z"/>
        </w:rPr>
      </w:pPr>
      <w:del w:id="752" w:author="Master Repository Process" w:date="2022-03-30T12:17:00Z">
        <w:r>
          <w:tab/>
        </w:r>
        <w:r>
          <w:tab/>
          <w:delText xml:space="preserve">The following is a simplified outline of this Schedule — </w:delText>
        </w:r>
      </w:del>
    </w:p>
    <w:p>
      <w:pPr>
        <w:pStyle w:val="ySubsection"/>
        <w:numPr>
          <w:ilvl w:val="1"/>
          <w:numId w:val="1"/>
        </w:numPr>
        <w:tabs>
          <w:tab w:val="clear" w:pos="1440"/>
          <w:tab w:val="num" w:pos="1288"/>
        </w:tabs>
        <w:spacing w:before="80"/>
        <w:ind w:left="1321" w:hanging="425"/>
        <w:rPr>
          <w:del w:id="753" w:author="Master Repository Process" w:date="2022-03-30T12:17:00Z"/>
        </w:rPr>
      </w:pPr>
      <w:del w:id="754" w:author="Master Repository Process" w:date="2022-03-30T12:17:00Z">
        <w:r>
          <w:delText>This Schedule sets up a scheme to regulate occupational safety and health matters relating to petroleum operations or geothermal energy operations.</w:delText>
        </w:r>
      </w:del>
    </w:p>
    <w:p>
      <w:pPr>
        <w:pStyle w:val="ySubsection"/>
        <w:keepNext/>
        <w:numPr>
          <w:ilvl w:val="1"/>
          <w:numId w:val="1"/>
        </w:numPr>
        <w:tabs>
          <w:tab w:val="clear" w:pos="1440"/>
          <w:tab w:val="num" w:pos="1288"/>
        </w:tabs>
        <w:spacing w:before="80"/>
        <w:ind w:left="1321" w:hanging="425"/>
        <w:rPr>
          <w:del w:id="755" w:author="Master Repository Process" w:date="2022-03-30T12:17:00Z"/>
        </w:rPr>
      </w:pPr>
      <w:del w:id="756" w:author="Master Repository Process" w:date="2022-03-30T12:17:00Z">
        <w:r>
          <w:delText xml:space="preserve">Occupational safety and health duties are imposed on the following — </w:delText>
        </w:r>
      </w:del>
    </w:p>
    <w:p>
      <w:pPr>
        <w:pStyle w:val="yIndenta"/>
        <w:tabs>
          <w:tab w:val="clear" w:pos="1332"/>
          <w:tab w:val="clear" w:pos="1616"/>
          <w:tab w:val="right" w:pos="1680"/>
          <w:tab w:val="left" w:pos="2040"/>
        </w:tabs>
        <w:ind w:left="2040"/>
        <w:rPr>
          <w:del w:id="757" w:author="Master Repository Process" w:date="2022-03-30T12:17:00Z"/>
        </w:rPr>
      </w:pPr>
      <w:del w:id="758" w:author="Master Repository Process" w:date="2022-03-30T12:17:00Z">
        <w:r>
          <w:tab/>
          <w:delText>(a)</w:delText>
        </w:r>
        <w:r>
          <w:tab/>
          <w:delText>the operator of a petroleum operation or geothermal energy operation;</w:delText>
        </w:r>
      </w:del>
    </w:p>
    <w:p>
      <w:pPr>
        <w:pStyle w:val="yIndenta"/>
        <w:tabs>
          <w:tab w:val="clear" w:pos="1332"/>
          <w:tab w:val="clear" w:pos="1616"/>
          <w:tab w:val="right" w:pos="1680"/>
          <w:tab w:val="left" w:pos="2040"/>
        </w:tabs>
        <w:ind w:left="2040"/>
        <w:rPr>
          <w:del w:id="759" w:author="Master Repository Process" w:date="2022-03-30T12:17:00Z"/>
        </w:rPr>
      </w:pPr>
      <w:del w:id="760" w:author="Master Repository Process" w:date="2022-03-30T12:17:00Z">
        <w:r>
          <w:tab/>
          <w:delText>(b)</w:delText>
        </w:r>
        <w:r>
          <w:tab/>
          <w:delText>a person in control of any part of a petroleum operation or geothermal energy operation;</w:delText>
        </w:r>
      </w:del>
    </w:p>
    <w:p>
      <w:pPr>
        <w:pStyle w:val="yIndenta"/>
        <w:tabs>
          <w:tab w:val="clear" w:pos="1332"/>
          <w:tab w:val="clear" w:pos="1616"/>
          <w:tab w:val="right" w:pos="1680"/>
          <w:tab w:val="left" w:pos="2040"/>
        </w:tabs>
        <w:ind w:left="2040"/>
        <w:rPr>
          <w:del w:id="761" w:author="Master Repository Process" w:date="2022-03-30T12:17:00Z"/>
        </w:rPr>
      </w:pPr>
      <w:del w:id="762" w:author="Master Repository Process" w:date="2022-03-30T12:17:00Z">
        <w:r>
          <w:tab/>
          <w:delText>(c)</w:delText>
        </w:r>
        <w:r>
          <w:tab/>
          <w:delText>an employer;</w:delText>
        </w:r>
      </w:del>
    </w:p>
    <w:p>
      <w:pPr>
        <w:pStyle w:val="yIndenta"/>
        <w:tabs>
          <w:tab w:val="clear" w:pos="1332"/>
          <w:tab w:val="clear" w:pos="1616"/>
          <w:tab w:val="right" w:pos="1680"/>
          <w:tab w:val="left" w:pos="2040"/>
        </w:tabs>
        <w:ind w:left="2040"/>
        <w:rPr>
          <w:del w:id="763" w:author="Master Repository Process" w:date="2022-03-30T12:17:00Z"/>
        </w:rPr>
      </w:pPr>
      <w:del w:id="764" w:author="Master Repository Process" w:date="2022-03-30T12:17:00Z">
        <w:r>
          <w:tab/>
          <w:delText>(d)</w:delText>
        </w:r>
        <w:r>
          <w:tab/>
          <w:delText>a manufacturer of plant, or a substance, for use in a petroleum operation or geothermal energy operation;</w:delText>
        </w:r>
      </w:del>
    </w:p>
    <w:p>
      <w:pPr>
        <w:pStyle w:val="yIndenta"/>
        <w:tabs>
          <w:tab w:val="clear" w:pos="1332"/>
          <w:tab w:val="clear" w:pos="1616"/>
          <w:tab w:val="right" w:pos="1680"/>
          <w:tab w:val="left" w:pos="2040"/>
        </w:tabs>
        <w:ind w:left="2040"/>
        <w:rPr>
          <w:del w:id="765" w:author="Master Repository Process" w:date="2022-03-30T12:17:00Z"/>
        </w:rPr>
      </w:pPr>
      <w:del w:id="766" w:author="Master Repository Process" w:date="2022-03-30T12:17:00Z">
        <w:r>
          <w:tab/>
          <w:delText>(e)</w:delText>
        </w:r>
        <w:r>
          <w:tab/>
          <w:delText>a supplier of a facility, or of any plant or substance, for use in a petroleum operation or geothermal energy operation;</w:delText>
        </w:r>
      </w:del>
    </w:p>
    <w:p>
      <w:pPr>
        <w:pStyle w:val="yIndenta"/>
        <w:tabs>
          <w:tab w:val="clear" w:pos="1332"/>
          <w:tab w:val="clear" w:pos="1616"/>
          <w:tab w:val="right" w:pos="1680"/>
          <w:tab w:val="left" w:pos="2040"/>
        </w:tabs>
        <w:ind w:left="2040"/>
        <w:rPr>
          <w:del w:id="767" w:author="Master Repository Process" w:date="2022-03-30T12:17:00Z"/>
        </w:rPr>
      </w:pPr>
      <w:del w:id="768" w:author="Master Repository Process" w:date="2022-03-30T12:17:00Z">
        <w:r>
          <w:tab/>
          <w:delText>(f)</w:delText>
        </w:r>
        <w:r>
          <w:tab/>
          <w:delText>a person who erects or installs a facility, or any plant, for use in a petroleum operation or geothermal energy operation;</w:delText>
        </w:r>
      </w:del>
    </w:p>
    <w:p>
      <w:pPr>
        <w:pStyle w:val="yIndenta"/>
        <w:tabs>
          <w:tab w:val="clear" w:pos="1332"/>
          <w:tab w:val="clear" w:pos="1616"/>
          <w:tab w:val="right" w:pos="1680"/>
          <w:tab w:val="left" w:pos="2040"/>
        </w:tabs>
        <w:ind w:left="2040"/>
        <w:rPr>
          <w:del w:id="769" w:author="Master Repository Process" w:date="2022-03-30T12:17:00Z"/>
        </w:rPr>
      </w:pPr>
      <w:del w:id="770" w:author="Master Repository Process" w:date="2022-03-30T12:17:00Z">
        <w:r>
          <w:tab/>
          <w:delText>(g)</w:delText>
        </w:r>
        <w:r>
          <w:tab/>
          <w:delText>a person engaged in a petroleum operation or geothermal energy operation.</w:delText>
        </w:r>
      </w:del>
    </w:p>
    <w:p>
      <w:pPr>
        <w:pStyle w:val="ySubsection"/>
        <w:numPr>
          <w:ilvl w:val="1"/>
          <w:numId w:val="1"/>
        </w:numPr>
        <w:tabs>
          <w:tab w:val="clear" w:pos="1440"/>
          <w:tab w:val="num" w:pos="1288"/>
        </w:tabs>
        <w:spacing w:before="80"/>
        <w:ind w:left="1321" w:hanging="425"/>
        <w:rPr>
          <w:del w:id="771" w:author="Master Repository Process" w:date="2022-03-30T12:17:00Z"/>
        </w:rPr>
      </w:pPr>
      <w:del w:id="772" w:author="Master Repository Process" w:date="2022-03-30T12:17:00Z">
        <w:r>
          <w:delText>A group of members of the workforce engaged in a petroleum operation or geothermal energy operation may be established as a designated work group.</w:delText>
        </w:r>
      </w:del>
    </w:p>
    <w:p>
      <w:pPr>
        <w:pStyle w:val="ySubsection"/>
        <w:numPr>
          <w:ilvl w:val="1"/>
          <w:numId w:val="1"/>
        </w:numPr>
        <w:tabs>
          <w:tab w:val="clear" w:pos="1440"/>
          <w:tab w:val="num" w:pos="1288"/>
        </w:tabs>
        <w:spacing w:before="80"/>
        <w:ind w:left="1321" w:hanging="425"/>
        <w:rPr>
          <w:del w:id="773" w:author="Master Repository Process" w:date="2022-03-30T12:17:00Z"/>
        </w:rPr>
      </w:pPr>
      <w:del w:id="774" w:author="Master Repository Process" w:date="2022-03-30T12:17:00Z">
        <w:r>
          <w:delText>The members of a designated work group may select a safety and health representative for that designated work group.</w:delText>
        </w:r>
      </w:del>
    </w:p>
    <w:p>
      <w:pPr>
        <w:pStyle w:val="ySubsection"/>
        <w:numPr>
          <w:ilvl w:val="1"/>
          <w:numId w:val="1"/>
        </w:numPr>
        <w:tabs>
          <w:tab w:val="clear" w:pos="1440"/>
          <w:tab w:val="num" w:pos="1288"/>
        </w:tabs>
        <w:spacing w:before="80"/>
        <w:ind w:left="1321" w:hanging="425"/>
        <w:rPr>
          <w:del w:id="775" w:author="Master Repository Process" w:date="2022-03-30T12:17:00Z"/>
        </w:rPr>
      </w:pPr>
      <w:del w:id="776" w:author="Master Repository Process" w:date="2022-03-30T12:17:00Z">
        <w:r>
          <w:delText>The safety and health representative may exercise certain powers for the purpose of promoting or ensuring the occupational safety and health of group members.</w:delText>
        </w:r>
      </w:del>
    </w:p>
    <w:p>
      <w:pPr>
        <w:pStyle w:val="ySubsection"/>
        <w:numPr>
          <w:ilvl w:val="1"/>
          <w:numId w:val="1"/>
        </w:numPr>
        <w:tabs>
          <w:tab w:val="clear" w:pos="1440"/>
          <w:tab w:val="num" w:pos="1288"/>
        </w:tabs>
        <w:spacing w:before="80"/>
        <w:ind w:left="1321" w:hanging="425"/>
        <w:rPr>
          <w:del w:id="777" w:author="Master Repository Process" w:date="2022-03-30T12:17:00Z"/>
        </w:rPr>
      </w:pPr>
      <w:del w:id="778" w:author="Master Repository Process" w:date="2022-03-30T12:17:00Z">
        <w:r>
          <w:delText xml:space="preserve">An inspector may conduct an inspection — </w:delText>
        </w:r>
      </w:del>
    </w:p>
    <w:p>
      <w:pPr>
        <w:pStyle w:val="yIndenta"/>
        <w:tabs>
          <w:tab w:val="clear" w:pos="1332"/>
          <w:tab w:val="clear" w:pos="1616"/>
          <w:tab w:val="right" w:pos="1680"/>
          <w:tab w:val="left" w:pos="2040"/>
        </w:tabs>
        <w:ind w:left="2040"/>
        <w:rPr>
          <w:del w:id="779" w:author="Master Repository Process" w:date="2022-03-30T12:17:00Z"/>
        </w:rPr>
      </w:pPr>
      <w:del w:id="780" w:author="Master Repository Process" w:date="2022-03-30T12:17:00Z">
        <w:r>
          <w:tab/>
          <w:delText>(a)</w:delText>
        </w:r>
        <w:r>
          <w:tab/>
          <w:delText>to ascertain whether a listed OSH law is being complied with; or</w:delText>
        </w:r>
      </w:del>
    </w:p>
    <w:p>
      <w:pPr>
        <w:pStyle w:val="yIndenta"/>
        <w:tabs>
          <w:tab w:val="clear" w:pos="1332"/>
          <w:tab w:val="clear" w:pos="1616"/>
          <w:tab w:val="right" w:pos="1680"/>
          <w:tab w:val="left" w:pos="2040"/>
        </w:tabs>
        <w:ind w:left="2040"/>
        <w:rPr>
          <w:del w:id="781" w:author="Master Repository Process" w:date="2022-03-30T12:17:00Z"/>
        </w:rPr>
      </w:pPr>
      <w:del w:id="782" w:author="Master Repository Process" w:date="2022-03-30T12:17:00Z">
        <w:r>
          <w:tab/>
          <w:delText>(b)</w:delText>
        </w:r>
        <w:r>
          <w:tab/>
          <w:delText>concerning a contravention or a possible contravention of a listed OSH law; or</w:delText>
        </w:r>
      </w:del>
    </w:p>
    <w:p>
      <w:pPr>
        <w:pStyle w:val="yIndenta"/>
        <w:tabs>
          <w:tab w:val="clear" w:pos="1332"/>
          <w:tab w:val="clear" w:pos="1616"/>
          <w:tab w:val="right" w:pos="1680"/>
          <w:tab w:val="left" w:pos="2040"/>
        </w:tabs>
        <w:ind w:left="2040"/>
        <w:rPr>
          <w:del w:id="783" w:author="Master Repository Process" w:date="2022-03-30T12:17:00Z"/>
        </w:rPr>
      </w:pPr>
      <w:del w:id="784" w:author="Master Repository Process" w:date="2022-03-30T12:17:00Z">
        <w:r>
          <w:tab/>
          <w:delText>(c)</w:delText>
        </w:r>
        <w:r>
          <w:tab/>
          <w:delText>concerning an accident or dangerous occurrence that has happened at or near a place at which a petroleum operation or geothermal energy operation is carried on.</w:delText>
        </w:r>
      </w:del>
    </w:p>
    <w:p>
      <w:pPr>
        <w:pStyle w:val="ySubsection"/>
        <w:keepLines/>
        <w:numPr>
          <w:ilvl w:val="1"/>
          <w:numId w:val="1"/>
        </w:numPr>
        <w:tabs>
          <w:tab w:val="clear" w:pos="1440"/>
          <w:tab w:val="num" w:pos="1288"/>
        </w:tabs>
        <w:spacing w:before="80"/>
        <w:ind w:left="1321" w:hanging="425"/>
        <w:rPr>
          <w:del w:id="785" w:author="Master Repository Process" w:date="2022-03-30T12:17:00Z"/>
        </w:rPr>
      </w:pPr>
      <w:del w:id="786" w:author="Master Repository Process" w:date="2022-03-30T12:17:00Z">
        <w:r>
          <w:delText>The operator of a petroleum operation or geothermal energy operation must report to the Minister accidents and dangerous occurrences arising out of the petroleum operation or geothermal energy operation.</w:delText>
        </w:r>
      </w:del>
    </w:p>
    <w:p>
      <w:pPr>
        <w:pStyle w:val="yFootnotesection"/>
        <w:rPr>
          <w:del w:id="787" w:author="Master Repository Process" w:date="2022-03-30T12:17:00Z"/>
        </w:rPr>
      </w:pPr>
      <w:del w:id="788" w:author="Master Repository Process" w:date="2022-03-30T12:17:00Z">
        <w:r>
          <w:tab/>
          <w:delText>[Clause 2 inserted: No. 13 of 2005 s. 17; amended: No. 35 of 2007 s. 86 and 87.]</w:delText>
        </w:r>
      </w:del>
    </w:p>
    <w:p>
      <w:pPr>
        <w:pStyle w:val="yHeading5"/>
        <w:rPr>
          <w:del w:id="789" w:author="Master Repository Process" w:date="2022-03-30T12:17:00Z"/>
        </w:rPr>
      </w:pPr>
      <w:bookmarkStart w:id="790" w:name="_Toc97630674"/>
      <w:del w:id="791" w:author="Master Repository Process" w:date="2022-03-30T12:17:00Z">
        <w:r>
          <w:rPr>
            <w:rStyle w:val="CharSClsNo"/>
          </w:rPr>
          <w:delText>3</w:delText>
        </w:r>
        <w:r>
          <w:delText>.</w:delText>
        </w:r>
        <w:r>
          <w:rPr>
            <w:b w:val="0"/>
          </w:rPr>
          <w:tab/>
        </w:r>
        <w:r>
          <w:delText>Terms used</w:delText>
        </w:r>
        <w:bookmarkEnd w:id="790"/>
      </w:del>
    </w:p>
    <w:p>
      <w:pPr>
        <w:pStyle w:val="ySubsection"/>
        <w:rPr>
          <w:del w:id="792" w:author="Master Repository Process" w:date="2022-03-30T12:17:00Z"/>
        </w:rPr>
      </w:pPr>
      <w:del w:id="793" w:author="Master Repository Process" w:date="2022-03-30T12:17:00Z">
        <w:r>
          <w:tab/>
        </w:r>
        <w:r>
          <w:tab/>
          <w:delText xml:space="preserve">In this Schedule — </w:delText>
        </w:r>
      </w:del>
    </w:p>
    <w:p>
      <w:pPr>
        <w:pStyle w:val="yDefstart"/>
        <w:rPr>
          <w:del w:id="794" w:author="Master Repository Process" w:date="2022-03-30T12:17:00Z"/>
        </w:rPr>
      </w:pPr>
      <w:del w:id="795" w:author="Master Repository Process" w:date="2022-03-30T12:17:00Z">
        <w:r>
          <w:tab/>
        </w:r>
        <w:r>
          <w:rPr>
            <w:rStyle w:val="CharDefText"/>
          </w:rPr>
          <w:delText>accident</w:delText>
        </w:r>
        <w:r>
          <w:delText xml:space="preserve"> </w:delText>
        </w:r>
        <w:r>
          <w:rPr>
            <w:bCs/>
          </w:rPr>
          <w:delText>includes</w:delText>
        </w:r>
        <w:r>
          <w:delText xml:space="preserve"> the contraction of a disease;</w:delText>
        </w:r>
      </w:del>
    </w:p>
    <w:p>
      <w:pPr>
        <w:pStyle w:val="yDefstart"/>
        <w:rPr>
          <w:del w:id="796" w:author="Master Repository Process" w:date="2022-03-30T12:17:00Z"/>
        </w:rPr>
      </w:pPr>
      <w:del w:id="797" w:author="Master Repository Process" w:date="2022-03-30T12:17:00Z">
        <w:r>
          <w:tab/>
        </w:r>
        <w:r>
          <w:rPr>
            <w:rStyle w:val="CharDefText"/>
          </w:rPr>
          <w:delText>contract</w:delText>
        </w:r>
        <w:r>
          <w:delText xml:space="preserve"> includes an arrangement or understanding;</w:delText>
        </w:r>
      </w:del>
    </w:p>
    <w:p>
      <w:pPr>
        <w:pStyle w:val="yDefstart"/>
        <w:rPr>
          <w:del w:id="798" w:author="Master Repository Process" w:date="2022-03-30T12:17:00Z"/>
        </w:rPr>
      </w:pPr>
      <w:del w:id="799" w:author="Master Repository Process" w:date="2022-03-30T12:17:00Z">
        <w:r>
          <w:tab/>
        </w:r>
        <w:r>
          <w:rPr>
            <w:rStyle w:val="CharDefText"/>
          </w:rPr>
          <w:delText>contractor</w:delText>
        </w:r>
        <w:r>
          <w:delText xml:space="preserve"> has the meaning given by clause 6;</w:delText>
        </w:r>
      </w:del>
    </w:p>
    <w:p>
      <w:pPr>
        <w:pStyle w:val="yDefstart"/>
        <w:rPr>
          <w:del w:id="800" w:author="Master Repository Process" w:date="2022-03-30T12:17:00Z"/>
        </w:rPr>
      </w:pPr>
      <w:del w:id="801" w:author="Master Repository Process" w:date="2022-03-30T12:17:00Z">
        <w:r>
          <w:tab/>
        </w:r>
        <w:r>
          <w:rPr>
            <w:rStyle w:val="CharDefText"/>
          </w:rPr>
          <w:delText>dangerous occurrence</w:delText>
        </w:r>
        <w:r>
          <w:delText xml:space="preserve"> means an occurrence declared by the regulations to be a dangerous occurrence for the purposes of this definition;</w:delText>
        </w:r>
      </w:del>
    </w:p>
    <w:p>
      <w:pPr>
        <w:pStyle w:val="yDefstart"/>
        <w:rPr>
          <w:del w:id="802" w:author="Master Repository Process" w:date="2022-03-30T12:17:00Z"/>
        </w:rPr>
      </w:pPr>
      <w:del w:id="803" w:author="Master Repository Process" w:date="2022-03-30T12:17:00Z">
        <w:r>
          <w:tab/>
        </w:r>
        <w:r>
          <w:rPr>
            <w:rStyle w:val="CharDefText"/>
          </w:rPr>
          <w:delText>designated work group</w:delText>
        </w:r>
        <w:r>
          <w:delText xml:space="preserve"> means — </w:delText>
        </w:r>
      </w:del>
    </w:p>
    <w:p>
      <w:pPr>
        <w:pStyle w:val="yDefpara"/>
        <w:rPr>
          <w:del w:id="804" w:author="Master Repository Process" w:date="2022-03-30T12:17:00Z"/>
        </w:rPr>
      </w:pPr>
      <w:del w:id="805" w:author="Master Repository Process" w:date="2022-03-30T12:17:00Z">
        <w:r>
          <w:tab/>
          <w:delText>(a)</w:delText>
        </w:r>
        <w:r>
          <w:tab/>
          <w:delText>a group of members of the workforce engaged in a petroleum operation or geothermal energy operation that is established as a designated work group under clause 17 or 18; or</w:delText>
        </w:r>
      </w:del>
    </w:p>
    <w:p>
      <w:pPr>
        <w:pStyle w:val="yDefpara"/>
        <w:rPr>
          <w:del w:id="806" w:author="Master Repository Process" w:date="2022-03-30T12:17:00Z"/>
        </w:rPr>
      </w:pPr>
      <w:del w:id="807" w:author="Master Repository Process" w:date="2022-03-30T12:17:00Z">
        <w:r>
          <w:tab/>
          <w:delText>(b)</w:delText>
        </w:r>
        <w:r>
          <w:tab/>
          <w:delText>that group as varied in accordance with clause 19 or 20;</w:delText>
        </w:r>
      </w:del>
    </w:p>
    <w:p>
      <w:pPr>
        <w:pStyle w:val="yDefstart"/>
        <w:rPr>
          <w:del w:id="808" w:author="Master Repository Process" w:date="2022-03-30T12:17:00Z"/>
        </w:rPr>
      </w:pPr>
      <w:del w:id="809" w:author="Master Repository Process" w:date="2022-03-30T12:17:00Z">
        <w:r>
          <w:tab/>
        </w:r>
        <w:r>
          <w:rPr>
            <w:rStyle w:val="CharDefText"/>
          </w:rPr>
          <w:delText>employee</w:delText>
        </w:r>
        <w:r>
          <w:delText>, in relation to an employer, means an employee of that employer;</w:delText>
        </w:r>
      </w:del>
    </w:p>
    <w:p>
      <w:pPr>
        <w:pStyle w:val="yDefstart"/>
        <w:rPr>
          <w:del w:id="810" w:author="Master Repository Process" w:date="2022-03-30T12:17:00Z"/>
        </w:rPr>
      </w:pPr>
      <w:del w:id="811" w:author="Master Repository Process" w:date="2022-03-30T12:17:00Z">
        <w:r>
          <w:tab/>
        </w:r>
        <w:r>
          <w:rPr>
            <w:rStyle w:val="CharDefText"/>
          </w:rPr>
          <w:delText>employer</w:delText>
        </w:r>
        <w:r>
          <w:delText xml:space="preserve"> means an employer who carries on a petroleum operation or geothermal energy operation;</w:delText>
        </w:r>
      </w:del>
    </w:p>
    <w:p>
      <w:pPr>
        <w:pStyle w:val="yDefstart"/>
        <w:rPr>
          <w:del w:id="812" w:author="Master Repository Process" w:date="2022-03-30T12:17:00Z"/>
        </w:rPr>
      </w:pPr>
      <w:del w:id="813" w:author="Master Repository Process" w:date="2022-03-30T12:17:00Z">
        <w:r>
          <w:tab/>
        </w:r>
        <w:r>
          <w:rPr>
            <w:rStyle w:val="CharDefText"/>
          </w:rPr>
          <w:delText>group member</w:delText>
        </w:r>
        <w:r>
          <w:delText xml:space="preserve">, in relation to a designated work group for a petroleum operation or geothermal energy operation, means a person who is — </w:delText>
        </w:r>
      </w:del>
    </w:p>
    <w:p>
      <w:pPr>
        <w:pStyle w:val="yDefpara"/>
        <w:rPr>
          <w:del w:id="814" w:author="Master Repository Process" w:date="2022-03-30T12:17:00Z"/>
        </w:rPr>
      </w:pPr>
      <w:del w:id="815" w:author="Master Repository Process" w:date="2022-03-30T12:17:00Z">
        <w:r>
          <w:tab/>
          <w:delText>(a)</w:delText>
        </w:r>
        <w:r>
          <w:tab/>
          <w:delText>a member of the workforce engaged in that operation; and</w:delText>
        </w:r>
      </w:del>
    </w:p>
    <w:p>
      <w:pPr>
        <w:pStyle w:val="yDefpara"/>
        <w:rPr>
          <w:del w:id="816" w:author="Master Repository Process" w:date="2022-03-30T12:17:00Z"/>
        </w:rPr>
      </w:pPr>
      <w:del w:id="817" w:author="Master Repository Process" w:date="2022-03-30T12:17:00Z">
        <w:r>
          <w:tab/>
          <w:delText>(b)</w:delText>
        </w:r>
        <w:r>
          <w:tab/>
          <w:delText>included in that designated work group;</w:delText>
        </w:r>
      </w:del>
    </w:p>
    <w:p>
      <w:pPr>
        <w:pStyle w:val="yDefstart"/>
        <w:rPr>
          <w:del w:id="818" w:author="Master Repository Process" w:date="2022-03-30T12:17:00Z"/>
        </w:rPr>
      </w:pPr>
      <w:del w:id="819" w:author="Master Repository Process" w:date="2022-03-30T12:17:00Z">
        <w:r>
          <w:tab/>
        </w:r>
        <w:r>
          <w:rPr>
            <w:rStyle w:val="CharDefText"/>
          </w:rPr>
          <w:delText>improvement notice</w:delText>
        </w:r>
        <w:r>
          <w:delText xml:space="preserve"> means an improvement notice issued under clause 60(1);</w:delText>
        </w:r>
      </w:del>
    </w:p>
    <w:p>
      <w:pPr>
        <w:pStyle w:val="yDefstart"/>
        <w:rPr>
          <w:del w:id="820" w:author="Master Repository Process" w:date="2022-03-30T12:17:00Z"/>
        </w:rPr>
      </w:pPr>
      <w:del w:id="821" w:author="Master Repository Process" w:date="2022-03-30T12:17:00Z">
        <w:r>
          <w:tab/>
        </w:r>
        <w:r>
          <w:rPr>
            <w:rStyle w:val="CharDefText"/>
          </w:rPr>
          <w:delText>inspection</w:delText>
        </w:r>
        <w:r>
          <w:delText xml:space="preserve"> means an inspection conducted under Division 4 and includes an investigation or inquiry;</w:delText>
        </w:r>
      </w:del>
    </w:p>
    <w:p>
      <w:pPr>
        <w:pStyle w:val="yDefstart"/>
        <w:keepNext/>
        <w:rPr>
          <w:del w:id="822" w:author="Master Repository Process" w:date="2022-03-30T12:17:00Z"/>
        </w:rPr>
      </w:pPr>
      <w:del w:id="823" w:author="Master Repository Process" w:date="2022-03-30T12:17:00Z">
        <w:r>
          <w:tab/>
        </w:r>
        <w:r>
          <w:rPr>
            <w:rStyle w:val="CharDefText"/>
          </w:rPr>
          <w:delText>member of the workforce</w:delText>
        </w:r>
        <w:r>
          <w:delText xml:space="preserve">, in relation to a petroleum operation or geothermal energy operation, means a natural person who is engaged in the operation, whether — </w:delText>
        </w:r>
      </w:del>
    </w:p>
    <w:p>
      <w:pPr>
        <w:pStyle w:val="yDefpara"/>
        <w:rPr>
          <w:del w:id="824" w:author="Master Repository Process" w:date="2022-03-30T12:17:00Z"/>
        </w:rPr>
      </w:pPr>
      <w:del w:id="825" w:author="Master Repository Process" w:date="2022-03-30T12:17:00Z">
        <w:r>
          <w:tab/>
          <w:delText>(a)</w:delText>
        </w:r>
        <w:r>
          <w:tab/>
          <w:delText>as an employee of the operator or of another person; or</w:delText>
        </w:r>
      </w:del>
    </w:p>
    <w:p>
      <w:pPr>
        <w:pStyle w:val="yDefpara"/>
        <w:rPr>
          <w:del w:id="826" w:author="Master Repository Process" w:date="2022-03-30T12:17:00Z"/>
        </w:rPr>
      </w:pPr>
      <w:del w:id="827" w:author="Master Repository Process" w:date="2022-03-30T12:17:00Z">
        <w:r>
          <w:tab/>
          <w:delText>(b)</w:delText>
        </w:r>
        <w:r>
          <w:tab/>
          <w:delText>as a contractor of the operator or of another person;</w:delText>
        </w:r>
      </w:del>
    </w:p>
    <w:p>
      <w:pPr>
        <w:pStyle w:val="yDefstart"/>
        <w:rPr>
          <w:del w:id="828" w:author="Master Repository Process" w:date="2022-03-30T12:17:00Z"/>
        </w:rPr>
      </w:pPr>
      <w:del w:id="829" w:author="Master Repository Process" w:date="2022-03-30T12:17:00Z">
        <w:r>
          <w:tab/>
        </w:r>
        <w:r>
          <w:rPr>
            <w:rStyle w:val="CharDefText"/>
          </w:rPr>
          <w:delText>operator’s representative</w:delText>
        </w:r>
        <w:r>
          <w:delText xml:space="preserve"> means a person present at a workplace in compliance with the obligations imposed on the operator by clause 4;</w:delText>
        </w:r>
      </w:del>
    </w:p>
    <w:p>
      <w:pPr>
        <w:pStyle w:val="yDefstart"/>
        <w:rPr>
          <w:del w:id="830" w:author="Master Repository Process" w:date="2022-03-30T12:17:00Z"/>
        </w:rPr>
      </w:pPr>
      <w:del w:id="831" w:author="Master Repository Process" w:date="2022-03-30T12:17:00Z">
        <w:r>
          <w:tab/>
        </w:r>
        <w:r>
          <w:rPr>
            <w:rStyle w:val="CharDefText"/>
          </w:rPr>
          <w:delText>own</w:delText>
        </w:r>
        <w:r>
          <w:delText xml:space="preserve"> includes own jointly and own in part;</w:delText>
        </w:r>
      </w:del>
    </w:p>
    <w:p>
      <w:pPr>
        <w:pStyle w:val="yDefstart"/>
        <w:rPr>
          <w:del w:id="832" w:author="Master Repository Process" w:date="2022-03-30T12:17:00Z"/>
        </w:rPr>
      </w:pPr>
      <w:del w:id="833" w:author="Master Repository Process" w:date="2022-03-30T12:17:00Z">
        <w:r>
          <w:tab/>
        </w:r>
        <w:r>
          <w:rPr>
            <w:rStyle w:val="CharDefText"/>
          </w:rPr>
          <w:delText>plant</w:delText>
        </w:r>
        <w:r>
          <w:delText xml:space="preserve"> includes any machinery, equipment or tool, or any component;</w:delText>
        </w:r>
      </w:del>
    </w:p>
    <w:p>
      <w:pPr>
        <w:pStyle w:val="yDefstart"/>
        <w:rPr>
          <w:del w:id="834" w:author="Master Repository Process" w:date="2022-03-30T12:17:00Z"/>
        </w:rPr>
      </w:pPr>
      <w:del w:id="835" w:author="Master Repository Process" w:date="2022-03-30T12:17:00Z">
        <w:r>
          <w:tab/>
        </w:r>
        <w:r>
          <w:rPr>
            <w:rStyle w:val="CharDefText"/>
          </w:rPr>
          <w:delText>premises</w:delText>
        </w:r>
        <w:r>
          <w:delText xml:space="preserve"> includes the following — </w:delText>
        </w:r>
      </w:del>
    </w:p>
    <w:p>
      <w:pPr>
        <w:pStyle w:val="yDefpara"/>
        <w:rPr>
          <w:del w:id="836" w:author="Master Repository Process" w:date="2022-03-30T12:17:00Z"/>
        </w:rPr>
      </w:pPr>
      <w:del w:id="837" w:author="Master Repository Process" w:date="2022-03-30T12:17:00Z">
        <w:r>
          <w:tab/>
          <w:delText>(a)</w:delText>
        </w:r>
        <w:r>
          <w:tab/>
          <w:delText>a structure or building;</w:delText>
        </w:r>
      </w:del>
    </w:p>
    <w:p>
      <w:pPr>
        <w:pStyle w:val="yDefpara"/>
        <w:rPr>
          <w:del w:id="838" w:author="Master Repository Process" w:date="2022-03-30T12:17:00Z"/>
        </w:rPr>
      </w:pPr>
      <w:del w:id="839" w:author="Master Repository Process" w:date="2022-03-30T12:17:00Z">
        <w:r>
          <w:tab/>
          <w:delText>(b)</w:delText>
        </w:r>
        <w:r>
          <w:tab/>
          <w:delText>a place (whether or not enclosed or built on);</w:delText>
        </w:r>
      </w:del>
    </w:p>
    <w:p>
      <w:pPr>
        <w:pStyle w:val="yDefpara"/>
        <w:rPr>
          <w:del w:id="840" w:author="Master Repository Process" w:date="2022-03-30T12:17:00Z"/>
        </w:rPr>
      </w:pPr>
      <w:del w:id="841" w:author="Master Repository Process" w:date="2022-03-30T12:17:00Z">
        <w:r>
          <w:tab/>
          <w:delText>(c)</w:delText>
        </w:r>
        <w:r>
          <w:tab/>
          <w:delText>a part of a thing referred to in paragraph (a) or (b);</w:delText>
        </w:r>
      </w:del>
    </w:p>
    <w:p>
      <w:pPr>
        <w:pStyle w:val="yDefstart"/>
        <w:rPr>
          <w:del w:id="842" w:author="Master Repository Process" w:date="2022-03-30T12:17:00Z"/>
        </w:rPr>
      </w:pPr>
      <w:del w:id="843" w:author="Master Repository Process" w:date="2022-03-30T12:17:00Z">
        <w:r>
          <w:tab/>
        </w:r>
        <w:r>
          <w:rPr>
            <w:rStyle w:val="CharDefText"/>
          </w:rPr>
          <w:delText>prohibition notice</w:delText>
        </w:r>
        <w:r>
          <w:delText xml:space="preserve"> means a prohibition notice issued under clause 58(1);</w:delText>
        </w:r>
      </w:del>
    </w:p>
    <w:p>
      <w:pPr>
        <w:pStyle w:val="yDefstart"/>
        <w:rPr>
          <w:del w:id="844" w:author="Master Repository Process" w:date="2022-03-30T12:17:00Z"/>
        </w:rPr>
      </w:pPr>
      <w:del w:id="845" w:author="Master Repository Process" w:date="2022-03-30T12:17:00Z">
        <w:r>
          <w:tab/>
        </w:r>
        <w:r>
          <w:rPr>
            <w:rStyle w:val="CharDefText"/>
          </w:rPr>
          <w:delText>registered organisation</w:delText>
        </w:r>
        <w:r>
          <w:delText xml:space="preserve"> means an organisation — </w:delText>
        </w:r>
      </w:del>
    </w:p>
    <w:p>
      <w:pPr>
        <w:pStyle w:val="yDefpara"/>
        <w:rPr>
          <w:del w:id="846" w:author="Master Repository Process" w:date="2022-03-30T12:17:00Z"/>
        </w:rPr>
      </w:pPr>
      <w:del w:id="847" w:author="Master Repository Process" w:date="2022-03-30T12:17:00Z">
        <w:r>
          <w:tab/>
          <w:delText>(a)</w:delText>
        </w:r>
        <w:r>
          <w:tab/>
          <w:delText xml:space="preserve">within the meaning of the </w:delText>
        </w:r>
        <w:r>
          <w:rPr>
            <w:i/>
            <w:iCs/>
          </w:rPr>
          <w:delText xml:space="preserve">Workplace Relations Act 1996 </w:delText>
        </w:r>
        <w:r>
          <w:delText>of the Commonwealth; or</w:delText>
        </w:r>
      </w:del>
    </w:p>
    <w:p>
      <w:pPr>
        <w:pStyle w:val="yDefpara"/>
        <w:rPr>
          <w:del w:id="848" w:author="Master Repository Process" w:date="2022-03-30T12:17:00Z"/>
        </w:rPr>
      </w:pPr>
      <w:del w:id="849" w:author="Master Repository Process" w:date="2022-03-30T12:17:00Z">
        <w:r>
          <w:tab/>
          <w:delText>(b)</w:delText>
        </w:r>
        <w:r>
          <w:tab/>
          <w:delText xml:space="preserve">as defined in section 7(1) of the </w:delText>
        </w:r>
        <w:r>
          <w:rPr>
            <w:i/>
          </w:rPr>
          <w:delText>Industrial Relations Act 1979</w:delText>
        </w:r>
        <w:r>
          <w:delText>;</w:delText>
        </w:r>
      </w:del>
    </w:p>
    <w:p>
      <w:pPr>
        <w:pStyle w:val="yDefstart"/>
        <w:rPr>
          <w:del w:id="850" w:author="Master Repository Process" w:date="2022-03-30T12:17:00Z"/>
        </w:rPr>
      </w:pPr>
      <w:del w:id="851" w:author="Master Repository Process" w:date="2022-03-30T12:17:00Z">
        <w:r>
          <w:tab/>
        </w:r>
        <w:r>
          <w:rPr>
            <w:rStyle w:val="CharDefText"/>
          </w:rPr>
          <w:delText>regulated business premises</w:delText>
        </w:r>
        <w:r>
          <w:delText xml:space="preserve"> means — </w:delText>
        </w:r>
      </w:del>
    </w:p>
    <w:p>
      <w:pPr>
        <w:pStyle w:val="yDefpara"/>
        <w:rPr>
          <w:del w:id="852" w:author="Master Repository Process" w:date="2022-03-30T12:17:00Z"/>
        </w:rPr>
      </w:pPr>
      <w:del w:id="853" w:author="Master Repository Process" w:date="2022-03-30T12:17:00Z">
        <w:r>
          <w:tab/>
          <w:delText>(a)</w:delText>
        </w:r>
        <w:r>
          <w:tab/>
          <w:delText>a place where a petroleum operation or geothermal energy operation is carried on; or</w:delText>
        </w:r>
      </w:del>
    </w:p>
    <w:p>
      <w:pPr>
        <w:pStyle w:val="yDefpara"/>
        <w:rPr>
          <w:del w:id="854" w:author="Master Repository Process" w:date="2022-03-30T12:17:00Z"/>
        </w:rPr>
      </w:pPr>
      <w:del w:id="855" w:author="Master Repository Process" w:date="2022-03-30T12:17:00Z">
        <w:r>
          <w:tab/>
          <w:delText>(b)</w:delText>
        </w:r>
        <w:r>
          <w:tab/>
          <w:delText xml:space="preserve">premises that are — </w:delText>
        </w:r>
      </w:del>
    </w:p>
    <w:p>
      <w:pPr>
        <w:pStyle w:val="yDefsubpara"/>
        <w:rPr>
          <w:del w:id="856" w:author="Master Repository Process" w:date="2022-03-30T12:17:00Z"/>
        </w:rPr>
      </w:pPr>
      <w:del w:id="857" w:author="Master Repository Process" w:date="2022-03-30T12:17:00Z">
        <w:r>
          <w:tab/>
          <w:delText>(i)</w:delText>
        </w:r>
        <w:r>
          <w:tab/>
          <w:delText>occupied by a person who is the operator of a petroleum operation or geothermal energy operation; and</w:delText>
        </w:r>
      </w:del>
    </w:p>
    <w:p>
      <w:pPr>
        <w:pStyle w:val="yDefsubpara"/>
        <w:rPr>
          <w:del w:id="858" w:author="Master Repository Process" w:date="2022-03-30T12:17:00Z"/>
        </w:rPr>
      </w:pPr>
      <w:del w:id="859" w:author="Master Repository Process" w:date="2022-03-30T12:17:00Z">
        <w:r>
          <w:tab/>
          <w:delText>(ii)</w:delText>
        </w:r>
        <w:r>
          <w:tab/>
          <w:delText>used, or proposed to be used, wholly or principally in connection with a petroleum operation or geothermal energy operation;</w:delText>
        </w:r>
      </w:del>
    </w:p>
    <w:p>
      <w:pPr>
        <w:pStyle w:val="yDefstart"/>
        <w:rPr>
          <w:del w:id="860" w:author="Master Repository Process" w:date="2022-03-30T12:17:00Z"/>
        </w:rPr>
      </w:pPr>
      <w:del w:id="861" w:author="Master Repository Process" w:date="2022-03-30T12:17:00Z">
        <w:r>
          <w:tab/>
        </w:r>
        <w:r>
          <w:rPr>
            <w:rStyle w:val="CharDefText"/>
          </w:rPr>
          <w:delText>regulations</w:delText>
        </w:r>
        <w:r>
          <w:delText xml:space="preserve"> means regulations made for the purposes of this Schedule;</w:delText>
        </w:r>
      </w:del>
    </w:p>
    <w:p>
      <w:pPr>
        <w:pStyle w:val="yDefstart"/>
        <w:rPr>
          <w:del w:id="862" w:author="Master Repository Process" w:date="2022-03-30T12:17:00Z"/>
        </w:rPr>
      </w:pPr>
      <w:del w:id="863" w:author="Master Repository Process" w:date="2022-03-30T12:17:00Z">
        <w:r>
          <w:tab/>
        </w:r>
        <w:r>
          <w:rPr>
            <w:rStyle w:val="CharDefText"/>
          </w:rPr>
          <w:delText>Tribunal</w:delText>
        </w:r>
        <w:r>
          <w:delText xml:space="preserve"> has the meaning given to that term in the </w:delText>
        </w:r>
        <w:r>
          <w:rPr>
            <w:i/>
          </w:rPr>
          <w:delText>Occupational Safety and Health Act 1984</w:delText>
        </w:r>
        <w:r>
          <w:delText xml:space="preserve"> section 51G(2);</w:delText>
        </w:r>
      </w:del>
    </w:p>
    <w:p>
      <w:pPr>
        <w:pStyle w:val="yDefstart"/>
        <w:rPr>
          <w:del w:id="864" w:author="Master Repository Process" w:date="2022-03-30T12:17:00Z"/>
        </w:rPr>
      </w:pPr>
      <w:del w:id="865" w:author="Master Repository Process" w:date="2022-03-30T12:17:00Z">
        <w:r>
          <w:tab/>
        </w:r>
        <w:r>
          <w:rPr>
            <w:rStyle w:val="CharDefText"/>
          </w:rPr>
          <w:delText>work</w:delText>
        </w:r>
        <w:r>
          <w:delText xml:space="preserve"> means work that is directly or indirectly related to a petroleum operation or geothermal energy operation;</w:delText>
        </w:r>
      </w:del>
    </w:p>
    <w:p>
      <w:pPr>
        <w:pStyle w:val="yDefstart"/>
        <w:rPr>
          <w:del w:id="866" w:author="Master Repository Process" w:date="2022-03-30T12:17:00Z"/>
        </w:rPr>
      </w:pPr>
      <w:del w:id="867" w:author="Master Repository Process" w:date="2022-03-30T12:17:00Z">
        <w:r>
          <w:tab/>
        </w:r>
        <w:r>
          <w:rPr>
            <w:rStyle w:val="CharDefText"/>
          </w:rPr>
          <w:delText>workforce representative</w:delText>
        </w:r>
        <w:r>
          <w:delText xml:space="preserve"> means — </w:delText>
        </w:r>
      </w:del>
    </w:p>
    <w:p>
      <w:pPr>
        <w:pStyle w:val="yDefpara"/>
        <w:rPr>
          <w:del w:id="868" w:author="Master Repository Process" w:date="2022-03-30T12:17:00Z"/>
        </w:rPr>
      </w:pPr>
      <w:del w:id="869" w:author="Master Repository Process" w:date="2022-03-30T12:17:00Z">
        <w:r>
          <w:tab/>
          <w:delText>(a)</w:delText>
        </w:r>
        <w:r>
          <w:tab/>
          <w:delText>in relation to a person who is a member of the workforce engaged in a petroleum operation or geothermal energy operation — a registered organisation of which that person is a member, if the person is qualified to be a member of that organisation because of the work the person performs in relation to the petroleum operation or geothermal energy operation; or</w:delText>
        </w:r>
      </w:del>
    </w:p>
    <w:p>
      <w:pPr>
        <w:pStyle w:val="yDefpara"/>
        <w:rPr>
          <w:del w:id="870" w:author="Master Repository Process" w:date="2022-03-30T12:17:00Z"/>
        </w:rPr>
      </w:pPr>
      <w:del w:id="871" w:author="Master Repository Process" w:date="2022-03-30T12:17:00Z">
        <w:r>
          <w:tab/>
          <w:delText>(b)</w:delText>
        </w:r>
        <w:r>
          <w:tab/>
          <w:delTex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or geothermal energy operation as a member of the group;</w:delText>
        </w:r>
      </w:del>
    </w:p>
    <w:p>
      <w:pPr>
        <w:pStyle w:val="yDefstart"/>
        <w:rPr>
          <w:del w:id="872" w:author="Master Repository Process" w:date="2022-03-30T12:17:00Z"/>
        </w:rPr>
      </w:pPr>
      <w:del w:id="873" w:author="Master Repository Process" w:date="2022-03-30T12:17:00Z">
        <w:r>
          <w:tab/>
        </w:r>
        <w:r>
          <w:rPr>
            <w:rStyle w:val="CharDefText"/>
          </w:rPr>
          <w:delText>work group employer</w:delText>
        </w:r>
        <w:r>
          <w:delText>, in relation to a designated work group in relation to a petroleum operation or geothermal energy operation, means an employer of one or more group members, but does not include the operator of the petroleum operation or geothermal energy operation;</w:delText>
        </w:r>
      </w:del>
    </w:p>
    <w:p>
      <w:pPr>
        <w:pStyle w:val="yDefstart"/>
        <w:rPr>
          <w:del w:id="874" w:author="Master Repository Process" w:date="2022-03-30T12:17:00Z"/>
        </w:rPr>
      </w:pPr>
      <w:del w:id="875" w:author="Master Repository Process" w:date="2022-03-30T12:17:00Z">
        <w:r>
          <w:rPr>
            <w:b/>
            <w:i/>
          </w:rPr>
          <w:tab/>
        </w:r>
        <w:r>
          <w:rPr>
            <w:rStyle w:val="CharDefText"/>
          </w:rPr>
          <w:delText>workplace</w:delText>
        </w:r>
        <w:r>
          <w:delText>, in relation to a petroleum operation or geothermal energy operation, means the whole place where the petroleum operation or geothermal energy operation is carried on or any part of a place where the petroleum operation or geothermal energy operation is carried on.</w:delText>
        </w:r>
      </w:del>
    </w:p>
    <w:p>
      <w:pPr>
        <w:pStyle w:val="yFootnotesection"/>
        <w:rPr>
          <w:del w:id="876" w:author="Master Repository Process" w:date="2022-03-30T12:17:00Z"/>
        </w:rPr>
      </w:pPr>
      <w:del w:id="877" w:author="Master Repository Process" w:date="2022-03-30T12:17:00Z">
        <w:r>
          <w:tab/>
          <w:delText>[Clause 3 inserted: No. 13 of 2005 s. 17; amended: No. 35 of 2007 s. 86.]</w:delText>
        </w:r>
      </w:del>
    </w:p>
    <w:p>
      <w:pPr>
        <w:pStyle w:val="yHeading5"/>
        <w:rPr>
          <w:del w:id="878" w:author="Master Repository Process" w:date="2022-03-30T12:17:00Z"/>
        </w:rPr>
      </w:pPr>
      <w:bookmarkStart w:id="879" w:name="_Toc97630675"/>
      <w:del w:id="880" w:author="Master Repository Process" w:date="2022-03-30T12:17:00Z">
        <w:r>
          <w:rPr>
            <w:rStyle w:val="CharSClsNo"/>
          </w:rPr>
          <w:delText>4</w:delText>
        </w:r>
        <w:r>
          <w:delText>.</w:delText>
        </w:r>
        <w:r>
          <w:rPr>
            <w:b w:val="0"/>
          </w:rPr>
          <w:tab/>
        </w:r>
        <w:r>
          <w:delText>Operator must ensure presence of operator’s representative</w:delText>
        </w:r>
        <w:bookmarkEnd w:id="879"/>
      </w:del>
    </w:p>
    <w:p>
      <w:pPr>
        <w:pStyle w:val="ySubsection"/>
        <w:rPr>
          <w:del w:id="881" w:author="Master Repository Process" w:date="2022-03-30T12:17:00Z"/>
        </w:rPr>
      </w:pPr>
      <w:del w:id="882" w:author="Master Repository Process" w:date="2022-03-30T12:17:00Z">
        <w:r>
          <w:tab/>
          <w:delText>(1)</w:delText>
        </w:r>
        <w:r>
          <w:tab/>
          <w:delText xml:space="preserve">The operator of a petroleum operation or geothermal energy operation must ensure that, at all times when one or more natural persons are engaged in the petroleum operation or geothermal energy operation, there is present at the workplace a natural person (the </w:delText>
        </w:r>
        <w:r>
          <w:rPr>
            <w:rStyle w:val="CharDefText"/>
          </w:rPr>
          <w:delText>operator’s representative</w:delText>
        </w:r>
        <w:r>
          <w:delText>) who has day to day management and control of the petroleum operation or geothermal energy operation.</w:delText>
        </w:r>
      </w:del>
    </w:p>
    <w:p>
      <w:pPr>
        <w:pStyle w:val="yPenstart"/>
        <w:rPr>
          <w:del w:id="883" w:author="Master Repository Process" w:date="2022-03-30T12:17:00Z"/>
        </w:rPr>
      </w:pPr>
      <w:del w:id="884" w:author="Master Repository Process" w:date="2022-03-30T12:17:00Z">
        <w:r>
          <w:tab/>
          <w:delText>Penalty: a fine of $5 500.</w:delText>
        </w:r>
      </w:del>
    </w:p>
    <w:p>
      <w:pPr>
        <w:pStyle w:val="ySubsection"/>
        <w:rPr>
          <w:del w:id="885" w:author="Master Repository Process" w:date="2022-03-30T12:17:00Z"/>
        </w:rPr>
      </w:pPr>
      <w:del w:id="886" w:author="Master Repository Process" w:date="2022-03-30T12:17:00Z">
        <w:r>
          <w:tab/>
          <w:delText>(2)</w:delText>
        </w:r>
        <w:r>
          <w:tab/>
          <w:delText>The operator of a petroleum operation or geothermal energy operation must ensure that the name of the operator’s representative is displayed in a prominent place at the workplace.</w:delText>
        </w:r>
      </w:del>
    </w:p>
    <w:p>
      <w:pPr>
        <w:pStyle w:val="yPenstart"/>
        <w:rPr>
          <w:del w:id="887" w:author="Master Repository Process" w:date="2022-03-30T12:17:00Z"/>
        </w:rPr>
      </w:pPr>
      <w:del w:id="888" w:author="Master Repository Process" w:date="2022-03-30T12:17:00Z">
        <w:r>
          <w:tab/>
          <w:delText>Penalty: a fine of $5 500.</w:delText>
        </w:r>
      </w:del>
    </w:p>
    <w:p>
      <w:pPr>
        <w:pStyle w:val="ySubsection"/>
        <w:rPr>
          <w:del w:id="889" w:author="Master Repository Process" w:date="2022-03-30T12:17:00Z"/>
        </w:rPr>
      </w:pPr>
      <w:del w:id="890" w:author="Master Repository Process" w:date="2022-03-30T12:17:00Z">
        <w:r>
          <w:tab/>
          <w:delText>(3)</w:delText>
        </w:r>
        <w:r>
          <w:tab/>
          <w:delText>Subclause (1) does not imply that, if the operator is a natural person, the operator’s representative may not be, from time to time, the operator.</w:delText>
        </w:r>
      </w:del>
    </w:p>
    <w:p>
      <w:pPr>
        <w:pStyle w:val="yFootnotesection"/>
        <w:rPr>
          <w:del w:id="891" w:author="Master Repository Process" w:date="2022-03-30T12:17:00Z"/>
        </w:rPr>
      </w:pPr>
      <w:del w:id="892" w:author="Master Repository Process" w:date="2022-03-30T12:17:00Z">
        <w:r>
          <w:tab/>
          <w:delText>[Clause 4 inserted: No. 13 of 2005 s. 17; amended: No. 35 of 2007 s. 86; No. 42 of 2010 s. 60(6).]</w:delText>
        </w:r>
      </w:del>
    </w:p>
    <w:p>
      <w:pPr>
        <w:pStyle w:val="yHeading5"/>
        <w:rPr>
          <w:del w:id="893" w:author="Master Repository Process" w:date="2022-03-30T12:17:00Z"/>
        </w:rPr>
      </w:pPr>
      <w:bookmarkStart w:id="894" w:name="_Toc97630676"/>
      <w:del w:id="895" w:author="Master Repository Process" w:date="2022-03-30T12:17:00Z">
        <w:r>
          <w:rPr>
            <w:rStyle w:val="CharSClsNo"/>
          </w:rPr>
          <w:delText>5</w:delText>
        </w:r>
        <w:r>
          <w:delText>.</w:delText>
        </w:r>
        <w:r>
          <w:rPr>
            <w:b w:val="0"/>
          </w:rPr>
          <w:tab/>
        </w:r>
        <w:r>
          <w:delText>Safety and health of persons using accommodation amenity</w:delText>
        </w:r>
        <w:bookmarkEnd w:id="894"/>
      </w:del>
    </w:p>
    <w:p>
      <w:pPr>
        <w:pStyle w:val="ySubsection"/>
        <w:rPr>
          <w:del w:id="896" w:author="Master Repository Process" w:date="2022-03-30T12:17:00Z"/>
        </w:rPr>
      </w:pPr>
      <w:del w:id="897" w:author="Master Repository Process" w:date="2022-03-30T12:17:00Z">
        <w:r>
          <w:tab/>
        </w:r>
        <w:r>
          <w:tab/>
          <w:delText>For the avoidance of doubt, a reference in this Schedule to the occupational safety and health of a person includes a reference to the safety and health of a person using an accommodation amenity provided for the accommodation of persons engaged in a petroleum operation or geothermal energy operation.</w:delText>
        </w:r>
      </w:del>
    </w:p>
    <w:p>
      <w:pPr>
        <w:pStyle w:val="yFootnotesection"/>
        <w:rPr>
          <w:del w:id="898" w:author="Master Repository Process" w:date="2022-03-30T12:17:00Z"/>
        </w:rPr>
      </w:pPr>
      <w:del w:id="899" w:author="Master Repository Process" w:date="2022-03-30T12:17:00Z">
        <w:r>
          <w:tab/>
          <w:delText>[Clause 5 inserted: No. 13 of 2005 s. 17; amended: No. 35 of 2007 s. 86.]</w:delText>
        </w:r>
      </w:del>
    </w:p>
    <w:p>
      <w:pPr>
        <w:pStyle w:val="yHeading5"/>
        <w:rPr>
          <w:del w:id="900" w:author="Master Repository Process" w:date="2022-03-30T12:17:00Z"/>
        </w:rPr>
      </w:pPr>
      <w:bookmarkStart w:id="901" w:name="_Toc97630677"/>
      <w:del w:id="902" w:author="Master Repository Process" w:date="2022-03-30T12:17:00Z">
        <w:r>
          <w:rPr>
            <w:rStyle w:val="CharSClsNo"/>
          </w:rPr>
          <w:delText>6</w:delText>
        </w:r>
        <w:r>
          <w:delText>.</w:delText>
        </w:r>
        <w:r>
          <w:rPr>
            <w:b w:val="0"/>
          </w:rPr>
          <w:tab/>
        </w:r>
        <w:r>
          <w:delText>Contractor</w:delText>
        </w:r>
        <w:bookmarkEnd w:id="901"/>
      </w:del>
    </w:p>
    <w:p>
      <w:pPr>
        <w:pStyle w:val="ySubsection"/>
        <w:rPr>
          <w:del w:id="903" w:author="Master Repository Process" w:date="2022-03-30T12:17:00Z"/>
        </w:rPr>
      </w:pPr>
      <w:del w:id="904" w:author="Master Repository Process" w:date="2022-03-30T12:17:00Z">
        <w:r>
          <w:tab/>
        </w:r>
        <w:r>
          <w:tab/>
          <w:delText xml:space="preserve">For the purposes of this Schedule, a natural person is taken to be a “contractor” of another person (the </w:delText>
        </w:r>
        <w:r>
          <w:rPr>
            <w:rStyle w:val="CharDefText"/>
          </w:rPr>
          <w:delText>relevant person</w:delText>
        </w:r>
        <w:r>
          <w:delText xml:space="preserve">) if the natural person is engaged in a petroleum operation or geothermal energy operation under a contract for services between — </w:delText>
        </w:r>
      </w:del>
    </w:p>
    <w:p>
      <w:pPr>
        <w:pStyle w:val="yIndenta"/>
        <w:spacing w:before="60"/>
        <w:rPr>
          <w:del w:id="905" w:author="Master Repository Process" w:date="2022-03-30T12:17:00Z"/>
        </w:rPr>
      </w:pPr>
      <w:del w:id="906" w:author="Master Repository Process" w:date="2022-03-30T12:17:00Z">
        <w:r>
          <w:tab/>
          <w:delText>(a)</w:delText>
        </w:r>
        <w:r>
          <w:tab/>
          <w:delText>the relevant person; and</w:delText>
        </w:r>
      </w:del>
    </w:p>
    <w:p>
      <w:pPr>
        <w:pStyle w:val="yIndenta"/>
        <w:spacing w:before="60"/>
        <w:rPr>
          <w:del w:id="907" w:author="Master Repository Process" w:date="2022-03-30T12:17:00Z"/>
        </w:rPr>
      </w:pPr>
      <w:del w:id="908" w:author="Master Repository Process" w:date="2022-03-30T12:17:00Z">
        <w:r>
          <w:tab/>
          <w:delText>(b)</w:delText>
        </w:r>
        <w:r>
          <w:tab/>
          <w:delText xml:space="preserve">either — </w:delText>
        </w:r>
      </w:del>
    </w:p>
    <w:p>
      <w:pPr>
        <w:pStyle w:val="yIndenti0"/>
        <w:spacing w:before="60"/>
        <w:rPr>
          <w:del w:id="909" w:author="Master Repository Process" w:date="2022-03-30T12:17:00Z"/>
        </w:rPr>
      </w:pPr>
      <w:del w:id="910" w:author="Master Repository Process" w:date="2022-03-30T12:17:00Z">
        <w:r>
          <w:tab/>
          <w:delText>(i)</w:delText>
        </w:r>
        <w:r>
          <w:tab/>
          <w:delText>the natural person; or</w:delText>
        </w:r>
      </w:del>
    </w:p>
    <w:p>
      <w:pPr>
        <w:pStyle w:val="yIndenti0"/>
        <w:spacing w:before="60"/>
        <w:rPr>
          <w:del w:id="911" w:author="Master Repository Process" w:date="2022-03-30T12:17:00Z"/>
        </w:rPr>
      </w:pPr>
      <w:del w:id="912" w:author="Master Repository Process" w:date="2022-03-30T12:17:00Z">
        <w:r>
          <w:tab/>
          <w:delText>(ii)</w:delText>
        </w:r>
        <w:r>
          <w:tab/>
          <w:delText>the employer of the natural person.</w:delText>
        </w:r>
      </w:del>
    </w:p>
    <w:p>
      <w:pPr>
        <w:pStyle w:val="yFootnotesection"/>
        <w:rPr>
          <w:del w:id="913" w:author="Master Repository Process" w:date="2022-03-30T12:17:00Z"/>
        </w:rPr>
      </w:pPr>
      <w:del w:id="914" w:author="Master Repository Process" w:date="2022-03-30T12:17:00Z">
        <w:r>
          <w:tab/>
          <w:delText>[Clause 6 inserted: No. 13 of 2005 s. 17; amended: No. 35 of 2007 s. 86.]</w:delText>
        </w:r>
      </w:del>
    </w:p>
    <w:p>
      <w:pPr>
        <w:pStyle w:val="yHeading3"/>
        <w:keepNext w:val="0"/>
        <w:pageBreakBefore/>
        <w:spacing w:before="0"/>
        <w:rPr>
          <w:del w:id="915" w:author="Master Repository Process" w:date="2022-03-30T12:17:00Z"/>
        </w:rPr>
      </w:pPr>
      <w:bookmarkStart w:id="916" w:name="_Toc97629787"/>
      <w:bookmarkStart w:id="917" w:name="_Toc97630140"/>
      <w:bookmarkStart w:id="918" w:name="_Toc97630678"/>
      <w:del w:id="919" w:author="Master Repository Process" w:date="2022-03-30T12:17:00Z">
        <w:r>
          <w:rPr>
            <w:rStyle w:val="CharSDivNo"/>
          </w:rPr>
          <w:delText>Division 2</w:delText>
        </w:r>
        <w:r>
          <w:rPr>
            <w:b w:val="0"/>
          </w:rPr>
          <w:delText> — </w:delText>
        </w:r>
        <w:r>
          <w:rPr>
            <w:rStyle w:val="CharSDivText"/>
          </w:rPr>
          <w:delText>Occupational safety and health</w:delText>
        </w:r>
        <w:bookmarkEnd w:id="916"/>
        <w:bookmarkEnd w:id="917"/>
        <w:bookmarkEnd w:id="918"/>
      </w:del>
    </w:p>
    <w:p>
      <w:pPr>
        <w:pStyle w:val="yFootnoteheading"/>
        <w:keepNext/>
        <w:keepLines/>
        <w:rPr>
          <w:del w:id="920" w:author="Master Repository Process" w:date="2022-03-30T12:17:00Z"/>
        </w:rPr>
      </w:pPr>
      <w:del w:id="921" w:author="Master Repository Process" w:date="2022-03-30T12:17:00Z">
        <w:r>
          <w:tab/>
          <w:delText>[Heading inserted: No. 13 of 2005 s. 17.]</w:delText>
        </w:r>
      </w:del>
    </w:p>
    <w:p>
      <w:pPr>
        <w:pStyle w:val="yHeading4"/>
        <w:rPr>
          <w:del w:id="922" w:author="Master Repository Process" w:date="2022-03-30T12:17:00Z"/>
        </w:rPr>
      </w:pPr>
      <w:bookmarkStart w:id="923" w:name="_Toc97629788"/>
      <w:bookmarkStart w:id="924" w:name="_Toc97630141"/>
      <w:bookmarkStart w:id="925" w:name="_Toc97630679"/>
      <w:del w:id="926" w:author="Master Repository Process" w:date="2022-03-30T12:17:00Z">
        <w:r>
          <w:delText>Subdivision </w:delText>
        </w:r>
        <w:r>
          <w:rPr>
            <w:bCs/>
          </w:rPr>
          <w:delText>1</w:delText>
        </w:r>
        <w:r>
          <w:rPr>
            <w:b w:val="0"/>
          </w:rPr>
          <w:delText> — </w:delText>
        </w:r>
        <w:r>
          <w:rPr>
            <w:bCs/>
          </w:rPr>
          <w:delText xml:space="preserve">Duties </w:delText>
        </w:r>
        <w:r>
          <w:delText>relating to occupational safety and health</w:delText>
        </w:r>
        <w:bookmarkEnd w:id="923"/>
        <w:bookmarkEnd w:id="924"/>
        <w:bookmarkEnd w:id="925"/>
      </w:del>
    </w:p>
    <w:p>
      <w:pPr>
        <w:pStyle w:val="yFootnoteheading"/>
        <w:rPr>
          <w:del w:id="927" w:author="Master Repository Process" w:date="2022-03-30T12:17:00Z"/>
        </w:rPr>
      </w:pPr>
      <w:del w:id="928" w:author="Master Repository Process" w:date="2022-03-30T12:17:00Z">
        <w:r>
          <w:tab/>
          <w:delText>[Heading inserted: No. 13 of 2005 s. 17.]</w:delText>
        </w:r>
      </w:del>
    </w:p>
    <w:p>
      <w:pPr>
        <w:pStyle w:val="yHeading5"/>
        <w:rPr>
          <w:del w:id="929" w:author="Master Repository Process" w:date="2022-03-30T12:17:00Z"/>
        </w:rPr>
      </w:pPr>
      <w:bookmarkStart w:id="930" w:name="_Toc97630680"/>
      <w:del w:id="931" w:author="Master Repository Process" w:date="2022-03-30T12:17:00Z">
        <w:r>
          <w:rPr>
            <w:rStyle w:val="CharSClsNo"/>
          </w:rPr>
          <w:delText>7</w:delText>
        </w:r>
        <w:r>
          <w:delText>.</w:delText>
        </w:r>
        <w:r>
          <w:rPr>
            <w:b w:val="0"/>
          </w:rPr>
          <w:tab/>
        </w:r>
        <w:r>
          <w:delText>Duties of operator</w:delText>
        </w:r>
        <w:bookmarkEnd w:id="930"/>
      </w:del>
    </w:p>
    <w:p>
      <w:pPr>
        <w:pStyle w:val="ySubsection"/>
        <w:rPr>
          <w:del w:id="932" w:author="Master Repository Process" w:date="2022-03-30T12:17:00Z"/>
        </w:rPr>
      </w:pPr>
      <w:del w:id="933" w:author="Master Repository Process" w:date="2022-03-30T12:17:00Z">
        <w:r>
          <w:tab/>
          <w:delText>(1)</w:delText>
        </w:r>
        <w:r>
          <w:tab/>
          <w:delText>The operator of a petroleum operation or geothermal energy operation must take all reasonably practicable steps to ensure that the petroleum operation or geothermal energy operation is carried out in a manner that is safe and without risk to the health of persons engaged in the petroleum operation or geothermal energy operation or other protected persons.</w:delText>
        </w:r>
      </w:del>
    </w:p>
    <w:p>
      <w:pPr>
        <w:pStyle w:val="yPenstart"/>
        <w:rPr>
          <w:del w:id="934" w:author="Master Repository Process" w:date="2022-03-30T12:17:00Z"/>
        </w:rPr>
      </w:pPr>
      <w:del w:id="935" w:author="Master Repository Process" w:date="2022-03-30T12:17:00Z">
        <w:r>
          <w:tab/>
          <w:delText>Penalty: a fine of $110 000.</w:delText>
        </w:r>
      </w:del>
    </w:p>
    <w:p>
      <w:pPr>
        <w:pStyle w:val="ySubsection"/>
        <w:rPr>
          <w:del w:id="936" w:author="Master Repository Process" w:date="2022-03-30T12:17:00Z"/>
        </w:rPr>
      </w:pPr>
      <w:del w:id="937" w:author="Master Repository Process" w:date="2022-03-30T12:17:00Z">
        <w:r>
          <w:tab/>
          <w:delText>(2)</w:delText>
        </w:r>
        <w:r>
          <w:tab/>
          <w:delText xml:space="preserve">Without limiting the generality of subclause (1), the operator of a petroleum operation or geothermal energy operation must — </w:delText>
        </w:r>
      </w:del>
    </w:p>
    <w:p>
      <w:pPr>
        <w:pStyle w:val="yIndenta"/>
        <w:rPr>
          <w:del w:id="938" w:author="Master Repository Process" w:date="2022-03-30T12:17:00Z"/>
        </w:rPr>
      </w:pPr>
      <w:del w:id="939" w:author="Master Repository Process" w:date="2022-03-30T12:17:00Z">
        <w:r>
          <w:tab/>
          <w:delText>(a)</w:delText>
        </w:r>
        <w:r>
          <w:tab/>
          <w:delText xml:space="preserve">provide and maintain a physical environment at the place where the petroleum operation or geothermal energy operation is carried out that is safe and without risk to health; </w:delText>
        </w:r>
        <w:r>
          <w:rPr>
            <w:snapToGrid w:val="0"/>
          </w:rPr>
          <w:delText>and</w:delText>
        </w:r>
      </w:del>
    </w:p>
    <w:p>
      <w:pPr>
        <w:pStyle w:val="yIndenta"/>
        <w:rPr>
          <w:del w:id="940" w:author="Master Repository Process" w:date="2022-03-30T12:17:00Z"/>
        </w:rPr>
      </w:pPr>
      <w:del w:id="941" w:author="Master Repository Process" w:date="2022-03-30T12:17:00Z">
        <w:r>
          <w:tab/>
          <w:delText>(b)</w:delText>
        </w:r>
        <w:r>
          <w:tab/>
          <w:delText xml:space="preserve">provide and maintain adequate amenities for the safety and health of all members of the workforce engaged in the petroleum operation or geothermal energy operation; </w:delText>
        </w:r>
        <w:r>
          <w:rPr>
            <w:snapToGrid w:val="0"/>
          </w:rPr>
          <w:delText>and</w:delText>
        </w:r>
      </w:del>
    </w:p>
    <w:p>
      <w:pPr>
        <w:pStyle w:val="yIndenta"/>
        <w:rPr>
          <w:del w:id="942" w:author="Master Repository Process" w:date="2022-03-30T12:17:00Z"/>
        </w:rPr>
      </w:pPr>
      <w:del w:id="943" w:author="Master Repository Process" w:date="2022-03-30T12:17:00Z">
        <w:r>
          <w:tab/>
          <w:delText>(c)</w:delText>
        </w:r>
        <w:r>
          <w:tab/>
          <w:delText xml:space="preserve">ensure that any plant, equipment, materials and substances for use in the petroleum operation or geothermal energy operation are safe and without risk to health; </w:delText>
        </w:r>
        <w:r>
          <w:rPr>
            <w:snapToGrid w:val="0"/>
          </w:rPr>
          <w:delText>and</w:delText>
        </w:r>
      </w:del>
    </w:p>
    <w:p>
      <w:pPr>
        <w:pStyle w:val="yIndenta"/>
        <w:rPr>
          <w:del w:id="944" w:author="Master Repository Process" w:date="2022-03-30T12:17:00Z"/>
        </w:rPr>
      </w:pPr>
      <w:del w:id="945" w:author="Master Repository Process" w:date="2022-03-30T12:17:00Z">
        <w:r>
          <w:tab/>
          <w:delText>(d)</w:delText>
        </w:r>
        <w:r>
          <w:tab/>
          <w:delText>implement and maintain systems of work in relation to the petroleum operation or geothermal energy operation that are safe and without risk to health;</w:delText>
        </w:r>
        <w:r>
          <w:rPr>
            <w:snapToGrid w:val="0"/>
          </w:rPr>
          <w:delText xml:space="preserve"> and</w:delText>
        </w:r>
        <w:r>
          <w:delText xml:space="preserve"> </w:delText>
        </w:r>
      </w:del>
    </w:p>
    <w:p>
      <w:pPr>
        <w:pStyle w:val="yIndenta"/>
        <w:rPr>
          <w:del w:id="946" w:author="Master Repository Process" w:date="2022-03-30T12:17:00Z"/>
        </w:rPr>
      </w:pPr>
      <w:del w:id="947" w:author="Master Repository Process" w:date="2022-03-30T12:17:00Z">
        <w:r>
          <w:tab/>
          <w:delText>(e)</w:delText>
        </w:r>
        <w:r>
          <w:tab/>
          <w:delText xml:space="preserve">implement and maintain appropriate procedures and equipment for the control of, and response to, emergencies arising out of the petroleum operation or geothermal energy operation; </w:delText>
        </w:r>
        <w:r>
          <w:rPr>
            <w:snapToGrid w:val="0"/>
          </w:rPr>
          <w:delText>and</w:delText>
        </w:r>
      </w:del>
    </w:p>
    <w:p>
      <w:pPr>
        <w:pStyle w:val="yIndenta"/>
        <w:rPr>
          <w:del w:id="948" w:author="Master Repository Process" w:date="2022-03-30T12:17:00Z"/>
        </w:rPr>
      </w:pPr>
      <w:del w:id="949" w:author="Master Repository Process" w:date="2022-03-30T12:17:00Z">
        <w:r>
          <w:tab/>
          <w:delText>(f)</w:delText>
        </w:r>
        <w:r>
          <w:tab/>
          <w:delText xml:space="preserve">provide all members of the workforce, in appropriate languages, with the information, instruction, training and supervision necessary for them to carry out their activities in a manner that does not adversely affect the occupational safety and health of persons engaged in the petroleum operation or geothermal energy operation; </w:delText>
        </w:r>
        <w:r>
          <w:rPr>
            <w:snapToGrid w:val="0"/>
          </w:rPr>
          <w:delText>and</w:delText>
        </w:r>
      </w:del>
    </w:p>
    <w:p>
      <w:pPr>
        <w:pStyle w:val="yIndenta"/>
        <w:rPr>
          <w:del w:id="950" w:author="Master Repository Process" w:date="2022-03-30T12:17:00Z"/>
        </w:rPr>
      </w:pPr>
      <w:del w:id="951" w:author="Master Repository Process" w:date="2022-03-30T12:17:00Z">
        <w:r>
          <w:tab/>
          <w:delText>(g)</w:delText>
        </w:r>
        <w:r>
          <w:tab/>
          <w:delText xml:space="preserve">monitor the occupational safety and health of all members of the workforce and keep records of that monitoring; </w:delText>
        </w:r>
        <w:r>
          <w:rPr>
            <w:snapToGrid w:val="0"/>
          </w:rPr>
          <w:delText>and</w:delText>
        </w:r>
      </w:del>
    </w:p>
    <w:p>
      <w:pPr>
        <w:pStyle w:val="yIndenta"/>
        <w:rPr>
          <w:del w:id="952" w:author="Master Repository Process" w:date="2022-03-30T12:17:00Z"/>
        </w:rPr>
      </w:pPr>
      <w:del w:id="953" w:author="Master Repository Process" w:date="2022-03-30T12:17:00Z">
        <w:r>
          <w:tab/>
          <w:delText>(h)</w:delText>
        </w:r>
        <w:r>
          <w:tab/>
          <w:delText>provide appropriate medical and first aid services at the places at which a petroleum operation or geothermal energy operation is carried on; and</w:delText>
        </w:r>
      </w:del>
    </w:p>
    <w:p>
      <w:pPr>
        <w:pStyle w:val="yIndenta"/>
        <w:rPr>
          <w:del w:id="954" w:author="Master Repository Process" w:date="2022-03-30T12:17:00Z"/>
        </w:rPr>
      </w:pPr>
      <w:del w:id="955" w:author="Master Repository Process" w:date="2022-03-30T12:17:00Z">
        <w:r>
          <w:tab/>
          <w:delText>(i)</w:delText>
        </w:r>
        <w:r>
          <w:tab/>
          <w:delText xml:space="preserve">develop, in consultation with members of the workforce and workforce representatives, a policy relating to occupational safety and health that — </w:delText>
        </w:r>
      </w:del>
    </w:p>
    <w:p>
      <w:pPr>
        <w:pStyle w:val="yIndenti0"/>
        <w:rPr>
          <w:del w:id="956" w:author="Master Repository Process" w:date="2022-03-30T12:17:00Z"/>
        </w:rPr>
      </w:pPr>
      <w:del w:id="957" w:author="Master Repository Process" w:date="2022-03-30T12:17:00Z">
        <w:r>
          <w:tab/>
          <w:delText>(i)</w:delText>
        </w:r>
        <w:r>
          <w:tab/>
          <w:delText xml:space="preserve">will enable the operator and the members of the workforce to cooperate effectively in promoting and developing measures to ensure the occupational safety and health of persons engaged in the petroleum operation or geothermal energy operation; </w:delText>
        </w:r>
        <w:r>
          <w:rPr>
            <w:snapToGrid w:val="0"/>
          </w:rPr>
          <w:delText>and</w:delText>
        </w:r>
      </w:del>
    </w:p>
    <w:p>
      <w:pPr>
        <w:pStyle w:val="yIndenti0"/>
        <w:rPr>
          <w:del w:id="958" w:author="Master Repository Process" w:date="2022-03-30T12:17:00Z"/>
        </w:rPr>
      </w:pPr>
      <w:del w:id="959" w:author="Master Repository Process" w:date="2022-03-30T12:17:00Z">
        <w:r>
          <w:tab/>
          <w:delText>(ii)</w:delText>
        </w:r>
        <w:r>
          <w:tab/>
          <w:delText>will provide adequate mechanisms for reviewing the effectiveness of the measures; and</w:delText>
        </w:r>
      </w:del>
    </w:p>
    <w:p>
      <w:pPr>
        <w:pStyle w:val="yIndenti0"/>
        <w:rPr>
          <w:del w:id="960" w:author="Master Repository Process" w:date="2022-03-30T12:17:00Z"/>
        </w:rPr>
      </w:pPr>
      <w:del w:id="961" w:author="Master Repository Process" w:date="2022-03-30T12:17:00Z">
        <w:r>
          <w:tab/>
          <w:delText>(iii)</w:delText>
        </w:r>
        <w:r>
          <w:tab/>
          <w:delText>provides for the making of an agreement that complies with subclauses (4) and (5).</w:delText>
        </w:r>
      </w:del>
    </w:p>
    <w:p>
      <w:pPr>
        <w:pStyle w:val="yPenstart"/>
        <w:rPr>
          <w:del w:id="962" w:author="Master Repository Process" w:date="2022-03-30T12:17:00Z"/>
        </w:rPr>
      </w:pPr>
      <w:del w:id="963" w:author="Master Repository Process" w:date="2022-03-30T12:17:00Z">
        <w:r>
          <w:tab/>
          <w:delText>Penalty: a fine of $110 000.</w:delText>
        </w:r>
      </w:del>
    </w:p>
    <w:p>
      <w:pPr>
        <w:pStyle w:val="ySubsection"/>
        <w:rPr>
          <w:del w:id="964" w:author="Master Repository Process" w:date="2022-03-30T12:17:00Z"/>
        </w:rPr>
      </w:pPr>
      <w:del w:id="965" w:author="Master Repository Process" w:date="2022-03-30T12:17:00Z">
        <w:r>
          <w:tab/>
          <w:delText>(3)</w:delText>
        </w:r>
        <w:r>
          <w:tab/>
          <w:delText>Subclause (2)(i) does not require the operator of a petroleum operation or geothermal energy operation to engage in consultations with a workforce representative unless a member of the workforce engaged in the petroleum operation or geothermal energy operation has requested the workforce representative to be involved in those consultations.</w:delText>
        </w:r>
      </w:del>
    </w:p>
    <w:p>
      <w:pPr>
        <w:pStyle w:val="ySubsection"/>
        <w:rPr>
          <w:del w:id="966" w:author="Master Repository Process" w:date="2022-03-30T12:17:00Z"/>
        </w:rPr>
      </w:pPr>
      <w:del w:id="967" w:author="Master Repository Process" w:date="2022-03-30T12:17:00Z">
        <w:r>
          <w:tab/>
          <w:delText>(4)</w:delText>
        </w:r>
        <w:r>
          <w:tab/>
          <w:delText xml:space="preserve">The agreement referred to in subclause (2)(i)(iii) must be between — </w:delText>
        </w:r>
      </w:del>
    </w:p>
    <w:p>
      <w:pPr>
        <w:pStyle w:val="yIndenta"/>
        <w:rPr>
          <w:del w:id="968" w:author="Master Repository Process" w:date="2022-03-30T12:17:00Z"/>
        </w:rPr>
      </w:pPr>
      <w:del w:id="969" w:author="Master Repository Process" w:date="2022-03-30T12:17:00Z">
        <w:r>
          <w:tab/>
          <w:delText>(a)</w:delText>
        </w:r>
        <w:r>
          <w:tab/>
          <w:delText>on the one hand — the operator; and</w:delText>
        </w:r>
      </w:del>
    </w:p>
    <w:p>
      <w:pPr>
        <w:pStyle w:val="yIndenta"/>
        <w:rPr>
          <w:del w:id="970" w:author="Master Repository Process" w:date="2022-03-30T12:17:00Z"/>
        </w:rPr>
      </w:pPr>
      <w:del w:id="971" w:author="Master Repository Process" w:date="2022-03-30T12:17:00Z">
        <w:r>
          <w:tab/>
          <w:delText>(b)</w:delText>
        </w:r>
        <w:r>
          <w:tab/>
          <w:delText xml:space="preserve">on the other hand — </w:delText>
        </w:r>
      </w:del>
    </w:p>
    <w:p>
      <w:pPr>
        <w:pStyle w:val="yIndenti0"/>
        <w:rPr>
          <w:del w:id="972" w:author="Master Repository Process" w:date="2022-03-30T12:17:00Z"/>
        </w:rPr>
      </w:pPr>
      <w:del w:id="973" w:author="Master Repository Process" w:date="2022-03-30T12:17:00Z">
        <w:r>
          <w:tab/>
          <w:delText>(i)</w:delText>
        </w:r>
        <w:r>
          <w:tab/>
          <w:delText>the members of the workforce; and</w:delText>
        </w:r>
      </w:del>
    </w:p>
    <w:p>
      <w:pPr>
        <w:pStyle w:val="yIndenti0"/>
        <w:rPr>
          <w:del w:id="974" w:author="Master Repository Process" w:date="2022-03-30T12:17:00Z"/>
        </w:rPr>
      </w:pPr>
      <w:del w:id="975" w:author="Master Repository Process" w:date="2022-03-30T12:17:00Z">
        <w:r>
          <w:tab/>
          <w:delText>(ii)</w:delText>
        </w:r>
        <w:r>
          <w:tab/>
          <w:delText>if a member of the workforce engaged in the petroleum operation or geothermal energy operation has requested a workforce representative in relation to the member to be a party to that agreement — that workforce representative.</w:delText>
        </w:r>
      </w:del>
    </w:p>
    <w:p>
      <w:pPr>
        <w:pStyle w:val="ySubsection"/>
        <w:keepNext/>
        <w:rPr>
          <w:del w:id="976" w:author="Master Repository Process" w:date="2022-03-30T12:17:00Z"/>
        </w:rPr>
      </w:pPr>
      <w:del w:id="977" w:author="Master Repository Process" w:date="2022-03-30T12:17:00Z">
        <w:r>
          <w:tab/>
          <w:delText>(5)</w:delText>
        </w:r>
        <w:r>
          <w:tab/>
          <w:delText xml:space="preserve">The agreement referred to in subclause (2)(i)(iii) must provide appropriate mechanisms for continuing consultation between — </w:delText>
        </w:r>
      </w:del>
    </w:p>
    <w:p>
      <w:pPr>
        <w:pStyle w:val="yIndenta"/>
        <w:rPr>
          <w:del w:id="978" w:author="Master Repository Process" w:date="2022-03-30T12:17:00Z"/>
        </w:rPr>
      </w:pPr>
      <w:del w:id="979" w:author="Master Repository Process" w:date="2022-03-30T12:17:00Z">
        <w:r>
          <w:tab/>
          <w:delText>(a)</w:delText>
        </w:r>
        <w:r>
          <w:tab/>
          <w:delText>on the one hand — the operator; and</w:delText>
        </w:r>
      </w:del>
    </w:p>
    <w:p>
      <w:pPr>
        <w:pStyle w:val="yIndenta"/>
        <w:rPr>
          <w:del w:id="980" w:author="Master Repository Process" w:date="2022-03-30T12:17:00Z"/>
        </w:rPr>
      </w:pPr>
      <w:del w:id="981" w:author="Master Repository Process" w:date="2022-03-30T12:17:00Z">
        <w:r>
          <w:tab/>
          <w:delText>(b)</w:delText>
        </w:r>
        <w:r>
          <w:tab/>
          <w:delText xml:space="preserve">on the other hand — </w:delText>
        </w:r>
      </w:del>
    </w:p>
    <w:p>
      <w:pPr>
        <w:pStyle w:val="yIndenti0"/>
        <w:rPr>
          <w:del w:id="982" w:author="Master Repository Process" w:date="2022-03-30T12:17:00Z"/>
        </w:rPr>
      </w:pPr>
      <w:del w:id="983" w:author="Master Repository Process" w:date="2022-03-30T12:17:00Z">
        <w:r>
          <w:tab/>
          <w:delText>(i)</w:delText>
        </w:r>
        <w:r>
          <w:tab/>
          <w:delText>the members of the workforce; and</w:delText>
        </w:r>
      </w:del>
    </w:p>
    <w:p>
      <w:pPr>
        <w:pStyle w:val="yIndenti0"/>
        <w:rPr>
          <w:del w:id="984" w:author="Master Repository Process" w:date="2022-03-30T12:17:00Z"/>
        </w:rPr>
      </w:pPr>
      <w:del w:id="985" w:author="Master Repository Process" w:date="2022-03-30T12:17:00Z">
        <w:r>
          <w:tab/>
          <w:delText>(ii)</w:delText>
        </w:r>
        <w:r>
          <w:tab/>
          <w:delText>if a member of the workforce engaged in the petroleum operation or geothermal energy operation has requested a workforce representative in relation to the member to be involved in consultations on a particular occasion — that workforce representative.</w:delText>
        </w:r>
      </w:del>
    </w:p>
    <w:p>
      <w:pPr>
        <w:pStyle w:val="ySubsection"/>
        <w:rPr>
          <w:del w:id="986" w:author="Master Repository Process" w:date="2022-03-30T12:17:00Z"/>
        </w:rPr>
      </w:pPr>
      <w:del w:id="987" w:author="Master Repository Process" w:date="2022-03-30T12:17:00Z">
        <w:r>
          <w:tab/>
          <w:delText>(6)</w:delText>
        </w:r>
        <w:r>
          <w:tab/>
          <w:delText>The agreement may provide for any other matters agreed between the parties to it.</w:delText>
        </w:r>
      </w:del>
    </w:p>
    <w:p>
      <w:pPr>
        <w:pStyle w:val="yFootnotesection"/>
        <w:rPr>
          <w:del w:id="988" w:author="Master Repository Process" w:date="2022-03-30T12:17:00Z"/>
        </w:rPr>
      </w:pPr>
      <w:del w:id="989" w:author="Master Repository Process" w:date="2022-03-30T12:17:00Z">
        <w:r>
          <w:tab/>
          <w:delText>[Clause 7 inserted: No. 13 of 2005 s. 17; amended: No. 35 of 2007 s. 86; No. 42 of 2010 s. 60(6).]</w:delText>
        </w:r>
      </w:del>
    </w:p>
    <w:p>
      <w:pPr>
        <w:pStyle w:val="yHeading5"/>
        <w:rPr>
          <w:del w:id="990" w:author="Master Repository Process" w:date="2022-03-30T12:17:00Z"/>
        </w:rPr>
      </w:pPr>
      <w:bookmarkStart w:id="991" w:name="_Toc97630681"/>
      <w:del w:id="992" w:author="Master Repository Process" w:date="2022-03-30T12:17:00Z">
        <w:r>
          <w:rPr>
            <w:rStyle w:val="CharSClsNo"/>
          </w:rPr>
          <w:delText>8</w:delText>
        </w:r>
        <w:r>
          <w:delText>.</w:delText>
        </w:r>
        <w:r>
          <w:rPr>
            <w:b w:val="0"/>
          </w:rPr>
          <w:tab/>
        </w:r>
        <w:r>
          <w:delText>Duties of persons in control of parts of petroleum operation or geothermal energy operation</w:delText>
        </w:r>
        <w:bookmarkEnd w:id="991"/>
        <w:r>
          <w:delText xml:space="preserve"> </w:delText>
        </w:r>
      </w:del>
    </w:p>
    <w:p>
      <w:pPr>
        <w:pStyle w:val="ySubsection"/>
        <w:rPr>
          <w:del w:id="993" w:author="Master Repository Process" w:date="2022-03-30T12:17:00Z"/>
        </w:rPr>
      </w:pPr>
      <w:del w:id="994" w:author="Master Repository Process" w:date="2022-03-30T12:17:00Z">
        <w:r>
          <w:tab/>
          <w:delText>(1)</w:delText>
        </w:r>
        <w:r>
          <w:tab/>
          <w:delText>A person who is in control of any part of a petroleum operation or geothermal energy operation must take all reasonably practicable steps to ensure that that part of the petroleum operation or geothermal energy operation is carried out in a manner that is safe and without risk to the health of persons engaged in the petroleum operation or geothermal energy operation or other protected persons.</w:delText>
        </w:r>
      </w:del>
    </w:p>
    <w:p>
      <w:pPr>
        <w:pStyle w:val="yPenstart"/>
        <w:rPr>
          <w:del w:id="995" w:author="Master Repository Process" w:date="2022-03-30T12:17:00Z"/>
        </w:rPr>
      </w:pPr>
      <w:del w:id="996" w:author="Master Repository Process" w:date="2022-03-30T12:17:00Z">
        <w:r>
          <w:tab/>
          <w:delText>Penalty: a fine of $110 000.</w:delText>
        </w:r>
      </w:del>
    </w:p>
    <w:p>
      <w:pPr>
        <w:pStyle w:val="ySubsection"/>
        <w:rPr>
          <w:del w:id="997" w:author="Master Repository Process" w:date="2022-03-30T12:17:00Z"/>
        </w:rPr>
      </w:pPr>
      <w:del w:id="998" w:author="Master Repository Process" w:date="2022-03-30T12:17:00Z">
        <w:r>
          <w:tab/>
          <w:delText>(2)</w:delText>
        </w:r>
        <w:r>
          <w:tab/>
          <w:delText xml:space="preserve">Without limiting the generality of subclause (1), a person who is in control of any part of a petroleum operation or geothermal energy operation must — </w:delText>
        </w:r>
      </w:del>
    </w:p>
    <w:p>
      <w:pPr>
        <w:pStyle w:val="yIndenta"/>
        <w:rPr>
          <w:del w:id="999" w:author="Master Repository Process" w:date="2022-03-30T12:17:00Z"/>
        </w:rPr>
      </w:pPr>
      <w:del w:id="1000" w:author="Master Repository Process" w:date="2022-03-30T12:17:00Z">
        <w:r>
          <w:tab/>
          <w:delText>(a)</w:delText>
        </w:r>
        <w:r>
          <w:tab/>
          <w:delText xml:space="preserve">ensure that the physical environment at the place where that part of the petroleum operation or geothermal energy operation is carried out is safe and without risk to health; </w:delText>
        </w:r>
        <w:r>
          <w:rPr>
            <w:snapToGrid w:val="0"/>
          </w:rPr>
          <w:delText>and</w:delText>
        </w:r>
      </w:del>
    </w:p>
    <w:p>
      <w:pPr>
        <w:pStyle w:val="yIndenta"/>
        <w:rPr>
          <w:del w:id="1001" w:author="Master Repository Process" w:date="2022-03-30T12:17:00Z"/>
        </w:rPr>
      </w:pPr>
      <w:del w:id="1002" w:author="Master Repository Process" w:date="2022-03-30T12:17:00Z">
        <w:r>
          <w:tab/>
          <w:delText>(b)</w:delText>
        </w:r>
        <w:r>
          <w:tab/>
          <w:delText>ensure that any plant, equipment, materials and substances for use in that part of the petroleum operation or geothermal energy operation are safe and without risk to health;</w:delText>
        </w:r>
        <w:r>
          <w:rPr>
            <w:snapToGrid w:val="0"/>
          </w:rPr>
          <w:delText xml:space="preserve"> and</w:delText>
        </w:r>
      </w:del>
    </w:p>
    <w:p>
      <w:pPr>
        <w:pStyle w:val="yIndenta"/>
        <w:rPr>
          <w:del w:id="1003" w:author="Master Repository Process" w:date="2022-03-30T12:17:00Z"/>
        </w:rPr>
      </w:pPr>
      <w:del w:id="1004" w:author="Master Repository Process" w:date="2022-03-30T12:17:00Z">
        <w:r>
          <w:tab/>
          <w:delText>(c)</w:delText>
        </w:r>
        <w:r>
          <w:tab/>
          <w:delText xml:space="preserve">implement and maintain systems of work in relation to that part of the petroleum operation or geothermal energy operation that are safe and without risk to health; </w:delText>
        </w:r>
        <w:r>
          <w:rPr>
            <w:snapToGrid w:val="0"/>
          </w:rPr>
          <w:delText>and</w:delText>
        </w:r>
      </w:del>
    </w:p>
    <w:p>
      <w:pPr>
        <w:pStyle w:val="yIndenta"/>
        <w:rPr>
          <w:del w:id="1005" w:author="Master Repository Process" w:date="2022-03-30T12:17:00Z"/>
        </w:rPr>
      </w:pPr>
      <w:del w:id="1006" w:author="Master Repository Process" w:date="2022-03-30T12:17:00Z">
        <w:r>
          <w:tab/>
          <w:delText>(d)</w:delText>
        </w:r>
        <w:r>
          <w:tab/>
          <w:delText>ensure a means of access to, and egress from the place where that part of the petroleum operation or geothermal energy operation is carried out is safe and without risk to health; and</w:delText>
        </w:r>
      </w:del>
    </w:p>
    <w:p>
      <w:pPr>
        <w:pStyle w:val="yIndenta"/>
        <w:rPr>
          <w:del w:id="1007" w:author="Master Repository Process" w:date="2022-03-30T12:17:00Z"/>
        </w:rPr>
      </w:pPr>
      <w:del w:id="1008" w:author="Master Repository Process" w:date="2022-03-30T12:17:00Z">
        <w:r>
          <w:tab/>
          <w:delText>(e)</w:delText>
        </w:r>
        <w:r>
          <w:tab/>
          <w:delText>provide all members of the workforce engaged in that part of the petroleum operation or geothermal energy operation in appropriate languages, with the information, instruction, training and supervision necessary for them to carry out their work in a manner that is safe and without risk to health.</w:delText>
        </w:r>
      </w:del>
    </w:p>
    <w:p>
      <w:pPr>
        <w:pStyle w:val="yPenstart"/>
        <w:rPr>
          <w:del w:id="1009" w:author="Master Repository Process" w:date="2022-03-30T12:17:00Z"/>
        </w:rPr>
      </w:pPr>
      <w:del w:id="1010" w:author="Master Repository Process" w:date="2022-03-30T12:17:00Z">
        <w:r>
          <w:tab/>
          <w:delText>Penalty: a fine of $110 000.</w:delText>
        </w:r>
      </w:del>
    </w:p>
    <w:p>
      <w:pPr>
        <w:pStyle w:val="yFootnotesection"/>
        <w:rPr>
          <w:del w:id="1011" w:author="Master Repository Process" w:date="2022-03-30T12:17:00Z"/>
        </w:rPr>
      </w:pPr>
      <w:del w:id="1012" w:author="Master Repository Process" w:date="2022-03-30T12:17:00Z">
        <w:r>
          <w:tab/>
          <w:delText>[Clause 8 inserted: No. 13 of 2005 s. 17; amended: No. 35 of 2007 s. 86; No. 42 of 2010 s. 60(6).]</w:delText>
        </w:r>
      </w:del>
    </w:p>
    <w:p>
      <w:pPr>
        <w:pStyle w:val="yHeading5"/>
        <w:rPr>
          <w:del w:id="1013" w:author="Master Repository Process" w:date="2022-03-30T12:17:00Z"/>
        </w:rPr>
      </w:pPr>
      <w:bookmarkStart w:id="1014" w:name="_Toc97630682"/>
      <w:del w:id="1015" w:author="Master Repository Process" w:date="2022-03-30T12:17:00Z">
        <w:r>
          <w:rPr>
            <w:rStyle w:val="CharSClsNo"/>
          </w:rPr>
          <w:delText>9</w:delText>
        </w:r>
        <w:r>
          <w:delText>.</w:delText>
        </w:r>
        <w:r>
          <w:rPr>
            <w:b w:val="0"/>
          </w:rPr>
          <w:tab/>
        </w:r>
        <w:r>
          <w:delText>Duties of employers</w:delText>
        </w:r>
        <w:bookmarkEnd w:id="1014"/>
      </w:del>
    </w:p>
    <w:p>
      <w:pPr>
        <w:pStyle w:val="ySubsection"/>
        <w:rPr>
          <w:del w:id="1016" w:author="Master Repository Process" w:date="2022-03-30T12:17:00Z"/>
        </w:rPr>
      </w:pPr>
      <w:del w:id="1017" w:author="Master Repository Process" w:date="2022-03-30T12:17:00Z">
        <w:r>
          <w:tab/>
          <w:delText>(1)</w:delText>
        </w:r>
        <w:r>
          <w:tab/>
          <w:delText>An employer must take all reasonably practicable steps to protect the safety and health of employees engaged in a petroleum operation or geothermal energy operation.</w:delText>
        </w:r>
      </w:del>
    </w:p>
    <w:p>
      <w:pPr>
        <w:pStyle w:val="yPenstart"/>
        <w:rPr>
          <w:del w:id="1018" w:author="Master Repository Process" w:date="2022-03-30T12:17:00Z"/>
        </w:rPr>
      </w:pPr>
      <w:del w:id="1019" w:author="Master Repository Process" w:date="2022-03-30T12:17:00Z">
        <w:r>
          <w:tab/>
          <w:delText>Penalty: a fine of $110 000.</w:delText>
        </w:r>
      </w:del>
    </w:p>
    <w:p>
      <w:pPr>
        <w:pStyle w:val="ySubsection"/>
        <w:rPr>
          <w:del w:id="1020" w:author="Master Repository Process" w:date="2022-03-30T12:17:00Z"/>
        </w:rPr>
      </w:pPr>
      <w:del w:id="1021" w:author="Master Repository Process" w:date="2022-03-30T12:17:00Z">
        <w:r>
          <w:tab/>
          <w:delText>(2)</w:delText>
        </w:r>
        <w:r>
          <w:tab/>
          <w:delText xml:space="preserve">Without limiting the generality of subclause (1), an employer must — </w:delText>
        </w:r>
      </w:del>
    </w:p>
    <w:p>
      <w:pPr>
        <w:pStyle w:val="yIndenta"/>
        <w:rPr>
          <w:del w:id="1022" w:author="Master Repository Process" w:date="2022-03-30T12:17:00Z"/>
        </w:rPr>
      </w:pPr>
      <w:del w:id="1023" w:author="Master Repository Process" w:date="2022-03-30T12:17:00Z">
        <w:r>
          <w:tab/>
          <w:delText>(a)</w:delText>
        </w:r>
        <w:r>
          <w:tab/>
          <w:delText xml:space="preserve">provide and maintain a working environment that is safe for employees and without risk to their health; </w:delText>
        </w:r>
        <w:r>
          <w:rPr>
            <w:snapToGrid w:val="0"/>
          </w:rPr>
          <w:delText>and</w:delText>
        </w:r>
      </w:del>
    </w:p>
    <w:p>
      <w:pPr>
        <w:pStyle w:val="yIndenta"/>
        <w:rPr>
          <w:del w:id="1024" w:author="Master Repository Process" w:date="2022-03-30T12:17:00Z"/>
        </w:rPr>
      </w:pPr>
      <w:del w:id="1025" w:author="Master Repository Process" w:date="2022-03-30T12:17:00Z">
        <w:r>
          <w:tab/>
          <w:delText>(b)</w:delText>
        </w:r>
        <w:r>
          <w:tab/>
          <w:delText xml:space="preserve">ensure that any plant, equipment, materials and substances for use in connection with the employees’ work are safe and without risk to health; </w:delText>
        </w:r>
        <w:r>
          <w:rPr>
            <w:snapToGrid w:val="0"/>
          </w:rPr>
          <w:delText>and</w:delText>
        </w:r>
      </w:del>
    </w:p>
    <w:p>
      <w:pPr>
        <w:pStyle w:val="yIndenta"/>
        <w:rPr>
          <w:del w:id="1026" w:author="Master Repository Process" w:date="2022-03-30T12:17:00Z"/>
        </w:rPr>
      </w:pPr>
      <w:del w:id="1027" w:author="Master Repository Process" w:date="2022-03-30T12:17:00Z">
        <w:r>
          <w:tab/>
          <w:delText>(c)</w:delText>
        </w:r>
        <w:r>
          <w:tab/>
          <w:delText xml:space="preserve">implement and maintain systems of work that are safe and without risk to health; </w:delText>
        </w:r>
        <w:r>
          <w:rPr>
            <w:snapToGrid w:val="0"/>
          </w:rPr>
          <w:delText>and</w:delText>
        </w:r>
      </w:del>
    </w:p>
    <w:p>
      <w:pPr>
        <w:pStyle w:val="yIndenta"/>
        <w:rPr>
          <w:del w:id="1028" w:author="Master Repository Process" w:date="2022-03-30T12:17:00Z"/>
        </w:rPr>
      </w:pPr>
      <w:del w:id="1029" w:author="Master Repository Process" w:date="2022-03-30T12:17:00Z">
        <w:r>
          <w:tab/>
          <w:delText>(d)</w:delText>
        </w:r>
        <w:r>
          <w:tab/>
          <w:delText>provide a means of access to, and egress from, the employees’ work location that is safe and without risk to health; and</w:delText>
        </w:r>
      </w:del>
    </w:p>
    <w:p>
      <w:pPr>
        <w:pStyle w:val="yIndenta"/>
        <w:rPr>
          <w:del w:id="1030" w:author="Master Repository Process" w:date="2022-03-30T12:17:00Z"/>
        </w:rPr>
      </w:pPr>
      <w:del w:id="1031" w:author="Master Repository Process" w:date="2022-03-30T12:17:00Z">
        <w:r>
          <w:tab/>
          <w:delText>(e)</w:delText>
        </w:r>
        <w:r>
          <w:tab/>
          <w:delText>provide the employees, in appropriate languages, with the information, instruction, training and supervision necessary for them to carry out their work in a manner that is safe and without risk to health.</w:delText>
        </w:r>
      </w:del>
    </w:p>
    <w:p>
      <w:pPr>
        <w:pStyle w:val="yPenstart"/>
        <w:rPr>
          <w:del w:id="1032" w:author="Master Repository Process" w:date="2022-03-30T12:17:00Z"/>
        </w:rPr>
      </w:pPr>
      <w:del w:id="1033" w:author="Master Repository Process" w:date="2022-03-30T12:17:00Z">
        <w:r>
          <w:tab/>
          <w:delText>Penalty: a fine of $110 000.</w:delText>
        </w:r>
      </w:del>
    </w:p>
    <w:p>
      <w:pPr>
        <w:pStyle w:val="ySubsection"/>
        <w:keepNext/>
        <w:rPr>
          <w:del w:id="1034" w:author="Master Repository Process" w:date="2022-03-30T12:17:00Z"/>
        </w:rPr>
      </w:pPr>
      <w:del w:id="1035" w:author="Master Repository Process" w:date="2022-03-30T12:17:00Z">
        <w:r>
          <w:tab/>
          <w:delText>(3)</w:delText>
        </w:r>
        <w:r>
          <w:tab/>
          <w:delText xml:space="preserve">A person has, in respect of a contractor of that person, the same obligations that an employer has under subclauses (1) and (2) in respect of an employee of that employer, but only in relation to — </w:delText>
        </w:r>
      </w:del>
    </w:p>
    <w:p>
      <w:pPr>
        <w:pStyle w:val="yIndenta"/>
        <w:spacing w:before="60"/>
        <w:rPr>
          <w:del w:id="1036" w:author="Master Repository Process" w:date="2022-03-30T12:17:00Z"/>
        </w:rPr>
      </w:pPr>
      <w:del w:id="1037" w:author="Master Repository Process" w:date="2022-03-30T12:17:00Z">
        <w:r>
          <w:tab/>
          <w:delText>(a)</w:delText>
        </w:r>
        <w:r>
          <w:tab/>
          <w:delText>matters over which the first</w:delText>
        </w:r>
        <w:r>
          <w:noBreakHyphen/>
          <w:delText>mentioned person has control; or</w:delText>
        </w:r>
      </w:del>
    </w:p>
    <w:p>
      <w:pPr>
        <w:pStyle w:val="yIndenta"/>
        <w:spacing w:before="60"/>
        <w:rPr>
          <w:del w:id="1038" w:author="Master Repository Process" w:date="2022-03-30T12:17:00Z"/>
        </w:rPr>
      </w:pPr>
      <w:del w:id="1039" w:author="Master Repository Process" w:date="2022-03-30T12:17:00Z">
        <w:r>
          <w:tab/>
          <w:delText>(b)</w:delText>
        </w:r>
        <w:r>
          <w:tab/>
          <w:delText xml:space="preserve">matters over which — </w:delText>
        </w:r>
      </w:del>
    </w:p>
    <w:p>
      <w:pPr>
        <w:pStyle w:val="yIndenti0"/>
        <w:spacing w:before="60"/>
        <w:rPr>
          <w:del w:id="1040" w:author="Master Repository Process" w:date="2022-03-30T12:17:00Z"/>
        </w:rPr>
      </w:pPr>
      <w:del w:id="1041" w:author="Master Repository Process" w:date="2022-03-30T12:17:00Z">
        <w:r>
          <w:tab/>
          <w:delText>(i)</w:delText>
        </w:r>
        <w:r>
          <w:tab/>
          <w:delText>the first</w:delText>
        </w:r>
        <w:r>
          <w:noBreakHyphen/>
          <w:delText>mentioned person would have had control apart from express provision to the contrary in a contract; and</w:delText>
        </w:r>
      </w:del>
    </w:p>
    <w:p>
      <w:pPr>
        <w:pStyle w:val="yIndenti0"/>
        <w:spacing w:before="60"/>
        <w:rPr>
          <w:del w:id="1042" w:author="Master Repository Process" w:date="2022-03-30T12:17:00Z"/>
        </w:rPr>
      </w:pPr>
      <w:del w:id="1043" w:author="Master Repository Process" w:date="2022-03-30T12:17:00Z">
        <w:r>
          <w:tab/>
          <w:delText>(ii)</w:delText>
        </w:r>
        <w:r>
          <w:tab/>
          <w:delText>the first</w:delText>
        </w:r>
        <w:r>
          <w:noBreakHyphen/>
          <w:delText>mentioned person would, in the circumstances, usually be expected to have had control.</w:delText>
        </w:r>
      </w:del>
    </w:p>
    <w:p>
      <w:pPr>
        <w:pStyle w:val="ySubsection"/>
        <w:spacing w:before="120"/>
        <w:rPr>
          <w:del w:id="1044" w:author="Master Repository Process" w:date="2022-03-30T12:17:00Z"/>
        </w:rPr>
      </w:pPr>
      <w:del w:id="1045" w:author="Master Repository Process" w:date="2022-03-30T12:17:00Z">
        <w:r>
          <w:tab/>
          <w:delText>(4)</w:delText>
        </w:r>
        <w:r>
          <w:tab/>
          <w:delText xml:space="preserve">An employer must take all reasonable steps to — </w:delText>
        </w:r>
      </w:del>
    </w:p>
    <w:p>
      <w:pPr>
        <w:pStyle w:val="yIndenta"/>
        <w:spacing w:before="60"/>
        <w:rPr>
          <w:del w:id="1046" w:author="Master Repository Process" w:date="2022-03-30T12:17:00Z"/>
        </w:rPr>
      </w:pPr>
      <w:del w:id="1047" w:author="Master Repository Process" w:date="2022-03-30T12:17:00Z">
        <w:r>
          <w:tab/>
          <w:delText>(a)</w:delText>
        </w:r>
        <w:r>
          <w:tab/>
          <w:delText>monitor the safety and health of employees; and</w:delText>
        </w:r>
      </w:del>
    </w:p>
    <w:p>
      <w:pPr>
        <w:pStyle w:val="yIndenta"/>
        <w:spacing w:before="60"/>
        <w:rPr>
          <w:del w:id="1048" w:author="Master Repository Process" w:date="2022-03-30T12:17:00Z"/>
        </w:rPr>
      </w:pPr>
      <w:del w:id="1049" w:author="Master Repository Process" w:date="2022-03-30T12:17:00Z">
        <w:r>
          <w:tab/>
          <w:delText>(b)</w:delText>
        </w:r>
        <w:r>
          <w:tab/>
          <w:delText>keep records of that monitoring.</w:delText>
        </w:r>
      </w:del>
    </w:p>
    <w:p>
      <w:pPr>
        <w:pStyle w:val="yPenstart"/>
        <w:rPr>
          <w:del w:id="1050" w:author="Master Repository Process" w:date="2022-03-30T12:17:00Z"/>
        </w:rPr>
      </w:pPr>
      <w:del w:id="1051" w:author="Master Repository Process" w:date="2022-03-30T12:17:00Z">
        <w:r>
          <w:tab/>
          <w:delText>Penalty: a fine of $110 000.</w:delText>
        </w:r>
      </w:del>
    </w:p>
    <w:p>
      <w:pPr>
        <w:pStyle w:val="ySubsection"/>
        <w:spacing w:before="120"/>
        <w:rPr>
          <w:del w:id="1052" w:author="Master Repository Process" w:date="2022-03-30T12:17:00Z"/>
        </w:rPr>
      </w:pPr>
      <w:del w:id="1053" w:author="Master Repository Process" w:date="2022-03-30T12:17:00Z">
        <w:r>
          <w:tab/>
          <w:delText>(5)</w:delText>
        </w:r>
        <w:r>
          <w:tab/>
          <w:delText xml:space="preserve">An employer must take all reasonably practicable steps to ensure that — </w:delText>
        </w:r>
      </w:del>
    </w:p>
    <w:p>
      <w:pPr>
        <w:pStyle w:val="yIndenta"/>
        <w:spacing w:before="60"/>
        <w:rPr>
          <w:del w:id="1054" w:author="Master Repository Process" w:date="2022-03-30T12:17:00Z"/>
        </w:rPr>
      </w:pPr>
      <w:del w:id="1055" w:author="Master Repository Process" w:date="2022-03-30T12:17:00Z">
        <w:r>
          <w:tab/>
          <w:delText>(a)</w:delText>
        </w:r>
        <w:r>
          <w:tab/>
          <w:delText>work that is undertaken by the employer’s employees is carried out in a manner that is safe and without risk to the health of persons engaged in the petroleum operation or geothermal energy operation or other protected persons; and</w:delText>
        </w:r>
      </w:del>
    </w:p>
    <w:p>
      <w:pPr>
        <w:pStyle w:val="yIndenta"/>
        <w:spacing w:before="60"/>
        <w:rPr>
          <w:del w:id="1056" w:author="Master Repository Process" w:date="2022-03-30T12:17:00Z"/>
        </w:rPr>
      </w:pPr>
      <w:del w:id="1057" w:author="Master Repository Process" w:date="2022-03-30T12:17:00Z">
        <w:r>
          <w:tab/>
          <w:delText>(b)</w:delText>
        </w:r>
        <w:r>
          <w:tab/>
          <w:delText>the employer’s system of work is operated in a manner that is safe and without risk to the health of persons engaged in the petroleum operation or geothermal energy operation or other protected persons.</w:delText>
        </w:r>
      </w:del>
    </w:p>
    <w:p>
      <w:pPr>
        <w:pStyle w:val="yPenstart"/>
        <w:rPr>
          <w:del w:id="1058" w:author="Master Repository Process" w:date="2022-03-30T12:17:00Z"/>
        </w:rPr>
      </w:pPr>
      <w:del w:id="1059" w:author="Master Repository Process" w:date="2022-03-30T12:17:00Z">
        <w:r>
          <w:tab/>
          <w:delText>Penalty: a fine of $22 000.</w:delText>
        </w:r>
      </w:del>
    </w:p>
    <w:p>
      <w:pPr>
        <w:pStyle w:val="yFootnotesection"/>
        <w:spacing w:before="80"/>
        <w:rPr>
          <w:del w:id="1060" w:author="Master Repository Process" w:date="2022-03-30T12:17:00Z"/>
        </w:rPr>
      </w:pPr>
      <w:del w:id="1061" w:author="Master Repository Process" w:date="2022-03-30T12:17:00Z">
        <w:r>
          <w:tab/>
          <w:delText>[Clause 9 inserted: No. 13 of 2005 s. 17; amended: No. 35 of 2007 s. 86; No. 42 of 2010 s. 60(6).]</w:delText>
        </w:r>
      </w:del>
    </w:p>
    <w:p>
      <w:pPr>
        <w:pStyle w:val="yHeading5"/>
        <w:spacing w:before="180"/>
        <w:rPr>
          <w:del w:id="1062" w:author="Master Repository Process" w:date="2022-03-30T12:17:00Z"/>
        </w:rPr>
      </w:pPr>
      <w:bookmarkStart w:id="1063" w:name="_Toc97630683"/>
      <w:del w:id="1064" w:author="Master Repository Process" w:date="2022-03-30T12:17:00Z">
        <w:r>
          <w:rPr>
            <w:rStyle w:val="CharSClsNo"/>
          </w:rPr>
          <w:delText>10</w:delText>
        </w:r>
        <w:r>
          <w:delText>.</w:delText>
        </w:r>
        <w:r>
          <w:rPr>
            <w:b w:val="0"/>
          </w:rPr>
          <w:tab/>
        </w:r>
        <w:r>
          <w:delText>Duties of manufacturers in relation to plant and substances</w:delText>
        </w:r>
        <w:bookmarkEnd w:id="1063"/>
      </w:del>
    </w:p>
    <w:p>
      <w:pPr>
        <w:pStyle w:val="ySubsection"/>
        <w:spacing w:before="120"/>
        <w:rPr>
          <w:del w:id="1065" w:author="Master Repository Process" w:date="2022-03-30T12:17:00Z"/>
        </w:rPr>
      </w:pPr>
      <w:del w:id="1066" w:author="Master Repository Process" w:date="2022-03-30T12:17:00Z">
        <w:r>
          <w:tab/>
          <w:delText>(1)</w:delText>
        </w:r>
        <w:r>
          <w:tab/>
          <w:delText xml:space="preserve">A manufacturer of any plant that the manufacturer knows or ought reasonably to expect will be used by members of the workforce engaged in a petroleum operation or geothermal energy operation must take all reasonably practicable steps — </w:delText>
        </w:r>
      </w:del>
    </w:p>
    <w:p>
      <w:pPr>
        <w:pStyle w:val="yIndenta"/>
        <w:spacing w:before="60"/>
        <w:rPr>
          <w:del w:id="1067" w:author="Master Repository Process" w:date="2022-03-30T12:17:00Z"/>
        </w:rPr>
      </w:pPr>
      <w:del w:id="1068" w:author="Master Repository Process" w:date="2022-03-30T12:17:00Z">
        <w:r>
          <w:tab/>
          <w:delText>(a)</w:delText>
        </w:r>
        <w:r>
          <w:tab/>
          <w:delText>to ensure that the plant is so designed and constructed as to be, when properly used, safe and without risk to health;</w:delText>
        </w:r>
        <w:r>
          <w:rPr>
            <w:snapToGrid w:val="0"/>
          </w:rPr>
          <w:delText xml:space="preserve"> and</w:delText>
        </w:r>
      </w:del>
    </w:p>
    <w:p>
      <w:pPr>
        <w:pStyle w:val="yIndenta"/>
        <w:spacing w:before="60"/>
        <w:rPr>
          <w:del w:id="1069" w:author="Master Repository Process" w:date="2022-03-30T12:17:00Z"/>
        </w:rPr>
      </w:pPr>
      <w:del w:id="1070" w:author="Master Repository Process" w:date="2022-03-30T12:17:00Z">
        <w:r>
          <w:tab/>
          <w:delText>(b)</w:delText>
        </w:r>
        <w:r>
          <w:tab/>
          <w:delText>to carry out, or cause to be carried out, the research, testing and examination necessary in order to discover, and to eliminate or minimise, any risk to safety or health that may arise from the use of the plant; and</w:delText>
        </w:r>
      </w:del>
    </w:p>
    <w:p>
      <w:pPr>
        <w:pStyle w:val="yIndenta"/>
        <w:spacing w:before="60"/>
        <w:rPr>
          <w:del w:id="1071" w:author="Master Repository Process" w:date="2022-03-30T12:17:00Z"/>
        </w:rPr>
      </w:pPr>
      <w:del w:id="1072" w:author="Master Repository Process" w:date="2022-03-30T12:17:00Z">
        <w:r>
          <w:tab/>
          <w:delText>(c)</w:delText>
        </w:r>
        <w:r>
          <w:tab/>
          <w:delText xml:space="preserve">to make available, in connection with the use of the plant in a petroleum operation or geothermal energy operation, adequate written information about — </w:delText>
        </w:r>
      </w:del>
    </w:p>
    <w:p>
      <w:pPr>
        <w:pStyle w:val="yIndenti0"/>
        <w:spacing w:before="60"/>
        <w:rPr>
          <w:del w:id="1073" w:author="Master Repository Process" w:date="2022-03-30T12:17:00Z"/>
        </w:rPr>
      </w:pPr>
      <w:del w:id="1074" w:author="Master Repository Process" w:date="2022-03-30T12:17:00Z">
        <w:r>
          <w:tab/>
          <w:delText>(i)</w:delText>
        </w:r>
        <w:r>
          <w:tab/>
          <w:delText>the use for which it is designed and has been tested; and</w:delText>
        </w:r>
      </w:del>
    </w:p>
    <w:p>
      <w:pPr>
        <w:pStyle w:val="yIndenti0"/>
        <w:rPr>
          <w:del w:id="1075" w:author="Master Repository Process" w:date="2022-03-30T12:17:00Z"/>
        </w:rPr>
      </w:pPr>
      <w:del w:id="1076" w:author="Master Repository Process" w:date="2022-03-30T12:17:00Z">
        <w:r>
          <w:tab/>
          <w:delText>(ii)</w:delText>
        </w:r>
        <w:r>
          <w:tab/>
          <w:delText>details of its design and construction; and</w:delText>
        </w:r>
      </w:del>
    </w:p>
    <w:p>
      <w:pPr>
        <w:pStyle w:val="yIndenti0"/>
        <w:rPr>
          <w:del w:id="1077" w:author="Master Repository Process" w:date="2022-03-30T12:17:00Z"/>
        </w:rPr>
      </w:pPr>
      <w:del w:id="1078" w:author="Master Repository Process" w:date="2022-03-30T12:17:00Z">
        <w:r>
          <w:tab/>
          <w:delText>(iii)</w:delText>
        </w:r>
        <w:r>
          <w:tab/>
          <w:delText>any conditions necessary to ensure that, when put to the use for which it was designed and tested, it will be safe and without risk to health.</w:delText>
        </w:r>
      </w:del>
    </w:p>
    <w:p>
      <w:pPr>
        <w:pStyle w:val="yPenstart"/>
        <w:rPr>
          <w:del w:id="1079" w:author="Master Repository Process" w:date="2022-03-30T12:17:00Z"/>
        </w:rPr>
      </w:pPr>
      <w:del w:id="1080" w:author="Master Repository Process" w:date="2022-03-30T12:17:00Z">
        <w:r>
          <w:tab/>
          <w:delText>Penalty: a fine of $22 000.</w:delText>
        </w:r>
      </w:del>
    </w:p>
    <w:p>
      <w:pPr>
        <w:pStyle w:val="ySubsection"/>
        <w:rPr>
          <w:del w:id="1081" w:author="Master Repository Process" w:date="2022-03-30T12:17:00Z"/>
        </w:rPr>
      </w:pPr>
      <w:del w:id="1082" w:author="Master Repository Process" w:date="2022-03-30T12:17:00Z">
        <w:r>
          <w:tab/>
          <w:delText>(2)</w:delText>
        </w:r>
        <w:r>
          <w:tab/>
          <w:delText xml:space="preserve">A manufacturer of any substance that the manufacturer knows or ought reasonably to expect will be used by members of the workforce engaged in a petroleum operation or geothermal energy operation must take all reasonably practicable steps — </w:delText>
        </w:r>
      </w:del>
    </w:p>
    <w:p>
      <w:pPr>
        <w:pStyle w:val="yIndenta"/>
        <w:rPr>
          <w:del w:id="1083" w:author="Master Repository Process" w:date="2022-03-30T12:17:00Z"/>
        </w:rPr>
      </w:pPr>
      <w:del w:id="1084" w:author="Master Repository Process" w:date="2022-03-30T12:17:00Z">
        <w:r>
          <w:tab/>
          <w:delText>(a)</w:delText>
        </w:r>
        <w:r>
          <w:tab/>
          <w:delText xml:space="preserve">to ensure that the substance is so manufactured as to be, when properly used, safe and without risk to health; </w:delText>
        </w:r>
        <w:r>
          <w:rPr>
            <w:snapToGrid w:val="0"/>
          </w:rPr>
          <w:delText>and</w:delText>
        </w:r>
      </w:del>
    </w:p>
    <w:p>
      <w:pPr>
        <w:pStyle w:val="yIndenta"/>
        <w:rPr>
          <w:del w:id="1085" w:author="Master Repository Process" w:date="2022-03-30T12:17:00Z"/>
        </w:rPr>
      </w:pPr>
      <w:del w:id="1086" w:author="Master Repository Process" w:date="2022-03-30T12:17:00Z">
        <w:r>
          <w:tab/>
          <w:delText>(b)</w:delText>
        </w:r>
        <w:r>
          <w:tab/>
          <w:delText>to carry out, or cause to be carried out, the research, testing and examination necessary to discover, and to eliminate or minimise, any risk to safety or health that may arise from the use of the substance; and</w:delText>
        </w:r>
      </w:del>
    </w:p>
    <w:p>
      <w:pPr>
        <w:pStyle w:val="yIndenta"/>
        <w:rPr>
          <w:del w:id="1087" w:author="Master Repository Process" w:date="2022-03-30T12:17:00Z"/>
        </w:rPr>
      </w:pPr>
      <w:del w:id="1088" w:author="Master Repository Process" w:date="2022-03-30T12:17:00Z">
        <w:r>
          <w:tab/>
          <w:delText>(c)</w:delText>
        </w:r>
        <w:r>
          <w:tab/>
          <w:delText xml:space="preserve">to make available, in connection with the use of the substance in a petroleum operation or geothermal energy operation, adequate written information concerning — </w:delText>
        </w:r>
      </w:del>
    </w:p>
    <w:p>
      <w:pPr>
        <w:pStyle w:val="yIndenti0"/>
        <w:rPr>
          <w:del w:id="1089" w:author="Master Repository Process" w:date="2022-03-30T12:17:00Z"/>
        </w:rPr>
      </w:pPr>
      <w:del w:id="1090" w:author="Master Repository Process" w:date="2022-03-30T12:17:00Z">
        <w:r>
          <w:tab/>
          <w:delText>(i)</w:delText>
        </w:r>
        <w:r>
          <w:tab/>
          <w:delText xml:space="preserve">the use for which it is manufactured and has been tested; </w:delText>
        </w:r>
        <w:r>
          <w:rPr>
            <w:snapToGrid w:val="0"/>
          </w:rPr>
          <w:delText>and</w:delText>
        </w:r>
      </w:del>
    </w:p>
    <w:p>
      <w:pPr>
        <w:pStyle w:val="yIndenti0"/>
        <w:rPr>
          <w:del w:id="1091" w:author="Master Repository Process" w:date="2022-03-30T12:17:00Z"/>
        </w:rPr>
      </w:pPr>
      <w:del w:id="1092" w:author="Master Repository Process" w:date="2022-03-30T12:17:00Z">
        <w:r>
          <w:tab/>
          <w:delText>(ii)</w:delText>
        </w:r>
        <w:r>
          <w:tab/>
          <w:delText>details of its composition;</w:delText>
        </w:r>
        <w:r>
          <w:rPr>
            <w:snapToGrid w:val="0"/>
          </w:rPr>
          <w:delText xml:space="preserve"> and</w:delText>
        </w:r>
        <w:r>
          <w:delText xml:space="preserve"> </w:delText>
        </w:r>
      </w:del>
    </w:p>
    <w:p>
      <w:pPr>
        <w:pStyle w:val="yIndenti0"/>
        <w:rPr>
          <w:del w:id="1093" w:author="Master Repository Process" w:date="2022-03-30T12:17:00Z"/>
        </w:rPr>
      </w:pPr>
      <w:del w:id="1094" w:author="Master Repository Process" w:date="2022-03-30T12:17:00Z">
        <w:r>
          <w:tab/>
          <w:delText>(iii)</w:delText>
        </w:r>
        <w:r>
          <w:tab/>
          <w:delText>any conditions necessary to ensure that, when put to the use for which it was manufactured and tested, it will be safe and without risk to health; and</w:delText>
        </w:r>
      </w:del>
    </w:p>
    <w:p>
      <w:pPr>
        <w:pStyle w:val="yIndenti0"/>
        <w:rPr>
          <w:del w:id="1095" w:author="Master Repository Process" w:date="2022-03-30T12:17:00Z"/>
        </w:rPr>
      </w:pPr>
      <w:del w:id="1096" w:author="Master Repository Process" w:date="2022-03-30T12:17:00Z">
        <w:r>
          <w:tab/>
          <w:delText>(iv)</w:delText>
        </w:r>
        <w:r>
          <w:tab/>
          <w:delText>the first aid and medical procedures that should be followed if the substance causes injury.</w:delText>
        </w:r>
      </w:del>
    </w:p>
    <w:p>
      <w:pPr>
        <w:pStyle w:val="yPenstart"/>
        <w:rPr>
          <w:del w:id="1097" w:author="Master Repository Process" w:date="2022-03-30T12:17:00Z"/>
        </w:rPr>
      </w:pPr>
      <w:del w:id="1098" w:author="Master Repository Process" w:date="2022-03-30T12:17:00Z">
        <w:r>
          <w:tab/>
          <w:delText>Penalty: a fine of $22 000.</w:delText>
        </w:r>
      </w:del>
    </w:p>
    <w:p>
      <w:pPr>
        <w:pStyle w:val="ySubsection"/>
        <w:rPr>
          <w:del w:id="1099" w:author="Master Repository Process" w:date="2022-03-30T12:17:00Z"/>
        </w:rPr>
      </w:pPr>
      <w:del w:id="1100" w:author="Master Repository Process" w:date="2022-03-30T12:17:00Z">
        <w:r>
          <w:tab/>
          <w:delText>(3)</w:delText>
        </w:r>
        <w:r>
          <w:tab/>
          <w:delText xml:space="preserve">If — </w:delText>
        </w:r>
      </w:del>
    </w:p>
    <w:p>
      <w:pPr>
        <w:pStyle w:val="yIndenta"/>
        <w:rPr>
          <w:del w:id="1101" w:author="Master Repository Process" w:date="2022-03-30T12:17:00Z"/>
        </w:rPr>
      </w:pPr>
      <w:del w:id="1102" w:author="Master Repository Process" w:date="2022-03-30T12:17:00Z">
        <w:r>
          <w:tab/>
          <w:delText>(a)</w:delText>
        </w:r>
        <w:r>
          <w:tab/>
          <w:delText>plant or a substance is imported into Australia by a person who is not its manufacturer; and</w:delText>
        </w:r>
      </w:del>
    </w:p>
    <w:p>
      <w:pPr>
        <w:pStyle w:val="yIndenta"/>
        <w:rPr>
          <w:del w:id="1103" w:author="Master Repository Process" w:date="2022-03-30T12:17:00Z"/>
        </w:rPr>
      </w:pPr>
      <w:del w:id="1104" w:author="Master Repository Process" w:date="2022-03-30T12:17:00Z">
        <w:r>
          <w:tab/>
          <w:delText>(b)</w:delText>
        </w:r>
        <w:r>
          <w:tab/>
          <w:delText>at the time of the importation, the manufacturer of the plant or substance does not have a place of business in Australia,</w:delText>
        </w:r>
      </w:del>
    </w:p>
    <w:p>
      <w:pPr>
        <w:pStyle w:val="ySubsection"/>
        <w:rPr>
          <w:del w:id="1105" w:author="Master Repository Process" w:date="2022-03-30T12:17:00Z"/>
        </w:rPr>
      </w:pPr>
      <w:del w:id="1106" w:author="Master Repository Process" w:date="2022-03-30T12:17:00Z">
        <w:r>
          <w:tab/>
        </w:r>
        <w:r>
          <w:tab/>
          <w:delText>the first</w:delText>
        </w:r>
        <w:r>
          <w:noBreakHyphen/>
          <w:delText>mentioned person is taken, for the purposes of this clause, to be the manufacturer of the plant or substance.</w:delText>
        </w:r>
      </w:del>
    </w:p>
    <w:p>
      <w:pPr>
        <w:pStyle w:val="ySubsection"/>
        <w:rPr>
          <w:del w:id="1107" w:author="Master Repository Process" w:date="2022-03-30T12:17:00Z"/>
        </w:rPr>
      </w:pPr>
      <w:del w:id="1108" w:author="Master Repository Process" w:date="2022-03-30T12:17:00Z">
        <w:r>
          <w:tab/>
          <w:delText>(4)</w:delText>
        </w:r>
        <w:r>
          <w:tab/>
          <w:delText>This clause does not affect the operation of any other law of this State that imposes an obligation on a manufacturer in respect of defective goods or in respect of information to be supplied in relation to goods.</w:delText>
        </w:r>
      </w:del>
    </w:p>
    <w:p>
      <w:pPr>
        <w:pStyle w:val="yFootnotesection"/>
        <w:rPr>
          <w:del w:id="1109" w:author="Master Repository Process" w:date="2022-03-30T12:17:00Z"/>
        </w:rPr>
      </w:pPr>
      <w:del w:id="1110" w:author="Master Repository Process" w:date="2022-03-30T12:17:00Z">
        <w:r>
          <w:tab/>
          <w:delText>[Clause 10 inserted: No. 13 of 2005 s. 17; amended: No. 35 of 2007 s. 86; No. 42 of 2010 s. 60(6).]</w:delText>
        </w:r>
      </w:del>
    </w:p>
    <w:p>
      <w:pPr>
        <w:pStyle w:val="yHeading5"/>
        <w:rPr>
          <w:del w:id="1111" w:author="Master Repository Process" w:date="2022-03-30T12:17:00Z"/>
        </w:rPr>
      </w:pPr>
      <w:bookmarkStart w:id="1112" w:name="_Toc97630684"/>
      <w:del w:id="1113" w:author="Master Repository Process" w:date="2022-03-30T12:17:00Z">
        <w:r>
          <w:rPr>
            <w:rStyle w:val="CharSClsNo"/>
          </w:rPr>
          <w:delText>11</w:delText>
        </w:r>
        <w:r>
          <w:delText>.</w:delText>
        </w:r>
        <w:r>
          <w:rPr>
            <w:b w:val="0"/>
          </w:rPr>
          <w:tab/>
        </w:r>
        <w:r>
          <w:delText>Duties of suppliers of facilities, plant and substances</w:delText>
        </w:r>
        <w:bookmarkEnd w:id="1112"/>
      </w:del>
    </w:p>
    <w:p>
      <w:pPr>
        <w:pStyle w:val="ySubsection"/>
        <w:rPr>
          <w:del w:id="1114" w:author="Master Repository Process" w:date="2022-03-30T12:17:00Z"/>
        </w:rPr>
      </w:pPr>
      <w:del w:id="1115" w:author="Master Repository Process" w:date="2022-03-30T12:17:00Z">
        <w:r>
          <w:tab/>
          <w:delText>(1)</w:delText>
        </w:r>
        <w:r>
          <w:tab/>
          <w:delText xml:space="preserve">A supplier of a facility, or of any plant or substance, that the supplier ought reasonably to expect will be used by members of the workforce engaged in a petroleum operation or geothermal energy operation, must take all reasonably practicable steps — </w:delText>
        </w:r>
      </w:del>
    </w:p>
    <w:p>
      <w:pPr>
        <w:pStyle w:val="yIndenta"/>
        <w:rPr>
          <w:del w:id="1116" w:author="Master Repository Process" w:date="2022-03-30T12:17:00Z"/>
        </w:rPr>
      </w:pPr>
      <w:del w:id="1117" w:author="Master Repository Process" w:date="2022-03-30T12:17:00Z">
        <w:r>
          <w:tab/>
          <w:delText>(a)</w:delText>
        </w:r>
        <w:r>
          <w:tab/>
          <w:delText xml:space="preserve">to ensure that, at the time of supply, the facility, or the plant or substance, is in such condition as to be, when properly used, safe and without risk to health; </w:delText>
        </w:r>
        <w:r>
          <w:rPr>
            <w:snapToGrid w:val="0"/>
          </w:rPr>
          <w:delText>and</w:delText>
        </w:r>
      </w:del>
    </w:p>
    <w:p>
      <w:pPr>
        <w:pStyle w:val="yIndenta"/>
        <w:rPr>
          <w:del w:id="1118" w:author="Master Repository Process" w:date="2022-03-30T12:17:00Z"/>
        </w:rPr>
      </w:pPr>
      <w:del w:id="1119" w:author="Master Repository Process" w:date="2022-03-30T12:17:00Z">
        <w:r>
          <w:tab/>
          <w:delText>(b)</w:delText>
        </w:r>
        <w:r>
          <w:tab/>
          <w:delText>to carry out, or cause to be carried out, the research, testing and examination necessary to discover, and to eliminate or minimise, any risk to safety or health that may arise from the condition of the facility, plant or substance; and</w:delText>
        </w:r>
      </w:del>
    </w:p>
    <w:p>
      <w:pPr>
        <w:pStyle w:val="yIndenta"/>
        <w:rPr>
          <w:del w:id="1120" w:author="Master Repository Process" w:date="2022-03-30T12:17:00Z"/>
        </w:rPr>
      </w:pPr>
      <w:del w:id="1121" w:author="Master Repository Process" w:date="2022-03-30T12:17:00Z">
        <w:r>
          <w:tab/>
          <w:delText>(c)</w:delText>
        </w:r>
        <w:r>
          <w:tab/>
          <w:delText xml:space="preserve">to make available — </w:delText>
        </w:r>
      </w:del>
    </w:p>
    <w:p>
      <w:pPr>
        <w:pStyle w:val="yIndenti0"/>
        <w:rPr>
          <w:del w:id="1122" w:author="Master Repository Process" w:date="2022-03-30T12:17:00Z"/>
        </w:rPr>
      </w:pPr>
      <w:del w:id="1123" w:author="Master Repository Process" w:date="2022-03-30T12:17:00Z">
        <w:r>
          <w:tab/>
          <w:delText>(i)</w:delText>
        </w:r>
        <w:r>
          <w:tab/>
          <w:delText>in the case of a facility — to the operator of the petroleum operation or geothermal energy operation; and</w:delText>
        </w:r>
      </w:del>
    </w:p>
    <w:p>
      <w:pPr>
        <w:pStyle w:val="yIndenti0"/>
        <w:rPr>
          <w:del w:id="1124" w:author="Master Repository Process" w:date="2022-03-30T12:17:00Z"/>
        </w:rPr>
      </w:pPr>
      <w:del w:id="1125" w:author="Master Repository Process" w:date="2022-03-30T12:17:00Z">
        <w:r>
          <w:tab/>
          <w:delText>(ii)</w:delText>
        </w:r>
        <w:r>
          <w:tab/>
          <w:delText>in the case of plant or substance — to the person to whom the plant or substance is supplied,</w:delText>
        </w:r>
      </w:del>
    </w:p>
    <w:p>
      <w:pPr>
        <w:pStyle w:val="yIndenta"/>
        <w:rPr>
          <w:del w:id="1126" w:author="Master Repository Process" w:date="2022-03-30T12:17:00Z"/>
        </w:rPr>
      </w:pPr>
      <w:del w:id="1127" w:author="Master Repository Process" w:date="2022-03-30T12:17:00Z">
        <w:r>
          <w:tab/>
        </w:r>
        <w:r>
          <w:tab/>
          <w:delText xml:space="preserve">adequate written information, in connection with the use of the facility, plant or substance (as the case requires) about — </w:delText>
        </w:r>
      </w:del>
    </w:p>
    <w:p>
      <w:pPr>
        <w:pStyle w:val="yIndenti0"/>
        <w:rPr>
          <w:del w:id="1128" w:author="Master Repository Process" w:date="2022-03-30T12:17:00Z"/>
        </w:rPr>
      </w:pPr>
      <w:del w:id="1129" w:author="Master Repository Process" w:date="2022-03-30T12:17:00Z">
        <w:r>
          <w:tab/>
          <w:delText>(iii)</w:delText>
        </w:r>
        <w:r>
          <w:tab/>
          <w:delText>the condition of the facility, plant or substance at the time of supply; and</w:delText>
        </w:r>
      </w:del>
    </w:p>
    <w:p>
      <w:pPr>
        <w:pStyle w:val="yIndenti0"/>
        <w:spacing w:before="100"/>
        <w:rPr>
          <w:del w:id="1130" w:author="Master Repository Process" w:date="2022-03-30T12:17:00Z"/>
        </w:rPr>
      </w:pPr>
      <w:del w:id="1131" w:author="Master Repository Process" w:date="2022-03-30T12:17:00Z">
        <w:r>
          <w:tab/>
          <w:delText>(iv)</w:delText>
        </w:r>
        <w:r>
          <w:tab/>
          <w:delText>any risk to the safety and health of members of the workforce engaged in a petroleum operation or geothermal energy operation to which the condition of the facility, plant or substance may give rise unless it is properly used; and</w:delText>
        </w:r>
      </w:del>
    </w:p>
    <w:p>
      <w:pPr>
        <w:pStyle w:val="yIndenti0"/>
        <w:spacing w:before="100"/>
        <w:rPr>
          <w:del w:id="1132" w:author="Master Repository Process" w:date="2022-03-30T12:17:00Z"/>
        </w:rPr>
      </w:pPr>
      <w:del w:id="1133" w:author="Master Repository Process" w:date="2022-03-30T12:17:00Z">
        <w:r>
          <w:tab/>
          <w:delText>(v)</w:delText>
        </w:r>
        <w:r>
          <w:tab/>
          <w:delText>the steps that need to be taken in order to eliminate that risk; and</w:delText>
        </w:r>
      </w:del>
    </w:p>
    <w:p>
      <w:pPr>
        <w:pStyle w:val="yIndenti0"/>
        <w:spacing w:before="100"/>
        <w:rPr>
          <w:del w:id="1134" w:author="Master Repository Process" w:date="2022-03-30T12:17:00Z"/>
        </w:rPr>
      </w:pPr>
      <w:del w:id="1135" w:author="Master Repository Process" w:date="2022-03-30T12:17:00Z">
        <w:r>
          <w:tab/>
          <w:delText>(vi)</w:delText>
        </w:r>
        <w:r>
          <w:tab/>
          <w:delText>in the case of a substance — the first aid and medical procedures that should be followed if the condition of the substance causes injury to a member of the workforce engaged in a petroleum operation or geothermal energy operation.</w:delText>
        </w:r>
      </w:del>
    </w:p>
    <w:p>
      <w:pPr>
        <w:pStyle w:val="yPenstart"/>
        <w:spacing w:before="100"/>
        <w:rPr>
          <w:del w:id="1136" w:author="Master Repository Process" w:date="2022-03-30T12:17:00Z"/>
        </w:rPr>
      </w:pPr>
      <w:del w:id="1137" w:author="Master Repository Process" w:date="2022-03-30T12:17:00Z">
        <w:r>
          <w:tab/>
          <w:delText>Penalty: a fine of $22 000.</w:delText>
        </w:r>
      </w:del>
    </w:p>
    <w:p>
      <w:pPr>
        <w:pStyle w:val="ySubsection"/>
        <w:spacing w:before="180"/>
        <w:rPr>
          <w:del w:id="1138" w:author="Master Repository Process" w:date="2022-03-30T12:17:00Z"/>
        </w:rPr>
      </w:pPr>
      <w:del w:id="1139" w:author="Master Repository Process" w:date="2022-03-30T12:17:00Z">
        <w:r>
          <w:tab/>
          <w:delText>(2)</w:delText>
        </w:r>
        <w:r>
          <w:tab/>
          <w:delText>For the purposes of subclause (1), if a person (the </w:delText>
        </w:r>
        <w:r>
          <w:rPr>
            <w:rStyle w:val="CharDefText"/>
          </w:rPr>
          <w:delText>ostensible supplier</w:delText>
        </w:r>
        <w:r>
          <w:delText xml:space="preserve">) supplies to a person either a facility, or any plant or substance, that is for use by members of the workforce engaged in a petroleum operation or geothermal energy operation, and the ostensible supplier — </w:delText>
        </w:r>
      </w:del>
    </w:p>
    <w:p>
      <w:pPr>
        <w:pStyle w:val="yIndenta"/>
        <w:spacing w:before="100"/>
        <w:rPr>
          <w:del w:id="1140" w:author="Master Repository Process" w:date="2022-03-30T12:17:00Z"/>
        </w:rPr>
      </w:pPr>
      <w:del w:id="1141" w:author="Master Repository Process" w:date="2022-03-30T12:17:00Z">
        <w:r>
          <w:tab/>
          <w:delText>(a)</w:delText>
        </w:r>
        <w:r>
          <w:tab/>
          <w:delText xml:space="preserve">carries on the business of financing the acquisition or the use of goods by other persons; </w:delText>
        </w:r>
        <w:r>
          <w:rPr>
            <w:snapToGrid w:val="0"/>
          </w:rPr>
          <w:delText>and</w:delText>
        </w:r>
      </w:del>
    </w:p>
    <w:p>
      <w:pPr>
        <w:pStyle w:val="yIndenta"/>
        <w:spacing w:before="100"/>
        <w:rPr>
          <w:del w:id="1142" w:author="Master Repository Process" w:date="2022-03-30T12:17:00Z"/>
        </w:rPr>
      </w:pPr>
      <w:del w:id="1143" w:author="Master Repository Process" w:date="2022-03-30T12:17:00Z">
        <w:r>
          <w:tab/>
          <w:delText>(b)</w:delText>
        </w:r>
        <w:r>
          <w:tab/>
          <w:delText xml:space="preserve">has, in the course of that business, acquired an interest in the facility, or in the plant or substance, from another person (the </w:delText>
        </w:r>
        <w:r>
          <w:rPr>
            <w:rStyle w:val="CharDefText"/>
          </w:rPr>
          <w:delText>actual supplier</w:delText>
        </w:r>
        <w:r>
          <w:delText>), solely for the purpose of financing its acquisition by, or its provision to, the person to whom it is finally supplied; and</w:delText>
        </w:r>
      </w:del>
    </w:p>
    <w:p>
      <w:pPr>
        <w:pStyle w:val="yIndenta"/>
        <w:spacing w:before="100"/>
        <w:rPr>
          <w:del w:id="1144" w:author="Master Repository Process" w:date="2022-03-30T12:17:00Z"/>
        </w:rPr>
      </w:pPr>
      <w:del w:id="1145" w:author="Master Repository Process" w:date="2022-03-30T12:17:00Z">
        <w:r>
          <w:tab/>
          <w:delText>(c)</w:delText>
        </w:r>
        <w:r>
          <w:tab/>
          <w:delText>has not taken possession of the facility, plant or substance, or has taken possession of the facility, plant or substance solely for the purpose of passing possession of the facility, plant or substance to the person to whom it is finally supplied,</w:delText>
        </w:r>
      </w:del>
    </w:p>
    <w:p>
      <w:pPr>
        <w:pStyle w:val="ySubsection"/>
        <w:spacing w:before="180"/>
        <w:rPr>
          <w:del w:id="1146" w:author="Master Repository Process" w:date="2022-03-30T12:17:00Z"/>
        </w:rPr>
      </w:pPr>
      <w:del w:id="1147" w:author="Master Repository Process" w:date="2022-03-30T12:17:00Z">
        <w:r>
          <w:tab/>
        </w:r>
        <w:r>
          <w:tab/>
          <w:delText>a reference in subclause (1) to a supplier is, in relation to the facility, plant or substance referred to in this subclause, to be read as a reference to the actual supplier and not as a reference to the ostensible supplier.</w:delText>
        </w:r>
      </w:del>
    </w:p>
    <w:p>
      <w:pPr>
        <w:pStyle w:val="ySubsection"/>
        <w:keepNext/>
        <w:spacing w:before="180"/>
        <w:rPr>
          <w:del w:id="1148" w:author="Master Repository Process" w:date="2022-03-30T12:17:00Z"/>
        </w:rPr>
      </w:pPr>
      <w:del w:id="1149" w:author="Master Repository Process" w:date="2022-03-30T12:17:00Z">
        <w:r>
          <w:tab/>
          <w:delText>(3)</w:delText>
        </w:r>
        <w:r>
          <w:tab/>
          <w:delText>This clause does not affect the operation of any other law of this State that imposes an obligation in respect of the sale or supply of goods or in respect of the information to be supplied in relation to goods.</w:delText>
        </w:r>
      </w:del>
    </w:p>
    <w:p>
      <w:pPr>
        <w:pStyle w:val="yFootnotesection"/>
        <w:rPr>
          <w:del w:id="1150" w:author="Master Repository Process" w:date="2022-03-30T12:17:00Z"/>
        </w:rPr>
      </w:pPr>
      <w:del w:id="1151" w:author="Master Repository Process" w:date="2022-03-30T12:17:00Z">
        <w:r>
          <w:tab/>
          <w:delText>[Clause 11 inserted: No. 13 of 2005 s. 17; amended: No. 35 of 2007 s. 86; No. 42 of 2010 s. 60(6).]</w:delText>
        </w:r>
      </w:del>
    </w:p>
    <w:p>
      <w:pPr>
        <w:pStyle w:val="yHeading5"/>
        <w:rPr>
          <w:del w:id="1152" w:author="Master Repository Process" w:date="2022-03-30T12:17:00Z"/>
        </w:rPr>
      </w:pPr>
      <w:bookmarkStart w:id="1153" w:name="_Toc97630685"/>
      <w:del w:id="1154" w:author="Master Repository Process" w:date="2022-03-30T12:17:00Z">
        <w:r>
          <w:rPr>
            <w:rStyle w:val="CharSClsNo"/>
          </w:rPr>
          <w:delText>12</w:delText>
        </w:r>
        <w:r>
          <w:delText>.</w:delText>
        </w:r>
        <w:r>
          <w:rPr>
            <w:b w:val="0"/>
          </w:rPr>
          <w:tab/>
        </w:r>
        <w:r>
          <w:delText>Duties of persons erecting facilities or installing plant</w:delText>
        </w:r>
        <w:bookmarkEnd w:id="1153"/>
      </w:del>
    </w:p>
    <w:p>
      <w:pPr>
        <w:pStyle w:val="ySubsection"/>
        <w:spacing w:before="120"/>
        <w:rPr>
          <w:del w:id="1155" w:author="Master Repository Process" w:date="2022-03-30T12:17:00Z"/>
        </w:rPr>
      </w:pPr>
      <w:del w:id="1156" w:author="Master Repository Process" w:date="2022-03-30T12:17:00Z">
        <w:r>
          <w:tab/>
          <w:delText>(1)</w:delText>
        </w:r>
        <w:r>
          <w:tab/>
          <w:delText>A person who erects or installs a facility, or erects or installs any plant, for use in a petroleum operation or geothermal energy operation, must take all reasonably practicable steps to ensure that the facility or plant is not erected or installed in such a way that it is unsafe or constitutes a risk to safety or health.</w:delText>
        </w:r>
      </w:del>
    </w:p>
    <w:p>
      <w:pPr>
        <w:pStyle w:val="yPenstart"/>
        <w:rPr>
          <w:del w:id="1157" w:author="Master Repository Process" w:date="2022-03-30T12:17:00Z"/>
        </w:rPr>
      </w:pPr>
      <w:del w:id="1158" w:author="Master Repository Process" w:date="2022-03-30T12:17:00Z">
        <w:r>
          <w:tab/>
          <w:delText>Penalty: a fine of $22 000.</w:delText>
        </w:r>
      </w:del>
    </w:p>
    <w:p>
      <w:pPr>
        <w:pStyle w:val="ySubsection"/>
        <w:spacing w:before="120"/>
        <w:rPr>
          <w:del w:id="1159" w:author="Master Repository Process" w:date="2022-03-30T12:17:00Z"/>
        </w:rPr>
      </w:pPr>
      <w:del w:id="1160" w:author="Master Repository Process" w:date="2022-03-30T12:17:00Z">
        <w:r>
          <w:tab/>
          <w:delText>(2)</w:delText>
        </w:r>
        <w:r>
          <w:tab/>
          <w:delText>This clause does not affect the operation of any other law of this State that imposes an obligation in respect of the erection or installation of structures or goods or the supply of services.</w:delText>
        </w:r>
      </w:del>
    </w:p>
    <w:p>
      <w:pPr>
        <w:pStyle w:val="yFootnotesection"/>
        <w:rPr>
          <w:del w:id="1161" w:author="Master Repository Process" w:date="2022-03-30T12:17:00Z"/>
        </w:rPr>
      </w:pPr>
      <w:del w:id="1162" w:author="Master Repository Process" w:date="2022-03-30T12:17:00Z">
        <w:r>
          <w:tab/>
          <w:delText>[Clause 12 inserted: No. 13 of 2005 s. 17; amended: No. 35 of 2007 s. 86; No. 42 of 2010 s. 60(6).]</w:delText>
        </w:r>
      </w:del>
    </w:p>
    <w:p>
      <w:pPr>
        <w:pStyle w:val="yHeading5"/>
        <w:spacing w:before="180"/>
        <w:rPr>
          <w:del w:id="1163" w:author="Master Repository Process" w:date="2022-03-30T12:17:00Z"/>
        </w:rPr>
      </w:pPr>
      <w:bookmarkStart w:id="1164" w:name="_Toc97630686"/>
      <w:del w:id="1165" w:author="Master Repository Process" w:date="2022-03-30T12:17:00Z">
        <w:r>
          <w:rPr>
            <w:rStyle w:val="CharSClsNo"/>
          </w:rPr>
          <w:delText>13</w:delText>
        </w:r>
        <w:r>
          <w:delText>.</w:delText>
        </w:r>
        <w:r>
          <w:rPr>
            <w:b w:val="0"/>
          </w:rPr>
          <w:tab/>
        </w:r>
        <w:r>
          <w:delText>Duties of persons in relation to occupational safety and health</w:delText>
        </w:r>
        <w:bookmarkEnd w:id="1164"/>
      </w:del>
    </w:p>
    <w:p>
      <w:pPr>
        <w:pStyle w:val="ySubsection"/>
        <w:spacing w:before="120"/>
        <w:rPr>
          <w:del w:id="1166" w:author="Master Repository Process" w:date="2022-03-30T12:17:00Z"/>
        </w:rPr>
      </w:pPr>
      <w:del w:id="1167" w:author="Master Repository Process" w:date="2022-03-30T12:17:00Z">
        <w:r>
          <w:tab/>
          <w:delText>(1)</w:delText>
        </w:r>
        <w:r>
          <w:tab/>
          <w:delText xml:space="preserve">A person engaged in a petroleum operation or geothermal energy operation must, at all times, take all reasonably practicable steps — </w:delText>
        </w:r>
      </w:del>
    </w:p>
    <w:p>
      <w:pPr>
        <w:pStyle w:val="yIndenta"/>
        <w:rPr>
          <w:del w:id="1168" w:author="Master Repository Process" w:date="2022-03-30T12:17:00Z"/>
        </w:rPr>
      </w:pPr>
      <w:del w:id="1169" w:author="Master Repository Process" w:date="2022-03-30T12:17:00Z">
        <w:r>
          <w:tab/>
          <w:delText>(a)</w:delText>
        </w:r>
        <w:r>
          <w:tab/>
          <w:delText xml:space="preserve">to ensure that the person does not take any action, or make any omission, that creates a risk, or increases an existing risk, to — </w:delText>
        </w:r>
      </w:del>
    </w:p>
    <w:p>
      <w:pPr>
        <w:pStyle w:val="Indenti"/>
        <w:rPr>
          <w:del w:id="1170" w:author="Master Repository Process" w:date="2022-03-30T12:17:00Z"/>
          <w:sz w:val="22"/>
        </w:rPr>
      </w:pPr>
      <w:del w:id="1171" w:author="Master Repository Process" w:date="2022-03-30T12:17:00Z">
        <w:r>
          <w:rPr>
            <w:sz w:val="22"/>
          </w:rPr>
          <w:tab/>
          <w:delText>(i)</w:delText>
        </w:r>
        <w:r>
          <w:rPr>
            <w:sz w:val="22"/>
          </w:rPr>
          <w:tab/>
          <w:delText xml:space="preserve">the occupational safety and health of that person; or </w:delText>
        </w:r>
      </w:del>
    </w:p>
    <w:p>
      <w:pPr>
        <w:pStyle w:val="Indenti"/>
        <w:rPr>
          <w:del w:id="1172" w:author="Master Repository Process" w:date="2022-03-30T12:17:00Z"/>
          <w:sz w:val="22"/>
        </w:rPr>
      </w:pPr>
      <w:del w:id="1173" w:author="Master Repository Process" w:date="2022-03-30T12:17:00Z">
        <w:r>
          <w:rPr>
            <w:sz w:val="22"/>
          </w:rPr>
          <w:tab/>
          <w:delText>(ii)</w:delText>
        </w:r>
        <w:r>
          <w:rPr>
            <w:sz w:val="22"/>
          </w:rPr>
          <w:tab/>
          <w:delText>the safety and health of any other protected person;</w:delText>
        </w:r>
      </w:del>
    </w:p>
    <w:p>
      <w:pPr>
        <w:pStyle w:val="yIndenta"/>
        <w:rPr>
          <w:del w:id="1174" w:author="Master Repository Process" w:date="2022-03-30T12:17:00Z"/>
        </w:rPr>
      </w:pPr>
      <w:del w:id="1175" w:author="Master Repository Process" w:date="2022-03-30T12:17:00Z">
        <w:r>
          <w:tab/>
        </w:r>
        <w:r>
          <w:tab/>
          <w:delText>and</w:delText>
        </w:r>
      </w:del>
    </w:p>
    <w:p>
      <w:pPr>
        <w:pStyle w:val="yIndenta"/>
        <w:rPr>
          <w:del w:id="1176" w:author="Master Repository Process" w:date="2022-03-30T12:17:00Z"/>
        </w:rPr>
      </w:pPr>
      <w:del w:id="1177" w:author="Master Repository Process" w:date="2022-03-30T12:17:00Z">
        <w:r>
          <w:tab/>
          <w:delText>(b)</w:delText>
        </w:r>
        <w:r>
          <w:tab/>
          <w:delText>in respect of any obligation imposed on the operator or on any other person under a listed OSH law — to cooperate with the operator or that other person to the extent necessary to enable the operator or that other person to fulfil that obligation; and</w:delText>
        </w:r>
      </w:del>
    </w:p>
    <w:p>
      <w:pPr>
        <w:pStyle w:val="yIndenta"/>
        <w:rPr>
          <w:del w:id="1178" w:author="Master Repository Process" w:date="2022-03-30T12:17:00Z"/>
        </w:rPr>
      </w:pPr>
      <w:del w:id="1179" w:author="Master Repository Process" w:date="2022-03-30T12:17:00Z">
        <w:r>
          <w:tab/>
          <w:delText>(c)</w:delText>
        </w:r>
        <w:r>
          <w:tab/>
          <w:delText xml:space="preserve">to use equipment that is — </w:delText>
        </w:r>
      </w:del>
    </w:p>
    <w:p>
      <w:pPr>
        <w:pStyle w:val="yIndenti0"/>
        <w:rPr>
          <w:del w:id="1180" w:author="Master Repository Process" w:date="2022-03-30T12:17:00Z"/>
        </w:rPr>
      </w:pPr>
      <w:del w:id="1181" w:author="Master Repository Process" w:date="2022-03-30T12:17:00Z">
        <w:r>
          <w:tab/>
          <w:delText>(i)</w:delText>
        </w:r>
        <w:r>
          <w:tab/>
          <w:delText>supplied to the person by the operator, an employer of the person or any other person having control of the petroleum operation or geothermal energy operation (the </w:delText>
        </w:r>
        <w:r>
          <w:rPr>
            <w:rStyle w:val="CharDefText"/>
          </w:rPr>
          <w:delText>equipment supplier</w:delText>
        </w:r>
        <w:r>
          <w:delText>); and</w:delText>
        </w:r>
      </w:del>
    </w:p>
    <w:p>
      <w:pPr>
        <w:pStyle w:val="yIndenti0"/>
        <w:rPr>
          <w:del w:id="1182" w:author="Master Repository Process" w:date="2022-03-30T12:17:00Z"/>
        </w:rPr>
      </w:pPr>
      <w:del w:id="1183" w:author="Master Repository Process" w:date="2022-03-30T12:17:00Z">
        <w:r>
          <w:tab/>
          <w:delText>(ii)</w:delText>
        </w:r>
        <w:r>
          <w:tab/>
          <w:delText>necessary to protect the occupational safety and health of the person, or the safety and health of any other person engaged in the petroleum operation or geothermal energy operation or protected person,</w:delText>
        </w:r>
      </w:del>
    </w:p>
    <w:p>
      <w:pPr>
        <w:pStyle w:val="yIndenta"/>
        <w:rPr>
          <w:del w:id="1184" w:author="Master Repository Process" w:date="2022-03-30T12:17:00Z"/>
        </w:rPr>
      </w:pPr>
      <w:del w:id="1185" w:author="Master Repository Process" w:date="2022-03-30T12:17:00Z">
        <w:r>
          <w:tab/>
        </w:r>
        <w:r>
          <w:tab/>
          <w:delText>in accordance with any instructions given by the equipment supplier, consistent with the safe and proper use of the equipment.</w:delText>
        </w:r>
      </w:del>
    </w:p>
    <w:p>
      <w:pPr>
        <w:pStyle w:val="yPenstart"/>
        <w:rPr>
          <w:del w:id="1186" w:author="Master Repository Process" w:date="2022-03-30T12:17:00Z"/>
        </w:rPr>
      </w:pPr>
      <w:del w:id="1187" w:author="Master Repository Process" w:date="2022-03-30T12:17:00Z">
        <w:r>
          <w:tab/>
          <w:delText xml:space="preserve">Penalty: a fine of $5 500. </w:delText>
        </w:r>
      </w:del>
    </w:p>
    <w:p>
      <w:pPr>
        <w:pStyle w:val="ySubsection"/>
        <w:rPr>
          <w:del w:id="1188" w:author="Master Repository Process" w:date="2022-03-30T12:17:00Z"/>
        </w:rPr>
      </w:pPr>
      <w:del w:id="1189" w:author="Master Repository Process" w:date="2022-03-30T12:17:00Z">
        <w:r>
          <w:tab/>
          <w:delText>(2)</w:delText>
        </w:r>
        <w:r>
          <w:tab/>
          <w:delText xml:space="preserve">Despite subclause (1), the choice or manner of use, or choice and manner of use, of equipment of the kind referred to in subclause (1)(c)(ii) is a matter that may be, consistently with each listed OSH law — </w:delText>
        </w:r>
      </w:del>
    </w:p>
    <w:p>
      <w:pPr>
        <w:pStyle w:val="yIndenta"/>
        <w:rPr>
          <w:del w:id="1190" w:author="Master Repository Process" w:date="2022-03-30T12:17:00Z"/>
        </w:rPr>
      </w:pPr>
      <w:del w:id="1191" w:author="Master Repository Process" w:date="2022-03-30T12:17:00Z">
        <w:r>
          <w:tab/>
          <w:delText>(a)</w:delText>
        </w:r>
        <w:r>
          <w:tab/>
          <w:delText>agreed on between the equipment supplier and any relevant safety and health representative; or</w:delText>
        </w:r>
      </w:del>
    </w:p>
    <w:p>
      <w:pPr>
        <w:pStyle w:val="yIndenta"/>
        <w:rPr>
          <w:del w:id="1192" w:author="Master Repository Process" w:date="2022-03-30T12:17:00Z"/>
        </w:rPr>
      </w:pPr>
      <w:del w:id="1193" w:author="Master Repository Process" w:date="2022-03-30T12:17:00Z">
        <w:r>
          <w:tab/>
          <w:delText>(b)</w:delText>
        </w:r>
        <w:r>
          <w:tab/>
          <w:delText>agreed on by a safety and health committee.</w:delText>
        </w:r>
      </w:del>
    </w:p>
    <w:p>
      <w:pPr>
        <w:pStyle w:val="ySubsection"/>
        <w:rPr>
          <w:del w:id="1194" w:author="Master Repository Process" w:date="2022-03-30T12:17:00Z"/>
        </w:rPr>
      </w:pPr>
      <w:del w:id="1195" w:author="Master Repository Process" w:date="2022-03-30T12:17:00Z">
        <w:r>
          <w:tab/>
          <w:delText>(3)</w:delText>
        </w:r>
        <w:r>
          <w:tab/>
          <w:delTex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delText>
        </w:r>
      </w:del>
    </w:p>
    <w:p>
      <w:pPr>
        <w:pStyle w:val="ySubsection"/>
        <w:rPr>
          <w:del w:id="1196" w:author="Master Repository Process" w:date="2022-03-30T12:17:00Z"/>
        </w:rPr>
      </w:pPr>
      <w:del w:id="1197" w:author="Master Repository Process" w:date="2022-03-30T12:17:00Z">
        <w:r>
          <w:tab/>
          <w:delText>(4)</w:delText>
        </w:r>
        <w:r>
          <w:tab/>
          <w:delTex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delText>
        </w:r>
      </w:del>
    </w:p>
    <w:p>
      <w:pPr>
        <w:pStyle w:val="yFootnotesection"/>
        <w:rPr>
          <w:del w:id="1198" w:author="Master Repository Process" w:date="2022-03-30T12:17:00Z"/>
        </w:rPr>
      </w:pPr>
      <w:del w:id="1199" w:author="Master Repository Process" w:date="2022-03-30T12:17:00Z">
        <w:r>
          <w:tab/>
          <w:delText>[Clause 13 inserted: No. 13 of 2005 s. 17; amended: No. 35 of 2007 s. 86; No. 42 of 2010 s. 60(6).]</w:delText>
        </w:r>
      </w:del>
    </w:p>
    <w:p>
      <w:pPr>
        <w:pStyle w:val="yHeading5"/>
        <w:rPr>
          <w:del w:id="1200" w:author="Master Repository Process" w:date="2022-03-30T12:17:00Z"/>
        </w:rPr>
      </w:pPr>
      <w:bookmarkStart w:id="1201" w:name="_Toc97630687"/>
      <w:del w:id="1202" w:author="Master Repository Process" w:date="2022-03-30T12:17:00Z">
        <w:r>
          <w:rPr>
            <w:rStyle w:val="CharSClsNo"/>
          </w:rPr>
          <w:delText>14</w:delText>
        </w:r>
        <w:r>
          <w:delText>.</w:delText>
        </w:r>
        <w:r>
          <w:rPr>
            <w:b w:val="0"/>
          </w:rPr>
          <w:tab/>
        </w:r>
        <w:r>
          <w:delText>Reliance on information supplied or results of research</w:delText>
        </w:r>
        <w:bookmarkEnd w:id="1201"/>
      </w:del>
    </w:p>
    <w:p>
      <w:pPr>
        <w:pStyle w:val="ySubsection"/>
        <w:rPr>
          <w:del w:id="1203" w:author="Master Repository Process" w:date="2022-03-30T12:17:00Z"/>
        </w:rPr>
      </w:pPr>
      <w:del w:id="1204" w:author="Master Repository Process" w:date="2022-03-30T12:17:00Z">
        <w:r>
          <w:tab/>
          <w:delText>(1)</w:delText>
        </w:r>
        <w:r>
          <w:tab/>
          <w:delText xml:space="preserve">For the purpose of the application of clause 7, 8 or 9 to the use of plant or a substance, a person on whom an obligation is imposed under any of those clauses is regarded as having taken reasonably practicable steps as required by the relevant clause, in relation to the use of the plant or substance, to the extent that — </w:delText>
        </w:r>
      </w:del>
    </w:p>
    <w:p>
      <w:pPr>
        <w:pStyle w:val="yIndenta"/>
        <w:rPr>
          <w:del w:id="1205" w:author="Master Repository Process" w:date="2022-03-30T12:17:00Z"/>
        </w:rPr>
      </w:pPr>
      <w:del w:id="1206" w:author="Master Repository Process" w:date="2022-03-30T12:17:00Z">
        <w:r>
          <w:tab/>
          <w:delText>(a)</w:delText>
        </w:r>
        <w:r>
          <w:tab/>
          <w:delText>the person ensured, so far as practicable, that its use was in accordance with the information supplied by the manufacturer or the supplier of the plant or substance relating to occupational safety and health in its use; and</w:delText>
        </w:r>
      </w:del>
    </w:p>
    <w:p>
      <w:pPr>
        <w:pStyle w:val="yIndenta"/>
        <w:rPr>
          <w:del w:id="1207" w:author="Master Repository Process" w:date="2022-03-30T12:17:00Z"/>
        </w:rPr>
      </w:pPr>
      <w:del w:id="1208" w:author="Master Repository Process" w:date="2022-03-30T12:17:00Z">
        <w:r>
          <w:tab/>
          <w:delText>(b)</w:delText>
        </w:r>
        <w:r>
          <w:tab/>
          <w:delText>it was reasonable for the person to rely on that information.</w:delText>
        </w:r>
      </w:del>
    </w:p>
    <w:p>
      <w:pPr>
        <w:pStyle w:val="ySubsection"/>
        <w:rPr>
          <w:del w:id="1209" w:author="Master Repository Process" w:date="2022-03-30T12:17:00Z"/>
        </w:rPr>
      </w:pPr>
      <w:del w:id="1210" w:author="Master Repository Process" w:date="2022-03-30T12:17:00Z">
        <w:r>
          <w:tab/>
          <w:delText>(2)</w:delText>
        </w:r>
        <w:r>
          <w:tab/>
          <w:delText xml:space="preserve">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 </w:delText>
        </w:r>
      </w:del>
    </w:p>
    <w:p>
      <w:pPr>
        <w:pStyle w:val="yIndenta"/>
        <w:spacing w:before="60"/>
        <w:rPr>
          <w:del w:id="1211" w:author="Master Repository Process" w:date="2022-03-30T12:17:00Z"/>
        </w:rPr>
      </w:pPr>
      <w:del w:id="1212" w:author="Master Repository Process" w:date="2022-03-30T12:17:00Z">
        <w:r>
          <w:tab/>
          <w:delText>(a)</w:delText>
        </w:r>
        <w:r>
          <w:tab/>
          <w:delText>the research, testing or examination has already been carried out by or on behalf of someone else; and</w:delText>
        </w:r>
      </w:del>
    </w:p>
    <w:p>
      <w:pPr>
        <w:pStyle w:val="yIndenta"/>
        <w:spacing w:before="60"/>
        <w:rPr>
          <w:del w:id="1213" w:author="Master Repository Process" w:date="2022-03-30T12:17:00Z"/>
        </w:rPr>
      </w:pPr>
      <w:del w:id="1214" w:author="Master Repository Process" w:date="2022-03-30T12:17:00Z">
        <w:r>
          <w:tab/>
          <w:delText>(b)</w:delText>
        </w:r>
        <w:r>
          <w:tab/>
          <w:delText>it was reasonable for the person to rely on that research, testing or examination.</w:delText>
        </w:r>
      </w:del>
    </w:p>
    <w:p>
      <w:pPr>
        <w:pStyle w:val="ySubsection"/>
        <w:spacing w:before="140"/>
        <w:rPr>
          <w:del w:id="1215" w:author="Master Repository Process" w:date="2022-03-30T12:17:00Z"/>
        </w:rPr>
      </w:pPr>
      <w:del w:id="1216" w:author="Master Repository Process" w:date="2022-03-30T12:17:00Z">
        <w:r>
          <w:tab/>
          <w:delText>(3)</w:delText>
        </w:r>
        <w:r>
          <w:tab/>
          <w:delText xml:space="preserve">For the purpose of the application of clause 12 to the erection of a facility or the erection or installation of plant for use in a petroleum operation or geothermal energy operation, a person on whom an obligation is imposed under that clause is regarded as having taken reasonably practicable steps as required by that clause to the extent that — </w:delText>
        </w:r>
      </w:del>
    </w:p>
    <w:p>
      <w:pPr>
        <w:pStyle w:val="yIndenta"/>
        <w:spacing w:before="60"/>
        <w:rPr>
          <w:del w:id="1217" w:author="Master Repository Process" w:date="2022-03-30T12:17:00Z"/>
        </w:rPr>
      </w:pPr>
      <w:del w:id="1218" w:author="Master Repository Process" w:date="2022-03-30T12:17:00Z">
        <w:r>
          <w:tab/>
          <w:delText>(a)</w:delText>
        </w:r>
        <w:r>
          <w:tab/>
          <w:delText xml:space="preserve">the person ensured, so far as is reasonably practicable, that the erection of the facility, or the erection or installation of the plant, was — </w:delText>
        </w:r>
      </w:del>
    </w:p>
    <w:p>
      <w:pPr>
        <w:pStyle w:val="yIndenti0"/>
        <w:spacing w:before="60"/>
        <w:rPr>
          <w:del w:id="1219" w:author="Master Repository Process" w:date="2022-03-30T12:17:00Z"/>
        </w:rPr>
      </w:pPr>
      <w:del w:id="1220" w:author="Master Repository Process" w:date="2022-03-30T12:17:00Z">
        <w:r>
          <w:tab/>
          <w:delText>(i)</w:delText>
        </w:r>
        <w:r>
          <w:tab/>
          <w:delText>in accordance with information supplied by the manufacturer or supplier of the facility or plant relating to its erection or its installation; and</w:delText>
        </w:r>
      </w:del>
    </w:p>
    <w:p>
      <w:pPr>
        <w:pStyle w:val="yIndenti0"/>
        <w:spacing w:before="60"/>
        <w:rPr>
          <w:del w:id="1221" w:author="Master Repository Process" w:date="2022-03-30T12:17:00Z"/>
        </w:rPr>
      </w:pPr>
      <w:del w:id="1222" w:author="Master Repository Process" w:date="2022-03-30T12:17:00Z">
        <w:r>
          <w:tab/>
          <w:delText>(ii)</w:delText>
        </w:r>
        <w:r>
          <w:tab/>
          <w:delText>consistent with the occupational safety and health of persons engaged in the petroleum operation or geothermal energy operation;</w:delText>
        </w:r>
      </w:del>
    </w:p>
    <w:p>
      <w:pPr>
        <w:pStyle w:val="yIndenta"/>
        <w:spacing w:before="60"/>
        <w:rPr>
          <w:del w:id="1223" w:author="Master Repository Process" w:date="2022-03-30T12:17:00Z"/>
        </w:rPr>
      </w:pPr>
      <w:del w:id="1224" w:author="Master Repository Process" w:date="2022-03-30T12:17:00Z">
        <w:r>
          <w:tab/>
        </w:r>
        <w:r>
          <w:tab/>
          <w:delText>and</w:delText>
        </w:r>
      </w:del>
    </w:p>
    <w:p>
      <w:pPr>
        <w:pStyle w:val="yIndenta"/>
        <w:spacing w:before="60"/>
        <w:rPr>
          <w:del w:id="1225" w:author="Master Repository Process" w:date="2022-03-30T12:17:00Z"/>
        </w:rPr>
      </w:pPr>
      <w:del w:id="1226" w:author="Master Repository Process" w:date="2022-03-30T12:17:00Z">
        <w:r>
          <w:tab/>
          <w:delText>(b)</w:delText>
        </w:r>
        <w:r>
          <w:tab/>
          <w:delText>it was reasonable for the person to rely on that information.</w:delText>
        </w:r>
      </w:del>
    </w:p>
    <w:p>
      <w:pPr>
        <w:pStyle w:val="ySubsection"/>
        <w:keepNext/>
        <w:spacing w:before="140"/>
        <w:rPr>
          <w:del w:id="1227" w:author="Master Repository Process" w:date="2022-03-30T12:17:00Z"/>
        </w:rPr>
      </w:pPr>
      <w:del w:id="1228" w:author="Master Repository Process" w:date="2022-03-30T12:17:00Z">
        <w:r>
          <w:tab/>
          <w:delText>(4)</w:delText>
        </w:r>
        <w:r>
          <w:tab/>
          <w:delText>Nothing in this clause limits the generality of what constitutes reasonably practicable steps as required by clause 7, 8, 9, 10, 11 or 12.</w:delText>
        </w:r>
      </w:del>
    </w:p>
    <w:p>
      <w:pPr>
        <w:pStyle w:val="yFootnotesection"/>
        <w:rPr>
          <w:del w:id="1229" w:author="Master Repository Process" w:date="2022-03-30T12:17:00Z"/>
        </w:rPr>
      </w:pPr>
      <w:del w:id="1230" w:author="Master Repository Process" w:date="2022-03-30T12:17:00Z">
        <w:r>
          <w:tab/>
          <w:delText>[Clause 14 inserted: No. 13 of 2005 s. 17; amended: No. 35 of 2007 s. 86.]</w:delText>
        </w:r>
      </w:del>
    </w:p>
    <w:p>
      <w:pPr>
        <w:pStyle w:val="yHeading4"/>
        <w:rPr>
          <w:del w:id="1231" w:author="Master Repository Process" w:date="2022-03-30T12:17:00Z"/>
        </w:rPr>
      </w:pPr>
      <w:bookmarkStart w:id="1232" w:name="_Toc97629797"/>
      <w:bookmarkStart w:id="1233" w:name="_Toc97630150"/>
      <w:bookmarkStart w:id="1234" w:name="_Toc97630688"/>
      <w:del w:id="1235" w:author="Master Repository Process" w:date="2022-03-30T12:17:00Z">
        <w:r>
          <w:delText>Subdivision </w:delText>
        </w:r>
        <w:r>
          <w:rPr>
            <w:bCs/>
          </w:rPr>
          <w:delText>2</w:delText>
        </w:r>
        <w:r>
          <w:rPr>
            <w:b w:val="0"/>
          </w:rPr>
          <w:delText> — </w:delText>
        </w:r>
        <w:r>
          <w:rPr>
            <w:bCs/>
          </w:rPr>
          <w:delText>Regulations</w:delText>
        </w:r>
        <w:r>
          <w:delText xml:space="preserve"> relating to occupational safety and health</w:delText>
        </w:r>
        <w:bookmarkEnd w:id="1232"/>
        <w:bookmarkEnd w:id="1233"/>
        <w:bookmarkEnd w:id="1234"/>
      </w:del>
    </w:p>
    <w:p>
      <w:pPr>
        <w:pStyle w:val="yFootnoteheading"/>
        <w:rPr>
          <w:del w:id="1236" w:author="Master Repository Process" w:date="2022-03-30T12:17:00Z"/>
        </w:rPr>
      </w:pPr>
      <w:del w:id="1237" w:author="Master Repository Process" w:date="2022-03-30T12:17:00Z">
        <w:r>
          <w:tab/>
          <w:delText>[Heading inserted: No. 13 of 2005 s. 17.]</w:delText>
        </w:r>
      </w:del>
    </w:p>
    <w:p>
      <w:pPr>
        <w:pStyle w:val="yHeading5"/>
        <w:spacing w:before="240"/>
        <w:rPr>
          <w:del w:id="1238" w:author="Master Repository Process" w:date="2022-03-30T12:17:00Z"/>
        </w:rPr>
      </w:pPr>
      <w:bookmarkStart w:id="1239" w:name="_Toc97630689"/>
      <w:del w:id="1240" w:author="Master Repository Process" w:date="2022-03-30T12:17:00Z">
        <w:r>
          <w:rPr>
            <w:rStyle w:val="CharSClsNo"/>
          </w:rPr>
          <w:delText>15</w:delText>
        </w:r>
        <w:r>
          <w:delText>.</w:delText>
        </w:r>
        <w:r>
          <w:rPr>
            <w:b w:val="0"/>
          </w:rPr>
          <w:tab/>
        </w:r>
        <w:r>
          <w:delText>Regulations relating to occupational safety and health</w:delText>
        </w:r>
        <w:bookmarkEnd w:id="1239"/>
      </w:del>
    </w:p>
    <w:p>
      <w:pPr>
        <w:pStyle w:val="ySubsection"/>
        <w:spacing w:before="180"/>
        <w:rPr>
          <w:del w:id="1241" w:author="Master Repository Process" w:date="2022-03-30T12:17:00Z"/>
        </w:rPr>
      </w:pPr>
      <w:del w:id="1242" w:author="Master Repository Process" w:date="2022-03-30T12:17:00Z">
        <w:r>
          <w:tab/>
          <w:delText>(1)</w:delText>
        </w:r>
        <w:r>
          <w:tab/>
          <w:delText>The regulations may make provision relating to any matter affecting, or likely to affect, the occupational safety and health of persons engaged in a petroleum operation or geothermal energy operation.</w:delText>
        </w:r>
      </w:del>
    </w:p>
    <w:p>
      <w:pPr>
        <w:pStyle w:val="ySubsection"/>
        <w:spacing w:before="180"/>
        <w:rPr>
          <w:del w:id="1243" w:author="Master Repository Process" w:date="2022-03-30T12:17:00Z"/>
        </w:rPr>
      </w:pPr>
      <w:del w:id="1244" w:author="Master Repository Process" w:date="2022-03-30T12:17:00Z">
        <w:r>
          <w:tab/>
          <w:delText>(2)</w:delText>
        </w:r>
        <w:r>
          <w:tab/>
          <w:delText xml:space="preserve">Regulations made for the purposes of subclause (1) may make provision for any or all of the following — </w:delText>
        </w:r>
      </w:del>
    </w:p>
    <w:p>
      <w:pPr>
        <w:pStyle w:val="yIndenta"/>
        <w:rPr>
          <w:del w:id="1245" w:author="Master Repository Process" w:date="2022-03-30T12:17:00Z"/>
        </w:rPr>
      </w:pPr>
      <w:del w:id="1246" w:author="Master Repository Process" w:date="2022-03-30T12:17:00Z">
        <w:r>
          <w:tab/>
          <w:delText>(a)</w:delText>
        </w:r>
        <w:r>
          <w:tab/>
          <w:delText>prohibiting or restricting the performance of all work or specified work in relation to a petroleum operation or geothermal energy operation;</w:delText>
        </w:r>
      </w:del>
    </w:p>
    <w:p>
      <w:pPr>
        <w:pStyle w:val="yIndenta"/>
        <w:rPr>
          <w:del w:id="1247" w:author="Master Repository Process" w:date="2022-03-30T12:17:00Z"/>
        </w:rPr>
      </w:pPr>
      <w:del w:id="1248" w:author="Master Repository Process" w:date="2022-03-30T12:17:00Z">
        <w:r>
          <w:tab/>
          <w:delText>(b)</w:delText>
        </w:r>
        <w:r>
          <w:tab/>
          <w:delText>prohibiting or restricting the use of all plant or specified plant in a petroleum operation or geothermal energy operation;</w:delText>
        </w:r>
      </w:del>
    </w:p>
    <w:p>
      <w:pPr>
        <w:pStyle w:val="yIndenta"/>
        <w:rPr>
          <w:del w:id="1249" w:author="Master Repository Process" w:date="2022-03-30T12:17:00Z"/>
        </w:rPr>
      </w:pPr>
      <w:del w:id="1250" w:author="Master Repository Process" w:date="2022-03-30T12:17:00Z">
        <w:r>
          <w:tab/>
          <w:delText>(c)</w:delText>
        </w:r>
        <w:r>
          <w:tab/>
          <w:delText>prohibiting or restricting the carrying out of all processes or a specified process in a petroleum operation or geothermal energy operation;</w:delText>
        </w:r>
      </w:del>
    </w:p>
    <w:p>
      <w:pPr>
        <w:pStyle w:val="yIndenta"/>
        <w:rPr>
          <w:del w:id="1251" w:author="Master Repository Process" w:date="2022-03-30T12:17:00Z"/>
        </w:rPr>
      </w:pPr>
      <w:del w:id="1252" w:author="Master Repository Process" w:date="2022-03-30T12:17:00Z">
        <w:r>
          <w:tab/>
          <w:delText>(d)</w:delText>
        </w:r>
        <w:r>
          <w:tab/>
          <w:delText>prohibiting or restricting the storage or use of all substances or specified substances in a petroleum operation or geothermal energy operation;</w:delText>
        </w:r>
      </w:del>
    </w:p>
    <w:p>
      <w:pPr>
        <w:pStyle w:val="yIndenta"/>
        <w:rPr>
          <w:del w:id="1253" w:author="Master Repository Process" w:date="2022-03-30T12:17:00Z"/>
        </w:rPr>
      </w:pPr>
      <w:del w:id="1254" w:author="Master Repository Process" w:date="2022-03-30T12:17:00Z">
        <w:r>
          <w:tab/>
          <w:delText>(e)</w:delText>
        </w:r>
        <w:r>
          <w:tab/>
          <w:delText>specifying the form in which information required to be made available under clause 10(1)(c) or 11(1)(c) is to be so made available;</w:delText>
        </w:r>
      </w:del>
    </w:p>
    <w:p>
      <w:pPr>
        <w:pStyle w:val="yIndenta"/>
        <w:rPr>
          <w:del w:id="1255" w:author="Master Repository Process" w:date="2022-03-30T12:17:00Z"/>
        </w:rPr>
      </w:pPr>
      <w:del w:id="1256" w:author="Master Repository Process" w:date="2022-03-30T12:17:00Z">
        <w:r>
          <w:tab/>
          <w:delText>(f)</w:delText>
        </w:r>
        <w:r>
          <w:tab/>
          <w:delText>prohibiting, except in accordance with licences granted under the regulations, the use of specified plant or specified substances in a petroleum operation or geothermal energy operation;</w:delText>
        </w:r>
      </w:del>
    </w:p>
    <w:p>
      <w:pPr>
        <w:pStyle w:val="yIndenta"/>
        <w:rPr>
          <w:del w:id="1257" w:author="Master Repository Process" w:date="2022-03-30T12:17:00Z"/>
        </w:rPr>
      </w:pPr>
      <w:del w:id="1258" w:author="Master Repository Process" w:date="2022-03-30T12:17:00Z">
        <w:r>
          <w:tab/>
          <w:delText>(g)</w:delText>
        </w:r>
        <w:r>
          <w:tab/>
          <w:delText xml:space="preserve">providing for — </w:delText>
        </w:r>
      </w:del>
    </w:p>
    <w:p>
      <w:pPr>
        <w:pStyle w:val="yIndenti0"/>
        <w:rPr>
          <w:del w:id="1259" w:author="Master Repository Process" w:date="2022-03-30T12:17:00Z"/>
        </w:rPr>
      </w:pPr>
      <w:del w:id="1260" w:author="Master Repository Process" w:date="2022-03-30T12:17:00Z">
        <w:r>
          <w:tab/>
          <w:delText>(i)</w:delText>
        </w:r>
        <w:r>
          <w:tab/>
          <w:delText>the issue, variation, renewal, transfer, suspension and cancellation of those licences; and</w:delText>
        </w:r>
      </w:del>
    </w:p>
    <w:p>
      <w:pPr>
        <w:pStyle w:val="yIndenti0"/>
        <w:rPr>
          <w:del w:id="1261" w:author="Master Repository Process" w:date="2022-03-30T12:17:00Z"/>
        </w:rPr>
      </w:pPr>
      <w:del w:id="1262" w:author="Master Repository Process" w:date="2022-03-30T12:17:00Z">
        <w:r>
          <w:tab/>
          <w:delText>(ii)</w:delText>
        </w:r>
        <w:r>
          <w:tab/>
          <w:delText>the conditions to which the licences may be subject;</w:delText>
        </w:r>
      </w:del>
    </w:p>
    <w:p>
      <w:pPr>
        <w:pStyle w:val="yIndenta"/>
        <w:rPr>
          <w:del w:id="1263" w:author="Master Repository Process" w:date="2022-03-30T12:17:00Z"/>
        </w:rPr>
      </w:pPr>
      <w:del w:id="1264" w:author="Master Repository Process" w:date="2022-03-30T12:17:00Z">
        <w:r>
          <w:tab/>
          <w:delText>(h)</w:delText>
        </w:r>
        <w:r>
          <w:tab/>
          <w:delText>regulating the maintenance and testing of plant for use in a petroleum operation or geothermal energy operation;</w:delText>
        </w:r>
      </w:del>
    </w:p>
    <w:p>
      <w:pPr>
        <w:pStyle w:val="yIndenta"/>
        <w:rPr>
          <w:del w:id="1265" w:author="Master Repository Process" w:date="2022-03-30T12:17:00Z"/>
        </w:rPr>
      </w:pPr>
      <w:del w:id="1266" w:author="Master Repository Process" w:date="2022-03-30T12:17:00Z">
        <w:r>
          <w:tab/>
          <w:delText>(i)</w:delText>
        </w:r>
        <w:r>
          <w:tab/>
          <w:delText>regulating the labelling or marking of substances for use in a petroleum operation or geothermal energy operation;</w:delText>
        </w:r>
      </w:del>
    </w:p>
    <w:p>
      <w:pPr>
        <w:pStyle w:val="yIndenta"/>
        <w:rPr>
          <w:del w:id="1267" w:author="Master Repository Process" w:date="2022-03-30T12:17:00Z"/>
        </w:rPr>
      </w:pPr>
      <w:del w:id="1268" w:author="Master Repository Process" w:date="2022-03-30T12:17:00Z">
        <w:r>
          <w:tab/>
          <w:delText>(j)</w:delText>
        </w:r>
        <w:r>
          <w:tab/>
          <w:delText>regulating the transport of specified plant or specified substances for use in a petroleum operation or geothermal energy operation;</w:delText>
        </w:r>
      </w:del>
    </w:p>
    <w:p>
      <w:pPr>
        <w:pStyle w:val="yIndenta"/>
        <w:rPr>
          <w:del w:id="1269" w:author="Master Repository Process" w:date="2022-03-30T12:17:00Z"/>
        </w:rPr>
      </w:pPr>
      <w:del w:id="1270" w:author="Master Repository Process" w:date="2022-03-30T12:17:00Z">
        <w:r>
          <w:tab/>
          <w:delText>(k)</w:delText>
        </w:r>
        <w:r>
          <w:tab/>
          <w:delText xml:space="preserve">prohibiting the performance, in relation to a petroleum operation or geothermal energy operation, of specified activities or work except — </w:delText>
        </w:r>
      </w:del>
    </w:p>
    <w:p>
      <w:pPr>
        <w:pStyle w:val="yIndenti0"/>
        <w:rPr>
          <w:del w:id="1271" w:author="Master Repository Process" w:date="2022-03-30T12:17:00Z"/>
        </w:rPr>
      </w:pPr>
      <w:del w:id="1272" w:author="Master Repository Process" w:date="2022-03-30T12:17:00Z">
        <w:r>
          <w:tab/>
          <w:delText>(i)</w:delText>
        </w:r>
        <w:r>
          <w:tab/>
          <w:delText>by persons who satisfy requirements of the regulations as to qualifications, training or experience; or</w:delText>
        </w:r>
      </w:del>
    </w:p>
    <w:p>
      <w:pPr>
        <w:pStyle w:val="yIndenti0"/>
        <w:rPr>
          <w:del w:id="1273" w:author="Master Repository Process" w:date="2022-03-30T12:17:00Z"/>
        </w:rPr>
      </w:pPr>
      <w:del w:id="1274" w:author="Master Repository Process" w:date="2022-03-30T12:17:00Z">
        <w:r>
          <w:tab/>
          <w:delText>(ii)</w:delText>
        </w:r>
        <w:r>
          <w:tab/>
          <w:delText>under the supervision specified in the regulations;</w:delText>
        </w:r>
      </w:del>
    </w:p>
    <w:p>
      <w:pPr>
        <w:pStyle w:val="yIndenta"/>
        <w:rPr>
          <w:del w:id="1275" w:author="Master Repository Process" w:date="2022-03-30T12:17:00Z"/>
        </w:rPr>
      </w:pPr>
      <w:del w:id="1276" w:author="Master Repository Process" w:date="2022-03-30T12:17:00Z">
        <w:r>
          <w:tab/>
          <w:delText>(l)</w:delText>
        </w:r>
        <w:r>
          <w:tab/>
          <w:delText>requiring specified action to avoid accidents or dangerous occurrences;</w:delText>
        </w:r>
      </w:del>
    </w:p>
    <w:p>
      <w:pPr>
        <w:pStyle w:val="yIndenta"/>
        <w:rPr>
          <w:del w:id="1277" w:author="Master Repository Process" w:date="2022-03-30T12:17:00Z"/>
        </w:rPr>
      </w:pPr>
      <w:del w:id="1278" w:author="Master Repository Process" w:date="2022-03-30T12:17:00Z">
        <w:r>
          <w:tab/>
          <w:delText>(m)</w:delText>
        </w:r>
        <w:r>
          <w:tab/>
          <w:delText>providing for, or prohibiting, specified action in the event of accidents or dangerous occurrences;</w:delText>
        </w:r>
      </w:del>
    </w:p>
    <w:p>
      <w:pPr>
        <w:pStyle w:val="yIndenta"/>
        <w:rPr>
          <w:del w:id="1279" w:author="Master Repository Process" w:date="2022-03-30T12:17:00Z"/>
        </w:rPr>
      </w:pPr>
      <w:del w:id="1280" w:author="Master Repository Process" w:date="2022-03-30T12:17:00Z">
        <w:r>
          <w:tab/>
          <w:delText>(n)</w:delText>
        </w:r>
        <w:r>
          <w:tab/>
          <w:delText>providing for the employment of persons to perform specified duties relating to the maintenance of occupational safety and health in relation to a petroleum operation or geothermal energy operation;</w:delText>
        </w:r>
      </w:del>
    </w:p>
    <w:p>
      <w:pPr>
        <w:pStyle w:val="yIndenta"/>
        <w:rPr>
          <w:del w:id="1281" w:author="Master Repository Process" w:date="2022-03-30T12:17:00Z"/>
        </w:rPr>
      </w:pPr>
      <w:del w:id="1282" w:author="Master Repository Process" w:date="2022-03-30T12:17:00Z">
        <w:r>
          <w:tab/>
          <w:delText>(o)</w:delText>
        </w:r>
        <w:r>
          <w:tab/>
          <w:delText>regulating the provision and use, in a petroleum operation or geothermal energy operation, of protective clothing and equipment, safety equipment and rescue equipment;</w:delText>
        </w:r>
      </w:del>
    </w:p>
    <w:p>
      <w:pPr>
        <w:pStyle w:val="yIndenta"/>
        <w:rPr>
          <w:del w:id="1283" w:author="Master Repository Process" w:date="2022-03-30T12:17:00Z"/>
        </w:rPr>
      </w:pPr>
      <w:del w:id="1284" w:author="Master Repository Process" w:date="2022-03-30T12:17:00Z">
        <w:r>
          <w:tab/>
          <w:delText>(p)</w:delText>
        </w:r>
        <w:r>
          <w:tab/>
          <w:delText>providing for monitoring the health of members of the workforce engaged in a petroleum operation or geothermal energy operation and the conditions at a place at which a petroleum operation or geothermal energy operation is carried out;</w:delText>
        </w:r>
      </w:del>
    </w:p>
    <w:p>
      <w:pPr>
        <w:pStyle w:val="yIndenta"/>
        <w:spacing w:before="60"/>
        <w:rPr>
          <w:del w:id="1285" w:author="Master Repository Process" w:date="2022-03-30T12:17:00Z"/>
        </w:rPr>
      </w:pPr>
      <w:del w:id="1286" w:author="Master Repository Process" w:date="2022-03-30T12:17:00Z">
        <w:r>
          <w:tab/>
          <w:delText>(q)</w:delText>
        </w:r>
        <w:r>
          <w:tab/>
          <w:delText>requiring employers to keep records of matters related to the occupational safety and health of employees;</w:delText>
        </w:r>
      </w:del>
    </w:p>
    <w:p>
      <w:pPr>
        <w:pStyle w:val="yIndenta"/>
        <w:spacing w:before="60"/>
        <w:rPr>
          <w:del w:id="1287" w:author="Master Repository Process" w:date="2022-03-30T12:17:00Z"/>
        </w:rPr>
      </w:pPr>
      <w:del w:id="1288" w:author="Master Repository Process" w:date="2022-03-30T12:17:00Z">
        <w:r>
          <w:tab/>
          <w:delText>(r)</w:delText>
        </w:r>
        <w:r>
          <w:tab/>
          <w:delText>providing for the provision of first aid equipment and amenities at a place at which a petroleum operation or geothermal energy operation is carried out.</w:delText>
        </w:r>
      </w:del>
    </w:p>
    <w:p>
      <w:pPr>
        <w:pStyle w:val="yFootnotesection"/>
        <w:spacing w:before="60"/>
        <w:rPr>
          <w:del w:id="1289" w:author="Master Repository Process" w:date="2022-03-30T12:17:00Z"/>
        </w:rPr>
      </w:pPr>
      <w:del w:id="1290" w:author="Master Repository Process" w:date="2022-03-30T12:17:00Z">
        <w:r>
          <w:tab/>
          <w:delText>[Clause 15 inserted: No. 13 of 2005 s. 17; amended: No. 35 of 2007 s. 86.]</w:delText>
        </w:r>
      </w:del>
    </w:p>
    <w:p>
      <w:pPr>
        <w:pStyle w:val="yHeading3"/>
        <w:keepLines/>
        <w:rPr>
          <w:del w:id="1291" w:author="Master Repository Process" w:date="2022-03-30T12:17:00Z"/>
        </w:rPr>
      </w:pPr>
      <w:bookmarkStart w:id="1292" w:name="_Toc97629799"/>
      <w:bookmarkStart w:id="1293" w:name="_Toc97630152"/>
      <w:bookmarkStart w:id="1294" w:name="_Toc97630690"/>
      <w:del w:id="1295" w:author="Master Repository Process" w:date="2022-03-30T12:17:00Z">
        <w:r>
          <w:rPr>
            <w:rStyle w:val="CharSDivNo"/>
          </w:rPr>
          <w:delText>Division 3</w:delText>
        </w:r>
        <w:r>
          <w:rPr>
            <w:b w:val="0"/>
          </w:rPr>
          <w:delText> — </w:delText>
        </w:r>
        <w:r>
          <w:rPr>
            <w:rStyle w:val="CharSDivText"/>
          </w:rPr>
          <w:delText>Workplace arrangements</w:delText>
        </w:r>
        <w:bookmarkEnd w:id="1292"/>
        <w:bookmarkEnd w:id="1293"/>
        <w:bookmarkEnd w:id="1294"/>
      </w:del>
    </w:p>
    <w:p>
      <w:pPr>
        <w:pStyle w:val="yFootnoteheading"/>
        <w:keepNext/>
        <w:keepLines/>
        <w:rPr>
          <w:del w:id="1296" w:author="Master Repository Process" w:date="2022-03-30T12:17:00Z"/>
        </w:rPr>
      </w:pPr>
      <w:del w:id="1297" w:author="Master Repository Process" w:date="2022-03-30T12:17:00Z">
        <w:r>
          <w:tab/>
          <w:delText>[Heading inserted: No. 13 of 2005 s. 17.]</w:delText>
        </w:r>
      </w:del>
    </w:p>
    <w:p>
      <w:pPr>
        <w:pStyle w:val="yHeading4"/>
        <w:rPr>
          <w:del w:id="1298" w:author="Master Repository Process" w:date="2022-03-30T12:17:00Z"/>
        </w:rPr>
      </w:pPr>
      <w:bookmarkStart w:id="1299" w:name="_Toc97629800"/>
      <w:bookmarkStart w:id="1300" w:name="_Toc97630153"/>
      <w:bookmarkStart w:id="1301" w:name="_Toc97630691"/>
      <w:del w:id="1302" w:author="Master Repository Process" w:date="2022-03-30T12:17:00Z">
        <w:r>
          <w:delText>Subdivision </w:delText>
        </w:r>
        <w:r>
          <w:rPr>
            <w:bCs/>
          </w:rPr>
          <w:delText>1</w:delText>
        </w:r>
        <w:r>
          <w:rPr>
            <w:b w:val="0"/>
          </w:rPr>
          <w:delText> — </w:delText>
        </w:r>
        <w:r>
          <w:rPr>
            <w:bCs/>
          </w:rPr>
          <w:delText>Introduction</w:delText>
        </w:r>
        <w:bookmarkEnd w:id="1299"/>
        <w:bookmarkEnd w:id="1300"/>
        <w:bookmarkEnd w:id="1301"/>
      </w:del>
    </w:p>
    <w:p>
      <w:pPr>
        <w:pStyle w:val="yFootnoteheading"/>
        <w:rPr>
          <w:del w:id="1303" w:author="Master Repository Process" w:date="2022-03-30T12:17:00Z"/>
        </w:rPr>
      </w:pPr>
      <w:del w:id="1304" w:author="Master Repository Process" w:date="2022-03-30T12:17:00Z">
        <w:r>
          <w:tab/>
          <w:delText>[Heading inserted: No. 13 of 2005 s. 17.]</w:delText>
        </w:r>
      </w:del>
    </w:p>
    <w:p>
      <w:pPr>
        <w:pStyle w:val="yHeading5"/>
        <w:rPr>
          <w:del w:id="1305" w:author="Master Repository Process" w:date="2022-03-30T12:17:00Z"/>
        </w:rPr>
      </w:pPr>
      <w:bookmarkStart w:id="1306" w:name="_Toc97630692"/>
      <w:del w:id="1307" w:author="Master Repository Process" w:date="2022-03-30T12:17:00Z">
        <w:r>
          <w:rPr>
            <w:rStyle w:val="CharSClsNo"/>
          </w:rPr>
          <w:delText>16</w:delText>
        </w:r>
        <w:r>
          <w:delText>.</w:delText>
        </w:r>
        <w:r>
          <w:rPr>
            <w:b w:val="0"/>
          </w:rPr>
          <w:tab/>
        </w:r>
        <w:r>
          <w:delText>Simplified outline</w:delText>
        </w:r>
        <w:bookmarkEnd w:id="1306"/>
      </w:del>
    </w:p>
    <w:p>
      <w:pPr>
        <w:pStyle w:val="ySubsection"/>
        <w:rPr>
          <w:del w:id="1308" w:author="Master Repository Process" w:date="2022-03-30T12:17:00Z"/>
        </w:rPr>
      </w:pPr>
      <w:del w:id="1309" w:author="Master Repository Process" w:date="2022-03-30T12:17:00Z">
        <w:r>
          <w:tab/>
        </w:r>
        <w:r>
          <w:tab/>
          <w:delText xml:space="preserve">The following is a simplified outline of this Subdivision — </w:delText>
        </w:r>
      </w:del>
    </w:p>
    <w:p>
      <w:pPr>
        <w:pStyle w:val="ySubsection"/>
        <w:numPr>
          <w:ilvl w:val="1"/>
          <w:numId w:val="1"/>
        </w:numPr>
        <w:tabs>
          <w:tab w:val="clear" w:pos="595"/>
          <w:tab w:val="clear" w:pos="879"/>
          <w:tab w:val="clear" w:pos="1440"/>
          <w:tab w:val="num" w:pos="1288"/>
        </w:tabs>
        <w:spacing w:before="80"/>
        <w:ind w:left="1293" w:hanging="397"/>
        <w:rPr>
          <w:del w:id="1310" w:author="Master Repository Process" w:date="2022-03-30T12:17:00Z"/>
        </w:rPr>
      </w:pPr>
      <w:del w:id="1311" w:author="Master Repository Process" w:date="2022-03-30T12:17:00Z">
        <w:r>
          <w:delText>A group of members of the workforce engaged in a petroleum operation or geothermal energy operation may be established as a designated work group.</w:delText>
        </w:r>
      </w:del>
    </w:p>
    <w:p>
      <w:pPr>
        <w:pStyle w:val="ySubsection"/>
        <w:numPr>
          <w:ilvl w:val="1"/>
          <w:numId w:val="1"/>
        </w:numPr>
        <w:tabs>
          <w:tab w:val="clear" w:pos="595"/>
          <w:tab w:val="clear" w:pos="879"/>
          <w:tab w:val="clear" w:pos="1440"/>
          <w:tab w:val="num" w:pos="1288"/>
        </w:tabs>
        <w:spacing w:before="80"/>
        <w:ind w:left="1293" w:hanging="397"/>
        <w:rPr>
          <w:del w:id="1312" w:author="Master Repository Process" w:date="2022-03-30T12:17:00Z"/>
        </w:rPr>
      </w:pPr>
      <w:del w:id="1313" w:author="Master Repository Process" w:date="2022-03-30T12:17:00Z">
        <w:r>
          <w:delText>The members of a designated work group may select a safety and health representative for that designated work group.</w:delText>
        </w:r>
      </w:del>
    </w:p>
    <w:p>
      <w:pPr>
        <w:pStyle w:val="ySubsection"/>
        <w:numPr>
          <w:ilvl w:val="1"/>
          <w:numId w:val="1"/>
        </w:numPr>
        <w:tabs>
          <w:tab w:val="clear" w:pos="595"/>
          <w:tab w:val="clear" w:pos="879"/>
          <w:tab w:val="clear" w:pos="1440"/>
          <w:tab w:val="num" w:pos="1288"/>
        </w:tabs>
        <w:spacing w:before="80"/>
        <w:ind w:left="1293" w:hanging="397"/>
        <w:rPr>
          <w:del w:id="1314" w:author="Master Repository Process" w:date="2022-03-30T12:17:00Z"/>
        </w:rPr>
      </w:pPr>
      <w:del w:id="1315" w:author="Master Repository Process" w:date="2022-03-30T12:17:00Z">
        <w:r>
          <w:delText>The safety and health representative may exercise certain powers for the purpose of promoting or ensuring the occupational safety and health of group members.</w:delText>
        </w:r>
      </w:del>
    </w:p>
    <w:p>
      <w:pPr>
        <w:pStyle w:val="ySubsection"/>
        <w:numPr>
          <w:ilvl w:val="1"/>
          <w:numId w:val="1"/>
        </w:numPr>
        <w:tabs>
          <w:tab w:val="clear" w:pos="595"/>
          <w:tab w:val="clear" w:pos="879"/>
          <w:tab w:val="clear" w:pos="1440"/>
          <w:tab w:val="num" w:pos="1288"/>
        </w:tabs>
        <w:spacing w:before="80"/>
        <w:ind w:left="1293" w:hanging="397"/>
        <w:rPr>
          <w:del w:id="1316" w:author="Master Repository Process" w:date="2022-03-30T12:17:00Z"/>
        </w:rPr>
      </w:pPr>
      <w:del w:id="1317" w:author="Master Repository Process" w:date="2022-03-30T12:17:00Z">
        <w:r>
          <w:delText>A safety and health committee may be established in relation to the members of the workforce engaged in a petroleum operation or geothermal energy operation.</w:delText>
        </w:r>
      </w:del>
    </w:p>
    <w:p>
      <w:pPr>
        <w:pStyle w:val="ySubsection"/>
        <w:numPr>
          <w:ilvl w:val="1"/>
          <w:numId w:val="1"/>
        </w:numPr>
        <w:tabs>
          <w:tab w:val="clear" w:pos="595"/>
          <w:tab w:val="clear" w:pos="879"/>
          <w:tab w:val="clear" w:pos="1440"/>
          <w:tab w:val="num" w:pos="1288"/>
        </w:tabs>
        <w:spacing w:before="80"/>
        <w:ind w:left="1293" w:hanging="397"/>
        <w:rPr>
          <w:del w:id="1318" w:author="Master Repository Process" w:date="2022-03-30T12:17:00Z"/>
        </w:rPr>
      </w:pPr>
      <w:del w:id="1319" w:author="Master Repository Process" w:date="2022-03-30T12:17:00Z">
        <w:r>
          <w:delText>The main function of a safety and health committee is to assist the operator in relation to occupational safety and health matters.</w:delText>
        </w:r>
      </w:del>
    </w:p>
    <w:p>
      <w:pPr>
        <w:pStyle w:val="yFootnotesection"/>
        <w:rPr>
          <w:del w:id="1320" w:author="Master Repository Process" w:date="2022-03-30T12:17:00Z"/>
        </w:rPr>
      </w:pPr>
      <w:del w:id="1321" w:author="Master Repository Process" w:date="2022-03-30T12:17:00Z">
        <w:r>
          <w:tab/>
          <w:delText>[Clause 16 inserted: No. 13 of 2005 s. 17; amended: No. 35 of 2007 s. 86.]</w:delText>
        </w:r>
      </w:del>
    </w:p>
    <w:p>
      <w:pPr>
        <w:pStyle w:val="yHeading4"/>
        <w:keepLines/>
        <w:rPr>
          <w:del w:id="1322" w:author="Master Repository Process" w:date="2022-03-30T12:17:00Z"/>
        </w:rPr>
      </w:pPr>
      <w:bookmarkStart w:id="1323" w:name="_Toc97629802"/>
      <w:bookmarkStart w:id="1324" w:name="_Toc97630155"/>
      <w:bookmarkStart w:id="1325" w:name="_Toc97630693"/>
      <w:del w:id="1326" w:author="Master Repository Process" w:date="2022-03-30T12:17:00Z">
        <w:r>
          <w:delText>Subdivision </w:delText>
        </w:r>
        <w:r>
          <w:rPr>
            <w:bCs/>
          </w:rPr>
          <w:delText>2</w:delText>
        </w:r>
        <w:r>
          <w:rPr>
            <w:b w:val="0"/>
          </w:rPr>
          <w:delText> — </w:delText>
        </w:r>
        <w:r>
          <w:rPr>
            <w:bCs/>
          </w:rPr>
          <w:delText xml:space="preserve">Designated </w:delText>
        </w:r>
        <w:r>
          <w:delText>work groups</w:delText>
        </w:r>
        <w:bookmarkEnd w:id="1323"/>
        <w:bookmarkEnd w:id="1324"/>
        <w:bookmarkEnd w:id="1325"/>
      </w:del>
    </w:p>
    <w:p>
      <w:pPr>
        <w:pStyle w:val="yFootnoteheading"/>
        <w:keepNext/>
        <w:keepLines/>
        <w:rPr>
          <w:del w:id="1327" w:author="Master Repository Process" w:date="2022-03-30T12:17:00Z"/>
        </w:rPr>
      </w:pPr>
      <w:del w:id="1328" w:author="Master Repository Process" w:date="2022-03-30T12:17:00Z">
        <w:r>
          <w:tab/>
          <w:delText>[Heading inserted: No. 13 of 2005 s. 17.]</w:delText>
        </w:r>
      </w:del>
    </w:p>
    <w:p>
      <w:pPr>
        <w:pStyle w:val="yHeading5"/>
        <w:spacing w:before="240"/>
        <w:rPr>
          <w:del w:id="1329" w:author="Master Repository Process" w:date="2022-03-30T12:17:00Z"/>
        </w:rPr>
      </w:pPr>
      <w:bookmarkStart w:id="1330" w:name="_Toc97630694"/>
      <w:del w:id="1331" w:author="Master Repository Process" w:date="2022-03-30T12:17:00Z">
        <w:r>
          <w:rPr>
            <w:rStyle w:val="CharSClsNo"/>
          </w:rPr>
          <w:delText>17</w:delText>
        </w:r>
        <w:r>
          <w:delText>.</w:delText>
        </w:r>
        <w:r>
          <w:rPr>
            <w:b w:val="0"/>
          </w:rPr>
          <w:tab/>
        </w:r>
        <w:r>
          <w:delText>Establishment of designated work groups by request</w:delText>
        </w:r>
        <w:bookmarkEnd w:id="1330"/>
      </w:del>
    </w:p>
    <w:p>
      <w:pPr>
        <w:pStyle w:val="ySubsection"/>
        <w:rPr>
          <w:del w:id="1332" w:author="Master Repository Process" w:date="2022-03-30T12:17:00Z"/>
        </w:rPr>
      </w:pPr>
      <w:del w:id="1333" w:author="Master Repository Process" w:date="2022-03-30T12:17:00Z">
        <w:r>
          <w:tab/>
          <w:delText>(1)</w:delText>
        </w:r>
        <w:r>
          <w:tab/>
          <w:delText xml:space="preserve">A request to the operator of a petroleum operation or geothermal energy operation to enter into consultations to establish designated work groups in relation to the members of the workforce engaged in the petroleum operation or geothermal energy operation may be made by — </w:delText>
        </w:r>
      </w:del>
    </w:p>
    <w:p>
      <w:pPr>
        <w:pStyle w:val="yIndenta"/>
        <w:rPr>
          <w:del w:id="1334" w:author="Master Repository Process" w:date="2022-03-30T12:17:00Z"/>
        </w:rPr>
      </w:pPr>
      <w:del w:id="1335" w:author="Master Repository Process" w:date="2022-03-30T12:17:00Z">
        <w:r>
          <w:tab/>
          <w:delText>(a)</w:delText>
        </w:r>
        <w:r>
          <w:tab/>
          <w:delText>any member of the workforce; or</w:delText>
        </w:r>
      </w:del>
    </w:p>
    <w:p>
      <w:pPr>
        <w:pStyle w:val="yIndenta"/>
        <w:spacing w:before="100"/>
        <w:rPr>
          <w:del w:id="1336" w:author="Master Repository Process" w:date="2022-03-30T12:17:00Z"/>
        </w:rPr>
      </w:pPr>
      <w:del w:id="1337" w:author="Master Repository Process" w:date="2022-03-30T12:17:00Z">
        <w:r>
          <w:tab/>
          <w:delText>(b)</w:delText>
        </w:r>
        <w:r>
          <w:tab/>
          <w:delText>if a member of the workforce requests a workforce representative in relation to the member to make the request to the operator — that workforce representative.</w:delText>
        </w:r>
      </w:del>
    </w:p>
    <w:p>
      <w:pPr>
        <w:pStyle w:val="ySubsection"/>
        <w:spacing w:before="180"/>
        <w:rPr>
          <w:del w:id="1338" w:author="Master Repository Process" w:date="2022-03-30T12:17:00Z"/>
        </w:rPr>
      </w:pPr>
      <w:del w:id="1339" w:author="Master Repository Process" w:date="2022-03-30T12:17:00Z">
        <w:r>
          <w:tab/>
          <w:delText>(2)</w:delText>
        </w:r>
        <w:r>
          <w:tab/>
          <w:delText xml:space="preserve">The operator of a petroleum operation or geothermal energy operation must, within 14 days after receiving a request under subclause (1), enter into consultations with — </w:delText>
        </w:r>
      </w:del>
    </w:p>
    <w:p>
      <w:pPr>
        <w:pStyle w:val="yIndenta"/>
        <w:rPr>
          <w:del w:id="1340" w:author="Master Repository Process" w:date="2022-03-30T12:17:00Z"/>
        </w:rPr>
      </w:pPr>
      <w:del w:id="1341" w:author="Master Repository Process" w:date="2022-03-30T12:17:00Z">
        <w:r>
          <w:tab/>
          <w:delText>(a)</w:delText>
        </w:r>
        <w:r>
          <w:tab/>
          <w:delText xml:space="preserve">if any member of the workforce made a request to establish designated work groups — </w:delText>
        </w:r>
      </w:del>
    </w:p>
    <w:p>
      <w:pPr>
        <w:pStyle w:val="yIndenti0"/>
        <w:rPr>
          <w:del w:id="1342" w:author="Master Repository Process" w:date="2022-03-30T12:17:00Z"/>
        </w:rPr>
      </w:pPr>
      <w:del w:id="1343" w:author="Master Repository Process" w:date="2022-03-30T12:17:00Z">
        <w:r>
          <w:tab/>
          <w:delText>(i)</w:delText>
        </w:r>
        <w:r>
          <w:tab/>
          <w:delText xml:space="preserve">that member of the workforce; </w:delText>
        </w:r>
        <w:r>
          <w:rPr>
            <w:snapToGrid w:val="0"/>
          </w:rPr>
          <w:delText>and</w:delText>
        </w:r>
      </w:del>
    </w:p>
    <w:p>
      <w:pPr>
        <w:pStyle w:val="yIndenti0"/>
        <w:rPr>
          <w:del w:id="1344" w:author="Master Repository Process" w:date="2022-03-30T12:17:00Z"/>
        </w:rPr>
      </w:pPr>
      <w:del w:id="1345" w:author="Master Repository Process" w:date="2022-03-30T12:17:00Z">
        <w:r>
          <w:tab/>
          <w:delText>(ii)</w:delText>
        </w:r>
        <w:r>
          <w:tab/>
          <w:delText>if that member requests that the operator enter into consultations with a workforce representative in relation to the member — that workforce representative; and</w:delText>
        </w:r>
      </w:del>
    </w:p>
    <w:p>
      <w:pPr>
        <w:pStyle w:val="yIndenti0"/>
        <w:rPr>
          <w:del w:id="1346" w:author="Master Repository Process" w:date="2022-03-30T12:17:00Z"/>
        </w:rPr>
      </w:pPr>
      <w:del w:id="1347" w:author="Master Repository Process" w:date="2022-03-30T12:17:00Z">
        <w:r>
          <w:tab/>
          <w:delText>(iii)</w:delText>
        </w:r>
        <w:r>
          <w:tab/>
          <w:delText xml:space="preserve">each employer (if any) of members of the workforce; </w:delText>
        </w:r>
      </w:del>
    </w:p>
    <w:p>
      <w:pPr>
        <w:pStyle w:val="yIndenta"/>
        <w:rPr>
          <w:del w:id="1348" w:author="Master Repository Process" w:date="2022-03-30T12:17:00Z"/>
        </w:rPr>
      </w:pPr>
      <w:del w:id="1349" w:author="Master Repository Process" w:date="2022-03-30T12:17:00Z">
        <w:r>
          <w:tab/>
        </w:r>
        <w:r>
          <w:tab/>
          <w:delText>and</w:delText>
        </w:r>
      </w:del>
    </w:p>
    <w:p>
      <w:pPr>
        <w:pStyle w:val="yIndenta"/>
        <w:rPr>
          <w:del w:id="1350" w:author="Master Repository Process" w:date="2022-03-30T12:17:00Z"/>
        </w:rPr>
      </w:pPr>
      <w:del w:id="1351" w:author="Master Repository Process" w:date="2022-03-30T12:17:00Z">
        <w:r>
          <w:tab/>
          <w:delText>(b)</w:delText>
        </w:r>
        <w:r>
          <w:tab/>
          <w:delText xml:space="preserve">if a workforce representative made a request to establish designated work groups — </w:delText>
        </w:r>
      </w:del>
    </w:p>
    <w:p>
      <w:pPr>
        <w:pStyle w:val="yIndenti0"/>
        <w:rPr>
          <w:del w:id="1352" w:author="Master Repository Process" w:date="2022-03-30T12:17:00Z"/>
        </w:rPr>
      </w:pPr>
      <w:del w:id="1353" w:author="Master Repository Process" w:date="2022-03-30T12:17:00Z">
        <w:r>
          <w:tab/>
          <w:delText>(i)</w:delText>
        </w:r>
        <w:r>
          <w:tab/>
          <w:delText>if a member of the workforce requests that the operator enter into consultations with that workforce representative — that workforce representative; and</w:delText>
        </w:r>
      </w:del>
    </w:p>
    <w:p>
      <w:pPr>
        <w:pStyle w:val="yIndenti0"/>
        <w:rPr>
          <w:del w:id="1354" w:author="Master Repository Process" w:date="2022-03-30T12:17:00Z"/>
        </w:rPr>
      </w:pPr>
      <w:del w:id="1355" w:author="Master Repository Process" w:date="2022-03-30T12:17:00Z">
        <w:r>
          <w:tab/>
          <w:delText>(ii)</w:delText>
        </w:r>
        <w:r>
          <w:tab/>
          <w:delText>each employer of members of the workforce.</w:delText>
        </w:r>
      </w:del>
    </w:p>
    <w:p>
      <w:pPr>
        <w:pStyle w:val="ySubsection"/>
        <w:spacing w:before="180"/>
        <w:rPr>
          <w:del w:id="1356" w:author="Master Repository Process" w:date="2022-03-30T12:17:00Z"/>
        </w:rPr>
      </w:pPr>
      <w:del w:id="1357" w:author="Master Repository Process" w:date="2022-03-30T12:17:00Z">
        <w:r>
          <w:tab/>
          <w:delText>(3)</w:delText>
        </w:r>
        <w:r>
          <w:tab/>
          <w:delText>Within 14 days after the completion of consultations about the establishment of the designated work groups, the operator must, by notifying the members of the workforce, establish the designated work groups in accordance with the outcome of the consultations.</w:delText>
        </w:r>
      </w:del>
    </w:p>
    <w:p>
      <w:pPr>
        <w:pStyle w:val="yFootnotesection"/>
        <w:rPr>
          <w:del w:id="1358" w:author="Master Repository Process" w:date="2022-03-30T12:17:00Z"/>
        </w:rPr>
      </w:pPr>
      <w:del w:id="1359" w:author="Master Repository Process" w:date="2022-03-30T12:17:00Z">
        <w:r>
          <w:tab/>
          <w:delText>[Clause 17 inserted: No. 13 of 2005 s. 17; amended: No. 35 of 2007 s. 86.]</w:delText>
        </w:r>
      </w:del>
    </w:p>
    <w:p>
      <w:pPr>
        <w:pStyle w:val="yHeading5"/>
        <w:spacing w:before="240"/>
        <w:rPr>
          <w:del w:id="1360" w:author="Master Repository Process" w:date="2022-03-30T12:17:00Z"/>
        </w:rPr>
      </w:pPr>
      <w:bookmarkStart w:id="1361" w:name="_Toc97630695"/>
      <w:del w:id="1362" w:author="Master Repository Process" w:date="2022-03-30T12:17:00Z">
        <w:r>
          <w:rPr>
            <w:rStyle w:val="CharSClsNo"/>
          </w:rPr>
          <w:delText>18</w:delText>
        </w:r>
        <w:r>
          <w:delText>.</w:delText>
        </w:r>
        <w:r>
          <w:rPr>
            <w:b w:val="0"/>
          </w:rPr>
          <w:tab/>
        </w:r>
        <w:r>
          <w:delText>Establishment of designated work groups at initiative of operator</w:delText>
        </w:r>
        <w:bookmarkEnd w:id="1361"/>
      </w:del>
    </w:p>
    <w:p>
      <w:pPr>
        <w:pStyle w:val="ySubsection"/>
        <w:spacing w:before="180"/>
        <w:rPr>
          <w:del w:id="1363" w:author="Master Repository Process" w:date="2022-03-30T12:17:00Z"/>
        </w:rPr>
      </w:pPr>
      <w:del w:id="1364" w:author="Master Repository Process" w:date="2022-03-30T12:17:00Z">
        <w:r>
          <w:tab/>
          <w:delText>(1)</w:delText>
        </w:r>
        <w:r>
          <w:tab/>
          <w:delText xml:space="preserve">If, at any time, the operator of a petroleum operation or geothermal energy operation considers that designated work groups should be established, the operator must enter into consultations with — </w:delText>
        </w:r>
      </w:del>
    </w:p>
    <w:p>
      <w:pPr>
        <w:pStyle w:val="yIndenta"/>
        <w:rPr>
          <w:del w:id="1365" w:author="Master Repository Process" w:date="2022-03-30T12:17:00Z"/>
        </w:rPr>
      </w:pPr>
      <w:del w:id="1366" w:author="Master Repository Process" w:date="2022-03-30T12:17:00Z">
        <w:r>
          <w:tab/>
          <w:delText>(a)</w:delText>
        </w:r>
        <w:r>
          <w:tab/>
          <w:delText xml:space="preserve">all members of the workforce; </w:delText>
        </w:r>
        <w:r>
          <w:rPr>
            <w:snapToGrid w:val="0"/>
          </w:rPr>
          <w:delText>and</w:delText>
        </w:r>
      </w:del>
    </w:p>
    <w:p>
      <w:pPr>
        <w:pStyle w:val="yIndenta"/>
        <w:rPr>
          <w:del w:id="1367" w:author="Master Repository Process" w:date="2022-03-30T12:17:00Z"/>
        </w:rPr>
      </w:pPr>
      <w:del w:id="1368" w:author="Master Repository Process" w:date="2022-03-30T12:17:00Z">
        <w:r>
          <w:tab/>
          <w:delText>(b)</w:delText>
        </w:r>
        <w:r>
          <w:tab/>
          <w:delText>if a member of the workforce requests that the operator enter into consultations with a workforce representative in relation to the member — that workforce representative; and</w:delText>
        </w:r>
      </w:del>
    </w:p>
    <w:p>
      <w:pPr>
        <w:pStyle w:val="yIndenta"/>
        <w:rPr>
          <w:del w:id="1369" w:author="Master Repository Process" w:date="2022-03-30T12:17:00Z"/>
        </w:rPr>
      </w:pPr>
      <w:del w:id="1370" w:author="Master Repository Process" w:date="2022-03-30T12:17:00Z">
        <w:r>
          <w:tab/>
          <w:delText>(c)</w:delText>
        </w:r>
        <w:r>
          <w:tab/>
          <w:delText>each employer (if any) of members of the workforce.</w:delText>
        </w:r>
      </w:del>
    </w:p>
    <w:p>
      <w:pPr>
        <w:pStyle w:val="ySubsection"/>
        <w:spacing w:before="180"/>
        <w:rPr>
          <w:del w:id="1371" w:author="Master Repository Process" w:date="2022-03-30T12:17:00Z"/>
        </w:rPr>
      </w:pPr>
      <w:del w:id="1372" w:author="Master Repository Process" w:date="2022-03-30T12:17:00Z">
        <w:r>
          <w:tab/>
          <w:delText>(2)</w:delText>
        </w:r>
        <w:r>
          <w:tab/>
          <w:delText>Within 14 days after the completion of consultations about the establishment of the designated work groups, the operator must, by notifying the members of the workforce, establish the designated work groups in accordance with the outcome of the consultations.</w:delText>
        </w:r>
      </w:del>
    </w:p>
    <w:p>
      <w:pPr>
        <w:pStyle w:val="yFootnotesection"/>
        <w:rPr>
          <w:del w:id="1373" w:author="Master Repository Process" w:date="2022-03-30T12:17:00Z"/>
        </w:rPr>
      </w:pPr>
      <w:del w:id="1374" w:author="Master Repository Process" w:date="2022-03-30T12:17:00Z">
        <w:r>
          <w:tab/>
          <w:delText>[Clause 18 inserted: No. 13 of 2005 s. 17; amended: No. 35 of 2007 s. 86.]</w:delText>
        </w:r>
      </w:del>
    </w:p>
    <w:p>
      <w:pPr>
        <w:pStyle w:val="yHeading5"/>
        <w:spacing w:before="240"/>
        <w:rPr>
          <w:del w:id="1375" w:author="Master Repository Process" w:date="2022-03-30T12:17:00Z"/>
        </w:rPr>
      </w:pPr>
      <w:bookmarkStart w:id="1376" w:name="_Toc97630696"/>
      <w:del w:id="1377" w:author="Master Repository Process" w:date="2022-03-30T12:17:00Z">
        <w:r>
          <w:rPr>
            <w:rStyle w:val="CharSClsNo"/>
          </w:rPr>
          <w:delText>19</w:delText>
        </w:r>
        <w:r>
          <w:delText>.</w:delText>
        </w:r>
        <w:r>
          <w:rPr>
            <w:b w:val="0"/>
          </w:rPr>
          <w:tab/>
        </w:r>
        <w:r>
          <w:delText>Variation of designated work groups by request</w:delText>
        </w:r>
        <w:bookmarkEnd w:id="1376"/>
      </w:del>
    </w:p>
    <w:p>
      <w:pPr>
        <w:pStyle w:val="ySubsection"/>
        <w:spacing w:before="180"/>
        <w:rPr>
          <w:del w:id="1378" w:author="Master Repository Process" w:date="2022-03-30T12:17:00Z"/>
        </w:rPr>
      </w:pPr>
      <w:del w:id="1379" w:author="Master Repository Process" w:date="2022-03-30T12:17:00Z">
        <w:r>
          <w:tab/>
          <w:delText>(1)</w:delText>
        </w:r>
        <w:r>
          <w:tab/>
          <w:delText xml:space="preserve">A request to the operator of a petroleum operation or geothermal energy operation to enter into consultations to vary designated work groups that have already been established in relation to the members of the workforce engaged in the petroleum operation or geothermal energy operation may be made by — </w:delText>
        </w:r>
      </w:del>
    </w:p>
    <w:p>
      <w:pPr>
        <w:pStyle w:val="yIndenta"/>
        <w:rPr>
          <w:del w:id="1380" w:author="Master Repository Process" w:date="2022-03-30T12:17:00Z"/>
        </w:rPr>
      </w:pPr>
      <w:del w:id="1381" w:author="Master Repository Process" w:date="2022-03-30T12:17:00Z">
        <w:r>
          <w:tab/>
          <w:delText>(a)</w:delText>
        </w:r>
        <w:r>
          <w:tab/>
          <w:delText>any member of the workforce; or</w:delText>
        </w:r>
      </w:del>
    </w:p>
    <w:p>
      <w:pPr>
        <w:pStyle w:val="yIndenta"/>
        <w:rPr>
          <w:del w:id="1382" w:author="Master Repository Process" w:date="2022-03-30T12:17:00Z"/>
        </w:rPr>
      </w:pPr>
      <w:del w:id="1383" w:author="Master Repository Process" w:date="2022-03-30T12:17:00Z">
        <w:r>
          <w:tab/>
          <w:delText>(b)</w:delText>
        </w:r>
        <w:r>
          <w:tab/>
          <w:delText>if a member of the workforce requests a workforce representative in relation to the member to make the request to the operator — that workforce representative.</w:delText>
        </w:r>
      </w:del>
    </w:p>
    <w:p>
      <w:pPr>
        <w:pStyle w:val="ySubsection"/>
        <w:keepNext/>
        <w:rPr>
          <w:del w:id="1384" w:author="Master Repository Process" w:date="2022-03-30T12:17:00Z"/>
        </w:rPr>
      </w:pPr>
      <w:del w:id="1385" w:author="Master Repository Process" w:date="2022-03-30T12:17:00Z">
        <w:r>
          <w:tab/>
          <w:delText>(2)</w:delText>
        </w:r>
        <w:r>
          <w:tab/>
          <w:delText xml:space="preserve">The operator of a petroleum operation or geothermal energy operation must, within 14 days after receiving a request under subclause (1), enter into consultations with — </w:delText>
        </w:r>
      </w:del>
    </w:p>
    <w:p>
      <w:pPr>
        <w:pStyle w:val="yIndenta"/>
        <w:spacing w:before="70"/>
        <w:rPr>
          <w:del w:id="1386" w:author="Master Repository Process" w:date="2022-03-30T12:17:00Z"/>
        </w:rPr>
      </w:pPr>
      <w:del w:id="1387" w:author="Master Repository Process" w:date="2022-03-30T12:17:00Z">
        <w:r>
          <w:tab/>
          <w:delText>(a)</w:delText>
        </w:r>
        <w:r>
          <w:tab/>
          <w:delText xml:space="preserve">if any member of the workforce made a request to vary designated work groups — </w:delText>
        </w:r>
      </w:del>
    </w:p>
    <w:p>
      <w:pPr>
        <w:pStyle w:val="yIndenti0"/>
        <w:spacing w:before="70"/>
        <w:rPr>
          <w:del w:id="1388" w:author="Master Repository Process" w:date="2022-03-30T12:17:00Z"/>
        </w:rPr>
      </w:pPr>
      <w:del w:id="1389" w:author="Master Repository Process" w:date="2022-03-30T12:17:00Z">
        <w:r>
          <w:tab/>
          <w:delText>(i)</w:delText>
        </w:r>
        <w:r>
          <w:tab/>
          <w:delText xml:space="preserve">that member of the workforce; </w:delText>
        </w:r>
        <w:r>
          <w:rPr>
            <w:snapToGrid w:val="0"/>
          </w:rPr>
          <w:delText>and</w:delText>
        </w:r>
      </w:del>
    </w:p>
    <w:p>
      <w:pPr>
        <w:pStyle w:val="yIndenti0"/>
        <w:spacing w:before="70"/>
        <w:rPr>
          <w:del w:id="1390" w:author="Master Repository Process" w:date="2022-03-30T12:17:00Z"/>
        </w:rPr>
      </w:pPr>
      <w:del w:id="1391" w:author="Master Repository Process" w:date="2022-03-30T12:17:00Z">
        <w:r>
          <w:tab/>
          <w:delText>(ii)</w:delText>
        </w:r>
        <w:r>
          <w:tab/>
          <w:delText>the safety and health representative of each designated work group affected by the proposed variation; and</w:delText>
        </w:r>
      </w:del>
    </w:p>
    <w:p>
      <w:pPr>
        <w:pStyle w:val="yIndenti0"/>
        <w:spacing w:before="70"/>
        <w:rPr>
          <w:del w:id="1392" w:author="Master Repository Process" w:date="2022-03-30T12:17:00Z"/>
        </w:rPr>
      </w:pPr>
      <w:del w:id="1393" w:author="Master Repository Process" w:date="2022-03-30T12:17:00Z">
        <w:r>
          <w:tab/>
          <w:delText>(iii)</w:delText>
        </w:r>
        <w:r>
          <w:tab/>
          <w:delText xml:space="preserve">each work group employer (if any) in relation to each designated work group affected by the proposed variation; </w:delText>
        </w:r>
      </w:del>
    </w:p>
    <w:p>
      <w:pPr>
        <w:pStyle w:val="yIndenta"/>
        <w:spacing w:before="70"/>
        <w:rPr>
          <w:del w:id="1394" w:author="Master Repository Process" w:date="2022-03-30T12:17:00Z"/>
        </w:rPr>
      </w:pPr>
      <w:del w:id="1395" w:author="Master Repository Process" w:date="2022-03-30T12:17:00Z">
        <w:r>
          <w:tab/>
        </w:r>
        <w:r>
          <w:tab/>
          <w:delText>and</w:delText>
        </w:r>
      </w:del>
    </w:p>
    <w:p>
      <w:pPr>
        <w:pStyle w:val="yIndenta"/>
        <w:keepNext/>
        <w:spacing w:before="70"/>
        <w:rPr>
          <w:del w:id="1396" w:author="Master Repository Process" w:date="2022-03-30T12:17:00Z"/>
        </w:rPr>
      </w:pPr>
      <w:del w:id="1397" w:author="Master Repository Process" w:date="2022-03-30T12:17:00Z">
        <w:r>
          <w:tab/>
          <w:delText>(b)</w:delText>
        </w:r>
        <w:r>
          <w:tab/>
          <w:delText xml:space="preserve">if a workforce representative made a request to vary designated work groups — </w:delText>
        </w:r>
      </w:del>
    </w:p>
    <w:p>
      <w:pPr>
        <w:pStyle w:val="yIndenti0"/>
        <w:spacing w:before="70"/>
        <w:rPr>
          <w:del w:id="1398" w:author="Master Repository Process" w:date="2022-03-30T12:17:00Z"/>
        </w:rPr>
      </w:pPr>
      <w:del w:id="1399" w:author="Master Repository Process" w:date="2022-03-30T12:17:00Z">
        <w:r>
          <w:tab/>
          <w:delText>(i)</w:delText>
        </w:r>
        <w:r>
          <w:tab/>
          <w:delText xml:space="preserve">if a member of a designated work group affected by the proposed variation requests that the operator enter into consultations with that workforce representative in relation to the group — that workforce representative; </w:delText>
        </w:r>
        <w:r>
          <w:rPr>
            <w:snapToGrid w:val="0"/>
          </w:rPr>
          <w:delText>and</w:delText>
        </w:r>
      </w:del>
    </w:p>
    <w:p>
      <w:pPr>
        <w:pStyle w:val="yIndenti0"/>
        <w:spacing w:before="70"/>
        <w:rPr>
          <w:del w:id="1400" w:author="Master Repository Process" w:date="2022-03-30T12:17:00Z"/>
        </w:rPr>
      </w:pPr>
      <w:del w:id="1401" w:author="Master Repository Process" w:date="2022-03-30T12:17:00Z">
        <w:r>
          <w:tab/>
          <w:delText>(ii)</w:delText>
        </w:r>
        <w:r>
          <w:tab/>
          <w:delText>the safety and health representative of each designated work group affected by the proposed variation; and</w:delText>
        </w:r>
      </w:del>
    </w:p>
    <w:p>
      <w:pPr>
        <w:pStyle w:val="yIndenti0"/>
        <w:spacing w:before="70"/>
        <w:rPr>
          <w:del w:id="1402" w:author="Master Repository Process" w:date="2022-03-30T12:17:00Z"/>
        </w:rPr>
      </w:pPr>
      <w:del w:id="1403" w:author="Master Repository Process" w:date="2022-03-30T12:17:00Z">
        <w:r>
          <w:tab/>
          <w:delText>(iii)</w:delText>
        </w:r>
        <w:r>
          <w:tab/>
          <w:delText>each work group employer (if any) in relation to each designated work group affected by the proposed variation.</w:delText>
        </w:r>
      </w:del>
    </w:p>
    <w:p>
      <w:pPr>
        <w:pStyle w:val="ySubsection"/>
        <w:spacing w:before="180"/>
        <w:rPr>
          <w:del w:id="1404" w:author="Master Repository Process" w:date="2022-03-30T12:17:00Z"/>
        </w:rPr>
      </w:pPr>
      <w:del w:id="1405" w:author="Master Repository Process" w:date="2022-03-30T12:17:00Z">
        <w:r>
          <w:tab/>
          <w:delText>(3)</w:delText>
        </w:r>
        <w:r>
          <w:tab/>
          <w:delText xml:space="preserve">If — </w:delText>
        </w:r>
      </w:del>
    </w:p>
    <w:p>
      <w:pPr>
        <w:pStyle w:val="yIndenta"/>
        <w:rPr>
          <w:del w:id="1406" w:author="Master Repository Process" w:date="2022-03-30T12:17:00Z"/>
        </w:rPr>
      </w:pPr>
      <w:del w:id="1407" w:author="Master Repository Process" w:date="2022-03-30T12:17:00Z">
        <w:r>
          <w:tab/>
          <w:delText>(a)</w:delText>
        </w:r>
        <w:r>
          <w:tab/>
          <w:delText>consultations take place about the variation of designated work groups that have already been established; and</w:delText>
        </w:r>
      </w:del>
    </w:p>
    <w:p>
      <w:pPr>
        <w:pStyle w:val="yIndenta"/>
        <w:rPr>
          <w:del w:id="1408" w:author="Master Repository Process" w:date="2022-03-30T12:17:00Z"/>
        </w:rPr>
      </w:pPr>
      <w:del w:id="1409" w:author="Master Repository Process" w:date="2022-03-30T12:17:00Z">
        <w:r>
          <w:tab/>
          <w:delText>(b)</w:delText>
        </w:r>
        <w:r>
          <w:tab/>
          <w:delText>as a result of the consultations, it has been determined that the variation of some or all of those designated work groups is justified,</w:delText>
        </w:r>
      </w:del>
    </w:p>
    <w:p>
      <w:pPr>
        <w:pStyle w:val="ySubsection"/>
        <w:spacing w:before="180"/>
        <w:rPr>
          <w:del w:id="1410" w:author="Master Repository Process" w:date="2022-03-30T12:17:00Z"/>
        </w:rPr>
      </w:pPr>
      <w:del w:id="1411" w:author="Master Repository Process" w:date="2022-03-30T12:17:00Z">
        <w:r>
          <w:tab/>
        </w:r>
        <w:r>
          <w:tab/>
          <w:delText>then, within 14 days after the completion of the consultations, the operator must, by notifying the members of the workforce who are affected by the variation, vary the designated work groups in accordance with the outcome of the consultations.</w:delText>
        </w:r>
      </w:del>
    </w:p>
    <w:p>
      <w:pPr>
        <w:pStyle w:val="yFootnotesection"/>
        <w:rPr>
          <w:del w:id="1412" w:author="Master Repository Process" w:date="2022-03-30T12:17:00Z"/>
        </w:rPr>
      </w:pPr>
      <w:del w:id="1413" w:author="Master Repository Process" w:date="2022-03-30T12:17:00Z">
        <w:r>
          <w:tab/>
          <w:delText>[Clause 19 inserted: No. 13 of 2005 s. 17; amended: No. 35 of 2007 s. 86.]</w:delText>
        </w:r>
      </w:del>
    </w:p>
    <w:p>
      <w:pPr>
        <w:pStyle w:val="yHeading5"/>
        <w:rPr>
          <w:del w:id="1414" w:author="Master Repository Process" w:date="2022-03-30T12:17:00Z"/>
        </w:rPr>
      </w:pPr>
      <w:bookmarkStart w:id="1415" w:name="_Toc97630697"/>
      <w:del w:id="1416" w:author="Master Repository Process" w:date="2022-03-30T12:17:00Z">
        <w:r>
          <w:rPr>
            <w:rStyle w:val="CharSClsNo"/>
          </w:rPr>
          <w:delText>20</w:delText>
        </w:r>
        <w:r>
          <w:delText>.</w:delText>
        </w:r>
        <w:r>
          <w:rPr>
            <w:b w:val="0"/>
          </w:rPr>
          <w:tab/>
        </w:r>
        <w:r>
          <w:delText>Variation of designated work groups at initiative of operator</w:delText>
        </w:r>
        <w:bookmarkEnd w:id="1415"/>
      </w:del>
    </w:p>
    <w:p>
      <w:pPr>
        <w:pStyle w:val="ySubsection"/>
        <w:rPr>
          <w:del w:id="1417" w:author="Master Repository Process" w:date="2022-03-30T12:17:00Z"/>
        </w:rPr>
      </w:pPr>
      <w:del w:id="1418" w:author="Master Repository Process" w:date="2022-03-30T12:17:00Z">
        <w:r>
          <w:tab/>
          <w:delText>(1)</w:delText>
        </w:r>
        <w:r>
          <w:tab/>
          <w:delText xml:space="preserve">If the operator of a petroleum operation or geothermal energy operation believes the designated work groups should be varied, the operator may, at any time, enter into consultations about the variations with — </w:delText>
        </w:r>
      </w:del>
    </w:p>
    <w:p>
      <w:pPr>
        <w:pStyle w:val="yIndenta"/>
        <w:rPr>
          <w:del w:id="1419" w:author="Master Repository Process" w:date="2022-03-30T12:17:00Z"/>
        </w:rPr>
      </w:pPr>
      <w:del w:id="1420" w:author="Master Repository Process" w:date="2022-03-30T12:17:00Z">
        <w:r>
          <w:tab/>
          <w:delText>(a)</w:delText>
        </w:r>
        <w:r>
          <w:tab/>
          <w:delText xml:space="preserve">the safety and health representative of each of the designated work groups affected by the proposed variation; </w:delText>
        </w:r>
        <w:r>
          <w:rPr>
            <w:snapToGrid w:val="0"/>
          </w:rPr>
          <w:delText>and</w:delText>
        </w:r>
      </w:del>
    </w:p>
    <w:p>
      <w:pPr>
        <w:pStyle w:val="yIndenta"/>
        <w:rPr>
          <w:del w:id="1421" w:author="Master Repository Process" w:date="2022-03-30T12:17:00Z"/>
        </w:rPr>
      </w:pPr>
      <w:del w:id="1422" w:author="Master Repository Process" w:date="2022-03-30T12:17:00Z">
        <w:r>
          <w:tab/>
          <w:delText>(b)</w:delText>
        </w:r>
        <w:r>
          <w:tab/>
          <w:delText>if a member of a designated work group affected by the proposed variation requests that the operator enter into consultations with that workforce representative in relation to the group — that workforce representative; and</w:delText>
        </w:r>
      </w:del>
    </w:p>
    <w:p>
      <w:pPr>
        <w:pStyle w:val="yIndenta"/>
        <w:rPr>
          <w:del w:id="1423" w:author="Master Repository Process" w:date="2022-03-30T12:17:00Z"/>
        </w:rPr>
      </w:pPr>
      <w:del w:id="1424" w:author="Master Repository Process" w:date="2022-03-30T12:17:00Z">
        <w:r>
          <w:tab/>
          <w:delText>(c)</w:delText>
        </w:r>
        <w:r>
          <w:tab/>
          <w:delText>each work group employer (if any) in relation to each designated work group affected by the proposed variation.</w:delText>
        </w:r>
      </w:del>
    </w:p>
    <w:p>
      <w:pPr>
        <w:pStyle w:val="ySubsection"/>
        <w:rPr>
          <w:del w:id="1425" w:author="Master Repository Process" w:date="2022-03-30T12:17:00Z"/>
        </w:rPr>
      </w:pPr>
      <w:del w:id="1426" w:author="Master Repository Process" w:date="2022-03-30T12:17:00Z">
        <w:r>
          <w:tab/>
          <w:delText>(2)</w:delText>
        </w:r>
        <w:r>
          <w:tab/>
          <w:delText xml:space="preserve">If — </w:delText>
        </w:r>
      </w:del>
    </w:p>
    <w:p>
      <w:pPr>
        <w:pStyle w:val="yIndenta"/>
        <w:rPr>
          <w:del w:id="1427" w:author="Master Repository Process" w:date="2022-03-30T12:17:00Z"/>
        </w:rPr>
      </w:pPr>
      <w:del w:id="1428" w:author="Master Repository Process" w:date="2022-03-30T12:17:00Z">
        <w:r>
          <w:tab/>
          <w:delText>(a)</w:delText>
        </w:r>
        <w:r>
          <w:tab/>
          <w:delText>consultations take place about the variation of designated work groups that have already been established; and</w:delText>
        </w:r>
      </w:del>
    </w:p>
    <w:p>
      <w:pPr>
        <w:pStyle w:val="yIndenta"/>
        <w:rPr>
          <w:del w:id="1429" w:author="Master Repository Process" w:date="2022-03-30T12:17:00Z"/>
        </w:rPr>
      </w:pPr>
      <w:del w:id="1430" w:author="Master Repository Process" w:date="2022-03-30T12:17:00Z">
        <w:r>
          <w:tab/>
          <w:delText>(b)</w:delText>
        </w:r>
        <w:r>
          <w:tab/>
          <w:delText>as a result of the consultations, it has been determined that the variation of some or all of those designated work groups is justified,</w:delText>
        </w:r>
      </w:del>
    </w:p>
    <w:p>
      <w:pPr>
        <w:pStyle w:val="ySubsection"/>
        <w:rPr>
          <w:del w:id="1431" w:author="Master Repository Process" w:date="2022-03-30T12:17:00Z"/>
        </w:rPr>
      </w:pPr>
      <w:del w:id="1432" w:author="Master Repository Process" w:date="2022-03-30T12:17:00Z">
        <w:r>
          <w:tab/>
        </w:r>
        <w:r>
          <w:tab/>
          <w:delText>then, within 14 days after the completion of the consultations, the operator must, by notifying the members of the workforce who are affected by the variation, vary the designated work groups in accordance with the outcome of the consultations.</w:delText>
        </w:r>
      </w:del>
    </w:p>
    <w:p>
      <w:pPr>
        <w:pStyle w:val="yFootnotesection"/>
        <w:rPr>
          <w:del w:id="1433" w:author="Master Repository Process" w:date="2022-03-30T12:17:00Z"/>
        </w:rPr>
      </w:pPr>
      <w:del w:id="1434" w:author="Master Repository Process" w:date="2022-03-30T12:17:00Z">
        <w:r>
          <w:tab/>
          <w:delText>[Clause 20 inserted: No. 13 of 2005 s. 17; amended: No. 35 of 2007 s. 86.]</w:delText>
        </w:r>
      </w:del>
    </w:p>
    <w:p>
      <w:pPr>
        <w:pStyle w:val="yHeading5"/>
        <w:rPr>
          <w:del w:id="1435" w:author="Master Repository Process" w:date="2022-03-30T12:17:00Z"/>
        </w:rPr>
      </w:pPr>
      <w:bookmarkStart w:id="1436" w:name="_Toc97630698"/>
      <w:del w:id="1437" w:author="Master Repository Process" w:date="2022-03-30T12:17:00Z">
        <w:r>
          <w:rPr>
            <w:rStyle w:val="CharSClsNo"/>
          </w:rPr>
          <w:delText>21</w:delText>
        </w:r>
        <w:r>
          <w:delText>.</w:delText>
        </w:r>
        <w:r>
          <w:rPr>
            <w:b w:val="0"/>
          </w:rPr>
          <w:tab/>
        </w:r>
        <w:r>
          <w:delText>Referral of disagreement to reviewing authority</w:delText>
        </w:r>
        <w:bookmarkEnd w:id="1436"/>
      </w:del>
    </w:p>
    <w:p>
      <w:pPr>
        <w:pStyle w:val="ySubsection"/>
        <w:rPr>
          <w:del w:id="1438" w:author="Master Repository Process" w:date="2022-03-30T12:17:00Z"/>
        </w:rPr>
      </w:pPr>
      <w:del w:id="1439" w:author="Master Repository Process" w:date="2022-03-30T12:17:00Z">
        <w:r>
          <w:tab/>
          <w:delText>(1)</w:delText>
        </w:r>
        <w:r>
          <w:tab/>
          <w:delTex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delText>
        </w:r>
      </w:del>
    </w:p>
    <w:p>
      <w:pPr>
        <w:pStyle w:val="ySubsection"/>
        <w:rPr>
          <w:del w:id="1440" w:author="Master Repository Process" w:date="2022-03-30T12:17:00Z"/>
          <w:b/>
        </w:rPr>
      </w:pPr>
      <w:del w:id="1441" w:author="Master Repository Process" w:date="2022-03-30T12:17:00Z">
        <w:r>
          <w:tab/>
          <w:delText>(2)</w:delText>
        </w:r>
        <w:r>
          <w:tab/>
          <w:delText>The party referring the matter to the reviewing authority must give notice of the referral to all the other parties to the disagreement.</w:delText>
        </w:r>
      </w:del>
    </w:p>
    <w:p>
      <w:pPr>
        <w:pStyle w:val="ySubsection"/>
        <w:rPr>
          <w:del w:id="1442" w:author="Master Repository Process" w:date="2022-03-30T12:17:00Z"/>
        </w:rPr>
      </w:pPr>
      <w:del w:id="1443" w:author="Master Repository Process" w:date="2022-03-30T12:17:00Z">
        <w:r>
          <w:tab/>
          <w:delText>(3)</w:delText>
        </w:r>
        <w:r>
          <w:tab/>
          <w:delText xml:space="preserve">The reviewing authority is to — </w:delText>
        </w:r>
      </w:del>
    </w:p>
    <w:p>
      <w:pPr>
        <w:pStyle w:val="yIndenta"/>
        <w:rPr>
          <w:del w:id="1444" w:author="Master Repository Process" w:date="2022-03-30T12:17:00Z"/>
        </w:rPr>
      </w:pPr>
      <w:del w:id="1445" w:author="Master Repository Process" w:date="2022-03-30T12:17:00Z">
        <w:r>
          <w:tab/>
          <w:delText>(a)</w:delText>
        </w:r>
        <w:r>
          <w:tab/>
          <w:delText>resolve the matter of the disagreement referred to the reviewing authority; and</w:delText>
        </w:r>
      </w:del>
    </w:p>
    <w:p>
      <w:pPr>
        <w:pStyle w:val="yIndenta"/>
        <w:rPr>
          <w:del w:id="1446" w:author="Master Repository Process" w:date="2022-03-30T12:17:00Z"/>
        </w:rPr>
      </w:pPr>
      <w:del w:id="1447" w:author="Master Repository Process" w:date="2022-03-30T12:17:00Z">
        <w:r>
          <w:tab/>
          <w:delText>(b)</w:delText>
        </w:r>
        <w:r>
          <w:tab/>
          <w:delText>notify all parties to the disagreement of the decision.</w:delText>
        </w:r>
      </w:del>
    </w:p>
    <w:p>
      <w:pPr>
        <w:pStyle w:val="ySubsection"/>
        <w:rPr>
          <w:del w:id="1448" w:author="Master Repository Process" w:date="2022-03-30T12:17:00Z"/>
        </w:rPr>
      </w:pPr>
      <w:del w:id="1449" w:author="Master Repository Process" w:date="2022-03-30T12:17:00Z">
        <w:r>
          <w:tab/>
          <w:delText>(4)</w:delText>
        </w:r>
        <w:r>
          <w:tab/>
          <w:delText>If the matter of a disagreement is referred to the reviewing authority, the parties to the disagreement must complete the consultation in accordance with the resolution of that matter by the reviewing authority.</w:delText>
        </w:r>
      </w:del>
    </w:p>
    <w:p>
      <w:pPr>
        <w:pStyle w:val="ySubsection"/>
        <w:keepNext/>
        <w:keepLines/>
        <w:rPr>
          <w:del w:id="1450" w:author="Master Repository Process" w:date="2022-03-30T12:17:00Z"/>
        </w:rPr>
      </w:pPr>
      <w:del w:id="1451" w:author="Master Repository Process" w:date="2022-03-30T12:17:00Z">
        <w:r>
          <w:tab/>
          <w:delText>(5)</w:delText>
        </w:r>
        <w:r>
          <w:tab/>
          <w:delText xml:space="preserve">In this clause — </w:delText>
        </w:r>
      </w:del>
    </w:p>
    <w:p>
      <w:pPr>
        <w:pStyle w:val="yDefstart"/>
        <w:rPr>
          <w:del w:id="1452" w:author="Master Repository Process" w:date="2022-03-30T12:17:00Z"/>
        </w:rPr>
      </w:pPr>
      <w:del w:id="1453" w:author="Master Repository Process" w:date="2022-03-30T12:17:00Z">
        <w:r>
          <w:tab/>
        </w:r>
        <w:r>
          <w:rPr>
            <w:rStyle w:val="CharDefText"/>
          </w:rPr>
          <w:delText>reviewing authority</w:delText>
        </w:r>
        <w:r>
          <w:delText xml:space="preserve"> means a person prescribed by the regulations to be a reviewing authority for the purposes of this clause.</w:delText>
        </w:r>
      </w:del>
    </w:p>
    <w:p>
      <w:pPr>
        <w:pStyle w:val="yFootnotesection"/>
        <w:keepLines w:val="0"/>
        <w:spacing w:before="80"/>
        <w:rPr>
          <w:del w:id="1454" w:author="Master Repository Process" w:date="2022-03-30T12:17:00Z"/>
        </w:rPr>
      </w:pPr>
      <w:del w:id="1455" w:author="Master Repository Process" w:date="2022-03-30T12:17:00Z">
        <w:r>
          <w:tab/>
          <w:delText>[Clause 21 inserted: No. 13 of 2005 s. 17.]</w:delText>
        </w:r>
      </w:del>
    </w:p>
    <w:p>
      <w:pPr>
        <w:pStyle w:val="yHeading5"/>
        <w:spacing w:before="180"/>
        <w:rPr>
          <w:del w:id="1456" w:author="Master Repository Process" w:date="2022-03-30T12:17:00Z"/>
        </w:rPr>
      </w:pPr>
      <w:bookmarkStart w:id="1457" w:name="_Toc97630699"/>
      <w:del w:id="1458" w:author="Master Repository Process" w:date="2022-03-30T12:17:00Z">
        <w:r>
          <w:rPr>
            <w:rStyle w:val="CharSClsNo"/>
          </w:rPr>
          <w:delText>22</w:delText>
        </w:r>
        <w:r>
          <w:delText>.</w:delText>
        </w:r>
        <w:r>
          <w:rPr>
            <w:b w:val="0"/>
          </w:rPr>
          <w:tab/>
        </w:r>
        <w:r>
          <w:delText>Manner of grouping members of workforce</w:delText>
        </w:r>
        <w:bookmarkEnd w:id="1457"/>
      </w:del>
    </w:p>
    <w:p>
      <w:pPr>
        <w:pStyle w:val="ySubsection"/>
        <w:spacing w:before="120"/>
        <w:rPr>
          <w:del w:id="1459" w:author="Master Repository Process" w:date="2022-03-30T12:17:00Z"/>
        </w:rPr>
      </w:pPr>
      <w:del w:id="1460" w:author="Master Repository Process" w:date="2022-03-30T12:17:00Z">
        <w:r>
          <w:tab/>
          <w:delText>(1)</w:delText>
        </w:r>
        <w:r>
          <w:tab/>
          <w:delText xml:space="preserve">Consultations about the establishment or variation of a designated work group must be directed principally at the determination of the manner of grouping members of the workforce — </w:delText>
        </w:r>
      </w:del>
    </w:p>
    <w:p>
      <w:pPr>
        <w:pStyle w:val="yIndenta"/>
        <w:rPr>
          <w:del w:id="1461" w:author="Master Repository Process" w:date="2022-03-30T12:17:00Z"/>
        </w:rPr>
      </w:pPr>
      <w:del w:id="1462" w:author="Master Repository Process" w:date="2022-03-30T12:17:00Z">
        <w:r>
          <w:tab/>
          <w:delText>(a)</w:delText>
        </w:r>
        <w:r>
          <w:tab/>
          <w:delText>that best and most conveniently enables their interests relating to occupational safety and health to be represented and safeguarded; and</w:delText>
        </w:r>
      </w:del>
    </w:p>
    <w:p>
      <w:pPr>
        <w:pStyle w:val="yIndenta"/>
        <w:rPr>
          <w:del w:id="1463" w:author="Master Repository Process" w:date="2022-03-30T12:17:00Z"/>
        </w:rPr>
      </w:pPr>
      <w:del w:id="1464" w:author="Master Repository Process" w:date="2022-03-30T12:17:00Z">
        <w:r>
          <w:tab/>
          <w:delText>(b)</w:delText>
        </w:r>
        <w:r>
          <w:tab/>
          <w:delText>that best takes account of the need for any safety and health representative selected for that designated work group to be accessible to each group member.</w:delText>
        </w:r>
      </w:del>
    </w:p>
    <w:p>
      <w:pPr>
        <w:pStyle w:val="ySubsection"/>
        <w:spacing w:before="120"/>
        <w:rPr>
          <w:del w:id="1465" w:author="Master Repository Process" w:date="2022-03-30T12:17:00Z"/>
        </w:rPr>
      </w:pPr>
      <w:del w:id="1466" w:author="Master Repository Process" w:date="2022-03-30T12:17:00Z">
        <w:r>
          <w:tab/>
          <w:delText>(2)</w:delText>
        </w:r>
        <w:r>
          <w:tab/>
          <w:delText xml:space="preserve">The parties to the consultations must have regard, in particular, to — </w:delText>
        </w:r>
      </w:del>
    </w:p>
    <w:p>
      <w:pPr>
        <w:pStyle w:val="yIndenta"/>
        <w:rPr>
          <w:del w:id="1467" w:author="Master Repository Process" w:date="2022-03-30T12:17:00Z"/>
        </w:rPr>
      </w:pPr>
      <w:del w:id="1468" w:author="Master Repository Process" w:date="2022-03-30T12:17:00Z">
        <w:r>
          <w:tab/>
          <w:delText>(a)</w:delText>
        </w:r>
        <w:r>
          <w:tab/>
          <w:delText xml:space="preserve">the number of members of the workforce engaged in the petroleum operation or geothermal energy operation to which the consultation relates; </w:delText>
        </w:r>
        <w:r>
          <w:rPr>
            <w:snapToGrid w:val="0"/>
          </w:rPr>
          <w:delText>and</w:delText>
        </w:r>
      </w:del>
    </w:p>
    <w:p>
      <w:pPr>
        <w:pStyle w:val="yIndenta"/>
        <w:rPr>
          <w:del w:id="1469" w:author="Master Repository Process" w:date="2022-03-30T12:17:00Z"/>
        </w:rPr>
      </w:pPr>
      <w:del w:id="1470" w:author="Master Repository Process" w:date="2022-03-30T12:17:00Z">
        <w:r>
          <w:tab/>
          <w:delText>(b)</w:delText>
        </w:r>
        <w:r>
          <w:tab/>
          <w:delText xml:space="preserve">the nature of each type of work performed by those members; </w:delText>
        </w:r>
        <w:r>
          <w:rPr>
            <w:snapToGrid w:val="0"/>
          </w:rPr>
          <w:delText>and</w:delText>
        </w:r>
      </w:del>
    </w:p>
    <w:p>
      <w:pPr>
        <w:pStyle w:val="yIndenta"/>
        <w:rPr>
          <w:del w:id="1471" w:author="Master Repository Process" w:date="2022-03-30T12:17:00Z"/>
        </w:rPr>
      </w:pPr>
      <w:del w:id="1472" w:author="Master Repository Process" w:date="2022-03-30T12:17:00Z">
        <w:r>
          <w:tab/>
          <w:delText>(c)</w:delText>
        </w:r>
        <w:r>
          <w:tab/>
          <w:delText xml:space="preserve">the number and grouping of those members who perform the same or similar types of work; </w:delText>
        </w:r>
        <w:r>
          <w:rPr>
            <w:snapToGrid w:val="0"/>
          </w:rPr>
          <w:delText>and</w:delText>
        </w:r>
      </w:del>
    </w:p>
    <w:p>
      <w:pPr>
        <w:pStyle w:val="yIndenta"/>
        <w:rPr>
          <w:del w:id="1473" w:author="Master Repository Process" w:date="2022-03-30T12:17:00Z"/>
        </w:rPr>
      </w:pPr>
      <w:del w:id="1474" w:author="Master Repository Process" w:date="2022-03-30T12:17:00Z">
        <w:r>
          <w:tab/>
          <w:delText>(d)</w:delText>
        </w:r>
        <w:r>
          <w:tab/>
          <w:delText xml:space="preserve">the workplaces where each type of work is performed; </w:delText>
        </w:r>
        <w:r>
          <w:rPr>
            <w:snapToGrid w:val="0"/>
          </w:rPr>
          <w:delText>and</w:delText>
        </w:r>
      </w:del>
    </w:p>
    <w:p>
      <w:pPr>
        <w:pStyle w:val="yIndenta"/>
        <w:rPr>
          <w:del w:id="1475" w:author="Master Repository Process" w:date="2022-03-30T12:17:00Z"/>
        </w:rPr>
      </w:pPr>
      <w:del w:id="1476" w:author="Master Repository Process" w:date="2022-03-30T12:17:00Z">
        <w:r>
          <w:tab/>
          <w:delText>(e)</w:delText>
        </w:r>
        <w:r>
          <w:tab/>
          <w:delText>the nature of any risks to safety and health at each of those workplaces; and</w:delText>
        </w:r>
      </w:del>
    </w:p>
    <w:p>
      <w:pPr>
        <w:pStyle w:val="yIndenta"/>
        <w:rPr>
          <w:del w:id="1477" w:author="Master Repository Process" w:date="2022-03-30T12:17:00Z"/>
        </w:rPr>
      </w:pPr>
      <w:del w:id="1478" w:author="Master Repository Process" w:date="2022-03-30T12:17:00Z">
        <w:r>
          <w:tab/>
          <w:delText>(f)</w:delText>
        </w:r>
        <w:r>
          <w:tab/>
          <w:delText>any overtime or shift working arrangement in relation to the petroleum operation or geothermal energy operation.</w:delText>
        </w:r>
      </w:del>
    </w:p>
    <w:p>
      <w:pPr>
        <w:pStyle w:val="ySubsection"/>
        <w:spacing w:before="120"/>
        <w:rPr>
          <w:del w:id="1479" w:author="Master Repository Process" w:date="2022-03-30T12:17:00Z"/>
        </w:rPr>
      </w:pPr>
      <w:del w:id="1480" w:author="Master Repository Process" w:date="2022-03-30T12:17:00Z">
        <w:r>
          <w:tab/>
          <w:delText>(3)</w:delText>
        </w:r>
        <w:r>
          <w:tab/>
          <w:delText>The designated work groups must be established or varied in such a way that, so far as practicable, each of the members of the workforce engaged in a petroleum operation or geothermal energy operation is in a designated work group.</w:delText>
        </w:r>
      </w:del>
    </w:p>
    <w:p>
      <w:pPr>
        <w:pStyle w:val="ySubsection"/>
        <w:spacing w:before="120"/>
        <w:rPr>
          <w:del w:id="1481" w:author="Master Repository Process" w:date="2022-03-30T12:17:00Z"/>
        </w:rPr>
      </w:pPr>
      <w:del w:id="1482" w:author="Master Repository Process" w:date="2022-03-30T12:17:00Z">
        <w:r>
          <w:tab/>
          <w:delText>(4)</w:delText>
        </w:r>
        <w:r>
          <w:tab/>
          <w:delText>All the members of the workforce engaged in a petroleum operation or geothermal energy operation may be in one designated work group.</w:delText>
        </w:r>
      </w:del>
    </w:p>
    <w:p>
      <w:pPr>
        <w:pStyle w:val="yFootnotesection"/>
        <w:spacing w:before="80"/>
        <w:rPr>
          <w:del w:id="1483" w:author="Master Repository Process" w:date="2022-03-30T12:17:00Z"/>
        </w:rPr>
      </w:pPr>
      <w:del w:id="1484" w:author="Master Repository Process" w:date="2022-03-30T12:17:00Z">
        <w:r>
          <w:tab/>
          <w:delText>[Clause 22 inserted: No. 13 of 2005 s. 17; amended: No. 35 of 2007 s. 86.]</w:delText>
        </w:r>
      </w:del>
    </w:p>
    <w:p>
      <w:pPr>
        <w:pStyle w:val="yHeading4"/>
        <w:keepLines/>
        <w:rPr>
          <w:del w:id="1485" w:author="Master Repository Process" w:date="2022-03-30T12:17:00Z"/>
        </w:rPr>
      </w:pPr>
      <w:bookmarkStart w:id="1486" w:name="_Toc97629809"/>
      <w:bookmarkStart w:id="1487" w:name="_Toc97630162"/>
      <w:bookmarkStart w:id="1488" w:name="_Toc97630700"/>
      <w:del w:id="1489" w:author="Master Repository Process" w:date="2022-03-30T12:17:00Z">
        <w:r>
          <w:delText>Subdivision </w:delText>
        </w:r>
        <w:r>
          <w:rPr>
            <w:bCs/>
          </w:rPr>
          <w:delText>3</w:delText>
        </w:r>
        <w:r>
          <w:rPr>
            <w:b w:val="0"/>
          </w:rPr>
          <w:delText> — </w:delText>
        </w:r>
        <w:r>
          <w:rPr>
            <w:bCs/>
          </w:rPr>
          <w:delText>Safety and health</w:delText>
        </w:r>
        <w:r>
          <w:delText xml:space="preserve"> representatives</w:delText>
        </w:r>
        <w:bookmarkEnd w:id="1486"/>
        <w:bookmarkEnd w:id="1487"/>
        <w:bookmarkEnd w:id="1488"/>
      </w:del>
    </w:p>
    <w:p>
      <w:pPr>
        <w:pStyle w:val="yFootnoteheading"/>
        <w:keepNext/>
        <w:keepLines/>
        <w:rPr>
          <w:del w:id="1490" w:author="Master Repository Process" w:date="2022-03-30T12:17:00Z"/>
        </w:rPr>
      </w:pPr>
      <w:del w:id="1491" w:author="Master Repository Process" w:date="2022-03-30T12:17:00Z">
        <w:r>
          <w:tab/>
          <w:delText>[Heading inserted: No. 13 of 2005 s. 17.]</w:delText>
        </w:r>
      </w:del>
    </w:p>
    <w:p>
      <w:pPr>
        <w:pStyle w:val="yHeading5"/>
        <w:rPr>
          <w:del w:id="1492" w:author="Master Repository Process" w:date="2022-03-30T12:17:00Z"/>
        </w:rPr>
      </w:pPr>
      <w:bookmarkStart w:id="1493" w:name="_Toc97630701"/>
      <w:del w:id="1494" w:author="Master Repository Process" w:date="2022-03-30T12:17:00Z">
        <w:r>
          <w:rPr>
            <w:rStyle w:val="CharSClsNo"/>
          </w:rPr>
          <w:delText>23</w:delText>
        </w:r>
        <w:r>
          <w:delText>.</w:delText>
        </w:r>
        <w:r>
          <w:rPr>
            <w:b w:val="0"/>
          </w:rPr>
          <w:tab/>
        </w:r>
        <w:r>
          <w:delText>Selection of safety and health representatives</w:delText>
        </w:r>
        <w:bookmarkEnd w:id="1493"/>
      </w:del>
    </w:p>
    <w:p>
      <w:pPr>
        <w:pStyle w:val="ySubsection"/>
        <w:rPr>
          <w:del w:id="1495" w:author="Master Repository Process" w:date="2022-03-30T12:17:00Z"/>
        </w:rPr>
      </w:pPr>
      <w:del w:id="1496" w:author="Master Repository Process" w:date="2022-03-30T12:17:00Z">
        <w:r>
          <w:tab/>
          <w:delText>(1)</w:delText>
        </w:r>
        <w:r>
          <w:tab/>
          <w:delText>One safety and health representative may be selected for each designated work group.</w:delText>
        </w:r>
      </w:del>
    </w:p>
    <w:p>
      <w:pPr>
        <w:pStyle w:val="ySubsection"/>
        <w:rPr>
          <w:del w:id="1497" w:author="Master Repository Process" w:date="2022-03-30T12:17:00Z"/>
        </w:rPr>
      </w:pPr>
      <w:del w:id="1498" w:author="Master Repository Process" w:date="2022-03-30T12:17:00Z">
        <w:r>
          <w:tab/>
          <w:delText>(2)</w:delText>
        </w:r>
        <w:r>
          <w:tab/>
          <w:delText>A person is not eligible for selection as the safety and health representative for a designated work group unless the person is a member of the workforce included in the group.</w:delText>
        </w:r>
      </w:del>
    </w:p>
    <w:p>
      <w:pPr>
        <w:pStyle w:val="ySubsection"/>
        <w:rPr>
          <w:del w:id="1499" w:author="Master Repository Process" w:date="2022-03-30T12:17:00Z"/>
        </w:rPr>
      </w:pPr>
      <w:del w:id="1500" w:author="Master Repository Process" w:date="2022-03-30T12:17:00Z">
        <w:r>
          <w:tab/>
          <w:delText>(3)</w:delText>
        </w:r>
        <w:r>
          <w:tab/>
          <w:delText xml:space="preserve">A person is taken to have been selected as the safety and health representative for a designated work group if — </w:delText>
        </w:r>
      </w:del>
    </w:p>
    <w:p>
      <w:pPr>
        <w:pStyle w:val="yIndenta"/>
        <w:rPr>
          <w:del w:id="1501" w:author="Master Repository Process" w:date="2022-03-30T12:17:00Z"/>
        </w:rPr>
      </w:pPr>
      <w:del w:id="1502" w:author="Master Repository Process" w:date="2022-03-30T12:17:00Z">
        <w:r>
          <w:tab/>
          <w:delText>(a)</w:delText>
        </w:r>
        <w:r>
          <w:tab/>
          <w:delText>all the members of the workforce in the group unanimously agree to the selection; or</w:delText>
        </w:r>
      </w:del>
    </w:p>
    <w:p>
      <w:pPr>
        <w:pStyle w:val="yIndenta"/>
        <w:rPr>
          <w:del w:id="1503" w:author="Master Repository Process" w:date="2022-03-30T12:17:00Z"/>
        </w:rPr>
      </w:pPr>
      <w:del w:id="1504" w:author="Master Repository Process" w:date="2022-03-30T12:17:00Z">
        <w:r>
          <w:tab/>
          <w:delText>(b)</w:delText>
        </w:r>
        <w:r>
          <w:tab/>
          <w:delText>the person is elected as the safety and health representative of the group in accordance with clause 24.</w:delText>
        </w:r>
      </w:del>
    </w:p>
    <w:p>
      <w:pPr>
        <w:pStyle w:val="yFootnotesection"/>
        <w:rPr>
          <w:del w:id="1505" w:author="Master Repository Process" w:date="2022-03-30T12:17:00Z"/>
        </w:rPr>
      </w:pPr>
      <w:del w:id="1506" w:author="Master Repository Process" w:date="2022-03-30T12:17:00Z">
        <w:r>
          <w:tab/>
          <w:delText>[Clause 23 inserted: No. 13 of 2005 s. 17.]</w:delText>
        </w:r>
      </w:del>
    </w:p>
    <w:p>
      <w:pPr>
        <w:pStyle w:val="yHeading5"/>
        <w:spacing w:before="240"/>
        <w:rPr>
          <w:del w:id="1507" w:author="Master Repository Process" w:date="2022-03-30T12:17:00Z"/>
        </w:rPr>
      </w:pPr>
      <w:bookmarkStart w:id="1508" w:name="_Toc97630702"/>
      <w:del w:id="1509" w:author="Master Repository Process" w:date="2022-03-30T12:17:00Z">
        <w:r>
          <w:rPr>
            <w:rStyle w:val="CharSClsNo"/>
          </w:rPr>
          <w:delText>24</w:delText>
        </w:r>
        <w:r>
          <w:delText>.</w:delText>
        </w:r>
        <w:r>
          <w:rPr>
            <w:b w:val="0"/>
          </w:rPr>
          <w:tab/>
        </w:r>
        <w:r>
          <w:delText>Election of safety and health representatives</w:delText>
        </w:r>
        <w:bookmarkEnd w:id="1508"/>
      </w:del>
    </w:p>
    <w:p>
      <w:pPr>
        <w:pStyle w:val="ySubsection"/>
        <w:rPr>
          <w:del w:id="1510" w:author="Master Repository Process" w:date="2022-03-30T12:17:00Z"/>
        </w:rPr>
      </w:pPr>
      <w:del w:id="1511" w:author="Master Repository Process" w:date="2022-03-30T12:17:00Z">
        <w:r>
          <w:tab/>
          <w:delText>(1)</w:delText>
        </w:r>
        <w:r>
          <w:tab/>
          <w:delText xml:space="preserve">If — </w:delText>
        </w:r>
      </w:del>
    </w:p>
    <w:p>
      <w:pPr>
        <w:pStyle w:val="yIndenta"/>
        <w:rPr>
          <w:del w:id="1512" w:author="Master Repository Process" w:date="2022-03-30T12:17:00Z"/>
        </w:rPr>
      </w:pPr>
      <w:del w:id="1513" w:author="Master Repository Process" w:date="2022-03-30T12:17:00Z">
        <w:r>
          <w:tab/>
          <w:delText>(a)</w:delText>
        </w:r>
        <w:r>
          <w:tab/>
          <w:delText>there is a vacancy in the office of safety and health representative for a designated work group; and</w:delText>
        </w:r>
      </w:del>
    </w:p>
    <w:p>
      <w:pPr>
        <w:pStyle w:val="yIndenta"/>
        <w:rPr>
          <w:del w:id="1514" w:author="Master Repository Process" w:date="2022-03-30T12:17:00Z"/>
        </w:rPr>
      </w:pPr>
      <w:del w:id="1515" w:author="Master Repository Process" w:date="2022-03-30T12:17:00Z">
        <w:r>
          <w:tab/>
          <w:delText>(b)</w:delText>
        </w:r>
        <w:r>
          <w:tab/>
          <w:delText>within a reasonable time after the vacancy occurs, a person has not been selected under clause 23(3)(a),</w:delText>
        </w:r>
      </w:del>
    </w:p>
    <w:p>
      <w:pPr>
        <w:pStyle w:val="ySubsection"/>
        <w:rPr>
          <w:del w:id="1516" w:author="Master Repository Process" w:date="2022-03-30T12:17:00Z"/>
        </w:rPr>
      </w:pPr>
      <w:del w:id="1517" w:author="Master Repository Process" w:date="2022-03-30T12:17:00Z">
        <w:r>
          <w:tab/>
        </w:r>
        <w:r>
          <w:tab/>
          <w:delText>the operator of the petroleum operation or geothermal energy operation must invite nominations from all group members for election as the safety and health representative of the group.</w:delText>
        </w:r>
      </w:del>
    </w:p>
    <w:p>
      <w:pPr>
        <w:pStyle w:val="ySubsection"/>
        <w:rPr>
          <w:del w:id="1518" w:author="Master Repository Process" w:date="2022-03-30T12:17:00Z"/>
        </w:rPr>
      </w:pPr>
      <w:del w:id="1519" w:author="Master Repository Process" w:date="2022-03-30T12:17:00Z">
        <w:r>
          <w:tab/>
          <w:delText>(2)</w:delText>
        </w:r>
        <w:r>
          <w:tab/>
          <w:delText>If the office of safety and health representative is vacant and the operator has not invited nominations within a further reasonable time that is no later than 6 months after the vacancy occurred, the Minister may direct the operator to do so.</w:delText>
        </w:r>
      </w:del>
    </w:p>
    <w:p>
      <w:pPr>
        <w:pStyle w:val="ySubsection"/>
        <w:rPr>
          <w:del w:id="1520" w:author="Master Repository Process" w:date="2022-03-30T12:17:00Z"/>
        </w:rPr>
      </w:pPr>
      <w:del w:id="1521" w:author="Master Repository Process" w:date="2022-03-30T12:17:00Z">
        <w:r>
          <w:tab/>
          <w:delText>(3)</w:delText>
        </w:r>
        <w:r>
          <w:tab/>
          <w:delText>If there is more than one candidate for election at the close of the nomination period, the operator must conduct, or arrange for the conduct of, an election at the operator’s expense.</w:delText>
        </w:r>
      </w:del>
    </w:p>
    <w:p>
      <w:pPr>
        <w:pStyle w:val="ySubsection"/>
        <w:rPr>
          <w:del w:id="1522" w:author="Master Repository Process" w:date="2022-03-30T12:17:00Z"/>
        </w:rPr>
      </w:pPr>
      <w:del w:id="1523" w:author="Master Repository Process" w:date="2022-03-30T12:17:00Z">
        <w:r>
          <w:tab/>
          <w:delText>(4)</w:delText>
        </w:r>
        <w:r>
          <w:tab/>
          <w:delText xml:space="preserve">An election conducted or arranged to be conducted under subclause (3) must be conducted in accordance with regulations made for the purposes of this subclause if this is requested by the lesser of — </w:delText>
        </w:r>
      </w:del>
    </w:p>
    <w:p>
      <w:pPr>
        <w:pStyle w:val="yIndenta"/>
        <w:rPr>
          <w:del w:id="1524" w:author="Master Repository Process" w:date="2022-03-30T12:17:00Z"/>
        </w:rPr>
      </w:pPr>
      <w:del w:id="1525" w:author="Master Repository Process" w:date="2022-03-30T12:17:00Z">
        <w:r>
          <w:tab/>
          <w:delText>(a)</w:delText>
        </w:r>
        <w:r>
          <w:tab/>
          <w:delText>100 members of the workforce normally in the designated work group; or</w:delText>
        </w:r>
      </w:del>
    </w:p>
    <w:p>
      <w:pPr>
        <w:pStyle w:val="yIndenta"/>
        <w:rPr>
          <w:del w:id="1526" w:author="Master Repository Process" w:date="2022-03-30T12:17:00Z"/>
        </w:rPr>
      </w:pPr>
      <w:del w:id="1527" w:author="Master Repository Process" w:date="2022-03-30T12:17:00Z">
        <w:r>
          <w:tab/>
          <w:delText>(b)</w:delText>
        </w:r>
        <w:r>
          <w:tab/>
          <w:delText>a majority of the members of the workforce normally in the designated work group.</w:delText>
        </w:r>
      </w:del>
    </w:p>
    <w:p>
      <w:pPr>
        <w:pStyle w:val="ySubsection"/>
        <w:rPr>
          <w:del w:id="1528" w:author="Master Repository Process" w:date="2022-03-30T12:17:00Z"/>
        </w:rPr>
      </w:pPr>
      <w:del w:id="1529" w:author="Master Repository Process" w:date="2022-03-30T12:17:00Z">
        <w:r>
          <w:tab/>
          <w:delText>(5)</w:delText>
        </w:r>
        <w:r>
          <w:tab/>
          <w:delText>If there is only one candidate for election at the close of the nomination period, that person is taken to have been elected.</w:delText>
        </w:r>
      </w:del>
    </w:p>
    <w:p>
      <w:pPr>
        <w:pStyle w:val="ySubsection"/>
        <w:rPr>
          <w:del w:id="1530" w:author="Master Repository Process" w:date="2022-03-30T12:17:00Z"/>
        </w:rPr>
      </w:pPr>
      <w:del w:id="1531" w:author="Master Repository Process" w:date="2022-03-30T12:17:00Z">
        <w:r>
          <w:tab/>
          <w:delText>(6)</w:delText>
        </w:r>
        <w:r>
          <w:tab/>
          <w:delText>A person cannot be a candidate in the election if he or she is disqualified under clause 30.</w:delText>
        </w:r>
      </w:del>
    </w:p>
    <w:p>
      <w:pPr>
        <w:pStyle w:val="ySubsection"/>
        <w:rPr>
          <w:del w:id="1532" w:author="Master Repository Process" w:date="2022-03-30T12:17:00Z"/>
        </w:rPr>
      </w:pPr>
      <w:del w:id="1533" w:author="Master Repository Process" w:date="2022-03-30T12:17:00Z">
        <w:r>
          <w:tab/>
          <w:delText>(7)</w:delText>
        </w:r>
        <w:r>
          <w:tab/>
          <w:delText>All the members of the workforce in the designated work group are entitled to vote in the election.</w:delText>
        </w:r>
      </w:del>
    </w:p>
    <w:p>
      <w:pPr>
        <w:pStyle w:val="ySubsection"/>
        <w:keepNext/>
        <w:rPr>
          <w:del w:id="1534" w:author="Master Repository Process" w:date="2022-03-30T12:17:00Z"/>
        </w:rPr>
      </w:pPr>
      <w:del w:id="1535" w:author="Master Repository Process" w:date="2022-03-30T12:17:00Z">
        <w:r>
          <w:tab/>
          <w:delText>(8)</w:delText>
        </w:r>
        <w:r>
          <w:tab/>
          <w:delText>An operator conducting or arranging for the conduct of an election under this clause must comply with any relevant directions issued by the Minister.</w:delText>
        </w:r>
      </w:del>
    </w:p>
    <w:p>
      <w:pPr>
        <w:pStyle w:val="yFootnotesection"/>
        <w:rPr>
          <w:del w:id="1536" w:author="Master Repository Process" w:date="2022-03-30T12:17:00Z"/>
        </w:rPr>
      </w:pPr>
      <w:del w:id="1537" w:author="Master Repository Process" w:date="2022-03-30T12:17:00Z">
        <w:r>
          <w:tab/>
          <w:delText>[Clause 24 inserted: No. 13 of 2005 s. 17; amended: No. 35 of 2007 s. 86.]</w:delText>
        </w:r>
      </w:del>
    </w:p>
    <w:p>
      <w:pPr>
        <w:pStyle w:val="yHeading5"/>
        <w:rPr>
          <w:del w:id="1538" w:author="Master Repository Process" w:date="2022-03-30T12:17:00Z"/>
        </w:rPr>
      </w:pPr>
      <w:bookmarkStart w:id="1539" w:name="_Toc97630703"/>
      <w:del w:id="1540" w:author="Master Repository Process" w:date="2022-03-30T12:17:00Z">
        <w:r>
          <w:rPr>
            <w:rStyle w:val="CharSClsNo"/>
          </w:rPr>
          <w:delText>25</w:delText>
        </w:r>
        <w:r>
          <w:delText>.</w:delText>
        </w:r>
        <w:r>
          <w:rPr>
            <w:b w:val="0"/>
          </w:rPr>
          <w:tab/>
        </w:r>
        <w:r>
          <w:delText>List of safety and health representatives</w:delText>
        </w:r>
        <w:bookmarkEnd w:id="1539"/>
      </w:del>
    </w:p>
    <w:p>
      <w:pPr>
        <w:pStyle w:val="ySubsection"/>
        <w:rPr>
          <w:del w:id="1541" w:author="Master Repository Process" w:date="2022-03-30T12:17:00Z"/>
        </w:rPr>
      </w:pPr>
      <w:del w:id="1542" w:author="Master Repository Process" w:date="2022-03-30T12:17:00Z">
        <w:r>
          <w:tab/>
        </w:r>
        <w:r>
          <w:tab/>
          <w:delText xml:space="preserve">The operator of a petroleum operation or geothermal energy operation must — </w:delText>
        </w:r>
      </w:del>
    </w:p>
    <w:p>
      <w:pPr>
        <w:pStyle w:val="yIndenta"/>
        <w:rPr>
          <w:del w:id="1543" w:author="Master Repository Process" w:date="2022-03-30T12:17:00Z"/>
        </w:rPr>
      </w:pPr>
      <w:del w:id="1544" w:author="Master Repository Process" w:date="2022-03-30T12:17:00Z">
        <w:r>
          <w:tab/>
          <w:delText>(a)</w:delText>
        </w:r>
        <w:r>
          <w:tab/>
          <w:delText>prepare and keep up to date a list of all the safety and health representatives of designated work groups comprising members of the workforce engaged in the petroleum operation or geothermal energy operation; and</w:delText>
        </w:r>
      </w:del>
    </w:p>
    <w:p>
      <w:pPr>
        <w:pStyle w:val="yIndenta"/>
        <w:keepNext/>
        <w:rPr>
          <w:del w:id="1545" w:author="Master Repository Process" w:date="2022-03-30T12:17:00Z"/>
        </w:rPr>
      </w:pPr>
      <w:del w:id="1546" w:author="Master Repository Process" w:date="2022-03-30T12:17:00Z">
        <w:r>
          <w:tab/>
          <w:delText>(b)</w:delText>
        </w:r>
        <w:r>
          <w:tab/>
          <w:delText xml:space="preserve">ensure that the list is available for inspection, at all reasonable times, by — </w:delText>
        </w:r>
      </w:del>
    </w:p>
    <w:p>
      <w:pPr>
        <w:pStyle w:val="yIndenti0"/>
        <w:rPr>
          <w:del w:id="1547" w:author="Master Repository Process" w:date="2022-03-30T12:17:00Z"/>
        </w:rPr>
      </w:pPr>
      <w:del w:id="1548" w:author="Master Repository Process" w:date="2022-03-30T12:17:00Z">
        <w:r>
          <w:tab/>
          <w:delText>(i)</w:delText>
        </w:r>
        <w:r>
          <w:tab/>
          <w:delText>the members of the workforce engaged in the petroleum operation or geothermal energy operation; and</w:delText>
        </w:r>
      </w:del>
    </w:p>
    <w:p>
      <w:pPr>
        <w:pStyle w:val="yIndenti0"/>
        <w:rPr>
          <w:del w:id="1549" w:author="Master Repository Process" w:date="2022-03-30T12:17:00Z"/>
        </w:rPr>
      </w:pPr>
      <w:del w:id="1550" w:author="Master Repository Process" w:date="2022-03-30T12:17:00Z">
        <w:r>
          <w:tab/>
          <w:delText>(ii)</w:delText>
        </w:r>
        <w:r>
          <w:tab/>
          <w:delText>inspectors.</w:delText>
        </w:r>
      </w:del>
    </w:p>
    <w:p>
      <w:pPr>
        <w:pStyle w:val="yFootnotesection"/>
        <w:rPr>
          <w:del w:id="1551" w:author="Master Repository Process" w:date="2022-03-30T12:17:00Z"/>
        </w:rPr>
      </w:pPr>
      <w:del w:id="1552" w:author="Master Repository Process" w:date="2022-03-30T12:17:00Z">
        <w:r>
          <w:tab/>
          <w:delText>[Clause 25 inserted: No. 13 of 2005 s. 17; amended: No. 35 of 2007 s. 86.]</w:delText>
        </w:r>
      </w:del>
    </w:p>
    <w:p>
      <w:pPr>
        <w:pStyle w:val="yHeading5"/>
        <w:rPr>
          <w:del w:id="1553" w:author="Master Repository Process" w:date="2022-03-30T12:17:00Z"/>
        </w:rPr>
      </w:pPr>
      <w:bookmarkStart w:id="1554" w:name="_Toc97630704"/>
      <w:del w:id="1555" w:author="Master Repository Process" w:date="2022-03-30T12:17:00Z">
        <w:r>
          <w:rPr>
            <w:rStyle w:val="CharSClsNo"/>
          </w:rPr>
          <w:delText>26</w:delText>
        </w:r>
        <w:r>
          <w:delText>.</w:delText>
        </w:r>
        <w:r>
          <w:tab/>
          <w:delText>Members of designated work group must be notified of selection etc. of safety and health representative</w:delText>
        </w:r>
        <w:bookmarkEnd w:id="1554"/>
      </w:del>
    </w:p>
    <w:p>
      <w:pPr>
        <w:pStyle w:val="ySubsection"/>
        <w:spacing w:before="120"/>
        <w:rPr>
          <w:del w:id="1556" w:author="Master Repository Process" w:date="2022-03-30T12:17:00Z"/>
        </w:rPr>
      </w:pPr>
      <w:del w:id="1557" w:author="Master Repository Process" w:date="2022-03-30T12:17:00Z">
        <w:r>
          <w:tab/>
        </w:r>
        <w:r>
          <w:tab/>
          <w:delText xml:space="preserve">The operator of a petroleum operation or geothermal energy operation must — </w:delText>
        </w:r>
      </w:del>
    </w:p>
    <w:p>
      <w:pPr>
        <w:pStyle w:val="yIndenta"/>
        <w:spacing w:before="60"/>
        <w:rPr>
          <w:del w:id="1558" w:author="Master Repository Process" w:date="2022-03-30T12:17:00Z"/>
        </w:rPr>
      </w:pPr>
      <w:del w:id="1559" w:author="Master Repository Process" w:date="2022-03-30T12:17:00Z">
        <w:r>
          <w:tab/>
          <w:delText>(a)</w:delText>
        </w:r>
        <w:r>
          <w:tab/>
          <w:delText>notify members of a designated work group in relation to the petroleum operation or geothermal energy operation of a vacancy in the office of safety and health representative for the designated work group within a reasonable time after the vacancy arises; and</w:delText>
        </w:r>
      </w:del>
    </w:p>
    <w:p>
      <w:pPr>
        <w:pStyle w:val="yIndenta"/>
        <w:spacing w:before="60"/>
        <w:rPr>
          <w:del w:id="1560" w:author="Master Repository Process" w:date="2022-03-30T12:17:00Z"/>
        </w:rPr>
      </w:pPr>
      <w:del w:id="1561" w:author="Master Repository Process" w:date="2022-03-30T12:17:00Z">
        <w:r>
          <w:tab/>
          <w:delText>(b)</w:delText>
        </w:r>
        <w:r>
          <w:tab/>
          <w:delText>notify those members of the name of any person selected (whether under clause 23(3)(a) or (b)) as safety and health representative for the designated work group within a reasonable time after the selection is made.</w:delText>
        </w:r>
      </w:del>
    </w:p>
    <w:p>
      <w:pPr>
        <w:pStyle w:val="yFootnotesection"/>
        <w:spacing w:before="60"/>
        <w:rPr>
          <w:del w:id="1562" w:author="Master Repository Process" w:date="2022-03-30T12:17:00Z"/>
        </w:rPr>
      </w:pPr>
      <w:del w:id="1563" w:author="Master Repository Process" w:date="2022-03-30T12:17:00Z">
        <w:r>
          <w:tab/>
          <w:delText>[Clause 26 inserted: No. 13 of 2005 s. 17; amended: No. 35 of 2007 s. 86.]</w:delText>
        </w:r>
      </w:del>
    </w:p>
    <w:p>
      <w:pPr>
        <w:pStyle w:val="yHeading5"/>
        <w:spacing w:before="180"/>
        <w:rPr>
          <w:del w:id="1564" w:author="Master Repository Process" w:date="2022-03-30T12:17:00Z"/>
        </w:rPr>
      </w:pPr>
      <w:bookmarkStart w:id="1565" w:name="_Toc97630705"/>
      <w:del w:id="1566" w:author="Master Repository Process" w:date="2022-03-30T12:17:00Z">
        <w:r>
          <w:rPr>
            <w:rStyle w:val="CharSClsNo"/>
          </w:rPr>
          <w:delText>27</w:delText>
        </w:r>
        <w:r>
          <w:delText>.</w:delText>
        </w:r>
        <w:r>
          <w:rPr>
            <w:b w:val="0"/>
          </w:rPr>
          <w:tab/>
        </w:r>
        <w:r>
          <w:delText>Term of office</w:delText>
        </w:r>
        <w:bookmarkEnd w:id="1565"/>
      </w:del>
    </w:p>
    <w:p>
      <w:pPr>
        <w:pStyle w:val="ySubsection"/>
        <w:spacing w:before="120"/>
        <w:rPr>
          <w:del w:id="1567" w:author="Master Repository Process" w:date="2022-03-30T12:17:00Z"/>
        </w:rPr>
      </w:pPr>
      <w:del w:id="1568" w:author="Master Repository Process" w:date="2022-03-30T12:17:00Z">
        <w:r>
          <w:tab/>
          <w:delText>(1)</w:delText>
        </w:r>
        <w:r>
          <w:tab/>
          <w:delText xml:space="preserve">A safety and health representative for a designated work group holds office — </w:delText>
        </w:r>
      </w:del>
    </w:p>
    <w:p>
      <w:pPr>
        <w:pStyle w:val="yIndenta"/>
        <w:rPr>
          <w:del w:id="1569" w:author="Master Repository Process" w:date="2022-03-30T12:17:00Z"/>
        </w:rPr>
      </w:pPr>
      <w:del w:id="1570" w:author="Master Repository Process" w:date="2022-03-30T12:17:00Z">
        <w:r>
          <w:tab/>
          <w:delText>(a)</w:delText>
        </w:r>
        <w:r>
          <w:tab/>
          <w:delText>if, in consultations that took place under clause 17, 18, 19 or 20, the parties to the consultations agreed to the period for which the safety and health representative for the group was to hold office — for that period; or</w:delText>
        </w:r>
      </w:del>
    </w:p>
    <w:p>
      <w:pPr>
        <w:pStyle w:val="yIndenta"/>
        <w:rPr>
          <w:del w:id="1571" w:author="Master Repository Process" w:date="2022-03-30T12:17:00Z"/>
        </w:rPr>
      </w:pPr>
      <w:del w:id="1572" w:author="Master Repository Process" w:date="2022-03-30T12:17:00Z">
        <w:r>
          <w:tab/>
          <w:delText>(b)</w:delText>
        </w:r>
        <w:r>
          <w:tab/>
          <w:delText>if paragraph (a) does not apply — for 2 years.</w:delText>
        </w:r>
      </w:del>
    </w:p>
    <w:p>
      <w:pPr>
        <w:pStyle w:val="ySubsection"/>
        <w:spacing w:before="120"/>
        <w:rPr>
          <w:del w:id="1573" w:author="Master Repository Process" w:date="2022-03-30T12:17:00Z"/>
        </w:rPr>
      </w:pPr>
      <w:del w:id="1574" w:author="Master Repository Process" w:date="2022-03-30T12:17:00Z">
        <w:r>
          <w:tab/>
          <w:delText>(2)</w:delText>
        </w:r>
        <w:r>
          <w:tab/>
          <w:delText>The term of office of a safety and health representative begins at the start of the day on which he or she was selected.</w:delText>
        </w:r>
      </w:del>
    </w:p>
    <w:p>
      <w:pPr>
        <w:pStyle w:val="ySubsection"/>
        <w:keepNext/>
        <w:spacing w:before="120"/>
        <w:rPr>
          <w:del w:id="1575" w:author="Master Repository Process" w:date="2022-03-30T12:17:00Z"/>
        </w:rPr>
      </w:pPr>
      <w:del w:id="1576" w:author="Master Repository Process" w:date="2022-03-30T12:17:00Z">
        <w:r>
          <w:tab/>
          <w:delText>(3)</w:delText>
        </w:r>
        <w:r>
          <w:tab/>
          <w:delText>Nothing in this clause prevents a safety and health representative from being selected for further terms of office.</w:delText>
        </w:r>
      </w:del>
    </w:p>
    <w:p>
      <w:pPr>
        <w:pStyle w:val="yFootnotesection"/>
        <w:rPr>
          <w:del w:id="1577" w:author="Master Repository Process" w:date="2022-03-30T12:17:00Z"/>
        </w:rPr>
      </w:pPr>
      <w:del w:id="1578" w:author="Master Repository Process" w:date="2022-03-30T12:17:00Z">
        <w:r>
          <w:tab/>
          <w:delText>[Clause 27 inserted: No. 13 of 2005 s. 17.]</w:delText>
        </w:r>
      </w:del>
    </w:p>
    <w:p>
      <w:pPr>
        <w:pStyle w:val="yHeading5"/>
        <w:spacing w:before="180"/>
        <w:rPr>
          <w:del w:id="1579" w:author="Master Repository Process" w:date="2022-03-30T12:17:00Z"/>
        </w:rPr>
      </w:pPr>
      <w:bookmarkStart w:id="1580" w:name="_Toc97630706"/>
      <w:del w:id="1581" w:author="Master Repository Process" w:date="2022-03-30T12:17:00Z">
        <w:r>
          <w:rPr>
            <w:rStyle w:val="CharSClsNo"/>
          </w:rPr>
          <w:delText>28</w:delText>
        </w:r>
        <w:r>
          <w:delText>.</w:delText>
        </w:r>
        <w:r>
          <w:rPr>
            <w:b w:val="0"/>
          </w:rPr>
          <w:tab/>
        </w:r>
        <w:r>
          <w:delText>Training of safety and health representatives</w:delText>
        </w:r>
        <w:bookmarkEnd w:id="1580"/>
      </w:del>
    </w:p>
    <w:p>
      <w:pPr>
        <w:pStyle w:val="ySubsection"/>
        <w:spacing w:before="120"/>
        <w:rPr>
          <w:del w:id="1582" w:author="Master Repository Process" w:date="2022-03-30T12:17:00Z"/>
        </w:rPr>
      </w:pPr>
      <w:del w:id="1583" w:author="Master Repository Process" w:date="2022-03-30T12:17:00Z">
        <w:r>
          <w:tab/>
          <w:delText>(1)</w:delText>
        </w:r>
        <w:r>
          <w:tab/>
          <w:delText>A safety and health representative for a designated work group must undertake a course of training relating to occupational safety and health that is accredited by the Minister for the purposes of this clause.</w:delText>
        </w:r>
      </w:del>
    </w:p>
    <w:p>
      <w:pPr>
        <w:pStyle w:val="ySubsection"/>
        <w:spacing w:before="120"/>
        <w:rPr>
          <w:del w:id="1584" w:author="Master Repository Process" w:date="2022-03-30T12:17:00Z"/>
        </w:rPr>
      </w:pPr>
      <w:del w:id="1585" w:author="Master Repository Process" w:date="2022-03-30T12:17:00Z">
        <w:r>
          <w:tab/>
          <w:delText>(2)</w:delText>
        </w:r>
        <w:r>
          <w:tab/>
          <w:delText>The operator of the petroleum operation or geothermal energy operation concerned must permit the representative to take any time off work, without loss of remuneration or other entitlements, that is necessary to undertake the training.</w:delText>
        </w:r>
      </w:del>
    </w:p>
    <w:p>
      <w:pPr>
        <w:pStyle w:val="ySubsection"/>
        <w:rPr>
          <w:del w:id="1586" w:author="Master Repository Process" w:date="2022-03-30T12:17:00Z"/>
        </w:rPr>
      </w:pPr>
      <w:del w:id="1587" w:author="Master Repository Process" w:date="2022-03-30T12:17:00Z">
        <w:r>
          <w:tab/>
          <w:delText>(3)</w:delText>
        </w:r>
        <w:r>
          <w:tab/>
          <w:delText>If a person other than the operator is the employer of the representative, that person must permit the representative to take any time off work, without loss of remuneration or other entitlements, that is necessary to undertake the training.</w:delText>
        </w:r>
      </w:del>
    </w:p>
    <w:p>
      <w:pPr>
        <w:pStyle w:val="yFootnotesection"/>
        <w:rPr>
          <w:del w:id="1588" w:author="Master Repository Process" w:date="2022-03-30T12:17:00Z"/>
        </w:rPr>
      </w:pPr>
      <w:del w:id="1589" w:author="Master Repository Process" w:date="2022-03-30T12:17:00Z">
        <w:r>
          <w:tab/>
          <w:delText>[Clause 28 inserted: No. 13 of 2005 s. 17; amended: No. 35 of 2007 s. 86.]</w:delText>
        </w:r>
      </w:del>
    </w:p>
    <w:p>
      <w:pPr>
        <w:pStyle w:val="yHeading5"/>
        <w:spacing w:before="180"/>
        <w:rPr>
          <w:del w:id="1590" w:author="Master Repository Process" w:date="2022-03-30T12:17:00Z"/>
        </w:rPr>
      </w:pPr>
      <w:bookmarkStart w:id="1591" w:name="_Toc97630707"/>
      <w:del w:id="1592" w:author="Master Repository Process" w:date="2022-03-30T12:17:00Z">
        <w:r>
          <w:rPr>
            <w:rStyle w:val="CharSClsNo"/>
          </w:rPr>
          <w:delText>29</w:delText>
        </w:r>
        <w:r>
          <w:delText>.</w:delText>
        </w:r>
        <w:r>
          <w:rPr>
            <w:b w:val="0"/>
          </w:rPr>
          <w:tab/>
        </w:r>
        <w:r>
          <w:delText>Resignation etc. of safety and health representatives</w:delText>
        </w:r>
        <w:bookmarkEnd w:id="1591"/>
      </w:del>
    </w:p>
    <w:p>
      <w:pPr>
        <w:pStyle w:val="ySubsection"/>
        <w:rPr>
          <w:del w:id="1593" w:author="Master Repository Process" w:date="2022-03-30T12:17:00Z"/>
        </w:rPr>
      </w:pPr>
      <w:del w:id="1594" w:author="Master Repository Process" w:date="2022-03-30T12:17:00Z">
        <w:r>
          <w:tab/>
          <w:delText>(1)</w:delText>
        </w:r>
        <w:r>
          <w:tab/>
          <w:delText xml:space="preserve">A person ceases to be the safety and health representative for the designated work group if — </w:delText>
        </w:r>
      </w:del>
    </w:p>
    <w:p>
      <w:pPr>
        <w:pStyle w:val="yIndenta"/>
        <w:rPr>
          <w:del w:id="1595" w:author="Master Repository Process" w:date="2022-03-30T12:17:00Z"/>
        </w:rPr>
      </w:pPr>
      <w:del w:id="1596" w:author="Master Repository Process" w:date="2022-03-30T12:17:00Z">
        <w:r>
          <w:tab/>
          <w:delText>(a)</w:delText>
        </w:r>
        <w:r>
          <w:tab/>
          <w:delText>the person resigns as the safety and health representative; or</w:delText>
        </w:r>
      </w:del>
    </w:p>
    <w:p>
      <w:pPr>
        <w:pStyle w:val="yIndenta"/>
        <w:rPr>
          <w:del w:id="1597" w:author="Master Repository Process" w:date="2022-03-30T12:17:00Z"/>
        </w:rPr>
      </w:pPr>
      <w:del w:id="1598" w:author="Master Repository Process" w:date="2022-03-30T12:17:00Z">
        <w:r>
          <w:tab/>
          <w:delText>(b)</w:delText>
        </w:r>
        <w:r>
          <w:tab/>
          <w:delText>the person ceases to be a group member of that designated work group; or</w:delText>
        </w:r>
      </w:del>
    </w:p>
    <w:p>
      <w:pPr>
        <w:pStyle w:val="yIndenta"/>
        <w:rPr>
          <w:del w:id="1599" w:author="Master Repository Process" w:date="2022-03-30T12:17:00Z"/>
        </w:rPr>
      </w:pPr>
      <w:del w:id="1600" w:author="Master Repository Process" w:date="2022-03-30T12:17:00Z">
        <w:r>
          <w:tab/>
          <w:delText>(c)</w:delText>
        </w:r>
        <w:r>
          <w:tab/>
          <w:delText>the person’s term of office expires without the person having been selected, under clause 23, to be the safety and health representative for the designated work group for a further term; or</w:delText>
        </w:r>
      </w:del>
    </w:p>
    <w:p>
      <w:pPr>
        <w:pStyle w:val="yIndenta"/>
        <w:rPr>
          <w:del w:id="1601" w:author="Master Repository Process" w:date="2022-03-30T12:17:00Z"/>
        </w:rPr>
      </w:pPr>
      <w:del w:id="1602" w:author="Master Repository Process" w:date="2022-03-30T12:17:00Z">
        <w:r>
          <w:tab/>
          <w:delText>(d)</w:delText>
        </w:r>
        <w:r>
          <w:tab/>
          <w:delText>the person is disqualified under clause 30.</w:delText>
        </w:r>
      </w:del>
    </w:p>
    <w:p>
      <w:pPr>
        <w:pStyle w:val="ySubsection"/>
        <w:rPr>
          <w:del w:id="1603" w:author="Master Repository Process" w:date="2022-03-30T12:17:00Z"/>
        </w:rPr>
      </w:pPr>
      <w:del w:id="1604" w:author="Master Repository Process" w:date="2022-03-30T12:17:00Z">
        <w:r>
          <w:tab/>
          <w:delText>(2)</w:delText>
        </w:r>
        <w:r>
          <w:tab/>
          <w:delText>A person may resign as the safety and health representative for a designated work group by notice in writing delivered to the operator and to each work group employer.</w:delText>
        </w:r>
      </w:del>
    </w:p>
    <w:p>
      <w:pPr>
        <w:pStyle w:val="ySubsection"/>
        <w:rPr>
          <w:del w:id="1605" w:author="Master Repository Process" w:date="2022-03-30T12:17:00Z"/>
        </w:rPr>
      </w:pPr>
      <w:del w:id="1606" w:author="Master Repository Process" w:date="2022-03-30T12:17:00Z">
        <w:r>
          <w:tab/>
          <w:delText>(3)</w:delText>
        </w:r>
        <w:r>
          <w:tab/>
          <w:delText>If a person resigns as the safety and health representative for a designated work group, the person must notify the resignation to the group members.</w:delText>
        </w:r>
      </w:del>
    </w:p>
    <w:p>
      <w:pPr>
        <w:pStyle w:val="ySubsection"/>
        <w:rPr>
          <w:del w:id="1607" w:author="Master Repository Process" w:date="2022-03-30T12:17:00Z"/>
        </w:rPr>
      </w:pPr>
      <w:del w:id="1608" w:author="Master Repository Process" w:date="2022-03-30T12:17:00Z">
        <w:r>
          <w:tab/>
          <w:delText>(4)</w:delText>
        </w:r>
        <w:r>
          <w:tab/>
          <w:delText xml:space="preserve">If a person has ceased to be the safety and health representative for a designated work group because of subclause (1)(b), the person must notify in writing — </w:delText>
        </w:r>
      </w:del>
    </w:p>
    <w:p>
      <w:pPr>
        <w:pStyle w:val="yIndenta"/>
        <w:rPr>
          <w:del w:id="1609" w:author="Master Repository Process" w:date="2022-03-30T12:17:00Z"/>
        </w:rPr>
      </w:pPr>
      <w:del w:id="1610" w:author="Master Repository Process" w:date="2022-03-30T12:17:00Z">
        <w:r>
          <w:tab/>
          <w:delText>(a)</w:delText>
        </w:r>
        <w:r>
          <w:tab/>
          <w:delText>the group members; and</w:delText>
        </w:r>
      </w:del>
    </w:p>
    <w:p>
      <w:pPr>
        <w:pStyle w:val="yIndenta"/>
        <w:rPr>
          <w:del w:id="1611" w:author="Master Repository Process" w:date="2022-03-30T12:17:00Z"/>
        </w:rPr>
      </w:pPr>
      <w:del w:id="1612" w:author="Master Repository Process" w:date="2022-03-30T12:17:00Z">
        <w:r>
          <w:tab/>
          <w:delText>(b)</w:delText>
        </w:r>
        <w:r>
          <w:tab/>
          <w:delText>the operator and each work group employer,</w:delText>
        </w:r>
      </w:del>
    </w:p>
    <w:p>
      <w:pPr>
        <w:pStyle w:val="ySubsection"/>
        <w:rPr>
          <w:del w:id="1613" w:author="Master Repository Process" w:date="2022-03-30T12:17:00Z"/>
        </w:rPr>
      </w:pPr>
      <w:del w:id="1614" w:author="Master Repository Process" w:date="2022-03-30T12:17:00Z">
        <w:r>
          <w:tab/>
        </w:r>
        <w:r>
          <w:tab/>
          <w:delText>that the person has ceased to be the safety and health representative for that designated work group.</w:delText>
        </w:r>
      </w:del>
    </w:p>
    <w:p>
      <w:pPr>
        <w:pStyle w:val="yFootnotesection"/>
        <w:rPr>
          <w:del w:id="1615" w:author="Master Repository Process" w:date="2022-03-30T12:17:00Z"/>
        </w:rPr>
      </w:pPr>
      <w:del w:id="1616" w:author="Master Repository Process" w:date="2022-03-30T12:17:00Z">
        <w:r>
          <w:tab/>
          <w:delText>[Clause 29 inserted: No. 13 of 2005 s. 17.]</w:delText>
        </w:r>
      </w:del>
    </w:p>
    <w:p>
      <w:pPr>
        <w:pStyle w:val="yHeading5"/>
        <w:spacing w:before="240"/>
        <w:rPr>
          <w:del w:id="1617" w:author="Master Repository Process" w:date="2022-03-30T12:17:00Z"/>
        </w:rPr>
      </w:pPr>
      <w:bookmarkStart w:id="1618" w:name="_Toc97630708"/>
      <w:del w:id="1619" w:author="Master Repository Process" w:date="2022-03-30T12:17:00Z">
        <w:r>
          <w:rPr>
            <w:rStyle w:val="CharSClsNo"/>
          </w:rPr>
          <w:delText>30</w:delText>
        </w:r>
        <w:r>
          <w:delText>.</w:delText>
        </w:r>
        <w:r>
          <w:rPr>
            <w:b w:val="0"/>
          </w:rPr>
          <w:tab/>
        </w:r>
        <w:r>
          <w:delText>Disqualification of safety and health representatives</w:delText>
        </w:r>
        <w:bookmarkEnd w:id="1618"/>
      </w:del>
    </w:p>
    <w:p>
      <w:pPr>
        <w:pStyle w:val="ySubsection"/>
        <w:spacing w:before="180"/>
        <w:rPr>
          <w:del w:id="1620" w:author="Master Repository Process" w:date="2022-03-30T12:17:00Z"/>
        </w:rPr>
      </w:pPr>
      <w:del w:id="1621" w:author="Master Repository Process" w:date="2022-03-30T12:17:00Z">
        <w:r>
          <w:tab/>
          <w:delText>(1)</w:delText>
        </w:r>
        <w:r>
          <w:tab/>
          <w:delText xml:space="preserve">An application for the disqualification of a safety and health representative for a designated work group may be made to the Tribunal by — </w:delText>
        </w:r>
      </w:del>
    </w:p>
    <w:p>
      <w:pPr>
        <w:pStyle w:val="yIndenta"/>
        <w:rPr>
          <w:del w:id="1622" w:author="Master Repository Process" w:date="2022-03-30T12:17:00Z"/>
        </w:rPr>
      </w:pPr>
      <w:del w:id="1623" w:author="Master Repository Process" w:date="2022-03-30T12:17:00Z">
        <w:r>
          <w:tab/>
          <w:delText>(a)</w:delText>
        </w:r>
        <w:r>
          <w:tab/>
          <w:delText>the operator; or</w:delText>
        </w:r>
      </w:del>
    </w:p>
    <w:p>
      <w:pPr>
        <w:pStyle w:val="yIndenta"/>
        <w:rPr>
          <w:del w:id="1624" w:author="Master Repository Process" w:date="2022-03-30T12:17:00Z"/>
        </w:rPr>
      </w:pPr>
      <w:del w:id="1625" w:author="Master Repository Process" w:date="2022-03-30T12:17:00Z">
        <w:r>
          <w:tab/>
          <w:delText>(b)</w:delText>
        </w:r>
        <w:r>
          <w:tab/>
          <w:delText>a work group employer; or</w:delText>
        </w:r>
      </w:del>
    </w:p>
    <w:p>
      <w:pPr>
        <w:pStyle w:val="yIndenta"/>
        <w:rPr>
          <w:del w:id="1626" w:author="Master Repository Process" w:date="2022-03-30T12:17:00Z"/>
        </w:rPr>
      </w:pPr>
      <w:del w:id="1627" w:author="Master Repository Process" w:date="2022-03-30T12:17:00Z">
        <w:r>
          <w:tab/>
          <w:delText>(c)</w:delText>
        </w:r>
        <w:r>
          <w:tab/>
          <w:delText>at the request of a group member of the designated work group — a workforce representative in relation to the designated work group.</w:delText>
        </w:r>
      </w:del>
    </w:p>
    <w:p>
      <w:pPr>
        <w:pStyle w:val="ySubsection"/>
        <w:keepNext/>
        <w:rPr>
          <w:del w:id="1628" w:author="Master Repository Process" w:date="2022-03-30T12:17:00Z"/>
        </w:rPr>
      </w:pPr>
      <w:del w:id="1629" w:author="Master Repository Process" w:date="2022-03-30T12:17:00Z">
        <w:r>
          <w:tab/>
          <w:delText>(2)</w:delText>
        </w:r>
        <w:r>
          <w:tab/>
          <w:delText xml:space="preserve">An application under subclause (1) may be made on either or both of the following grounds — </w:delText>
        </w:r>
      </w:del>
    </w:p>
    <w:p>
      <w:pPr>
        <w:pStyle w:val="yIndenta"/>
        <w:rPr>
          <w:del w:id="1630" w:author="Master Repository Process" w:date="2022-03-30T12:17:00Z"/>
        </w:rPr>
      </w:pPr>
      <w:del w:id="1631" w:author="Master Repository Process" w:date="2022-03-30T12:17:00Z">
        <w:r>
          <w:tab/>
          <w:delText>(a)</w:delText>
        </w:r>
        <w:r>
          <w:tab/>
          <w:delText xml:space="preserve">that action taken by the representative in the exercise or purported exercise of a power under clause 32(1) or any other provision of this Schedule was taken — </w:delText>
        </w:r>
      </w:del>
    </w:p>
    <w:p>
      <w:pPr>
        <w:pStyle w:val="yIndenti0"/>
        <w:rPr>
          <w:del w:id="1632" w:author="Master Repository Process" w:date="2022-03-30T12:17:00Z"/>
        </w:rPr>
      </w:pPr>
      <w:del w:id="1633" w:author="Master Repository Process" w:date="2022-03-30T12:17:00Z">
        <w:r>
          <w:tab/>
          <w:delText>(i)</w:delText>
        </w:r>
        <w:r>
          <w:tab/>
          <w:delText>with the intention of causing harm to the operator or work group employer or to an undertaking of the operator or work group employer; or</w:delText>
        </w:r>
      </w:del>
    </w:p>
    <w:p>
      <w:pPr>
        <w:pStyle w:val="yIndenti0"/>
        <w:rPr>
          <w:del w:id="1634" w:author="Master Repository Process" w:date="2022-03-30T12:17:00Z"/>
        </w:rPr>
      </w:pPr>
      <w:del w:id="1635" w:author="Master Repository Process" w:date="2022-03-30T12:17:00Z">
        <w:r>
          <w:tab/>
          <w:delText>(ii)</w:delText>
        </w:r>
        <w:r>
          <w:tab/>
          <w:delText>unreasonably, capriciously or not for the purpose for which the power was conferred on the representative;</w:delText>
        </w:r>
      </w:del>
    </w:p>
    <w:p>
      <w:pPr>
        <w:pStyle w:val="yIndenta"/>
        <w:rPr>
          <w:del w:id="1636" w:author="Master Repository Process" w:date="2022-03-30T12:17:00Z"/>
        </w:rPr>
      </w:pPr>
      <w:del w:id="1637" w:author="Master Repository Process" w:date="2022-03-30T12:17:00Z">
        <w:r>
          <w:tab/>
          <w:delText>(b)</w:delText>
        </w:r>
        <w:r>
          <w:tab/>
          <w:delText>that the representative has intentionally used, or disclosed to another person, for a purpose that is not connected with the exercise of a power of a safety and health representative, information acquired from the operator or work group employer.</w:delText>
        </w:r>
      </w:del>
    </w:p>
    <w:p>
      <w:pPr>
        <w:pStyle w:val="ySubsection"/>
        <w:rPr>
          <w:del w:id="1638" w:author="Master Repository Process" w:date="2022-03-30T12:17:00Z"/>
        </w:rPr>
      </w:pPr>
      <w:del w:id="1639" w:author="Master Repository Process" w:date="2022-03-30T12:17:00Z">
        <w:r>
          <w:tab/>
          <w:delText>(3)</w:delText>
        </w:r>
        <w:r>
          <w:tab/>
          <w:delTex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delText>
        </w:r>
      </w:del>
    </w:p>
    <w:p>
      <w:pPr>
        <w:pStyle w:val="ySubsection"/>
        <w:rPr>
          <w:del w:id="1640" w:author="Master Repository Process" w:date="2022-03-30T12:17:00Z"/>
        </w:rPr>
      </w:pPr>
      <w:del w:id="1641" w:author="Master Repository Process" w:date="2022-03-30T12:17:00Z">
        <w:r>
          <w:tab/>
          <w:delText>(4)</w:delText>
        </w:r>
        <w:r>
          <w:tab/>
          <w:delText xml:space="preserve">In making a decision under subclause (3), the Tribunal must have regard to — </w:delText>
        </w:r>
      </w:del>
    </w:p>
    <w:p>
      <w:pPr>
        <w:pStyle w:val="yIndenta"/>
        <w:rPr>
          <w:del w:id="1642" w:author="Master Repository Process" w:date="2022-03-30T12:17:00Z"/>
        </w:rPr>
      </w:pPr>
      <w:del w:id="1643" w:author="Master Repository Process" w:date="2022-03-30T12:17:00Z">
        <w:r>
          <w:tab/>
          <w:delText>(a)</w:delText>
        </w:r>
        <w:r>
          <w:tab/>
          <w:delText>the harm (if any) that was caused to the operator or work group employer or to an undertaking of the operator or work group employer as a result of the action of the representative; and</w:delText>
        </w:r>
      </w:del>
    </w:p>
    <w:p>
      <w:pPr>
        <w:pStyle w:val="yIndenta"/>
        <w:rPr>
          <w:del w:id="1644" w:author="Master Repository Process" w:date="2022-03-30T12:17:00Z"/>
        </w:rPr>
      </w:pPr>
      <w:del w:id="1645" w:author="Master Repository Process" w:date="2022-03-30T12:17:00Z">
        <w:r>
          <w:tab/>
          <w:delText>(b)</w:delText>
        </w:r>
        <w:r>
          <w:tab/>
          <w:delText xml:space="preserve">the past record of the representative in exercising the powers of a safety and health representative; and </w:delText>
        </w:r>
      </w:del>
    </w:p>
    <w:p>
      <w:pPr>
        <w:pStyle w:val="yIndenta"/>
        <w:rPr>
          <w:del w:id="1646" w:author="Master Repository Process" w:date="2022-03-30T12:17:00Z"/>
        </w:rPr>
      </w:pPr>
      <w:del w:id="1647" w:author="Master Repository Process" w:date="2022-03-30T12:17:00Z">
        <w:r>
          <w:tab/>
          <w:delText>(c)</w:delText>
        </w:r>
        <w:r>
          <w:tab/>
          <w:delText>the effect (if any) on the public interest of the action of the representative; and</w:delText>
        </w:r>
      </w:del>
    </w:p>
    <w:p>
      <w:pPr>
        <w:pStyle w:val="yIndenta"/>
        <w:rPr>
          <w:del w:id="1648" w:author="Master Repository Process" w:date="2022-03-30T12:17:00Z"/>
        </w:rPr>
      </w:pPr>
      <w:del w:id="1649" w:author="Master Repository Process" w:date="2022-03-30T12:17:00Z">
        <w:r>
          <w:tab/>
          <w:delText>(d)</w:delText>
        </w:r>
        <w:r>
          <w:tab/>
          <w:delText>any other matters the Tribunal thinks relevant.</w:delText>
        </w:r>
      </w:del>
    </w:p>
    <w:p>
      <w:pPr>
        <w:pStyle w:val="yFootnotesection"/>
        <w:rPr>
          <w:del w:id="1650" w:author="Master Repository Process" w:date="2022-03-30T12:17:00Z"/>
        </w:rPr>
      </w:pPr>
      <w:del w:id="1651" w:author="Master Repository Process" w:date="2022-03-30T12:17:00Z">
        <w:r>
          <w:tab/>
          <w:delText>[Clause 30 inserted: No. 13 of 2005 s. 17.]</w:delText>
        </w:r>
      </w:del>
    </w:p>
    <w:p>
      <w:pPr>
        <w:pStyle w:val="yHeading5"/>
        <w:keepLines w:val="0"/>
        <w:rPr>
          <w:del w:id="1652" w:author="Master Repository Process" w:date="2022-03-30T12:17:00Z"/>
        </w:rPr>
      </w:pPr>
      <w:bookmarkStart w:id="1653" w:name="_Toc97630709"/>
      <w:del w:id="1654" w:author="Master Repository Process" w:date="2022-03-30T12:17:00Z">
        <w:r>
          <w:rPr>
            <w:rStyle w:val="CharSClsNo"/>
          </w:rPr>
          <w:delText>31</w:delText>
        </w:r>
        <w:r>
          <w:delText>.</w:delText>
        </w:r>
        <w:r>
          <w:rPr>
            <w:b w:val="0"/>
          </w:rPr>
          <w:tab/>
        </w:r>
        <w:r>
          <w:delText>Deputy safety and health representatives</w:delText>
        </w:r>
        <w:bookmarkEnd w:id="1653"/>
      </w:del>
    </w:p>
    <w:p>
      <w:pPr>
        <w:pStyle w:val="ySubsection"/>
        <w:rPr>
          <w:del w:id="1655" w:author="Master Repository Process" w:date="2022-03-30T12:17:00Z"/>
        </w:rPr>
      </w:pPr>
      <w:del w:id="1656" w:author="Master Repository Process" w:date="2022-03-30T12:17:00Z">
        <w:r>
          <w:tab/>
          <w:delText>(1)</w:delText>
        </w:r>
        <w:r>
          <w:tab/>
          <w:delText>One deputy safety and health representative may be selected for each designated work group for which a safety and health representative has been selected.</w:delText>
        </w:r>
      </w:del>
    </w:p>
    <w:p>
      <w:pPr>
        <w:pStyle w:val="ySubsection"/>
        <w:rPr>
          <w:del w:id="1657" w:author="Master Repository Process" w:date="2022-03-30T12:17:00Z"/>
        </w:rPr>
      </w:pPr>
      <w:del w:id="1658" w:author="Master Repository Process" w:date="2022-03-30T12:17:00Z">
        <w:r>
          <w:tab/>
          <w:delText>(2)</w:delText>
        </w:r>
        <w:r>
          <w:tab/>
          <w:delText>A deputy safety and health representative is to be selected in the same way as a safety and health representative under clause 23.</w:delText>
        </w:r>
      </w:del>
    </w:p>
    <w:p>
      <w:pPr>
        <w:pStyle w:val="ySubsection"/>
        <w:rPr>
          <w:del w:id="1659" w:author="Master Repository Process" w:date="2022-03-30T12:17:00Z"/>
        </w:rPr>
      </w:pPr>
      <w:del w:id="1660" w:author="Master Repository Process" w:date="2022-03-30T12:17:00Z">
        <w:r>
          <w:tab/>
          <w:delText>(3)</w:delText>
        </w:r>
        <w:r>
          <w:tab/>
          <w:delText xml:space="preserve">If the safety and health representative for a designated work group — </w:delText>
        </w:r>
      </w:del>
    </w:p>
    <w:p>
      <w:pPr>
        <w:pStyle w:val="yIndenta"/>
        <w:rPr>
          <w:del w:id="1661" w:author="Master Repository Process" w:date="2022-03-30T12:17:00Z"/>
        </w:rPr>
      </w:pPr>
      <w:del w:id="1662" w:author="Master Repository Process" w:date="2022-03-30T12:17:00Z">
        <w:r>
          <w:tab/>
          <w:delText>(a)</w:delText>
        </w:r>
        <w:r>
          <w:tab/>
          <w:delText>ceases to be the safety and health representative; or</w:delText>
        </w:r>
      </w:del>
    </w:p>
    <w:p>
      <w:pPr>
        <w:pStyle w:val="yIndenta"/>
        <w:rPr>
          <w:del w:id="1663" w:author="Master Repository Process" w:date="2022-03-30T12:17:00Z"/>
        </w:rPr>
      </w:pPr>
      <w:del w:id="1664" w:author="Master Repository Process" w:date="2022-03-30T12:17:00Z">
        <w:r>
          <w:tab/>
          <w:delText>(b)</w:delText>
        </w:r>
        <w:r>
          <w:tab/>
          <w:delText>is unable (because of absence or for any other reason) to exercise the powers of a safety and health representative,</w:delText>
        </w:r>
      </w:del>
    </w:p>
    <w:p>
      <w:pPr>
        <w:pStyle w:val="ySubsection"/>
        <w:rPr>
          <w:del w:id="1665" w:author="Master Repository Process" w:date="2022-03-30T12:17:00Z"/>
        </w:rPr>
      </w:pPr>
      <w:del w:id="1666" w:author="Master Repository Process" w:date="2022-03-30T12:17:00Z">
        <w:r>
          <w:tab/>
        </w:r>
        <w:r>
          <w:tab/>
          <w:delText xml:space="preserve">then — </w:delText>
        </w:r>
      </w:del>
    </w:p>
    <w:p>
      <w:pPr>
        <w:pStyle w:val="yIndenta"/>
        <w:rPr>
          <w:del w:id="1667" w:author="Master Repository Process" w:date="2022-03-30T12:17:00Z"/>
        </w:rPr>
      </w:pPr>
      <w:del w:id="1668" w:author="Master Repository Process" w:date="2022-03-30T12:17:00Z">
        <w:r>
          <w:tab/>
          <w:delText>(c)</w:delText>
        </w:r>
        <w:r>
          <w:tab/>
          <w:delText>the powers may be exercised by the deputy safety and health representative (if any) for the group; and</w:delText>
        </w:r>
      </w:del>
    </w:p>
    <w:p>
      <w:pPr>
        <w:pStyle w:val="yIndenta"/>
        <w:rPr>
          <w:del w:id="1669" w:author="Master Repository Process" w:date="2022-03-30T12:17:00Z"/>
        </w:rPr>
      </w:pPr>
      <w:del w:id="1670" w:author="Master Repository Process" w:date="2022-03-30T12:17:00Z">
        <w:r>
          <w:tab/>
          <w:delText>(d)</w:delText>
        </w:r>
        <w:r>
          <w:tab/>
          <w:delText>this Schedule (other than this clause) applies in relation to the deputy safety and health representative accordingly.</w:delText>
        </w:r>
      </w:del>
    </w:p>
    <w:p>
      <w:pPr>
        <w:pStyle w:val="yFootnotesection"/>
        <w:rPr>
          <w:del w:id="1671" w:author="Master Repository Process" w:date="2022-03-30T12:17:00Z"/>
        </w:rPr>
      </w:pPr>
      <w:del w:id="1672" w:author="Master Repository Process" w:date="2022-03-30T12:17:00Z">
        <w:r>
          <w:tab/>
          <w:delText>[Clause 31 inserted: No. 13 of 2005 s. 17.]</w:delText>
        </w:r>
      </w:del>
    </w:p>
    <w:p>
      <w:pPr>
        <w:pStyle w:val="yHeading5"/>
        <w:rPr>
          <w:del w:id="1673" w:author="Master Repository Process" w:date="2022-03-30T12:17:00Z"/>
        </w:rPr>
      </w:pPr>
      <w:bookmarkStart w:id="1674" w:name="_Toc97630710"/>
      <w:del w:id="1675" w:author="Master Repository Process" w:date="2022-03-30T12:17:00Z">
        <w:r>
          <w:rPr>
            <w:rStyle w:val="CharSClsNo"/>
          </w:rPr>
          <w:delText>32</w:delText>
        </w:r>
        <w:r>
          <w:delText>.</w:delText>
        </w:r>
        <w:r>
          <w:rPr>
            <w:b w:val="0"/>
          </w:rPr>
          <w:tab/>
        </w:r>
        <w:r>
          <w:delText>Powers of safety and health representatives</w:delText>
        </w:r>
        <w:bookmarkEnd w:id="1674"/>
      </w:del>
    </w:p>
    <w:p>
      <w:pPr>
        <w:pStyle w:val="ySubsection"/>
        <w:rPr>
          <w:del w:id="1676" w:author="Master Repository Process" w:date="2022-03-30T12:17:00Z"/>
        </w:rPr>
      </w:pPr>
      <w:del w:id="1677" w:author="Master Repository Process" w:date="2022-03-30T12:17:00Z">
        <w:r>
          <w:tab/>
          <w:delText>(1)</w:delText>
        </w:r>
        <w:r>
          <w:tab/>
          <w:delText xml:space="preserve">A safety and health representative for a designated work group may, for the purpose of promoting or ensuring the safety and health at a workplace of the group members — </w:delText>
        </w:r>
      </w:del>
    </w:p>
    <w:p>
      <w:pPr>
        <w:pStyle w:val="yIndenta"/>
        <w:rPr>
          <w:del w:id="1678" w:author="Master Repository Process" w:date="2022-03-30T12:17:00Z"/>
        </w:rPr>
      </w:pPr>
      <w:del w:id="1679" w:author="Master Repository Process" w:date="2022-03-30T12:17:00Z">
        <w:r>
          <w:tab/>
          <w:delText>(a)</w:delText>
        </w:r>
        <w:r>
          <w:tab/>
          <w:delText xml:space="preserve">do all or any of the following — </w:delText>
        </w:r>
      </w:del>
    </w:p>
    <w:p>
      <w:pPr>
        <w:pStyle w:val="yIndenti0"/>
        <w:rPr>
          <w:del w:id="1680" w:author="Master Repository Process" w:date="2022-03-30T12:17:00Z"/>
        </w:rPr>
      </w:pPr>
      <w:del w:id="1681" w:author="Master Repository Process" w:date="2022-03-30T12:17:00Z">
        <w:r>
          <w:tab/>
          <w:delText>(i)</w:delText>
        </w:r>
        <w:r>
          <w:tab/>
          <w:delText>inspect the whole or any part of the workplace if there has, in the immediate past, been an accident or a dangerous occurrence at the workplace, or if there is an immediate threat of such an accident or dangerous occurrence;</w:delText>
        </w:r>
      </w:del>
    </w:p>
    <w:p>
      <w:pPr>
        <w:pStyle w:val="yIndenti0"/>
        <w:rPr>
          <w:del w:id="1682" w:author="Master Repository Process" w:date="2022-03-30T12:17:00Z"/>
        </w:rPr>
      </w:pPr>
      <w:del w:id="1683" w:author="Master Repository Process" w:date="2022-03-30T12:17:00Z">
        <w:r>
          <w:tab/>
          <w:delText>(ii)</w:delText>
        </w:r>
        <w:r>
          <w:tab/>
          <w:delText>inspect the whole or any part of the workplace if the safety and health representative has given reasonable notice of the inspection to the operator’s representative and to any other person having immediate control of the workplace;</w:delText>
        </w:r>
      </w:del>
    </w:p>
    <w:p>
      <w:pPr>
        <w:pStyle w:val="yIndenti0"/>
        <w:rPr>
          <w:del w:id="1684" w:author="Master Repository Process" w:date="2022-03-30T12:17:00Z"/>
        </w:rPr>
      </w:pPr>
      <w:del w:id="1685" w:author="Master Repository Process" w:date="2022-03-30T12:17:00Z">
        <w:r>
          <w:tab/>
          <w:delText>(iii)</w:delText>
        </w:r>
        <w:r>
          <w:tab/>
          <w:delText>make a request to an inspector or to the Minister that an inspection be conducted at the workplace;</w:delText>
        </w:r>
      </w:del>
    </w:p>
    <w:p>
      <w:pPr>
        <w:pStyle w:val="yIndenti0"/>
        <w:rPr>
          <w:del w:id="1686" w:author="Master Repository Process" w:date="2022-03-30T12:17:00Z"/>
        </w:rPr>
      </w:pPr>
      <w:del w:id="1687" w:author="Master Repository Process" w:date="2022-03-30T12:17:00Z">
        <w:r>
          <w:tab/>
          <w:delText>(iv)</w:delText>
        </w:r>
        <w:r>
          <w:tab/>
          <w:delText>accompany an inspector during any inspection at the workplace by the inspector (whether or not the inspection is being conducted as a result of a request made by the safety and health representative);</w:delText>
        </w:r>
      </w:del>
    </w:p>
    <w:p>
      <w:pPr>
        <w:pStyle w:val="yIndenti0"/>
        <w:rPr>
          <w:del w:id="1688" w:author="Master Repository Process" w:date="2022-03-30T12:17:00Z"/>
        </w:rPr>
      </w:pPr>
      <w:del w:id="1689" w:author="Master Repository Process" w:date="2022-03-30T12:17:00Z">
        <w:r>
          <w:tab/>
          <w:delText>(v)</w:delText>
        </w:r>
        <w:r>
          <w:tab/>
          <w:delText>if there is no safety and health committee in respect of the members of the workforce engaged in the petroleum operation or geothermal energy operation — represent group members in consultations with the operator and any work group employer about the development, implementation and review of measures to ensure the safety and health of those members at the workplace;</w:delText>
        </w:r>
      </w:del>
    </w:p>
    <w:p>
      <w:pPr>
        <w:pStyle w:val="yIndenti0"/>
        <w:rPr>
          <w:del w:id="1690" w:author="Master Repository Process" w:date="2022-03-30T12:17:00Z"/>
        </w:rPr>
      </w:pPr>
      <w:del w:id="1691" w:author="Master Repository Process" w:date="2022-03-30T12:17:00Z">
        <w:r>
          <w:tab/>
          <w:delText>(vi)</w:delText>
        </w:r>
        <w:r>
          <w:tab/>
          <w:delText xml:space="preserve">if a safety and health committee has been established in respect of the members of the workforce engaged in the petroleum operation or geothermal energy operation — examine any of the records of that committee; </w:delText>
        </w:r>
      </w:del>
    </w:p>
    <w:p>
      <w:pPr>
        <w:pStyle w:val="yIndenta"/>
        <w:rPr>
          <w:del w:id="1692" w:author="Master Repository Process" w:date="2022-03-30T12:17:00Z"/>
        </w:rPr>
      </w:pPr>
      <w:del w:id="1693" w:author="Master Repository Process" w:date="2022-03-30T12:17:00Z">
        <w:r>
          <w:tab/>
        </w:r>
        <w:r>
          <w:tab/>
          <w:delText>and</w:delText>
        </w:r>
      </w:del>
    </w:p>
    <w:p>
      <w:pPr>
        <w:pStyle w:val="yIndenta"/>
        <w:keepLines/>
        <w:rPr>
          <w:del w:id="1694" w:author="Master Repository Process" w:date="2022-03-30T12:17:00Z"/>
        </w:rPr>
      </w:pPr>
      <w:del w:id="1695" w:author="Master Repository Process" w:date="2022-03-30T12:17:00Z">
        <w:r>
          <w:tab/>
          <w:delText>(b)</w:delText>
        </w:r>
        <w:r>
          <w:tab/>
          <w:delText>investigate complaints made by any group member to the safety and health representative about the safety and health of any of the members of the workforce (whether in the group or not); and</w:delText>
        </w:r>
      </w:del>
    </w:p>
    <w:p>
      <w:pPr>
        <w:pStyle w:val="yIndenta"/>
        <w:rPr>
          <w:del w:id="1696" w:author="Master Repository Process" w:date="2022-03-30T12:17:00Z"/>
        </w:rPr>
      </w:pPr>
      <w:del w:id="1697" w:author="Master Repository Process" w:date="2022-03-30T12:17:00Z">
        <w:r>
          <w:tab/>
          <w:delText>(c)</w:delText>
        </w:r>
        <w:r>
          <w:tab/>
          <w:delText xml:space="preserve">with the consent of a group member, be present at any interview about safety and health at work between that member and — </w:delText>
        </w:r>
      </w:del>
    </w:p>
    <w:p>
      <w:pPr>
        <w:pStyle w:val="yIndenti0"/>
        <w:rPr>
          <w:del w:id="1698" w:author="Master Repository Process" w:date="2022-03-30T12:17:00Z"/>
        </w:rPr>
      </w:pPr>
      <w:del w:id="1699" w:author="Master Repository Process" w:date="2022-03-30T12:17:00Z">
        <w:r>
          <w:tab/>
          <w:delText>(i)</w:delText>
        </w:r>
        <w:r>
          <w:tab/>
          <w:delText>an inspector; or</w:delText>
        </w:r>
      </w:del>
    </w:p>
    <w:p>
      <w:pPr>
        <w:pStyle w:val="yIndenti0"/>
        <w:rPr>
          <w:del w:id="1700" w:author="Master Repository Process" w:date="2022-03-30T12:17:00Z"/>
        </w:rPr>
      </w:pPr>
      <w:del w:id="1701" w:author="Master Repository Process" w:date="2022-03-30T12:17:00Z">
        <w:r>
          <w:tab/>
          <w:delText>(ii)</w:delText>
        </w:r>
        <w:r>
          <w:tab/>
          <w:delText>the operator or a person representing the operator; or</w:delText>
        </w:r>
      </w:del>
    </w:p>
    <w:p>
      <w:pPr>
        <w:pStyle w:val="yIndenti0"/>
        <w:keepLines/>
        <w:rPr>
          <w:del w:id="1702" w:author="Master Repository Process" w:date="2022-03-30T12:17:00Z"/>
        </w:rPr>
      </w:pPr>
      <w:del w:id="1703" w:author="Master Repository Process" w:date="2022-03-30T12:17:00Z">
        <w:r>
          <w:tab/>
          <w:delText>(iii)</w:delText>
        </w:r>
        <w:r>
          <w:tab/>
          <w:delText xml:space="preserve">a work group employer or a person representing that employer; </w:delText>
        </w:r>
      </w:del>
    </w:p>
    <w:p>
      <w:pPr>
        <w:pStyle w:val="yIndenta"/>
        <w:keepLines/>
        <w:rPr>
          <w:del w:id="1704" w:author="Master Repository Process" w:date="2022-03-30T12:17:00Z"/>
        </w:rPr>
      </w:pPr>
      <w:del w:id="1705" w:author="Master Repository Process" w:date="2022-03-30T12:17:00Z">
        <w:r>
          <w:tab/>
        </w:r>
        <w:r>
          <w:tab/>
          <w:delText>and</w:delText>
        </w:r>
      </w:del>
    </w:p>
    <w:p>
      <w:pPr>
        <w:pStyle w:val="yIndenta"/>
        <w:rPr>
          <w:del w:id="1706" w:author="Master Repository Process" w:date="2022-03-30T12:17:00Z"/>
        </w:rPr>
      </w:pPr>
      <w:del w:id="1707" w:author="Master Repository Process" w:date="2022-03-30T12:17:00Z">
        <w:r>
          <w:tab/>
          <w:delText>(d)</w:delText>
        </w:r>
        <w:r>
          <w:tab/>
          <w:delText xml:space="preserve">obtain access to any information under the control of the operator or any work group employer — </w:delText>
        </w:r>
      </w:del>
    </w:p>
    <w:p>
      <w:pPr>
        <w:pStyle w:val="yIndenti0"/>
        <w:rPr>
          <w:del w:id="1708" w:author="Master Repository Process" w:date="2022-03-30T12:17:00Z"/>
        </w:rPr>
      </w:pPr>
      <w:del w:id="1709" w:author="Master Repository Process" w:date="2022-03-30T12:17:00Z">
        <w:r>
          <w:tab/>
          <w:delText>(i)</w:delText>
        </w:r>
        <w:r>
          <w:tab/>
          <w:delText>relating to risks to the safety and health of any group member; and</w:delText>
        </w:r>
      </w:del>
    </w:p>
    <w:p>
      <w:pPr>
        <w:pStyle w:val="yIndenti0"/>
        <w:rPr>
          <w:del w:id="1710" w:author="Master Repository Process" w:date="2022-03-30T12:17:00Z"/>
        </w:rPr>
      </w:pPr>
      <w:del w:id="1711" w:author="Master Repository Process" w:date="2022-03-30T12:17:00Z">
        <w:r>
          <w:tab/>
          <w:delText>(ii)</w:delText>
        </w:r>
        <w:r>
          <w:tab/>
          <w:delText xml:space="preserve">relating to the safety and health of any group member; </w:delText>
        </w:r>
      </w:del>
    </w:p>
    <w:p>
      <w:pPr>
        <w:pStyle w:val="yIndenta"/>
        <w:rPr>
          <w:del w:id="1712" w:author="Master Repository Process" w:date="2022-03-30T12:17:00Z"/>
        </w:rPr>
      </w:pPr>
      <w:del w:id="1713" w:author="Master Repository Process" w:date="2022-03-30T12:17:00Z">
        <w:r>
          <w:tab/>
        </w:r>
        <w:r>
          <w:tab/>
          <w:delText>and</w:delText>
        </w:r>
      </w:del>
    </w:p>
    <w:p>
      <w:pPr>
        <w:pStyle w:val="yIndenta"/>
        <w:rPr>
          <w:del w:id="1714" w:author="Master Repository Process" w:date="2022-03-30T12:17:00Z"/>
        </w:rPr>
      </w:pPr>
      <w:del w:id="1715" w:author="Master Repository Process" w:date="2022-03-30T12:17:00Z">
        <w:r>
          <w:tab/>
          <w:delText>(e)</w:delText>
        </w:r>
        <w:r>
          <w:tab/>
          <w:delText>issue provisional improvement notices in accordance with clause 36.</w:delText>
        </w:r>
      </w:del>
    </w:p>
    <w:p>
      <w:pPr>
        <w:pStyle w:val="ySubsection"/>
        <w:spacing w:before="180"/>
        <w:rPr>
          <w:del w:id="1716" w:author="Master Repository Process" w:date="2022-03-30T12:17:00Z"/>
        </w:rPr>
      </w:pPr>
      <w:del w:id="1717" w:author="Master Repository Process" w:date="2022-03-30T12:17:00Z">
        <w:r>
          <w:tab/>
          <w:delText>(2)</w:delText>
        </w:r>
        <w:r>
          <w:tab/>
          <w:delText>Subclause (1)(d)(ii) has effect subject to clause 34.</w:delText>
        </w:r>
      </w:del>
    </w:p>
    <w:p>
      <w:pPr>
        <w:pStyle w:val="yFootnotesection"/>
        <w:rPr>
          <w:del w:id="1718" w:author="Master Repository Process" w:date="2022-03-30T12:17:00Z"/>
        </w:rPr>
      </w:pPr>
      <w:del w:id="1719" w:author="Master Repository Process" w:date="2022-03-30T12:17:00Z">
        <w:r>
          <w:tab/>
          <w:delText>[Clause 32 inserted: No. 13 of 2005 s. 17; amended: No. 35 of 2007 s. 86.]</w:delText>
        </w:r>
      </w:del>
    </w:p>
    <w:p>
      <w:pPr>
        <w:pStyle w:val="yHeading5"/>
        <w:spacing w:before="240"/>
        <w:rPr>
          <w:del w:id="1720" w:author="Master Repository Process" w:date="2022-03-30T12:17:00Z"/>
        </w:rPr>
      </w:pPr>
      <w:bookmarkStart w:id="1721" w:name="_Toc97630711"/>
      <w:del w:id="1722" w:author="Master Repository Process" w:date="2022-03-30T12:17:00Z">
        <w:r>
          <w:rPr>
            <w:rStyle w:val="CharSClsNo"/>
          </w:rPr>
          <w:delText>33</w:delText>
        </w:r>
        <w:r>
          <w:delText>.</w:delText>
        </w:r>
        <w:r>
          <w:rPr>
            <w:b w:val="0"/>
          </w:rPr>
          <w:tab/>
        </w:r>
        <w:r>
          <w:delText>Assistance by consultant</w:delText>
        </w:r>
        <w:bookmarkEnd w:id="1721"/>
      </w:del>
    </w:p>
    <w:p>
      <w:pPr>
        <w:pStyle w:val="ySubsection"/>
        <w:rPr>
          <w:del w:id="1723" w:author="Master Repository Process" w:date="2022-03-30T12:17:00Z"/>
        </w:rPr>
      </w:pPr>
      <w:del w:id="1724" w:author="Master Repository Process" w:date="2022-03-30T12:17:00Z">
        <w:r>
          <w:tab/>
          <w:delText>(1)</w:delText>
        </w:r>
        <w:r>
          <w:tab/>
          <w:delText>A safety and health representative for a designated work group is entitled, in the exercise of his or her powers, to be assisted by a consultant.</w:delText>
        </w:r>
      </w:del>
    </w:p>
    <w:p>
      <w:pPr>
        <w:pStyle w:val="ySubsection"/>
        <w:keepNext/>
        <w:rPr>
          <w:del w:id="1725" w:author="Master Repository Process" w:date="2022-03-30T12:17:00Z"/>
        </w:rPr>
      </w:pPr>
      <w:del w:id="1726" w:author="Master Repository Process" w:date="2022-03-30T12:17:00Z">
        <w:r>
          <w:tab/>
          <w:delText>(2)</w:delText>
        </w:r>
        <w:r>
          <w:tab/>
          <w:delText xml:space="preserve">A safety and health representative for a designated work group may — </w:delText>
        </w:r>
      </w:del>
    </w:p>
    <w:p>
      <w:pPr>
        <w:pStyle w:val="yIndenta"/>
        <w:rPr>
          <w:del w:id="1727" w:author="Master Repository Process" w:date="2022-03-30T12:17:00Z"/>
        </w:rPr>
      </w:pPr>
      <w:del w:id="1728" w:author="Master Repository Process" w:date="2022-03-30T12:17:00Z">
        <w:r>
          <w:tab/>
          <w:delText>(a)</w:delText>
        </w:r>
        <w:r>
          <w:tab/>
          <w:delText>be assisted by a consultant at a workplace at which work is performed; or</w:delText>
        </w:r>
      </w:del>
    </w:p>
    <w:p>
      <w:pPr>
        <w:pStyle w:val="yIndenta"/>
        <w:keepNext/>
        <w:rPr>
          <w:del w:id="1729" w:author="Master Repository Process" w:date="2022-03-30T12:17:00Z"/>
        </w:rPr>
      </w:pPr>
      <w:del w:id="1730" w:author="Master Repository Process" w:date="2022-03-30T12:17:00Z">
        <w:r>
          <w:tab/>
          <w:delText>(b)</w:delText>
        </w:r>
        <w:r>
          <w:tab/>
          <w:delText>provide to a consultant information that has been provided to the safety and health representative by a group member under clause 32(1)(d),</w:delText>
        </w:r>
      </w:del>
    </w:p>
    <w:p>
      <w:pPr>
        <w:pStyle w:val="ySubsection"/>
        <w:rPr>
          <w:del w:id="1731" w:author="Master Repository Process" w:date="2022-03-30T12:17:00Z"/>
        </w:rPr>
      </w:pPr>
      <w:del w:id="1732" w:author="Master Repository Process" w:date="2022-03-30T12:17:00Z">
        <w:r>
          <w:tab/>
        </w:r>
        <w:r>
          <w:tab/>
          <w:delText>only if the operator or the Minister has, in writing, agreed to the provision of that assistance at that workplace or the provision of that information, as the case may be.</w:delText>
        </w:r>
      </w:del>
    </w:p>
    <w:p>
      <w:pPr>
        <w:pStyle w:val="ySubsection"/>
        <w:rPr>
          <w:del w:id="1733" w:author="Master Repository Process" w:date="2022-03-30T12:17:00Z"/>
        </w:rPr>
      </w:pPr>
      <w:del w:id="1734" w:author="Master Repository Process" w:date="2022-03-30T12:17:00Z">
        <w:r>
          <w:tab/>
          <w:delText>(3)</w:delText>
        </w:r>
        <w:r>
          <w:tab/>
          <w:delText>Neither the operator nor any workplace employer becomes, because of the agreement under subclause (2) to the provision of assistance by a consultant, liable for any remuneration or other expenses incurred in connection with the consultant’s activities.</w:delText>
        </w:r>
      </w:del>
    </w:p>
    <w:p>
      <w:pPr>
        <w:pStyle w:val="ySubsection"/>
        <w:rPr>
          <w:del w:id="1735" w:author="Master Repository Process" w:date="2022-03-30T12:17:00Z"/>
        </w:rPr>
      </w:pPr>
      <w:del w:id="1736" w:author="Master Repository Process" w:date="2022-03-30T12:17:00Z">
        <w:r>
          <w:tab/>
          <w:delText>(4)</w:delText>
        </w:r>
        <w:r>
          <w:tab/>
          <w:delText xml:space="preserve">If a safety and health representative for a designated work group is being assisted by a consultant, the consultant is entitled to be present with the representative at any interview, about safety and health at work, between a group member and — </w:delText>
        </w:r>
      </w:del>
    </w:p>
    <w:p>
      <w:pPr>
        <w:pStyle w:val="yIndenta"/>
        <w:rPr>
          <w:del w:id="1737" w:author="Master Repository Process" w:date="2022-03-30T12:17:00Z"/>
        </w:rPr>
      </w:pPr>
      <w:del w:id="1738" w:author="Master Repository Process" w:date="2022-03-30T12:17:00Z">
        <w:r>
          <w:tab/>
          <w:delText>(a)</w:delText>
        </w:r>
        <w:r>
          <w:tab/>
          <w:delText>an inspector; or</w:delText>
        </w:r>
      </w:del>
    </w:p>
    <w:p>
      <w:pPr>
        <w:pStyle w:val="yIndenta"/>
        <w:rPr>
          <w:del w:id="1739" w:author="Master Repository Process" w:date="2022-03-30T12:17:00Z"/>
        </w:rPr>
      </w:pPr>
      <w:del w:id="1740" w:author="Master Repository Process" w:date="2022-03-30T12:17:00Z">
        <w:r>
          <w:tab/>
          <w:delText>(b)</w:delText>
        </w:r>
        <w:r>
          <w:tab/>
          <w:delText>the operator or any work group employer or a person representing the operator or that employer,</w:delText>
        </w:r>
      </w:del>
    </w:p>
    <w:p>
      <w:pPr>
        <w:pStyle w:val="ySubsection"/>
        <w:spacing w:before="180"/>
        <w:rPr>
          <w:del w:id="1741" w:author="Master Repository Process" w:date="2022-03-30T12:17:00Z"/>
        </w:rPr>
      </w:pPr>
      <w:del w:id="1742" w:author="Master Repository Process" w:date="2022-03-30T12:17:00Z">
        <w:r>
          <w:tab/>
        </w:r>
        <w:r>
          <w:tab/>
          <w:delText>if, and only if, the group member consents to the presence of the consultant.</w:delText>
        </w:r>
      </w:del>
    </w:p>
    <w:p>
      <w:pPr>
        <w:pStyle w:val="yFootnotesection"/>
        <w:rPr>
          <w:del w:id="1743" w:author="Master Repository Process" w:date="2022-03-30T12:17:00Z"/>
        </w:rPr>
      </w:pPr>
      <w:del w:id="1744" w:author="Master Repository Process" w:date="2022-03-30T12:17:00Z">
        <w:r>
          <w:tab/>
          <w:delText>[Clause 33 inserted: No. 13 of 2005 s. 17.]</w:delText>
        </w:r>
      </w:del>
    </w:p>
    <w:p>
      <w:pPr>
        <w:pStyle w:val="yHeading5"/>
        <w:spacing w:before="240"/>
        <w:rPr>
          <w:del w:id="1745" w:author="Master Repository Process" w:date="2022-03-30T12:17:00Z"/>
        </w:rPr>
      </w:pPr>
      <w:bookmarkStart w:id="1746" w:name="_Toc97630712"/>
      <w:del w:id="1747" w:author="Master Repository Process" w:date="2022-03-30T12:17:00Z">
        <w:r>
          <w:rPr>
            <w:rStyle w:val="CharSClsNo"/>
          </w:rPr>
          <w:delText>34</w:delText>
        </w:r>
        <w:r>
          <w:delText>.</w:delText>
        </w:r>
        <w:r>
          <w:rPr>
            <w:b w:val="0"/>
          </w:rPr>
          <w:tab/>
        </w:r>
        <w:r>
          <w:rPr>
            <w:bCs/>
          </w:rPr>
          <w:delText>Access to information</w:delText>
        </w:r>
        <w:bookmarkEnd w:id="1746"/>
      </w:del>
    </w:p>
    <w:p>
      <w:pPr>
        <w:pStyle w:val="ySubsection"/>
        <w:spacing w:before="180"/>
        <w:rPr>
          <w:del w:id="1748" w:author="Master Repository Process" w:date="2022-03-30T12:17:00Z"/>
        </w:rPr>
      </w:pPr>
      <w:del w:id="1749" w:author="Master Repository Process" w:date="2022-03-30T12:17:00Z">
        <w:r>
          <w:tab/>
          <w:delText>(1)</w:delText>
        </w:r>
        <w:r>
          <w:tab/>
          <w:delText xml:space="preserve">Neither — </w:delText>
        </w:r>
      </w:del>
    </w:p>
    <w:p>
      <w:pPr>
        <w:pStyle w:val="yIndenta"/>
        <w:rPr>
          <w:del w:id="1750" w:author="Master Repository Process" w:date="2022-03-30T12:17:00Z"/>
        </w:rPr>
      </w:pPr>
      <w:del w:id="1751" w:author="Master Repository Process" w:date="2022-03-30T12:17:00Z">
        <w:r>
          <w:tab/>
          <w:delText>(a)</w:delText>
        </w:r>
        <w:r>
          <w:tab/>
          <w:delText>a safety and health representative; nor</w:delText>
        </w:r>
      </w:del>
    </w:p>
    <w:p>
      <w:pPr>
        <w:pStyle w:val="yIndenta"/>
        <w:rPr>
          <w:del w:id="1752" w:author="Master Repository Process" w:date="2022-03-30T12:17:00Z"/>
        </w:rPr>
      </w:pPr>
      <w:del w:id="1753" w:author="Master Repository Process" w:date="2022-03-30T12:17:00Z">
        <w:r>
          <w:tab/>
          <w:delText>(b)</w:delText>
        </w:r>
        <w:r>
          <w:tab/>
          <w:delText xml:space="preserve">a consultant assisting a safety and health representative, </w:delText>
        </w:r>
      </w:del>
    </w:p>
    <w:p>
      <w:pPr>
        <w:pStyle w:val="ySubsection"/>
        <w:spacing w:before="180"/>
        <w:rPr>
          <w:del w:id="1754" w:author="Master Repository Process" w:date="2022-03-30T12:17:00Z"/>
        </w:rPr>
      </w:pPr>
      <w:del w:id="1755" w:author="Master Repository Process" w:date="2022-03-30T12:17:00Z">
        <w:r>
          <w:tab/>
        </w:r>
        <w:r>
          <w:tab/>
          <w:delText>is entitled, under clause 32(1)(d)(ii), to have access to information in respect of which a group member is entitled to claim, and does claim, legal professional privilege.</w:delText>
        </w:r>
      </w:del>
    </w:p>
    <w:p>
      <w:pPr>
        <w:pStyle w:val="ySubsection"/>
        <w:spacing w:before="180"/>
        <w:rPr>
          <w:del w:id="1756" w:author="Master Repository Process" w:date="2022-03-30T12:17:00Z"/>
        </w:rPr>
      </w:pPr>
      <w:del w:id="1757" w:author="Master Repository Process" w:date="2022-03-30T12:17:00Z">
        <w:r>
          <w:tab/>
          <w:delText>(2)</w:delText>
        </w:r>
        <w:r>
          <w:tab/>
          <w:delText xml:space="preserve">Neither — </w:delText>
        </w:r>
      </w:del>
    </w:p>
    <w:p>
      <w:pPr>
        <w:pStyle w:val="yIndenta"/>
        <w:rPr>
          <w:del w:id="1758" w:author="Master Repository Process" w:date="2022-03-30T12:17:00Z"/>
        </w:rPr>
      </w:pPr>
      <w:del w:id="1759" w:author="Master Repository Process" w:date="2022-03-30T12:17:00Z">
        <w:r>
          <w:tab/>
          <w:delText>(a)</w:delText>
        </w:r>
        <w:r>
          <w:tab/>
          <w:delText>a safety and health representative; nor</w:delText>
        </w:r>
      </w:del>
    </w:p>
    <w:p>
      <w:pPr>
        <w:pStyle w:val="yIndenta"/>
        <w:rPr>
          <w:del w:id="1760" w:author="Master Repository Process" w:date="2022-03-30T12:17:00Z"/>
        </w:rPr>
      </w:pPr>
      <w:del w:id="1761" w:author="Master Repository Process" w:date="2022-03-30T12:17:00Z">
        <w:r>
          <w:tab/>
          <w:delText>(b)</w:delText>
        </w:r>
        <w:r>
          <w:tab/>
          <w:delText>a consultant assisting a safety and health representative,</w:delText>
        </w:r>
      </w:del>
    </w:p>
    <w:p>
      <w:pPr>
        <w:pStyle w:val="ySubsection"/>
        <w:spacing w:before="180"/>
        <w:rPr>
          <w:del w:id="1762" w:author="Master Repository Process" w:date="2022-03-30T12:17:00Z"/>
        </w:rPr>
      </w:pPr>
      <w:del w:id="1763" w:author="Master Repository Process" w:date="2022-03-30T12:17:00Z">
        <w:r>
          <w:tab/>
        </w:r>
        <w:r>
          <w:tab/>
          <w:delText xml:space="preserve">is entitled, under clause 32(1)(d)(ii), to have access to information of a confidential medical nature relating to a person who is or was a group member unless — </w:delText>
        </w:r>
      </w:del>
    </w:p>
    <w:p>
      <w:pPr>
        <w:pStyle w:val="yIndenta"/>
        <w:rPr>
          <w:del w:id="1764" w:author="Master Repository Process" w:date="2022-03-30T12:17:00Z"/>
        </w:rPr>
      </w:pPr>
      <w:del w:id="1765" w:author="Master Repository Process" w:date="2022-03-30T12:17:00Z">
        <w:r>
          <w:tab/>
          <w:delText>(c)</w:delText>
        </w:r>
        <w:r>
          <w:tab/>
          <w:delText>the person has delivered to the operator or any work group employer a written authority permitting the safety and health representative, or the safety and health representative and the consultant, as the case requires, to have access to the information; or</w:delText>
        </w:r>
      </w:del>
    </w:p>
    <w:p>
      <w:pPr>
        <w:pStyle w:val="yIndenta"/>
        <w:keepNext/>
        <w:rPr>
          <w:del w:id="1766" w:author="Master Repository Process" w:date="2022-03-30T12:17:00Z"/>
        </w:rPr>
      </w:pPr>
      <w:del w:id="1767" w:author="Master Repository Process" w:date="2022-03-30T12:17:00Z">
        <w:r>
          <w:tab/>
          <w:delText>(d)</w:delText>
        </w:r>
        <w:r>
          <w:tab/>
          <w:delText>the information is in a form that does not identify the person or enable the identity of the person to be discovered.</w:delText>
        </w:r>
      </w:del>
    </w:p>
    <w:p>
      <w:pPr>
        <w:pStyle w:val="yFootnotesection"/>
        <w:rPr>
          <w:del w:id="1768" w:author="Master Repository Process" w:date="2022-03-30T12:17:00Z"/>
        </w:rPr>
      </w:pPr>
      <w:del w:id="1769" w:author="Master Repository Process" w:date="2022-03-30T12:17:00Z">
        <w:r>
          <w:tab/>
          <w:delText>[Clause 34 inserted: No. 13 of 2005 s. 17.]</w:delText>
        </w:r>
      </w:del>
    </w:p>
    <w:p>
      <w:pPr>
        <w:pStyle w:val="yHeading5"/>
        <w:keepNext w:val="0"/>
        <w:keepLines w:val="0"/>
        <w:pageBreakBefore/>
        <w:spacing w:before="0"/>
        <w:rPr>
          <w:del w:id="1770" w:author="Master Repository Process" w:date="2022-03-30T12:17:00Z"/>
        </w:rPr>
      </w:pPr>
      <w:bookmarkStart w:id="1771" w:name="_Toc97630713"/>
      <w:del w:id="1772" w:author="Master Repository Process" w:date="2022-03-30T12:17:00Z">
        <w:r>
          <w:rPr>
            <w:rStyle w:val="CharSClsNo"/>
          </w:rPr>
          <w:delText>35</w:delText>
        </w:r>
        <w:r>
          <w:delText>.</w:delText>
        </w:r>
        <w:r>
          <w:rPr>
            <w:b w:val="0"/>
          </w:rPr>
          <w:tab/>
        </w:r>
        <w:r>
          <w:delText>Obligations and liabilities of safety and health representatives</w:delText>
        </w:r>
        <w:bookmarkEnd w:id="1771"/>
      </w:del>
    </w:p>
    <w:p>
      <w:pPr>
        <w:pStyle w:val="ySubsection"/>
        <w:rPr>
          <w:del w:id="1773" w:author="Master Repository Process" w:date="2022-03-30T12:17:00Z"/>
        </w:rPr>
      </w:pPr>
      <w:del w:id="1774" w:author="Master Repository Process" w:date="2022-03-30T12:17:00Z">
        <w:r>
          <w:tab/>
        </w:r>
        <w:r>
          <w:tab/>
          <w:delText xml:space="preserve">This Schedule does not — </w:delText>
        </w:r>
      </w:del>
    </w:p>
    <w:p>
      <w:pPr>
        <w:pStyle w:val="yIndenta"/>
        <w:rPr>
          <w:del w:id="1775" w:author="Master Repository Process" w:date="2022-03-30T12:17:00Z"/>
        </w:rPr>
      </w:pPr>
      <w:del w:id="1776" w:author="Master Repository Process" w:date="2022-03-30T12:17:00Z">
        <w:r>
          <w:tab/>
          <w:delText>(a)</w:delText>
        </w:r>
        <w:r>
          <w:tab/>
          <w:delText>impose an obligation on a person to exercise any power conferred on the person because the person is a safety and health representative; or</w:delText>
        </w:r>
      </w:del>
    </w:p>
    <w:p>
      <w:pPr>
        <w:pStyle w:val="yIndenta"/>
        <w:rPr>
          <w:del w:id="1777" w:author="Master Repository Process" w:date="2022-03-30T12:17:00Z"/>
        </w:rPr>
      </w:pPr>
      <w:del w:id="1778" w:author="Master Repository Process" w:date="2022-03-30T12:17:00Z">
        <w:r>
          <w:tab/>
          <w:delText>(b)</w:delText>
        </w:r>
        <w:r>
          <w:tab/>
          <w:delText xml:space="preserve">render a person liable in civil proceedings because of — </w:delText>
        </w:r>
      </w:del>
    </w:p>
    <w:p>
      <w:pPr>
        <w:pStyle w:val="yIndenti0"/>
        <w:rPr>
          <w:del w:id="1779" w:author="Master Repository Process" w:date="2022-03-30T12:17:00Z"/>
        </w:rPr>
      </w:pPr>
      <w:del w:id="1780" w:author="Master Repository Process" w:date="2022-03-30T12:17:00Z">
        <w:r>
          <w:tab/>
          <w:delText>(i)</w:delText>
        </w:r>
        <w:r>
          <w:tab/>
          <w:delText>a failure to exercise such a power; or</w:delText>
        </w:r>
      </w:del>
    </w:p>
    <w:p>
      <w:pPr>
        <w:pStyle w:val="yIndenti0"/>
        <w:rPr>
          <w:del w:id="1781" w:author="Master Repository Process" w:date="2022-03-30T12:17:00Z"/>
        </w:rPr>
      </w:pPr>
      <w:del w:id="1782" w:author="Master Repository Process" w:date="2022-03-30T12:17:00Z">
        <w:r>
          <w:tab/>
          <w:delText>(ii)</w:delText>
        </w:r>
        <w:r>
          <w:tab/>
          <w:delText>the way such a power was exercised.</w:delText>
        </w:r>
      </w:del>
    </w:p>
    <w:p>
      <w:pPr>
        <w:pStyle w:val="yFootnotesection"/>
        <w:rPr>
          <w:del w:id="1783" w:author="Master Repository Process" w:date="2022-03-30T12:17:00Z"/>
        </w:rPr>
      </w:pPr>
      <w:del w:id="1784" w:author="Master Repository Process" w:date="2022-03-30T12:17:00Z">
        <w:r>
          <w:tab/>
          <w:delText>[Clause 35 inserted: No. 13 of 2005 s. 17.]</w:delText>
        </w:r>
      </w:del>
    </w:p>
    <w:p>
      <w:pPr>
        <w:pStyle w:val="yHeading5"/>
        <w:spacing w:before="180"/>
        <w:rPr>
          <w:del w:id="1785" w:author="Master Repository Process" w:date="2022-03-30T12:17:00Z"/>
        </w:rPr>
      </w:pPr>
      <w:bookmarkStart w:id="1786" w:name="_Toc97630714"/>
      <w:del w:id="1787" w:author="Master Repository Process" w:date="2022-03-30T12:17:00Z">
        <w:r>
          <w:rPr>
            <w:rStyle w:val="CharSClsNo"/>
          </w:rPr>
          <w:delText>36</w:delText>
        </w:r>
        <w:r>
          <w:delText>.</w:delText>
        </w:r>
        <w:r>
          <w:rPr>
            <w:b w:val="0"/>
          </w:rPr>
          <w:tab/>
        </w:r>
        <w:r>
          <w:delText>Provisional improvement notices</w:delText>
        </w:r>
        <w:bookmarkEnd w:id="1786"/>
      </w:del>
    </w:p>
    <w:p>
      <w:pPr>
        <w:pStyle w:val="ySubsection"/>
        <w:rPr>
          <w:del w:id="1788" w:author="Master Repository Process" w:date="2022-03-30T12:17:00Z"/>
        </w:rPr>
      </w:pPr>
      <w:del w:id="1789" w:author="Master Repository Process" w:date="2022-03-30T12:17:00Z">
        <w:r>
          <w:tab/>
          <w:delText>(1)</w:delText>
        </w:r>
        <w:r>
          <w:tab/>
          <w:delText xml:space="preserve">If — </w:delText>
        </w:r>
      </w:del>
    </w:p>
    <w:p>
      <w:pPr>
        <w:pStyle w:val="yIndenta"/>
        <w:rPr>
          <w:del w:id="1790" w:author="Master Repository Process" w:date="2022-03-30T12:17:00Z"/>
        </w:rPr>
      </w:pPr>
      <w:del w:id="1791" w:author="Master Repository Process" w:date="2022-03-30T12:17:00Z">
        <w:r>
          <w:tab/>
          <w:delText>(a)</w:delText>
        </w:r>
        <w:r>
          <w:tab/>
          <w:delText xml:space="preserve">a safety and health representative for a designated work group believes, on reasonable grounds, that a person — </w:delText>
        </w:r>
      </w:del>
    </w:p>
    <w:p>
      <w:pPr>
        <w:pStyle w:val="yIndenti0"/>
        <w:rPr>
          <w:del w:id="1792" w:author="Master Repository Process" w:date="2022-03-30T12:17:00Z"/>
        </w:rPr>
      </w:pPr>
      <w:del w:id="1793" w:author="Master Repository Process" w:date="2022-03-30T12:17:00Z">
        <w:r>
          <w:tab/>
          <w:delText>(i)</w:delText>
        </w:r>
        <w:r>
          <w:tab/>
          <w:delText>is contravening a listed OSH law; or</w:delText>
        </w:r>
      </w:del>
    </w:p>
    <w:p>
      <w:pPr>
        <w:pStyle w:val="yIndenti0"/>
        <w:rPr>
          <w:del w:id="1794" w:author="Master Repository Process" w:date="2022-03-30T12:17:00Z"/>
        </w:rPr>
      </w:pPr>
      <w:del w:id="1795" w:author="Master Repository Process" w:date="2022-03-30T12:17:00Z">
        <w:r>
          <w:tab/>
          <w:delText>(ii)</w:delText>
        </w:r>
        <w:r>
          <w:tab/>
          <w:delText>has contravened a provision of a listed OSH law and is likely to contravene that provision again;</w:delText>
        </w:r>
      </w:del>
    </w:p>
    <w:p>
      <w:pPr>
        <w:pStyle w:val="yIndenta"/>
        <w:rPr>
          <w:del w:id="1796" w:author="Master Repository Process" w:date="2022-03-30T12:17:00Z"/>
        </w:rPr>
      </w:pPr>
      <w:del w:id="1797" w:author="Master Repository Process" w:date="2022-03-30T12:17:00Z">
        <w:r>
          <w:tab/>
        </w:r>
        <w:r>
          <w:tab/>
          <w:delText>and</w:delText>
        </w:r>
      </w:del>
    </w:p>
    <w:p>
      <w:pPr>
        <w:pStyle w:val="yIndenta"/>
        <w:rPr>
          <w:del w:id="1798" w:author="Master Repository Process" w:date="2022-03-30T12:17:00Z"/>
        </w:rPr>
      </w:pPr>
      <w:del w:id="1799" w:author="Master Repository Process" w:date="2022-03-30T12:17:00Z">
        <w:r>
          <w:tab/>
          <w:delText>(b)</w:delText>
        </w:r>
        <w:r>
          <w:tab/>
          <w:delText>the contravention affects or may affect one or more group members,</w:delText>
        </w:r>
      </w:del>
    </w:p>
    <w:p>
      <w:pPr>
        <w:pStyle w:val="ySubsection"/>
        <w:rPr>
          <w:del w:id="1800" w:author="Master Repository Process" w:date="2022-03-30T12:17:00Z"/>
        </w:rPr>
      </w:pPr>
      <w:del w:id="1801" w:author="Master Repository Process" w:date="2022-03-30T12:17:00Z">
        <w:r>
          <w:tab/>
        </w:r>
        <w:r>
          <w:tab/>
          <w:delText>the representative must consult with the person supervising the relevant activity in an attempt to reach agreement on rectifying the contravention or preventing the likely contravention.</w:delText>
        </w:r>
      </w:del>
    </w:p>
    <w:p>
      <w:pPr>
        <w:pStyle w:val="ySubsection"/>
        <w:rPr>
          <w:del w:id="1802" w:author="Master Repository Process" w:date="2022-03-30T12:17:00Z"/>
        </w:rPr>
      </w:pPr>
      <w:del w:id="1803" w:author="Master Repository Process" w:date="2022-03-30T12:17:00Z">
        <w:r>
          <w:tab/>
          <w:delText>(2)</w:delText>
        </w:r>
        <w:r>
          <w:tab/>
          <w:delText xml:space="preserve">If, in the safety and health representative’s opinion, agreement is not reached within a reasonable time, the safety and health representative may issue a provisional improvement notice to any or each person (a </w:delText>
        </w:r>
        <w:r>
          <w:rPr>
            <w:rStyle w:val="CharDefText"/>
          </w:rPr>
          <w:delText>responsible person</w:delText>
        </w:r>
        <w:r>
          <w:delText>) responsible for the contravention.</w:delText>
        </w:r>
      </w:del>
    </w:p>
    <w:p>
      <w:pPr>
        <w:pStyle w:val="ySubsection"/>
        <w:rPr>
          <w:del w:id="1804" w:author="Master Repository Process" w:date="2022-03-30T12:17:00Z"/>
        </w:rPr>
      </w:pPr>
      <w:del w:id="1805" w:author="Master Repository Process" w:date="2022-03-30T12:17:00Z">
        <w:r>
          <w:tab/>
          <w:delText>(3)</w:delText>
        </w:r>
        <w:r>
          <w:tab/>
          <w:delText>If a responsible person is the operator, the improvement notice may be issued to the operator by giving it to the operator’s representative.</w:delText>
        </w:r>
      </w:del>
    </w:p>
    <w:p>
      <w:pPr>
        <w:pStyle w:val="ySubsection"/>
        <w:rPr>
          <w:del w:id="1806" w:author="Master Repository Process" w:date="2022-03-30T12:17:00Z"/>
        </w:rPr>
      </w:pPr>
      <w:del w:id="1807" w:author="Master Repository Process" w:date="2022-03-30T12:17:00Z">
        <w:r>
          <w:tab/>
          <w:delText>(4)</w:delText>
        </w:r>
        <w:r>
          <w:tab/>
          <w:delText xml:space="preserve">If it is not practicable to issue the notice to a responsible person (other than the operator or the supervisor) by giving it to that responsible person — </w:delText>
        </w:r>
      </w:del>
    </w:p>
    <w:p>
      <w:pPr>
        <w:pStyle w:val="yIndenta"/>
        <w:rPr>
          <w:del w:id="1808" w:author="Master Repository Process" w:date="2022-03-30T12:17:00Z"/>
        </w:rPr>
      </w:pPr>
      <w:del w:id="1809" w:author="Master Repository Process" w:date="2022-03-30T12:17:00Z">
        <w:r>
          <w:tab/>
          <w:delText>(a)</w:delText>
        </w:r>
        <w:r>
          <w:tab/>
          <w:delText>the notice may be issued to that responsible person by giving it to the person who for the time being is, or may reasonably be presumed to be, on behalf of the responsible person, in charge of the activity to which the notice relates; and</w:delText>
        </w:r>
      </w:del>
    </w:p>
    <w:p>
      <w:pPr>
        <w:pStyle w:val="yIndenta"/>
        <w:rPr>
          <w:del w:id="1810" w:author="Master Repository Process" w:date="2022-03-30T12:17:00Z"/>
        </w:rPr>
      </w:pPr>
      <w:del w:id="1811" w:author="Master Repository Process" w:date="2022-03-30T12:17:00Z">
        <w:r>
          <w:tab/>
          <w:delText>(b)</w:delText>
        </w:r>
        <w:r>
          <w:tab/>
          <w:delText>if the notice is so issued, a copy of the notice must be given to the responsible person as soon as practicable afterwards.</w:delText>
        </w:r>
      </w:del>
    </w:p>
    <w:p>
      <w:pPr>
        <w:pStyle w:val="ySubsection"/>
        <w:keepNext/>
        <w:rPr>
          <w:del w:id="1812" w:author="Master Repository Process" w:date="2022-03-30T12:17:00Z"/>
        </w:rPr>
      </w:pPr>
      <w:del w:id="1813" w:author="Master Repository Process" w:date="2022-03-30T12:17:00Z">
        <w:r>
          <w:tab/>
          <w:delText>(5)</w:delText>
        </w:r>
        <w:r>
          <w:tab/>
          <w:delText xml:space="preserve">The notice must — </w:delText>
        </w:r>
      </w:del>
    </w:p>
    <w:p>
      <w:pPr>
        <w:pStyle w:val="yIndenta"/>
        <w:rPr>
          <w:del w:id="1814" w:author="Master Repository Process" w:date="2022-03-30T12:17:00Z"/>
        </w:rPr>
      </w:pPr>
      <w:del w:id="1815" w:author="Master Repository Process" w:date="2022-03-30T12:17:00Z">
        <w:r>
          <w:tab/>
          <w:delText>(a)</w:delText>
        </w:r>
        <w:r>
          <w:tab/>
          <w:delText>specify the contravention that, in the safety and health representative’s opinion, is occurring or is likely to occur, and set out the reasons for that opinion; and</w:delText>
        </w:r>
      </w:del>
    </w:p>
    <w:p>
      <w:pPr>
        <w:pStyle w:val="yIndenta"/>
        <w:rPr>
          <w:del w:id="1816" w:author="Master Repository Process" w:date="2022-03-30T12:17:00Z"/>
        </w:rPr>
      </w:pPr>
      <w:del w:id="1817" w:author="Master Repository Process" w:date="2022-03-30T12:17:00Z">
        <w:r>
          <w:tab/>
          <w:delText>(b)</w:delText>
        </w:r>
        <w:r>
          <w:tab/>
          <w:delText xml:space="preserve">specify a period that — </w:delText>
        </w:r>
      </w:del>
    </w:p>
    <w:p>
      <w:pPr>
        <w:pStyle w:val="yIndenti0"/>
        <w:rPr>
          <w:del w:id="1818" w:author="Master Repository Process" w:date="2022-03-30T12:17:00Z"/>
        </w:rPr>
      </w:pPr>
      <w:del w:id="1819" w:author="Master Repository Process" w:date="2022-03-30T12:17:00Z">
        <w:r>
          <w:tab/>
          <w:delText>(i)</w:delText>
        </w:r>
        <w:r>
          <w:tab/>
          <w:delText>is not less than 7 days beginning on the day after the notice is issued; and</w:delText>
        </w:r>
      </w:del>
    </w:p>
    <w:p>
      <w:pPr>
        <w:pStyle w:val="yIndenti0"/>
        <w:rPr>
          <w:del w:id="1820" w:author="Master Repository Process" w:date="2022-03-30T12:17:00Z"/>
        </w:rPr>
      </w:pPr>
      <w:del w:id="1821" w:author="Master Repository Process" w:date="2022-03-30T12:17:00Z">
        <w:r>
          <w:tab/>
          <w:delText>(ii)</w:delText>
        </w:r>
        <w:r>
          <w:tab/>
          <w:delText>is, in the representative’s opinion, reasonable,</w:delText>
        </w:r>
      </w:del>
    </w:p>
    <w:p>
      <w:pPr>
        <w:pStyle w:val="ySubsection"/>
        <w:rPr>
          <w:del w:id="1822" w:author="Master Repository Process" w:date="2022-03-30T12:17:00Z"/>
        </w:rPr>
      </w:pPr>
      <w:del w:id="1823" w:author="Master Repository Process" w:date="2022-03-30T12:17:00Z">
        <w:r>
          <w:tab/>
        </w:r>
        <w:r>
          <w:tab/>
          <w:delText>within which the responsible person is to take action necessary to prevent any further contravention or to prevent the likely contravention, as the case may be.</w:delText>
        </w:r>
      </w:del>
    </w:p>
    <w:p>
      <w:pPr>
        <w:pStyle w:val="ySubsection"/>
        <w:rPr>
          <w:del w:id="1824" w:author="Master Repository Process" w:date="2022-03-30T12:17:00Z"/>
        </w:rPr>
      </w:pPr>
      <w:del w:id="1825" w:author="Master Repository Process" w:date="2022-03-30T12:17:00Z">
        <w:r>
          <w:tab/>
          <w:delText>(6)</w:delText>
        </w:r>
        <w:r>
          <w:tab/>
          <w:delText>The notice may specify action that the responsible person is to take during the period specified in the notice.</w:delText>
        </w:r>
      </w:del>
    </w:p>
    <w:p>
      <w:pPr>
        <w:pStyle w:val="ySubsection"/>
        <w:rPr>
          <w:del w:id="1826" w:author="Master Repository Process" w:date="2022-03-30T12:17:00Z"/>
        </w:rPr>
      </w:pPr>
      <w:del w:id="1827" w:author="Master Repository Process" w:date="2022-03-30T12:17:00Z">
        <w:r>
          <w:tab/>
          <w:delText>(7)</w:delText>
        </w:r>
        <w:r>
          <w:tab/>
          <w:delText>If, in the safety and health representative’s opinion, it is appropriate to do so, the representative may, in writing and before the end of the period, extend the period specified in the notice.</w:delText>
        </w:r>
      </w:del>
    </w:p>
    <w:p>
      <w:pPr>
        <w:pStyle w:val="ySubsection"/>
        <w:rPr>
          <w:del w:id="1828" w:author="Master Repository Process" w:date="2022-03-30T12:17:00Z"/>
        </w:rPr>
      </w:pPr>
      <w:del w:id="1829" w:author="Master Repository Process" w:date="2022-03-30T12:17:00Z">
        <w:r>
          <w:tab/>
          <w:delText>(8)</w:delText>
        </w:r>
        <w:r>
          <w:tab/>
          <w:delText xml:space="preserve">On issuing the notice, the safety and health representative must give a copy of the notice to — </w:delText>
        </w:r>
      </w:del>
    </w:p>
    <w:p>
      <w:pPr>
        <w:pStyle w:val="yIndenta"/>
        <w:rPr>
          <w:del w:id="1830" w:author="Master Repository Process" w:date="2022-03-30T12:17:00Z"/>
        </w:rPr>
      </w:pPr>
      <w:del w:id="1831" w:author="Master Repository Process" w:date="2022-03-30T12:17:00Z">
        <w:r>
          <w:tab/>
          <w:delText>(a)</w:delText>
        </w:r>
        <w:r>
          <w:tab/>
          <w:delText>if the operator is not a responsible person — the operator; and</w:delText>
        </w:r>
      </w:del>
    </w:p>
    <w:p>
      <w:pPr>
        <w:pStyle w:val="yIndenta"/>
        <w:rPr>
          <w:del w:id="1832" w:author="Master Repository Process" w:date="2022-03-30T12:17:00Z"/>
        </w:rPr>
      </w:pPr>
      <w:del w:id="1833" w:author="Master Repository Process" w:date="2022-03-30T12:17:00Z">
        <w:r>
          <w:tab/>
          <w:delText>(b)</w:delText>
        </w:r>
        <w:r>
          <w:tab/>
          <w:delText>each work group employer other than a work group employer who is a responsible person; and</w:delText>
        </w:r>
      </w:del>
    </w:p>
    <w:p>
      <w:pPr>
        <w:pStyle w:val="yIndenta"/>
        <w:rPr>
          <w:del w:id="1834" w:author="Master Repository Process" w:date="2022-03-30T12:17:00Z"/>
        </w:rPr>
      </w:pPr>
      <w:del w:id="1835" w:author="Master Repository Process" w:date="2022-03-30T12:17:00Z">
        <w:r>
          <w:tab/>
          <w:delText>(c)</w:delText>
        </w:r>
        <w:r>
          <w:tab/>
          <w:delText>if the supervisor is not a responsible person — the supervisor; and</w:delText>
        </w:r>
      </w:del>
    </w:p>
    <w:p>
      <w:pPr>
        <w:pStyle w:val="yIndenta"/>
        <w:rPr>
          <w:del w:id="1836" w:author="Master Repository Process" w:date="2022-03-30T12:17:00Z"/>
        </w:rPr>
      </w:pPr>
      <w:del w:id="1837" w:author="Master Repository Process" w:date="2022-03-30T12:17:00Z">
        <w:r>
          <w:tab/>
          <w:delText>(d)</w:delText>
        </w:r>
        <w:r>
          <w:tab/>
          <w:delText>if the notice relates to any plant, substance or thing that is owned by a person other than a responsible person or a person to whom a copy of the notice is given under paragraph (a), (b) or (c) — that owner.</w:delText>
        </w:r>
      </w:del>
    </w:p>
    <w:p>
      <w:pPr>
        <w:pStyle w:val="yFootnotesection"/>
        <w:rPr>
          <w:del w:id="1838" w:author="Master Repository Process" w:date="2022-03-30T12:17:00Z"/>
        </w:rPr>
      </w:pPr>
      <w:del w:id="1839" w:author="Master Repository Process" w:date="2022-03-30T12:17:00Z">
        <w:r>
          <w:tab/>
          <w:delText>[Clause 36 inserted: No. 13 of 2005 s. 17.]</w:delText>
        </w:r>
      </w:del>
    </w:p>
    <w:p>
      <w:pPr>
        <w:pStyle w:val="yHeading5"/>
        <w:keepNext w:val="0"/>
        <w:keepLines w:val="0"/>
        <w:pageBreakBefore/>
        <w:spacing w:before="0"/>
        <w:rPr>
          <w:del w:id="1840" w:author="Master Repository Process" w:date="2022-03-30T12:17:00Z"/>
        </w:rPr>
      </w:pPr>
      <w:bookmarkStart w:id="1841" w:name="_Toc97630715"/>
      <w:del w:id="1842" w:author="Master Repository Process" w:date="2022-03-30T12:17:00Z">
        <w:r>
          <w:rPr>
            <w:rStyle w:val="CharSClsNo"/>
          </w:rPr>
          <w:delText>37</w:delText>
        </w:r>
        <w:r>
          <w:delText>.</w:delText>
        </w:r>
        <w:r>
          <w:rPr>
            <w:b w:val="0"/>
          </w:rPr>
          <w:tab/>
        </w:r>
        <w:r>
          <w:delText>Effect of provisional improvement notice</w:delText>
        </w:r>
        <w:bookmarkEnd w:id="1841"/>
      </w:del>
    </w:p>
    <w:p>
      <w:pPr>
        <w:pStyle w:val="ySubsection"/>
        <w:rPr>
          <w:del w:id="1843" w:author="Master Repository Process" w:date="2022-03-30T12:17:00Z"/>
        </w:rPr>
      </w:pPr>
      <w:del w:id="1844" w:author="Master Repository Process" w:date="2022-03-30T12:17:00Z">
        <w:r>
          <w:tab/>
          <w:delText>(1)</w:delText>
        </w:r>
        <w:r>
          <w:tab/>
          <w:delText xml:space="preserve">Within 7 days after a notice is issued under clause 36 — </w:delText>
        </w:r>
      </w:del>
    </w:p>
    <w:p>
      <w:pPr>
        <w:pStyle w:val="yIndenta"/>
        <w:rPr>
          <w:del w:id="1845" w:author="Master Repository Process" w:date="2022-03-30T12:17:00Z"/>
        </w:rPr>
      </w:pPr>
      <w:del w:id="1846" w:author="Master Repository Process" w:date="2022-03-30T12:17:00Z">
        <w:r>
          <w:tab/>
          <w:delText>(a)</w:delText>
        </w:r>
        <w:r>
          <w:tab/>
          <w:delText>the responsible person; or</w:delText>
        </w:r>
      </w:del>
    </w:p>
    <w:p>
      <w:pPr>
        <w:pStyle w:val="yIndenta"/>
        <w:keepNext/>
        <w:rPr>
          <w:del w:id="1847" w:author="Master Repository Process" w:date="2022-03-30T12:17:00Z"/>
        </w:rPr>
      </w:pPr>
      <w:del w:id="1848" w:author="Master Repository Process" w:date="2022-03-30T12:17:00Z">
        <w:r>
          <w:tab/>
          <w:delText>(b)</w:delText>
        </w:r>
        <w:r>
          <w:tab/>
          <w:delText>any other person, to whom a copy of the notice has been given under clause 36(8),</w:delText>
        </w:r>
      </w:del>
    </w:p>
    <w:p>
      <w:pPr>
        <w:pStyle w:val="ySubsection"/>
        <w:rPr>
          <w:del w:id="1849" w:author="Master Repository Process" w:date="2022-03-30T12:17:00Z"/>
        </w:rPr>
      </w:pPr>
      <w:del w:id="1850" w:author="Master Repository Process" w:date="2022-03-30T12:17:00Z">
        <w:r>
          <w:tab/>
        </w:r>
        <w:r>
          <w:tab/>
          <w:delText>may request an inspector for an inspection of the matter to be conducted.</w:delText>
        </w:r>
      </w:del>
    </w:p>
    <w:p>
      <w:pPr>
        <w:pStyle w:val="ySubsection"/>
        <w:rPr>
          <w:del w:id="1851" w:author="Master Repository Process" w:date="2022-03-30T12:17:00Z"/>
        </w:rPr>
      </w:pPr>
      <w:del w:id="1852" w:author="Master Repository Process" w:date="2022-03-30T12:17:00Z">
        <w:r>
          <w:tab/>
          <w:delText>(2)</w:delText>
        </w:r>
        <w:r>
          <w:tab/>
          <w:delText>On the request being made, the operation of the notice is suspended pending the determination of the matter by an inspector.</w:delText>
        </w:r>
      </w:del>
    </w:p>
    <w:p>
      <w:pPr>
        <w:pStyle w:val="ySubsection"/>
        <w:rPr>
          <w:del w:id="1853" w:author="Master Repository Process" w:date="2022-03-30T12:17:00Z"/>
        </w:rPr>
      </w:pPr>
      <w:del w:id="1854" w:author="Master Repository Process" w:date="2022-03-30T12:17:00Z">
        <w:r>
          <w:tab/>
          <w:delText>(3)</w:delText>
        </w:r>
        <w:r>
          <w:tab/>
          <w:delText xml:space="preserve">As soon as possible after a request is made, an inspection must be conducted of the work that is the subject of the disagreement, and the inspector conducting the inspection must — </w:delText>
        </w:r>
      </w:del>
    </w:p>
    <w:p>
      <w:pPr>
        <w:pStyle w:val="yIndenta"/>
        <w:rPr>
          <w:del w:id="1855" w:author="Master Repository Process" w:date="2022-03-30T12:17:00Z"/>
        </w:rPr>
      </w:pPr>
      <w:del w:id="1856" w:author="Master Repository Process" w:date="2022-03-30T12:17:00Z">
        <w:r>
          <w:tab/>
          <w:delText>(a)</w:delText>
        </w:r>
        <w:r>
          <w:tab/>
          <w:delText>confirm, vary or cancel the notice and notify the responsible person and any person to whom a copy of the notice has been given under clause 36(8) accordingly; and</w:delText>
        </w:r>
      </w:del>
    </w:p>
    <w:p>
      <w:pPr>
        <w:pStyle w:val="yIndenta"/>
        <w:rPr>
          <w:del w:id="1857" w:author="Master Repository Process" w:date="2022-03-30T12:17:00Z"/>
        </w:rPr>
      </w:pPr>
      <w:del w:id="1858" w:author="Master Repository Process" w:date="2022-03-30T12:17:00Z">
        <w:r>
          <w:tab/>
          <w:delText>(b)</w:delText>
        </w:r>
        <w:r>
          <w:tab/>
          <w:delText>make decisions, and exercise powers, under Division 4, as the inspector considers necessary in relation to the work.</w:delText>
        </w:r>
      </w:del>
    </w:p>
    <w:p>
      <w:pPr>
        <w:pStyle w:val="ySubsection"/>
        <w:keepNext/>
        <w:keepLines/>
        <w:rPr>
          <w:del w:id="1859" w:author="Master Repository Process" w:date="2022-03-30T12:17:00Z"/>
        </w:rPr>
      </w:pPr>
      <w:del w:id="1860" w:author="Master Repository Process" w:date="2022-03-30T12:17:00Z">
        <w:r>
          <w:tab/>
          <w:delText>(4)</w:delText>
        </w:r>
        <w:r>
          <w:tab/>
          <w:delText xml:space="preserve">If the inspector varies a notice, the notice as so varied has effect — </w:delText>
        </w:r>
      </w:del>
    </w:p>
    <w:p>
      <w:pPr>
        <w:pStyle w:val="yIndenta"/>
        <w:rPr>
          <w:del w:id="1861" w:author="Master Repository Process" w:date="2022-03-30T12:17:00Z"/>
        </w:rPr>
      </w:pPr>
      <w:del w:id="1862" w:author="Master Repository Process" w:date="2022-03-30T12:17:00Z">
        <w:r>
          <w:tab/>
          <w:delText>(a)</w:delText>
        </w:r>
        <w:r>
          <w:tab/>
          <w:delText>so far as the notice concerns obligations imposed on the responsible person that are unaffected by the variation — as if the notice as so varied resumed effect on the day of the variation; and</w:delText>
        </w:r>
      </w:del>
    </w:p>
    <w:p>
      <w:pPr>
        <w:pStyle w:val="yIndenta"/>
        <w:rPr>
          <w:del w:id="1863" w:author="Master Repository Process" w:date="2022-03-30T12:17:00Z"/>
        </w:rPr>
      </w:pPr>
      <w:del w:id="1864" w:author="Master Repository Process" w:date="2022-03-30T12:17:00Z">
        <w:r>
          <w:tab/>
          <w:delText>(b)</w:delText>
        </w:r>
        <w:r>
          <w:tab/>
          <w:delText>so far as the notice concerns new obligations imposed by virtue of the variation — as if the notice as so varied were a new notice issued on the day of the variation.</w:delText>
        </w:r>
      </w:del>
    </w:p>
    <w:p>
      <w:pPr>
        <w:pStyle w:val="ySubsection"/>
        <w:rPr>
          <w:del w:id="1865" w:author="Master Repository Process" w:date="2022-03-30T12:17:00Z"/>
        </w:rPr>
      </w:pPr>
      <w:del w:id="1866" w:author="Master Repository Process" w:date="2022-03-30T12:17:00Z">
        <w:r>
          <w:tab/>
          <w:delText>(5)</w:delText>
        </w:r>
        <w:r>
          <w:tab/>
          <w:delText xml:space="preserve">If the notice is issued to a responsible person, the responsible person must — </w:delText>
        </w:r>
      </w:del>
    </w:p>
    <w:p>
      <w:pPr>
        <w:pStyle w:val="yIndenta"/>
        <w:rPr>
          <w:del w:id="1867" w:author="Master Repository Process" w:date="2022-03-30T12:17:00Z"/>
        </w:rPr>
      </w:pPr>
      <w:del w:id="1868" w:author="Master Repository Process" w:date="2022-03-30T12:17:00Z">
        <w:r>
          <w:tab/>
          <w:delText>(a)</w:delText>
        </w:r>
        <w:r>
          <w:tab/>
          <w:delText>notify each group member who is affected by the notice of the fact of the issue of the notice; and</w:delText>
        </w:r>
      </w:del>
    </w:p>
    <w:p>
      <w:pPr>
        <w:pStyle w:val="yIndenta"/>
        <w:rPr>
          <w:del w:id="1869" w:author="Master Repository Process" w:date="2022-03-30T12:17:00Z"/>
        </w:rPr>
      </w:pPr>
      <w:del w:id="1870" w:author="Master Repository Process" w:date="2022-03-30T12:17:00Z">
        <w:r>
          <w:tab/>
          <w:delText>(b)</w:delText>
        </w:r>
        <w:r>
          <w:tab/>
          <w:delText>until the notice ceases to have effect, cause a copy of the notice to be displayed at or near each workplace at which the work that is the subject of the notice is being performed.</w:delText>
        </w:r>
      </w:del>
    </w:p>
    <w:p>
      <w:pPr>
        <w:pStyle w:val="ySubsection"/>
        <w:keepNext/>
        <w:rPr>
          <w:del w:id="1871" w:author="Master Repository Process" w:date="2022-03-30T12:17:00Z"/>
        </w:rPr>
      </w:pPr>
      <w:del w:id="1872" w:author="Master Repository Process" w:date="2022-03-30T12:17:00Z">
        <w:r>
          <w:tab/>
          <w:delText>(6)</w:delText>
        </w:r>
        <w:r>
          <w:tab/>
          <w:delText xml:space="preserve">The notice ceases to have effect if — </w:delText>
        </w:r>
      </w:del>
    </w:p>
    <w:p>
      <w:pPr>
        <w:pStyle w:val="yIndenta"/>
        <w:rPr>
          <w:del w:id="1873" w:author="Master Repository Process" w:date="2022-03-30T12:17:00Z"/>
        </w:rPr>
      </w:pPr>
      <w:del w:id="1874" w:author="Master Repository Process" w:date="2022-03-30T12:17:00Z">
        <w:r>
          <w:tab/>
          <w:delText>(a)</w:delText>
        </w:r>
        <w:r>
          <w:tab/>
          <w:delText>it is cancelled by an inspector or by the safety and health representative; or</w:delText>
        </w:r>
      </w:del>
    </w:p>
    <w:p>
      <w:pPr>
        <w:pStyle w:val="yIndenta"/>
        <w:rPr>
          <w:del w:id="1875" w:author="Master Repository Process" w:date="2022-03-30T12:17:00Z"/>
        </w:rPr>
      </w:pPr>
      <w:del w:id="1876" w:author="Master Repository Process" w:date="2022-03-30T12:17:00Z">
        <w:r>
          <w:tab/>
          <w:delText>(b)</w:delText>
        </w:r>
        <w:r>
          <w:tab/>
          <w:delText xml:space="preserve">the responsible person — </w:delText>
        </w:r>
      </w:del>
    </w:p>
    <w:p>
      <w:pPr>
        <w:pStyle w:val="yIndenti0"/>
        <w:rPr>
          <w:del w:id="1877" w:author="Master Repository Process" w:date="2022-03-30T12:17:00Z"/>
        </w:rPr>
      </w:pPr>
      <w:del w:id="1878" w:author="Master Repository Process" w:date="2022-03-30T12:17:00Z">
        <w:r>
          <w:tab/>
          <w:delText>(i)</w:delText>
        </w:r>
        <w:r>
          <w:tab/>
          <w:delText>takes the action, if any, specified in the notice; or</w:delText>
        </w:r>
      </w:del>
    </w:p>
    <w:p>
      <w:pPr>
        <w:pStyle w:val="yIndenti0"/>
        <w:rPr>
          <w:del w:id="1879" w:author="Master Repository Process" w:date="2022-03-30T12:17:00Z"/>
        </w:rPr>
      </w:pPr>
      <w:del w:id="1880" w:author="Master Repository Process" w:date="2022-03-30T12:17:00Z">
        <w:r>
          <w:tab/>
          <w:delText>(ii)</w:delText>
        </w:r>
        <w:r>
          <w:tab/>
          <w:delText>if no action is so specified — takes the action necessary to prevent the further contravention, or likely contravention, concerned.</w:delText>
        </w:r>
      </w:del>
    </w:p>
    <w:p>
      <w:pPr>
        <w:pStyle w:val="ySubsection"/>
        <w:keepNext/>
        <w:rPr>
          <w:del w:id="1881" w:author="Master Repository Process" w:date="2022-03-30T12:17:00Z"/>
        </w:rPr>
      </w:pPr>
      <w:del w:id="1882" w:author="Master Repository Process" w:date="2022-03-30T12:17:00Z">
        <w:r>
          <w:tab/>
          <w:delText>(7)</w:delText>
        </w:r>
        <w:r>
          <w:tab/>
          <w:delText xml:space="preserve">The responsible person — </w:delText>
        </w:r>
      </w:del>
    </w:p>
    <w:p>
      <w:pPr>
        <w:pStyle w:val="yIndenta"/>
        <w:rPr>
          <w:del w:id="1883" w:author="Master Repository Process" w:date="2022-03-30T12:17:00Z"/>
        </w:rPr>
      </w:pPr>
      <w:del w:id="1884" w:author="Master Repository Process" w:date="2022-03-30T12:17:00Z">
        <w:r>
          <w:tab/>
          <w:delText>(a)</w:delText>
        </w:r>
        <w:r>
          <w:tab/>
          <w:delText>must ensure that, to the extent that the notice relates to any matter over which the person has control, the notice is complied with; and</w:delText>
        </w:r>
      </w:del>
    </w:p>
    <w:p>
      <w:pPr>
        <w:pStyle w:val="yIndenta"/>
        <w:rPr>
          <w:del w:id="1885" w:author="Master Repository Process" w:date="2022-03-30T12:17:00Z"/>
        </w:rPr>
      </w:pPr>
      <w:del w:id="1886" w:author="Master Repository Process" w:date="2022-03-30T12:17:00Z">
        <w:r>
          <w:tab/>
          <w:delText>(b)</w:delText>
        </w:r>
        <w:r>
          <w:tab/>
          <w:delText>must take reasonable steps to inform the safety and health representative who issued the notice of the action taken to comply with the notice.</w:delText>
        </w:r>
      </w:del>
    </w:p>
    <w:p>
      <w:pPr>
        <w:pStyle w:val="ySubsection"/>
        <w:rPr>
          <w:del w:id="1887" w:author="Master Repository Process" w:date="2022-03-30T12:17:00Z"/>
        </w:rPr>
      </w:pPr>
      <w:del w:id="1888" w:author="Master Repository Process" w:date="2022-03-30T12:17:00Z">
        <w:r>
          <w:tab/>
          <w:delText>(8)</w:delText>
        </w:r>
        <w:r>
          <w:tab/>
          <w:delText>For the purposes of clause 64, if the inspector confirms or varies the notice, the inspector is taken to have decided, under clause 60, to issue an improvement notice in those terms.</w:delText>
        </w:r>
      </w:del>
    </w:p>
    <w:p>
      <w:pPr>
        <w:pStyle w:val="yFootnotesection"/>
        <w:rPr>
          <w:del w:id="1889" w:author="Master Repository Process" w:date="2022-03-30T12:17:00Z"/>
        </w:rPr>
      </w:pPr>
      <w:del w:id="1890" w:author="Master Repository Process" w:date="2022-03-30T12:17:00Z">
        <w:r>
          <w:tab/>
          <w:delText>[Clause 37 inserted: No. 13 of 2005 s. 17.]</w:delText>
        </w:r>
      </w:del>
    </w:p>
    <w:p>
      <w:pPr>
        <w:pStyle w:val="yHeading5"/>
        <w:rPr>
          <w:del w:id="1891" w:author="Master Repository Process" w:date="2022-03-30T12:17:00Z"/>
        </w:rPr>
      </w:pPr>
      <w:bookmarkStart w:id="1892" w:name="_Toc97630716"/>
      <w:del w:id="1893" w:author="Master Repository Process" w:date="2022-03-30T12:17:00Z">
        <w:r>
          <w:rPr>
            <w:rStyle w:val="CharSClsNo"/>
          </w:rPr>
          <w:delText>38</w:delText>
        </w:r>
        <w:r>
          <w:delText>.</w:delText>
        </w:r>
        <w:r>
          <w:rPr>
            <w:b w:val="0"/>
          </w:rPr>
          <w:tab/>
        </w:r>
        <w:r>
          <w:delText>Duties of operator and other employers in relation to safety and health representatives</w:delText>
        </w:r>
        <w:bookmarkEnd w:id="1892"/>
      </w:del>
    </w:p>
    <w:p>
      <w:pPr>
        <w:pStyle w:val="ySubsection"/>
        <w:rPr>
          <w:del w:id="1894" w:author="Master Repository Process" w:date="2022-03-30T12:17:00Z"/>
        </w:rPr>
      </w:pPr>
      <w:del w:id="1895" w:author="Master Repository Process" w:date="2022-03-30T12:17:00Z">
        <w:r>
          <w:tab/>
          <w:delText>(1)</w:delText>
        </w:r>
        <w:r>
          <w:tab/>
          <w:delText xml:space="preserve">The operator of a petroleum operation or geothermal energy operation, in relation to which a designated work group having a safety and health representative has been established, must — </w:delText>
        </w:r>
      </w:del>
    </w:p>
    <w:p>
      <w:pPr>
        <w:pStyle w:val="yIndenta"/>
        <w:rPr>
          <w:del w:id="1896" w:author="Master Repository Process" w:date="2022-03-30T12:17:00Z"/>
        </w:rPr>
      </w:pPr>
      <w:del w:id="1897" w:author="Master Repository Process" w:date="2022-03-30T12:17:00Z">
        <w:r>
          <w:tab/>
          <w:delText>(a)</w:delText>
        </w:r>
        <w:r>
          <w:tab/>
          <w:delText>on being requested to do so by the representative, consult with the representative on the implementation of changes at any workplace at which some or all of the group members perform work, being changes that may affect their safety and health; and</w:delText>
        </w:r>
      </w:del>
    </w:p>
    <w:p>
      <w:pPr>
        <w:pStyle w:val="yIndenta"/>
        <w:rPr>
          <w:del w:id="1898" w:author="Master Repository Process" w:date="2022-03-30T12:17:00Z"/>
        </w:rPr>
      </w:pPr>
      <w:del w:id="1899" w:author="Master Repository Process" w:date="2022-03-30T12:17:00Z">
        <w:r>
          <w:tab/>
          <w:delText>(b)</w:delText>
        </w:r>
        <w:r>
          <w:tab/>
          <w:delText xml:space="preserve">in relation to a workplace at which some or all of the group members perform work — </w:delText>
        </w:r>
      </w:del>
    </w:p>
    <w:p>
      <w:pPr>
        <w:pStyle w:val="yIndenti0"/>
        <w:rPr>
          <w:del w:id="1900" w:author="Master Repository Process" w:date="2022-03-30T12:17:00Z"/>
        </w:rPr>
      </w:pPr>
      <w:del w:id="1901" w:author="Master Repository Process" w:date="2022-03-30T12:17:00Z">
        <w:r>
          <w:tab/>
          <w:delText>(i)</w:delText>
        </w:r>
        <w:r>
          <w:tab/>
          <w:delText>permit the representative to make any inspection of the workplace that the representative is entitled to make in accordance with clause 32(1)(a)(i) and to accompany an inspector during an inspection at the workplace by the inspector; and</w:delText>
        </w:r>
      </w:del>
    </w:p>
    <w:p>
      <w:pPr>
        <w:pStyle w:val="yIndenti0"/>
        <w:rPr>
          <w:del w:id="1902" w:author="Master Repository Process" w:date="2022-03-30T12:17:00Z"/>
        </w:rPr>
      </w:pPr>
      <w:del w:id="1903" w:author="Master Repository Process" w:date="2022-03-30T12:17:00Z">
        <w:r>
          <w:tab/>
          <w:delText>(ii)</w:delText>
        </w:r>
        <w:r>
          <w:tab/>
          <w:delText xml:space="preserve">if there is no safety and health committee in respect of the members of the workforce — on being requested to do so by the representative, consult with the representative about the development, implementation and review of measures to ensure the safety and health of group members; </w:delText>
        </w:r>
      </w:del>
    </w:p>
    <w:p>
      <w:pPr>
        <w:pStyle w:val="yIndenta"/>
        <w:rPr>
          <w:del w:id="1904" w:author="Master Repository Process" w:date="2022-03-30T12:17:00Z"/>
        </w:rPr>
      </w:pPr>
      <w:del w:id="1905" w:author="Master Repository Process" w:date="2022-03-30T12:17:00Z">
        <w:r>
          <w:tab/>
        </w:r>
        <w:r>
          <w:tab/>
          <w:delText>and</w:delText>
        </w:r>
      </w:del>
    </w:p>
    <w:p>
      <w:pPr>
        <w:pStyle w:val="yIndenta"/>
        <w:rPr>
          <w:del w:id="1906" w:author="Master Repository Process" w:date="2022-03-30T12:17:00Z"/>
        </w:rPr>
      </w:pPr>
      <w:del w:id="1907" w:author="Master Repository Process" w:date="2022-03-30T12:17:00Z">
        <w:r>
          <w:tab/>
          <w:delText>(c)</w:delText>
        </w:r>
        <w:r>
          <w:tab/>
          <w:delText>permit the representative to be present at any interview at which the representative is entitled to be present under clause 32(1)(c); and</w:delText>
        </w:r>
      </w:del>
    </w:p>
    <w:p>
      <w:pPr>
        <w:pStyle w:val="yIndenta"/>
        <w:rPr>
          <w:del w:id="1908" w:author="Master Repository Process" w:date="2022-03-30T12:17:00Z"/>
        </w:rPr>
      </w:pPr>
      <w:del w:id="1909" w:author="Master Repository Process" w:date="2022-03-30T12:17:00Z">
        <w:r>
          <w:tab/>
          <w:delText>(d)</w:delText>
        </w:r>
        <w:r>
          <w:tab/>
          <w:delText>provide to the representative access to any information to which the representative is entitled to obtain access under clause 32(1)(d)(i) or (ii) and to which access has been requested; and</w:delText>
        </w:r>
      </w:del>
    </w:p>
    <w:p>
      <w:pPr>
        <w:pStyle w:val="yIndenta"/>
        <w:rPr>
          <w:del w:id="1910" w:author="Master Repository Process" w:date="2022-03-30T12:17:00Z"/>
        </w:rPr>
      </w:pPr>
      <w:del w:id="1911" w:author="Master Repository Process" w:date="2022-03-30T12:17:00Z">
        <w:r>
          <w:tab/>
          <w:delText>(e)</w:delText>
        </w:r>
        <w:r>
          <w:tab/>
          <w:delText>permit the representative to take any time off work, without loss of remuneration or other entitlements, that is necessary to exercise the powers of a safety and health representative; and</w:delText>
        </w:r>
      </w:del>
    </w:p>
    <w:p>
      <w:pPr>
        <w:pStyle w:val="yIndenta"/>
        <w:rPr>
          <w:del w:id="1912" w:author="Master Repository Process" w:date="2022-03-30T12:17:00Z"/>
        </w:rPr>
      </w:pPr>
      <w:del w:id="1913" w:author="Master Repository Process" w:date="2022-03-30T12:17:00Z">
        <w:r>
          <w:tab/>
          <w:delText>(f)</w:delText>
        </w:r>
        <w:r>
          <w:tab/>
          <w:delText xml:space="preserve">provide the representative with access to any amenities that are — </w:delText>
        </w:r>
      </w:del>
    </w:p>
    <w:p>
      <w:pPr>
        <w:pStyle w:val="yIndenti0"/>
        <w:rPr>
          <w:del w:id="1914" w:author="Master Repository Process" w:date="2022-03-30T12:17:00Z"/>
        </w:rPr>
      </w:pPr>
      <w:del w:id="1915" w:author="Master Repository Process" w:date="2022-03-30T12:17:00Z">
        <w:r>
          <w:tab/>
          <w:delText>(i)</w:delText>
        </w:r>
        <w:r>
          <w:tab/>
          <w:delText>prescribed for the purposes of this paragraph; or</w:delText>
        </w:r>
      </w:del>
    </w:p>
    <w:p>
      <w:pPr>
        <w:pStyle w:val="yIndenti0"/>
        <w:rPr>
          <w:del w:id="1916" w:author="Master Repository Process" w:date="2022-03-30T12:17:00Z"/>
        </w:rPr>
      </w:pPr>
      <w:del w:id="1917" w:author="Master Repository Process" w:date="2022-03-30T12:17:00Z">
        <w:r>
          <w:tab/>
          <w:delText>(ii)</w:delText>
        </w:r>
        <w:r>
          <w:tab/>
          <w:delText>necessary for the purposes of exercising the powers of a safety and health representative.</w:delText>
        </w:r>
      </w:del>
    </w:p>
    <w:p>
      <w:pPr>
        <w:pStyle w:val="ySubsection"/>
        <w:rPr>
          <w:del w:id="1918" w:author="Master Repository Process" w:date="2022-03-30T12:17:00Z"/>
        </w:rPr>
      </w:pPr>
      <w:del w:id="1919" w:author="Master Repository Process" w:date="2022-03-30T12:17:00Z">
        <w:r>
          <w:tab/>
          <w:delText>(2)</w:delText>
        </w:r>
        <w:r>
          <w:tab/>
          <w:delText>Subclause (1)(d) has effect subject to subclauses (3) and (4).</w:delText>
        </w:r>
      </w:del>
    </w:p>
    <w:p>
      <w:pPr>
        <w:pStyle w:val="ySubsection"/>
        <w:rPr>
          <w:del w:id="1920" w:author="Master Repository Process" w:date="2022-03-30T12:17:00Z"/>
        </w:rPr>
      </w:pPr>
      <w:del w:id="1921" w:author="Master Repository Process" w:date="2022-03-30T12:17:00Z">
        <w:r>
          <w:tab/>
          <w:delText>(3)</w:delText>
        </w:r>
        <w:r>
          <w:tab/>
          <w:delText xml:space="preserve">The operator must not permit a safety and health representative in relation to a designated work group to have access to information that — </w:delText>
        </w:r>
      </w:del>
    </w:p>
    <w:p>
      <w:pPr>
        <w:pStyle w:val="yIndenta"/>
        <w:rPr>
          <w:del w:id="1922" w:author="Master Repository Process" w:date="2022-03-30T12:17:00Z"/>
        </w:rPr>
      </w:pPr>
      <w:del w:id="1923" w:author="Master Repository Process" w:date="2022-03-30T12:17:00Z">
        <w:r>
          <w:tab/>
          <w:delText>(a)</w:delText>
        </w:r>
        <w:r>
          <w:tab/>
          <w:delText>is of a confidential medical nature under the control of the operator; and</w:delText>
        </w:r>
      </w:del>
    </w:p>
    <w:p>
      <w:pPr>
        <w:pStyle w:val="yIndenta"/>
        <w:rPr>
          <w:del w:id="1924" w:author="Master Repository Process" w:date="2022-03-30T12:17:00Z"/>
        </w:rPr>
      </w:pPr>
      <w:del w:id="1925" w:author="Master Repository Process" w:date="2022-03-30T12:17:00Z">
        <w:r>
          <w:tab/>
          <w:delText>(b)</w:delText>
        </w:r>
        <w:r>
          <w:tab/>
          <w:delText xml:space="preserve">relates to a person who is or was a group member, </w:delText>
        </w:r>
      </w:del>
    </w:p>
    <w:p>
      <w:pPr>
        <w:pStyle w:val="ySubsection"/>
        <w:rPr>
          <w:del w:id="1926" w:author="Master Repository Process" w:date="2022-03-30T12:17:00Z"/>
        </w:rPr>
      </w:pPr>
      <w:del w:id="1927" w:author="Master Repository Process" w:date="2022-03-30T12:17:00Z">
        <w:r>
          <w:tab/>
        </w:r>
        <w:r>
          <w:tab/>
          <w:delText xml:space="preserve">unless — </w:delText>
        </w:r>
      </w:del>
    </w:p>
    <w:p>
      <w:pPr>
        <w:pStyle w:val="yIndenta"/>
        <w:rPr>
          <w:del w:id="1928" w:author="Master Repository Process" w:date="2022-03-30T12:17:00Z"/>
        </w:rPr>
      </w:pPr>
      <w:del w:id="1929" w:author="Master Repository Process" w:date="2022-03-30T12:17:00Z">
        <w:r>
          <w:tab/>
          <w:delText>(c)</w:delText>
        </w:r>
        <w:r>
          <w:tab/>
          <w:delText>the person has delivered to the employer a written authority permitting the representative to have access to the information; or</w:delText>
        </w:r>
      </w:del>
    </w:p>
    <w:p>
      <w:pPr>
        <w:pStyle w:val="yIndenta"/>
        <w:rPr>
          <w:del w:id="1930" w:author="Master Repository Process" w:date="2022-03-30T12:17:00Z"/>
        </w:rPr>
      </w:pPr>
      <w:del w:id="1931" w:author="Master Repository Process" w:date="2022-03-30T12:17:00Z">
        <w:r>
          <w:tab/>
          <w:delText>(d)</w:delText>
        </w:r>
        <w:r>
          <w:tab/>
          <w:delText>the information is in a form that does not identify the person or enable the identity of the person to be discovered.</w:delText>
        </w:r>
      </w:del>
    </w:p>
    <w:p>
      <w:pPr>
        <w:pStyle w:val="ySubsection"/>
        <w:spacing w:before="120"/>
        <w:rPr>
          <w:del w:id="1932" w:author="Master Repository Process" w:date="2022-03-30T12:17:00Z"/>
        </w:rPr>
      </w:pPr>
      <w:del w:id="1933" w:author="Master Repository Process" w:date="2022-03-30T12:17:00Z">
        <w:r>
          <w:tab/>
          <w:delText>(4)</w:delText>
        </w:r>
        <w:r>
          <w:tab/>
          <w:delText>The operator is not required to give a safety and health representative access to any information in respect of which the operator is entitled to claim, and does claim, legal professional privilege.</w:delText>
        </w:r>
      </w:del>
    </w:p>
    <w:p>
      <w:pPr>
        <w:pStyle w:val="ySubsection"/>
        <w:spacing w:before="120"/>
        <w:rPr>
          <w:del w:id="1934" w:author="Master Repository Process" w:date="2022-03-30T12:17:00Z"/>
        </w:rPr>
      </w:pPr>
      <w:del w:id="1935" w:author="Master Repository Process" w:date="2022-03-30T12:17:00Z">
        <w:r>
          <w:tab/>
          <w:delText>(5)</w:delText>
        </w:r>
        <w:r>
          <w:tab/>
          <w:delTex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delText>
        </w:r>
      </w:del>
    </w:p>
    <w:p>
      <w:pPr>
        <w:pStyle w:val="yFootnotesection"/>
        <w:spacing w:before="80"/>
        <w:rPr>
          <w:del w:id="1936" w:author="Master Repository Process" w:date="2022-03-30T12:17:00Z"/>
        </w:rPr>
      </w:pPr>
      <w:del w:id="1937" w:author="Master Repository Process" w:date="2022-03-30T12:17:00Z">
        <w:r>
          <w:tab/>
          <w:delText>[Clause 38 inserted: No. 13 of 2005 s. 17; amended: No. 35 of 2007 s. 86.]</w:delText>
        </w:r>
      </w:del>
    </w:p>
    <w:p>
      <w:pPr>
        <w:pStyle w:val="yHeading4"/>
        <w:spacing w:before="180"/>
        <w:rPr>
          <w:del w:id="1938" w:author="Master Repository Process" w:date="2022-03-30T12:17:00Z"/>
        </w:rPr>
      </w:pPr>
      <w:bookmarkStart w:id="1939" w:name="_Toc97629826"/>
      <w:bookmarkStart w:id="1940" w:name="_Toc97630179"/>
      <w:bookmarkStart w:id="1941" w:name="_Toc97630717"/>
      <w:del w:id="1942" w:author="Master Repository Process" w:date="2022-03-30T12:17:00Z">
        <w:r>
          <w:delText>Subdivision </w:delText>
        </w:r>
        <w:r>
          <w:rPr>
            <w:bCs/>
          </w:rPr>
          <w:delText>4</w:delText>
        </w:r>
        <w:r>
          <w:rPr>
            <w:b w:val="0"/>
          </w:rPr>
          <w:delText> — </w:delText>
        </w:r>
        <w:r>
          <w:rPr>
            <w:bCs/>
          </w:rPr>
          <w:delText>Safety and health</w:delText>
        </w:r>
        <w:r>
          <w:delText xml:space="preserve"> committees</w:delText>
        </w:r>
        <w:bookmarkEnd w:id="1939"/>
        <w:bookmarkEnd w:id="1940"/>
        <w:bookmarkEnd w:id="1941"/>
      </w:del>
    </w:p>
    <w:p>
      <w:pPr>
        <w:pStyle w:val="yFootnoteheading"/>
        <w:spacing w:before="80"/>
        <w:rPr>
          <w:del w:id="1943" w:author="Master Repository Process" w:date="2022-03-30T12:17:00Z"/>
        </w:rPr>
      </w:pPr>
      <w:del w:id="1944" w:author="Master Repository Process" w:date="2022-03-30T12:17:00Z">
        <w:r>
          <w:tab/>
          <w:delText>[Heading inserted: No. 13 of 2005 s. 17.]</w:delText>
        </w:r>
      </w:del>
    </w:p>
    <w:p>
      <w:pPr>
        <w:pStyle w:val="yHeading5"/>
        <w:spacing w:before="180"/>
        <w:rPr>
          <w:del w:id="1945" w:author="Master Repository Process" w:date="2022-03-30T12:17:00Z"/>
        </w:rPr>
      </w:pPr>
      <w:bookmarkStart w:id="1946" w:name="_Toc97630718"/>
      <w:del w:id="1947" w:author="Master Repository Process" w:date="2022-03-30T12:17:00Z">
        <w:r>
          <w:rPr>
            <w:rStyle w:val="CharSClsNo"/>
          </w:rPr>
          <w:delText>39</w:delText>
        </w:r>
        <w:r>
          <w:delText>.</w:delText>
        </w:r>
        <w:r>
          <w:rPr>
            <w:b w:val="0"/>
          </w:rPr>
          <w:tab/>
        </w:r>
        <w:r>
          <w:delText>Safety and health committees</w:delText>
        </w:r>
        <w:bookmarkEnd w:id="1946"/>
      </w:del>
    </w:p>
    <w:p>
      <w:pPr>
        <w:pStyle w:val="ySubsection"/>
        <w:spacing w:before="120"/>
        <w:rPr>
          <w:del w:id="1948" w:author="Master Repository Process" w:date="2022-03-30T12:17:00Z"/>
        </w:rPr>
      </w:pPr>
      <w:del w:id="1949" w:author="Master Repository Process" w:date="2022-03-30T12:17:00Z">
        <w:r>
          <w:tab/>
          <w:delText>(1)</w:delText>
        </w:r>
        <w:r>
          <w:tab/>
          <w:delText xml:space="preserve">A safety and health committee must be established in relation to the members of the workforce engaged in a petroleum operation or geothermal energy operation if — </w:delText>
        </w:r>
      </w:del>
    </w:p>
    <w:p>
      <w:pPr>
        <w:pStyle w:val="yIndenta"/>
        <w:rPr>
          <w:del w:id="1950" w:author="Master Repository Process" w:date="2022-03-30T12:17:00Z"/>
        </w:rPr>
      </w:pPr>
      <w:del w:id="1951" w:author="Master Repository Process" w:date="2022-03-30T12:17:00Z">
        <w:r>
          <w:tab/>
          <w:delText>(a)</w:delText>
        </w:r>
        <w:r>
          <w:tab/>
          <w:delText>the number of those members normally engaged in the petroleum operation or geothermal energy operation is not less than 50 (whether or not those members are all at work in relation to the petroleum operation or geothermal energy operation at the same time); and</w:delText>
        </w:r>
      </w:del>
    </w:p>
    <w:p>
      <w:pPr>
        <w:pStyle w:val="yIndenta"/>
        <w:rPr>
          <w:del w:id="1952" w:author="Master Repository Process" w:date="2022-03-30T12:17:00Z"/>
        </w:rPr>
      </w:pPr>
      <w:del w:id="1953" w:author="Master Repository Process" w:date="2022-03-30T12:17:00Z">
        <w:r>
          <w:tab/>
          <w:delText>(b)</w:delText>
        </w:r>
        <w:r>
          <w:tab/>
          <w:delText>the members of the workforce are included in one or more designated work groups; and</w:delText>
        </w:r>
      </w:del>
    </w:p>
    <w:p>
      <w:pPr>
        <w:pStyle w:val="yIndenta"/>
        <w:rPr>
          <w:del w:id="1954" w:author="Master Repository Process" w:date="2022-03-30T12:17:00Z"/>
        </w:rPr>
      </w:pPr>
      <w:del w:id="1955" w:author="Master Repository Process" w:date="2022-03-30T12:17:00Z">
        <w:r>
          <w:tab/>
          <w:delText>(c)</w:delText>
        </w:r>
        <w:r>
          <w:tab/>
          <w:delText>the operator is requested to establish the committee by the safety and health representative for the designated work group or for one of the designated work groups.</w:delText>
        </w:r>
      </w:del>
    </w:p>
    <w:p>
      <w:pPr>
        <w:pStyle w:val="ySubsection"/>
        <w:rPr>
          <w:del w:id="1956" w:author="Master Repository Process" w:date="2022-03-30T12:17:00Z"/>
        </w:rPr>
      </w:pPr>
      <w:del w:id="1957" w:author="Master Repository Process" w:date="2022-03-30T12:17:00Z">
        <w:r>
          <w:tab/>
          <w:delText>(2)</w:delText>
        </w:r>
        <w:r>
          <w:tab/>
          <w:delText xml:space="preserve">The safety and health committee consists of — </w:delText>
        </w:r>
      </w:del>
    </w:p>
    <w:p>
      <w:pPr>
        <w:pStyle w:val="yIndenta"/>
        <w:rPr>
          <w:del w:id="1958" w:author="Master Repository Process" w:date="2022-03-30T12:17:00Z"/>
        </w:rPr>
      </w:pPr>
      <w:del w:id="1959" w:author="Master Repository Process" w:date="2022-03-30T12:17:00Z">
        <w:r>
          <w:tab/>
          <w:delText>(a)</w:delText>
        </w:r>
        <w:r>
          <w:tab/>
          <w:delText>the number of members specified in an agreement reached between the operator and the members of the workforce; or</w:delText>
        </w:r>
      </w:del>
    </w:p>
    <w:p>
      <w:pPr>
        <w:pStyle w:val="yIndenta"/>
        <w:rPr>
          <w:del w:id="1960" w:author="Master Repository Process" w:date="2022-03-30T12:17:00Z"/>
        </w:rPr>
      </w:pPr>
      <w:del w:id="1961" w:author="Master Repository Process" w:date="2022-03-30T12:17:00Z">
        <w:r>
          <w:tab/>
          <w:delText>(b)</w:delText>
        </w:r>
        <w:r>
          <w:tab/>
          <w:delText xml:space="preserve">if there is no such agreement — an equal number of — </w:delText>
        </w:r>
      </w:del>
    </w:p>
    <w:p>
      <w:pPr>
        <w:pStyle w:val="yIndenti0"/>
        <w:rPr>
          <w:del w:id="1962" w:author="Master Repository Process" w:date="2022-03-30T12:17:00Z"/>
        </w:rPr>
      </w:pPr>
      <w:del w:id="1963" w:author="Master Repository Process" w:date="2022-03-30T12:17:00Z">
        <w:r>
          <w:tab/>
          <w:delText>(i)</w:delText>
        </w:r>
        <w:r>
          <w:tab/>
          <w:delText>members, chosen by the members of the workforce, to represent the interests of members of the workforce; and</w:delText>
        </w:r>
      </w:del>
    </w:p>
    <w:p>
      <w:pPr>
        <w:pStyle w:val="yIndenti0"/>
        <w:rPr>
          <w:del w:id="1964" w:author="Master Repository Process" w:date="2022-03-30T12:17:00Z"/>
        </w:rPr>
      </w:pPr>
      <w:del w:id="1965" w:author="Master Repository Process" w:date="2022-03-30T12:17:00Z">
        <w:r>
          <w:tab/>
          <w:delText>(ii)</w:delText>
        </w:r>
        <w:r>
          <w:tab/>
          <w:delText>members, chosen by the operator, to represent the interests of the operator and the employer (other than the operator) of members of the workforce.</w:delText>
        </w:r>
      </w:del>
    </w:p>
    <w:p>
      <w:pPr>
        <w:pStyle w:val="ySubsection"/>
        <w:keepNext/>
        <w:spacing w:before="120"/>
        <w:rPr>
          <w:del w:id="1966" w:author="Master Repository Process" w:date="2022-03-30T12:17:00Z"/>
        </w:rPr>
      </w:pPr>
      <w:del w:id="1967" w:author="Master Repository Process" w:date="2022-03-30T12:17:00Z">
        <w:r>
          <w:tab/>
          <w:delText>(3)</w:delText>
        </w:r>
        <w:r>
          <w:tab/>
          <w:delText xml:space="preserve">The agreement referred to in subclause (2)(a) may — </w:delText>
        </w:r>
      </w:del>
    </w:p>
    <w:p>
      <w:pPr>
        <w:pStyle w:val="yIndenta"/>
        <w:rPr>
          <w:del w:id="1968" w:author="Master Repository Process" w:date="2022-03-30T12:17:00Z"/>
        </w:rPr>
      </w:pPr>
      <w:del w:id="1969" w:author="Master Repository Process" w:date="2022-03-30T12:17:00Z">
        <w:r>
          <w:tab/>
          <w:delText>(a)</w:delText>
        </w:r>
        <w:r>
          <w:tab/>
          <w:delText>specify the persons who are to be members to represent the interests of the operator and employers (other than the operator) of members of the workforce; and</w:delText>
        </w:r>
      </w:del>
    </w:p>
    <w:p>
      <w:pPr>
        <w:pStyle w:val="yIndenta"/>
        <w:rPr>
          <w:del w:id="1970" w:author="Master Repository Process" w:date="2022-03-30T12:17:00Z"/>
        </w:rPr>
      </w:pPr>
      <w:del w:id="1971" w:author="Master Repository Process" w:date="2022-03-30T12:17:00Z">
        <w:r>
          <w:tab/>
          <w:delText>(b)</w:delText>
        </w:r>
        <w:r>
          <w:tab/>
          <w:delText>provide for the way in which persons who are to be members to represent the interests of members of the workforce are to be chosen.</w:delText>
        </w:r>
      </w:del>
    </w:p>
    <w:p>
      <w:pPr>
        <w:pStyle w:val="ySubsection"/>
        <w:spacing w:before="120"/>
        <w:rPr>
          <w:del w:id="1972" w:author="Master Repository Process" w:date="2022-03-30T12:17:00Z"/>
        </w:rPr>
      </w:pPr>
      <w:del w:id="1973" w:author="Master Repository Process" w:date="2022-03-30T12:17:00Z">
        <w:r>
          <w:tab/>
          <w:delText>(4)</w:delText>
        </w:r>
        <w:r>
          <w:tab/>
          <w:delTex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delText>
        </w:r>
      </w:del>
    </w:p>
    <w:p>
      <w:pPr>
        <w:pStyle w:val="ySubsection"/>
        <w:spacing w:before="120"/>
        <w:rPr>
          <w:del w:id="1974" w:author="Master Repository Process" w:date="2022-03-30T12:17:00Z"/>
        </w:rPr>
      </w:pPr>
      <w:del w:id="1975" w:author="Master Repository Process" w:date="2022-03-30T12:17:00Z">
        <w:r>
          <w:tab/>
          <w:delText>(5)</w:delText>
        </w:r>
        <w:r>
          <w:tab/>
          <w:delText>A safety and health committee must hold a meeting at least once every 3 months.</w:delText>
        </w:r>
      </w:del>
    </w:p>
    <w:p>
      <w:pPr>
        <w:pStyle w:val="ySubsection"/>
        <w:spacing w:before="120"/>
        <w:rPr>
          <w:del w:id="1976" w:author="Master Repository Process" w:date="2022-03-30T12:17:00Z"/>
        </w:rPr>
      </w:pPr>
      <w:del w:id="1977" w:author="Master Repository Process" w:date="2022-03-30T12:17:00Z">
        <w:r>
          <w:tab/>
          <w:delText>(6)</w:delText>
        </w:r>
        <w:r>
          <w:tab/>
          <w:delText>The procedure at meetings of a safety and health committee must, except to the extent provided for by the regulations, be the procedure agreed upon by the committee.</w:delText>
        </w:r>
      </w:del>
    </w:p>
    <w:p>
      <w:pPr>
        <w:pStyle w:val="ySubsection"/>
        <w:spacing w:before="120"/>
        <w:rPr>
          <w:del w:id="1978" w:author="Master Repository Process" w:date="2022-03-30T12:17:00Z"/>
        </w:rPr>
      </w:pPr>
      <w:del w:id="1979" w:author="Master Repository Process" w:date="2022-03-30T12:17:00Z">
        <w:r>
          <w:tab/>
          <w:delText>(7)</w:delText>
        </w:r>
        <w:r>
          <w:tab/>
          <w:delText>A safety and health committee must cause minutes of its meetings to be kept, and must retain those minutes for a period of not less than 3 years.</w:delText>
        </w:r>
      </w:del>
    </w:p>
    <w:p>
      <w:pPr>
        <w:pStyle w:val="ySubsection"/>
        <w:spacing w:before="120"/>
        <w:rPr>
          <w:del w:id="1980" w:author="Master Repository Process" w:date="2022-03-30T12:17:00Z"/>
        </w:rPr>
      </w:pPr>
      <w:del w:id="1981" w:author="Master Repository Process" w:date="2022-03-30T12:17:00Z">
        <w:r>
          <w:tab/>
          <w:delText>(8)</w:delText>
        </w:r>
        <w:r>
          <w:tab/>
          <w:delText>This clause does not prevent an operator from establishing, in consultation with registered unions or any other persons, committees concerned with occupational safety and health in relation to undertakings carried on by the operator.</w:delText>
        </w:r>
      </w:del>
    </w:p>
    <w:p>
      <w:pPr>
        <w:pStyle w:val="yFootnotesection"/>
        <w:rPr>
          <w:del w:id="1982" w:author="Master Repository Process" w:date="2022-03-30T12:17:00Z"/>
        </w:rPr>
      </w:pPr>
      <w:del w:id="1983" w:author="Master Repository Process" w:date="2022-03-30T12:17:00Z">
        <w:r>
          <w:tab/>
          <w:delText>[Clause 39 inserted: No. 13 of 2005 s. 17; amended: No. 35 of 2007 s. 86.]</w:delText>
        </w:r>
      </w:del>
    </w:p>
    <w:p>
      <w:pPr>
        <w:pStyle w:val="yHeading5"/>
        <w:spacing w:before="180"/>
        <w:rPr>
          <w:del w:id="1984" w:author="Master Repository Process" w:date="2022-03-30T12:17:00Z"/>
        </w:rPr>
      </w:pPr>
      <w:bookmarkStart w:id="1985" w:name="_Toc97630719"/>
      <w:del w:id="1986" w:author="Master Repository Process" w:date="2022-03-30T12:17:00Z">
        <w:r>
          <w:rPr>
            <w:rStyle w:val="CharSClsNo"/>
          </w:rPr>
          <w:delText>40</w:delText>
        </w:r>
        <w:r>
          <w:delText>.</w:delText>
        </w:r>
        <w:r>
          <w:rPr>
            <w:b w:val="0"/>
          </w:rPr>
          <w:tab/>
        </w:r>
        <w:r>
          <w:delText>Functions of safety and health committees</w:delText>
        </w:r>
        <w:bookmarkEnd w:id="1985"/>
      </w:del>
    </w:p>
    <w:p>
      <w:pPr>
        <w:pStyle w:val="ySubsection"/>
        <w:rPr>
          <w:del w:id="1987" w:author="Master Repository Process" w:date="2022-03-30T12:17:00Z"/>
        </w:rPr>
      </w:pPr>
      <w:del w:id="1988" w:author="Master Repository Process" w:date="2022-03-30T12:17:00Z">
        <w:r>
          <w:tab/>
          <w:delText>(1)</w:delText>
        </w:r>
        <w:r>
          <w:tab/>
          <w:delText xml:space="preserve">A safety and health committee has the following functions — </w:delText>
        </w:r>
      </w:del>
    </w:p>
    <w:p>
      <w:pPr>
        <w:pStyle w:val="yIndenta"/>
        <w:rPr>
          <w:del w:id="1989" w:author="Master Repository Process" w:date="2022-03-30T12:17:00Z"/>
        </w:rPr>
      </w:pPr>
      <w:del w:id="1990" w:author="Master Repository Process" w:date="2022-03-30T12:17:00Z">
        <w:r>
          <w:tab/>
          <w:delText>(a)</w:delText>
        </w:r>
        <w:r>
          <w:tab/>
          <w:delText xml:space="preserve">to assist the operator of the petroleum operation or geothermal energy operation concerned — </w:delText>
        </w:r>
      </w:del>
    </w:p>
    <w:p>
      <w:pPr>
        <w:pStyle w:val="yIndenti0"/>
        <w:rPr>
          <w:del w:id="1991" w:author="Master Repository Process" w:date="2022-03-30T12:17:00Z"/>
        </w:rPr>
      </w:pPr>
      <w:del w:id="1992" w:author="Master Repository Process" w:date="2022-03-30T12:17:00Z">
        <w:r>
          <w:tab/>
          <w:delText>(i)</w:delText>
        </w:r>
        <w:r>
          <w:tab/>
          <w:delText>to develop and implement measures designed to protect; and</w:delText>
        </w:r>
      </w:del>
    </w:p>
    <w:p>
      <w:pPr>
        <w:pStyle w:val="yIndenti0"/>
        <w:rPr>
          <w:del w:id="1993" w:author="Master Repository Process" w:date="2022-03-30T12:17:00Z"/>
        </w:rPr>
      </w:pPr>
      <w:del w:id="1994" w:author="Master Repository Process" w:date="2022-03-30T12:17:00Z">
        <w:r>
          <w:tab/>
          <w:delText>(ii)</w:delText>
        </w:r>
        <w:r>
          <w:tab/>
          <w:delText>to review and update measures used to protect,</w:delText>
        </w:r>
      </w:del>
    </w:p>
    <w:p>
      <w:pPr>
        <w:pStyle w:val="yIndenta"/>
        <w:rPr>
          <w:del w:id="1995" w:author="Master Repository Process" w:date="2022-03-30T12:17:00Z"/>
        </w:rPr>
      </w:pPr>
      <w:del w:id="1996" w:author="Master Repository Process" w:date="2022-03-30T12:17:00Z">
        <w:r>
          <w:tab/>
        </w:r>
        <w:r>
          <w:tab/>
          <w:delText>the safety and health at work of members of the workforce;</w:delText>
        </w:r>
      </w:del>
    </w:p>
    <w:p>
      <w:pPr>
        <w:pStyle w:val="yIndenta"/>
        <w:rPr>
          <w:del w:id="1997" w:author="Master Repository Process" w:date="2022-03-30T12:17:00Z"/>
        </w:rPr>
      </w:pPr>
      <w:del w:id="1998" w:author="Master Repository Process" w:date="2022-03-30T12:17:00Z">
        <w:r>
          <w:tab/>
          <w:delText>(b)</w:delText>
        </w:r>
        <w:r>
          <w:tab/>
          <w:delText>to facilitate cooperation between the operator of the petroleum operation or geothermal energy operation, employers (other than the operator) of members of the workforce, and members of the workforce, in relation to occupational safety and health matters;</w:delText>
        </w:r>
      </w:del>
    </w:p>
    <w:p>
      <w:pPr>
        <w:pStyle w:val="yIndenta"/>
        <w:rPr>
          <w:del w:id="1999" w:author="Master Repository Process" w:date="2022-03-30T12:17:00Z"/>
        </w:rPr>
      </w:pPr>
      <w:del w:id="2000" w:author="Master Repository Process" w:date="2022-03-30T12:17:00Z">
        <w:r>
          <w:tab/>
          <w:delText>(c)</w:delText>
        </w:r>
        <w:r>
          <w:tab/>
          <w:delText>to assist the operator to disseminate among members of the workforce, in appropriate languages, information relating to safety and health at work;</w:delText>
        </w:r>
      </w:del>
    </w:p>
    <w:p>
      <w:pPr>
        <w:pStyle w:val="yIndenta"/>
        <w:rPr>
          <w:del w:id="2001" w:author="Master Repository Process" w:date="2022-03-30T12:17:00Z"/>
        </w:rPr>
      </w:pPr>
      <w:del w:id="2002" w:author="Master Repository Process" w:date="2022-03-30T12:17:00Z">
        <w:r>
          <w:tab/>
          <w:delText>(d)</w:delText>
        </w:r>
        <w:r>
          <w:tab/>
          <w:delText>any prescribed functions;</w:delText>
        </w:r>
      </w:del>
    </w:p>
    <w:p>
      <w:pPr>
        <w:pStyle w:val="yIndenta"/>
        <w:rPr>
          <w:del w:id="2003" w:author="Master Repository Process" w:date="2022-03-30T12:17:00Z"/>
        </w:rPr>
      </w:pPr>
      <w:del w:id="2004" w:author="Master Repository Process" w:date="2022-03-30T12:17:00Z">
        <w:r>
          <w:tab/>
          <w:delText>(e)</w:delText>
        </w:r>
        <w:r>
          <w:tab/>
          <w:delText>any other functions that are agreed between the operator and the safety and health committee.</w:delText>
        </w:r>
      </w:del>
    </w:p>
    <w:p>
      <w:pPr>
        <w:pStyle w:val="ySubsection"/>
        <w:rPr>
          <w:del w:id="2005" w:author="Master Repository Process" w:date="2022-03-30T12:17:00Z"/>
        </w:rPr>
      </w:pPr>
      <w:del w:id="2006" w:author="Master Repository Process" w:date="2022-03-30T12:17:00Z">
        <w:r>
          <w:tab/>
          <w:delText>(2)</w:delText>
        </w:r>
        <w:r>
          <w:tab/>
          <w:delText>A safety and health committee has power to do all things necessary or convenient to be done for, or in connection with, the performance of its functions.</w:delText>
        </w:r>
      </w:del>
    </w:p>
    <w:p>
      <w:pPr>
        <w:pStyle w:val="ySubsection"/>
        <w:rPr>
          <w:del w:id="2007" w:author="Master Repository Process" w:date="2022-03-30T12:17:00Z"/>
        </w:rPr>
      </w:pPr>
      <w:del w:id="2008" w:author="Master Repository Process" w:date="2022-03-30T12:17:00Z">
        <w:r>
          <w:tab/>
          <w:delText>(3)</w:delText>
        </w:r>
        <w:r>
          <w:tab/>
          <w:delText xml:space="preserve">This Schedule does not — </w:delText>
        </w:r>
      </w:del>
    </w:p>
    <w:p>
      <w:pPr>
        <w:pStyle w:val="yIndenta"/>
        <w:rPr>
          <w:del w:id="2009" w:author="Master Repository Process" w:date="2022-03-30T12:17:00Z"/>
        </w:rPr>
      </w:pPr>
      <w:del w:id="2010" w:author="Master Repository Process" w:date="2022-03-30T12:17:00Z">
        <w:r>
          <w:tab/>
          <w:delText>(a)</w:delText>
        </w:r>
        <w:r>
          <w:tab/>
          <w:delText>impose an obligation on a person to do any act, because the person is a member of a safety and health committee, in connection with the performance of a function conferred on the committee; or</w:delText>
        </w:r>
      </w:del>
    </w:p>
    <w:p>
      <w:pPr>
        <w:pStyle w:val="yIndenta"/>
        <w:rPr>
          <w:del w:id="2011" w:author="Master Repository Process" w:date="2022-03-30T12:17:00Z"/>
        </w:rPr>
      </w:pPr>
      <w:del w:id="2012" w:author="Master Repository Process" w:date="2022-03-30T12:17:00Z">
        <w:r>
          <w:tab/>
          <w:delText>(b)</w:delText>
        </w:r>
        <w:r>
          <w:tab/>
          <w:delText xml:space="preserve">render such a person liable in civil proceedings because of — </w:delText>
        </w:r>
      </w:del>
    </w:p>
    <w:p>
      <w:pPr>
        <w:pStyle w:val="yIndenti0"/>
        <w:rPr>
          <w:del w:id="2013" w:author="Master Repository Process" w:date="2022-03-30T12:17:00Z"/>
        </w:rPr>
      </w:pPr>
      <w:del w:id="2014" w:author="Master Repository Process" w:date="2022-03-30T12:17:00Z">
        <w:r>
          <w:tab/>
          <w:delText>(i)</w:delText>
        </w:r>
        <w:r>
          <w:tab/>
          <w:delText>a failure to do such an act; or</w:delText>
        </w:r>
      </w:del>
    </w:p>
    <w:p>
      <w:pPr>
        <w:pStyle w:val="yIndenti0"/>
        <w:rPr>
          <w:del w:id="2015" w:author="Master Repository Process" w:date="2022-03-30T12:17:00Z"/>
        </w:rPr>
      </w:pPr>
      <w:del w:id="2016" w:author="Master Repository Process" w:date="2022-03-30T12:17:00Z">
        <w:r>
          <w:tab/>
          <w:delText>(ii)</w:delText>
        </w:r>
        <w:r>
          <w:tab/>
          <w:delText>the manner in which such an act was done.</w:delText>
        </w:r>
      </w:del>
    </w:p>
    <w:p>
      <w:pPr>
        <w:pStyle w:val="yFootnotesection"/>
        <w:rPr>
          <w:del w:id="2017" w:author="Master Repository Process" w:date="2022-03-30T12:17:00Z"/>
        </w:rPr>
      </w:pPr>
      <w:del w:id="2018" w:author="Master Repository Process" w:date="2022-03-30T12:17:00Z">
        <w:r>
          <w:tab/>
          <w:delText>[Clause 40 inserted: No. 13 of 2005 s. 17; amended: No. 35 of 2007 s. 86.]</w:delText>
        </w:r>
      </w:del>
    </w:p>
    <w:p>
      <w:pPr>
        <w:pStyle w:val="yHeading5"/>
        <w:spacing w:before="180"/>
        <w:rPr>
          <w:del w:id="2019" w:author="Master Repository Process" w:date="2022-03-30T12:17:00Z"/>
        </w:rPr>
      </w:pPr>
      <w:bookmarkStart w:id="2020" w:name="_Toc97630720"/>
      <w:del w:id="2021" w:author="Master Repository Process" w:date="2022-03-30T12:17:00Z">
        <w:r>
          <w:rPr>
            <w:rStyle w:val="CharSClsNo"/>
          </w:rPr>
          <w:delText>41</w:delText>
        </w:r>
        <w:r>
          <w:delText>.</w:delText>
        </w:r>
        <w:r>
          <w:rPr>
            <w:b w:val="0"/>
          </w:rPr>
          <w:tab/>
        </w:r>
        <w:r>
          <w:delText>Duties of operator and other employers in relation to safety and health committees</w:delText>
        </w:r>
        <w:bookmarkEnd w:id="2020"/>
      </w:del>
    </w:p>
    <w:p>
      <w:pPr>
        <w:pStyle w:val="ySubsection"/>
        <w:rPr>
          <w:del w:id="2022" w:author="Master Repository Process" w:date="2022-03-30T12:17:00Z"/>
        </w:rPr>
      </w:pPr>
      <w:del w:id="2023" w:author="Master Repository Process" w:date="2022-03-30T12:17:00Z">
        <w:r>
          <w:tab/>
          <w:delText>(1)</w:delText>
        </w:r>
        <w:r>
          <w:tab/>
          <w:delText xml:space="preserve">If there is a safety and health committee, the operator and any employer (other than the operator) of a member of the workforce must — </w:delText>
        </w:r>
      </w:del>
    </w:p>
    <w:p>
      <w:pPr>
        <w:pStyle w:val="yIndenta"/>
        <w:rPr>
          <w:del w:id="2024" w:author="Master Repository Process" w:date="2022-03-30T12:17:00Z"/>
        </w:rPr>
      </w:pPr>
      <w:del w:id="2025" w:author="Master Repository Process" w:date="2022-03-30T12:17:00Z">
        <w:r>
          <w:tab/>
          <w:delText>(a)</w:delText>
        </w:r>
        <w:r>
          <w:tab/>
          <w:delText>make available to the committee any information possessed by the operator or that employer relating to risks to safety and health to members of the workforce; and</w:delText>
        </w:r>
      </w:del>
    </w:p>
    <w:p>
      <w:pPr>
        <w:pStyle w:val="yIndenta"/>
        <w:rPr>
          <w:del w:id="2026" w:author="Master Repository Process" w:date="2022-03-30T12:17:00Z"/>
        </w:rPr>
      </w:pPr>
      <w:del w:id="2027" w:author="Master Repository Process" w:date="2022-03-30T12:17:00Z">
        <w:r>
          <w:tab/>
          <w:delText>(b)</w:delText>
        </w:r>
        <w:r>
          <w:tab/>
          <w:delText>permit any member of the committee who is a member of the workforce to take time off work, without loss of remuneration or other entitlements, as is necessary for the member adequately to participate in the performance by the committee of its functions.</w:delText>
        </w:r>
      </w:del>
    </w:p>
    <w:p>
      <w:pPr>
        <w:pStyle w:val="ySubsection"/>
        <w:rPr>
          <w:del w:id="2028" w:author="Master Repository Process" w:date="2022-03-30T12:17:00Z"/>
        </w:rPr>
      </w:pPr>
      <w:del w:id="2029" w:author="Master Repository Process" w:date="2022-03-30T12:17:00Z">
        <w:r>
          <w:tab/>
          <w:delText>(2)</w:delText>
        </w:r>
        <w:r>
          <w:tab/>
          <w:delText>Subclause (1)(a) has effect subject to subclauses (3) and (4).</w:delText>
        </w:r>
      </w:del>
    </w:p>
    <w:p>
      <w:pPr>
        <w:pStyle w:val="ySubsection"/>
        <w:rPr>
          <w:del w:id="2030" w:author="Master Repository Process" w:date="2022-03-30T12:17:00Z"/>
        </w:rPr>
      </w:pPr>
      <w:del w:id="2031" w:author="Master Repository Process" w:date="2022-03-30T12:17:00Z">
        <w:r>
          <w:tab/>
          <w:delText>(3)</w:delText>
        </w:r>
        <w:r>
          <w:tab/>
          <w:delText xml:space="preserve">The operator or any employer (other than the operator) of a member of the workforce must not make available to a safety and health committee information of a confidential nature relating to a person who is or was a member of the workforce, unless — </w:delText>
        </w:r>
      </w:del>
    </w:p>
    <w:p>
      <w:pPr>
        <w:pStyle w:val="yIndenta"/>
        <w:rPr>
          <w:del w:id="2032" w:author="Master Repository Process" w:date="2022-03-30T12:17:00Z"/>
        </w:rPr>
      </w:pPr>
      <w:del w:id="2033" w:author="Master Repository Process" w:date="2022-03-30T12:17:00Z">
        <w:r>
          <w:tab/>
          <w:delText>(a)</w:delText>
        </w:r>
        <w:r>
          <w:tab/>
          <w:delText>the person has authorised the information to be made available to the committee; or</w:delText>
        </w:r>
      </w:del>
    </w:p>
    <w:p>
      <w:pPr>
        <w:pStyle w:val="yIndenta"/>
        <w:rPr>
          <w:del w:id="2034" w:author="Master Repository Process" w:date="2022-03-30T12:17:00Z"/>
        </w:rPr>
      </w:pPr>
      <w:del w:id="2035" w:author="Master Repository Process" w:date="2022-03-30T12:17:00Z">
        <w:r>
          <w:tab/>
          <w:delText>(b)</w:delText>
        </w:r>
        <w:r>
          <w:tab/>
          <w:delText>the information is in a form that does not identify the person or enable the identity of the person to be discovered.</w:delText>
        </w:r>
      </w:del>
    </w:p>
    <w:p>
      <w:pPr>
        <w:pStyle w:val="ySubsection"/>
        <w:rPr>
          <w:del w:id="2036" w:author="Master Repository Process" w:date="2022-03-30T12:17:00Z"/>
        </w:rPr>
      </w:pPr>
      <w:del w:id="2037" w:author="Master Repository Process" w:date="2022-03-30T12:17:00Z">
        <w:r>
          <w:tab/>
          <w:delText>(4)</w:delText>
        </w:r>
        <w:r>
          <w:tab/>
          <w:delText>The operator or any employer (other than the operator) of a member of the workforce is not required to make available to a safety and health committee any information in respect of which the operator or employer is entitled to claim, and does claim, legal professional privilege.</w:delText>
        </w:r>
      </w:del>
    </w:p>
    <w:p>
      <w:pPr>
        <w:pStyle w:val="yFootnotesection"/>
        <w:spacing w:before="80"/>
        <w:rPr>
          <w:del w:id="2038" w:author="Master Repository Process" w:date="2022-03-30T12:17:00Z"/>
        </w:rPr>
      </w:pPr>
      <w:del w:id="2039" w:author="Master Repository Process" w:date="2022-03-30T12:17:00Z">
        <w:r>
          <w:tab/>
          <w:delText>[Clause 41 inserted: No. 13 of 2005 s. 17.]</w:delText>
        </w:r>
      </w:del>
    </w:p>
    <w:p>
      <w:pPr>
        <w:pStyle w:val="yHeading4"/>
        <w:spacing w:before="180"/>
        <w:rPr>
          <w:del w:id="2040" w:author="Master Repository Process" w:date="2022-03-30T12:17:00Z"/>
        </w:rPr>
      </w:pPr>
      <w:bookmarkStart w:id="2041" w:name="_Toc97629830"/>
      <w:bookmarkStart w:id="2042" w:name="_Toc97630183"/>
      <w:bookmarkStart w:id="2043" w:name="_Toc97630721"/>
      <w:del w:id="2044" w:author="Master Repository Process" w:date="2022-03-30T12:17:00Z">
        <w:r>
          <w:delText>Subdivision </w:delText>
        </w:r>
        <w:r>
          <w:rPr>
            <w:bCs/>
          </w:rPr>
          <w:delText>5</w:delText>
        </w:r>
        <w:r>
          <w:rPr>
            <w:b w:val="0"/>
          </w:rPr>
          <w:delText> — </w:delText>
        </w:r>
        <w:r>
          <w:rPr>
            <w:bCs/>
          </w:rPr>
          <w:delText>Emergency</w:delText>
        </w:r>
        <w:r>
          <w:delText xml:space="preserve"> procedures</w:delText>
        </w:r>
        <w:bookmarkEnd w:id="2041"/>
        <w:bookmarkEnd w:id="2042"/>
        <w:bookmarkEnd w:id="2043"/>
      </w:del>
    </w:p>
    <w:p>
      <w:pPr>
        <w:pStyle w:val="yFootnoteheading"/>
        <w:spacing w:before="80"/>
        <w:rPr>
          <w:del w:id="2045" w:author="Master Repository Process" w:date="2022-03-30T12:17:00Z"/>
        </w:rPr>
      </w:pPr>
      <w:del w:id="2046" w:author="Master Repository Process" w:date="2022-03-30T12:17:00Z">
        <w:r>
          <w:tab/>
          <w:delText>[Heading inserted: No. 13 of 2005 s. 17.]</w:delText>
        </w:r>
      </w:del>
    </w:p>
    <w:p>
      <w:pPr>
        <w:pStyle w:val="yHeading5"/>
        <w:spacing w:before="180"/>
        <w:rPr>
          <w:del w:id="2047" w:author="Master Repository Process" w:date="2022-03-30T12:17:00Z"/>
        </w:rPr>
      </w:pPr>
      <w:bookmarkStart w:id="2048" w:name="_Toc97630722"/>
      <w:del w:id="2049" w:author="Master Repository Process" w:date="2022-03-30T12:17:00Z">
        <w:r>
          <w:rPr>
            <w:rStyle w:val="CharSClsNo"/>
          </w:rPr>
          <w:delText>42</w:delText>
        </w:r>
        <w:r>
          <w:delText>.</w:delText>
        </w:r>
        <w:r>
          <w:rPr>
            <w:b w:val="0"/>
          </w:rPr>
          <w:tab/>
        </w:r>
        <w:r>
          <w:delText>Action by safety and health representatives</w:delText>
        </w:r>
        <w:bookmarkEnd w:id="2048"/>
      </w:del>
    </w:p>
    <w:p>
      <w:pPr>
        <w:pStyle w:val="ySubsection"/>
        <w:spacing w:before="120"/>
        <w:rPr>
          <w:del w:id="2050" w:author="Master Repository Process" w:date="2022-03-30T12:17:00Z"/>
        </w:rPr>
      </w:pPr>
      <w:del w:id="2051" w:author="Master Repository Process" w:date="2022-03-30T12:17:00Z">
        <w:r>
          <w:tab/>
          <w:delText>(1)</w:delText>
        </w:r>
        <w:r>
          <w:tab/>
          <w:delText xml:space="preserve">If a safety and health representative for a designated work group has reasonable cause to believe that there is an imminent and serious danger to the safety or health of any person engaged in the petroleum operation or geothermal energy operation or any other protected person unless a group member or group members cease to perform particular work, the representative must — </w:delText>
        </w:r>
      </w:del>
    </w:p>
    <w:p>
      <w:pPr>
        <w:pStyle w:val="yIndenta"/>
        <w:rPr>
          <w:del w:id="2052" w:author="Master Repository Process" w:date="2022-03-30T12:17:00Z"/>
        </w:rPr>
      </w:pPr>
      <w:del w:id="2053" w:author="Master Repository Process" w:date="2022-03-30T12:17:00Z">
        <w:r>
          <w:tab/>
          <w:delText>(a)</w:delText>
        </w:r>
        <w:r>
          <w:tab/>
          <w:delText xml:space="preserve">inform a person (a </w:delText>
        </w:r>
        <w:r>
          <w:rPr>
            <w:rStyle w:val="CharDefText"/>
          </w:rPr>
          <w:delText>supervisor</w:delText>
        </w:r>
        <w:r>
          <w:delText>) supervising the group member or group members in the performance of the work of the danger; or</w:delText>
        </w:r>
      </w:del>
    </w:p>
    <w:p>
      <w:pPr>
        <w:pStyle w:val="yIndenta"/>
        <w:rPr>
          <w:del w:id="2054" w:author="Master Repository Process" w:date="2022-03-30T12:17:00Z"/>
        </w:rPr>
      </w:pPr>
      <w:del w:id="2055" w:author="Master Repository Process" w:date="2022-03-30T12:17:00Z">
        <w:r>
          <w:tab/>
          <w:delText>(b)</w:delText>
        </w:r>
        <w:r>
          <w:tab/>
          <w:delText xml:space="preserve">if no supervisor can be contacted immediately — </w:delText>
        </w:r>
      </w:del>
    </w:p>
    <w:p>
      <w:pPr>
        <w:pStyle w:val="yIndenti0"/>
        <w:rPr>
          <w:del w:id="2056" w:author="Master Repository Process" w:date="2022-03-30T12:17:00Z"/>
        </w:rPr>
      </w:pPr>
      <w:del w:id="2057" w:author="Master Repository Process" w:date="2022-03-30T12:17:00Z">
        <w:r>
          <w:tab/>
          <w:delText>(i)</w:delText>
        </w:r>
        <w:r>
          <w:tab/>
          <w:delText>direct the group member or group members to cease, in a safe manner, to perform the work; and</w:delText>
        </w:r>
      </w:del>
    </w:p>
    <w:p>
      <w:pPr>
        <w:pStyle w:val="yIndenti0"/>
        <w:rPr>
          <w:del w:id="2058" w:author="Master Repository Process" w:date="2022-03-30T12:17:00Z"/>
        </w:rPr>
      </w:pPr>
      <w:del w:id="2059" w:author="Master Repository Process" w:date="2022-03-30T12:17:00Z">
        <w:r>
          <w:tab/>
          <w:delText>(ii)</w:delText>
        </w:r>
        <w:r>
          <w:tab/>
          <w:delText>as soon as practicable, inform a supervisor that the direction has been given.</w:delText>
        </w:r>
      </w:del>
    </w:p>
    <w:p>
      <w:pPr>
        <w:pStyle w:val="ySubsection"/>
        <w:rPr>
          <w:del w:id="2060" w:author="Master Repository Process" w:date="2022-03-30T12:17:00Z"/>
        </w:rPr>
      </w:pPr>
      <w:del w:id="2061" w:author="Master Repository Process" w:date="2022-03-30T12:17:00Z">
        <w:r>
          <w:tab/>
          <w:delText>(2)</w:delText>
        </w:r>
        <w:r>
          <w:tab/>
          <w:delText>If a supervisor is informed under subclause (1)(a) of a danger to the safety or health of a person engaged in the petroleum operation or geothermal energy operation or any other protected person, the supervisor must take the action he or she thinks appropriate to remove that danger, which may include directing a group member or group members to cease, in a safe manner, to perform the work.</w:delText>
        </w:r>
      </w:del>
    </w:p>
    <w:p>
      <w:pPr>
        <w:pStyle w:val="ySubsection"/>
        <w:rPr>
          <w:del w:id="2062" w:author="Master Repository Process" w:date="2022-03-30T12:17:00Z"/>
        </w:rPr>
      </w:pPr>
      <w:del w:id="2063" w:author="Master Repository Process" w:date="2022-03-30T12:17:00Z">
        <w:r>
          <w:tab/>
          <w:delText>(3)</w:delText>
        </w:r>
        <w:r>
          <w:tab/>
          <w:delText xml:space="preserve">If — </w:delText>
        </w:r>
      </w:del>
    </w:p>
    <w:p>
      <w:pPr>
        <w:pStyle w:val="yIndenta"/>
        <w:rPr>
          <w:del w:id="2064" w:author="Master Repository Process" w:date="2022-03-30T12:17:00Z"/>
        </w:rPr>
      </w:pPr>
      <w:del w:id="2065" w:author="Master Repository Process" w:date="2022-03-30T12:17:00Z">
        <w:r>
          <w:tab/>
          <w:delText>(a)</w:delText>
        </w:r>
        <w:r>
          <w:tab/>
          <w:delText>a safety and health representative has informed a supervisor under subclause (1)(a) of a danger; and</w:delText>
        </w:r>
      </w:del>
    </w:p>
    <w:p>
      <w:pPr>
        <w:pStyle w:val="yIndenta"/>
        <w:rPr>
          <w:del w:id="2066" w:author="Master Repository Process" w:date="2022-03-30T12:17:00Z"/>
        </w:rPr>
      </w:pPr>
      <w:del w:id="2067" w:author="Master Repository Process" w:date="2022-03-30T12:17:00Z">
        <w:r>
          <w:tab/>
          <w:delText>(b)</w:delText>
        </w:r>
        <w:r>
          <w:tab/>
          <w:delText>the representative has reasonable cause to believe that, despite any action taken by the supervisor in accordance with subclause (2), there continues to be an imminent and serious danger to the safety or health of a person engaged in the petroleum operation or geothermal energy operation or any other protected person unless the group member or group members cease to perform particular work,</w:delText>
        </w:r>
      </w:del>
    </w:p>
    <w:p>
      <w:pPr>
        <w:pStyle w:val="ySubsection"/>
        <w:rPr>
          <w:del w:id="2068" w:author="Master Repository Process" w:date="2022-03-30T12:17:00Z"/>
        </w:rPr>
      </w:pPr>
      <w:del w:id="2069" w:author="Master Repository Process" w:date="2022-03-30T12:17:00Z">
        <w:r>
          <w:tab/>
        </w:r>
        <w:r>
          <w:tab/>
          <w:delText xml:space="preserve">the representative must — </w:delText>
        </w:r>
      </w:del>
    </w:p>
    <w:p>
      <w:pPr>
        <w:pStyle w:val="yIndenta"/>
        <w:spacing w:before="60"/>
        <w:rPr>
          <w:del w:id="2070" w:author="Master Repository Process" w:date="2022-03-30T12:17:00Z"/>
        </w:rPr>
      </w:pPr>
      <w:del w:id="2071" w:author="Master Repository Process" w:date="2022-03-30T12:17:00Z">
        <w:r>
          <w:tab/>
          <w:delText>(c)</w:delText>
        </w:r>
        <w:r>
          <w:tab/>
          <w:delText>direct the group member or group members to cease, in a safe manner, to perform the work; and</w:delText>
        </w:r>
      </w:del>
    </w:p>
    <w:p>
      <w:pPr>
        <w:pStyle w:val="yIndenta"/>
        <w:rPr>
          <w:del w:id="2072" w:author="Master Repository Process" w:date="2022-03-30T12:17:00Z"/>
        </w:rPr>
      </w:pPr>
      <w:del w:id="2073" w:author="Master Repository Process" w:date="2022-03-30T12:17:00Z">
        <w:r>
          <w:tab/>
          <w:delText>(d)</w:delText>
        </w:r>
        <w:r>
          <w:tab/>
          <w:delText>as soon as practicable, inform the supervisor that the direction has been given.</w:delText>
        </w:r>
      </w:del>
    </w:p>
    <w:p>
      <w:pPr>
        <w:pStyle w:val="ySubsection"/>
        <w:rPr>
          <w:del w:id="2074" w:author="Master Repository Process" w:date="2022-03-30T12:17:00Z"/>
        </w:rPr>
      </w:pPr>
      <w:del w:id="2075" w:author="Master Repository Process" w:date="2022-03-30T12:17:00Z">
        <w:r>
          <w:tab/>
          <w:delText>(4)</w:delText>
        </w:r>
        <w:r>
          <w:tab/>
          <w:delText xml:space="preserve">If — </w:delText>
        </w:r>
      </w:del>
    </w:p>
    <w:p>
      <w:pPr>
        <w:pStyle w:val="yIndenta"/>
        <w:rPr>
          <w:del w:id="2076" w:author="Master Repository Process" w:date="2022-03-30T12:17:00Z"/>
        </w:rPr>
      </w:pPr>
      <w:del w:id="2077" w:author="Master Repository Process" w:date="2022-03-30T12:17:00Z">
        <w:r>
          <w:tab/>
          <w:delText>(a)</w:delText>
        </w:r>
        <w:r>
          <w:tab/>
          <w:delText>a safety and health representative gives a direction under subclause (1)(b), but is unable to agree with a supervisor whom the representative has informed under that subclause that there is a need for a direction under that subclause; or</w:delText>
        </w:r>
      </w:del>
    </w:p>
    <w:p>
      <w:pPr>
        <w:pStyle w:val="yIndenta"/>
        <w:rPr>
          <w:del w:id="2078" w:author="Master Repository Process" w:date="2022-03-30T12:17:00Z"/>
        </w:rPr>
      </w:pPr>
      <w:del w:id="2079" w:author="Master Repository Process" w:date="2022-03-30T12:17:00Z">
        <w:r>
          <w:tab/>
          <w:delText>(b)</w:delText>
        </w:r>
        <w:r>
          <w:tab/>
          <w:delText>a safety and health representative gives a direction under subclause (3)(c),</w:delText>
        </w:r>
      </w:del>
    </w:p>
    <w:p>
      <w:pPr>
        <w:pStyle w:val="ySubsection"/>
        <w:rPr>
          <w:del w:id="2080" w:author="Master Repository Process" w:date="2022-03-30T12:17:00Z"/>
        </w:rPr>
      </w:pPr>
      <w:del w:id="2081" w:author="Master Repository Process" w:date="2022-03-30T12:17:00Z">
        <w:r>
          <w:tab/>
        </w:r>
        <w:r>
          <w:tab/>
          <w:delText>the representative or the supervisor may request an inspector that an inspection be conducted of the work that is the subject of the direction.</w:delText>
        </w:r>
      </w:del>
    </w:p>
    <w:p>
      <w:pPr>
        <w:pStyle w:val="ySubsection"/>
        <w:rPr>
          <w:del w:id="2082" w:author="Master Repository Process" w:date="2022-03-30T12:17:00Z"/>
        </w:rPr>
      </w:pPr>
      <w:del w:id="2083" w:author="Master Repository Process" w:date="2022-03-30T12:17:00Z">
        <w:r>
          <w:tab/>
          <w:delText>(5)</w:delText>
        </w:r>
        <w:r>
          <w:tab/>
          <w:delText>As soon as possible after a request is made, an inspection must be conducted of the work that is the subject of the direction, and the inspector conducting the inspection must make decisions, and exercise powers, under Division 4 as the inspector considers necessary in relation to the work.</w:delText>
        </w:r>
      </w:del>
    </w:p>
    <w:p>
      <w:pPr>
        <w:pStyle w:val="ySubsection"/>
        <w:rPr>
          <w:del w:id="2084" w:author="Master Repository Process" w:date="2022-03-30T12:17:00Z"/>
        </w:rPr>
      </w:pPr>
      <w:del w:id="2085" w:author="Master Repository Process" w:date="2022-03-30T12:17:00Z">
        <w:r>
          <w:tab/>
          <w:delText>(6)</w:delText>
        </w:r>
        <w:r>
          <w:tab/>
          <w:delText>This clause does not limit the power of a safety and health representative under clause 32(1)(a)(iii) to request an inspector that an inspection be conducted at the workplace.</w:delText>
        </w:r>
      </w:del>
    </w:p>
    <w:p>
      <w:pPr>
        <w:pStyle w:val="yFootnotesection"/>
        <w:rPr>
          <w:del w:id="2086" w:author="Master Repository Process" w:date="2022-03-30T12:17:00Z"/>
        </w:rPr>
      </w:pPr>
      <w:del w:id="2087" w:author="Master Repository Process" w:date="2022-03-30T12:17:00Z">
        <w:r>
          <w:tab/>
          <w:delText>[Clause 42 inserted: No. 13 of 2005 s. 17; amended: No. 35 of 2007 s. 86.]</w:delText>
        </w:r>
      </w:del>
    </w:p>
    <w:p>
      <w:pPr>
        <w:pStyle w:val="yHeading5"/>
        <w:spacing w:before="180"/>
        <w:rPr>
          <w:del w:id="2088" w:author="Master Repository Process" w:date="2022-03-30T12:17:00Z"/>
        </w:rPr>
      </w:pPr>
      <w:bookmarkStart w:id="2089" w:name="_Toc97630723"/>
      <w:del w:id="2090" w:author="Master Repository Process" w:date="2022-03-30T12:17:00Z">
        <w:r>
          <w:rPr>
            <w:rStyle w:val="CharSClsNo"/>
          </w:rPr>
          <w:delText>43</w:delText>
        </w:r>
        <w:r>
          <w:delText>.</w:delText>
        </w:r>
        <w:r>
          <w:rPr>
            <w:b w:val="0"/>
          </w:rPr>
          <w:tab/>
        </w:r>
        <w:r>
          <w:delText>Directions to perform other work</w:delText>
        </w:r>
        <w:bookmarkEnd w:id="2089"/>
      </w:del>
    </w:p>
    <w:p>
      <w:pPr>
        <w:pStyle w:val="ySubsection"/>
        <w:rPr>
          <w:del w:id="2091" w:author="Master Repository Process" w:date="2022-03-30T12:17:00Z"/>
        </w:rPr>
      </w:pPr>
      <w:del w:id="2092" w:author="Master Repository Process" w:date="2022-03-30T12:17:00Z">
        <w:r>
          <w:tab/>
        </w:r>
        <w:r>
          <w:tab/>
          <w:delText xml:space="preserve">If — </w:delText>
        </w:r>
      </w:del>
    </w:p>
    <w:p>
      <w:pPr>
        <w:pStyle w:val="yIndenta"/>
        <w:rPr>
          <w:del w:id="2093" w:author="Master Repository Process" w:date="2022-03-30T12:17:00Z"/>
        </w:rPr>
      </w:pPr>
      <w:del w:id="2094" w:author="Master Repository Process" w:date="2022-03-30T12:17:00Z">
        <w:r>
          <w:tab/>
          <w:delText>(a)</w:delText>
        </w:r>
        <w:r>
          <w:tab/>
          <w:delText>a group member who is an employee has ceased to perform work, in accordance with the direction of a safety and health representative under clause 42(1)(b) or (3)(c); and</w:delText>
        </w:r>
      </w:del>
    </w:p>
    <w:p>
      <w:pPr>
        <w:pStyle w:val="yIndenta"/>
        <w:rPr>
          <w:del w:id="2095" w:author="Master Repository Process" w:date="2022-03-30T12:17:00Z"/>
        </w:rPr>
      </w:pPr>
      <w:del w:id="2096" w:author="Master Repository Process" w:date="2022-03-30T12:17:00Z">
        <w:r>
          <w:tab/>
          <w:delText>(b)</w:delText>
        </w:r>
        <w:r>
          <w:tab/>
          <w:delText xml:space="preserve">the cessation of work does not continue after — </w:delText>
        </w:r>
      </w:del>
    </w:p>
    <w:p>
      <w:pPr>
        <w:pStyle w:val="yIndenti0"/>
        <w:rPr>
          <w:del w:id="2097" w:author="Master Repository Process" w:date="2022-03-30T12:17:00Z"/>
        </w:rPr>
      </w:pPr>
      <w:del w:id="2098" w:author="Master Repository Process" w:date="2022-03-30T12:17:00Z">
        <w:r>
          <w:tab/>
          <w:delText>(i)</w:delText>
        </w:r>
        <w:r>
          <w:tab/>
          <w:delText>the safety and health representative has agreed with a person supervising work at the workplace where the work was being performed that the cessation of work was not, or is no longer, necessary; or</w:delText>
        </w:r>
      </w:del>
    </w:p>
    <w:p>
      <w:pPr>
        <w:pStyle w:val="yIndenti0"/>
        <w:keepNext/>
        <w:rPr>
          <w:del w:id="2099" w:author="Master Repository Process" w:date="2022-03-30T12:17:00Z"/>
        </w:rPr>
      </w:pPr>
      <w:del w:id="2100" w:author="Master Repository Process" w:date="2022-03-30T12:17:00Z">
        <w:r>
          <w:tab/>
          <w:delText>(ii)</w:delText>
        </w:r>
        <w:r>
          <w:tab/>
          <w:delText>an inspector has, under clause 42(5), made a decision to the effect that the employee should perform the work,</w:delText>
        </w:r>
      </w:del>
    </w:p>
    <w:p>
      <w:pPr>
        <w:pStyle w:val="ySubsection"/>
        <w:spacing w:before="120"/>
        <w:rPr>
          <w:del w:id="2101" w:author="Master Repository Process" w:date="2022-03-30T12:17:00Z"/>
        </w:rPr>
      </w:pPr>
      <w:del w:id="2102" w:author="Master Repository Process" w:date="2022-03-30T12:17:00Z">
        <w:r>
          <w:tab/>
        </w:r>
        <w:r>
          <w:tab/>
          <w:delText>the employer may direct the employee to perform suitable alternative work, and the employee is to be taken, for all purposes, to be required to perform that other work under the terms and conditions of the employee’s employment.</w:delText>
        </w:r>
      </w:del>
    </w:p>
    <w:p>
      <w:pPr>
        <w:pStyle w:val="yFootnotesection"/>
        <w:spacing w:before="80"/>
        <w:rPr>
          <w:del w:id="2103" w:author="Master Repository Process" w:date="2022-03-30T12:17:00Z"/>
        </w:rPr>
      </w:pPr>
      <w:del w:id="2104" w:author="Master Repository Process" w:date="2022-03-30T12:17:00Z">
        <w:r>
          <w:tab/>
          <w:delText>[Clause 43 inserted: No. 13 of 2005 s. 17.]</w:delText>
        </w:r>
      </w:del>
    </w:p>
    <w:p>
      <w:pPr>
        <w:pStyle w:val="yHeading4"/>
        <w:rPr>
          <w:del w:id="2105" w:author="Master Repository Process" w:date="2022-03-30T12:17:00Z"/>
        </w:rPr>
      </w:pPr>
      <w:bookmarkStart w:id="2106" w:name="_Toc97629833"/>
      <w:bookmarkStart w:id="2107" w:name="_Toc97630186"/>
      <w:bookmarkStart w:id="2108" w:name="_Toc97630724"/>
      <w:del w:id="2109" w:author="Master Repository Process" w:date="2022-03-30T12:17:00Z">
        <w:r>
          <w:delText>Subdivision </w:delText>
        </w:r>
        <w:r>
          <w:rPr>
            <w:bCs/>
          </w:rPr>
          <w:delText>6 — Exemptions</w:delText>
        </w:r>
        <w:bookmarkEnd w:id="2106"/>
        <w:bookmarkEnd w:id="2107"/>
        <w:bookmarkEnd w:id="2108"/>
      </w:del>
    </w:p>
    <w:p>
      <w:pPr>
        <w:pStyle w:val="yFootnoteheading"/>
        <w:rPr>
          <w:del w:id="2110" w:author="Master Repository Process" w:date="2022-03-30T12:17:00Z"/>
        </w:rPr>
      </w:pPr>
      <w:del w:id="2111" w:author="Master Repository Process" w:date="2022-03-30T12:17:00Z">
        <w:r>
          <w:tab/>
          <w:delText>[Heading inserted: No. 13 of 2005 s. 17.]</w:delText>
        </w:r>
      </w:del>
    </w:p>
    <w:p>
      <w:pPr>
        <w:pStyle w:val="yHeading5"/>
        <w:rPr>
          <w:del w:id="2112" w:author="Master Repository Process" w:date="2022-03-30T12:17:00Z"/>
        </w:rPr>
      </w:pPr>
      <w:bookmarkStart w:id="2113" w:name="_Toc97630725"/>
      <w:del w:id="2114" w:author="Master Repository Process" w:date="2022-03-30T12:17:00Z">
        <w:r>
          <w:rPr>
            <w:rStyle w:val="CharSClsNo"/>
          </w:rPr>
          <w:delText>44</w:delText>
        </w:r>
        <w:r>
          <w:delText>.</w:delText>
        </w:r>
        <w:r>
          <w:rPr>
            <w:b w:val="0"/>
          </w:rPr>
          <w:tab/>
        </w:r>
        <w:r>
          <w:delText>Exemptions</w:delText>
        </w:r>
        <w:bookmarkEnd w:id="2113"/>
      </w:del>
    </w:p>
    <w:p>
      <w:pPr>
        <w:pStyle w:val="ySubsection"/>
        <w:rPr>
          <w:del w:id="2115" w:author="Master Repository Process" w:date="2022-03-30T12:17:00Z"/>
        </w:rPr>
      </w:pPr>
      <w:del w:id="2116" w:author="Master Repository Process" w:date="2022-03-30T12:17:00Z">
        <w:r>
          <w:tab/>
          <w:delText>(1)</w:delText>
        </w:r>
        <w:r>
          <w:tab/>
          <w:delText>The Minister may, in accordance with the regulations, make a written order exempting a specified person or class of person from any or all of the provisions of this Division (other than this clause).</w:delText>
        </w:r>
      </w:del>
    </w:p>
    <w:p>
      <w:pPr>
        <w:pStyle w:val="ySubsection"/>
        <w:rPr>
          <w:del w:id="2117" w:author="Master Repository Process" w:date="2022-03-30T12:17:00Z"/>
        </w:rPr>
      </w:pPr>
      <w:del w:id="2118" w:author="Master Repository Process" w:date="2022-03-30T12:17:00Z">
        <w:r>
          <w:tab/>
          <w:delText>(2)</w:delText>
        </w:r>
        <w:r>
          <w:tab/>
          <w:delText>The Minister must not make an order under subclause (1) unless the Minister is satisfied on reasonable grounds that it is impracticable for the person to comply with the provision or provisions.</w:delText>
        </w:r>
      </w:del>
    </w:p>
    <w:p>
      <w:pPr>
        <w:pStyle w:val="yFootnotesection"/>
        <w:spacing w:before="80"/>
        <w:rPr>
          <w:del w:id="2119" w:author="Master Repository Process" w:date="2022-03-30T12:17:00Z"/>
        </w:rPr>
      </w:pPr>
      <w:del w:id="2120" w:author="Master Repository Process" w:date="2022-03-30T12:17:00Z">
        <w:r>
          <w:tab/>
          <w:delText>[Clause 44 inserted: No. 13 of 2005 s. 17.]</w:delText>
        </w:r>
      </w:del>
    </w:p>
    <w:p>
      <w:pPr>
        <w:pStyle w:val="yHeading3"/>
        <w:spacing w:before="180"/>
        <w:rPr>
          <w:del w:id="2121" w:author="Master Repository Process" w:date="2022-03-30T12:17:00Z"/>
        </w:rPr>
      </w:pPr>
      <w:bookmarkStart w:id="2122" w:name="_Toc97629835"/>
      <w:bookmarkStart w:id="2123" w:name="_Toc97630188"/>
      <w:bookmarkStart w:id="2124" w:name="_Toc97630726"/>
      <w:del w:id="2125" w:author="Master Repository Process" w:date="2022-03-30T12:17:00Z">
        <w:r>
          <w:rPr>
            <w:rStyle w:val="CharSDivNo"/>
          </w:rPr>
          <w:delText>Division 4</w:delText>
        </w:r>
        <w:r>
          <w:rPr>
            <w:b w:val="0"/>
          </w:rPr>
          <w:delText> — </w:delText>
        </w:r>
        <w:r>
          <w:rPr>
            <w:rStyle w:val="CharSDivText"/>
          </w:rPr>
          <w:delText>Inspections</w:delText>
        </w:r>
        <w:bookmarkEnd w:id="2122"/>
        <w:bookmarkEnd w:id="2123"/>
        <w:bookmarkEnd w:id="2124"/>
      </w:del>
    </w:p>
    <w:p>
      <w:pPr>
        <w:pStyle w:val="yFootnoteheading"/>
        <w:spacing w:before="80"/>
        <w:rPr>
          <w:del w:id="2126" w:author="Master Repository Process" w:date="2022-03-30T12:17:00Z"/>
        </w:rPr>
      </w:pPr>
      <w:del w:id="2127" w:author="Master Repository Process" w:date="2022-03-30T12:17:00Z">
        <w:r>
          <w:tab/>
          <w:delText>[Heading inserted: No. 13 of 2005 s. 17.]</w:delText>
        </w:r>
      </w:del>
    </w:p>
    <w:p>
      <w:pPr>
        <w:pStyle w:val="yHeading4"/>
        <w:spacing w:before="180"/>
        <w:rPr>
          <w:del w:id="2128" w:author="Master Repository Process" w:date="2022-03-30T12:17:00Z"/>
        </w:rPr>
      </w:pPr>
      <w:bookmarkStart w:id="2129" w:name="_Toc97629836"/>
      <w:bookmarkStart w:id="2130" w:name="_Toc97630189"/>
      <w:bookmarkStart w:id="2131" w:name="_Toc97630727"/>
      <w:del w:id="2132" w:author="Master Repository Process" w:date="2022-03-30T12:17:00Z">
        <w:r>
          <w:delText>Subdivision 1</w:delText>
        </w:r>
        <w:r>
          <w:rPr>
            <w:b w:val="0"/>
          </w:rPr>
          <w:delText> — </w:delText>
        </w:r>
        <w:r>
          <w:delText>Introduction</w:delText>
        </w:r>
        <w:bookmarkEnd w:id="2129"/>
        <w:bookmarkEnd w:id="2130"/>
        <w:bookmarkEnd w:id="2131"/>
      </w:del>
    </w:p>
    <w:p>
      <w:pPr>
        <w:pStyle w:val="yFootnoteheading"/>
        <w:spacing w:before="80"/>
        <w:rPr>
          <w:del w:id="2133" w:author="Master Repository Process" w:date="2022-03-30T12:17:00Z"/>
        </w:rPr>
      </w:pPr>
      <w:del w:id="2134" w:author="Master Repository Process" w:date="2022-03-30T12:17:00Z">
        <w:r>
          <w:tab/>
          <w:delText>[Heading inserted: No. 13 of 2005 s. 17.]</w:delText>
        </w:r>
      </w:del>
    </w:p>
    <w:p>
      <w:pPr>
        <w:pStyle w:val="yHeading5"/>
        <w:spacing w:before="180"/>
        <w:rPr>
          <w:del w:id="2135" w:author="Master Repository Process" w:date="2022-03-30T12:17:00Z"/>
        </w:rPr>
      </w:pPr>
      <w:bookmarkStart w:id="2136" w:name="_Toc97630728"/>
      <w:del w:id="2137" w:author="Master Repository Process" w:date="2022-03-30T12:17:00Z">
        <w:r>
          <w:rPr>
            <w:rStyle w:val="CharSClsNo"/>
          </w:rPr>
          <w:delText>45</w:delText>
        </w:r>
        <w:r>
          <w:delText>.</w:delText>
        </w:r>
        <w:r>
          <w:rPr>
            <w:b w:val="0"/>
          </w:rPr>
          <w:tab/>
        </w:r>
        <w:r>
          <w:delText>Simplified outline</w:delText>
        </w:r>
        <w:bookmarkEnd w:id="2136"/>
      </w:del>
    </w:p>
    <w:p>
      <w:pPr>
        <w:pStyle w:val="ySubsection"/>
        <w:spacing w:before="120"/>
        <w:rPr>
          <w:del w:id="2138" w:author="Master Repository Process" w:date="2022-03-30T12:17:00Z"/>
        </w:rPr>
      </w:pPr>
      <w:del w:id="2139" w:author="Master Repository Process" w:date="2022-03-30T12:17:00Z">
        <w:r>
          <w:tab/>
        </w:r>
        <w:r>
          <w:tab/>
          <w:delText xml:space="preserve">The following is a simplified outline of this Division — </w:delText>
        </w:r>
      </w:del>
    </w:p>
    <w:p>
      <w:pPr>
        <w:pStyle w:val="ySubsection"/>
        <w:numPr>
          <w:ilvl w:val="1"/>
          <w:numId w:val="1"/>
        </w:numPr>
        <w:tabs>
          <w:tab w:val="clear" w:pos="1440"/>
          <w:tab w:val="num" w:pos="1288"/>
        </w:tabs>
        <w:spacing w:before="80"/>
        <w:ind w:left="1287" w:hanging="391"/>
        <w:rPr>
          <w:del w:id="2140" w:author="Master Repository Process" w:date="2022-03-30T12:17:00Z"/>
        </w:rPr>
      </w:pPr>
      <w:del w:id="2141" w:author="Master Repository Process" w:date="2022-03-30T12:17:00Z">
        <w:r>
          <w:delText xml:space="preserve">An inspector may conduct an inspection — </w:delText>
        </w:r>
      </w:del>
    </w:p>
    <w:p>
      <w:pPr>
        <w:pStyle w:val="yIndenta"/>
        <w:tabs>
          <w:tab w:val="clear" w:pos="1332"/>
          <w:tab w:val="right" w:pos="1800"/>
        </w:tabs>
        <w:ind w:left="2160" w:hanging="2160"/>
        <w:rPr>
          <w:del w:id="2142" w:author="Master Repository Process" w:date="2022-03-30T12:17:00Z"/>
        </w:rPr>
      </w:pPr>
      <w:del w:id="2143" w:author="Master Repository Process" w:date="2022-03-30T12:17:00Z">
        <w:r>
          <w:tab/>
          <w:delText>(a)</w:delText>
        </w:r>
        <w:r>
          <w:tab/>
          <w:delText>to ascertain whether a listed OSH law is being complied with; or</w:delText>
        </w:r>
      </w:del>
    </w:p>
    <w:p>
      <w:pPr>
        <w:pStyle w:val="yIndenta"/>
        <w:tabs>
          <w:tab w:val="clear" w:pos="1332"/>
          <w:tab w:val="right" w:pos="1800"/>
        </w:tabs>
        <w:ind w:left="2160" w:hanging="2160"/>
        <w:rPr>
          <w:del w:id="2144" w:author="Master Repository Process" w:date="2022-03-30T12:17:00Z"/>
        </w:rPr>
      </w:pPr>
      <w:del w:id="2145" w:author="Master Repository Process" w:date="2022-03-30T12:17:00Z">
        <w:r>
          <w:tab/>
          <w:delText>(b)</w:delText>
        </w:r>
        <w:r>
          <w:tab/>
          <w:delText>concerning a contravention or a possible contravention of a listed OSH law; or</w:delText>
        </w:r>
      </w:del>
    </w:p>
    <w:p>
      <w:pPr>
        <w:pStyle w:val="yIndenta"/>
        <w:tabs>
          <w:tab w:val="clear" w:pos="1332"/>
          <w:tab w:val="right" w:pos="1800"/>
        </w:tabs>
        <w:ind w:left="2160" w:hanging="2160"/>
        <w:rPr>
          <w:del w:id="2146" w:author="Master Repository Process" w:date="2022-03-30T12:17:00Z"/>
        </w:rPr>
      </w:pPr>
      <w:del w:id="2147" w:author="Master Repository Process" w:date="2022-03-30T12:17:00Z">
        <w:r>
          <w:tab/>
          <w:delText>(c)</w:delText>
        </w:r>
        <w:r>
          <w:tab/>
          <w:delText>concerning an accident or dangerous occurrence that has arisen out of a petroleum operation or geothermal energy operation.</w:delText>
        </w:r>
      </w:del>
    </w:p>
    <w:p>
      <w:pPr>
        <w:pStyle w:val="ySubsection"/>
        <w:numPr>
          <w:ilvl w:val="1"/>
          <w:numId w:val="1"/>
        </w:numPr>
        <w:tabs>
          <w:tab w:val="clear" w:pos="1440"/>
          <w:tab w:val="num" w:pos="1288"/>
        </w:tabs>
        <w:spacing w:before="80"/>
        <w:ind w:left="1287" w:hanging="391"/>
        <w:rPr>
          <w:del w:id="2148" w:author="Master Repository Process" w:date="2022-03-30T12:17:00Z"/>
        </w:rPr>
      </w:pPr>
      <w:del w:id="2149" w:author="Master Repository Process" w:date="2022-03-30T12:17:00Z">
        <w:r>
          <w:delText>An inspector may issue a prohibition notice to the operator of a petroleum operation or geothermal energy operation in order to remove an immediate threat to the safety and health of any person.</w:delText>
        </w:r>
      </w:del>
    </w:p>
    <w:p>
      <w:pPr>
        <w:pStyle w:val="ySubsection"/>
        <w:numPr>
          <w:ilvl w:val="1"/>
          <w:numId w:val="1"/>
        </w:numPr>
        <w:tabs>
          <w:tab w:val="clear" w:pos="1440"/>
          <w:tab w:val="num" w:pos="1288"/>
        </w:tabs>
        <w:spacing w:before="80"/>
        <w:ind w:left="1287" w:hanging="391"/>
        <w:rPr>
          <w:del w:id="2150" w:author="Master Repository Process" w:date="2022-03-30T12:17:00Z"/>
        </w:rPr>
      </w:pPr>
      <w:del w:id="2151" w:author="Master Repository Process" w:date="2022-03-30T12:17:00Z">
        <w:r>
          <w:delText>An inspector may issue an improvement notice specifying action that is to be taken to prevent contravention of a listed OSH law.</w:delText>
        </w:r>
      </w:del>
    </w:p>
    <w:p>
      <w:pPr>
        <w:pStyle w:val="ySubsection"/>
        <w:numPr>
          <w:ilvl w:val="1"/>
          <w:numId w:val="1"/>
        </w:numPr>
        <w:tabs>
          <w:tab w:val="clear" w:pos="1440"/>
          <w:tab w:val="num" w:pos="1288"/>
        </w:tabs>
        <w:spacing w:before="80"/>
        <w:ind w:left="1287" w:hanging="391"/>
        <w:rPr>
          <w:del w:id="2152" w:author="Master Repository Process" w:date="2022-03-30T12:17:00Z"/>
        </w:rPr>
      </w:pPr>
      <w:del w:id="2153" w:author="Master Repository Process" w:date="2022-03-30T12:17:00Z">
        <w:r>
          <w:delText>An inspector must prepare a report about an inspection and give the report to the Minister.</w:delText>
        </w:r>
      </w:del>
    </w:p>
    <w:p>
      <w:pPr>
        <w:pStyle w:val="yFootnotesection"/>
        <w:spacing w:before="80"/>
        <w:rPr>
          <w:del w:id="2154" w:author="Master Repository Process" w:date="2022-03-30T12:17:00Z"/>
        </w:rPr>
      </w:pPr>
      <w:del w:id="2155" w:author="Master Repository Process" w:date="2022-03-30T12:17:00Z">
        <w:r>
          <w:tab/>
          <w:delText>[Clause 45 inserted: No. 13 of 2005 s. 17; amended: No. 35 of 2007 s. 86.]</w:delText>
        </w:r>
      </w:del>
    </w:p>
    <w:p>
      <w:pPr>
        <w:pStyle w:val="yHeading5"/>
        <w:spacing w:before="180"/>
        <w:rPr>
          <w:del w:id="2156" w:author="Master Repository Process" w:date="2022-03-30T12:17:00Z"/>
        </w:rPr>
      </w:pPr>
      <w:bookmarkStart w:id="2157" w:name="_Toc97630729"/>
      <w:del w:id="2158" w:author="Master Repository Process" w:date="2022-03-30T12:17:00Z">
        <w:r>
          <w:rPr>
            <w:rStyle w:val="CharSClsNo"/>
          </w:rPr>
          <w:delText>46</w:delText>
        </w:r>
        <w:r>
          <w:delText>.</w:delText>
        </w:r>
        <w:r>
          <w:rPr>
            <w:b w:val="0"/>
          </w:rPr>
          <w:tab/>
        </w:r>
        <w:r>
          <w:delText>Powers, functions and duties of inspectors</w:delText>
        </w:r>
        <w:bookmarkEnd w:id="2157"/>
      </w:del>
    </w:p>
    <w:p>
      <w:pPr>
        <w:pStyle w:val="ySubsection"/>
        <w:spacing w:before="120"/>
        <w:rPr>
          <w:del w:id="2159" w:author="Master Repository Process" w:date="2022-03-30T12:17:00Z"/>
        </w:rPr>
      </w:pPr>
      <w:del w:id="2160" w:author="Master Repository Process" w:date="2022-03-30T12:17:00Z">
        <w:r>
          <w:tab/>
          <w:delText>(1)</w:delText>
        </w:r>
        <w:r>
          <w:tab/>
          <w:delText>An inspector has the powers, functions and duties conferred or imposed by each listed OSH law.</w:delText>
        </w:r>
      </w:del>
    </w:p>
    <w:p>
      <w:pPr>
        <w:pStyle w:val="ySubsection"/>
        <w:spacing w:before="120"/>
        <w:rPr>
          <w:del w:id="2161" w:author="Master Repository Process" w:date="2022-03-30T12:17:00Z"/>
        </w:rPr>
      </w:pPr>
      <w:del w:id="2162" w:author="Master Repository Process" w:date="2022-03-30T12:17:00Z">
        <w:r>
          <w:tab/>
          <w:delText>(2)</w:delText>
        </w:r>
        <w:r>
          <w:tab/>
          <w:delText>The Minister may give written directions specifying the manner in which, and the conditions subject to which, powers conferred on inspectors by a listed OSH law are to be exercised. If the Minister does so, the powers of inspectors must be exercised in accordance with those directions.</w:delText>
        </w:r>
      </w:del>
    </w:p>
    <w:p>
      <w:pPr>
        <w:pStyle w:val="ySubsection"/>
        <w:rPr>
          <w:del w:id="2163" w:author="Master Repository Process" w:date="2022-03-30T12:17:00Z"/>
        </w:rPr>
      </w:pPr>
      <w:del w:id="2164" w:author="Master Repository Process" w:date="2022-03-30T12:17:00Z">
        <w:r>
          <w:tab/>
          <w:delText>(3)</w:delText>
        </w:r>
        <w:r>
          <w:tab/>
          <w:delText>The Minister may, by notice in writing, impose restrictions, not inconsistent with any direction in force under subclause (2), on the powers that are conferred on a particular inspector by a listed OSH law.  If the Minister does so, the powers of the inspector are taken to have been restricted accordingly.</w:delText>
        </w:r>
      </w:del>
    </w:p>
    <w:p>
      <w:pPr>
        <w:pStyle w:val="yFootnotesection"/>
        <w:rPr>
          <w:del w:id="2165" w:author="Master Repository Process" w:date="2022-03-30T12:17:00Z"/>
        </w:rPr>
      </w:pPr>
      <w:del w:id="2166" w:author="Master Repository Process" w:date="2022-03-30T12:17:00Z">
        <w:r>
          <w:tab/>
          <w:delText>[Clause 46 inserted: No. 13 of 2005 s. 17.]</w:delText>
        </w:r>
      </w:del>
    </w:p>
    <w:p>
      <w:pPr>
        <w:pStyle w:val="yHeading4"/>
        <w:spacing w:before="200"/>
        <w:rPr>
          <w:del w:id="2167" w:author="Master Repository Process" w:date="2022-03-30T12:17:00Z"/>
        </w:rPr>
      </w:pPr>
      <w:bookmarkStart w:id="2168" w:name="_Toc97629839"/>
      <w:bookmarkStart w:id="2169" w:name="_Toc97630192"/>
      <w:bookmarkStart w:id="2170" w:name="_Toc97630730"/>
      <w:del w:id="2171" w:author="Master Repository Process" w:date="2022-03-30T12:17:00Z">
        <w:r>
          <w:delText>Subdivision 2</w:delText>
        </w:r>
        <w:r>
          <w:rPr>
            <w:b w:val="0"/>
          </w:rPr>
          <w:delText> — </w:delText>
        </w:r>
        <w:r>
          <w:delText>Inspections</w:delText>
        </w:r>
        <w:bookmarkEnd w:id="2168"/>
        <w:bookmarkEnd w:id="2169"/>
        <w:bookmarkEnd w:id="2170"/>
      </w:del>
    </w:p>
    <w:p>
      <w:pPr>
        <w:pStyle w:val="yFootnoteheading"/>
        <w:rPr>
          <w:del w:id="2172" w:author="Master Repository Process" w:date="2022-03-30T12:17:00Z"/>
        </w:rPr>
      </w:pPr>
      <w:del w:id="2173" w:author="Master Repository Process" w:date="2022-03-30T12:17:00Z">
        <w:r>
          <w:tab/>
          <w:delText>[Heading inserted: No. 13 of 2005 s. 17.]</w:delText>
        </w:r>
      </w:del>
    </w:p>
    <w:p>
      <w:pPr>
        <w:pStyle w:val="yHeading5"/>
        <w:rPr>
          <w:del w:id="2174" w:author="Master Repository Process" w:date="2022-03-30T12:17:00Z"/>
        </w:rPr>
      </w:pPr>
      <w:bookmarkStart w:id="2175" w:name="_Toc97630731"/>
      <w:del w:id="2176" w:author="Master Repository Process" w:date="2022-03-30T12:17:00Z">
        <w:r>
          <w:rPr>
            <w:rStyle w:val="CharSClsNo"/>
          </w:rPr>
          <w:delText>47</w:delText>
        </w:r>
        <w:r>
          <w:delText>.</w:delText>
        </w:r>
        <w:r>
          <w:rPr>
            <w:b w:val="0"/>
          </w:rPr>
          <w:tab/>
        </w:r>
        <w:r>
          <w:delText>Inspections</w:delText>
        </w:r>
        <w:bookmarkEnd w:id="2175"/>
      </w:del>
    </w:p>
    <w:p>
      <w:pPr>
        <w:pStyle w:val="ySubsection"/>
        <w:rPr>
          <w:del w:id="2177" w:author="Master Repository Process" w:date="2022-03-30T12:17:00Z"/>
        </w:rPr>
      </w:pPr>
      <w:del w:id="2178" w:author="Master Repository Process" w:date="2022-03-30T12:17:00Z">
        <w:r>
          <w:tab/>
          <w:delText>(1)</w:delText>
        </w:r>
        <w:r>
          <w:tab/>
          <w:delText xml:space="preserve">An inspector may, at any time, conduct an inspection — </w:delText>
        </w:r>
      </w:del>
    </w:p>
    <w:p>
      <w:pPr>
        <w:pStyle w:val="yIndenta"/>
        <w:rPr>
          <w:del w:id="2179" w:author="Master Repository Process" w:date="2022-03-30T12:17:00Z"/>
        </w:rPr>
      </w:pPr>
      <w:del w:id="2180" w:author="Master Repository Process" w:date="2022-03-30T12:17:00Z">
        <w:r>
          <w:tab/>
          <w:delText>(a)</w:delText>
        </w:r>
        <w:r>
          <w:tab/>
          <w:delText>to ascertain whether a requirement of, or any requirement properly made under, a listed OSH law is being complied with; or</w:delText>
        </w:r>
      </w:del>
    </w:p>
    <w:p>
      <w:pPr>
        <w:pStyle w:val="yIndenta"/>
        <w:rPr>
          <w:del w:id="2181" w:author="Master Repository Process" w:date="2022-03-30T12:17:00Z"/>
        </w:rPr>
      </w:pPr>
      <w:del w:id="2182" w:author="Master Repository Process" w:date="2022-03-30T12:17:00Z">
        <w:r>
          <w:tab/>
          <w:delText>(b)</w:delText>
        </w:r>
        <w:r>
          <w:tab/>
          <w:delText>concerning a contravention or a possible contravention of a listed OSH law; or</w:delText>
        </w:r>
      </w:del>
    </w:p>
    <w:p>
      <w:pPr>
        <w:pStyle w:val="yIndenta"/>
        <w:rPr>
          <w:del w:id="2183" w:author="Master Repository Process" w:date="2022-03-30T12:17:00Z"/>
        </w:rPr>
      </w:pPr>
      <w:del w:id="2184" w:author="Master Repository Process" w:date="2022-03-30T12:17:00Z">
        <w:r>
          <w:tab/>
          <w:delText>(c)</w:delText>
        </w:r>
        <w:r>
          <w:tab/>
          <w:delText>concerning an accident or dangerous occurrence that has arisen out of a petroleum operation or geothermal energy operation.</w:delText>
        </w:r>
      </w:del>
    </w:p>
    <w:p>
      <w:pPr>
        <w:pStyle w:val="ySubsection"/>
        <w:keepNext/>
        <w:rPr>
          <w:del w:id="2185" w:author="Master Repository Process" w:date="2022-03-30T12:17:00Z"/>
        </w:rPr>
      </w:pPr>
      <w:del w:id="2186" w:author="Master Repository Process" w:date="2022-03-30T12:17:00Z">
        <w:r>
          <w:tab/>
          <w:delText>(2)</w:delText>
        </w:r>
        <w:r>
          <w:tab/>
          <w:delText xml:space="preserve">The Minister may direct an inspector to conduct an inspection — </w:delText>
        </w:r>
      </w:del>
    </w:p>
    <w:p>
      <w:pPr>
        <w:pStyle w:val="yIndenta"/>
        <w:spacing w:before="60"/>
        <w:rPr>
          <w:del w:id="2187" w:author="Master Repository Process" w:date="2022-03-30T12:17:00Z"/>
        </w:rPr>
      </w:pPr>
      <w:del w:id="2188" w:author="Master Repository Process" w:date="2022-03-30T12:17:00Z">
        <w:r>
          <w:tab/>
          <w:delText>(a)</w:delText>
        </w:r>
        <w:r>
          <w:tab/>
          <w:delText>to ascertain whether a requirement of, or any requirement properly made under, a listed OSH law is being complied with; or</w:delText>
        </w:r>
      </w:del>
    </w:p>
    <w:p>
      <w:pPr>
        <w:pStyle w:val="yIndenta"/>
        <w:spacing w:before="60"/>
        <w:rPr>
          <w:del w:id="2189" w:author="Master Repository Process" w:date="2022-03-30T12:17:00Z"/>
        </w:rPr>
      </w:pPr>
      <w:del w:id="2190" w:author="Master Repository Process" w:date="2022-03-30T12:17:00Z">
        <w:r>
          <w:tab/>
          <w:delText>(b)</w:delText>
        </w:r>
        <w:r>
          <w:tab/>
          <w:delText>concerning a contravention or a possible contravention of a listed OSH law; or</w:delText>
        </w:r>
      </w:del>
    </w:p>
    <w:p>
      <w:pPr>
        <w:pStyle w:val="yIndenta"/>
        <w:spacing w:before="60"/>
        <w:rPr>
          <w:del w:id="2191" w:author="Master Repository Process" w:date="2022-03-30T12:17:00Z"/>
        </w:rPr>
      </w:pPr>
      <w:del w:id="2192" w:author="Master Repository Process" w:date="2022-03-30T12:17:00Z">
        <w:r>
          <w:tab/>
          <w:delText>(c)</w:delText>
        </w:r>
        <w:r>
          <w:tab/>
          <w:delText xml:space="preserve">concerning an accident or dangerous occurrence that has arisen out of a petroleum operation or geothermal energy operation, </w:delText>
        </w:r>
      </w:del>
    </w:p>
    <w:p>
      <w:pPr>
        <w:pStyle w:val="ySubsection"/>
        <w:spacing w:before="120"/>
        <w:rPr>
          <w:del w:id="2193" w:author="Master Repository Process" w:date="2022-03-30T12:17:00Z"/>
        </w:rPr>
      </w:pPr>
      <w:del w:id="2194" w:author="Master Repository Process" w:date="2022-03-30T12:17:00Z">
        <w:r>
          <w:tab/>
        </w:r>
        <w:r>
          <w:tab/>
          <w:delText>and the inspector must, unless the Minister revokes the direction, conduct an inspection accordingly.</w:delText>
        </w:r>
      </w:del>
    </w:p>
    <w:p>
      <w:pPr>
        <w:pStyle w:val="yFootnotesection"/>
        <w:spacing w:before="80"/>
        <w:rPr>
          <w:del w:id="2195" w:author="Master Repository Process" w:date="2022-03-30T12:17:00Z"/>
        </w:rPr>
      </w:pPr>
      <w:del w:id="2196" w:author="Master Repository Process" w:date="2022-03-30T12:17:00Z">
        <w:r>
          <w:tab/>
          <w:delText>[Clause 47 inserted: No. 13 of 2005 s. 17; amended: No. 35 of 2007 s. 86.]</w:delText>
        </w:r>
      </w:del>
    </w:p>
    <w:p>
      <w:pPr>
        <w:pStyle w:val="yHeading4"/>
        <w:rPr>
          <w:del w:id="2197" w:author="Master Repository Process" w:date="2022-03-30T12:17:00Z"/>
        </w:rPr>
      </w:pPr>
      <w:bookmarkStart w:id="2198" w:name="_Toc97629841"/>
      <w:bookmarkStart w:id="2199" w:name="_Toc97630194"/>
      <w:bookmarkStart w:id="2200" w:name="_Toc97630732"/>
      <w:del w:id="2201" w:author="Master Repository Process" w:date="2022-03-30T12:17:00Z">
        <w:r>
          <w:delText>Subdivision </w:delText>
        </w:r>
        <w:r>
          <w:rPr>
            <w:bCs/>
          </w:rPr>
          <w:delText xml:space="preserve">3 — Powers </w:delText>
        </w:r>
        <w:r>
          <w:delText>of inspectors in relation to the conduct of inspections</w:delText>
        </w:r>
        <w:bookmarkEnd w:id="2198"/>
        <w:bookmarkEnd w:id="2199"/>
        <w:bookmarkEnd w:id="2200"/>
      </w:del>
    </w:p>
    <w:p>
      <w:pPr>
        <w:pStyle w:val="yFootnoteheading"/>
        <w:rPr>
          <w:del w:id="2202" w:author="Master Repository Process" w:date="2022-03-30T12:17:00Z"/>
        </w:rPr>
      </w:pPr>
      <w:del w:id="2203" w:author="Master Repository Process" w:date="2022-03-30T12:17:00Z">
        <w:r>
          <w:tab/>
          <w:delText>[Heading inserted: No. 13 of 2005 s. 17.]</w:delText>
        </w:r>
      </w:del>
    </w:p>
    <w:p>
      <w:pPr>
        <w:pStyle w:val="yHeading5"/>
        <w:spacing w:before="180"/>
        <w:rPr>
          <w:del w:id="2204" w:author="Master Repository Process" w:date="2022-03-30T12:17:00Z"/>
        </w:rPr>
      </w:pPr>
      <w:bookmarkStart w:id="2205" w:name="_Toc97630733"/>
      <w:del w:id="2206" w:author="Master Repository Process" w:date="2022-03-30T12:17:00Z">
        <w:r>
          <w:rPr>
            <w:rStyle w:val="CharSClsNo"/>
          </w:rPr>
          <w:delText>48</w:delText>
        </w:r>
        <w:r>
          <w:delText>.</w:delText>
        </w:r>
        <w:r>
          <w:rPr>
            <w:b w:val="0"/>
          </w:rPr>
          <w:tab/>
        </w:r>
        <w:r>
          <w:delText>Powers of entry and search — places at which petroleum operations or geothermal energy operations are carried on</w:delText>
        </w:r>
        <w:bookmarkEnd w:id="2205"/>
      </w:del>
    </w:p>
    <w:p>
      <w:pPr>
        <w:pStyle w:val="ySubsection"/>
        <w:spacing w:before="100"/>
        <w:rPr>
          <w:del w:id="2207" w:author="Master Repository Process" w:date="2022-03-30T12:17:00Z"/>
        </w:rPr>
      </w:pPr>
      <w:del w:id="2208" w:author="Master Repository Process" w:date="2022-03-30T12:17:00Z">
        <w:r>
          <w:tab/>
          <w:delText>(1)</w:delText>
        </w:r>
        <w:r>
          <w:tab/>
          <w:delText xml:space="preserve">An inspector may, for the purposes of an inspection, at any reasonable time during the day or night — </w:delText>
        </w:r>
      </w:del>
    </w:p>
    <w:p>
      <w:pPr>
        <w:pStyle w:val="yIndenta"/>
        <w:spacing w:before="60"/>
        <w:rPr>
          <w:del w:id="2209" w:author="Master Repository Process" w:date="2022-03-30T12:17:00Z"/>
        </w:rPr>
      </w:pPr>
      <w:del w:id="2210" w:author="Master Repository Process" w:date="2022-03-30T12:17:00Z">
        <w:r>
          <w:tab/>
          <w:delText>(a)</w:delText>
        </w:r>
        <w:r>
          <w:tab/>
          <w:delText xml:space="preserve">enter the place at which a petroleum operation or geothermal energy operation is carried on and to which the inspection relates and do all or any of the following — </w:delText>
        </w:r>
      </w:del>
    </w:p>
    <w:p>
      <w:pPr>
        <w:pStyle w:val="yIndenti0"/>
        <w:spacing w:before="60"/>
        <w:rPr>
          <w:del w:id="2211" w:author="Master Repository Process" w:date="2022-03-30T12:17:00Z"/>
        </w:rPr>
      </w:pPr>
      <w:del w:id="2212" w:author="Master Repository Process" w:date="2022-03-30T12:17:00Z">
        <w:r>
          <w:tab/>
          <w:delText>(i)</w:delText>
        </w:r>
        <w:r>
          <w:tab/>
          <w:delText>search the place;</w:delText>
        </w:r>
      </w:del>
    </w:p>
    <w:p>
      <w:pPr>
        <w:pStyle w:val="yIndenti0"/>
        <w:spacing w:before="60"/>
        <w:rPr>
          <w:del w:id="2213" w:author="Master Repository Process" w:date="2022-03-30T12:17:00Z"/>
        </w:rPr>
      </w:pPr>
      <w:del w:id="2214" w:author="Master Repository Process" w:date="2022-03-30T12:17:00Z">
        <w:r>
          <w:tab/>
          <w:delText>(ii)</w:delText>
        </w:r>
        <w:r>
          <w:tab/>
          <w:delText>inspect, examine, take measurements of, or conduct tests concerning, any workplace, facility, plant, substance or thing at the place;</w:delText>
        </w:r>
      </w:del>
    </w:p>
    <w:p>
      <w:pPr>
        <w:pStyle w:val="yIndenti0"/>
        <w:spacing w:before="60"/>
        <w:rPr>
          <w:del w:id="2215" w:author="Master Repository Process" w:date="2022-03-30T12:17:00Z"/>
        </w:rPr>
      </w:pPr>
      <w:del w:id="2216" w:author="Master Repository Process" w:date="2022-03-30T12:17:00Z">
        <w:r>
          <w:tab/>
          <w:delText>(iii)</w:delText>
        </w:r>
        <w:r>
          <w:tab/>
          <w:delText>take photographs of, make video recordings of, or make sketches of, any workplace, facility, plant, substance or thing at the place;</w:delText>
        </w:r>
      </w:del>
    </w:p>
    <w:p>
      <w:pPr>
        <w:pStyle w:val="yIndenti0"/>
        <w:spacing w:before="60"/>
        <w:rPr>
          <w:del w:id="2217" w:author="Master Repository Process" w:date="2022-03-30T12:17:00Z"/>
        </w:rPr>
      </w:pPr>
      <w:del w:id="2218" w:author="Master Repository Process" w:date="2022-03-30T12:17:00Z">
        <w:r>
          <w:tab/>
          <w:delText>(iv)</w:delText>
        </w:r>
        <w:r>
          <w:tab/>
          <w:delText>inspect, take extracts from, or make copies of, any documents at the place that the inspector has reasonable grounds to believe relate, or are likely to relate, to the subject matter of the inspection;</w:delText>
        </w:r>
      </w:del>
    </w:p>
    <w:p>
      <w:pPr>
        <w:pStyle w:val="yIndenta"/>
        <w:rPr>
          <w:del w:id="2219" w:author="Master Repository Process" w:date="2022-03-30T12:17:00Z"/>
        </w:rPr>
      </w:pPr>
      <w:del w:id="2220" w:author="Master Repository Process" w:date="2022-03-30T12:17:00Z">
        <w:r>
          <w:tab/>
        </w:r>
        <w:r>
          <w:tab/>
          <w:delText>and</w:delText>
        </w:r>
      </w:del>
    </w:p>
    <w:p>
      <w:pPr>
        <w:pStyle w:val="yIndenta"/>
        <w:rPr>
          <w:del w:id="2221" w:author="Master Repository Process" w:date="2022-03-30T12:17:00Z"/>
        </w:rPr>
      </w:pPr>
      <w:del w:id="2222" w:author="Master Repository Process" w:date="2022-03-30T12:17:00Z">
        <w:r>
          <w:tab/>
          <w:delText>(b)</w:delText>
        </w:r>
        <w:r>
          <w:tab/>
          <w:delText>inspect the seabed and subsoil in the vicinity of the place to which the inspection relates.</w:delText>
        </w:r>
      </w:del>
    </w:p>
    <w:p>
      <w:pPr>
        <w:pStyle w:val="ySubsection"/>
        <w:spacing w:before="100"/>
        <w:rPr>
          <w:del w:id="2223" w:author="Master Repository Process" w:date="2022-03-30T12:17:00Z"/>
        </w:rPr>
      </w:pPr>
      <w:del w:id="2224" w:author="Master Repository Process" w:date="2022-03-30T12:17:00Z">
        <w:r>
          <w:tab/>
          <w:delText>(2)</w:delText>
        </w:r>
        <w:r>
          <w:tab/>
          <w:delText xml:space="preserve">Immediately on entering a place at which a petroleum operation or geothermal energy operation is carried on for the purposes of an inspection, an inspector must take reasonable steps to notify the purpose of entering the place to — </w:delText>
        </w:r>
      </w:del>
    </w:p>
    <w:p>
      <w:pPr>
        <w:pStyle w:val="yIndenta"/>
        <w:spacing w:before="60"/>
        <w:rPr>
          <w:del w:id="2225" w:author="Master Repository Process" w:date="2022-03-30T12:17:00Z"/>
        </w:rPr>
      </w:pPr>
      <w:del w:id="2226" w:author="Master Repository Process" w:date="2022-03-30T12:17:00Z">
        <w:r>
          <w:tab/>
          <w:delText>(a)</w:delText>
        </w:r>
        <w:r>
          <w:tab/>
          <w:delText>the operator’s representative; and</w:delText>
        </w:r>
      </w:del>
    </w:p>
    <w:p>
      <w:pPr>
        <w:pStyle w:val="yIndenta"/>
        <w:spacing w:before="60"/>
        <w:rPr>
          <w:del w:id="2227" w:author="Master Repository Process" w:date="2022-03-30T12:17:00Z"/>
        </w:rPr>
      </w:pPr>
      <w:del w:id="2228" w:author="Master Repository Process" w:date="2022-03-30T12:17:00Z">
        <w:r>
          <w:tab/>
          <w:delText>(b)</w:delText>
        </w:r>
        <w:r>
          <w:tab/>
          <w:delText>if there is a safety and health representative for a designated work group having a group member likely to be affected by the matter the subject of the inspection — that representative,</w:delText>
        </w:r>
      </w:del>
    </w:p>
    <w:p>
      <w:pPr>
        <w:pStyle w:val="ySubsection"/>
        <w:keepLines/>
        <w:rPr>
          <w:del w:id="2229" w:author="Master Repository Process" w:date="2022-03-30T12:17:00Z"/>
        </w:rPr>
      </w:pPr>
      <w:del w:id="2230" w:author="Master Repository Process" w:date="2022-03-30T12:17:00Z">
        <w:r>
          <w:tab/>
        </w:r>
        <w:r>
          <w:tab/>
          <w:delText xml:space="preserve">and must, on being requested to do so by the person referred to in paragraph (a) or (b), produce for inspection by that person — </w:delText>
        </w:r>
      </w:del>
    </w:p>
    <w:p>
      <w:pPr>
        <w:pStyle w:val="yIndenta"/>
        <w:keepLines/>
        <w:spacing w:before="60"/>
        <w:rPr>
          <w:del w:id="2231" w:author="Master Repository Process" w:date="2022-03-30T12:17:00Z"/>
        </w:rPr>
      </w:pPr>
      <w:del w:id="2232" w:author="Master Repository Process" w:date="2022-03-30T12:17:00Z">
        <w:r>
          <w:tab/>
          <w:delText>(c)</w:delText>
        </w:r>
        <w:r>
          <w:tab/>
          <w:delText>the inspector’s certificate of appointment under section 118(2); and</w:delText>
        </w:r>
      </w:del>
    </w:p>
    <w:p>
      <w:pPr>
        <w:pStyle w:val="yIndenta"/>
        <w:rPr>
          <w:del w:id="2233" w:author="Master Repository Process" w:date="2022-03-30T12:17:00Z"/>
        </w:rPr>
      </w:pPr>
      <w:del w:id="2234" w:author="Master Repository Process" w:date="2022-03-30T12:17:00Z">
        <w:r>
          <w:tab/>
          <w:delText>(d)</w:delText>
        </w:r>
        <w:r>
          <w:tab/>
          <w:delText>a copy of the Minister’s written direction (if any) to conduct the inspection; and</w:delText>
        </w:r>
      </w:del>
    </w:p>
    <w:p>
      <w:pPr>
        <w:pStyle w:val="yIndenta"/>
        <w:spacing w:before="60"/>
        <w:rPr>
          <w:del w:id="2235" w:author="Master Repository Process" w:date="2022-03-30T12:17:00Z"/>
        </w:rPr>
      </w:pPr>
      <w:del w:id="2236" w:author="Master Repository Process" w:date="2022-03-30T12:17:00Z">
        <w:r>
          <w:tab/>
          <w:delText>(e)</w:delText>
        </w:r>
        <w:r>
          <w:tab/>
          <w:delText>a copy of the restrictions (if any) imposed on the powers of the inspector under clause 46(3).</w:delText>
        </w:r>
      </w:del>
    </w:p>
    <w:p>
      <w:pPr>
        <w:pStyle w:val="ySubsection"/>
        <w:rPr>
          <w:del w:id="2237" w:author="Master Repository Process" w:date="2022-03-30T12:17:00Z"/>
        </w:rPr>
      </w:pPr>
      <w:del w:id="2238" w:author="Master Repository Process" w:date="2022-03-30T12:17:00Z">
        <w:r>
          <w:tab/>
          <w:delText>(3)</w:delText>
        </w:r>
        <w:r>
          <w:tab/>
          <w:delTex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delText>
        </w:r>
      </w:del>
    </w:p>
    <w:p>
      <w:pPr>
        <w:pStyle w:val="yFootnotesection"/>
        <w:spacing w:before="100"/>
        <w:rPr>
          <w:del w:id="2239" w:author="Master Repository Process" w:date="2022-03-30T12:17:00Z"/>
        </w:rPr>
      </w:pPr>
      <w:del w:id="2240" w:author="Master Repository Process" w:date="2022-03-30T12:17:00Z">
        <w:r>
          <w:tab/>
          <w:delText>[Clause 48 inserted: No. 13 of 2005 s. 17; amended: No. 35 of 2007 s. 86.]</w:delText>
        </w:r>
      </w:del>
    </w:p>
    <w:p>
      <w:pPr>
        <w:pStyle w:val="yHeading5"/>
        <w:rPr>
          <w:del w:id="2241" w:author="Master Repository Process" w:date="2022-03-30T12:17:00Z"/>
        </w:rPr>
      </w:pPr>
      <w:bookmarkStart w:id="2242" w:name="_Toc97630734"/>
      <w:del w:id="2243" w:author="Master Repository Process" w:date="2022-03-30T12:17:00Z">
        <w:r>
          <w:rPr>
            <w:rStyle w:val="CharSClsNo"/>
          </w:rPr>
          <w:delText>49</w:delText>
        </w:r>
        <w:r>
          <w:delText>.</w:delText>
        </w:r>
        <w:r>
          <w:rPr>
            <w:b w:val="0"/>
          </w:rPr>
          <w:tab/>
        </w:r>
        <w:r>
          <w:delText>Powers of entry and search — regulated business premises (other than places where petroleum operations or geothermal energy operations carried on)</w:delText>
        </w:r>
        <w:bookmarkEnd w:id="2242"/>
      </w:del>
    </w:p>
    <w:p>
      <w:pPr>
        <w:pStyle w:val="ySubsection"/>
        <w:rPr>
          <w:del w:id="2244" w:author="Master Repository Process" w:date="2022-03-30T12:17:00Z"/>
        </w:rPr>
      </w:pPr>
      <w:del w:id="2245" w:author="Master Repository Process" w:date="2022-03-30T12:17:00Z">
        <w:r>
          <w:tab/>
          <w:delText>(1)</w:delText>
        </w:r>
        <w:r>
          <w:tab/>
          <w:delText xml:space="preserve">An inspector may, for the purposes of an inspection — </w:delText>
        </w:r>
      </w:del>
    </w:p>
    <w:p>
      <w:pPr>
        <w:pStyle w:val="yIndenta"/>
        <w:spacing w:before="60"/>
        <w:rPr>
          <w:del w:id="2246" w:author="Master Repository Process" w:date="2022-03-30T12:17:00Z"/>
        </w:rPr>
      </w:pPr>
      <w:del w:id="2247" w:author="Master Repository Process" w:date="2022-03-30T12:17:00Z">
        <w:r>
          <w:tab/>
          <w:delText>(a)</w:delText>
        </w:r>
        <w:r>
          <w:tab/>
          <w:delText>at any reasonable time, enter any regulated business premises (other than a place at which a petroleum operation or geothermal energy operation is carried on) if the inspector has reasonable grounds to believe that there are likely to be at those premises documents that relate to a petroleum operation or geothermal energy operation that is a subject of the inspection; and</w:delText>
        </w:r>
      </w:del>
    </w:p>
    <w:p>
      <w:pPr>
        <w:pStyle w:val="yIndenta"/>
        <w:spacing w:before="60"/>
        <w:rPr>
          <w:del w:id="2248" w:author="Master Repository Process" w:date="2022-03-30T12:17:00Z"/>
        </w:rPr>
      </w:pPr>
      <w:del w:id="2249" w:author="Master Repository Process" w:date="2022-03-30T12:17:00Z">
        <w:r>
          <w:tab/>
          <w:delText>(b)</w:delText>
        </w:r>
        <w:r>
          <w:tab/>
          <w:delText>search for, inspect, take extracts from, or make copies of, any such documents at those premises.</w:delText>
        </w:r>
      </w:del>
    </w:p>
    <w:p>
      <w:pPr>
        <w:pStyle w:val="ySubsection"/>
        <w:rPr>
          <w:del w:id="2250" w:author="Master Repository Process" w:date="2022-03-30T12:17:00Z"/>
        </w:rPr>
      </w:pPr>
      <w:del w:id="2251" w:author="Master Repository Process" w:date="2022-03-30T12:17:00Z">
        <w:r>
          <w:tab/>
          <w:delText>(2)</w:delText>
        </w:r>
        <w:r>
          <w:tab/>
          <w:delText xml:space="preserve">Immediately on entering premises referred to in subclause (1), an inspector must take reasonable steps to notify the purpose of the entry to the occupier of those premises, and must, on being requested to do so by the occupier, produce for inspection by the occupier — </w:delText>
        </w:r>
      </w:del>
    </w:p>
    <w:p>
      <w:pPr>
        <w:pStyle w:val="yIndenta"/>
        <w:spacing w:before="60"/>
        <w:rPr>
          <w:del w:id="2252" w:author="Master Repository Process" w:date="2022-03-30T12:17:00Z"/>
        </w:rPr>
      </w:pPr>
      <w:del w:id="2253" w:author="Master Repository Process" w:date="2022-03-30T12:17:00Z">
        <w:r>
          <w:tab/>
          <w:delText>(a)</w:delText>
        </w:r>
        <w:r>
          <w:tab/>
          <w:delText>the inspector’s certificate of appointment under section 118(2); and</w:delText>
        </w:r>
      </w:del>
    </w:p>
    <w:p>
      <w:pPr>
        <w:pStyle w:val="yIndenta"/>
        <w:spacing w:before="60"/>
        <w:rPr>
          <w:del w:id="2254" w:author="Master Repository Process" w:date="2022-03-30T12:17:00Z"/>
        </w:rPr>
      </w:pPr>
      <w:del w:id="2255" w:author="Master Repository Process" w:date="2022-03-30T12:17:00Z">
        <w:r>
          <w:tab/>
          <w:delText>(b)</w:delText>
        </w:r>
        <w:r>
          <w:tab/>
          <w:delText>a copy of the Minister’s written direction (if any) to conduct the inspection; and</w:delText>
        </w:r>
      </w:del>
    </w:p>
    <w:p>
      <w:pPr>
        <w:pStyle w:val="yIndenta"/>
        <w:keepNext/>
        <w:spacing w:before="60"/>
        <w:rPr>
          <w:del w:id="2256" w:author="Master Repository Process" w:date="2022-03-30T12:17:00Z"/>
        </w:rPr>
      </w:pPr>
      <w:del w:id="2257" w:author="Master Repository Process" w:date="2022-03-30T12:17:00Z">
        <w:r>
          <w:tab/>
          <w:delText>(c)</w:delText>
        </w:r>
        <w:r>
          <w:tab/>
          <w:delText>a copy of the restrictions (if any) imposed on the powers of the inspector under clause 46(3).</w:delText>
        </w:r>
      </w:del>
    </w:p>
    <w:p>
      <w:pPr>
        <w:pStyle w:val="yFootnotesection"/>
        <w:spacing w:before="100"/>
        <w:rPr>
          <w:del w:id="2258" w:author="Master Repository Process" w:date="2022-03-30T12:17:00Z"/>
        </w:rPr>
      </w:pPr>
      <w:del w:id="2259" w:author="Master Repository Process" w:date="2022-03-30T12:17:00Z">
        <w:r>
          <w:tab/>
          <w:delText>[Clause 49 inserted: No. 13 of 2005 s. 17; amended: No. 35 of 2007 s. 86.]</w:delText>
        </w:r>
      </w:del>
    </w:p>
    <w:p>
      <w:pPr>
        <w:pStyle w:val="yHeading5"/>
        <w:rPr>
          <w:del w:id="2260" w:author="Master Repository Process" w:date="2022-03-30T12:17:00Z"/>
        </w:rPr>
      </w:pPr>
      <w:bookmarkStart w:id="2261" w:name="_Toc97630735"/>
      <w:del w:id="2262" w:author="Master Repository Process" w:date="2022-03-30T12:17:00Z">
        <w:r>
          <w:rPr>
            <w:rStyle w:val="CharSClsNo"/>
          </w:rPr>
          <w:delText>50</w:delText>
        </w:r>
        <w:r>
          <w:delText>.</w:delText>
        </w:r>
        <w:r>
          <w:rPr>
            <w:b w:val="0"/>
          </w:rPr>
          <w:tab/>
        </w:r>
        <w:r>
          <w:delText>Powers of entry and search — premises (other than regulated business premises)</w:delText>
        </w:r>
        <w:bookmarkEnd w:id="2261"/>
      </w:del>
    </w:p>
    <w:p>
      <w:pPr>
        <w:pStyle w:val="ySubsection"/>
        <w:rPr>
          <w:del w:id="2263" w:author="Master Repository Process" w:date="2022-03-30T12:17:00Z"/>
        </w:rPr>
      </w:pPr>
      <w:del w:id="2264" w:author="Master Repository Process" w:date="2022-03-30T12:17:00Z">
        <w:r>
          <w:tab/>
          <w:delText>(1)</w:delText>
        </w:r>
        <w:r>
          <w:tab/>
          <w:delText xml:space="preserve">An inspector may, for the purposes of an inspection — </w:delText>
        </w:r>
      </w:del>
    </w:p>
    <w:p>
      <w:pPr>
        <w:pStyle w:val="yIndenta"/>
        <w:rPr>
          <w:del w:id="2265" w:author="Master Repository Process" w:date="2022-03-30T12:17:00Z"/>
        </w:rPr>
      </w:pPr>
      <w:del w:id="2266" w:author="Master Repository Process" w:date="2022-03-30T12:17:00Z">
        <w:r>
          <w:tab/>
          <w:delText>(a)</w:delText>
        </w:r>
        <w:r>
          <w:tab/>
          <w:delText>enter any premises (other than regulated business premises) if the inspector has reasonable grounds to believe that there are likely to be at those premises documents that relate to a petroleum operation or geothermal energy operation that is the subject of the inspection; and</w:delText>
        </w:r>
      </w:del>
    </w:p>
    <w:p>
      <w:pPr>
        <w:pStyle w:val="yIndenta"/>
        <w:rPr>
          <w:del w:id="2267" w:author="Master Repository Process" w:date="2022-03-30T12:17:00Z"/>
        </w:rPr>
      </w:pPr>
      <w:del w:id="2268" w:author="Master Repository Process" w:date="2022-03-30T12:17:00Z">
        <w:r>
          <w:tab/>
          <w:delText>(b)</w:delText>
        </w:r>
        <w:r>
          <w:tab/>
          <w:delText>search for, inspect, take extracts from, or make copies of, any such documents at those premises.</w:delText>
        </w:r>
      </w:del>
    </w:p>
    <w:p>
      <w:pPr>
        <w:pStyle w:val="ySubsection"/>
        <w:rPr>
          <w:del w:id="2269" w:author="Master Repository Process" w:date="2022-03-30T12:17:00Z"/>
        </w:rPr>
      </w:pPr>
      <w:del w:id="2270" w:author="Master Repository Process" w:date="2022-03-30T12:17:00Z">
        <w:r>
          <w:tab/>
          <w:delText>(2)</w:delText>
        </w:r>
        <w:r>
          <w:tab/>
          <w:delText xml:space="preserve">An inspector may exercise the powers referred to in subclause (1) to enter premises only — </w:delText>
        </w:r>
      </w:del>
    </w:p>
    <w:p>
      <w:pPr>
        <w:pStyle w:val="yIndenta"/>
        <w:rPr>
          <w:del w:id="2271" w:author="Master Repository Process" w:date="2022-03-30T12:17:00Z"/>
        </w:rPr>
      </w:pPr>
      <w:del w:id="2272" w:author="Master Repository Process" w:date="2022-03-30T12:17:00Z">
        <w:r>
          <w:tab/>
          <w:delText>(a)</w:delText>
        </w:r>
        <w:r>
          <w:tab/>
          <w:delText xml:space="preserve">if the premises are not a residence — </w:delText>
        </w:r>
      </w:del>
    </w:p>
    <w:p>
      <w:pPr>
        <w:pStyle w:val="yIndenti0"/>
        <w:rPr>
          <w:del w:id="2273" w:author="Master Repository Process" w:date="2022-03-30T12:17:00Z"/>
        </w:rPr>
      </w:pPr>
      <w:del w:id="2274" w:author="Master Repository Process" w:date="2022-03-30T12:17:00Z">
        <w:r>
          <w:tab/>
          <w:delText>(i)</w:delText>
        </w:r>
        <w:r>
          <w:tab/>
          <w:delText xml:space="preserve">in accordance with a warrant under clause 51; </w:delText>
        </w:r>
      </w:del>
    </w:p>
    <w:p>
      <w:pPr>
        <w:pStyle w:val="yIndenti0"/>
        <w:rPr>
          <w:del w:id="2275" w:author="Master Repository Process" w:date="2022-03-30T12:17:00Z"/>
        </w:rPr>
      </w:pPr>
      <w:del w:id="2276" w:author="Master Repository Process" w:date="2022-03-30T12:17:00Z">
        <w:r>
          <w:tab/>
          <w:delText>(ii)</w:delText>
        </w:r>
        <w:r>
          <w:tab/>
          <w:delText xml:space="preserve">with the consent of the occupier of the premises; </w:delText>
        </w:r>
      </w:del>
    </w:p>
    <w:p>
      <w:pPr>
        <w:pStyle w:val="yIndenta"/>
        <w:rPr>
          <w:del w:id="2277" w:author="Master Repository Process" w:date="2022-03-30T12:17:00Z"/>
        </w:rPr>
      </w:pPr>
      <w:del w:id="2278" w:author="Master Repository Process" w:date="2022-03-30T12:17:00Z">
        <w:r>
          <w:tab/>
        </w:r>
        <w:r>
          <w:tab/>
          <w:delText>or</w:delText>
        </w:r>
      </w:del>
    </w:p>
    <w:p>
      <w:pPr>
        <w:pStyle w:val="yIndenta"/>
        <w:rPr>
          <w:del w:id="2279" w:author="Master Repository Process" w:date="2022-03-30T12:17:00Z"/>
        </w:rPr>
      </w:pPr>
      <w:del w:id="2280" w:author="Master Repository Process" w:date="2022-03-30T12:17:00Z">
        <w:r>
          <w:tab/>
          <w:delText>(b)</w:delText>
        </w:r>
        <w:r>
          <w:tab/>
          <w:delText>if the premises are a residence — with the consent of the occupier of the premises.</w:delText>
        </w:r>
      </w:del>
    </w:p>
    <w:p>
      <w:pPr>
        <w:pStyle w:val="ySubsection"/>
        <w:keepNext/>
        <w:rPr>
          <w:del w:id="2281" w:author="Master Repository Process" w:date="2022-03-30T12:17:00Z"/>
        </w:rPr>
      </w:pPr>
      <w:del w:id="2282" w:author="Master Repository Process" w:date="2022-03-30T12:17:00Z">
        <w:r>
          <w:tab/>
          <w:delText>(3)</w:delText>
        </w:r>
        <w:r>
          <w:tab/>
          <w:delText xml:space="preserve">Immediately on entering premises referred to in subclause (1), an inspector must — </w:delText>
        </w:r>
      </w:del>
    </w:p>
    <w:p>
      <w:pPr>
        <w:pStyle w:val="yIndenta"/>
        <w:rPr>
          <w:del w:id="2283" w:author="Master Repository Process" w:date="2022-03-30T12:17:00Z"/>
        </w:rPr>
      </w:pPr>
      <w:del w:id="2284" w:author="Master Repository Process" w:date="2022-03-30T12:17:00Z">
        <w:r>
          <w:tab/>
          <w:delText>(a)</w:delText>
        </w:r>
        <w:r>
          <w:tab/>
          <w:delText>take reasonable steps to notify the purpose of the entry to the occupier of those premises; and</w:delText>
        </w:r>
      </w:del>
    </w:p>
    <w:p>
      <w:pPr>
        <w:pStyle w:val="yIndenta"/>
        <w:rPr>
          <w:del w:id="2285" w:author="Master Repository Process" w:date="2022-03-30T12:17:00Z"/>
        </w:rPr>
      </w:pPr>
      <w:del w:id="2286" w:author="Master Repository Process" w:date="2022-03-30T12:17:00Z">
        <w:r>
          <w:tab/>
          <w:delText>(b)</w:delText>
        </w:r>
        <w:r>
          <w:tab/>
          <w:delText>take reasonable steps to produce, for inspection by the occupier, the inspector’s certificate of appointment under section 118(2); and</w:delText>
        </w:r>
      </w:del>
    </w:p>
    <w:p>
      <w:pPr>
        <w:pStyle w:val="yIndenta"/>
        <w:rPr>
          <w:del w:id="2287" w:author="Master Repository Process" w:date="2022-03-30T12:17:00Z"/>
        </w:rPr>
      </w:pPr>
      <w:del w:id="2288" w:author="Master Repository Process" w:date="2022-03-30T12:17:00Z">
        <w:r>
          <w:tab/>
          <w:delText>(c)</w:delText>
        </w:r>
        <w:r>
          <w:tab/>
          <w:delText xml:space="preserve">on being requested to do so by the occupier, produce, for inspection by the occupier — </w:delText>
        </w:r>
      </w:del>
    </w:p>
    <w:p>
      <w:pPr>
        <w:pStyle w:val="yIndenti0"/>
        <w:rPr>
          <w:del w:id="2289" w:author="Master Repository Process" w:date="2022-03-30T12:17:00Z"/>
        </w:rPr>
      </w:pPr>
      <w:del w:id="2290" w:author="Master Repository Process" w:date="2022-03-30T12:17:00Z">
        <w:r>
          <w:tab/>
          <w:delText>(i)</w:delText>
        </w:r>
        <w:r>
          <w:tab/>
          <w:delText>a copy of the Minister’s written direction (if any) to conduct the inspection; and</w:delText>
        </w:r>
      </w:del>
    </w:p>
    <w:p>
      <w:pPr>
        <w:pStyle w:val="yIndenti0"/>
        <w:rPr>
          <w:del w:id="2291" w:author="Master Repository Process" w:date="2022-03-30T12:17:00Z"/>
        </w:rPr>
      </w:pPr>
      <w:del w:id="2292" w:author="Master Repository Process" w:date="2022-03-30T12:17:00Z">
        <w:r>
          <w:tab/>
          <w:delText>(ii)</w:delText>
        </w:r>
        <w:r>
          <w:tab/>
          <w:delText>a copy of the restrictions (if any) imposed on the powers of the inspector under clause 46(3).</w:delText>
        </w:r>
      </w:del>
    </w:p>
    <w:p>
      <w:pPr>
        <w:pStyle w:val="ySubsection"/>
        <w:rPr>
          <w:del w:id="2293" w:author="Master Repository Process" w:date="2022-03-30T12:17:00Z"/>
        </w:rPr>
      </w:pPr>
      <w:del w:id="2294" w:author="Master Repository Process" w:date="2022-03-30T12:17:00Z">
        <w:r>
          <w:tab/>
          <w:delText>(4)</w:delText>
        </w:r>
        <w:r>
          <w:tab/>
          <w:delText xml:space="preserve">If — </w:delText>
        </w:r>
      </w:del>
    </w:p>
    <w:p>
      <w:pPr>
        <w:pStyle w:val="yIndenta"/>
        <w:rPr>
          <w:del w:id="2295" w:author="Master Repository Process" w:date="2022-03-30T12:17:00Z"/>
        </w:rPr>
      </w:pPr>
      <w:del w:id="2296" w:author="Master Repository Process" w:date="2022-03-30T12:17:00Z">
        <w:r>
          <w:tab/>
          <w:delText>(a)</w:delText>
        </w:r>
        <w:r>
          <w:tab/>
          <w:delText>an inspector enters premises in accordance with a warrant under clause 51; and</w:delText>
        </w:r>
      </w:del>
    </w:p>
    <w:p>
      <w:pPr>
        <w:pStyle w:val="yIndenta"/>
        <w:keepNext/>
        <w:rPr>
          <w:del w:id="2297" w:author="Master Repository Process" w:date="2022-03-30T12:17:00Z"/>
        </w:rPr>
      </w:pPr>
      <w:del w:id="2298" w:author="Master Repository Process" w:date="2022-03-30T12:17:00Z">
        <w:r>
          <w:tab/>
          <w:delText>(b)</w:delText>
        </w:r>
        <w:r>
          <w:tab/>
          <w:delText>the occupier of the premises is present at the premises,</w:delText>
        </w:r>
      </w:del>
    </w:p>
    <w:p>
      <w:pPr>
        <w:pStyle w:val="ySubsection"/>
        <w:rPr>
          <w:del w:id="2299" w:author="Master Repository Process" w:date="2022-03-30T12:17:00Z"/>
        </w:rPr>
      </w:pPr>
      <w:del w:id="2300" w:author="Master Repository Process" w:date="2022-03-30T12:17:00Z">
        <w:r>
          <w:tab/>
        </w:r>
        <w:r>
          <w:tab/>
          <w:delText>the inspector must make a copy of the warrant available to the occupier.</w:delText>
        </w:r>
      </w:del>
    </w:p>
    <w:p>
      <w:pPr>
        <w:pStyle w:val="ySubsection"/>
        <w:rPr>
          <w:del w:id="2301" w:author="Master Repository Process" w:date="2022-03-30T12:17:00Z"/>
        </w:rPr>
      </w:pPr>
      <w:del w:id="2302" w:author="Master Repository Process" w:date="2022-03-30T12:17:00Z">
        <w:r>
          <w:tab/>
          <w:delText>(5)</w:delText>
        </w:r>
        <w:r>
          <w:tab/>
          <w:delText xml:space="preserve">Before obtaining the consent of a person as mentioned in subclause (2)(a) or (b), an inspector must inform the person that — </w:delText>
        </w:r>
      </w:del>
    </w:p>
    <w:p>
      <w:pPr>
        <w:pStyle w:val="yIndenta"/>
        <w:rPr>
          <w:del w:id="2303" w:author="Master Repository Process" w:date="2022-03-30T12:17:00Z"/>
        </w:rPr>
      </w:pPr>
      <w:del w:id="2304" w:author="Master Repository Process" w:date="2022-03-30T12:17:00Z">
        <w:r>
          <w:tab/>
          <w:delText>(a)</w:delText>
        </w:r>
        <w:r>
          <w:tab/>
          <w:delText>the person may refuse consent; and</w:delText>
        </w:r>
      </w:del>
    </w:p>
    <w:p>
      <w:pPr>
        <w:pStyle w:val="yIndenta"/>
        <w:rPr>
          <w:del w:id="2305" w:author="Master Repository Process" w:date="2022-03-30T12:17:00Z"/>
        </w:rPr>
      </w:pPr>
      <w:del w:id="2306" w:author="Master Repository Process" w:date="2022-03-30T12:17:00Z">
        <w:r>
          <w:tab/>
          <w:delText>(b)</w:delText>
        </w:r>
        <w:r>
          <w:tab/>
          <w:delText>the consent may be withdrawn.</w:delText>
        </w:r>
      </w:del>
    </w:p>
    <w:p>
      <w:pPr>
        <w:pStyle w:val="ySubsection"/>
        <w:rPr>
          <w:del w:id="2307" w:author="Master Repository Process" w:date="2022-03-30T12:17:00Z"/>
        </w:rPr>
      </w:pPr>
      <w:del w:id="2308" w:author="Master Repository Process" w:date="2022-03-30T12:17:00Z">
        <w:r>
          <w:tab/>
          <w:delText>(6)</w:delText>
        </w:r>
        <w:r>
          <w:tab/>
          <w:delText>The consent of a person is not effective for the purposes of subclause (2) unless the consent is voluntary.</w:delText>
        </w:r>
      </w:del>
    </w:p>
    <w:p>
      <w:pPr>
        <w:pStyle w:val="yFootnotesection"/>
        <w:rPr>
          <w:del w:id="2309" w:author="Master Repository Process" w:date="2022-03-30T12:17:00Z"/>
        </w:rPr>
      </w:pPr>
      <w:del w:id="2310" w:author="Master Repository Process" w:date="2022-03-30T12:17:00Z">
        <w:r>
          <w:tab/>
          <w:delText>[Clause 50 inserted: No. 13 of 2005 s. 17; amended: No. 35 of 2007 s. 86.]</w:delText>
        </w:r>
      </w:del>
    </w:p>
    <w:p>
      <w:pPr>
        <w:pStyle w:val="yHeading5"/>
        <w:rPr>
          <w:del w:id="2311" w:author="Master Repository Process" w:date="2022-03-30T12:17:00Z"/>
        </w:rPr>
      </w:pPr>
      <w:bookmarkStart w:id="2312" w:name="_Toc97630736"/>
      <w:del w:id="2313" w:author="Master Repository Process" w:date="2022-03-30T12:17:00Z">
        <w:r>
          <w:rPr>
            <w:rStyle w:val="CharSClsNo"/>
          </w:rPr>
          <w:delText>51</w:delText>
        </w:r>
        <w:r>
          <w:delText>.</w:delText>
        </w:r>
        <w:r>
          <w:rPr>
            <w:b w:val="0"/>
          </w:rPr>
          <w:tab/>
        </w:r>
        <w:r>
          <w:delText>Warrant to enter premises (other than regulated business premises)</w:delText>
        </w:r>
        <w:bookmarkEnd w:id="2312"/>
      </w:del>
    </w:p>
    <w:p>
      <w:pPr>
        <w:pStyle w:val="ySubsection"/>
        <w:rPr>
          <w:del w:id="2314" w:author="Master Repository Process" w:date="2022-03-30T12:17:00Z"/>
        </w:rPr>
      </w:pPr>
      <w:del w:id="2315" w:author="Master Repository Process" w:date="2022-03-30T12:17:00Z">
        <w:r>
          <w:tab/>
          <w:delText>(1)</w:delText>
        </w:r>
        <w:r>
          <w:tab/>
          <w:delText>An inspector may apply to a magistrate for a warrant authorising the inspector, with any assistance as the inspector thinks necessary, to exercise the powers referred to in clause 50(1) in relation to particular premises (other than a residence).</w:delText>
        </w:r>
      </w:del>
    </w:p>
    <w:p>
      <w:pPr>
        <w:pStyle w:val="ySubsection"/>
        <w:rPr>
          <w:del w:id="2316" w:author="Master Repository Process" w:date="2022-03-30T12:17:00Z"/>
        </w:rPr>
      </w:pPr>
      <w:del w:id="2317" w:author="Master Repository Process" w:date="2022-03-30T12:17:00Z">
        <w:r>
          <w:tab/>
          <w:delText>(2)</w:delText>
        </w:r>
        <w:r>
          <w:tab/>
          <w:delText>The application must be supported by evidence on oath (whether oral or by affidavit) that sets out the grounds on which the inspector is applying for the warrant.</w:delText>
        </w:r>
      </w:del>
    </w:p>
    <w:p>
      <w:pPr>
        <w:pStyle w:val="ySubsection"/>
        <w:rPr>
          <w:del w:id="2318" w:author="Master Repository Process" w:date="2022-03-30T12:17:00Z"/>
        </w:rPr>
      </w:pPr>
      <w:del w:id="2319" w:author="Master Repository Process" w:date="2022-03-30T12:17:00Z">
        <w:r>
          <w:tab/>
          <w:delText>(3)</w:delText>
        </w:r>
        <w:r>
          <w:tab/>
          <w:delText>If the magistrate is satisfied that there are reasonable grounds for issuing the warrant, the magistrate may issue the warrant.</w:delText>
        </w:r>
      </w:del>
    </w:p>
    <w:p>
      <w:pPr>
        <w:pStyle w:val="ySubsection"/>
        <w:rPr>
          <w:del w:id="2320" w:author="Master Repository Process" w:date="2022-03-30T12:17:00Z"/>
        </w:rPr>
      </w:pPr>
      <w:del w:id="2321" w:author="Master Repository Process" w:date="2022-03-30T12:17:00Z">
        <w:r>
          <w:tab/>
          <w:delText>(4)</w:delText>
        </w:r>
        <w:r>
          <w:tab/>
          <w:delText xml:space="preserve">A warrant issued under subclause (3) must state — </w:delText>
        </w:r>
      </w:del>
    </w:p>
    <w:p>
      <w:pPr>
        <w:pStyle w:val="yIndenta"/>
        <w:rPr>
          <w:del w:id="2322" w:author="Master Repository Process" w:date="2022-03-30T12:17:00Z"/>
        </w:rPr>
      </w:pPr>
      <w:del w:id="2323" w:author="Master Repository Process" w:date="2022-03-30T12:17:00Z">
        <w:r>
          <w:tab/>
          <w:delText>(a)</w:delText>
        </w:r>
        <w:r>
          <w:tab/>
          <w:delText>the name of the inspector; and</w:delText>
        </w:r>
      </w:del>
    </w:p>
    <w:p>
      <w:pPr>
        <w:pStyle w:val="yIndenta"/>
        <w:rPr>
          <w:del w:id="2324" w:author="Master Repository Process" w:date="2022-03-30T12:17:00Z"/>
        </w:rPr>
      </w:pPr>
      <w:del w:id="2325" w:author="Master Repository Process" w:date="2022-03-30T12:17:00Z">
        <w:r>
          <w:tab/>
          <w:delText>(b)</w:delText>
        </w:r>
        <w:r>
          <w:tab/>
          <w:delText>whether the inspection may be carried out at any time or only during specified hours of the day; and</w:delText>
        </w:r>
      </w:del>
    </w:p>
    <w:p>
      <w:pPr>
        <w:pStyle w:val="yIndenta"/>
        <w:rPr>
          <w:del w:id="2326" w:author="Master Repository Process" w:date="2022-03-30T12:17:00Z"/>
        </w:rPr>
      </w:pPr>
      <w:del w:id="2327" w:author="Master Repository Process" w:date="2022-03-30T12:17:00Z">
        <w:r>
          <w:tab/>
          <w:delText>(c)</w:delText>
        </w:r>
        <w:r>
          <w:tab/>
          <w:delText>the day on which the warrant ceases to have effect; and</w:delText>
        </w:r>
      </w:del>
    </w:p>
    <w:p>
      <w:pPr>
        <w:pStyle w:val="yIndenta"/>
        <w:rPr>
          <w:del w:id="2328" w:author="Master Repository Process" w:date="2022-03-30T12:17:00Z"/>
        </w:rPr>
      </w:pPr>
      <w:del w:id="2329" w:author="Master Repository Process" w:date="2022-03-30T12:17:00Z">
        <w:r>
          <w:tab/>
          <w:delText>(d)</w:delText>
        </w:r>
        <w:r>
          <w:tab/>
          <w:delText>the purposes for which the warrant is issued.</w:delText>
        </w:r>
      </w:del>
    </w:p>
    <w:p>
      <w:pPr>
        <w:pStyle w:val="ySubsection"/>
        <w:rPr>
          <w:del w:id="2330" w:author="Master Repository Process" w:date="2022-03-30T12:17:00Z"/>
        </w:rPr>
      </w:pPr>
      <w:del w:id="2331" w:author="Master Repository Process" w:date="2022-03-30T12:17:00Z">
        <w:r>
          <w:tab/>
          <w:delText>(5)</w:delText>
        </w:r>
        <w:r>
          <w:tab/>
          <w:delText>The day specified under subclause (4)(c) is not to be more than 7 days after the day on which the warrant is issued.</w:delText>
        </w:r>
      </w:del>
    </w:p>
    <w:p>
      <w:pPr>
        <w:pStyle w:val="ySubsection"/>
        <w:rPr>
          <w:del w:id="2332" w:author="Master Repository Process" w:date="2022-03-30T12:17:00Z"/>
        </w:rPr>
      </w:pPr>
      <w:del w:id="2333" w:author="Master Repository Process" w:date="2022-03-30T12:17:00Z">
        <w:r>
          <w:tab/>
          <w:delText>(6)</w:delText>
        </w:r>
        <w:r>
          <w:tab/>
          <w:delText>The purposes specified under subclause (4)(d) must include the identification of the premises in relation to which the warrant is issued.</w:delText>
        </w:r>
      </w:del>
    </w:p>
    <w:p>
      <w:pPr>
        <w:pStyle w:val="yFootnotesection"/>
        <w:spacing w:before="80"/>
        <w:rPr>
          <w:del w:id="2334" w:author="Master Repository Process" w:date="2022-03-30T12:17:00Z"/>
        </w:rPr>
      </w:pPr>
      <w:del w:id="2335" w:author="Master Repository Process" w:date="2022-03-30T12:17:00Z">
        <w:r>
          <w:tab/>
          <w:delText>[Clause 51 inserted: No. 13 of 2005 s. 17.]</w:delText>
        </w:r>
      </w:del>
    </w:p>
    <w:p>
      <w:pPr>
        <w:pStyle w:val="yHeading5"/>
        <w:spacing w:before="180"/>
        <w:rPr>
          <w:del w:id="2336" w:author="Master Repository Process" w:date="2022-03-30T12:17:00Z"/>
        </w:rPr>
      </w:pPr>
      <w:bookmarkStart w:id="2337" w:name="_Toc97630737"/>
      <w:del w:id="2338" w:author="Master Repository Process" w:date="2022-03-30T12:17:00Z">
        <w:r>
          <w:rPr>
            <w:rStyle w:val="CharSClsNo"/>
          </w:rPr>
          <w:delText>52</w:delText>
        </w:r>
        <w:r>
          <w:delText>.</w:delText>
        </w:r>
        <w:r>
          <w:rPr>
            <w:b w:val="0"/>
          </w:rPr>
          <w:tab/>
        </w:r>
        <w:r>
          <w:delText>Obstructing or hindering inspector</w:delText>
        </w:r>
        <w:bookmarkEnd w:id="2337"/>
      </w:del>
    </w:p>
    <w:p>
      <w:pPr>
        <w:pStyle w:val="ySubsection"/>
        <w:spacing w:before="120"/>
        <w:rPr>
          <w:del w:id="2339" w:author="Master Repository Process" w:date="2022-03-30T12:17:00Z"/>
        </w:rPr>
      </w:pPr>
      <w:del w:id="2340" w:author="Master Repository Process" w:date="2022-03-30T12:17:00Z">
        <w:r>
          <w:tab/>
        </w:r>
        <w:r>
          <w:tab/>
          <w:delText>A person must not, without reasonable excuse, obstruct or hinder an inspector in the exercise of an inspector’s powers under clause 48, 49 or 50.</w:delText>
        </w:r>
      </w:del>
    </w:p>
    <w:p>
      <w:pPr>
        <w:pStyle w:val="yPenstart"/>
        <w:rPr>
          <w:del w:id="2341" w:author="Master Repository Process" w:date="2022-03-30T12:17:00Z"/>
        </w:rPr>
      </w:pPr>
      <w:del w:id="2342" w:author="Master Repository Process" w:date="2022-03-30T12:17:00Z">
        <w:r>
          <w:tab/>
          <w:delText>Penalty: a fine of $5 500.</w:delText>
        </w:r>
      </w:del>
    </w:p>
    <w:p>
      <w:pPr>
        <w:pStyle w:val="yFootnotesection"/>
        <w:spacing w:before="80"/>
        <w:rPr>
          <w:del w:id="2343" w:author="Master Repository Process" w:date="2022-03-30T12:17:00Z"/>
        </w:rPr>
      </w:pPr>
      <w:del w:id="2344" w:author="Master Repository Process" w:date="2022-03-30T12:17:00Z">
        <w:r>
          <w:tab/>
          <w:delText>[Clause 52 inserted: No. 13 of 2005 s. 17; amended: No. 42 of 2010 s. 60(6).]</w:delText>
        </w:r>
      </w:del>
    </w:p>
    <w:p>
      <w:pPr>
        <w:pStyle w:val="yHeading5"/>
        <w:spacing w:before="180"/>
        <w:rPr>
          <w:del w:id="2345" w:author="Master Repository Process" w:date="2022-03-30T12:17:00Z"/>
        </w:rPr>
      </w:pPr>
      <w:bookmarkStart w:id="2346" w:name="_Toc97630738"/>
      <w:del w:id="2347" w:author="Master Repository Process" w:date="2022-03-30T12:17:00Z">
        <w:r>
          <w:rPr>
            <w:rStyle w:val="CharSClsNo"/>
          </w:rPr>
          <w:delText>53</w:delText>
        </w:r>
        <w:r>
          <w:delText>.</w:delText>
        </w:r>
        <w:r>
          <w:rPr>
            <w:b w:val="0"/>
          </w:rPr>
          <w:tab/>
        </w:r>
        <w:r>
          <w:delText>Power to require assistance and information</w:delText>
        </w:r>
        <w:bookmarkEnd w:id="2346"/>
      </w:del>
    </w:p>
    <w:p>
      <w:pPr>
        <w:pStyle w:val="ySubsection"/>
        <w:spacing w:before="120"/>
        <w:rPr>
          <w:del w:id="2348" w:author="Master Repository Process" w:date="2022-03-30T12:17:00Z"/>
        </w:rPr>
      </w:pPr>
      <w:del w:id="2349" w:author="Master Repository Process" w:date="2022-03-30T12:17:00Z">
        <w:r>
          <w:tab/>
          <w:delText>(1)</w:delText>
        </w:r>
        <w:r>
          <w:tab/>
          <w:delText xml:space="preserve">An inspector may, to the extent that it is reasonably necessary to do so in connection with the conduct of an inspection, require — </w:delText>
        </w:r>
      </w:del>
    </w:p>
    <w:p>
      <w:pPr>
        <w:pStyle w:val="yIndenta"/>
        <w:spacing w:before="60"/>
        <w:rPr>
          <w:del w:id="2350" w:author="Master Repository Process" w:date="2022-03-30T12:17:00Z"/>
        </w:rPr>
      </w:pPr>
      <w:del w:id="2351" w:author="Master Repository Process" w:date="2022-03-30T12:17:00Z">
        <w:r>
          <w:tab/>
          <w:delText>(a)</w:delText>
        </w:r>
        <w:r>
          <w:tab/>
          <w:delText>the operator of a petroleum operation or geothermal energy operation; or</w:delText>
        </w:r>
      </w:del>
    </w:p>
    <w:p>
      <w:pPr>
        <w:pStyle w:val="yIndenta"/>
        <w:spacing w:before="60"/>
        <w:rPr>
          <w:del w:id="2352" w:author="Master Repository Process" w:date="2022-03-30T12:17:00Z"/>
        </w:rPr>
      </w:pPr>
      <w:del w:id="2353" w:author="Master Repository Process" w:date="2022-03-30T12:17:00Z">
        <w:r>
          <w:tab/>
          <w:delText>(b)</w:delText>
        </w:r>
        <w:r>
          <w:tab/>
          <w:delText>the person in charge of a petroleum operation or geothermal energy operation; or</w:delText>
        </w:r>
      </w:del>
    </w:p>
    <w:p>
      <w:pPr>
        <w:pStyle w:val="yIndenta"/>
        <w:spacing w:before="60"/>
        <w:rPr>
          <w:del w:id="2354" w:author="Master Repository Process" w:date="2022-03-30T12:17:00Z"/>
        </w:rPr>
      </w:pPr>
      <w:del w:id="2355" w:author="Master Repository Process" w:date="2022-03-30T12:17:00Z">
        <w:r>
          <w:tab/>
          <w:delText>(c)</w:delText>
        </w:r>
        <w:r>
          <w:tab/>
          <w:delText>a member of the workforce engaged in a petroleum operation or geothermal energy operation; or</w:delText>
        </w:r>
      </w:del>
    </w:p>
    <w:p>
      <w:pPr>
        <w:pStyle w:val="yIndenta"/>
        <w:spacing w:before="60"/>
        <w:rPr>
          <w:del w:id="2356" w:author="Master Repository Process" w:date="2022-03-30T12:17:00Z"/>
        </w:rPr>
      </w:pPr>
      <w:del w:id="2357" w:author="Master Repository Process" w:date="2022-03-30T12:17:00Z">
        <w:r>
          <w:tab/>
          <w:delText>(d)</w:delText>
        </w:r>
        <w:r>
          <w:tab/>
          <w:delText>any person representing a person referred to in paragraph (a) or (b),</w:delText>
        </w:r>
      </w:del>
    </w:p>
    <w:p>
      <w:pPr>
        <w:pStyle w:val="ySubsection"/>
        <w:spacing w:before="120"/>
        <w:rPr>
          <w:del w:id="2358" w:author="Master Repository Process" w:date="2022-03-30T12:17:00Z"/>
        </w:rPr>
      </w:pPr>
      <w:del w:id="2359" w:author="Master Repository Process" w:date="2022-03-30T12:17:00Z">
        <w:r>
          <w:tab/>
        </w:r>
        <w:r>
          <w:tab/>
          <w:delText xml:space="preserve">to provide the inspector with reasonable assistance and amenities — </w:delText>
        </w:r>
      </w:del>
    </w:p>
    <w:p>
      <w:pPr>
        <w:pStyle w:val="yIndenta"/>
        <w:spacing w:before="60"/>
        <w:rPr>
          <w:del w:id="2360" w:author="Master Repository Process" w:date="2022-03-30T12:17:00Z"/>
        </w:rPr>
      </w:pPr>
      <w:del w:id="2361" w:author="Master Repository Process" w:date="2022-03-30T12:17:00Z">
        <w:r>
          <w:tab/>
          <w:delText>(e)</w:delText>
        </w:r>
        <w:r>
          <w:tab/>
          <w:delText>that is or are reasonably connected with the conduct of the inspection in relation to the petroleum operation or geothermal energy operation; or</w:delText>
        </w:r>
      </w:del>
    </w:p>
    <w:p>
      <w:pPr>
        <w:pStyle w:val="yIndenta"/>
        <w:spacing w:before="60"/>
        <w:rPr>
          <w:del w:id="2362" w:author="Master Repository Process" w:date="2022-03-30T12:17:00Z"/>
        </w:rPr>
      </w:pPr>
      <w:del w:id="2363" w:author="Master Repository Process" w:date="2022-03-30T12:17:00Z">
        <w:r>
          <w:tab/>
          <w:delText>(f)</w:delText>
        </w:r>
        <w:r>
          <w:tab/>
          <w:delText>for the effective exercise of the inspector’s powers under this Schedule in connection with the conduct of the inspection in relation to the petroleum operation or geothermal energy operation.</w:delText>
        </w:r>
      </w:del>
    </w:p>
    <w:p>
      <w:pPr>
        <w:pStyle w:val="ySubsection"/>
        <w:spacing w:before="120"/>
        <w:rPr>
          <w:del w:id="2364" w:author="Master Repository Process" w:date="2022-03-30T12:17:00Z"/>
        </w:rPr>
      </w:pPr>
      <w:del w:id="2365" w:author="Master Repository Process" w:date="2022-03-30T12:17:00Z">
        <w:r>
          <w:tab/>
          <w:delText>(2)</w:delText>
        </w:r>
        <w:r>
          <w:tab/>
          <w:delText xml:space="preserve">The reasonable assistance referred to in subclause (1) includes, so far as the operator of a petroleum operation or geothermal energy operation is concerned — </w:delText>
        </w:r>
      </w:del>
    </w:p>
    <w:p>
      <w:pPr>
        <w:pStyle w:val="yIndenta"/>
        <w:spacing w:before="60"/>
        <w:rPr>
          <w:del w:id="2366" w:author="Master Repository Process" w:date="2022-03-30T12:17:00Z"/>
        </w:rPr>
      </w:pPr>
      <w:del w:id="2367" w:author="Master Repository Process" w:date="2022-03-30T12:17:00Z">
        <w:r>
          <w:tab/>
          <w:delText>(a)</w:delText>
        </w:r>
        <w:r>
          <w:tab/>
          <w:delText>appropriate transport for the inspector to and from the place to be inspected and for any equipment required by the inspector, or any article of which the inspector has taken possession; and</w:delText>
        </w:r>
      </w:del>
    </w:p>
    <w:p>
      <w:pPr>
        <w:pStyle w:val="yIndenta"/>
        <w:rPr>
          <w:del w:id="2368" w:author="Master Repository Process" w:date="2022-03-30T12:17:00Z"/>
        </w:rPr>
      </w:pPr>
      <w:del w:id="2369" w:author="Master Repository Process" w:date="2022-03-30T12:17:00Z">
        <w:r>
          <w:tab/>
          <w:delText>(b)</w:delText>
        </w:r>
        <w:r>
          <w:tab/>
          <w:delText>reasonable accommodation and means of subsistence while the inspector is at the place to be inspected.</w:delText>
        </w:r>
      </w:del>
    </w:p>
    <w:p>
      <w:pPr>
        <w:pStyle w:val="ySubsection"/>
        <w:rPr>
          <w:del w:id="2370" w:author="Master Repository Process" w:date="2022-03-30T12:17:00Z"/>
        </w:rPr>
      </w:pPr>
      <w:del w:id="2371" w:author="Master Repository Process" w:date="2022-03-30T12:17:00Z">
        <w:r>
          <w:tab/>
          <w:delText>(3)</w:delText>
        </w:r>
        <w:r>
          <w:tab/>
          <w:delText>A person must not fail, without reasonable excuse, to comply with a requirement under this clause.</w:delText>
        </w:r>
      </w:del>
    </w:p>
    <w:p>
      <w:pPr>
        <w:pStyle w:val="yPenstart"/>
        <w:rPr>
          <w:del w:id="2372" w:author="Master Repository Process" w:date="2022-03-30T12:17:00Z"/>
        </w:rPr>
      </w:pPr>
      <w:del w:id="2373" w:author="Master Repository Process" w:date="2022-03-30T12:17:00Z">
        <w:r>
          <w:tab/>
          <w:delText>Penalty for an offence under subclause (3): a fine of $3 300 or imprisonment for 6 months or both.</w:delText>
        </w:r>
      </w:del>
    </w:p>
    <w:p>
      <w:pPr>
        <w:pStyle w:val="yFootnotesection"/>
        <w:rPr>
          <w:del w:id="2374" w:author="Master Repository Process" w:date="2022-03-30T12:17:00Z"/>
        </w:rPr>
      </w:pPr>
      <w:del w:id="2375" w:author="Master Repository Process" w:date="2022-03-30T12:17:00Z">
        <w:r>
          <w:tab/>
          <w:delText>[Clause 53 inserted: No. 13 of 2005 s. 17; amended: No. 35 of 2007 s. 86; No. 42 of 2010 s. 60(1).]</w:delText>
        </w:r>
      </w:del>
    </w:p>
    <w:p>
      <w:pPr>
        <w:pStyle w:val="yHeading5"/>
        <w:rPr>
          <w:del w:id="2376" w:author="Master Repository Process" w:date="2022-03-30T12:17:00Z"/>
        </w:rPr>
      </w:pPr>
      <w:bookmarkStart w:id="2377" w:name="_Toc97630739"/>
      <w:del w:id="2378" w:author="Master Repository Process" w:date="2022-03-30T12:17:00Z">
        <w:r>
          <w:rPr>
            <w:rStyle w:val="CharSClsNo"/>
          </w:rPr>
          <w:delText>54</w:delText>
        </w:r>
        <w:r>
          <w:delText>.</w:delText>
        </w:r>
        <w:r>
          <w:rPr>
            <w:b w:val="0"/>
          </w:rPr>
          <w:tab/>
        </w:r>
        <w:r>
          <w:delText>Power to require answering of questions and production of documents or articles</w:delText>
        </w:r>
        <w:bookmarkEnd w:id="2377"/>
      </w:del>
    </w:p>
    <w:p>
      <w:pPr>
        <w:pStyle w:val="ySubsection"/>
        <w:rPr>
          <w:del w:id="2379" w:author="Master Repository Process" w:date="2022-03-30T12:17:00Z"/>
        </w:rPr>
      </w:pPr>
      <w:del w:id="2380" w:author="Master Repository Process" w:date="2022-03-30T12:17:00Z">
        <w:r>
          <w:tab/>
          <w:delText>(1)</w:delText>
        </w:r>
        <w:r>
          <w:tab/>
          <w:delText xml:space="preserve">If — </w:delText>
        </w:r>
      </w:del>
    </w:p>
    <w:p>
      <w:pPr>
        <w:pStyle w:val="yIndenta"/>
        <w:rPr>
          <w:del w:id="2381" w:author="Master Repository Process" w:date="2022-03-30T12:17:00Z"/>
        </w:rPr>
      </w:pPr>
      <w:del w:id="2382" w:author="Master Repository Process" w:date="2022-03-30T12:17:00Z">
        <w:r>
          <w:tab/>
          <w:delText>(a)</w:delText>
        </w:r>
        <w:r>
          <w:tab/>
          <w:delText>an inspector believes on reasonable grounds that a person is capable of answering a question that is reasonably connected with the conduct of an inspection; and</w:delText>
        </w:r>
      </w:del>
    </w:p>
    <w:p>
      <w:pPr>
        <w:pStyle w:val="yIndenta"/>
        <w:keepNext/>
        <w:rPr>
          <w:del w:id="2383" w:author="Master Repository Process" w:date="2022-03-30T12:17:00Z"/>
        </w:rPr>
      </w:pPr>
      <w:del w:id="2384" w:author="Master Repository Process" w:date="2022-03-30T12:17:00Z">
        <w:r>
          <w:tab/>
          <w:delText>(b)</w:delText>
        </w:r>
        <w:r>
          <w:tab/>
          <w:delText xml:space="preserve">the person is — </w:delText>
        </w:r>
      </w:del>
    </w:p>
    <w:p>
      <w:pPr>
        <w:pStyle w:val="yIndenti0"/>
        <w:rPr>
          <w:del w:id="2385" w:author="Master Repository Process" w:date="2022-03-30T12:17:00Z"/>
        </w:rPr>
      </w:pPr>
      <w:del w:id="2386" w:author="Master Repository Process" w:date="2022-03-30T12:17:00Z">
        <w:r>
          <w:tab/>
          <w:delText>(i)</w:delText>
        </w:r>
        <w:r>
          <w:tab/>
          <w:delText>the operator of a petroleum operation or geothermal energy operation; or</w:delText>
        </w:r>
      </w:del>
    </w:p>
    <w:p>
      <w:pPr>
        <w:pStyle w:val="yIndenti0"/>
        <w:rPr>
          <w:del w:id="2387" w:author="Master Repository Process" w:date="2022-03-30T12:17:00Z"/>
        </w:rPr>
      </w:pPr>
      <w:del w:id="2388" w:author="Master Repository Process" w:date="2022-03-30T12:17:00Z">
        <w:r>
          <w:tab/>
          <w:delText>(ii)</w:delText>
        </w:r>
        <w:r>
          <w:tab/>
          <w:delText>the person in charge of a petroleum operation or geothermal energy operation; or</w:delText>
        </w:r>
      </w:del>
    </w:p>
    <w:p>
      <w:pPr>
        <w:pStyle w:val="yIndenti0"/>
        <w:rPr>
          <w:del w:id="2389" w:author="Master Repository Process" w:date="2022-03-30T12:17:00Z"/>
        </w:rPr>
      </w:pPr>
      <w:del w:id="2390" w:author="Master Repository Process" w:date="2022-03-30T12:17:00Z">
        <w:r>
          <w:tab/>
          <w:delText>(iii)</w:delText>
        </w:r>
        <w:r>
          <w:tab/>
          <w:delText>a member of the workforce engaged in a petroleum operation or geothermal energy operation; or</w:delText>
        </w:r>
      </w:del>
    </w:p>
    <w:p>
      <w:pPr>
        <w:pStyle w:val="yIndenti0"/>
        <w:rPr>
          <w:del w:id="2391" w:author="Master Repository Process" w:date="2022-03-30T12:17:00Z"/>
        </w:rPr>
      </w:pPr>
      <w:del w:id="2392" w:author="Master Repository Process" w:date="2022-03-30T12:17:00Z">
        <w:r>
          <w:tab/>
          <w:delText>(iv)</w:delText>
        </w:r>
        <w:r>
          <w:tab/>
          <w:delText>any person representing a person referred to in subparagraph (i) or (ii),</w:delText>
        </w:r>
      </w:del>
    </w:p>
    <w:p>
      <w:pPr>
        <w:pStyle w:val="yIndenta"/>
        <w:rPr>
          <w:del w:id="2393" w:author="Master Repository Process" w:date="2022-03-30T12:17:00Z"/>
        </w:rPr>
      </w:pPr>
      <w:del w:id="2394" w:author="Master Repository Process" w:date="2022-03-30T12:17:00Z">
        <w:r>
          <w:tab/>
        </w:r>
        <w:r>
          <w:tab/>
          <w:delText>the inspector may, to the extent that it is reasonably necessary to do so in connection with the conduct of the inspection, require the person to answer the question put by the inspector.</w:delText>
        </w:r>
      </w:del>
    </w:p>
    <w:p>
      <w:pPr>
        <w:pStyle w:val="ySubsection"/>
        <w:rPr>
          <w:del w:id="2395" w:author="Master Repository Process" w:date="2022-03-30T12:17:00Z"/>
        </w:rPr>
      </w:pPr>
      <w:del w:id="2396" w:author="Master Repository Process" w:date="2022-03-30T12:17:00Z">
        <w:r>
          <w:tab/>
          <w:delText>(2)</w:delText>
        </w:r>
        <w:r>
          <w:tab/>
          <w:delText xml:space="preserve">If, at the time when a requirement under subclause (1) is imposed on a person, the person is not physically present on regulated business premises, the person is not obliged to comply with the requirement unless the requirement — </w:delText>
        </w:r>
      </w:del>
    </w:p>
    <w:p>
      <w:pPr>
        <w:pStyle w:val="yIndenta"/>
        <w:rPr>
          <w:del w:id="2397" w:author="Master Repository Process" w:date="2022-03-30T12:17:00Z"/>
        </w:rPr>
      </w:pPr>
      <w:del w:id="2398" w:author="Master Repository Process" w:date="2022-03-30T12:17:00Z">
        <w:r>
          <w:tab/>
          <w:delText>(a)</w:delText>
        </w:r>
        <w:r>
          <w:tab/>
          <w:delText>is in writing; and</w:delText>
        </w:r>
      </w:del>
    </w:p>
    <w:p>
      <w:pPr>
        <w:pStyle w:val="yIndenta"/>
        <w:rPr>
          <w:del w:id="2399" w:author="Master Repository Process" w:date="2022-03-30T12:17:00Z"/>
        </w:rPr>
      </w:pPr>
      <w:del w:id="2400" w:author="Master Repository Process" w:date="2022-03-30T12:17:00Z">
        <w:r>
          <w:tab/>
          <w:delText>(b)</w:delText>
        </w:r>
        <w:r>
          <w:tab/>
          <w:delText>specifies the day on or before which the question is to be answered (being at least 14 days after the day on which the requirement is imposed); and</w:delText>
        </w:r>
      </w:del>
    </w:p>
    <w:p>
      <w:pPr>
        <w:pStyle w:val="yIndenta"/>
        <w:rPr>
          <w:del w:id="2401" w:author="Master Repository Process" w:date="2022-03-30T12:17:00Z"/>
        </w:rPr>
      </w:pPr>
      <w:del w:id="2402" w:author="Master Repository Process" w:date="2022-03-30T12:17:00Z">
        <w:r>
          <w:tab/>
          <w:delText>(c)</w:delText>
        </w:r>
        <w:r>
          <w:tab/>
          <w:delText>is accompanied by a statement to the effect that a failure to comply with the requirement is an offence.</w:delText>
        </w:r>
      </w:del>
    </w:p>
    <w:p>
      <w:pPr>
        <w:pStyle w:val="ySubsection"/>
        <w:rPr>
          <w:del w:id="2403" w:author="Master Repository Process" w:date="2022-03-30T12:17:00Z"/>
        </w:rPr>
      </w:pPr>
      <w:del w:id="2404" w:author="Master Repository Process" w:date="2022-03-30T12:17:00Z">
        <w:r>
          <w:tab/>
          <w:delText>(3)</w:delText>
        </w:r>
        <w:r>
          <w:tab/>
          <w:delText xml:space="preserve">If — </w:delText>
        </w:r>
      </w:del>
    </w:p>
    <w:p>
      <w:pPr>
        <w:pStyle w:val="yIndenta"/>
        <w:rPr>
          <w:del w:id="2405" w:author="Master Repository Process" w:date="2022-03-30T12:17:00Z"/>
        </w:rPr>
      </w:pPr>
      <w:del w:id="2406" w:author="Master Repository Process" w:date="2022-03-30T12:17:00Z">
        <w:r>
          <w:tab/>
          <w:delText>(a)</w:delText>
        </w:r>
        <w:r>
          <w:tab/>
          <w:delText>an inspector believes on reasonable grounds that a person is capable of producing a document or article that is reasonably connected with the conduct of an inspection; and</w:delText>
        </w:r>
      </w:del>
    </w:p>
    <w:p>
      <w:pPr>
        <w:pStyle w:val="yIndenta"/>
        <w:rPr>
          <w:del w:id="2407" w:author="Master Repository Process" w:date="2022-03-30T12:17:00Z"/>
        </w:rPr>
      </w:pPr>
      <w:del w:id="2408" w:author="Master Repository Process" w:date="2022-03-30T12:17:00Z">
        <w:r>
          <w:tab/>
          <w:delText>(b)</w:delText>
        </w:r>
        <w:r>
          <w:tab/>
          <w:delText xml:space="preserve">the person is — </w:delText>
        </w:r>
      </w:del>
    </w:p>
    <w:p>
      <w:pPr>
        <w:pStyle w:val="yIndenti0"/>
        <w:rPr>
          <w:del w:id="2409" w:author="Master Repository Process" w:date="2022-03-30T12:17:00Z"/>
        </w:rPr>
      </w:pPr>
      <w:del w:id="2410" w:author="Master Repository Process" w:date="2022-03-30T12:17:00Z">
        <w:r>
          <w:tab/>
          <w:delText>(i)</w:delText>
        </w:r>
        <w:r>
          <w:tab/>
          <w:delText>the operator of a petroleum operation or geothermal energy operation; or</w:delText>
        </w:r>
      </w:del>
    </w:p>
    <w:p>
      <w:pPr>
        <w:pStyle w:val="yIndenti0"/>
        <w:rPr>
          <w:del w:id="2411" w:author="Master Repository Process" w:date="2022-03-30T12:17:00Z"/>
        </w:rPr>
      </w:pPr>
      <w:del w:id="2412" w:author="Master Repository Process" w:date="2022-03-30T12:17:00Z">
        <w:r>
          <w:tab/>
          <w:delText>(ii)</w:delText>
        </w:r>
        <w:r>
          <w:tab/>
          <w:delText>the person in charge of a petroleum operation or geothermal energy operation; or</w:delText>
        </w:r>
      </w:del>
    </w:p>
    <w:p>
      <w:pPr>
        <w:pStyle w:val="yIndenti0"/>
        <w:rPr>
          <w:del w:id="2413" w:author="Master Repository Process" w:date="2022-03-30T12:17:00Z"/>
        </w:rPr>
      </w:pPr>
      <w:del w:id="2414" w:author="Master Repository Process" w:date="2022-03-30T12:17:00Z">
        <w:r>
          <w:tab/>
          <w:delText>(iii)</w:delText>
        </w:r>
        <w:r>
          <w:tab/>
          <w:delText>a member of the workforce engaged in a petroleum operation or geothermal energy operation; or</w:delText>
        </w:r>
      </w:del>
    </w:p>
    <w:p>
      <w:pPr>
        <w:pStyle w:val="yIndenti0"/>
        <w:keepNext/>
        <w:rPr>
          <w:del w:id="2415" w:author="Master Repository Process" w:date="2022-03-30T12:17:00Z"/>
        </w:rPr>
      </w:pPr>
      <w:del w:id="2416" w:author="Master Repository Process" w:date="2022-03-30T12:17:00Z">
        <w:r>
          <w:tab/>
          <w:delText>(iv)</w:delText>
        </w:r>
        <w:r>
          <w:tab/>
          <w:delText>any person representing a person referred to in subparagraph (i) or (ii),</w:delText>
        </w:r>
      </w:del>
    </w:p>
    <w:p>
      <w:pPr>
        <w:pStyle w:val="ySubsection"/>
        <w:rPr>
          <w:del w:id="2417" w:author="Master Repository Process" w:date="2022-03-30T12:17:00Z"/>
        </w:rPr>
      </w:pPr>
      <w:del w:id="2418" w:author="Master Repository Process" w:date="2022-03-30T12:17:00Z">
        <w:r>
          <w:tab/>
        </w:r>
        <w:r>
          <w:tab/>
          <w:delText>the inspector may, to the extent that it is reasonably necessary to do so in connection with the conduct of the inspection, require the person to produce the document or article.</w:delText>
        </w:r>
      </w:del>
    </w:p>
    <w:p>
      <w:pPr>
        <w:pStyle w:val="ySubsection"/>
        <w:rPr>
          <w:del w:id="2419" w:author="Master Repository Process" w:date="2022-03-30T12:17:00Z"/>
        </w:rPr>
      </w:pPr>
      <w:del w:id="2420" w:author="Master Repository Process" w:date="2022-03-30T12:17:00Z">
        <w:r>
          <w:tab/>
          <w:delText>(4)</w:delText>
        </w:r>
        <w:r>
          <w:tab/>
          <w:delText xml:space="preserve">If, at the time when a requirement under subclause (3) is imposed on a person, the person is not physically present on regulated business premises, the person is not obliged to comply with the requirement unless the requirement — </w:delText>
        </w:r>
      </w:del>
    </w:p>
    <w:p>
      <w:pPr>
        <w:pStyle w:val="yIndenta"/>
        <w:rPr>
          <w:del w:id="2421" w:author="Master Repository Process" w:date="2022-03-30T12:17:00Z"/>
        </w:rPr>
      </w:pPr>
      <w:del w:id="2422" w:author="Master Repository Process" w:date="2022-03-30T12:17:00Z">
        <w:r>
          <w:tab/>
          <w:delText>(a)</w:delText>
        </w:r>
        <w:r>
          <w:tab/>
          <w:delText>is in writing; and</w:delText>
        </w:r>
      </w:del>
    </w:p>
    <w:p>
      <w:pPr>
        <w:pStyle w:val="yIndenta"/>
        <w:rPr>
          <w:del w:id="2423" w:author="Master Repository Process" w:date="2022-03-30T12:17:00Z"/>
        </w:rPr>
      </w:pPr>
      <w:del w:id="2424" w:author="Master Repository Process" w:date="2022-03-30T12:17:00Z">
        <w:r>
          <w:tab/>
          <w:delText>(b)</w:delText>
        </w:r>
        <w:r>
          <w:tab/>
          <w:delText>specifies the day on or before which the document or article is to be produced (being at least 14 days after the day on which the requirement is imposed); and</w:delText>
        </w:r>
      </w:del>
    </w:p>
    <w:p>
      <w:pPr>
        <w:pStyle w:val="yIndenta"/>
        <w:rPr>
          <w:del w:id="2425" w:author="Master Repository Process" w:date="2022-03-30T12:17:00Z"/>
        </w:rPr>
      </w:pPr>
      <w:del w:id="2426" w:author="Master Repository Process" w:date="2022-03-30T12:17:00Z">
        <w:r>
          <w:tab/>
          <w:delText>(c)</w:delText>
        </w:r>
        <w:r>
          <w:tab/>
          <w:delText>is accompanied by a statement to the effect that a failure to comply with the requirement is an offence.</w:delText>
        </w:r>
      </w:del>
    </w:p>
    <w:p>
      <w:pPr>
        <w:pStyle w:val="ySubsection"/>
        <w:rPr>
          <w:del w:id="2427" w:author="Master Repository Process" w:date="2022-03-30T12:17:00Z"/>
        </w:rPr>
      </w:pPr>
      <w:del w:id="2428" w:author="Master Repository Process" w:date="2022-03-30T12:17:00Z">
        <w:r>
          <w:tab/>
          <w:delText>(5)</w:delText>
        </w:r>
        <w:r>
          <w:tab/>
          <w:delText xml:space="preserve">A person must not — </w:delText>
        </w:r>
      </w:del>
    </w:p>
    <w:p>
      <w:pPr>
        <w:pStyle w:val="yIndenta"/>
        <w:rPr>
          <w:del w:id="2429" w:author="Master Repository Process" w:date="2022-03-30T12:17:00Z"/>
        </w:rPr>
      </w:pPr>
      <w:del w:id="2430" w:author="Master Repository Process" w:date="2022-03-30T12:17:00Z">
        <w:r>
          <w:tab/>
          <w:delText>(a)</w:delText>
        </w:r>
        <w:r>
          <w:tab/>
          <w:delText>fail, without reasonable excuse, to comply with a requirement under this clause; or</w:delText>
        </w:r>
      </w:del>
    </w:p>
    <w:p>
      <w:pPr>
        <w:pStyle w:val="yIndenta"/>
        <w:rPr>
          <w:del w:id="2431" w:author="Master Repository Process" w:date="2022-03-30T12:17:00Z"/>
        </w:rPr>
      </w:pPr>
      <w:del w:id="2432" w:author="Master Repository Process" w:date="2022-03-30T12:17:00Z">
        <w:r>
          <w:tab/>
          <w:delText>(b)</w:delText>
        </w:r>
        <w:r>
          <w:tab/>
          <w:delText>in purported compliance with a requirement under this clause, give information that is false or misleading in a material particular.</w:delText>
        </w:r>
      </w:del>
    </w:p>
    <w:p>
      <w:pPr>
        <w:pStyle w:val="yPenstart"/>
        <w:rPr>
          <w:del w:id="2433" w:author="Master Repository Process" w:date="2022-03-30T12:17:00Z"/>
        </w:rPr>
      </w:pPr>
      <w:del w:id="2434" w:author="Master Repository Process" w:date="2022-03-30T12:17:00Z">
        <w:r>
          <w:tab/>
          <w:delText>Penalty for an offence under subclause (5): a fine of $3 300 or imprisonment for 6 months or both.</w:delText>
        </w:r>
      </w:del>
    </w:p>
    <w:p>
      <w:pPr>
        <w:pStyle w:val="yFootnotesection"/>
        <w:rPr>
          <w:del w:id="2435" w:author="Master Repository Process" w:date="2022-03-30T12:17:00Z"/>
        </w:rPr>
      </w:pPr>
      <w:del w:id="2436" w:author="Master Repository Process" w:date="2022-03-30T12:17:00Z">
        <w:r>
          <w:tab/>
          <w:delText>[Clause 54 inserted: No. 13 of 2005 s. 17; amended: No. 35 of 2007 s. 86; No. 42 of 2010 s. 60(2).]</w:delText>
        </w:r>
      </w:del>
    </w:p>
    <w:p>
      <w:pPr>
        <w:pStyle w:val="yHeading5"/>
        <w:spacing w:before="180"/>
        <w:rPr>
          <w:del w:id="2437" w:author="Master Repository Process" w:date="2022-03-30T12:17:00Z"/>
        </w:rPr>
      </w:pPr>
      <w:bookmarkStart w:id="2438" w:name="_Toc97630740"/>
      <w:del w:id="2439" w:author="Master Repository Process" w:date="2022-03-30T12:17:00Z">
        <w:r>
          <w:rPr>
            <w:rStyle w:val="CharSClsNo"/>
          </w:rPr>
          <w:delText>55</w:delText>
        </w:r>
        <w:r>
          <w:delText>.</w:delText>
        </w:r>
        <w:r>
          <w:rPr>
            <w:b w:val="0"/>
          </w:rPr>
          <w:tab/>
        </w:r>
        <w:r>
          <w:delText>Privilege against self</w:delText>
        </w:r>
        <w:r>
          <w:noBreakHyphen/>
          <w:delText>incrimination</w:delText>
        </w:r>
        <w:bookmarkEnd w:id="2438"/>
      </w:del>
    </w:p>
    <w:p>
      <w:pPr>
        <w:pStyle w:val="ySubsection"/>
        <w:rPr>
          <w:del w:id="2440" w:author="Master Repository Process" w:date="2022-03-30T12:17:00Z"/>
        </w:rPr>
      </w:pPr>
      <w:del w:id="2441" w:author="Master Repository Process" w:date="2022-03-30T12:17:00Z">
        <w:r>
          <w:tab/>
          <w:delText>(1)</w:delText>
        </w:r>
        <w:r>
          <w:tab/>
          <w:delTex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delText>
        </w:r>
      </w:del>
    </w:p>
    <w:p>
      <w:pPr>
        <w:pStyle w:val="ySubsection"/>
        <w:rPr>
          <w:del w:id="2442" w:author="Master Repository Process" w:date="2022-03-30T12:17:00Z"/>
        </w:rPr>
      </w:pPr>
      <w:del w:id="2443" w:author="Master Repository Process" w:date="2022-03-30T12:17:00Z">
        <w:r>
          <w:tab/>
          <w:delText>(2)</w:delText>
        </w:r>
        <w:r>
          <w:tab/>
          <w:delText xml:space="preserve">However — </w:delText>
        </w:r>
      </w:del>
    </w:p>
    <w:p>
      <w:pPr>
        <w:pStyle w:val="yIndenta"/>
        <w:rPr>
          <w:del w:id="2444" w:author="Master Repository Process" w:date="2022-03-30T12:17:00Z"/>
        </w:rPr>
      </w:pPr>
      <w:del w:id="2445" w:author="Master Repository Process" w:date="2022-03-30T12:17:00Z">
        <w:r>
          <w:tab/>
          <w:delText>(a)</w:delText>
        </w:r>
        <w:r>
          <w:tab/>
          <w:delText>the answer given or document or article produced; or</w:delText>
        </w:r>
      </w:del>
    </w:p>
    <w:p>
      <w:pPr>
        <w:pStyle w:val="yIndenta"/>
        <w:rPr>
          <w:del w:id="2446" w:author="Master Repository Process" w:date="2022-03-30T12:17:00Z"/>
        </w:rPr>
      </w:pPr>
      <w:del w:id="2447" w:author="Master Repository Process" w:date="2022-03-30T12:17:00Z">
        <w:r>
          <w:tab/>
          <w:delText>(b)</w:delText>
        </w:r>
        <w:r>
          <w:tab/>
          <w:delText>answering the question or producing the document or article; or</w:delText>
        </w:r>
      </w:del>
    </w:p>
    <w:p>
      <w:pPr>
        <w:pStyle w:val="yIndenta"/>
        <w:rPr>
          <w:del w:id="2448" w:author="Master Repository Process" w:date="2022-03-30T12:17:00Z"/>
        </w:rPr>
      </w:pPr>
      <w:del w:id="2449" w:author="Master Repository Process" w:date="2022-03-30T12:17:00Z">
        <w:r>
          <w:tab/>
          <w:delText>(c)</w:delText>
        </w:r>
        <w:r>
          <w:tab/>
          <w:delText>any information, document or thing obtained as a direct or indirect consequence of the answering of the question or the production of the document or article,</w:delText>
        </w:r>
      </w:del>
    </w:p>
    <w:p>
      <w:pPr>
        <w:pStyle w:val="ySubsection"/>
        <w:spacing w:before="120"/>
        <w:rPr>
          <w:del w:id="2450" w:author="Master Repository Process" w:date="2022-03-30T12:17:00Z"/>
        </w:rPr>
      </w:pPr>
      <w:del w:id="2451" w:author="Master Repository Process" w:date="2022-03-30T12:17:00Z">
        <w:r>
          <w:tab/>
        </w:r>
        <w:r>
          <w:tab/>
          <w:delText xml:space="preserve">is not admissible in evidence against the person — </w:delText>
        </w:r>
      </w:del>
    </w:p>
    <w:p>
      <w:pPr>
        <w:pStyle w:val="yIndenta"/>
        <w:rPr>
          <w:del w:id="2452" w:author="Master Repository Process" w:date="2022-03-30T12:17:00Z"/>
        </w:rPr>
      </w:pPr>
      <w:del w:id="2453" w:author="Master Repository Process" w:date="2022-03-30T12:17:00Z">
        <w:r>
          <w:tab/>
          <w:delText>(d)</w:delText>
        </w:r>
        <w:r>
          <w:tab/>
          <w:delText>in any civil proceedings; or</w:delText>
        </w:r>
      </w:del>
    </w:p>
    <w:p>
      <w:pPr>
        <w:pStyle w:val="yIndenta"/>
        <w:rPr>
          <w:del w:id="2454" w:author="Master Repository Process" w:date="2022-03-30T12:17:00Z"/>
        </w:rPr>
      </w:pPr>
      <w:del w:id="2455" w:author="Master Repository Process" w:date="2022-03-30T12:17:00Z">
        <w:r>
          <w:tab/>
          <w:delText>(e)</w:delText>
        </w:r>
        <w:r>
          <w:tab/>
          <w:delText>in any criminal proceedings other than proceedings for an offence against clause 54.</w:delText>
        </w:r>
      </w:del>
    </w:p>
    <w:p>
      <w:pPr>
        <w:pStyle w:val="yFootnotesection"/>
        <w:rPr>
          <w:del w:id="2456" w:author="Master Repository Process" w:date="2022-03-30T12:17:00Z"/>
        </w:rPr>
      </w:pPr>
      <w:del w:id="2457" w:author="Master Repository Process" w:date="2022-03-30T12:17:00Z">
        <w:r>
          <w:tab/>
          <w:delText>[Clause 55 inserted: No. 13 of 2005 s. 17.]</w:delText>
        </w:r>
      </w:del>
    </w:p>
    <w:p>
      <w:pPr>
        <w:pStyle w:val="yHeading5"/>
        <w:keepNext w:val="0"/>
        <w:keepLines w:val="0"/>
        <w:rPr>
          <w:del w:id="2458" w:author="Master Repository Process" w:date="2022-03-30T12:17:00Z"/>
        </w:rPr>
      </w:pPr>
      <w:bookmarkStart w:id="2459" w:name="_Toc97630741"/>
      <w:del w:id="2460" w:author="Master Repository Process" w:date="2022-03-30T12:17:00Z">
        <w:r>
          <w:rPr>
            <w:rStyle w:val="CharSClsNo"/>
          </w:rPr>
          <w:delText>56</w:delText>
        </w:r>
        <w:r>
          <w:delText>.</w:delText>
        </w:r>
        <w:r>
          <w:rPr>
            <w:b w:val="0"/>
          </w:rPr>
          <w:tab/>
        </w:r>
        <w:r>
          <w:delText>Power to take possession of plant, take samples of substances etc.</w:delText>
        </w:r>
        <w:bookmarkEnd w:id="2459"/>
      </w:del>
    </w:p>
    <w:p>
      <w:pPr>
        <w:pStyle w:val="ySubsection"/>
        <w:spacing w:before="120"/>
        <w:rPr>
          <w:del w:id="2461" w:author="Master Repository Process" w:date="2022-03-30T12:17:00Z"/>
        </w:rPr>
      </w:pPr>
      <w:del w:id="2462" w:author="Master Repository Process" w:date="2022-03-30T12:17:00Z">
        <w:r>
          <w:tab/>
          <w:delText>(1)</w:delText>
        </w:r>
        <w:r>
          <w:tab/>
          <w:delText xml:space="preserve">In conducting an inspection, an inspector may, to the extent that it is reasonably necessary for the purposes of inspecting, examining, taking measurements of or conducting tests concerning, any plant, substance or thing at a place at which a petroleum operation or geothermal energy operation is carried out in connection with the inspection — </w:delText>
        </w:r>
      </w:del>
    </w:p>
    <w:p>
      <w:pPr>
        <w:pStyle w:val="yIndenta"/>
        <w:rPr>
          <w:del w:id="2463" w:author="Master Repository Process" w:date="2022-03-30T12:17:00Z"/>
        </w:rPr>
      </w:pPr>
      <w:del w:id="2464" w:author="Master Repository Process" w:date="2022-03-30T12:17:00Z">
        <w:r>
          <w:tab/>
          <w:delText>(a)</w:delText>
        </w:r>
        <w:r>
          <w:tab/>
          <w:delText>take possession of the plant, substance or thing and remove it from the place; or</w:delText>
        </w:r>
      </w:del>
    </w:p>
    <w:p>
      <w:pPr>
        <w:pStyle w:val="yIndenta"/>
        <w:rPr>
          <w:del w:id="2465" w:author="Master Repository Process" w:date="2022-03-30T12:17:00Z"/>
        </w:rPr>
      </w:pPr>
      <w:del w:id="2466" w:author="Master Repository Process" w:date="2022-03-30T12:17:00Z">
        <w:r>
          <w:tab/>
          <w:delText>(b)</w:delText>
        </w:r>
        <w:r>
          <w:tab/>
          <w:delText>take a sample of the substance or thing and remove that sample from the place.</w:delText>
        </w:r>
      </w:del>
    </w:p>
    <w:p>
      <w:pPr>
        <w:pStyle w:val="ySubsection"/>
        <w:rPr>
          <w:del w:id="2467" w:author="Master Repository Process" w:date="2022-03-30T12:17:00Z"/>
        </w:rPr>
      </w:pPr>
      <w:del w:id="2468" w:author="Master Repository Process" w:date="2022-03-30T12:17:00Z">
        <w:r>
          <w:tab/>
          <w:delText>(2)</w:delText>
        </w:r>
        <w:r>
          <w:tab/>
          <w:delText xml:space="preserve">On taking possession of plant, a substance or a thing, or taking a sample of a substance or thing, the inspector must, by notice in writing, inform — </w:delText>
        </w:r>
      </w:del>
    </w:p>
    <w:p>
      <w:pPr>
        <w:pStyle w:val="yIndenta"/>
        <w:rPr>
          <w:del w:id="2469" w:author="Master Repository Process" w:date="2022-03-30T12:17:00Z"/>
        </w:rPr>
      </w:pPr>
      <w:del w:id="2470" w:author="Master Repository Process" w:date="2022-03-30T12:17:00Z">
        <w:r>
          <w:tab/>
          <w:delText>(a)</w:delText>
        </w:r>
        <w:r>
          <w:tab/>
          <w:delText>the operator of the petroleum operation or geothermal energy operation; and</w:delText>
        </w:r>
      </w:del>
    </w:p>
    <w:p>
      <w:pPr>
        <w:pStyle w:val="yIndenta"/>
        <w:rPr>
          <w:del w:id="2471" w:author="Master Repository Process" w:date="2022-03-30T12:17:00Z"/>
        </w:rPr>
      </w:pPr>
      <w:del w:id="2472" w:author="Master Repository Process" w:date="2022-03-30T12:17:00Z">
        <w:r>
          <w:tab/>
          <w:delText>(b)</w:delText>
        </w:r>
        <w:r>
          <w:tab/>
          <w:delText>if the plant, substance or thing is used for the performance of work by an employer of a member or members of the workforce engaged in the petroleum operation or geothermal energy operation other than the operator of the petroleum operation or geothermal energy operation — that employer; and</w:delText>
        </w:r>
      </w:del>
    </w:p>
    <w:p>
      <w:pPr>
        <w:pStyle w:val="yIndenta"/>
        <w:rPr>
          <w:del w:id="2473" w:author="Master Repository Process" w:date="2022-03-30T12:17:00Z"/>
        </w:rPr>
      </w:pPr>
      <w:del w:id="2474" w:author="Master Repository Process" w:date="2022-03-30T12:17:00Z">
        <w:r>
          <w:tab/>
          <w:delText>(c)</w:delText>
        </w:r>
        <w:r>
          <w:tab/>
          <w:delText>if the plant, substance or thing is owned by a person other than a person mentioned in paragraph (a) or (b) — that person; and</w:delText>
        </w:r>
      </w:del>
    </w:p>
    <w:p>
      <w:pPr>
        <w:pStyle w:val="yIndenta"/>
        <w:rPr>
          <w:del w:id="2475" w:author="Master Repository Process" w:date="2022-03-30T12:17:00Z"/>
        </w:rPr>
      </w:pPr>
      <w:del w:id="2476" w:author="Master Repository Process" w:date="2022-03-30T12:17:00Z">
        <w:r>
          <w:tab/>
          <w:delText>(d)</w:delText>
        </w:r>
        <w:r>
          <w:tab/>
          <w:delText>if there is a safety and health representative for a designated work group that includes a member of the workforce who is affected by the matter to which the inspection relates — that representative,</w:delText>
        </w:r>
      </w:del>
    </w:p>
    <w:p>
      <w:pPr>
        <w:pStyle w:val="ySubsection"/>
        <w:rPr>
          <w:del w:id="2477" w:author="Master Repository Process" w:date="2022-03-30T12:17:00Z"/>
        </w:rPr>
      </w:pPr>
      <w:del w:id="2478" w:author="Master Repository Process" w:date="2022-03-30T12:17:00Z">
        <w:r>
          <w:tab/>
        </w:r>
        <w:r>
          <w:tab/>
          <w:delText>of the taking of possession or the taking of the sample, as the case may be, and the reasons for it.</w:delText>
        </w:r>
      </w:del>
    </w:p>
    <w:p>
      <w:pPr>
        <w:pStyle w:val="ySubsection"/>
        <w:rPr>
          <w:del w:id="2479" w:author="Master Repository Process" w:date="2022-03-30T12:17:00Z"/>
        </w:rPr>
      </w:pPr>
      <w:del w:id="2480" w:author="Master Repository Process" w:date="2022-03-30T12:17:00Z">
        <w:r>
          <w:tab/>
          <w:delText>(3)</w:delText>
        </w:r>
        <w:r>
          <w:tab/>
          <w:delText>If the inspector gives the notice to the operator of the petroleum operation or geothermal energy operation to which the inspection relates, the operator’s representative must cause the notice to be displayed in a prominent place at the workplace from which the plant, substance or thing was removed.</w:delText>
        </w:r>
      </w:del>
    </w:p>
    <w:p>
      <w:pPr>
        <w:pStyle w:val="ySubsection"/>
        <w:rPr>
          <w:del w:id="2481" w:author="Master Repository Process" w:date="2022-03-30T12:17:00Z"/>
        </w:rPr>
      </w:pPr>
      <w:del w:id="2482" w:author="Master Repository Process" w:date="2022-03-30T12:17:00Z">
        <w:r>
          <w:tab/>
          <w:delText>(4)</w:delText>
        </w:r>
        <w:r>
          <w:tab/>
          <w:delText xml:space="preserve">If the inspector takes possession of plant, a substance or a thing at a workplace for the purpose of inspecting, examining, taking measurements of or conducting tests concerning, the plant, substance or thing, the inspector must — </w:delText>
        </w:r>
      </w:del>
    </w:p>
    <w:p>
      <w:pPr>
        <w:pStyle w:val="yIndenta"/>
        <w:rPr>
          <w:del w:id="2483" w:author="Master Repository Process" w:date="2022-03-30T12:17:00Z"/>
        </w:rPr>
      </w:pPr>
      <w:del w:id="2484" w:author="Master Repository Process" w:date="2022-03-30T12:17:00Z">
        <w:r>
          <w:tab/>
          <w:delText>(a)</w:delText>
        </w:r>
        <w:r>
          <w:tab/>
          <w:delText>ensure that the inspection, examination, measuring or testing is conducted as soon as practicable; and</w:delText>
        </w:r>
      </w:del>
    </w:p>
    <w:p>
      <w:pPr>
        <w:pStyle w:val="yIndenta"/>
        <w:rPr>
          <w:del w:id="2485" w:author="Master Repository Process" w:date="2022-03-30T12:17:00Z"/>
        </w:rPr>
      </w:pPr>
      <w:del w:id="2486" w:author="Master Repository Process" w:date="2022-03-30T12:17:00Z">
        <w:r>
          <w:tab/>
          <w:delText>(b)</w:delText>
        </w:r>
        <w:r>
          <w:tab/>
          <w:delText>return it to the workplace as soon as practicable afterwards.</w:delText>
        </w:r>
      </w:del>
    </w:p>
    <w:p>
      <w:pPr>
        <w:pStyle w:val="ySubsection"/>
        <w:keepLines/>
        <w:rPr>
          <w:del w:id="2487" w:author="Master Repository Process" w:date="2022-03-30T12:17:00Z"/>
        </w:rPr>
      </w:pPr>
      <w:del w:id="2488" w:author="Master Repository Process" w:date="2022-03-30T12:17:00Z">
        <w:r>
          <w:tab/>
          <w:delText>(5)</w:delText>
        </w:r>
        <w:r>
          <w:tab/>
          <w:delText>As soon as practicable after completing any such inspection, examination, measurement or testing, the inspector must give a written statement setting out the results to each person whom the inspector is required to notify under subclause (2).</w:delText>
        </w:r>
      </w:del>
    </w:p>
    <w:p>
      <w:pPr>
        <w:pStyle w:val="yFootnotesection"/>
        <w:rPr>
          <w:del w:id="2489" w:author="Master Repository Process" w:date="2022-03-30T12:17:00Z"/>
        </w:rPr>
      </w:pPr>
      <w:del w:id="2490" w:author="Master Repository Process" w:date="2022-03-30T12:17:00Z">
        <w:r>
          <w:tab/>
          <w:delText>[Clause 56 inserted: No. 13 of 2005 s. 17; amended: No. 35 of 2007 s. 86.]</w:delText>
        </w:r>
      </w:del>
    </w:p>
    <w:p>
      <w:pPr>
        <w:pStyle w:val="yHeading5"/>
        <w:rPr>
          <w:del w:id="2491" w:author="Master Repository Process" w:date="2022-03-30T12:17:00Z"/>
        </w:rPr>
      </w:pPr>
      <w:bookmarkStart w:id="2492" w:name="_Toc97630742"/>
      <w:del w:id="2493" w:author="Master Repository Process" w:date="2022-03-30T12:17:00Z">
        <w:r>
          <w:rPr>
            <w:rStyle w:val="CharSClsNo"/>
          </w:rPr>
          <w:delText>57</w:delText>
        </w:r>
        <w:r>
          <w:delText>.</w:delText>
        </w:r>
        <w:r>
          <w:rPr>
            <w:b w:val="0"/>
          </w:rPr>
          <w:tab/>
        </w:r>
        <w:r>
          <w:delText>Power to direct that workplace etc. not be disturbed</w:delText>
        </w:r>
        <w:bookmarkEnd w:id="2492"/>
      </w:del>
    </w:p>
    <w:p>
      <w:pPr>
        <w:pStyle w:val="ySubsection"/>
        <w:rPr>
          <w:del w:id="2494" w:author="Master Repository Process" w:date="2022-03-30T12:17:00Z"/>
        </w:rPr>
      </w:pPr>
      <w:del w:id="2495" w:author="Master Repository Process" w:date="2022-03-30T12:17:00Z">
        <w:r>
          <w:tab/>
          <w:delText>(1)</w:delText>
        </w:r>
        <w:r>
          <w:tab/>
          <w:delText xml:space="preserve">An inspector may give a direction under subclause (2) if, in conducting an inspection, the inspector has reasonable grounds to believe that it is reasonably necessary to do so in order to — </w:delText>
        </w:r>
      </w:del>
    </w:p>
    <w:p>
      <w:pPr>
        <w:pStyle w:val="yIndenta"/>
        <w:rPr>
          <w:del w:id="2496" w:author="Master Repository Process" w:date="2022-03-30T12:17:00Z"/>
        </w:rPr>
      </w:pPr>
      <w:del w:id="2497" w:author="Master Repository Process" w:date="2022-03-30T12:17:00Z">
        <w:r>
          <w:tab/>
          <w:delText>(a)</w:delText>
        </w:r>
        <w:r>
          <w:tab/>
          <w:delText>remove an immediate threat to the safety or health of any person; or</w:delText>
        </w:r>
      </w:del>
    </w:p>
    <w:p>
      <w:pPr>
        <w:pStyle w:val="yIndenta"/>
        <w:rPr>
          <w:del w:id="2498" w:author="Master Repository Process" w:date="2022-03-30T12:17:00Z"/>
        </w:rPr>
      </w:pPr>
      <w:del w:id="2499" w:author="Master Repository Process" w:date="2022-03-30T12:17:00Z">
        <w:r>
          <w:tab/>
          <w:delText>(b)</w:delText>
        </w:r>
        <w:r>
          <w:tab/>
          <w:delText>allow the inspection, examination or taking of measurements of, or conducting of tests concerning, a facility, or any plant, substance or thing, for use in a petroleum operation or geothermal energy operation.</w:delText>
        </w:r>
      </w:del>
    </w:p>
    <w:p>
      <w:pPr>
        <w:pStyle w:val="ySubsection"/>
        <w:rPr>
          <w:del w:id="2500" w:author="Master Repository Process" w:date="2022-03-30T12:17:00Z"/>
        </w:rPr>
      </w:pPr>
      <w:del w:id="2501" w:author="Master Repository Process" w:date="2022-03-30T12:17:00Z">
        <w:r>
          <w:tab/>
          <w:delText>(2)</w:delText>
        </w:r>
        <w:r>
          <w:tab/>
          <w:delText xml:space="preserve">If subclause (1) applies, the inspector may direct, by written notice given to the operator’s representative, that the operator must ensure that — </w:delText>
        </w:r>
      </w:del>
    </w:p>
    <w:p>
      <w:pPr>
        <w:pStyle w:val="yIndenta"/>
        <w:rPr>
          <w:del w:id="2502" w:author="Master Repository Process" w:date="2022-03-30T12:17:00Z"/>
        </w:rPr>
      </w:pPr>
      <w:del w:id="2503" w:author="Master Repository Process" w:date="2022-03-30T12:17:00Z">
        <w:r>
          <w:tab/>
          <w:delText>(a)</w:delText>
        </w:r>
        <w:r>
          <w:tab/>
          <w:delText>a particular workplace; or</w:delText>
        </w:r>
      </w:del>
    </w:p>
    <w:p>
      <w:pPr>
        <w:pStyle w:val="yIndenta"/>
        <w:rPr>
          <w:del w:id="2504" w:author="Master Repository Process" w:date="2022-03-30T12:17:00Z"/>
        </w:rPr>
      </w:pPr>
      <w:del w:id="2505" w:author="Master Repository Process" w:date="2022-03-30T12:17:00Z">
        <w:r>
          <w:tab/>
          <w:delText>(b)</w:delText>
        </w:r>
        <w:r>
          <w:tab/>
          <w:delText>particular plant, or a particular substance or thing,</w:delText>
        </w:r>
      </w:del>
    </w:p>
    <w:p>
      <w:pPr>
        <w:pStyle w:val="ySubsection"/>
        <w:rPr>
          <w:del w:id="2506" w:author="Master Repository Process" w:date="2022-03-30T12:17:00Z"/>
        </w:rPr>
      </w:pPr>
      <w:del w:id="2507" w:author="Master Repository Process" w:date="2022-03-30T12:17:00Z">
        <w:r>
          <w:tab/>
        </w:r>
        <w:r>
          <w:tab/>
          <w:delText>not be disturbed for a period specified in the direction.</w:delText>
        </w:r>
      </w:del>
    </w:p>
    <w:p>
      <w:pPr>
        <w:pStyle w:val="ySubsection"/>
        <w:rPr>
          <w:del w:id="2508" w:author="Master Repository Process" w:date="2022-03-30T12:17:00Z"/>
        </w:rPr>
      </w:pPr>
      <w:del w:id="2509" w:author="Master Repository Process" w:date="2022-03-30T12:17:00Z">
        <w:r>
          <w:tab/>
          <w:delText>(3)</w:delText>
        </w:r>
        <w:r>
          <w:tab/>
          <w:delText>The period specified in the direction must be a period that the inspector has reasonable grounds to believe is necessary in order to remove the threat or to allow the inspection, examination, measuring or testing to take place.</w:delText>
        </w:r>
      </w:del>
    </w:p>
    <w:p>
      <w:pPr>
        <w:pStyle w:val="ySubsection"/>
        <w:rPr>
          <w:del w:id="2510" w:author="Master Repository Process" w:date="2022-03-30T12:17:00Z"/>
        </w:rPr>
      </w:pPr>
      <w:del w:id="2511" w:author="Master Repository Process" w:date="2022-03-30T12:17:00Z">
        <w:r>
          <w:tab/>
          <w:delText>(4)</w:delText>
        </w:r>
        <w:r>
          <w:tab/>
          <w:delText>The direction may be renewed by another direction in the same terms.</w:delText>
        </w:r>
      </w:del>
    </w:p>
    <w:p>
      <w:pPr>
        <w:pStyle w:val="ySubsection"/>
        <w:rPr>
          <w:del w:id="2512" w:author="Master Repository Process" w:date="2022-03-30T12:17:00Z"/>
        </w:rPr>
      </w:pPr>
      <w:del w:id="2513" w:author="Master Repository Process" w:date="2022-03-30T12:17:00Z">
        <w:r>
          <w:tab/>
          <w:delText>(5)</w:delText>
        </w:r>
        <w:r>
          <w:tab/>
          <w:delText xml:space="preserve">If an inspector gives a notice to the operator’s representative under subclause (2), the operator’s representative must cause the notice to be displayed in a prominent place at the workplace — </w:delText>
        </w:r>
      </w:del>
    </w:p>
    <w:p>
      <w:pPr>
        <w:pStyle w:val="yIndenta"/>
        <w:rPr>
          <w:del w:id="2514" w:author="Master Repository Process" w:date="2022-03-30T12:17:00Z"/>
        </w:rPr>
      </w:pPr>
      <w:del w:id="2515" w:author="Master Repository Process" w:date="2022-03-30T12:17:00Z">
        <w:r>
          <w:tab/>
          <w:delText>(a)</w:delText>
        </w:r>
        <w:r>
          <w:tab/>
          <w:delText>that is to be left undisturbed; or</w:delText>
        </w:r>
      </w:del>
    </w:p>
    <w:p>
      <w:pPr>
        <w:pStyle w:val="yIndenta"/>
        <w:rPr>
          <w:del w:id="2516" w:author="Master Repository Process" w:date="2022-03-30T12:17:00Z"/>
        </w:rPr>
      </w:pPr>
      <w:del w:id="2517" w:author="Master Repository Process" w:date="2022-03-30T12:17:00Z">
        <w:r>
          <w:tab/>
          <w:delText>(b)</w:delText>
        </w:r>
        <w:r>
          <w:tab/>
          <w:delText>where the plant, substance or thing that is to be left undisturbed is located.</w:delText>
        </w:r>
      </w:del>
    </w:p>
    <w:p>
      <w:pPr>
        <w:pStyle w:val="ySubsection"/>
        <w:rPr>
          <w:del w:id="2518" w:author="Master Repository Process" w:date="2022-03-30T12:17:00Z"/>
        </w:rPr>
      </w:pPr>
      <w:del w:id="2519" w:author="Master Repository Process" w:date="2022-03-30T12:17:00Z">
        <w:r>
          <w:tab/>
          <w:delText>(6)</w:delText>
        </w:r>
        <w:r>
          <w:tab/>
          <w:delText xml:space="preserve">As soon as practicable after giving the direction, the inspector must take reasonable steps to notify — </w:delText>
        </w:r>
      </w:del>
    </w:p>
    <w:p>
      <w:pPr>
        <w:pStyle w:val="yIndenta"/>
        <w:rPr>
          <w:del w:id="2520" w:author="Master Repository Process" w:date="2022-03-30T12:17:00Z"/>
        </w:rPr>
      </w:pPr>
      <w:del w:id="2521" w:author="Master Repository Process" w:date="2022-03-30T12:17:00Z">
        <w:r>
          <w:tab/>
          <w:delText>(a)</w:delText>
        </w:r>
        <w:r>
          <w:tab/>
          <w:delText>if the workplace, plant, substance or thing to which the direction relates is owned by a person other than the operator of the petroleum operation or geothermal energy operation — that person; and</w:delText>
        </w:r>
      </w:del>
    </w:p>
    <w:p>
      <w:pPr>
        <w:pStyle w:val="yIndenta"/>
        <w:rPr>
          <w:del w:id="2522" w:author="Master Repository Process" w:date="2022-03-30T12:17:00Z"/>
        </w:rPr>
      </w:pPr>
      <w:del w:id="2523" w:author="Master Repository Process" w:date="2022-03-30T12:17:00Z">
        <w:r>
          <w:tab/>
          <w:delText>(b)</w:delText>
        </w:r>
        <w:r>
          <w:tab/>
          <w:delText xml:space="preserve">if there is a safety and health representative for a designated work group that includes a group member performing work — </w:delText>
        </w:r>
      </w:del>
    </w:p>
    <w:p>
      <w:pPr>
        <w:pStyle w:val="yIndenti0"/>
        <w:rPr>
          <w:del w:id="2524" w:author="Master Repository Process" w:date="2022-03-30T12:17:00Z"/>
        </w:rPr>
      </w:pPr>
      <w:del w:id="2525" w:author="Master Repository Process" w:date="2022-03-30T12:17:00Z">
        <w:r>
          <w:tab/>
          <w:delText>(i)</w:delText>
        </w:r>
        <w:r>
          <w:tab/>
          <w:delText>at a workplace; or</w:delText>
        </w:r>
      </w:del>
    </w:p>
    <w:p>
      <w:pPr>
        <w:pStyle w:val="yIndenti0"/>
        <w:rPr>
          <w:del w:id="2526" w:author="Master Repository Process" w:date="2022-03-30T12:17:00Z"/>
        </w:rPr>
      </w:pPr>
      <w:del w:id="2527" w:author="Master Repository Process" w:date="2022-03-30T12:17:00Z">
        <w:r>
          <w:tab/>
          <w:delText>(ii)</w:delText>
        </w:r>
        <w:r>
          <w:tab/>
          <w:delText>involving the plant, substance or thing,</w:delText>
        </w:r>
      </w:del>
    </w:p>
    <w:p>
      <w:pPr>
        <w:pStyle w:val="yIndenta"/>
        <w:rPr>
          <w:del w:id="2528" w:author="Master Repository Process" w:date="2022-03-30T12:17:00Z"/>
        </w:rPr>
      </w:pPr>
      <w:del w:id="2529" w:author="Master Repository Process" w:date="2022-03-30T12:17:00Z">
        <w:r>
          <w:tab/>
        </w:r>
        <w:r>
          <w:tab/>
          <w:delText>to which the direction relates — that representative,</w:delText>
        </w:r>
      </w:del>
    </w:p>
    <w:p>
      <w:pPr>
        <w:pStyle w:val="ySubsection"/>
        <w:rPr>
          <w:del w:id="2530" w:author="Master Repository Process" w:date="2022-03-30T12:17:00Z"/>
        </w:rPr>
      </w:pPr>
      <w:del w:id="2531" w:author="Master Repository Process" w:date="2022-03-30T12:17:00Z">
        <w:r>
          <w:tab/>
        </w:r>
        <w:r>
          <w:tab/>
          <w:delText>of the direction and the reasons for giving it.</w:delText>
        </w:r>
      </w:del>
    </w:p>
    <w:p>
      <w:pPr>
        <w:pStyle w:val="ySubsection"/>
        <w:rPr>
          <w:del w:id="2532" w:author="Master Repository Process" w:date="2022-03-30T12:17:00Z"/>
        </w:rPr>
      </w:pPr>
      <w:del w:id="2533" w:author="Master Repository Process" w:date="2022-03-30T12:17:00Z">
        <w:r>
          <w:tab/>
          <w:delText>(7)</w:delText>
        </w:r>
        <w:r>
          <w:tab/>
          <w:delText>The operator of a petroleum operation or geothermal energy operation to which a direction concerning a workplace, plant, substance or a thing relates must ensure that the direction is complied with.</w:delText>
        </w:r>
      </w:del>
    </w:p>
    <w:p>
      <w:pPr>
        <w:pStyle w:val="yPenstart"/>
        <w:rPr>
          <w:del w:id="2534" w:author="Master Repository Process" w:date="2022-03-30T12:17:00Z"/>
        </w:rPr>
      </w:pPr>
      <w:del w:id="2535" w:author="Master Repository Process" w:date="2022-03-30T12:17:00Z">
        <w:r>
          <w:tab/>
          <w:delText>Penalty: a fine of $27 500.</w:delText>
        </w:r>
      </w:del>
    </w:p>
    <w:p>
      <w:pPr>
        <w:pStyle w:val="ySubsection"/>
        <w:rPr>
          <w:del w:id="2536" w:author="Master Repository Process" w:date="2022-03-30T12:17:00Z"/>
        </w:rPr>
      </w:pPr>
      <w:del w:id="2537" w:author="Master Repository Process" w:date="2022-03-30T12:17:00Z">
        <w:r>
          <w:tab/>
          <w:delText>(8)</w:delText>
        </w:r>
        <w:r>
          <w:tab/>
          <w:delText>A direction under subclause (2) must be accompanied by a statement setting out the reasons for the direction.</w:delText>
        </w:r>
      </w:del>
    </w:p>
    <w:p>
      <w:pPr>
        <w:pStyle w:val="yFootnotesection"/>
        <w:rPr>
          <w:del w:id="2538" w:author="Master Repository Process" w:date="2022-03-30T12:17:00Z"/>
        </w:rPr>
      </w:pPr>
      <w:del w:id="2539" w:author="Master Repository Process" w:date="2022-03-30T12:17:00Z">
        <w:r>
          <w:tab/>
          <w:delText>[Clause 57 inserted: No. 13 of 2005 s. 17; amended: No. 35 of 2007 s. 86; No. 42 of 2010 s. 60(6).]</w:delText>
        </w:r>
      </w:del>
    </w:p>
    <w:p>
      <w:pPr>
        <w:pStyle w:val="yHeading5"/>
        <w:spacing w:before="180"/>
        <w:rPr>
          <w:del w:id="2540" w:author="Master Repository Process" w:date="2022-03-30T12:17:00Z"/>
        </w:rPr>
      </w:pPr>
      <w:bookmarkStart w:id="2541" w:name="_Toc97630743"/>
      <w:del w:id="2542" w:author="Master Repository Process" w:date="2022-03-30T12:17:00Z">
        <w:r>
          <w:rPr>
            <w:rStyle w:val="CharSClsNo"/>
          </w:rPr>
          <w:delText>58</w:delText>
        </w:r>
        <w:r>
          <w:delText>.</w:delText>
        </w:r>
        <w:r>
          <w:rPr>
            <w:b w:val="0"/>
          </w:rPr>
          <w:tab/>
        </w:r>
        <w:r>
          <w:delText>Power to issue prohibition notices</w:delText>
        </w:r>
        <w:bookmarkEnd w:id="2541"/>
      </w:del>
    </w:p>
    <w:p>
      <w:pPr>
        <w:pStyle w:val="ySubsection"/>
        <w:spacing w:before="120"/>
        <w:rPr>
          <w:del w:id="2543" w:author="Master Repository Process" w:date="2022-03-30T12:17:00Z"/>
        </w:rPr>
      </w:pPr>
      <w:del w:id="2544" w:author="Master Repository Process" w:date="2022-03-30T12:17:00Z">
        <w:r>
          <w:tab/>
          <w:delText>(1)</w:delText>
        </w:r>
        <w:r>
          <w:tab/>
          <w:delText>If, having conducted an inspection, an inspector is satisfied on reasonable grounds that it is reasonably necessary to issue a prohibition notice to the operator of a petroleum operation or geothermal energy operation in order to remove an immediate threat to the safety or health of any person, the inspector may issue a prohibition notice, in writing, to the operator.</w:delText>
        </w:r>
      </w:del>
    </w:p>
    <w:p>
      <w:pPr>
        <w:pStyle w:val="ySubsection"/>
        <w:spacing w:before="120"/>
        <w:rPr>
          <w:del w:id="2545" w:author="Master Repository Process" w:date="2022-03-30T12:17:00Z"/>
        </w:rPr>
      </w:pPr>
      <w:del w:id="2546" w:author="Master Repository Process" w:date="2022-03-30T12:17:00Z">
        <w:r>
          <w:tab/>
          <w:delText>(2)</w:delText>
        </w:r>
        <w:r>
          <w:tab/>
          <w:delText>The notice must be issued to the operator by giving it to the operator’s representative.</w:delText>
        </w:r>
      </w:del>
    </w:p>
    <w:p>
      <w:pPr>
        <w:pStyle w:val="ySubsection"/>
        <w:spacing w:before="120"/>
        <w:rPr>
          <w:del w:id="2547" w:author="Master Repository Process" w:date="2022-03-30T12:17:00Z"/>
        </w:rPr>
      </w:pPr>
      <w:del w:id="2548" w:author="Master Repository Process" w:date="2022-03-30T12:17:00Z">
        <w:r>
          <w:tab/>
          <w:delText>(3)</w:delText>
        </w:r>
        <w:r>
          <w:tab/>
          <w:delText xml:space="preserve">The notice must — </w:delText>
        </w:r>
      </w:del>
    </w:p>
    <w:p>
      <w:pPr>
        <w:pStyle w:val="yIndenta"/>
        <w:rPr>
          <w:del w:id="2549" w:author="Master Repository Process" w:date="2022-03-30T12:17:00Z"/>
        </w:rPr>
      </w:pPr>
      <w:del w:id="2550" w:author="Master Repository Process" w:date="2022-03-30T12:17:00Z">
        <w:r>
          <w:tab/>
          <w:delText>(a)</w:delText>
        </w:r>
        <w:r>
          <w:tab/>
          <w:delText>specify the activity in respect of which, in the inspector’s opinion, the threat to safety or health has arisen, and set out the reasons for that opinion; and</w:delText>
        </w:r>
      </w:del>
    </w:p>
    <w:p>
      <w:pPr>
        <w:pStyle w:val="yIndenta"/>
        <w:rPr>
          <w:del w:id="2551" w:author="Master Repository Process" w:date="2022-03-30T12:17:00Z"/>
        </w:rPr>
      </w:pPr>
      <w:del w:id="2552" w:author="Master Repository Process" w:date="2022-03-30T12:17:00Z">
        <w:r>
          <w:tab/>
          <w:delText>(b)</w:delText>
        </w:r>
        <w:r>
          <w:tab/>
          <w:delText xml:space="preserve">either — </w:delText>
        </w:r>
      </w:del>
    </w:p>
    <w:p>
      <w:pPr>
        <w:pStyle w:val="yIndenti0"/>
        <w:rPr>
          <w:del w:id="2553" w:author="Master Repository Process" w:date="2022-03-30T12:17:00Z"/>
        </w:rPr>
      </w:pPr>
      <w:del w:id="2554" w:author="Master Repository Process" w:date="2022-03-30T12:17:00Z">
        <w:r>
          <w:tab/>
          <w:delText>(i)</w:delText>
        </w:r>
        <w:r>
          <w:tab/>
          <w:delText>direct the operator to ensure that the activity is not engaged in; or</w:delText>
        </w:r>
      </w:del>
    </w:p>
    <w:p>
      <w:pPr>
        <w:pStyle w:val="yIndenti0"/>
        <w:rPr>
          <w:del w:id="2555" w:author="Master Repository Process" w:date="2022-03-30T12:17:00Z"/>
        </w:rPr>
      </w:pPr>
      <w:del w:id="2556" w:author="Master Repository Process" w:date="2022-03-30T12:17:00Z">
        <w:r>
          <w:tab/>
          <w:delText>(ii)</w:delText>
        </w:r>
        <w:r>
          <w:tab/>
          <w:delText>direct the operator to ensure that the activity is not engaged in in a specified manner.</w:delText>
        </w:r>
      </w:del>
    </w:p>
    <w:p>
      <w:pPr>
        <w:pStyle w:val="ySubsection"/>
        <w:rPr>
          <w:del w:id="2557" w:author="Master Repository Process" w:date="2022-03-30T12:17:00Z"/>
        </w:rPr>
      </w:pPr>
      <w:del w:id="2558" w:author="Master Repository Process" w:date="2022-03-30T12:17:00Z">
        <w:r>
          <w:tab/>
          <w:delText>(4)</w:delText>
        </w:r>
        <w:r>
          <w:tab/>
          <w:delText xml:space="preserve">A specified manner may relate to any one or more of the following — </w:delText>
        </w:r>
      </w:del>
    </w:p>
    <w:p>
      <w:pPr>
        <w:pStyle w:val="yIndenta"/>
        <w:rPr>
          <w:del w:id="2559" w:author="Master Repository Process" w:date="2022-03-30T12:17:00Z"/>
        </w:rPr>
      </w:pPr>
      <w:del w:id="2560" w:author="Master Repository Process" w:date="2022-03-30T12:17:00Z">
        <w:r>
          <w:tab/>
          <w:delText>(a)</w:delText>
        </w:r>
        <w:r>
          <w:tab/>
          <w:delText>any workplace, or part of a workplace, at which the activity is not to be engaged in;</w:delText>
        </w:r>
      </w:del>
    </w:p>
    <w:p>
      <w:pPr>
        <w:pStyle w:val="yIndenta"/>
        <w:rPr>
          <w:del w:id="2561" w:author="Master Repository Process" w:date="2022-03-30T12:17:00Z"/>
        </w:rPr>
      </w:pPr>
      <w:del w:id="2562" w:author="Master Repository Process" w:date="2022-03-30T12:17:00Z">
        <w:r>
          <w:tab/>
          <w:delText>(b)</w:delText>
        </w:r>
        <w:r>
          <w:tab/>
          <w:delText>any plant or substance that is not to be used in connection with the activity;</w:delText>
        </w:r>
      </w:del>
    </w:p>
    <w:p>
      <w:pPr>
        <w:pStyle w:val="yIndenta"/>
        <w:rPr>
          <w:del w:id="2563" w:author="Master Repository Process" w:date="2022-03-30T12:17:00Z"/>
        </w:rPr>
      </w:pPr>
      <w:del w:id="2564" w:author="Master Repository Process" w:date="2022-03-30T12:17:00Z">
        <w:r>
          <w:tab/>
          <w:delText>(c)</w:delText>
        </w:r>
        <w:r>
          <w:tab/>
          <w:delText>any procedure that is not to be followed in connection with the activity.</w:delText>
        </w:r>
      </w:del>
    </w:p>
    <w:p>
      <w:pPr>
        <w:pStyle w:val="ySubsection"/>
        <w:rPr>
          <w:del w:id="2565" w:author="Master Repository Process" w:date="2022-03-30T12:17:00Z"/>
        </w:rPr>
      </w:pPr>
      <w:del w:id="2566" w:author="Master Repository Process" w:date="2022-03-30T12:17:00Z">
        <w:r>
          <w:tab/>
          <w:delText>(5)</w:delText>
        </w:r>
        <w:r>
          <w:tab/>
          <w:delText>The notice may specify action that may be taken to satisfy an inspector that adequate action has been taken to remove the threat to safety and health.</w:delText>
        </w:r>
      </w:del>
    </w:p>
    <w:p>
      <w:pPr>
        <w:pStyle w:val="ySubsection"/>
        <w:rPr>
          <w:del w:id="2567" w:author="Master Repository Process" w:date="2022-03-30T12:17:00Z"/>
        </w:rPr>
      </w:pPr>
      <w:del w:id="2568" w:author="Master Repository Process" w:date="2022-03-30T12:17:00Z">
        <w:r>
          <w:tab/>
          <w:delText>(6)</w:delText>
        </w:r>
        <w:r>
          <w:tab/>
          <w:delText xml:space="preserve">The operator’s representative must — </w:delText>
        </w:r>
      </w:del>
    </w:p>
    <w:p>
      <w:pPr>
        <w:pStyle w:val="yIndenta"/>
        <w:rPr>
          <w:del w:id="2569" w:author="Master Repository Process" w:date="2022-03-30T12:17:00Z"/>
        </w:rPr>
      </w:pPr>
      <w:del w:id="2570" w:author="Master Repository Process" w:date="2022-03-30T12:17:00Z">
        <w:r>
          <w:tab/>
          <w:delText>(a)</w:delText>
        </w:r>
        <w:r>
          <w:tab/>
          <w:delText>give a copy of the notice to each safety and health representative (if any) for any designated work group having group members performing work that is affected by the notice; and</w:delText>
        </w:r>
      </w:del>
    </w:p>
    <w:p>
      <w:pPr>
        <w:pStyle w:val="yIndenta"/>
        <w:rPr>
          <w:del w:id="2571" w:author="Master Repository Process" w:date="2022-03-30T12:17:00Z"/>
        </w:rPr>
      </w:pPr>
      <w:del w:id="2572" w:author="Master Repository Process" w:date="2022-03-30T12:17:00Z">
        <w:r>
          <w:tab/>
          <w:delText>(b)</w:delText>
        </w:r>
        <w:r>
          <w:tab/>
          <w:delText>cause a copy of the notice to be displayed at a prominent place at or near each workplace at which that work is performed.</w:delText>
        </w:r>
      </w:del>
    </w:p>
    <w:p>
      <w:pPr>
        <w:pStyle w:val="ySubsection"/>
        <w:rPr>
          <w:del w:id="2573" w:author="Master Repository Process" w:date="2022-03-30T12:17:00Z"/>
        </w:rPr>
      </w:pPr>
      <w:del w:id="2574" w:author="Master Repository Process" w:date="2022-03-30T12:17:00Z">
        <w:r>
          <w:tab/>
          <w:delText>(7)</w:delText>
        </w:r>
        <w:r>
          <w:tab/>
          <w:delText>If the notice relates to any workplace, plant, substance or thing that is owned by a person other than the operator, the inspector must, upon issuing the notice, give a copy of the notice to that person.</w:delText>
        </w:r>
      </w:del>
    </w:p>
    <w:p>
      <w:pPr>
        <w:pStyle w:val="yFootnotesection"/>
        <w:rPr>
          <w:del w:id="2575" w:author="Master Repository Process" w:date="2022-03-30T12:17:00Z"/>
        </w:rPr>
      </w:pPr>
      <w:del w:id="2576" w:author="Master Repository Process" w:date="2022-03-30T12:17:00Z">
        <w:r>
          <w:tab/>
          <w:delText>[Clause 58 inserted: No. 13 of 2005 s. 17; amended: No. 35 of 2007 s. 86.]</w:delText>
        </w:r>
      </w:del>
    </w:p>
    <w:p>
      <w:pPr>
        <w:pStyle w:val="yHeading5"/>
        <w:rPr>
          <w:del w:id="2577" w:author="Master Repository Process" w:date="2022-03-30T12:17:00Z"/>
        </w:rPr>
      </w:pPr>
      <w:bookmarkStart w:id="2578" w:name="_Toc97630744"/>
      <w:del w:id="2579" w:author="Master Repository Process" w:date="2022-03-30T12:17:00Z">
        <w:r>
          <w:rPr>
            <w:rStyle w:val="CharSClsNo"/>
          </w:rPr>
          <w:delText>59</w:delText>
        </w:r>
        <w:r>
          <w:delText>.</w:delText>
        </w:r>
        <w:r>
          <w:rPr>
            <w:b w:val="0"/>
          </w:rPr>
          <w:tab/>
        </w:r>
        <w:r>
          <w:delText>Compliance with prohibition notice</w:delText>
        </w:r>
        <w:bookmarkEnd w:id="2578"/>
      </w:del>
    </w:p>
    <w:p>
      <w:pPr>
        <w:pStyle w:val="ySubsection"/>
        <w:rPr>
          <w:del w:id="2580" w:author="Master Repository Process" w:date="2022-03-30T12:17:00Z"/>
        </w:rPr>
      </w:pPr>
      <w:del w:id="2581" w:author="Master Repository Process" w:date="2022-03-30T12:17:00Z">
        <w:r>
          <w:tab/>
          <w:delText>(1)</w:delText>
        </w:r>
        <w:r>
          <w:tab/>
          <w:delText>An operator must ensure that a prohibition notice issued to the operator is complied with.</w:delText>
        </w:r>
      </w:del>
    </w:p>
    <w:p>
      <w:pPr>
        <w:pStyle w:val="yPenstart"/>
        <w:rPr>
          <w:del w:id="2582" w:author="Master Repository Process" w:date="2022-03-30T12:17:00Z"/>
        </w:rPr>
      </w:pPr>
      <w:del w:id="2583" w:author="Master Repository Process" w:date="2022-03-30T12:17:00Z">
        <w:r>
          <w:tab/>
          <w:delText>Penalty: a fine of $27 500.</w:delText>
        </w:r>
      </w:del>
    </w:p>
    <w:p>
      <w:pPr>
        <w:pStyle w:val="ySubsection"/>
        <w:rPr>
          <w:del w:id="2584" w:author="Master Repository Process" w:date="2022-03-30T12:17:00Z"/>
        </w:rPr>
      </w:pPr>
      <w:del w:id="2585" w:author="Master Repository Process" w:date="2022-03-30T12:17:00Z">
        <w:r>
          <w:tab/>
          <w:delText>(2)</w:delText>
        </w:r>
        <w:r>
          <w:tab/>
          <w:delText>If an inspector is satisfied that action taken by the operator to remove the threat to safety and health in respect of which the notice was issued is not adequate, the inspector must inform the operator accordingly.</w:delText>
        </w:r>
      </w:del>
    </w:p>
    <w:p>
      <w:pPr>
        <w:pStyle w:val="ySubsection"/>
        <w:rPr>
          <w:del w:id="2586" w:author="Master Repository Process" w:date="2022-03-30T12:17:00Z"/>
        </w:rPr>
      </w:pPr>
      <w:del w:id="2587" w:author="Master Repository Process" w:date="2022-03-30T12:17:00Z">
        <w:r>
          <w:tab/>
          <w:delText>(3)</w:delText>
        </w:r>
        <w:r>
          <w:tab/>
          <w:delText>A prohibition notice ceases to have effect when an inspector notifies the operator that the inspector is satisfied that the operator has taken adequate action to remove the threat to safety or health.</w:delText>
        </w:r>
      </w:del>
    </w:p>
    <w:p>
      <w:pPr>
        <w:pStyle w:val="ySubsection"/>
        <w:rPr>
          <w:del w:id="2588" w:author="Master Repository Process" w:date="2022-03-30T12:17:00Z"/>
        </w:rPr>
      </w:pPr>
      <w:del w:id="2589" w:author="Master Repository Process" w:date="2022-03-30T12:17:00Z">
        <w:r>
          <w:tab/>
          <w:delText>(4)</w:delText>
        </w:r>
        <w:r>
          <w:tab/>
          <w:delText>In making a decision under subclause (2), an inspector may exercise any of the powers of an inspector conducting an inspection that the inspector considers necessary for the purposes of making the decision.</w:delText>
        </w:r>
      </w:del>
    </w:p>
    <w:p>
      <w:pPr>
        <w:pStyle w:val="yFootnotesection"/>
        <w:rPr>
          <w:del w:id="2590" w:author="Master Repository Process" w:date="2022-03-30T12:17:00Z"/>
        </w:rPr>
      </w:pPr>
      <w:del w:id="2591" w:author="Master Repository Process" w:date="2022-03-30T12:17:00Z">
        <w:r>
          <w:tab/>
          <w:delText>[Clause 59 inserted: No. 13 of 2005 s. 17; amended: No. 42 of 2010 s. 60(6).]</w:delText>
        </w:r>
      </w:del>
    </w:p>
    <w:p>
      <w:pPr>
        <w:pStyle w:val="yHeading5"/>
        <w:spacing w:before="180"/>
        <w:rPr>
          <w:del w:id="2592" w:author="Master Repository Process" w:date="2022-03-30T12:17:00Z"/>
        </w:rPr>
      </w:pPr>
      <w:bookmarkStart w:id="2593" w:name="_Toc97630745"/>
      <w:del w:id="2594" w:author="Master Repository Process" w:date="2022-03-30T12:17:00Z">
        <w:r>
          <w:rPr>
            <w:rStyle w:val="CharSClsNo"/>
          </w:rPr>
          <w:delText>60</w:delText>
        </w:r>
        <w:r>
          <w:delText>.</w:delText>
        </w:r>
        <w:r>
          <w:rPr>
            <w:b w:val="0"/>
          </w:rPr>
          <w:tab/>
        </w:r>
        <w:r>
          <w:delText>Power to issue improvement notices</w:delText>
        </w:r>
        <w:bookmarkEnd w:id="2593"/>
      </w:del>
    </w:p>
    <w:p>
      <w:pPr>
        <w:pStyle w:val="ySubsection"/>
        <w:rPr>
          <w:del w:id="2595" w:author="Master Repository Process" w:date="2022-03-30T12:17:00Z"/>
        </w:rPr>
      </w:pPr>
      <w:del w:id="2596" w:author="Master Repository Process" w:date="2022-03-30T12:17:00Z">
        <w:r>
          <w:tab/>
          <w:delText>(1)</w:delText>
        </w:r>
        <w:r>
          <w:tab/>
          <w:delText xml:space="preserve">If, in conducting an inspection, an inspector believes on reasonable grounds that a person — </w:delText>
        </w:r>
      </w:del>
    </w:p>
    <w:p>
      <w:pPr>
        <w:pStyle w:val="yIndenta"/>
        <w:rPr>
          <w:del w:id="2597" w:author="Master Repository Process" w:date="2022-03-30T12:17:00Z"/>
        </w:rPr>
      </w:pPr>
      <w:del w:id="2598" w:author="Master Repository Process" w:date="2022-03-30T12:17:00Z">
        <w:r>
          <w:tab/>
          <w:delText>(a)</w:delText>
        </w:r>
        <w:r>
          <w:tab/>
          <w:delText>is contravening a listed OSH law; or</w:delText>
        </w:r>
      </w:del>
    </w:p>
    <w:p>
      <w:pPr>
        <w:pStyle w:val="yIndenta"/>
        <w:rPr>
          <w:del w:id="2599" w:author="Master Repository Process" w:date="2022-03-30T12:17:00Z"/>
        </w:rPr>
      </w:pPr>
      <w:del w:id="2600" w:author="Master Repository Process" w:date="2022-03-30T12:17:00Z">
        <w:r>
          <w:tab/>
          <w:delText>(b)</w:delText>
        </w:r>
        <w:r>
          <w:tab/>
          <w:delText>has contravened a provision of a listed OSH law and is likely to contravene that provision again,</w:delText>
        </w:r>
      </w:del>
    </w:p>
    <w:p>
      <w:pPr>
        <w:pStyle w:val="ySubsection"/>
        <w:rPr>
          <w:del w:id="2601" w:author="Master Repository Process" w:date="2022-03-30T12:17:00Z"/>
        </w:rPr>
      </w:pPr>
      <w:del w:id="2602" w:author="Master Repository Process" w:date="2022-03-30T12:17:00Z">
        <w:r>
          <w:tab/>
        </w:r>
        <w:r>
          <w:tab/>
          <w:delText xml:space="preserve">the inspector may issue an improvement notice, in writing, to the person (the </w:delText>
        </w:r>
        <w:r>
          <w:rPr>
            <w:rStyle w:val="CharDefText"/>
          </w:rPr>
          <w:delText>responsible person</w:delText>
        </w:r>
        <w:r>
          <w:delText>).</w:delText>
        </w:r>
      </w:del>
    </w:p>
    <w:p>
      <w:pPr>
        <w:pStyle w:val="ySubsection"/>
        <w:rPr>
          <w:del w:id="2603" w:author="Master Repository Process" w:date="2022-03-30T12:17:00Z"/>
        </w:rPr>
      </w:pPr>
      <w:del w:id="2604" w:author="Master Repository Process" w:date="2022-03-30T12:17:00Z">
        <w:r>
          <w:tab/>
          <w:delText>(2)</w:delText>
        </w:r>
        <w:r>
          <w:tab/>
          <w:delText>If the responsible person is the operator, the improvement notice may be issued to the operator by giving it to the operator’s representative.</w:delText>
        </w:r>
      </w:del>
    </w:p>
    <w:p>
      <w:pPr>
        <w:pStyle w:val="ySubsection"/>
        <w:rPr>
          <w:del w:id="2605" w:author="Master Repository Process" w:date="2022-03-30T12:17:00Z"/>
        </w:rPr>
      </w:pPr>
      <w:del w:id="2606" w:author="Master Repository Process" w:date="2022-03-30T12:17:00Z">
        <w:r>
          <w:tab/>
          <w:delText>(3)</w:delText>
        </w:r>
        <w:r>
          <w:tab/>
          <w:delText xml:space="preserve">If the responsible person is an employer (other than the operator) of members of the workforce, but it is not practicable to give the notice to that employer — </w:delText>
        </w:r>
      </w:del>
    </w:p>
    <w:p>
      <w:pPr>
        <w:pStyle w:val="yIndenta"/>
        <w:rPr>
          <w:del w:id="2607" w:author="Master Repository Process" w:date="2022-03-30T12:17:00Z"/>
        </w:rPr>
      </w:pPr>
      <w:del w:id="2608" w:author="Master Repository Process" w:date="2022-03-30T12:17:00Z">
        <w:r>
          <w:tab/>
          <w:delText>(a)</w:delText>
        </w:r>
        <w:r>
          <w:tab/>
          <w:delText>the improvement notice may be issued to the employer by giving it to the operator’s representative; and</w:delText>
        </w:r>
      </w:del>
    </w:p>
    <w:p>
      <w:pPr>
        <w:pStyle w:val="yIndenta"/>
        <w:rPr>
          <w:del w:id="2609" w:author="Master Repository Process" w:date="2022-03-30T12:17:00Z"/>
        </w:rPr>
      </w:pPr>
      <w:del w:id="2610" w:author="Master Repository Process" w:date="2022-03-30T12:17:00Z">
        <w:r>
          <w:tab/>
          <w:delText>(b)</w:delText>
        </w:r>
        <w:r>
          <w:tab/>
          <w:delText>if the notice is so issued — the operator must ensure that a copy of the notice is given to the employer as soon as practicable afterwards.</w:delText>
        </w:r>
      </w:del>
    </w:p>
    <w:p>
      <w:pPr>
        <w:pStyle w:val="ySubsection"/>
        <w:spacing w:before="120"/>
        <w:rPr>
          <w:del w:id="2611" w:author="Master Repository Process" w:date="2022-03-30T12:17:00Z"/>
        </w:rPr>
      </w:pPr>
      <w:del w:id="2612" w:author="Master Repository Process" w:date="2022-03-30T12:17:00Z">
        <w:r>
          <w:tab/>
          <w:delText>(4)</w:delText>
        </w:r>
        <w:r>
          <w:tab/>
          <w:delText xml:space="preserve">The notice — </w:delText>
        </w:r>
      </w:del>
    </w:p>
    <w:p>
      <w:pPr>
        <w:pStyle w:val="yIndenta"/>
        <w:rPr>
          <w:del w:id="2613" w:author="Master Repository Process" w:date="2022-03-30T12:17:00Z"/>
        </w:rPr>
      </w:pPr>
      <w:del w:id="2614" w:author="Master Repository Process" w:date="2022-03-30T12:17:00Z">
        <w:r>
          <w:tab/>
          <w:delText>(a)</w:delText>
        </w:r>
        <w:r>
          <w:tab/>
          <w:delText>must specify the contravention that the inspector believes is occurring or is likely to occur, and set out the reasons for that belief; and</w:delText>
        </w:r>
      </w:del>
    </w:p>
    <w:p>
      <w:pPr>
        <w:pStyle w:val="yIndenta"/>
        <w:rPr>
          <w:del w:id="2615" w:author="Master Repository Process" w:date="2022-03-30T12:17:00Z"/>
        </w:rPr>
      </w:pPr>
      <w:del w:id="2616" w:author="Master Repository Process" w:date="2022-03-30T12:17:00Z">
        <w:r>
          <w:tab/>
          <w:delText>(b)</w:delText>
        </w:r>
        <w:r>
          <w:tab/>
          <w:delText>must specify a reasonable period within which the responsible person is to take the action necessary to prevent any further contravention or to prevent the likely contravention, as the case may be; and</w:delText>
        </w:r>
      </w:del>
    </w:p>
    <w:p>
      <w:pPr>
        <w:pStyle w:val="yIndenta"/>
        <w:rPr>
          <w:del w:id="2617" w:author="Master Repository Process" w:date="2022-03-30T12:17:00Z"/>
        </w:rPr>
      </w:pPr>
      <w:del w:id="2618" w:author="Master Repository Process" w:date="2022-03-30T12:17:00Z">
        <w:r>
          <w:tab/>
          <w:delText>(c)</w:delText>
        </w:r>
        <w:r>
          <w:tab/>
          <w:delText>may specify action that the responsible person is to take during the period specified in the notice.</w:delText>
        </w:r>
      </w:del>
    </w:p>
    <w:p>
      <w:pPr>
        <w:pStyle w:val="ySubsection"/>
        <w:rPr>
          <w:del w:id="2619" w:author="Master Repository Process" w:date="2022-03-30T12:17:00Z"/>
        </w:rPr>
      </w:pPr>
      <w:del w:id="2620" w:author="Master Repository Process" w:date="2022-03-30T12:17:00Z">
        <w:r>
          <w:tab/>
          <w:delText>(5)</w:delText>
        </w:r>
        <w:r>
          <w:tab/>
          <w:delText>If the inspector believes on reasonable grounds that it is appropriate to do so, the inspector may, in writing and before the end of the period, extend the period specified in the notice.</w:delText>
        </w:r>
      </w:del>
    </w:p>
    <w:p>
      <w:pPr>
        <w:pStyle w:val="ySubsection"/>
        <w:rPr>
          <w:del w:id="2621" w:author="Master Repository Process" w:date="2022-03-30T12:17:00Z"/>
        </w:rPr>
      </w:pPr>
      <w:del w:id="2622" w:author="Master Repository Process" w:date="2022-03-30T12:17:00Z">
        <w:r>
          <w:tab/>
          <w:delText>(6)</w:delText>
        </w:r>
        <w:r>
          <w:tab/>
          <w:delText>If an improvement notice is issued to an employer (other than the operator) of members of the workforce in circumstances other than the circumstance referred to in subclause (3), the employer must immediately ensure that a copy of the notice is given to the operator’s representative.</w:delText>
        </w:r>
      </w:del>
    </w:p>
    <w:p>
      <w:pPr>
        <w:pStyle w:val="ySubsection"/>
        <w:rPr>
          <w:del w:id="2623" w:author="Master Repository Process" w:date="2022-03-30T12:17:00Z"/>
        </w:rPr>
      </w:pPr>
      <w:del w:id="2624" w:author="Master Repository Process" w:date="2022-03-30T12:17:00Z">
        <w:r>
          <w:tab/>
          <w:delText>(7)</w:delText>
        </w:r>
        <w:r>
          <w:tab/>
          <w:delText xml:space="preserve">If a notice is issued to the operator or to an employer (other than the operator) of members of the workforce, the operator’s representative must — </w:delText>
        </w:r>
      </w:del>
    </w:p>
    <w:p>
      <w:pPr>
        <w:pStyle w:val="yIndenta"/>
        <w:rPr>
          <w:del w:id="2625" w:author="Master Repository Process" w:date="2022-03-30T12:17:00Z"/>
        </w:rPr>
      </w:pPr>
      <w:del w:id="2626" w:author="Master Repository Process" w:date="2022-03-30T12:17:00Z">
        <w:r>
          <w:tab/>
          <w:delText>(a)</w:delText>
        </w:r>
        <w:r>
          <w:tab/>
          <w:delText>give a copy of the notice to each safety and health representative for a designated work group having group members performing work that is affected by the notice; and</w:delText>
        </w:r>
      </w:del>
    </w:p>
    <w:p>
      <w:pPr>
        <w:pStyle w:val="yIndenta"/>
        <w:rPr>
          <w:del w:id="2627" w:author="Master Repository Process" w:date="2022-03-30T12:17:00Z"/>
        </w:rPr>
      </w:pPr>
      <w:del w:id="2628" w:author="Master Repository Process" w:date="2022-03-30T12:17:00Z">
        <w:r>
          <w:tab/>
          <w:delText>(b)</w:delText>
        </w:r>
        <w:r>
          <w:tab/>
          <w:delText>cause a copy of the notice to be displayed in a prominent place at or near each workplace at which the work is being performed.</w:delText>
        </w:r>
      </w:del>
    </w:p>
    <w:p>
      <w:pPr>
        <w:pStyle w:val="ySubsection"/>
        <w:rPr>
          <w:del w:id="2629" w:author="Master Repository Process" w:date="2022-03-30T12:17:00Z"/>
        </w:rPr>
      </w:pPr>
      <w:del w:id="2630" w:author="Master Repository Process" w:date="2022-03-30T12:17:00Z">
        <w:r>
          <w:tab/>
          <w:delText>(8)</w:delText>
        </w:r>
        <w:r>
          <w:tab/>
          <w:delText xml:space="preserve">On issuing a notice, the inspector must give a copy of the notice to — </w:delText>
        </w:r>
      </w:del>
    </w:p>
    <w:p>
      <w:pPr>
        <w:pStyle w:val="yIndenta"/>
        <w:rPr>
          <w:del w:id="2631" w:author="Master Repository Process" w:date="2022-03-30T12:17:00Z"/>
        </w:rPr>
      </w:pPr>
      <w:del w:id="2632" w:author="Master Repository Process" w:date="2022-03-30T12:17:00Z">
        <w:r>
          <w:tab/>
          <w:delText>(a)</w:delText>
        </w:r>
        <w:r>
          <w:tab/>
          <w:delText xml:space="preserve">if the notice is — </w:delText>
        </w:r>
      </w:del>
    </w:p>
    <w:p>
      <w:pPr>
        <w:pStyle w:val="yIndenti0"/>
        <w:rPr>
          <w:del w:id="2633" w:author="Master Repository Process" w:date="2022-03-30T12:17:00Z"/>
        </w:rPr>
      </w:pPr>
      <w:del w:id="2634" w:author="Master Repository Process" w:date="2022-03-30T12:17:00Z">
        <w:r>
          <w:tab/>
          <w:delText>(i)</w:delText>
        </w:r>
        <w:r>
          <w:tab/>
          <w:delText>given to a member of the workforce who is an employee; and</w:delText>
        </w:r>
      </w:del>
    </w:p>
    <w:p>
      <w:pPr>
        <w:pStyle w:val="yIndenti0"/>
        <w:keepNext/>
        <w:rPr>
          <w:del w:id="2635" w:author="Master Repository Process" w:date="2022-03-30T12:17:00Z"/>
        </w:rPr>
      </w:pPr>
      <w:del w:id="2636" w:author="Master Repository Process" w:date="2022-03-30T12:17:00Z">
        <w:r>
          <w:tab/>
          <w:delText>(ii)</w:delText>
        </w:r>
        <w:r>
          <w:tab/>
          <w:delText>in connection with work performed by the employee,</w:delText>
        </w:r>
      </w:del>
    </w:p>
    <w:p>
      <w:pPr>
        <w:pStyle w:val="yIndenta"/>
        <w:rPr>
          <w:del w:id="2637" w:author="Master Repository Process" w:date="2022-03-30T12:17:00Z"/>
        </w:rPr>
      </w:pPr>
      <w:del w:id="2638" w:author="Master Repository Process" w:date="2022-03-30T12:17:00Z">
        <w:r>
          <w:tab/>
        </w:r>
        <w:r>
          <w:tab/>
          <w:delText>the employer of that employee; and</w:delText>
        </w:r>
      </w:del>
    </w:p>
    <w:p>
      <w:pPr>
        <w:pStyle w:val="yIndenta"/>
        <w:rPr>
          <w:del w:id="2639" w:author="Master Repository Process" w:date="2022-03-30T12:17:00Z"/>
        </w:rPr>
      </w:pPr>
      <w:del w:id="2640" w:author="Master Repository Process" w:date="2022-03-30T12:17:00Z">
        <w:r>
          <w:tab/>
          <w:delText>(b)</w:delText>
        </w:r>
        <w:r>
          <w:tab/>
          <w:delText xml:space="preserve">if the notice relates to any workplace, plant, substance or thing that is owned by a person other than — </w:delText>
        </w:r>
      </w:del>
    </w:p>
    <w:p>
      <w:pPr>
        <w:pStyle w:val="yIndenti0"/>
        <w:rPr>
          <w:del w:id="2641" w:author="Master Repository Process" w:date="2022-03-30T12:17:00Z"/>
        </w:rPr>
      </w:pPr>
      <w:del w:id="2642" w:author="Master Repository Process" w:date="2022-03-30T12:17:00Z">
        <w:r>
          <w:tab/>
          <w:delText>(i)</w:delText>
        </w:r>
        <w:r>
          <w:tab/>
          <w:delText>a responsible person; or</w:delText>
        </w:r>
      </w:del>
    </w:p>
    <w:p>
      <w:pPr>
        <w:pStyle w:val="yIndenti0"/>
        <w:rPr>
          <w:del w:id="2643" w:author="Master Repository Process" w:date="2022-03-30T12:17:00Z"/>
        </w:rPr>
      </w:pPr>
      <w:del w:id="2644" w:author="Master Repository Process" w:date="2022-03-30T12:17:00Z">
        <w:r>
          <w:tab/>
          <w:delText>(ii)</w:delText>
        </w:r>
        <w:r>
          <w:tab/>
          <w:delText>a person who is an employer referred to in paragraph (a),</w:delText>
        </w:r>
      </w:del>
    </w:p>
    <w:p>
      <w:pPr>
        <w:pStyle w:val="yIndenta"/>
        <w:rPr>
          <w:del w:id="2645" w:author="Master Repository Process" w:date="2022-03-30T12:17:00Z"/>
        </w:rPr>
      </w:pPr>
      <w:del w:id="2646" w:author="Master Repository Process" w:date="2022-03-30T12:17:00Z">
        <w:r>
          <w:tab/>
        </w:r>
        <w:r>
          <w:tab/>
          <w:delText>that owner; and</w:delText>
        </w:r>
      </w:del>
    </w:p>
    <w:p>
      <w:pPr>
        <w:pStyle w:val="yIndenta"/>
        <w:rPr>
          <w:del w:id="2647" w:author="Master Repository Process" w:date="2022-03-30T12:17:00Z"/>
        </w:rPr>
      </w:pPr>
      <w:del w:id="2648" w:author="Master Repository Process" w:date="2022-03-30T12:17:00Z">
        <w:r>
          <w:tab/>
          <w:delText>(c)</w:delText>
        </w:r>
        <w:r>
          <w:tab/>
          <w:delText xml:space="preserve">if the notice is issued to a person who owns any workplace, plant, substance or thing, because of which a contravention of a listed OSH law has occurred or is likely to occur — </w:delText>
        </w:r>
      </w:del>
    </w:p>
    <w:p>
      <w:pPr>
        <w:pStyle w:val="yIndenti0"/>
        <w:rPr>
          <w:del w:id="2649" w:author="Master Repository Process" w:date="2022-03-30T12:17:00Z"/>
        </w:rPr>
      </w:pPr>
      <w:del w:id="2650" w:author="Master Repository Process" w:date="2022-03-30T12:17:00Z">
        <w:r>
          <w:tab/>
          <w:delText>(i)</w:delText>
        </w:r>
        <w:r>
          <w:tab/>
          <w:delText>the operator of the petroleum operation or geothermal energy operation; and</w:delText>
        </w:r>
      </w:del>
    </w:p>
    <w:p>
      <w:pPr>
        <w:pStyle w:val="yIndenti0"/>
        <w:rPr>
          <w:del w:id="2651" w:author="Master Repository Process" w:date="2022-03-30T12:17:00Z"/>
        </w:rPr>
      </w:pPr>
      <w:del w:id="2652" w:author="Master Repository Process" w:date="2022-03-30T12:17:00Z">
        <w:r>
          <w:tab/>
          <w:delText>(ii)</w:delText>
        </w:r>
        <w:r>
          <w:tab/>
          <w:delText>if the employer of employees who work in that workplace or who use that plant, substance or thing is a person other than the operator — that employer.</w:delText>
        </w:r>
      </w:del>
    </w:p>
    <w:p>
      <w:pPr>
        <w:pStyle w:val="yFootnotesection"/>
        <w:rPr>
          <w:del w:id="2653" w:author="Master Repository Process" w:date="2022-03-30T12:17:00Z"/>
        </w:rPr>
      </w:pPr>
      <w:del w:id="2654" w:author="Master Repository Process" w:date="2022-03-30T12:17:00Z">
        <w:r>
          <w:tab/>
          <w:delText>[Clause 60 inserted: No. 13 of 2005 s. 17; amended: No. 35 of 2007 s. 86.]</w:delText>
        </w:r>
      </w:del>
    </w:p>
    <w:p>
      <w:pPr>
        <w:pStyle w:val="yHeading5"/>
        <w:rPr>
          <w:del w:id="2655" w:author="Master Repository Process" w:date="2022-03-30T12:17:00Z"/>
        </w:rPr>
      </w:pPr>
      <w:bookmarkStart w:id="2656" w:name="_Toc97630746"/>
      <w:del w:id="2657" w:author="Master Repository Process" w:date="2022-03-30T12:17:00Z">
        <w:r>
          <w:rPr>
            <w:rStyle w:val="CharSClsNo"/>
          </w:rPr>
          <w:delText>61</w:delText>
        </w:r>
        <w:r>
          <w:delText>.</w:delText>
        </w:r>
        <w:r>
          <w:rPr>
            <w:b w:val="0"/>
          </w:rPr>
          <w:tab/>
        </w:r>
        <w:r>
          <w:delText>Compliance with improvement notice</w:delText>
        </w:r>
        <w:bookmarkEnd w:id="2656"/>
      </w:del>
    </w:p>
    <w:p>
      <w:pPr>
        <w:pStyle w:val="ySubsection"/>
        <w:rPr>
          <w:del w:id="2658" w:author="Master Repository Process" w:date="2022-03-30T12:17:00Z"/>
        </w:rPr>
      </w:pPr>
      <w:del w:id="2659" w:author="Master Repository Process" w:date="2022-03-30T12:17:00Z">
        <w:r>
          <w:tab/>
        </w:r>
        <w:r>
          <w:tab/>
          <w:delText>A person to whom an improvement notice is issued must comply with it to the extent that the notice relates to any matter over which the person has control.</w:delText>
        </w:r>
      </w:del>
    </w:p>
    <w:p>
      <w:pPr>
        <w:pStyle w:val="yPenstart"/>
        <w:rPr>
          <w:del w:id="2660" w:author="Master Repository Process" w:date="2022-03-30T12:17:00Z"/>
        </w:rPr>
      </w:pPr>
      <w:del w:id="2661" w:author="Master Repository Process" w:date="2022-03-30T12:17:00Z">
        <w:r>
          <w:tab/>
          <w:delText>Penalty: a fine of $11 000.</w:delText>
        </w:r>
      </w:del>
    </w:p>
    <w:p>
      <w:pPr>
        <w:pStyle w:val="yFootnotesection"/>
        <w:rPr>
          <w:del w:id="2662" w:author="Master Repository Process" w:date="2022-03-30T12:17:00Z"/>
        </w:rPr>
      </w:pPr>
      <w:del w:id="2663" w:author="Master Repository Process" w:date="2022-03-30T12:17:00Z">
        <w:r>
          <w:tab/>
          <w:delText>[Clause 61 inserted: No. 13 of 2005 s. 17; amended: No. 42 of 2010 s. 60(6).]</w:delText>
        </w:r>
      </w:del>
    </w:p>
    <w:p>
      <w:pPr>
        <w:pStyle w:val="yHeading5"/>
        <w:rPr>
          <w:del w:id="2664" w:author="Master Repository Process" w:date="2022-03-30T12:17:00Z"/>
        </w:rPr>
      </w:pPr>
      <w:bookmarkStart w:id="2665" w:name="_Toc97630747"/>
      <w:del w:id="2666" w:author="Master Repository Process" w:date="2022-03-30T12:17:00Z">
        <w:r>
          <w:rPr>
            <w:rStyle w:val="CharSClsNo"/>
          </w:rPr>
          <w:delText>62</w:delText>
        </w:r>
        <w:r>
          <w:delText>.</w:delText>
        </w:r>
        <w:r>
          <w:rPr>
            <w:b w:val="0"/>
          </w:rPr>
          <w:tab/>
        </w:r>
        <w:r>
          <w:delText>Notices not to be tampered with or removed</w:delText>
        </w:r>
        <w:bookmarkEnd w:id="2665"/>
      </w:del>
    </w:p>
    <w:p>
      <w:pPr>
        <w:pStyle w:val="ySubsection"/>
        <w:rPr>
          <w:del w:id="2667" w:author="Master Repository Process" w:date="2022-03-30T12:17:00Z"/>
        </w:rPr>
      </w:pPr>
      <w:del w:id="2668" w:author="Master Repository Process" w:date="2022-03-30T12:17:00Z">
        <w:r>
          <w:tab/>
          <w:delText>(1)</w:delText>
        </w:r>
        <w:r>
          <w:tab/>
          <w:delText>A person must not, without reasonable excuse, tamper with any notice that has been displayed under clause 56(3), 57(5), 58(6) or 60(7) while that notice is so displayed.</w:delText>
        </w:r>
      </w:del>
    </w:p>
    <w:p>
      <w:pPr>
        <w:pStyle w:val="ySubsection"/>
        <w:rPr>
          <w:del w:id="2669" w:author="Master Repository Process" w:date="2022-03-30T12:17:00Z"/>
        </w:rPr>
      </w:pPr>
      <w:del w:id="2670" w:author="Master Repository Process" w:date="2022-03-30T12:17:00Z">
        <w:r>
          <w:tab/>
          <w:delText>(2)</w:delText>
        </w:r>
        <w:r>
          <w:tab/>
          <w:delText>If a notice has been displayed under clause 56(3), a person must not, without reasonable excuse, remove the notice until the plant or thing to which the notice relates is returned to the workplace from which it was removed.</w:delText>
        </w:r>
      </w:del>
    </w:p>
    <w:p>
      <w:pPr>
        <w:pStyle w:val="ySubsection"/>
        <w:rPr>
          <w:del w:id="2671" w:author="Master Repository Process" w:date="2022-03-30T12:17:00Z"/>
        </w:rPr>
      </w:pPr>
      <w:del w:id="2672" w:author="Master Repository Process" w:date="2022-03-30T12:17:00Z">
        <w:r>
          <w:tab/>
          <w:delText>(3)</w:delText>
        </w:r>
        <w:r>
          <w:tab/>
          <w:delText>If a notice has been displayed under clause 57(5), 58(6) or 60(7), a person must not, without reasonable excuse, remove the notice before it has ceased to have effect.</w:delText>
        </w:r>
      </w:del>
    </w:p>
    <w:p>
      <w:pPr>
        <w:pStyle w:val="yPenstart"/>
        <w:rPr>
          <w:del w:id="2673" w:author="Master Repository Process" w:date="2022-03-30T12:17:00Z"/>
        </w:rPr>
      </w:pPr>
      <w:del w:id="2674" w:author="Master Repository Process" w:date="2022-03-30T12:17:00Z">
        <w:r>
          <w:tab/>
          <w:delText>Penalty for an offence under subclause (1), (2) or (3): a fine of $11 000.</w:delText>
        </w:r>
      </w:del>
    </w:p>
    <w:p>
      <w:pPr>
        <w:pStyle w:val="yFootnotesection"/>
        <w:rPr>
          <w:del w:id="2675" w:author="Master Repository Process" w:date="2022-03-30T12:17:00Z"/>
        </w:rPr>
      </w:pPr>
      <w:del w:id="2676" w:author="Master Repository Process" w:date="2022-03-30T12:17:00Z">
        <w:r>
          <w:tab/>
          <w:delText>[Clause 62 inserted: No. 13 of 2005 s. 17; amended: No. 42 of 2010 s. 60(3).]</w:delText>
        </w:r>
      </w:del>
    </w:p>
    <w:p>
      <w:pPr>
        <w:pStyle w:val="yHeading4"/>
        <w:rPr>
          <w:del w:id="2677" w:author="Master Repository Process" w:date="2022-03-30T12:17:00Z"/>
        </w:rPr>
      </w:pPr>
      <w:bookmarkStart w:id="2678" w:name="_Toc97629857"/>
      <w:bookmarkStart w:id="2679" w:name="_Toc97630210"/>
      <w:bookmarkStart w:id="2680" w:name="_Toc97630748"/>
      <w:del w:id="2681" w:author="Master Repository Process" w:date="2022-03-30T12:17:00Z">
        <w:r>
          <w:delText>Subdivision </w:delText>
        </w:r>
        <w:r>
          <w:rPr>
            <w:bCs/>
          </w:rPr>
          <w:delText>4 — Reports</w:delText>
        </w:r>
        <w:r>
          <w:delText xml:space="preserve"> on inspections</w:delText>
        </w:r>
        <w:bookmarkEnd w:id="2678"/>
        <w:bookmarkEnd w:id="2679"/>
        <w:bookmarkEnd w:id="2680"/>
      </w:del>
    </w:p>
    <w:p>
      <w:pPr>
        <w:pStyle w:val="yFootnoteheading"/>
        <w:rPr>
          <w:del w:id="2682" w:author="Master Repository Process" w:date="2022-03-30T12:17:00Z"/>
        </w:rPr>
      </w:pPr>
      <w:del w:id="2683" w:author="Master Repository Process" w:date="2022-03-30T12:17:00Z">
        <w:r>
          <w:tab/>
          <w:delText>[Heading inserted: No. 13 of 2005 s. 17.]</w:delText>
        </w:r>
      </w:del>
    </w:p>
    <w:p>
      <w:pPr>
        <w:pStyle w:val="yHeading5"/>
        <w:rPr>
          <w:del w:id="2684" w:author="Master Repository Process" w:date="2022-03-30T12:17:00Z"/>
        </w:rPr>
      </w:pPr>
      <w:bookmarkStart w:id="2685" w:name="_Toc97630749"/>
      <w:del w:id="2686" w:author="Master Repository Process" w:date="2022-03-30T12:17:00Z">
        <w:r>
          <w:rPr>
            <w:rStyle w:val="CharSClsNo"/>
          </w:rPr>
          <w:delText>63</w:delText>
        </w:r>
        <w:r>
          <w:delText>.</w:delText>
        </w:r>
        <w:r>
          <w:rPr>
            <w:b w:val="0"/>
          </w:rPr>
          <w:tab/>
        </w:r>
        <w:r>
          <w:delText>Reports on inspections</w:delText>
        </w:r>
        <w:bookmarkEnd w:id="2685"/>
      </w:del>
    </w:p>
    <w:p>
      <w:pPr>
        <w:pStyle w:val="ySubsection"/>
        <w:rPr>
          <w:del w:id="2687" w:author="Master Repository Process" w:date="2022-03-30T12:17:00Z"/>
        </w:rPr>
      </w:pPr>
      <w:del w:id="2688" w:author="Master Repository Process" w:date="2022-03-30T12:17:00Z">
        <w:r>
          <w:tab/>
          <w:delText>(1)</w:delText>
        </w:r>
        <w:r>
          <w:tab/>
          <w:delText>If an inspector has conducted an inspection, the inspector must, as soon as practicable, prepare a written report relating to the inspection and give the report to the Minister.</w:delText>
        </w:r>
      </w:del>
    </w:p>
    <w:p>
      <w:pPr>
        <w:pStyle w:val="ySubsection"/>
        <w:rPr>
          <w:del w:id="2689" w:author="Master Repository Process" w:date="2022-03-30T12:17:00Z"/>
        </w:rPr>
      </w:pPr>
      <w:del w:id="2690" w:author="Master Repository Process" w:date="2022-03-30T12:17:00Z">
        <w:r>
          <w:tab/>
          <w:delText>(2)</w:delText>
        </w:r>
        <w:r>
          <w:tab/>
          <w:delText xml:space="preserve">The report must include — </w:delText>
        </w:r>
      </w:del>
    </w:p>
    <w:p>
      <w:pPr>
        <w:pStyle w:val="yIndenta"/>
        <w:rPr>
          <w:del w:id="2691" w:author="Master Repository Process" w:date="2022-03-30T12:17:00Z"/>
        </w:rPr>
      </w:pPr>
      <w:del w:id="2692" w:author="Master Repository Process" w:date="2022-03-30T12:17:00Z">
        <w:r>
          <w:tab/>
          <w:delText>(a)</w:delText>
        </w:r>
        <w:r>
          <w:tab/>
          <w:delText>the inspector’s conclusions from conducting the inspection and the reasons for those conclusions; and</w:delText>
        </w:r>
      </w:del>
    </w:p>
    <w:p>
      <w:pPr>
        <w:pStyle w:val="yIndenta"/>
        <w:rPr>
          <w:del w:id="2693" w:author="Master Repository Process" w:date="2022-03-30T12:17:00Z"/>
        </w:rPr>
      </w:pPr>
      <w:del w:id="2694" w:author="Master Repository Process" w:date="2022-03-30T12:17:00Z">
        <w:r>
          <w:tab/>
          <w:delText>(b)</w:delText>
        </w:r>
        <w:r>
          <w:tab/>
          <w:delText>any recommendations that the inspector wishes to make arising from the inspection; and</w:delText>
        </w:r>
      </w:del>
    </w:p>
    <w:p>
      <w:pPr>
        <w:pStyle w:val="yIndenta"/>
        <w:rPr>
          <w:del w:id="2695" w:author="Master Repository Process" w:date="2022-03-30T12:17:00Z"/>
        </w:rPr>
      </w:pPr>
      <w:del w:id="2696" w:author="Master Repository Process" w:date="2022-03-30T12:17:00Z">
        <w:r>
          <w:tab/>
          <w:delText>(c)</w:delText>
        </w:r>
        <w:r>
          <w:tab/>
          <w:delText>any other prescribed matters.</w:delText>
        </w:r>
      </w:del>
    </w:p>
    <w:p>
      <w:pPr>
        <w:pStyle w:val="ySubsection"/>
        <w:rPr>
          <w:del w:id="2697" w:author="Master Repository Process" w:date="2022-03-30T12:17:00Z"/>
        </w:rPr>
      </w:pPr>
      <w:del w:id="2698" w:author="Master Repository Process" w:date="2022-03-30T12:17:00Z">
        <w:r>
          <w:tab/>
          <w:delText>(3)</w:delText>
        </w:r>
        <w:r>
          <w:tab/>
          <w:delText xml:space="preserve">As soon as practicable after receiving the report, the Minister must give a copy of the report, together with any written comments that the Minister wishes to make — </w:delText>
        </w:r>
      </w:del>
    </w:p>
    <w:p>
      <w:pPr>
        <w:pStyle w:val="yIndenta"/>
        <w:rPr>
          <w:del w:id="2699" w:author="Master Repository Process" w:date="2022-03-30T12:17:00Z"/>
        </w:rPr>
      </w:pPr>
      <w:del w:id="2700" w:author="Master Repository Process" w:date="2022-03-30T12:17:00Z">
        <w:r>
          <w:tab/>
          <w:delText>(a)</w:delText>
        </w:r>
        <w:r>
          <w:tab/>
          <w:delText>to the operator of the petroleum operation or geothermal energy operation to which the report relates; and</w:delText>
        </w:r>
      </w:del>
    </w:p>
    <w:p>
      <w:pPr>
        <w:pStyle w:val="yIndenta"/>
        <w:rPr>
          <w:del w:id="2701" w:author="Master Repository Process" w:date="2022-03-30T12:17:00Z"/>
        </w:rPr>
      </w:pPr>
      <w:del w:id="2702" w:author="Master Repository Process" w:date="2022-03-30T12:17:00Z">
        <w:r>
          <w:tab/>
          <w:delText>(b)</w:delText>
        </w:r>
        <w:r>
          <w:tab/>
          <w:delText>if the report relates to activities performed by an employee of another person — that other person; and</w:delText>
        </w:r>
      </w:del>
    </w:p>
    <w:p>
      <w:pPr>
        <w:pStyle w:val="yIndenta"/>
        <w:rPr>
          <w:del w:id="2703" w:author="Master Repository Process" w:date="2022-03-30T12:17:00Z"/>
        </w:rPr>
      </w:pPr>
      <w:del w:id="2704" w:author="Master Repository Process" w:date="2022-03-30T12:17:00Z">
        <w:r>
          <w:tab/>
          <w:delText>(c)</w:delText>
        </w:r>
        <w:r>
          <w:tab/>
          <w:delText>if the report relates to any plant, substance or thing owned by another person — that other person.</w:delText>
        </w:r>
      </w:del>
    </w:p>
    <w:p>
      <w:pPr>
        <w:pStyle w:val="ySubsection"/>
        <w:rPr>
          <w:del w:id="2705" w:author="Master Repository Process" w:date="2022-03-30T12:17:00Z"/>
        </w:rPr>
      </w:pPr>
      <w:del w:id="2706" w:author="Master Repository Process" w:date="2022-03-30T12:17:00Z">
        <w:r>
          <w:tab/>
          <w:delText>(4)</w:delText>
        </w:r>
        <w:r>
          <w:tab/>
          <w:delText xml:space="preserve">The Minister may, in writing, request the operator or any other person to whom the report is given to provide to the Minister, within a reasonable period specified in the request, details of — </w:delText>
        </w:r>
      </w:del>
    </w:p>
    <w:p>
      <w:pPr>
        <w:pStyle w:val="yIndenta"/>
        <w:rPr>
          <w:del w:id="2707" w:author="Master Repository Process" w:date="2022-03-30T12:17:00Z"/>
        </w:rPr>
      </w:pPr>
      <w:del w:id="2708" w:author="Master Repository Process" w:date="2022-03-30T12:17:00Z">
        <w:r>
          <w:tab/>
          <w:delText>(a)</w:delText>
        </w:r>
        <w:r>
          <w:tab/>
          <w:delText>any action proposed to be taken as a result of the conclusions or recommendations contained in the report; and</w:delText>
        </w:r>
      </w:del>
    </w:p>
    <w:p>
      <w:pPr>
        <w:pStyle w:val="yIndenta"/>
        <w:rPr>
          <w:del w:id="2709" w:author="Master Repository Process" w:date="2022-03-30T12:17:00Z"/>
        </w:rPr>
      </w:pPr>
      <w:del w:id="2710" w:author="Master Repository Process" w:date="2022-03-30T12:17:00Z">
        <w:r>
          <w:tab/>
          <w:delText>(b)</w:delText>
        </w:r>
        <w:r>
          <w:tab/>
          <w:delText>if a notice has been issued under clause 58 or 60 in relation to work being performed for the operator or that other person — any action taken, or proposed to be taken, in respect of that notice,</w:delText>
        </w:r>
      </w:del>
    </w:p>
    <w:p>
      <w:pPr>
        <w:pStyle w:val="ySubsection"/>
        <w:rPr>
          <w:del w:id="2711" w:author="Master Repository Process" w:date="2022-03-30T12:17:00Z"/>
        </w:rPr>
      </w:pPr>
      <w:del w:id="2712" w:author="Master Repository Process" w:date="2022-03-30T12:17:00Z">
        <w:r>
          <w:tab/>
        </w:r>
        <w:r>
          <w:tab/>
          <w:delText>and the operator or that other person must comply with the request.</w:delText>
        </w:r>
      </w:del>
    </w:p>
    <w:p>
      <w:pPr>
        <w:pStyle w:val="ySubsection"/>
        <w:keepLines/>
        <w:rPr>
          <w:del w:id="2713" w:author="Master Repository Process" w:date="2022-03-30T12:17:00Z"/>
        </w:rPr>
      </w:pPr>
      <w:del w:id="2714" w:author="Master Repository Process" w:date="2022-03-30T12:17:00Z">
        <w:r>
          <w:tab/>
          <w:delText>(5)</w:delText>
        </w:r>
        <w:r>
          <w:tab/>
          <w:delText xml:space="preserve">As soon as practicable after receiving a report, the operator of the petroleum operation or geothermal energy operation must give a copy of the report, together with any written comment made by the Minister on the report — </w:delText>
        </w:r>
      </w:del>
    </w:p>
    <w:p>
      <w:pPr>
        <w:pStyle w:val="yIndenta"/>
        <w:rPr>
          <w:del w:id="2715" w:author="Master Repository Process" w:date="2022-03-30T12:17:00Z"/>
        </w:rPr>
      </w:pPr>
      <w:del w:id="2716" w:author="Master Repository Process" w:date="2022-03-30T12:17:00Z">
        <w:r>
          <w:tab/>
          <w:delText>(a)</w:delText>
        </w:r>
        <w:r>
          <w:tab/>
          <w:delText>if there is at least one safety and health committee in respect of some or all of the members of the workforce — to each such committee; and</w:delText>
        </w:r>
      </w:del>
    </w:p>
    <w:p>
      <w:pPr>
        <w:pStyle w:val="yIndenta"/>
        <w:rPr>
          <w:del w:id="2717" w:author="Master Repository Process" w:date="2022-03-30T12:17:00Z"/>
        </w:rPr>
      </w:pPr>
      <w:del w:id="2718" w:author="Master Repository Process" w:date="2022-03-30T12:17:00Z">
        <w:r>
          <w:tab/>
          <w:delText>(b)</w:delText>
        </w:r>
        <w:r>
          <w:tab/>
          <w:delTex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delText>
        </w:r>
      </w:del>
    </w:p>
    <w:p>
      <w:pPr>
        <w:pStyle w:val="yFootnotesection"/>
        <w:rPr>
          <w:del w:id="2719" w:author="Master Repository Process" w:date="2022-03-30T12:17:00Z"/>
        </w:rPr>
      </w:pPr>
      <w:del w:id="2720" w:author="Master Repository Process" w:date="2022-03-30T12:17:00Z">
        <w:r>
          <w:tab/>
          <w:delText>[Clause 63 inserted: No. 13 of 2005 s. 17; amended: No. 35 of 2007 s. 86.]</w:delText>
        </w:r>
      </w:del>
    </w:p>
    <w:p>
      <w:pPr>
        <w:pStyle w:val="yHeading4"/>
        <w:rPr>
          <w:del w:id="2721" w:author="Master Repository Process" w:date="2022-03-30T12:17:00Z"/>
        </w:rPr>
      </w:pPr>
      <w:bookmarkStart w:id="2722" w:name="_Toc97629859"/>
      <w:bookmarkStart w:id="2723" w:name="_Toc97630212"/>
      <w:bookmarkStart w:id="2724" w:name="_Toc97630750"/>
      <w:del w:id="2725" w:author="Master Repository Process" w:date="2022-03-30T12:17:00Z">
        <w:r>
          <w:delText>Subdivision </w:delText>
        </w:r>
        <w:r>
          <w:rPr>
            <w:bCs/>
          </w:rPr>
          <w:delText>5 — Reviews of inspectors’ decisions</w:delText>
        </w:r>
        <w:bookmarkEnd w:id="2722"/>
        <w:bookmarkEnd w:id="2723"/>
        <w:bookmarkEnd w:id="2724"/>
      </w:del>
    </w:p>
    <w:p>
      <w:pPr>
        <w:pStyle w:val="yFootnoteheading"/>
        <w:rPr>
          <w:del w:id="2726" w:author="Master Repository Process" w:date="2022-03-30T12:17:00Z"/>
        </w:rPr>
      </w:pPr>
      <w:del w:id="2727" w:author="Master Repository Process" w:date="2022-03-30T12:17:00Z">
        <w:r>
          <w:tab/>
          <w:delText>[Heading inserted: No. 13 of 2005 s. 17.]</w:delText>
        </w:r>
      </w:del>
    </w:p>
    <w:p>
      <w:pPr>
        <w:pStyle w:val="yHeading5"/>
        <w:rPr>
          <w:del w:id="2728" w:author="Master Repository Process" w:date="2022-03-30T12:17:00Z"/>
        </w:rPr>
      </w:pPr>
      <w:bookmarkStart w:id="2729" w:name="_Toc97630751"/>
      <w:del w:id="2730" w:author="Master Repository Process" w:date="2022-03-30T12:17:00Z">
        <w:r>
          <w:rPr>
            <w:rStyle w:val="CharSClsNo"/>
          </w:rPr>
          <w:delText>64</w:delText>
        </w:r>
        <w:r>
          <w:delText>.</w:delText>
        </w:r>
        <w:r>
          <w:rPr>
            <w:b w:val="0"/>
          </w:rPr>
          <w:tab/>
        </w:r>
        <w:r>
          <w:rPr>
            <w:bCs/>
          </w:rPr>
          <w:delText>Reviews of inspectors’ decisions</w:delText>
        </w:r>
        <w:bookmarkEnd w:id="2729"/>
      </w:del>
    </w:p>
    <w:p>
      <w:pPr>
        <w:pStyle w:val="ySubsection"/>
        <w:rPr>
          <w:del w:id="2731" w:author="Master Repository Process" w:date="2022-03-30T12:17:00Z"/>
        </w:rPr>
      </w:pPr>
      <w:del w:id="2732" w:author="Master Repository Process" w:date="2022-03-30T12:17:00Z">
        <w:r>
          <w:tab/>
          <w:delText>(1)</w:delText>
        </w:r>
        <w:r>
          <w:tab/>
          <w:delText xml:space="preserve">If an inspector, in conducting an inspection or having conducted an inspection — </w:delText>
        </w:r>
      </w:del>
    </w:p>
    <w:p>
      <w:pPr>
        <w:pStyle w:val="yIndenta"/>
        <w:rPr>
          <w:del w:id="2733" w:author="Master Repository Process" w:date="2022-03-30T12:17:00Z"/>
        </w:rPr>
      </w:pPr>
      <w:del w:id="2734" w:author="Master Repository Process" w:date="2022-03-30T12:17:00Z">
        <w:r>
          <w:tab/>
          <w:delText>(a)</w:delText>
        </w:r>
        <w:r>
          <w:tab/>
          <w:delText>decides, under clause 37, to confirm or vary a provisional improvement notice; or</w:delText>
        </w:r>
      </w:del>
    </w:p>
    <w:p>
      <w:pPr>
        <w:pStyle w:val="yIndenta"/>
        <w:rPr>
          <w:del w:id="2735" w:author="Master Repository Process" w:date="2022-03-30T12:17:00Z"/>
        </w:rPr>
      </w:pPr>
      <w:del w:id="2736" w:author="Master Repository Process" w:date="2022-03-30T12:17:00Z">
        <w:r>
          <w:tab/>
          <w:delText>(b)</w:delText>
        </w:r>
        <w:r>
          <w:tab/>
          <w:delText>decides, under clause 56, to take possession of plant, a substance or a thing at a workplace; or</w:delText>
        </w:r>
      </w:del>
    </w:p>
    <w:p>
      <w:pPr>
        <w:pStyle w:val="yIndenta"/>
        <w:rPr>
          <w:del w:id="2737" w:author="Master Repository Process" w:date="2022-03-30T12:17:00Z"/>
        </w:rPr>
      </w:pPr>
      <w:del w:id="2738" w:author="Master Repository Process" w:date="2022-03-30T12:17:00Z">
        <w:r>
          <w:tab/>
          <w:delText>(c)</w:delText>
        </w:r>
        <w:r>
          <w:tab/>
          <w:delText>decides, under clause 57, to direct that a workplace, a part of a workplace, plant, a substance or a thing not be disturbed; or</w:delText>
        </w:r>
      </w:del>
    </w:p>
    <w:p>
      <w:pPr>
        <w:pStyle w:val="yIndenta"/>
        <w:rPr>
          <w:del w:id="2739" w:author="Master Repository Process" w:date="2022-03-30T12:17:00Z"/>
        </w:rPr>
      </w:pPr>
      <w:del w:id="2740" w:author="Master Repository Process" w:date="2022-03-30T12:17:00Z">
        <w:r>
          <w:tab/>
          <w:delText>(d)</w:delText>
        </w:r>
        <w:r>
          <w:tab/>
          <w:delText>decides, under clause 58, to issue a prohibition notice; or</w:delText>
        </w:r>
      </w:del>
    </w:p>
    <w:p>
      <w:pPr>
        <w:pStyle w:val="yIndenta"/>
        <w:keepLines/>
        <w:rPr>
          <w:del w:id="2741" w:author="Master Repository Process" w:date="2022-03-30T12:17:00Z"/>
        </w:rPr>
      </w:pPr>
      <w:del w:id="2742" w:author="Master Repository Process" w:date="2022-03-30T12:17:00Z">
        <w:r>
          <w:tab/>
          <w:delText>(e)</w:delText>
        </w:r>
        <w:r>
          <w:tab/>
          <w:delText>decides, under clause 59, that the operator of a petroleum operation or geothermal energy operation to whom a prohibition notice has been issued has not taken adequate action to remove the threat to safety and health that caused the notice to be issued; or</w:delText>
        </w:r>
      </w:del>
    </w:p>
    <w:p>
      <w:pPr>
        <w:pStyle w:val="yIndenta"/>
        <w:keepNext/>
        <w:rPr>
          <w:del w:id="2743" w:author="Master Repository Process" w:date="2022-03-30T12:17:00Z"/>
        </w:rPr>
      </w:pPr>
      <w:del w:id="2744" w:author="Master Repository Process" w:date="2022-03-30T12:17:00Z">
        <w:r>
          <w:tab/>
          <w:delText>(f)</w:delText>
        </w:r>
        <w:r>
          <w:tab/>
          <w:delText>decides, under clause 60, to issue an improvement notice,</w:delText>
        </w:r>
      </w:del>
    </w:p>
    <w:p>
      <w:pPr>
        <w:pStyle w:val="ySubsection"/>
        <w:rPr>
          <w:del w:id="2745" w:author="Master Repository Process" w:date="2022-03-30T12:17:00Z"/>
        </w:rPr>
      </w:pPr>
      <w:del w:id="2746" w:author="Master Repository Process" w:date="2022-03-30T12:17:00Z">
        <w:r>
          <w:tab/>
        </w:r>
        <w:r>
          <w:tab/>
          <w:delText>a person referred to in subclause (2) may apply in writing to the reviewing authority for a review of the decision.</w:delText>
        </w:r>
      </w:del>
    </w:p>
    <w:p>
      <w:pPr>
        <w:pStyle w:val="ySubsection"/>
        <w:rPr>
          <w:del w:id="2747" w:author="Master Repository Process" w:date="2022-03-30T12:17:00Z"/>
        </w:rPr>
      </w:pPr>
      <w:del w:id="2748" w:author="Master Repository Process" w:date="2022-03-30T12:17:00Z">
        <w:r>
          <w:tab/>
          <w:delText>(2)</w:delText>
        </w:r>
        <w:r>
          <w:tab/>
          <w:delText xml:space="preserve">The following persons may apply for a review of the decision, as is relevant to the case — </w:delText>
        </w:r>
      </w:del>
    </w:p>
    <w:p>
      <w:pPr>
        <w:pStyle w:val="yIndenta"/>
        <w:rPr>
          <w:del w:id="2749" w:author="Master Repository Process" w:date="2022-03-30T12:17:00Z"/>
        </w:rPr>
      </w:pPr>
      <w:del w:id="2750" w:author="Master Repository Process" w:date="2022-03-30T12:17:00Z">
        <w:r>
          <w:tab/>
          <w:delText>(a)</w:delText>
        </w:r>
        <w:r>
          <w:tab/>
          <w:delText xml:space="preserve">the operator of the petroleum operation or geothermal energy operation or any employer (other than the operator) who is affected by the decision; </w:delText>
        </w:r>
      </w:del>
    </w:p>
    <w:p>
      <w:pPr>
        <w:pStyle w:val="yIndenta"/>
        <w:rPr>
          <w:del w:id="2751" w:author="Master Repository Process" w:date="2022-03-30T12:17:00Z"/>
        </w:rPr>
      </w:pPr>
      <w:del w:id="2752" w:author="Master Repository Process" w:date="2022-03-30T12:17:00Z">
        <w:r>
          <w:tab/>
          <w:delText>(b)</w:delText>
        </w:r>
        <w:r>
          <w:tab/>
          <w:delText xml:space="preserve">a person to whom a notice has been issued under clause 36(2) or 60(1); </w:delText>
        </w:r>
      </w:del>
    </w:p>
    <w:p>
      <w:pPr>
        <w:pStyle w:val="yIndenta"/>
        <w:rPr>
          <w:del w:id="2753" w:author="Master Repository Process" w:date="2022-03-30T12:17:00Z"/>
        </w:rPr>
      </w:pPr>
      <w:del w:id="2754" w:author="Master Repository Process" w:date="2022-03-30T12:17:00Z">
        <w:r>
          <w:tab/>
          <w:delText>(c)</w:delText>
        </w:r>
        <w:r>
          <w:tab/>
          <w:delText xml:space="preserve">the safety and health representative for a designated work group having a group member affected by the decision; </w:delText>
        </w:r>
      </w:del>
    </w:p>
    <w:p>
      <w:pPr>
        <w:pStyle w:val="yIndenta"/>
        <w:rPr>
          <w:del w:id="2755" w:author="Master Repository Process" w:date="2022-03-30T12:17:00Z"/>
        </w:rPr>
      </w:pPr>
      <w:del w:id="2756" w:author="Master Repository Process" w:date="2022-03-30T12:17:00Z">
        <w:r>
          <w:tab/>
          <w:delText>(d)</w:delText>
        </w:r>
        <w:r>
          <w:tab/>
          <w:delText xml:space="preserve">a workforce representative in relation to the designated work group that includes a group member who is affected by the decision and who has requested the workforce representative to apply for a review of the decision; </w:delText>
        </w:r>
      </w:del>
    </w:p>
    <w:p>
      <w:pPr>
        <w:pStyle w:val="yIndenta"/>
        <w:rPr>
          <w:del w:id="2757" w:author="Master Repository Process" w:date="2022-03-30T12:17:00Z"/>
        </w:rPr>
      </w:pPr>
      <w:del w:id="2758" w:author="Master Repository Process" w:date="2022-03-30T12:17:00Z">
        <w:r>
          <w:tab/>
          <w:delText>(e)</w:delText>
        </w:r>
        <w:r>
          <w:tab/>
          <w:delText xml:space="preserve">if there is no such designated work group, and a member of the workforce affected by the decision has requested a workforce representative in relation to the member to apply for the review of the decision — that workforce representative; </w:delText>
        </w:r>
      </w:del>
    </w:p>
    <w:p>
      <w:pPr>
        <w:pStyle w:val="yIndenta"/>
        <w:rPr>
          <w:del w:id="2759" w:author="Master Repository Process" w:date="2022-03-30T12:17:00Z"/>
        </w:rPr>
      </w:pPr>
      <w:del w:id="2760" w:author="Master Repository Process" w:date="2022-03-30T12:17:00Z">
        <w:r>
          <w:tab/>
          <w:delText>(f)</w:delText>
        </w:r>
        <w:r>
          <w:tab/>
          <w:delText>a person who owns any workplace, plant, substance or thing to which the decision referred to in subclause (1)(a), (b), (c) or (f) relates.</w:delText>
        </w:r>
      </w:del>
    </w:p>
    <w:p>
      <w:pPr>
        <w:pStyle w:val="ySubsection"/>
        <w:keepNext/>
        <w:spacing w:before="120"/>
        <w:rPr>
          <w:del w:id="2761" w:author="Master Repository Process" w:date="2022-03-30T12:17:00Z"/>
        </w:rPr>
      </w:pPr>
      <w:del w:id="2762" w:author="Master Repository Process" w:date="2022-03-30T12:17:00Z">
        <w:r>
          <w:tab/>
          <w:delText>(3)</w:delText>
        </w:r>
        <w:r>
          <w:tab/>
          <w:delText xml:space="preserve">If an inspector, having conducted an inspection — </w:delText>
        </w:r>
      </w:del>
    </w:p>
    <w:p>
      <w:pPr>
        <w:pStyle w:val="yIndenta"/>
        <w:rPr>
          <w:del w:id="2763" w:author="Master Repository Process" w:date="2022-03-30T12:17:00Z"/>
        </w:rPr>
      </w:pPr>
      <w:del w:id="2764" w:author="Master Repository Process" w:date="2022-03-30T12:17:00Z">
        <w:r>
          <w:tab/>
          <w:delText>(a)</w:delText>
        </w:r>
        <w:r>
          <w:tab/>
          <w:delText>decides under clause 37 to cancel a provisional improvement notice; or</w:delText>
        </w:r>
      </w:del>
    </w:p>
    <w:p>
      <w:pPr>
        <w:pStyle w:val="yIndenta"/>
        <w:rPr>
          <w:del w:id="2765" w:author="Master Repository Process" w:date="2022-03-30T12:17:00Z"/>
        </w:rPr>
      </w:pPr>
      <w:del w:id="2766" w:author="Master Repository Process" w:date="2022-03-30T12:17:00Z">
        <w:r>
          <w:tab/>
          <w:delText>(b)</w:delText>
        </w:r>
        <w:r>
          <w:tab/>
          <w:delText>decides under clause 59 that the operator of a petroleum operation or geothermal energy operation to whom a prohibition notice has been issued has taken adequate action to remove the threat to safety and health that caused the notice to be issued,</w:delText>
        </w:r>
      </w:del>
    </w:p>
    <w:p>
      <w:pPr>
        <w:pStyle w:val="ySubsection"/>
        <w:spacing w:before="120"/>
        <w:rPr>
          <w:del w:id="2767" w:author="Master Repository Process" w:date="2022-03-30T12:17:00Z"/>
        </w:rPr>
      </w:pPr>
      <w:del w:id="2768" w:author="Master Repository Process" w:date="2022-03-30T12:17:00Z">
        <w:r>
          <w:tab/>
        </w:r>
        <w:r>
          <w:tab/>
          <w:delText xml:space="preserve">the following persons may apply in writing for a review of the decision, as is relevant in the case — </w:delText>
        </w:r>
      </w:del>
    </w:p>
    <w:p>
      <w:pPr>
        <w:pStyle w:val="yIndenta"/>
        <w:rPr>
          <w:del w:id="2769" w:author="Master Repository Process" w:date="2022-03-30T12:17:00Z"/>
        </w:rPr>
      </w:pPr>
      <w:del w:id="2770" w:author="Master Repository Process" w:date="2022-03-30T12:17:00Z">
        <w:r>
          <w:tab/>
          <w:delText>(c)</w:delText>
        </w:r>
        <w:r>
          <w:tab/>
          <w:delText xml:space="preserve">the safety and health representative for a designated work group having a group member affected by the decision; </w:delText>
        </w:r>
      </w:del>
    </w:p>
    <w:p>
      <w:pPr>
        <w:pStyle w:val="yIndenta"/>
        <w:rPr>
          <w:del w:id="2771" w:author="Master Repository Process" w:date="2022-03-30T12:17:00Z"/>
        </w:rPr>
      </w:pPr>
      <w:del w:id="2772" w:author="Master Repository Process" w:date="2022-03-30T12:17:00Z">
        <w:r>
          <w:tab/>
          <w:delText>(d)</w:delText>
        </w:r>
        <w:r>
          <w:tab/>
          <w:delText>a workforce representative in relation to the designated work group that includes a group member who is affected by the decision and who has requested the workforce representative to apply for a review of the decision;</w:delText>
        </w:r>
      </w:del>
    </w:p>
    <w:p>
      <w:pPr>
        <w:pStyle w:val="yIndenta"/>
        <w:rPr>
          <w:del w:id="2773" w:author="Master Repository Process" w:date="2022-03-30T12:17:00Z"/>
        </w:rPr>
      </w:pPr>
      <w:del w:id="2774" w:author="Master Repository Process" w:date="2022-03-30T12:17:00Z">
        <w:r>
          <w:tab/>
          <w:delText>(e)</w:delText>
        </w:r>
        <w:r>
          <w:tab/>
          <w:delText>if there is no such designated work group, and a member of the workforce affected by the decision has requested a workforce representative in relation to the member to apply for a review of the decision — that workforce representative.</w:delText>
        </w:r>
      </w:del>
    </w:p>
    <w:p>
      <w:pPr>
        <w:pStyle w:val="ySubsection"/>
        <w:rPr>
          <w:del w:id="2775" w:author="Master Repository Process" w:date="2022-03-30T12:17:00Z"/>
        </w:rPr>
      </w:pPr>
      <w:del w:id="2776" w:author="Master Repository Process" w:date="2022-03-30T12:17:00Z">
        <w:r>
          <w:tab/>
          <w:delText>(4)</w:delText>
        </w:r>
        <w:r>
          <w:tab/>
          <w:delText xml:space="preserve">An application under subclause (2) or (3) must be made — </w:delText>
        </w:r>
      </w:del>
    </w:p>
    <w:p>
      <w:pPr>
        <w:pStyle w:val="yIndenta"/>
        <w:rPr>
          <w:del w:id="2777" w:author="Master Repository Process" w:date="2022-03-30T12:17:00Z"/>
        </w:rPr>
      </w:pPr>
      <w:del w:id="2778" w:author="Master Repository Process" w:date="2022-03-30T12:17:00Z">
        <w:r>
          <w:tab/>
          <w:delText>(a)</w:delText>
        </w:r>
        <w:r>
          <w:tab/>
          <w:delText>not later than 7 days after the day on which the person applying received notice of the inspector’s decision; or</w:delText>
        </w:r>
      </w:del>
    </w:p>
    <w:p>
      <w:pPr>
        <w:pStyle w:val="yIndenta"/>
        <w:rPr>
          <w:del w:id="2779" w:author="Master Repository Process" w:date="2022-03-30T12:17:00Z"/>
        </w:rPr>
      </w:pPr>
      <w:del w:id="2780" w:author="Master Repository Process" w:date="2022-03-30T12:17:00Z">
        <w:r>
          <w:tab/>
          <w:delText>(b)</w:delText>
        </w:r>
        <w:r>
          <w:tab/>
          <w:delText>within such further period as the reviewing authority may allow.</w:delText>
        </w:r>
      </w:del>
    </w:p>
    <w:p>
      <w:pPr>
        <w:pStyle w:val="ySubsection"/>
        <w:rPr>
          <w:del w:id="2781" w:author="Master Repository Process" w:date="2022-03-30T12:17:00Z"/>
        </w:rPr>
      </w:pPr>
      <w:del w:id="2782" w:author="Master Repository Process" w:date="2022-03-30T12:17:00Z">
        <w:r>
          <w:tab/>
          <w:delText>(5)</w:delText>
        </w:r>
        <w:r>
          <w:tab/>
          <w:delText>A person, other than the operator of the petroleum operation or geothermal energy operation concerned, who applies for a review of a decision must, as soon as is practicable, give a copy of the application to the operator.</w:delText>
        </w:r>
      </w:del>
    </w:p>
    <w:p>
      <w:pPr>
        <w:pStyle w:val="yPenstart"/>
        <w:rPr>
          <w:del w:id="2783" w:author="Master Repository Process" w:date="2022-03-30T12:17:00Z"/>
        </w:rPr>
      </w:pPr>
      <w:del w:id="2784" w:author="Master Repository Process" w:date="2022-03-30T12:17:00Z">
        <w:r>
          <w:tab/>
          <w:delText>Penalty: a fine of $5 000.</w:delText>
        </w:r>
      </w:del>
    </w:p>
    <w:p>
      <w:pPr>
        <w:pStyle w:val="ySubsection"/>
        <w:rPr>
          <w:del w:id="2785" w:author="Master Repository Process" w:date="2022-03-30T12:17:00Z"/>
        </w:rPr>
      </w:pPr>
      <w:del w:id="2786" w:author="Master Repository Process" w:date="2022-03-30T12:17:00Z">
        <w:r>
          <w:tab/>
          <w:delText>(6)</w:delText>
        </w:r>
        <w:r>
          <w:tab/>
          <w:delText xml:space="preserve">The reviewing authority is to give notice in writing of the decision on the reference and the reasons for the decision to — </w:delText>
        </w:r>
      </w:del>
    </w:p>
    <w:p>
      <w:pPr>
        <w:pStyle w:val="yIndenta"/>
        <w:rPr>
          <w:del w:id="2787" w:author="Master Repository Process" w:date="2022-03-30T12:17:00Z"/>
        </w:rPr>
      </w:pPr>
      <w:del w:id="2788" w:author="Master Repository Process" w:date="2022-03-30T12:17:00Z">
        <w:r>
          <w:tab/>
          <w:delText>(a)</w:delText>
        </w:r>
        <w:r>
          <w:tab/>
          <w:delText>the person who referred the matter for review; and</w:delText>
        </w:r>
      </w:del>
    </w:p>
    <w:p>
      <w:pPr>
        <w:pStyle w:val="yIndenta"/>
        <w:keepNext/>
        <w:rPr>
          <w:del w:id="2789" w:author="Master Repository Process" w:date="2022-03-30T12:17:00Z"/>
        </w:rPr>
      </w:pPr>
      <w:del w:id="2790" w:author="Master Repository Process" w:date="2022-03-30T12:17:00Z">
        <w:r>
          <w:tab/>
          <w:delText>(b)</w:delText>
        </w:r>
        <w:r>
          <w:tab/>
          <w:delText>if that person is not the operator of the petroleum operation or geothermal energy operation concerned, to the operator.</w:delText>
        </w:r>
      </w:del>
    </w:p>
    <w:p>
      <w:pPr>
        <w:pStyle w:val="ySubsection"/>
        <w:rPr>
          <w:del w:id="2791" w:author="Master Repository Process" w:date="2022-03-30T12:17:00Z"/>
        </w:rPr>
      </w:pPr>
      <w:del w:id="2792" w:author="Master Repository Process" w:date="2022-03-30T12:17:00Z">
        <w:r>
          <w:tab/>
          <w:delText>(7)</w:delText>
        </w:r>
        <w:r>
          <w:tab/>
          <w:delText>Subject to this clause, applying for a review of a decision does not affect the operation of the decision or prevent the taking of action to implement that decision, except to the extent that the reviewing authority makes an order to the contrary.</w:delText>
        </w:r>
      </w:del>
    </w:p>
    <w:p>
      <w:pPr>
        <w:pStyle w:val="ySubsection"/>
        <w:rPr>
          <w:del w:id="2793" w:author="Master Repository Process" w:date="2022-03-30T12:17:00Z"/>
        </w:rPr>
      </w:pPr>
      <w:del w:id="2794" w:author="Master Repository Process" w:date="2022-03-30T12:17:00Z">
        <w:r>
          <w:tab/>
          <w:delText>(8)</w:delText>
        </w:r>
        <w:r>
          <w:tab/>
          <w:delText>If the decision to be reviewed is a decision under clause 60 to issue an improvement notice, the operation of the notice is suspended pending determination of the review, except to the extent that the reviewing authority makes an order to the contrary.</w:delText>
        </w:r>
      </w:del>
    </w:p>
    <w:p>
      <w:pPr>
        <w:pStyle w:val="ySubsection"/>
        <w:rPr>
          <w:del w:id="2795" w:author="Master Repository Process" w:date="2022-03-30T12:17:00Z"/>
        </w:rPr>
      </w:pPr>
      <w:del w:id="2796" w:author="Master Repository Process" w:date="2022-03-30T12:17:00Z">
        <w:r>
          <w:tab/>
          <w:delText>(9)</w:delText>
        </w:r>
        <w:r>
          <w:tab/>
          <w:delText>If the decision to be reviewed is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delText>
        </w:r>
      </w:del>
    </w:p>
    <w:p>
      <w:pPr>
        <w:pStyle w:val="ySubsection"/>
        <w:rPr>
          <w:del w:id="2797" w:author="Master Repository Process" w:date="2022-03-30T12:17:00Z"/>
        </w:rPr>
      </w:pPr>
      <w:del w:id="2798" w:author="Master Repository Process" w:date="2022-03-30T12:17:00Z">
        <w:r>
          <w:tab/>
          <w:delText>(10)</w:delText>
        </w:r>
        <w:r>
          <w:tab/>
          <w:delText xml:space="preserve">In this clause — </w:delText>
        </w:r>
      </w:del>
    </w:p>
    <w:p>
      <w:pPr>
        <w:pStyle w:val="yDefstart"/>
        <w:rPr>
          <w:del w:id="2799" w:author="Master Repository Process" w:date="2022-03-30T12:17:00Z"/>
        </w:rPr>
      </w:pPr>
      <w:del w:id="2800" w:author="Master Repository Process" w:date="2022-03-30T12:17:00Z">
        <w:r>
          <w:tab/>
        </w:r>
        <w:r>
          <w:rPr>
            <w:rStyle w:val="CharDefText"/>
          </w:rPr>
          <w:delText>reviewing authority</w:delText>
        </w:r>
        <w:r>
          <w:delText xml:space="preserve"> means a person prescribed by the regulations to be a reviewing authority for the purposes of this clause.</w:delText>
        </w:r>
      </w:del>
    </w:p>
    <w:p>
      <w:pPr>
        <w:pStyle w:val="yFootnotesection"/>
        <w:rPr>
          <w:del w:id="2801" w:author="Master Repository Process" w:date="2022-03-30T12:17:00Z"/>
        </w:rPr>
      </w:pPr>
      <w:del w:id="2802" w:author="Master Repository Process" w:date="2022-03-30T12:17:00Z">
        <w:r>
          <w:tab/>
          <w:delText>[Clause 64 inserted: No. 13 of 2005 s. 17; amended: No. 35 of 2007 s. 86; No. 42 of 2010 s. 60(6).]</w:delText>
        </w:r>
      </w:del>
    </w:p>
    <w:p>
      <w:pPr>
        <w:pStyle w:val="yHeading5"/>
        <w:rPr>
          <w:del w:id="2803" w:author="Master Repository Process" w:date="2022-03-30T12:17:00Z"/>
        </w:rPr>
      </w:pPr>
      <w:bookmarkStart w:id="2804" w:name="_Toc97630752"/>
      <w:del w:id="2805" w:author="Master Repository Process" w:date="2022-03-30T12:17:00Z">
        <w:r>
          <w:rPr>
            <w:rStyle w:val="CharSClsNo"/>
          </w:rPr>
          <w:delText>65</w:delText>
        </w:r>
        <w:r>
          <w:delText>.</w:delText>
        </w:r>
        <w:r>
          <w:rPr>
            <w:b w:val="0"/>
          </w:rPr>
          <w:tab/>
        </w:r>
        <w:r>
          <w:delText>Powers of reviewing authority on review</w:delText>
        </w:r>
        <w:bookmarkEnd w:id="2804"/>
      </w:del>
    </w:p>
    <w:p>
      <w:pPr>
        <w:pStyle w:val="ySubsection"/>
        <w:rPr>
          <w:del w:id="2806" w:author="Master Repository Process" w:date="2022-03-30T12:17:00Z"/>
        </w:rPr>
      </w:pPr>
      <w:del w:id="2807" w:author="Master Repository Process" w:date="2022-03-30T12:17:00Z">
        <w:r>
          <w:tab/>
          <w:delText>(1)</w:delText>
        </w:r>
        <w:r>
          <w:tab/>
          <w:delText xml:space="preserve">On a review of a decision under clause 64, the reviewing authority may — </w:delText>
        </w:r>
      </w:del>
    </w:p>
    <w:p>
      <w:pPr>
        <w:pStyle w:val="yIndenta"/>
        <w:rPr>
          <w:del w:id="2808" w:author="Master Repository Process" w:date="2022-03-30T12:17:00Z"/>
        </w:rPr>
      </w:pPr>
      <w:del w:id="2809" w:author="Master Repository Process" w:date="2022-03-30T12:17:00Z">
        <w:r>
          <w:tab/>
          <w:delText>(a)</w:delText>
        </w:r>
        <w:r>
          <w:tab/>
          <w:delText>affirm the decision; or</w:delText>
        </w:r>
      </w:del>
    </w:p>
    <w:p>
      <w:pPr>
        <w:pStyle w:val="yIndenta"/>
        <w:rPr>
          <w:del w:id="2810" w:author="Master Repository Process" w:date="2022-03-30T12:17:00Z"/>
        </w:rPr>
      </w:pPr>
      <w:del w:id="2811" w:author="Master Repository Process" w:date="2022-03-30T12:17:00Z">
        <w:r>
          <w:tab/>
          <w:delText>(b)</w:delText>
        </w:r>
        <w:r>
          <w:tab/>
          <w:delText>affirm the decision with such modifications as the reviewing authority considers appropriate; or</w:delText>
        </w:r>
      </w:del>
    </w:p>
    <w:p>
      <w:pPr>
        <w:pStyle w:val="yIndenta"/>
        <w:rPr>
          <w:del w:id="2812" w:author="Master Repository Process" w:date="2022-03-30T12:17:00Z"/>
        </w:rPr>
      </w:pPr>
      <w:del w:id="2813" w:author="Master Repository Process" w:date="2022-03-30T12:17:00Z">
        <w:r>
          <w:tab/>
          <w:delText>(c)</w:delText>
        </w:r>
        <w:r>
          <w:tab/>
          <w:delText>revoke the decision and make such other decision with respect to the matter as the reviewing authority thinks fit,</w:delText>
        </w:r>
      </w:del>
    </w:p>
    <w:p>
      <w:pPr>
        <w:pStyle w:val="ySubsection"/>
        <w:rPr>
          <w:del w:id="2814" w:author="Master Repository Process" w:date="2022-03-30T12:17:00Z"/>
        </w:rPr>
      </w:pPr>
      <w:del w:id="2815" w:author="Master Repository Process" w:date="2022-03-30T12:17:00Z">
        <w:r>
          <w:tab/>
        </w:r>
        <w:r>
          <w:tab/>
          <w:delText>and the decision has effect or, as the case may be, ceases to have effect accordingly.</w:delText>
        </w:r>
      </w:del>
    </w:p>
    <w:p>
      <w:pPr>
        <w:pStyle w:val="ySubsection"/>
        <w:keepNext/>
        <w:spacing w:before="120"/>
        <w:rPr>
          <w:del w:id="2816" w:author="Master Repository Process" w:date="2022-03-30T12:17:00Z"/>
        </w:rPr>
      </w:pPr>
      <w:del w:id="2817" w:author="Master Repository Process" w:date="2022-03-30T12:17:00Z">
        <w:r>
          <w:tab/>
          <w:delText>(2)</w:delText>
        </w:r>
        <w:r>
          <w:tab/>
          <w:delText xml:space="preserve">If — </w:delText>
        </w:r>
      </w:del>
    </w:p>
    <w:p>
      <w:pPr>
        <w:pStyle w:val="yIndenta"/>
        <w:rPr>
          <w:del w:id="2818" w:author="Master Repository Process" w:date="2022-03-30T12:17:00Z"/>
        </w:rPr>
      </w:pPr>
      <w:del w:id="2819" w:author="Master Repository Process" w:date="2022-03-30T12:17:00Z">
        <w:r>
          <w:tab/>
          <w:delText>(a)</w:delText>
        </w:r>
        <w:r>
          <w:tab/>
          <w:delText>the decision being reviewed is a decision under clause 56 to take possession of plant, a substance or a thing at a workplace; and</w:delText>
        </w:r>
      </w:del>
    </w:p>
    <w:p>
      <w:pPr>
        <w:pStyle w:val="yIndenta"/>
        <w:rPr>
          <w:del w:id="2820" w:author="Master Repository Process" w:date="2022-03-30T12:17:00Z"/>
        </w:rPr>
      </w:pPr>
      <w:del w:id="2821" w:author="Master Repository Process" w:date="2022-03-30T12:17:00Z">
        <w:r>
          <w:tab/>
          <w:delText>(b)</w:delText>
        </w:r>
        <w:r>
          <w:tab/>
          <w:delText>the decision is not affirmed,</w:delText>
        </w:r>
      </w:del>
    </w:p>
    <w:p>
      <w:pPr>
        <w:pStyle w:val="ySubsection"/>
        <w:spacing w:before="120"/>
        <w:rPr>
          <w:del w:id="2822" w:author="Master Repository Process" w:date="2022-03-30T12:17:00Z"/>
        </w:rPr>
      </w:pPr>
      <w:del w:id="2823" w:author="Master Repository Process" w:date="2022-03-30T12:17:00Z">
        <w:r>
          <w:tab/>
        </w:r>
        <w:r>
          <w:tab/>
          <w:delText>the inspector who made the decision must ensure that, to the extent that the decision is not affirmed, the plant, substance or thing is returned to the workplace as soon as practicable.</w:delText>
        </w:r>
      </w:del>
    </w:p>
    <w:p>
      <w:pPr>
        <w:pStyle w:val="yFootnotesection"/>
        <w:spacing w:before="60"/>
        <w:rPr>
          <w:del w:id="2824" w:author="Master Repository Process" w:date="2022-03-30T12:17:00Z"/>
        </w:rPr>
      </w:pPr>
      <w:del w:id="2825" w:author="Master Repository Process" w:date="2022-03-30T12:17:00Z">
        <w:r>
          <w:tab/>
          <w:delText>[Clause 65 inserted: No. 13 of 2005 s. 17.]</w:delText>
        </w:r>
      </w:del>
    </w:p>
    <w:p>
      <w:pPr>
        <w:pStyle w:val="yHeading3"/>
        <w:rPr>
          <w:del w:id="2826" w:author="Master Repository Process" w:date="2022-03-30T12:17:00Z"/>
        </w:rPr>
      </w:pPr>
      <w:bookmarkStart w:id="2827" w:name="_Toc97629862"/>
      <w:bookmarkStart w:id="2828" w:name="_Toc97630215"/>
      <w:bookmarkStart w:id="2829" w:name="_Toc97630753"/>
      <w:del w:id="2830" w:author="Master Repository Process" w:date="2022-03-30T12:17:00Z">
        <w:r>
          <w:rPr>
            <w:rStyle w:val="CharSDivNo"/>
          </w:rPr>
          <w:delText>Division 5</w:delText>
        </w:r>
        <w:r>
          <w:rPr>
            <w:b w:val="0"/>
          </w:rPr>
          <w:delText> — </w:delText>
        </w:r>
        <w:r>
          <w:rPr>
            <w:rStyle w:val="CharSDivText"/>
          </w:rPr>
          <w:delText>Referrals to the Tribunal</w:delText>
        </w:r>
        <w:bookmarkEnd w:id="2827"/>
        <w:bookmarkEnd w:id="2828"/>
        <w:bookmarkEnd w:id="2829"/>
      </w:del>
    </w:p>
    <w:p>
      <w:pPr>
        <w:pStyle w:val="yFootnoteheading"/>
        <w:rPr>
          <w:del w:id="2831" w:author="Master Repository Process" w:date="2022-03-30T12:17:00Z"/>
        </w:rPr>
      </w:pPr>
      <w:del w:id="2832" w:author="Master Repository Process" w:date="2022-03-30T12:17:00Z">
        <w:r>
          <w:tab/>
          <w:delText>[Heading inserted: No. 13 of 2005 s. 17.]</w:delText>
        </w:r>
      </w:del>
    </w:p>
    <w:p>
      <w:pPr>
        <w:pStyle w:val="yHeading5"/>
        <w:rPr>
          <w:del w:id="2833" w:author="Master Repository Process" w:date="2022-03-30T12:17:00Z"/>
        </w:rPr>
      </w:pPr>
      <w:bookmarkStart w:id="2834" w:name="_Toc97630754"/>
      <w:del w:id="2835" w:author="Master Repository Process" w:date="2022-03-30T12:17:00Z">
        <w:r>
          <w:rPr>
            <w:rStyle w:val="CharSClsNo"/>
          </w:rPr>
          <w:delText>66</w:delText>
        </w:r>
        <w:r>
          <w:delText>.</w:delText>
        </w:r>
        <w:r>
          <w:rPr>
            <w:b w:val="0"/>
          </w:rPr>
          <w:tab/>
        </w:r>
        <w:r>
          <w:rPr>
            <w:bCs/>
          </w:rPr>
          <w:delText>Decision may be referred to Tribunal</w:delText>
        </w:r>
        <w:bookmarkEnd w:id="2834"/>
      </w:del>
    </w:p>
    <w:p>
      <w:pPr>
        <w:pStyle w:val="ySubsection"/>
        <w:rPr>
          <w:del w:id="2836" w:author="Master Repository Process" w:date="2022-03-30T12:17:00Z"/>
        </w:rPr>
      </w:pPr>
      <w:del w:id="2837" w:author="Master Repository Process" w:date="2022-03-30T12:17:00Z">
        <w:r>
          <w:tab/>
          <w:delText>(1)</w:delText>
        </w:r>
        <w:r>
          <w:tab/>
          <w:delText>If a person given notice of a decision under clause 21(3)(b) or 64(6) is not satisfied with the reviewing authority’s decision under that section, the person may refer the decision to the Tribunal for further review.</w:delText>
        </w:r>
      </w:del>
    </w:p>
    <w:p>
      <w:pPr>
        <w:pStyle w:val="ySubsection"/>
        <w:rPr>
          <w:del w:id="2838" w:author="Master Repository Process" w:date="2022-03-30T12:17:00Z"/>
        </w:rPr>
      </w:pPr>
      <w:del w:id="2839" w:author="Master Repository Process" w:date="2022-03-30T12:17:00Z">
        <w:r>
          <w:tab/>
          <w:delText>(2)</w:delText>
        </w:r>
        <w:r>
          <w:tab/>
          <w:delText xml:space="preserve">A reference under subclause (1) must be made — </w:delText>
        </w:r>
      </w:del>
    </w:p>
    <w:p>
      <w:pPr>
        <w:pStyle w:val="yIndenta"/>
        <w:rPr>
          <w:del w:id="2840" w:author="Master Repository Process" w:date="2022-03-30T12:17:00Z"/>
        </w:rPr>
      </w:pPr>
      <w:del w:id="2841" w:author="Master Repository Process" w:date="2022-03-30T12:17:00Z">
        <w:r>
          <w:tab/>
          <w:delText>(a)</w:delText>
        </w:r>
        <w:r>
          <w:tab/>
          <w:delText>not later than 7 days after the day on which the person received notice of the decision; or</w:delText>
        </w:r>
      </w:del>
    </w:p>
    <w:p>
      <w:pPr>
        <w:pStyle w:val="yIndenta"/>
        <w:rPr>
          <w:del w:id="2842" w:author="Master Repository Process" w:date="2022-03-30T12:17:00Z"/>
        </w:rPr>
      </w:pPr>
      <w:del w:id="2843" w:author="Master Repository Process" w:date="2022-03-30T12:17:00Z">
        <w:r>
          <w:tab/>
          <w:delText>(b)</w:delText>
        </w:r>
        <w:r>
          <w:tab/>
          <w:delText>within such further period as the Tribunal may allow.</w:delText>
        </w:r>
      </w:del>
    </w:p>
    <w:p>
      <w:pPr>
        <w:pStyle w:val="ySubsection"/>
        <w:rPr>
          <w:del w:id="2844" w:author="Master Repository Process" w:date="2022-03-30T12:17:00Z"/>
        </w:rPr>
      </w:pPr>
      <w:del w:id="2845" w:author="Master Repository Process" w:date="2022-03-30T12:17:00Z">
        <w:r>
          <w:tab/>
          <w:delText>(3)</w:delText>
        </w:r>
        <w:r>
          <w:tab/>
          <w:delText>A person, other than the operator of the petroleum operation or geothermal energy operation concerned, who refers a matter for review under this clause must, as soon as is practicable, give a copy of the duly completed prescribed form to the operator.</w:delText>
        </w:r>
      </w:del>
    </w:p>
    <w:p>
      <w:pPr>
        <w:pStyle w:val="yPenstart"/>
        <w:rPr>
          <w:del w:id="2846" w:author="Master Repository Process" w:date="2022-03-30T12:17:00Z"/>
        </w:rPr>
      </w:pPr>
      <w:del w:id="2847" w:author="Master Repository Process" w:date="2022-03-30T12:17:00Z">
        <w:r>
          <w:tab/>
          <w:delText>Penalty for an offence under subclause (3): a fine of $5 000.</w:delText>
        </w:r>
      </w:del>
    </w:p>
    <w:p>
      <w:pPr>
        <w:pStyle w:val="yFootnotesection"/>
        <w:rPr>
          <w:del w:id="2848" w:author="Master Repository Process" w:date="2022-03-30T12:17:00Z"/>
        </w:rPr>
      </w:pPr>
      <w:del w:id="2849" w:author="Master Repository Process" w:date="2022-03-30T12:17:00Z">
        <w:r>
          <w:tab/>
          <w:delText>[Clause 66 inserted: No. 13 of 2005 s. 17; amended: No. 35 of 2007 s. 86; No. 42 of 2010 s. 60(4).]</w:delText>
        </w:r>
      </w:del>
    </w:p>
    <w:p>
      <w:pPr>
        <w:pStyle w:val="yHeading5"/>
        <w:rPr>
          <w:del w:id="2850" w:author="Master Repository Process" w:date="2022-03-30T12:17:00Z"/>
        </w:rPr>
      </w:pPr>
      <w:bookmarkStart w:id="2851" w:name="_Toc97630755"/>
      <w:del w:id="2852" w:author="Master Repository Process" w:date="2022-03-30T12:17:00Z">
        <w:r>
          <w:rPr>
            <w:rStyle w:val="CharSClsNo"/>
          </w:rPr>
          <w:delText>67</w:delText>
        </w:r>
        <w:r>
          <w:delText>.</w:delText>
        </w:r>
        <w:r>
          <w:rPr>
            <w:b w:val="0"/>
          </w:rPr>
          <w:tab/>
        </w:r>
        <w:r>
          <w:delText>Determination by Tribunal</w:delText>
        </w:r>
        <w:bookmarkEnd w:id="2851"/>
      </w:del>
    </w:p>
    <w:p>
      <w:pPr>
        <w:pStyle w:val="ySubsection"/>
        <w:rPr>
          <w:del w:id="2853" w:author="Master Repository Process" w:date="2022-03-30T12:17:00Z"/>
        </w:rPr>
      </w:pPr>
      <w:del w:id="2854" w:author="Master Repository Process" w:date="2022-03-30T12:17:00Z">
        <w:r>
          <w:tab/>
          <w:delText>(1)</w:delText>
        </w:r>
        <w:r>
          <w:tab/>
          <w:delText xml:space="preserve">On a reference under clause 66, the Tribunal is to inquire into the circumstances relating to the decision, and may — </w:delText>
        </w:r>
      </w:del>
    </w:p>
    <w:p>
      <w:pPr>
        <w:pStyle w:val="yIndenta"/>
        <w:rPr>
          <w:del w:id="2855" w:author="Master Repository Process" w:date="2022-03-30T12:17:00Z"/>
        </w:rPr>
      </w:pPr>
      <w:del w:id="2856" w:author="Master Repository Process" w:date="2022-03-30T12:17:00Z">
        <w:r>
          <w:tab/>
          <w:delText>(a)</w:delText>
        </w:r>
        <w:r>
          <w:tab/>
          <w:delText>affirm the decision of the reviewing authority; or</w:delText>
        </w:r>
      </w:del>
    </w:p>
    <w:p>
      <w:pPr>
        <w:pStyle w:val="yIndenta"/>
        <w:rPr>
          <w:del w:id="2857" w:author="Master Repository Process" w:date="2022-03-30T12:17:00Z"/>
        </w:rPr>
      </w:pPr>
      <w:del w:id="2858" w:author="Master Repository Process" w:date="2022-03-30T12:17:00Z">
        <w:r>
          <w:tab/>
          <w:delText>(b)</w:delText>
        </w:r>
        <w:r>
          <w:tab/>
          <w:delText>affirm the decision of the reviewing authority with such modifications as the Tribunal considers appropriate; or</w:delText>
        </w:r>
      </w:del>
    </w:p>
    <w:p>
      <w:pPr>
        <w:pStyle w:val="yIndenta"/>
        <w:rPr>
          <w:del w:id="2859" w:author="Master Repository Process" w:date="2022-03-30T12:17:00Z"/>
        </w:rPr>
      </w:pPr>
      <w:del w:id="2860" w:author="Master Repository Process" w:date="2022-03-30T12:17:00Z">
        <w:r>
          <w:tab/>
          <w:delText>(c)</w:delText>
        </w:r>
        <w:r>
          <w:tab/>
          <w:delText>revoke the decision of the reviewing authority and make such other decision with respect to the notice as the Tribunal thinks fit,</w:delText>
        </w:r>
      </w:del>
    </w:p>
    <w:p>
      <w:pPr>
        <w:pStyle w:val="ySubsection"/>
        <w:rPr>
          <w:del w:id="2861" w:author="Master Repository Process" w:date="2022-03-30T12:17:00Z"/>
        </w:rPr>
      </w:pPr>
      <w:del w:id="2862" w:author="Master Repository Process" w:date="2022-03-30T12:17:00Z">
        <w:r>
          <w:tab/>
        </w:r>
        <w:r>
          <w:tab/>
          <w:delText>and the decision has effect or, as the case may be, ceases to have effect accordingly.</w:delText>
        </w:r>
      </w:del>
    </w:p>
    <w:p>
      <w:pPr>
        <w:pStyle w:val="ySubsection"/>
        <w:keepNext/>
        <w:keepLines/>
        <w:rPr>
          <w:del w:id="2863" w:author="Master Repository Process" w:date="2022-03-30T12:17:00Z"/>
        </w:rPr>
      </w:pPr>
      <w:del w:id="2864" w:author="Master Repository Process" w:date="2022-03-30T12:17:00Z">
        <w:r>
          <w:tab/>
          <w:delText>(2)</w:delText>
        </w:r>
        <w:r>
          <w:tab/>
          <w:delText xml:space="preserve">A review under this clause — </w:delText>
        </w:r>
      </w:del>
    </w:p>
    <w:p>
      <w:pPr>
        <w:pStyle w:val="yIndenta"/>
        <w:keepLines/>
        <w:rPr>
          <w:del w:id="2865" w:author="Master Repository Process" w:date="2022-03-30T12:17:00Z"/>
        </w:rPr>
      </w:pPr>
      <w:del w:id="2866" w:author="Master Repository Process" w:date="2022-03-30T12:17:00Z">
        <w:r>
          <w:tab/>
          <w:delText>(a)</w:delText>
        </w:r>
        <w:r>
          <w:tab/>
          <w:delText>is to be in the nature of a rehearing; and</w:delText>
        </w:r>
      </w:del>
    </w:p>
    <w:p>
      <w:pPr>
        <w:pStyle w:val="yIndenta"/>
        <w:rPr>
          <w:del w:id="2867" w:author="Master Repository Process" w:date="2022-03-30T12:17:00Z"/>
        </w:rPr>
      </w:pPr>
      <w:del w:id="2868" w:author="Master Repository Process" w:date="2022-03-30T12:17:00Z">
        <w:r>
          <w:tab/>
          <w:delText>(b)</w:delText>
        </w:r>
        <w:r>
          <w:tab/>
          <w:delText>is to be completed by the Tribunal as quickly as is practicable.</w:delText>
        </w:r>
      </w:del>
    </w:p>
    <w:p>
      <w:pPr>
        <w:pStyle w:val="ySubsection"/>
        <w:rPr>
          <w:del w:id="2869" w:author="Master Repository Process" w:date="2022-03-30T12:17:00Z"/>
        </w:rPr>
      </w:pPr>
      <w:del w:id="2870" w:author="Master Repository Process" w:date="2022-03-30T12:17:00Z">
        <w:r>
          <w:tab/>
          <w:delText>(3)</w:delText>
        </w:r>
        <w:r>
          <w:tab/>
          <w:delText xml:space="preserve">The Tribunal is to give notice in writing of its decision on the reference and the reasons for the decision to — </w:delText>
        </w:r>
      </w:del>
    </w:p>
    <w:p>
      <w:pPr>
        <w:pStyle w:val="yIndenta"/>
        <w:rPr>
          <w:del w:id="2871" w:author="Master Repository Process" w:date="2022-03-30T12:17:00Z"/>
        </w:rPr>
      </w:pPr>
      <w:del w:id="2872" w:author="Master Repository Process" w:date="2022-03-30T12:17:00Z">
        <w:r>
          <w:tab/>
          <w:delText>(a)</w:delText>
        </w:r>
        <w:r>
          <w:tab/>
          <w:delText>the person who referred the matter for review; and</w:delText>
        </w:r>
      </w:del>
    </w:p>
    <w:p>
      <w:pPr>
        <w:pStyle w:val="yIndenta"/>
        <w:rPr>
          <w:del w:id="2873" w:author="Master Repository Process" w:date="2022-03-30T12:17:00Z"/>
        </w:rPr>
      </w:pPr>
      <w:del w:id="2874" w:author="Master Repository Process" w:date="2022-03-30T12:17:00Z">
        <w:r>
          <w:tab/>
          <w:delText>(b)</w:delText>
        </w:r>
        <w:r>
          <w:tab/>
          <w:delText>if that person is not the operator of the petroleum operation or geothermal energy operation concerned, to the operator.</w:delText>
        </w:r>
      </w:del>
    </w:p>
    <w:p>
      <w:pPr>
        <w:pStyle w:val="yFootnotesection"/>
        <w:rPr>
          <w:del w:id="2875" w:author="Master Repository Process" w:date="2022-03-30T12:17:00Z"/>
        </w:rPr>
      </w:pPr>
      <w:del w:id="2876" w:author="Master Repository Process" w:date="2022-03-30T12:17:00Z">
        <w:r>
          <w:tab/>
          <w:delText>[Clause 67 inserted: No. 13 of 2005 s. 17; amended: No. 35 of 2007 s. 86.]</w:delText>
        </w:r>
      </w:del>
    </w:p>
    <w:p>
      <w:pPr>
        <w:pStyle w:val="yHeading5"/>
        <w:rPr>
          <w:del w:id="2877" w:author="Master Repository Process" w:date="2022-03-30T12:17:00Z"/>
        </w:rPr>
      </w:pPr>
      <w:bookmarkStart w:id="2878" w:name="_Toc97630756"/>
      <w:del w:id="2879" w:author="Master Repository Process" w:date="2022-03-30T12:17:00Z">
        <w:r>
          <w:rPr>
            <w:rStyle w:val="CharSClsNo"/>
          </w:rPr>
          <w:delText>68</w:delText>
        </w:r>
        <w:r>
          <w:delText>.</w:delText>
        </w:r>
        <w:r>
          <w:rPr>
            <w:b w:val="0"/>
          </w:rPr>
          <w:tab/>
        </w:r>
        <w:r>
          <w:delText>Effect of pending review by Tribunal</w:delText>
        </w:r>
        <w:bookmarkEnd w:id="2878"/>
      </w:del>
    </w:p>
    <w:p>
      <w:pPr>
        <w:pStyle w:val="ySubsection"/>
        <w:rPr>
          <w:del w:id="2880" w:author="Master Repository Process" w:date="2022-03-30T12:17:00Z"/>
        </w:rPr>
      </w:pPr>
      <w:del w:id="2881" w:author="Master Repository Process" w:date="2022-03-30T12:17:00Z">
        <w:r>
          <w:tab/>
          <w:delText>(1)</w:delText>
        </w:r>
        <w:r>
          <w:tab/>
          <w:delText>Subject to this clause, a reference to the Tribunal for further review of a decision does not affect the operation of the decision or prevent the taking of action to implement that decision, except to the extent that the Tribunal makes an order to the contrary.</w:delText>
        </w:r>
      </w:del>
    </w:p>
    <w:p>
      <w:pPr>
        <w:pStyle w:val="ySubsection"/>
        <w:rPr>
          <w:del w:id="2882" w:author="Master Repository Process" w:date="2022-03-30T12:17:00Z"/>
        </w:rPr>
      </w:pPr>
      <w:del w:id="2883" w:author="Master Repository Process" w:date="2022-03-30T12:17:00Z">
        <w:r>
          <w:tab/>
          <w:delText>(2)</w:delText>
        </w:r>
        <w:r>
          <w:tab/>
          <w:delText>If the decision to be reviewed concerns a decision under clause 60 to issue an improvement notice, the operation of the notice is suspended pending determination of the review, except to the extent that the Tribunal makes an order to the contrary.</w:delText>
        </w:r>
      </w:del>
    </w:p>
    <w:p>
      <w:pPr>
        <w:pStyle w:val="ySubsection"/>
        <w:rPr>
          <w:del w:id="2884" w:author="Master Repository Process" w:date="2022-03-30T12:17:00Z"/>
        </w:rPr>
      </w:pPr>
      <w:del w:id="2885" w:author="Master Repository Process" w:date="2022-03-30T12:17:00Z">
        <w:r>
          <w:tab/>
          <w:delText>(3)</w:delText>
        </w:r>
        <w:r>
          <w:tab/>
          <w:delTex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delText>
        </w:r>
      </w:del>
    </w:p>
    <w:p>
      <w:pPr>
        <w:pStyle w:val="yFootnotesection"/>
        <w:spacing w:before="80"/>
        <w:rPr>
          <w:del w:id="2886" w:author="Master Repository Process" w:date="2022-03-30T12:17:00Z"/>
        </w:rPr>
      </w:pPr>
      <w:del w:id="2887" w:author="Master Repository Process" w:date="2022-03-30T12:17:00Z">
        <w:r>
          <w:tab/>
          <w:delText>[Clause 68 inserted: No. 13 of 2005 s. 17.]</w:delText>
        </w:r>
      </w:del>
    </w:p>
    <w:p>
      <w:pPr>
        <w:pStyle w:val="yHeading5"/>
        <w:rPr>
          <w:del w:id="2888" w:author="Master Repository Process" w:date="2022-03-30T12:17:00Z"/>
        </w:rPr>
      </w:pPr>
      <w:bookmarkStart w:id="2889" w:name="_Toc97630757"/>
      <w:del w:id="2890" w:author="Master Repository Process" w:date="2022-03-30T12:17:00Z">
        <w:r>
          <w:rPr>
            <w:rStyle w:val="CharSClsNo"/>
          </w:rPr>
          <w:delText>69</w:delText>
        </w:r>
        <w:r>
          <w:delText>.</w:delText>
        </w:r>
        <w:r>
          <w:rPr>
            <w:b w:val="0"/>
          </w:rPr>
          <w:tab/>
        </w:r>
        <w:r>
          <w:delText>Jurisdiction of Tribunal</w:delText>
        </w:r>
        <w:bookmarkEnd w:id="2889"/>
      </w:del>
    </w:p>
    <w:p>
      <w:pPr>
        <w:pStyle w:val="ySubsection"/>
        <w:rPr>
          <w:del w:id="2891" w:author="Master Repository Process" w:date="2022-03-30T12:17:00Z"/>
        </w:rPr>
      </w:pPr>
      <w:del w:id="2892" w:author="Master Repository Process" w:date="2022-03-30T12:17:00Z">
        <w:r>
          <w:tab/>
          <w:delText>(1)</w:delText>
        </w:r>
        <w:r>
          <w:tab/>
          <w:delText xml:space="preserve">This clause applies where — </w:delText>
        </w:r>
      </w:del>
    </w:p>
    <w:p>
      <w:pPr>
        <w:pStyle w:val="yIndenta"/>
        <w:rPr>
          <w:del w:id="2893" w:author="Master Repository Process" w:date="2022-03-30T12:17:00Z"/>
        </w:rPr>
      </w:pPr>
      <w:del w:id="2894" w:author="Master Repository Process" w:date="2022-03-30T12:17:00Z">
        <w:r>
          <w:tab/>
          <w:delText>(a)</w:delText>
        </w:r>
        <w:r>
          <w:tab/>
          <w:delText>under clause 66 a matter is referred to the Tribunal; or</w:delText>
        </w:r>
      </w:del>
    </w:p>
    <w:p>
      <w:pPr>
        <w:pStyle w:val="yIndenta"/>
        <w:rPr>
          <w:del w:id="2895" w:author="Master Repository Process" w:date="2022-03-30T12:17:00Z"/>
        </w:rPr>
      </w:pPr>
      <w:del w:id="2896" w:author="Master Repository Process" w:date="2022-03-30T12:17:00Z">
        <w:r>
          <w:tab/>
          <w:delText>(b)</w:delText>
        </w:r>
        <w:r>
          <w:tab/>
          <w:delText>under clause 30 an application is made to the Tribunal.</w:delText>
        </w:r>
      </w:del>
    </w:p>
    <w:p>
      <w:pPr>
        <w:pStyle w:val="ySubsection"/>
        <w:keepNext/>
        <w:keepLines/>
        <w:rPr>
          <w:del w:id="2897" w:author="Master Repository Process" w:date="2022-03-30T12:17:00Z"/>
        </w:rPr>
      </w:pPr>
      <w:del w:id="2898" w:author="Master Repository Process" w:date="2022-03-30T12:17:00Z">
        <w:r>
          <w:tab/>
          <w:delText>(2)</w:delText>
        </w:r>
        <w:r>
          <w:tab/>
          <w:delText xml:space="preserve">Where this clause applies — </w:delText>
        </w:r>
      </w:del>
    </w:p>
    <w:p>
      <w:pPr>
        <w:pStyle w:val="yIndenta"/>
        <w:keepLines/>
        <w:rPr>
          <w:del w:id="2899" w:author="Master Repository Process" w:date="2022-03-30T12:17:00Z"/>
        </w:rPr>
      </w:pPr>
      <w:del w:id="2900" w:author="Master Repository Process" w:date="2022-03-30T12:17:00Z">
        <w:r>
          <w:tab/>
          <w:delText>(a)</w:delText>
        </w:r>
        <w:r>
          <w:tab/>
          <w:delText>the matter or application may be heard and determined; and</w:delText>
        </w:r>
      </w:del>
    </w:p>
    <w:p>
      <w:pPr>
        <w:pStyle w:val="yIndenta"/>
        <w:rPr>
          <w:del w:id="2901" w:author="Master Repository Process" w:date="2022-03-30T12:17:00Z"/>
        </w:rPr>
      </w:pPr>
      <w:del w:id="2902" w:author="Master Repository Process" w:date="2022-03-30T12:17:00Z">
        <w:r>
          <w:tab/>
          <w:delText>(b)</w:delText>
        </w:r>
        <w:r>
          <w:tab/>
          <w:delText>a determination made by the Tribunal on the matter or application has effect, and may be appealed against and enforced,</w:delText>
        </w:r>
      </w:del>
    </w:p>
    <w:p>
      <w:pPr>
        <w:pStyle w:val="ySubsection"/>
        <w:spacing w:before="120"/>
        <w:rPr>
          <w:del w:id="2903" w:author="Master Repository Process" w:date="2022-03-30T12:17:00Z"/>
        </w:rPr>
      </w:pPr>
      <w:del w:id="2904" w:author="Master Repository Process" w:date="2022-03-30T12:17:00Z">
        <w:r>
          <w:tab/>
        </w:r>
        <w:r>
          <w:tab/>
          <w:delText xml:space="preserve">as if it were — </w:delText>
        </w:r>
      </w:del>
    </w:p>
    <w:p>
      <w:pPr>
        <w:pStyle w:val="yIndenta"/>
        <w:rPr>
          <w:del w:id="2905" w:author="Master Repository Process" w:date="2022-03-30T12:17:00Z"/>
        </w:rPr>
      </w:pPr>
      <w:del w:id="2906" w:author="Master Repository Process" w:date="2022-03-30T12:17:00Z">
        <w:r>
          <w:tab/>
          <w:delText>(c)</w:delText>
        </w:r>
        <w:r>
          <w:tab/>
          <w:delText xml:space="preserve">a matter in respect of which jurisdiction is conferred on the Tribunal by Part VIB of the </w:delText>
        </w:r>
        <w:r>
          <w:rPr>
            <w:i/>
          </w:rPr>
          <w:delText>Occupational Safety and Health Act 1984</w:delText>
        </w:r>
        <w:r>
          <w:delText>; or</w:delText>
        </w:r>
      </w:del>
    </w:p>
    <w:p>
      <w:pPr>
        <w:pStyle w:val="yIndenta"/>
        <w:rPr>
          <w:del w:id="2907" w:author="Master Repository Process" w:date="2022-03-30T12:17:00Z"/>
        </w:rPr>
      </w:pPr>
      <w:del w:id="2908" w:author="Master Repository Process" w:date="2022-03-30T12:17:00Z">
        <w:r>
          <w:tab/>
          <w:delText>(d)</w:delText>
        </w:r>
        <w:r>
          <w:tab/>
          <w:delText>a determination made for the purposes of that Part.</w:delText>
        </w:r>
      </w:del>
    </w:p>
    <w:p>
      <w:pPr>
        <w:pStyle w:val="ySubsection"/>
        <w:rPr>
          <w:del w:id="2909" w:author="Master Repository Process" w:date="2022-03-30T12:17:00Z"/>
        </w:rPr>
      </w:pPr>
      <w:del w:id="2910" w:author="Master Repository Process" w:date="2022-03-30T12:17:00Z">
        <w:r>
          <w:tab/>
          <w:delText>(3)</w:delText>
        </w:r>
        <w:r>
          <w:tab/>
          <w:delText xml:space="preserve">The provisions of — </w:delText>
        </w:r>
      </w:del>
    </w:p>
    <w:p>
      <w:pPr>
        <w:pStyle w:val="yIndenta"/>
        <w:rPr>
          <w:del w:id="2911" w:author="Master Repository Process" w:date="2022-03-30T12:17:00Z"/>
        </w:rPr>
      </w:pPr>
      <w:del w:id="2912" w:author="Master Repository Process" w:date="2022-03-30T12:17:00Z">
        <w:r>
          <w:tab/>
          <w:delText>(a)</w:delText>
        </w:r>
        <w:r>
          <w:tab/>
          <w:delText xml:space="preserve">Part VIB of the </w:delText>
        </w:r>
        <w:r>
          <w:rPr>
            <w:i/>
          </w:rPr>
          <w:delText>Occupational Safety and Health Act 1984</w:delText>
        </w:r>
        <w:r>
          <w:delText>; and</w:delText>
        </w:r>
      </w:del>
    </w:p>
    <w:p>
      <w:pPr>
        <w:pStyle w:val="yIndenta"/>
        <w:rPr>
          <w:del w:id="2913" w:author="Master Repository Process" w:date="2022-03-30T12:17:00Z"/>
        </w:rPr>
      </w:pPr>
      <w:del w:id="2914" w:author="Master Repository Process" w:date="2022-03-30T12:17:00Z">
        <w:r>
          <w:tab/>
          <w:delText>(b)</w:delText>
        </w:r>
        <w:r>
          <w:tab/>
          <w:delText xml:space="preserve">the </w:delText>
        </w:r>
        <w:r>
          <w:rPr>
            <w:i/>
          </w:rPr>
          <w:delText>Industrial Relations Act 1979</w:delText>
        </w:r>
        <w:r>
          <w:delText xml:space="preserve"> applied by that Part,</w:delText>
        </w:r>
      </w:del>
    </w:p>
    <w:p>
      <w:pPr>
        <w:pStyle w:val="ySubsection"/>
        <w:spacing w:before="120"/>
        <w:rPr>
          <w:del w:id="2915" w:author="Master Repository Process" w:date="2022-03-30T12:17:00Z"/>
        </w:rPr>
      </w:pPr>
      <w:del w:id="2916" w:author="Master Repository Process" w:date="2022-03-30T12:17:00Z">
        <w:r>
          <w:tab/>
        </w:r>
        <w:r>
          <w:tab/>
          <w:delText>have effect for the purposes of this clause with all necessary changes.</w:delText>
        </w:r>
      </w:del>
    </w:p>
    <w:p>
      <w:pPr>
        <w:pStyle w:val="ySubsection"/>
        <w:rPr>
          <w:del w:id="2917" w:author="Master Repository Process" w:date="2022-03-30T12:17:00Z"/>
          <w:iCs/>
        </w:rPr>
      </w:pPr>
      <w:del w:id="2918" w:author="Master Repository Process" w:date="2022-03-30T12:17:00Z">
        <w:r>
          <w:tab/>
          <w:delText>(4)</w:delText>
        </w:r>
        <w:r>
          <w:tab/>
          <w:delText xml:space="preserve">In the operation of subclause (3), section 51J(1) of the </w:delText>
        </w:r>
        <w:r>
          <w:rPr>
            <w:i/>
          </w:rPr>
          <w:delText>Occupational Safety and Health Act 1984</w:delText>
        </w:r>
        <w:r>
          <w:rPr>
            <w:iCs/>
          </w:rPr>
          <w:delText xml:space="preserve"> has effect as if it were expressed to apply where a matter has been referred to the Tribunal under clause 66 in relation to a decision made under clause 21.</w:delText>
        </w:r>
      </w:del>
    </w:p>
    <w:p>
      <w:pPr>
        <w:pStyle w:val="yFootnotesection"/>
        <w:spacing w:before="100"/>
        <w:rPr>
          <w:del w:id="2919" w:author="Master Repository Process" w:date="2022-03-30T12:17:00Z"/>
        </w:rPr>
      </w:pPr>
      <w:del w:id="2920" w:author="Master Repository Process" w:date="2022-03-30T12:17:00Z">
        <w:r>
          <w:tab/>
          <w:delText>[Clause 69 inserted: No. 13 of 2005 s. 17.]</w:delText>
        </w:r>
      </w:del>
    </w:p>
    <w:p>
      <w:pPr>
        <w:pStyle w:val="yHeading3"/>
        <w:spacing w:before="200"/>
        <w:rPr>
          <w:del w:id="2921" w:author="Master Repository Process" w:date="2022-03-30T12:17:00Z"/>
        </w:rPr>
      </w:pPr>
      <w:bookmarkStart w:id="2922" w:name="_Toc97629867"/>
      <w:bookmarkStart w:id="2923" w:name="_Toc97630220"/>
      <w:bookmarkStart w:id="2924" w:name="_Toc97630758"/>
      <w:del w:id="2925" w:author="Master Repository Process" w:date="2022-03-30T12:17:00Z">
        <w:r>
          <w:rPr>
            <w:rStyle w:val="CharSDivNo"/>
          </w:rPr>
          <w:delText>Division 6</w:delText>
        </w:r>
        <w:r>
          <w:rPr>
            <w:b w:val="0"/>
          </w:rPr>
          <w:delText> — </w:delText>
        </w:r>
        <w:r>
          <w:rPr>
            <w:rStyle w:val="CharSDivText"/>
          </w:rPr>
          <w:delText>General</w:delText>
        </w:r>
        <w:bookmarkEnd w:id="2922"/>
        <w:bookmarkEnd w:id="2923"/>
        <w:bookmarkEnd w:id="2924"/>
      </w:del>
    </w:p>
    <w:p>
      <w:pPr>
        <w:pStyle w:val="yFootnoteheading"/>
        <w:spacing w:before="100"/>
        <w:rPr>
          <w:del w:id="2926" w:author="Master Repository Process" w:date="2022-03-30T12:17:00Z"/>
        </w:rPr>
      </w:pPr>
      <w:del w:id="2927" w:author="Master Repository Process" w:date="2022-03-30T12:17:00Z">
        <w:r>
          <w:tab/>
          <w:delText>[Heading inserted: No. 13 of 2005 s. 17.]</w:delText>
        </w:r>
      </w:del>
    </w:p>
    <w:p>
      <w:pPr>
        <w:pStyle w:val="yHeading5"/>
        <w:spacing w:before="180"/>
        <w:rPr>
          <w:del w:id="2928" w:author="Master Repository Process" w:date="2022-03-30T12:17:00Z"/>
        </w:rPr>
      </w:pPr>
      <w:bookmarkStart w:id="2929" w:name="_Toc97630759"/>
      <w:del w:id="2930" w:author="Master Repository Process" w:date="2022-03-30T12:17:00Z">
        <w:r>
          <w:rPr>
            <w:rStyle w:val="CharSClsNo"/>
          </w:rPr>
          <w:delText>70</w:delText>
        </w:r>
        <w:r>
          <w:delText>.</w:delText>
        </w:r>
        <w:r>
          <w:rPr>
            <w:b w:val="0"/>
          </w:rPr>
          <w:tab/>
        </w:r>
        <w:r>
          <w:delText>Notifying and reporting accidents and dangerous occurrences</w:delText>
        </w:r>
        <w:bookmarkEnd w:id="2929"/>
      </w:del>
    </w:p>
    <w:p>
      <w:pPr>
        <w:pStyle w:val="ySubsection"/>
        <w:spacing w:before="120"/>
        <w:rPr>
          <w:del w:id="2931" w:author="Master Repository Process" w:date="2022-03-30T12:17:00Z"/>
        </w:rPr>
      </w:pPr>
      <w:del w:id="2932" w:author="Master Repository Process" w:date="2022-03-30T12:17:00Z">
        <w:r>
          <w:tab/>
          <w:delText>(1)</w:delText>
        </w:r>
        <w:r>
          <w:tab/>
          <w:delText xml:space="preserve">If, arising from a petroleum operation or geothermal energy operation, there is — </w:delText>
        </w:r>
      </w:del>
    </w:p>
    <w:p>
      <w:pPr>
        <w:pStyle w:val="yIndenta"/>
        <w:spacing w:before="70"/>
        <w:rPr>
          <w:del w:id="2933" w:author="Master Repository Process" w:date="2022-03-30T12:17:00Z"/>
        </w:rPr>
      </w:pPr>
      <w:del w:id="2934" w:author="Master Repository Process" w:date="2022-03-30T12:17:00Z">
        <w:r>
          <w:tab/>
          <w:delText>(a)</w:delText>
        </w:r>
        <w:r>
          <w:tab/>
          <w:delText>an accident that causes the death of, or serious personal injury to, any person; or</w:delText>
        </w:r>
      </w:del>
    </w:p>
    <w:p>
      <w:pPr>
        <w:pStyle w:val="yIndenta"/>
        <w:spacing w:before="70"/>
        <w:rPr>
          <w:del w:id="2935" w:author="Master Repository Process" w:date="2022-03-30T12:17:00Z"/>
        </w:rPr>
      </w:pPr>
      <w:del w:id="2936" w:author="Master Repository Process" w:date="2022-03-30T12:17:00Z">
        <w:r>
          <w:tab/>
          <w:delText>(b)</w:delText>
        </w:r>
        <w:r>
          <w:tab/>
          <w:delText>an accident that causes a member of the workforce to be incapacitated from performing work for a period prescribed for the purposes of this paragraph; or</w:delText>
        </w:r>
      </w:del>
    </w:p>
    <w:p>
      <w:pPr>
        <w:pStyle w:val="yIndenta"/>
        <w:keepNext/>
        <w:spacing w:before="70"/>
        <w:rPr>
          <w:del w:id="2937" w:author="Master Repository Process" w:date="2022-03-30T12:17:00Z"/>
        </w:rPr>
      </w:pPr>
      <w:del w:id="2938" w:author="Master Repository Process" w:date="2022-03-30T12:17:00Z">
        <w:r>
          <w:tab/>
          <w:delText>(c)</w:delText>
        </w:r>
        <w:r>
          <w:tab/>
          <w:delText>a dangerous occurrence,</w:delText>
        </w:r>
      </w:del>
    </w:p>
    <w:p>
      <w:pPr>
        <w:pStyle w:val="ySubsection"/>
        <w:spacing w:before="120"/>
        <w:rPr>
          <w:del w:id="2939" w:author="Master Repository Process" w:date="2022-03-30T12:17:00Z"/>
        </w:rPr>
      </w:pPr>
      <w:del w:id="2940" w:author="Master Repository Process" w:date="2022-03-30T12:17:00Z">
        <w:r>
          <w:tab/>
        </w:r>
        <w:r>
          <w:tab/>
          <w:delText>the operator must, in accordance with the regulations, give the Minister notice of, and a report about, the accident or dangerous occurrence.</w:delText>
        </w:r>
      </w:del>
    </w:p>
    <w:p>
      <w:pPr>
        <w:pStyle w:val="yPenstart"/>
        <w:rPr>
          <w:del w:id="2941" w:author="Master Repository Process" w:date="2022-03-30T12:17:00Z"/>
        </w:rPr>
      </w:pPr>
      <w:del w:id="2942" w:author="Master Repository Process" w:date="2022-03-30T12:17:00Z">
        <w:r>
          <w:tab/>
          <w:delText>Penalty: a fine of $5 000.</w:delText>
        </w:r>
      </w:del>
    </w:p>
    <w:p>
      <w:pPr>
        <w:pStyle w:val="ySubsection"/>
        <w:rPr>
          <w:del w:id="2943" w:author="Master Repository Process" w:date="2022-03-30T12:17:00Z"/>
        </w:rPr>
      </w:pPr>
      <w:del w:id="2944" w:author="Master Repository Process" w:date="2022-03-30T12:17:00Z">
        <w:r>
          <w:tab/>
          <w:delText>(2)</w:delText>
        </w:r>
        <w:r>
          <w:tab/>
          <w:delText xml:space="preserve">Regulations made for the purposes of subclause (1) (other than regulations made for the purpose of subclause (1)(b)) may prescribe — </w:delText>
        </w:r>
      </w:del>
    </w:p>
    <w:p>
      <w:pPr>
        <w:pStyle w:val="yIndenta"/>
        <w:rPr>
          <w:del w:id="2945" w:author="Master Repository Process" w:date="2022-03-30T12:17:00Z"/>
        </w:rPr>
      </w:pPr>
      <w:del w:id="2946" w:author="Master Repository Process" w:date="2022-03-30T12:17:00Z">
        <w:r>
          <w:tab/>
          <w:delText>(a)</w:delText>
        </w:r>
        <w:r>
          <w:tab/>
          <w:delText>the time within which, and the manner in which, notice of an accident or dangerous occurrence is to be given, and the form of the notice; and</w:delText>
        </w:r>
      </w:del>
    </w:p>
    <w:p>
      <w:pPr>
        <w:pStyle w:val="yIndenta"/>
        <w:rPr>
          <w:del w:id="2947" w:author="Master Repository Process" w:date="2022-03-30T12:17:00Z"/>
        </w:rPr>
      </w:pPr>
      <w:del w:id="2948" w:author="Master Repository Process" w:date="2022-03-30T12:17:00Z">
        <w:r>
          <w:tab/>
          <w:delText>(b)</w:delText>
        </w:r>
        <w:r>
          <w:tab/>
          <w:delText>the time within which, and the manner in which, a report of an accident or dangerous occurrence is to be given, and the form of the report.</w:delText>
        </w:r>
      </w:del>
    </w:p>
    <w:p>
      <w:pPr>
        <w:pStyle w:val="ySubsection"/>
        <w:keepNext/>
        <w:rPr>
          <w:del w:id="2949" w:author="Master Repository Process" w:date="2022-03-30T12:17:00Z"/>
        </w:rPr>
      </w:pPr>
      <w:del w:id="2950" w:author="Master Repository Process" w:date="2022-03-30T12:17:00Z">
        <w:r>
          <w:tab/>
          <w:delText>(3)</w:delText>
        </w:r>
        <w:r>
          <w:tab/>
          <w:delText>Subclause (2) does not limit regulations that may be made for the purposes of subclause (1).</w:delText>
        </w:r>
      </w:del>
    </w:p>
    <w:p>
      <w:pPr>
        <w:pStyle w:val="yFootnotesection"/>
        <w:rPr>
          <w:del w:id="2951" w:author="Master Repository Process" w:date="2022-03-30T12:17:00Z"/>
        </w:rPr>
      </w:pPr>
      <w:del w:id="2952" w:author="Master Repository Process" w:date="2022-03-30T12:17:00Z">
        <w:r>
          <w:tab/>
          <w:delText>[Clause 70 inserted: No. 13 of 2005 s. 17; amended: No. 35 of 2007 s. 86; No. 42 of 2010 s. 60(6).]</w:delText>
        </w:r>
      </w:del>
    </w:p>
    <w:p>
      <w:pPr>
        <w:pStyle w:val="yHeading5"/>
        <w:spacing w:before="180"/>
        <w:rPr>
          <w:del w:id="2953" w:author="Master Repository Process" w:date="2022-03-30T12:17:00Z"/>
        </w:rPr>
      </w:pPr>
      <w:bookmarkStart w:id="2954" w:name="_Toc97630760"/>
      <w:del w:id="2955" w:author="Master Repository Process" w:date="2022-03-30T12:17:00Z">
        <w:r>
          <w:rPr>
            <w:rStyle w:val="CharSClsNo"/>
          </w:rPr>
          <w:delText>71</w:delText>
        </w:r>
        <w:r>
          <w:delText>.</w:delText>
        </w:r>
        <w:r>
          <w:rPr>
            <w:b w:val="0"/>
          </w:rPr>
          <w:tab/>
        </w:r>
        <w:r>
          <w:delText>Records of accidents and dangerous occurrences to be kept</w:delText>
        </w:r>
        <w:bookmarkEnd w:id="2954"/>
      </w:del>
    </w:p>
    <w:p>
      <w:pPr>
        <w:pStyle w:val="ySubsection"/>
        <w:rPr>
          <w:del w:id="2956" w:author="Master Repository Process" w:date="2022-03-30T12:17:00Z"/>
        </w:rPr>
      </w:pPr>
      <w:del w:id="2957" w:author="Master Repository Process" w:date="2022-03-30T12:17:00Z">
        <w:r>
          <w:tab/>
          <w:delText>(1)</w:delText>
        </w:r>
        <w:r>
          <w:tab/>
          <w:delText>The operator of a petroleum operation or geothermal energy operation must maintain, in accordance with the regulations, a record of each accident or dangerous occurrence in respect of which the operator is required by clause 70 to notify the Minister.</w:delText>
        </w:r>
      </w:del>
    </w:p>
    <w:p>
      <w:pPr>
        <w:pStyle w:val="ySubsection"/>
        <w:rPr>
          <w:del w:id="2958" w:author="Master Repository Process" w:date="2022-03-30T12:17:00Z"/>
        </w:rPr>
      </w:pPr>
      <w:del w:id="2959" w:author="Master Repository Process" w:date="2022-03-30T12:17:00Z">
        <w:r>
          <w:tab/>
          <w:delText>(2)</w:delText>
        </w:r>
        <w:r>
          <w:tab/>
          <w:delText xml:space="preserve">Regulations made for the purposes of subclause (1) may prescribe — </w:delText>
        </w:r>
      </w:del>
    </w:p>
    <w:p>
      <w:pPr>
        <w:pStyle w:val="yIndenta"/>
        <w:rPr>
          <w:del w:id="2960" w:author="Master Repository Process" w:date="2022-03-30T12:17:00Z"/>
        </w:rPr>
      </w:pPr>
      <w:del w:id="2961" w:author="Master Repository Process" w:date="2022-03-30T12:17:00Z">
        <w:r>
          <w:tab/>
          <w:delText>(a)</w:delText>
        </w:r>
        <w:r>
          <w:tab/>
          <w:delText>the nature of the contents of a record maintained under this clause; and</w:delText>
        </w:r>
      </w:del>
    </w:p>
    <w:p>
      <w:pPr>
        <w:pStyle w:val="yIndenta"/>
        <w:rPr>
          <w:del w:id="2962" w:author="Master Repository Process" w:date="2022-03-30T12:17:00Z"/>
        </w:rPr>
      </w:pPr>
      <w:del w:id="2963" w:author="Master Repository Process" w:date="2022-03-30T12:17:00Z">
        <w:r>
          <w:tab/>
          <w:delText>(b)</w:delText>
        </w:r>
        <w:r>
          <w:tab/>
          <w:delText>the period for which the record must be retained.</w:delText>
        </w:r>
      </w:del>
    </w:p>
    <w:p>
      <w:pPr>
        <w:pStyle w:val="ySubsection"/>
        <w:rPr>
          <w:del w:id="2964" w:author="Master Repository Process" w:date="2022-03-30T12:17:00Z"/>
        </w:rPr>
      </w:pPr>
      <w:del w:id="2965" w:author="Master Repository Process" w:date="2022-03-30T12:17:00Z">
        <w:r>
          <w:tab/>
          <w:delText>(3)</w:delText>
        </w:r>
        <w:r>
          <w:tab/>
          <w:delText>Subclause (2) does not limit regulations that may be made for the purposes of subclause (1).</w:delText>
        </w:r>
      </w:del>
    </w:p>
    <w:p>
      <w:pPr>
        <w:pStyle w:val="yFootnotesection"/>
        <w:spacing w:before="80"/>
        <w:rPr>
          <w:del w:id="2966" w:author="Master Repository Process" w:date="2022-03-30T12:17:00Z"/>
        </w:rPr>
      </w:pPr>
      <w:del w:id="2967" w:author="Master Repository Process" w:date="2022-03-30T12:17:00Z">
        <w:r>
          <w:tab/>
          <w:delText>[Clause 71 inserted: No. 13 of 2005 s. 17; amended: No. 35 of 2007 s. 86; No. 42 of 2010 s. 60(5).]</w:delText>
        </w:r>
      </w:del>
    </w:p>
    <w:p>
      <w:pPr>
        <w:pStyle w:val="yHeading5"/>
        <w:spacing w:before="180"/>
        <w:rPr>
          <w:del w:id="2968" w:author="Master Repository Process" w:date="2022-03-30T12:17:00Z"/>
        </w:rPr>
      </w:pPr>
      <w:bookmarkStart w:id="2969" w:name="_Toc97630761"/>
      <w:del w:id="2970" w:author="Master Repository Process" w:date="2022-03-30T12:17:00Z">
        <w:r>
          <w:rPr>
            <w:rStyle w:val="CharSClsNo"/>
          </w:rPr>
          <w:delText>72</w:delText>
        </w:r>
        <w:r>
          <w:rPr>
            <w:bCs/>
          </w:rPr>
          <w:delText>.</w:delText>
        </w:r>
        <w:r>
          <w:rPr>
            <w:b w:val="0"/>
            <w:bCs/>
          </w:rPr>
          <w:tab/>
        </w:r>
        <w:r>
          <w:rPr>
            <w:bCs/>
          </w:rPr>
          <w:delText>Codes</w:delText>
        </w:r>
        <w:r>
          <w:delText xml:space="preserve"> of practice</w:delText>
        </w:r>
        <w:bookmarkEnd w:id="2969"/>
      </w:del>
    </w:p>
    <w:p>
      <w:pPr>
        <w:pStyle w:val="ySubsection"/>
        <w:spacing w:before="120"/>
        <w:rPr>
          <w:del w:id="2971" w:author="Master Repository Process" w:date="2022-03-30T12:17:00Z"/>
        </w:rPr>
      </w:pPr>
      <w:del w:id="2972" w:author="Master Repository Process" w:date="2022-03-30T12:17:00Z">
        <w:r>
          <w:tab/>
          <w:delText>(1)</w:delText>
        </w:r>
        <w:r>
          <w:tab/>
          <w:delText>The regulations may prescribe codes of practice for the purpose of providing practical guidance to operators of petroleum operations or geothermal energy operations and employers (other than operators) of members of the workforce engaged in petroleum operations or geothermal energy operations.</w:delText>
        </w:r>
      </w:del>
    </w:p>
    <w:p>
      <w:pPr>
        <w:pStyle w:val="ySubsection"/>
        <w:keepNext/>
        <w:spacing w:before="120"/>
        <w:rPr>
          <w:del w:id="2973" w:author="Master Repository Process" w:date="2022-03-30T12:17:00Z"/>
        </w:rPr>
      </w:pPr>
      <w:del w:id="2974" w:author="Master Repository Process" w:date="2022-03-30T12:17:00Z">
        <w:r>
          <w:tab/>
          <w:delText>(2)</w:delText>
        </w:r>
        <w:r>
          <w:tab/>
          <w:delText>A person is not liable in any civil or criminal proceedings for contravening a code of practice.</w:delText>
        </w:r>
      </w:del>
    </w:p>
    <w:p>
      <w:pPr>
        <w:pStyle w:val="yFootnotesection"/>
        <w:rPr>
          <w:del w:id="2975" w:author="Master Repository Process" w:date="2022-03-30T12:17:00Z"/>
        </w:rPr>
      </w:pPr>
      <w:del w:id="2976" w:author="Master Repository Process" w:date="2022-03-30T12:17:00Z">
        <w:r>
          <w:tab/>
          <w:delText>[Clause 72 inserted: No. 13 of 2005 s. 17; amended: No. 35 of 2007 s. 87.]</w:delText>
        </w:r>
      </w:del>
    </w:p>
    <w:p>
      <w:pPr>
        <w:pStyle w:val="yHeading5"/>
        <w:keepNext w:val="0"/>
        <w:keepLines w:val="0"/>
        <w:spacing w:before="180"/>
        <w:rPr>
          <w:del w:id="2977" w:author="Master Repository Process" w:date="2022-03-30T12:17:00Z"/>
        </w:rPr>
      </w:pPr>
      <w:bookmarkStart w:id="2978" w:name="_Toc97630762"/>
      <w:del w:id="2979" w:author="Master Repository Process" w:date="2022-03-30T12:17:00Z">
        <w:r>
          <w:rPr>
            <w:rStyle w:val="CharSClsNo"/>
          </w:rPr>
          <w:delText>73</w:delText>
        </w:r>
        <w:r>
          <w:delText>.</w:delText>
        </w:r>
        <w:r>
          <w:rPr>
            <w:b w:val="0"/>
          </w:rPr>
          <w:tab/>
        </w:r>
        <w:r>
          <w:delText>Use of codes of practice in proceedings</w:delText>
        </w:r>
        <w:bookmarkEnd w:id="2978"/>
      </w:del>
    </w:p>
    <w:p>
      <w:pPr>
        <w:pStyle w:val="ySubsection"/>
        <w:spacing w:before="120"/>
        <w:rPr>
          <w:del w:id="2980" w:author="Master Repository Process" w:date="2022-03-30T12:17:00Z"/>
        </w:rPr>
      </w:pPr>
      <w:del w:id="2981" w:author="Master Repository Process" w:date="2022-03-30T12:17:00Z">
        <w:r>
          <w:tab/>
          <w:delText>(1)</w:delText>
        </w:r>
        <w:r>
          <w:tab/>
          <w:delText>This clause applies if, in any proceedings for an offence against a listed OSH law, it is alleged that a person contravened a provision of a listed OSH law in relation to which a code of practice was in effect at the time of the alleged contravention.</w:delText>
        </w:r>
      </w:del>
    </w:p>
    <w:p>
      <w:pPr>
        <w:pStyle w:val="ySubsection"/>
        <w:rPr>
          <w:del w:id="2982" w:author="Master Repository Process" w:date="2022-03-30T12:17:00Z"/>
        </w:rPr>
      </w:pPr>
      <w:del w:id="2983" w:author="Master Repository Process" w:date="2022-03-30T12:17:00Z">
        <w:r>
          <w:tab/>
          <w:delText>(2)</w:delText>
        </w:r>
        <w:r>
          <w:tab/>
          <w:delText>The code of practice is admissible in evidence in those proceedings.</w:delText>
        </w:r>
      </w:del>
    </w:p>
    <w:p>
      <w:pPr>
        <w:pStyle w:val="ySubsection"/>
        <w:rPr>
          <w:del w:id="2984" w:author="Master Repository Process" w:date="2022-03-30T12:17:00Z"/>
        </w:rPr>
      </w:pPr>
      <w:del w:id="2985" w:author="Master Repository Process" w:date="2022-03-30T12:17:00Z">
        <w:r>
          <w:tab/>
          <w:delText>(3)</w:delText>
        </w:r>
        <w:r>
          <w:tab/>
          <w:delText xml:space="preserve">If the court is satisfied, in relation to any matter which it is necessary for the prosecution to prove in order to establish the alleged contravention, that — </w:delText>
        </w:r>
      </w:del>
    </w:p>
    <w:p>
      <w:pPr>
        <w:pStyle w:val="yIndenta"/>
        <w:rPr>
          <w:del w:id="2986" w:author="Master Repository Process" w:date="2022-03-30T12:17:00Z"/>
        </w:rPr>
      </w:pPr>
      <w:del w:id="2987" w:author="Master Repository Process" w:date="2022-03-30T12:17:00Z">
        <w:r>
          <w:tab/>
          <w:delText>(a)</w:delText>
        </w:r>
        <w:r>
          <w:tab/>
          <w:delText>any provision of the code of practice is relevant to that matter; and</w:delText>
        </w:r>
      </w:del>
    </w:p>
    <w:p>
      <w:pPr>
        <w:pStyle w:val="yIndenta"/>
        <w:keepNext/>
        <w:rPr>
          <w:del w:id="2988" w:author="Master Repository Process" w:date="2022-03-30T12:17:00Z"/>
        </w:rPr>
      </w:pPr>
      <w:del w:id="2989" w:author="Master Repository Process" w:date="2022-03-30T12:17:00Z">
        <w:r>
          <w:tab/>
          <w:delText>(b)</w:delText>
        </w:r>
        <w:r>
          <w:tab/>
          <w:delText>the person failed at any material time to comply with that provision of the code of practice,</w:delText>
        </w:r>
      </w:del>
    </w:p>
    <w:p>
      <w:pPr>
        <w:pStyle w:val="ySubsection"/>
        <w:rPr>
          <w:del w:id="2990" w:author="Master Repository Process" w:date="2022-03-30T12:17:00Z"/>
        </w:rPr>
      </w:pPr>
      <w:del w:id="2991" w:author="Master Repository Process" w:date="2022-03-30T12:17:00Z">
        <w:r>
          <w:tab/>
        </w:r>
        <w:r>
          <w:tab/>
          <w:delText>that matter is treated as proved unless the court is satisfied that in respect of that matter the person complied with that provision of the listed OSH law otherwise than by complying with the code of practice.</w:delText>
        </w:r>
      </w:del>
    </w:p>
    <w:p>
      <w:pPr>
        <w:pStyle w:val="yFootnotesection"/>
        <w:rPr>
          <w:del w:id="2992" w:author="Master Repository Process" w:date="2022-03-30T12:17:00Z"/>
        </w:rPr>
      </w:pPr>
      <w:del w:id="2993" w:author="Master Repository Process" w:date="2022-03-30T12:17:00Z">
        <w:r>
          <w:tab/>
          <w:delText>[Clause 73 inserted: No. 13 of 2005 s. 17.]</w:delText>
        </w:r>
      </w:del>
    </w:p>
    <w:p>
      <w:pPr>
        <w:pStyle w:val="yHeading5"/>
        <w:rPr>
          <w:del w:id="2994" w:author="Master Repository Process" w:date="2022-03-30T12:17:00Z"/>
        </w:rPr>
      </w:pPr>
      <w:bookmarkStart w:id="2995" w:name="_Toc97630763"/>
      <w:del w:id="2996" w:author="Master Repository Process" w:date="2022-03-30T12:17:00Z">
        <w:r>
          <w:rPr>
            <w:rStyle w:val="CharSClsNo"/>
          </w:rPr>
          <w:delText>74</w:delText>
        </w:r>
        <w:r>
          <w:delText>.</w:delText>
        </w:r>
        <w:r>
          <w:rPr>
            <w:b w:val="0"/>
          </w:rPr>
          <w:tab/>
        </w:r>
        <w:r>
          <w:delText>Interference etc. with equipment etc.</w:delText>
        </w:r>
        <w:bookmarkEnd w:id="2995"/>
      </w:del>
    </w:p>
    <w:p>
      <w:pPr>
        <w:pStyle w:val="ySubsection"/>
        <w:rPr>
          <w:del w:id="2997" w:author="Master Repository Process" w:date="2022-03-30T12:17:00Z"/>
        </w:rPr>
      </w:pPr>
      <w:del w:id="2998" w:author="Master Repository Process" w:date="2022-03-30T12:17:00Z">
        <w:r>
          <w:tab/>
        </w:r>
        <w:r>
          <w:tab/>
          <w:delText>A person must not, without reasonable excuse, do anything that results in the interference with, or the rendering ineffective of, any protective equipment or safety device provided for the occupational safety and health of members of the workforce engaged in a petroleum operation or geothermal energy operation if the person knew (or ought reasonably to have known) that the equipment or device was protective equipment or a safety device.</w:delText>
        </w:r>
      </w:del>
    </w:p>
    <w:p>
      <w:pPr>
        <w:pStyle w:val="yPenstart"/>
        <w:rPr>
          <w:del w:id="2999" w:author="Master Repository Process" w:date="2022-03-30T12:17:00Z"/>
        </w:rPr>
      </w:pPr>
      <w:del w:id="3000" w:author="Master Repository Process" w:date="2022-03-30T12:17:00Z">
        <w:r>
          <w:tab/>
          <w:delText xml:space="preserve">Penalty: a fine of $3 300 or imprisonment for 6 months or both. </w:delText>
        </w:r>
      </w:del>
    </w:p>
    <w:p>
      <w:pPr>
        <w:pStyle w:val="yFootnotesection"/>
        <w:rPr>
          <w:del w:id="3001" w:author="Master Repository Process" w:date="2022-03-30T12:17:00Z"/>
        </w:rPr>
      </w:pPr>
      <w:del w:id="3002" w:author="Master Repository Process" w:date="2022-03-30T12:17:00Z">
        <w:r>
          <w:tab/>
          <w:delText>[Clause 74 inserted: No. 13 of 2005 s. 17; amended: No. 35 of 2007 s. 86; No. 42 of 2010 s. 60(6).]</w:delText>
        </w:r>
      </w:del>
    </w:p>
    <w:p>
      <w:pPr>
        <w:pStyle w:val="yHeading5"/>
        <w:rPr>
          <w:del w:id="3003" w:author="Master Repository Process" w:date="2022-03-30T12:17:00Z"/>
        </w:rPr>
      </w:pPr>
      <w:bookmarkStart w:id="3004" w:name="_Toc97630764"/>
      <w:del w:id="3005" w:author="Master Repository Process" w:date="2022-03-30T12:17:00Z">
        <w:r>
          <w:rPr>
            <w:rStyle w:val="CharSClsNo"/>
          </w:rPr>
          <w:delText>75</w:delText>
        </w:r>
        <w:r>
          <w:delText>.</w:delText>
        </w:r>
        <w:r>
          <w:rPr>
            <w:b w:val="0"/>
          </w:rPr>
          <w:tab/>
        </w:r>
        <w:r>
          <w:delText>No charges to be levied on members of workforce</w:delText>
        </w:r>
        <w:bookmarkEnd w:id="3004"/>
      </w:del>
    </w:p>
    <w:p>
      <w:pPr>
        <w:pStyle w:val="ySubsection"/>
        <w:rPr>
          <w:del w:id="3006" w:author="Master Repository Process" w:date="2022-03-30T12:17:00Z"/>
        </w:rPr>
      </w:pPr>
      <w:del w:id="3007" w:author="Master Repository Process" w:date="2022-03-30T12:17:00Z">
        <w:r>
          <w:tab/>
        </w:r>
        <w:r>
          <w:tab/>
          <w:delText>The operator of a petroleum operation or geothermal energy operation or an employer (other than the operator) of members of the workforce engaged in a petroleum operation or geothermal energy operation must not levy, or permit to be levied, on a member of the workforce any charge in respect of anything done or provided in accordance with a listed OSH law in order to ensure the occupational safety and health of persons engaged in the petroleum operation or geothermal energy operation or any other protected persons.</w:delText>
        </w:r>
      </w:del>
    </w:p>
    <w:p>
      <w:pPr>
        <w:pStyle w:val="yPenstart"/>
        <w:rPr>
          <w:del w:id="3008" w:author="Master Repository Process" w:date="2022-03-30T12:17:00Z"/>
        </w:rPr>
      </w:pPr>
      <w:del w:id="3009" w:author="Master Repository Process" w:date="2022-03-30T12:17:00Z">
        <w:r>
          <w:tab/>
          <w:delText>Penalty: a fine of $27 500.</w:delText>
        </w:r>
      </w:del>
    </w:p>
    <w:p>
      <w:pPr>
        <w:pStyle w:val="yFootnotesection"/>
        <w:rPr>
          <w:del w:id="3010" w:author="Master Repository Process" w:date="2022-03-30T12:17:00Z"/>
        </w:rPr>
      </w:pPr>
      <w:del w:id="3011" w:author="Master Repository Process" w:date="2022-03-30T12:17:00Z">
        <w:r>
          <w:tab/>
          <w:delText>[Clause 75 inserted: No. 13 of 2005 s. 17; amended: No. 35 of 2007 s. 86; No. 42 of 2010 s. 60(6).]</w:delText>
        </w:r>
      </w:del>
    </w:p>
    <w:p>
      <w:pPr>
        <w:pStyle w:val="yHeading5"/>
        <w:rPr>
          <w:del w:id="3012" w:author="Master Repository Process" w:date="2022-03-30T12:17:00Z"/>
        </w:rPr>
      </w:pPr>
      <w:bookmarkStart w:id="3013" w:name="_Toc97630765"/>
      <w:del w:id="3014" w:author="Master Repository Process" w:date="2022-03-30T12:17:00Z">
        <w:r>
          <w:rPr>
            <w:rStyle w:val="CharSClsNo"/>
          </w:rPr>
          <w:delText>76</w:delText>
        </w:r>
        <w:r>
          <w:delText>.</w:delText>
        </w:r>
        <w:r>
          <w:rPr>
            <w:b w:val="0"/>
          </w:rPr>
          <w:tab/>
        </w:r>
        <w:r>
          <w:delText>Victimisation</w:delText>
        </w:r>
        <w:bookmarkEnd w:id="3013"/>
      </w:del>
    </w:p>
    <w:p>
      <w:pPr>
        <w:pStyle w:val="ySubsection"/>
        <w:rPr>
          <w:del w:id="3015" w:author="Master Repository Process" w:date="2022-03-30T12:17:00Z"/>
        </w:rPr>
      </w:pPr>
      <w:del w:id="3016" w:author="Master Repository Process" w:date="2022-03-30T12:17:00Z">
        <w:r>
          <w:tab/>
          <w:delText>(1)</w:delText>
        </w:r>
        <w:r>
          <w:tab/>
          <w:delText xml:space="preserve">An employer (whether the operator or another person) must not — </w:delText>
        </w:r>
      </w:del>
    </w:p>
    <w:p>
      <w:pPr>
        <w:pStyle w:val="yIndenta"/>
        <w:rPr>
          <w:del w:id="3017" w:author="Master Repository Process" w:date="2022-03-30T12:17:00Z"/>
        </w:rPr>
      </w:pPr>
      <w:del w:id="3018" w:author="Master Repository Process" w:date="2022-03-30T12:17:00Z">
        <w:r>
          <w:tab/>
          <w:delText>(a)</w:delText>
        </w:r>
        <w:r>
          <w:tab/>
          <w:delText>dismiss an employee; or</w:delText>
        </w:r>
      </w:del>
    </w:p>
    <w:p>
      <w:pPr>
        <w:pStyle w:val="yIndenta"/>
        <w:rPr>
          <w:del w:id="3019" w:author="Master Repository Process" w:date="2022-03-30T12:17:00Z"/>
        </w:rPr>
      </w:pPr>
      <w:del w:id="3020" w:author="Master Repository Process" w:date="2022-03-30T12:17:00Z">
        <w:r>
          <w:tab/>
          <w:delText>(b)</w:delText>
        </w:r>
        <w:r>
          <w:tab/>
          <w:delText>perform an act that results in injury to an employee in his or her employment; or</w:delText>
        </w:r>
      </w:del>
    </w:p>
    <w:p>
      <w:pPr>
        <w:pStyle w:val="yIndenta"/>
        <w:rPr>
          <w:del w:id="3021" w:author="Master Repository Process" w:date="2022-03-30T12:17:00Z"/>
        </w:rPr>
      </w:pPr>
      <w:del w:id="3022" w:author="Master Repository Process" w:date="2022-03-30T12:17:00Z">
        <w:r>
          <w:tab/>
          <w:delText>(c)</w:delText>
        </w:r>
        <w:r>
          <w:tab/>
          <w:delText>perform an act that prejudicially alters the employee’s position (whether by deducting or withholding remuneration or by any other means); or</w:delText>
        </w:r>
      </w:del>
    </w:p>
    <w:p>
      <w:pPr>
        <w:pStyle w:val="yIndenta"/>
        <w:rPr>
          <w:del w:id="3023" w:author="Master Repository Process" w:date="2022-03-30T12:17:00Z"/>
        </w:rPr>
      </w:pPr>
      <w:del w:id="3024" w:author="Master Repository Process" w:date="2022-03-30T12:17:00Z">
        <w:r>
          <w:tab/>
          <w:delText>(d)</w:delText>
        </w:r>
        <w:r>
          <w:tab/>
          <w:delText>threaten to do any of those things,</w:delText>
        </w:r>
      </w:del>
    </w:p>
    <w:p>
      <w:pPr>
        <w:pStyle w:val="ySubsection"/>
        <w:rPr>
          <w:del w:id="3025" w:author="Master Repository Process" w:date="2022-03-30T12:17:00Z"/>
        </w:rPr>
      </w:pPr>
      <w:del w:id="3026" w:author="Master Repository Process" w:date="2022-03-30T12:17:00Z">
        <w:r>
          <w:tab/>
        </w:r>
        <w:r>
          <w:tab/>
          <w:delText xml:space="preserve">because the employee — </w:delText>
        </w:r>
      </w:del>
    </w:p>
    <w:p>
      <w:pPr>
        <w:pStyle w:val="yIndenta"/>
        <w:rPr>
          <w:del w:id="3027" w:author="Master Repository Process" w:date="2022-03-30T12:17:00Z"/>
        </w:rPr>
      </w:pPr>
      <w:del w:id="3028" w:author="Master Repository Process" w:date="2022-03-30T12:17:00Z">
        <w:r>
          <w:tab/>
          <w:delText>(e)</w:delText>
        </w:r>
        <w:r>
          <w:tab/>
          <w:delText>has complained or proposes to complain about a matter concerning the safety or health of employees at work; or</w:delText>
        </w:r>
      </w:del>
    </w:p>
    <w:p>
      <w:pPr>
        <w:pStyle w:val="yIndenta"/>
        <w:rPr>
          <w:del w:id="3029" w:author="Master Repository Process" w:date="2022-03-30T12:17:00Z"/>
        </w:rPr>
      </w:pPr>
      <w:del w:id="3030" w:author="Master Repository Process" w:date="2022-03-30T12:17:00Z">
        <w:r>
          <w:tab/>
          <w:delText>(f)</w:delText>
        </w:r>
        <w:r>
          <w:tab/>
          <w:delText>has assisted or proposes to assist, by giving information or otherwise, the conduct of an inspection; or</w:delText>
        </w:r>
      </w:del>
    </w:p>
    <w:p>
      <w:pPr>
        <w:pStyle w:val="yIndenta"/>
        <w:rPr>
          <w:del w:id="3031" w:author="Master Repository Process" w:date="2022-03-30T12:17:00Z"/>
        </w:rPr>
      </w:pPr>
      <w:del w:id="3032" w:author="Master Repository Process" w:date="2022-03-30T12:17:00Z">
        <w:r>
          <w:tab/>
          <w:delText>(g)</w:delText>
        </w:r>
        <w:r>
          <w:tab/>
          <w:delText xml:space="preserve">has ceased, or proposes to cease, to perform work, in accordance with a direction by a safety and health representative under clause 42(1)(b) or (3)(c), and the cessation or proposed cessation does not continue after — </w:delText>
        </w:r>
      </w:del>
    </w:p>
    <w:p>
      <w:pPr>
        <w:pStyle w:val="yIndenti0"/>
        <w:rPr>
          <w:del w:id="3033" w:author="Master Repository Process" w:date="2022-03-30T12:17:00Z"/>
        </w:rPr>
      </w:pPr>
      <w:del w:id="3034" w:author="Master Repository Process" w:date="2022-03-30T12:17:00Z">
        <w:r>
          <w:tab/>
          <w:delText>(i)</w:delText>
        </w:r>
        <w:r>
          <w:tab/>
          <w:delText>the safety and health representative has agreed with a person supervising the work that the cessation or proposed cessation was not, or is no longer, necessary; or</w:delText>
        </w:r>
      </w:del>
    </w:p>
    <w:p>
      <w:pPr>
        <w:pStyle w:val="yIndenti0"/>
        <w:rPr>
          <w:del w:id="3035" w:author="Master Repository Process" w:date="2022-03-30T12:17:00Z"/>
        </w:rPr>
      </w:pPr>
      <w:del w:id="3036" w:author="Master Repository Process" w:date="2022-03-30T12:17:00Z">
        <w:r>
          <w:tab/>
          <w:delText>(ii)</w:delText>
        </w:r>
        <w:r>
          <w:tab/>
          <w:delText>an inspector has, under clause 42(5), made a decision that has the effect that the employee should perform the work.</w:delText>
        </w:r>
      </w:del>
    </w:p>
    <w:p>
      <w:pPr>
        <w:pStyle w:val="yPenstart"/>
        <w:rPr>
          <w:del w:id="3037" w:author="Master Repository Process" w:date="2022-03-30T12:17:00Z"/>
        </w:rPr>
      </w:pPr>
      <w:del w:id="3038" w:author="Master Repository Process" w:date="2022-03-30T12:17:00Z">
        <w:r>
          <w:tab/>
          <w:delText>Penalty: a fine of $27 500.</w:delText>
        </w:r>
      </w:del>
    </w:p>
    <w:p>
      <w:pPr>
        <w:pStyle w:val="ySubsection"/>
        <w:rPr>
          <w:del w:id="3039" w:author="Master Repository Process" w:date="2022-03-30T12:17:00Z"/>
        </w:rPr>
      </w:pPr>
      <w:del w:id="3040" w:author="Master Repository Process" w:date="2022-03-30T12:17:00Z">
        <w:r>
          <w:tab/>
          <w:delText>(2)</w:delText>
        </w:r>
        <w:r>
          <w:tab/>
          <w:delText>In proceedings for an offence against subclause (1), if all the relevant facts and circumstances, other than the reason for an action alleged in the charge, are proved, the accused has the onus of establishing that the action was not taken for that reason.</w:delText>
        </w:r>
      </w:del>
    </w:p>
    <w:p>
      <w:pPr>
        <w:pStyle w:val="yFootnotesection"/>
        <w:rPr>
          <w:del w:id="3041" w:author="Master Repository Process" w:date="2022-03-30T12:17:00Z"/>
        </w:rPr>
      </w:pPr>
      <w:del w:id="3042" w:author="Master Repository Process" w:date="2022-03-30T12:17:00Z">
        <w:r>
          <w:tab/>
          <w:delText>[Clause 76 inserted: No. 13 of 2005 s. 17; amended: No. 42 of 2010 s. 60(6)</w:delText>
        </w:r>
        <w:r>
          <w:rPr>
            <w:spacing w:val="-4"/>
          </w:rPr>
          <w:delText>; No. 47 of 2011 s.</w:delText>
        </w:r>
        <w:r>
          <w:delText> 15.]</w:delText>
        </w:r>
      </w:del>
    </w:p>
    <w:p>
      <w:pPr>
        <w:pStyle w:val="yHeading5"/>
        <w:rPr>
          <w:del w:id="3043" w:author="Master Repository Process" w:date="2022-03-30T12:17:00Z"/>
        </w:rPr>
      </w:pPr>
      <w:bookmarkStart w:id="3044" w:name="_Toc97630766"/>
      <w:del w:id="3045" w:author="Master Repository Process" w:date="2022-03-30T12:17:00Z">
        <w:r>
          <w:rPr>
            <w:rStyle w:val="CharSClsNo"/>
          </w:rPr>
          <w:delText>77</w:delText>
        </w:r>
        <w:r>
          <w:delText>.</w:delText>
        </w:r>
        <w:r>
          <w:rPr>
            <w:b w:val="0"/>
          </w:rPr>
          <w:tab/>
        </w:r>
        <w:r>
          <w:delText>Institution of prosecutions</w:delText>
        </w:r>
        <w:bookmarkEnd w:id="3044"/>
      </w:del>
    </w:p>
    <w:p>
      <w:pPr>
        <w:pStyle w:val="ySubsection"/>
        <w:rPr>
          <w:del w:id="3046" w:author="Master Repository Process" w:date="2022-03-30T12:17:00Z"/>
        </w:rPr>
      </w:pPr>
      <w:del w:id="3047" w:author="Master Repository Process" w:date="2022-03-30T12:17:00Z">
        <w:r>
          <w:tab/>
          <w:delText>(1)</w:delText>
        </w:r>
        <w:r>
          <w:tab/>
          <w:delText>Proceedings for an offence against a listed OSH law may be instituted by an inspector but an inspector is not to be personally responsible for any costs incurred by or awarded against the inspector in connection with any proceeding for an offence against a listed OSH law.</w:delText>
        </w:r>
      </w:del>
    </w:p>
    <w:p>
      <w:pPr>
        <w:pStyle w:val="ySubsection"/>
        <w:rPr>
          <w:del w:id="3048" w:author="Master Repository Process" w:date="2022-03-30T12:17:00Z"/>
        </w:rPr>
      </w:pPr>
      <w:del w:id="3049" w:author="Master Repository Process" w:date="2022-03-30T12:17:00Z">
        <w:r>
          <w:tab/>
          <w:delText>(2)</w:delText>
        </w:r>
        <w:r>
          <w:tab/>
          <w:delText xml:space="preserve">A safety and health representative for a designated work group may request an inspector to institute proceedings for an offence against a listed OSH law in relation to the occurrence of an act or omission if — </w:delText>
        </w:r>
      </w:del>
    </w:p>
    <w:p>
      <w:pPr>
        <w:pStyle w:val="yIndenta"/>
        <w:rPr>
          <w:del w:id="3050" w:author="Master Repository Process" w:date="2022-03-30T12:17:00Z"/>
        </w:rPr>
      </w:pPr>
      <w:del w:id="3051" w:author="Master Repository Process" w:date="2022-03-30T12:17:00Z">
        <w:r>
          <w:tab/>
          <w:delText>(a)</w:delText>
        </w:r>
        <w:r>
          <w:tab/>
          <w:delText>a period of 6 months has elapsed since the act or omission occurred; and</w:delText>
        </w:r>
      </w:del>
    </w:p>
    <w:p>
      <w:pPr>
        <w:pStyle w:val="yIndenta"/>
        <w:rPr>
          <w:del w:id="3052" w:author="Master Repository Process" w:date="2022-03-30T12:17:00Z"/>
        </w:rPr>
      </w:pPr>
      <w:del w:id="3053" w:author="Master Repository Process" w:date="2022-03-30T12:17:00Z">
        <w:r>
          <w:tab/>
          <w:delText>(b)</w:delText>
        </w:r>
        <w:r>
          <w:tab/>
          <w:delText>the safety and health representative considers that the occurrence of the act or omission constitutes an offence against a listed OSH law; and</w:delText>
        </w:r>
      </w:del>
    </w:p>
    <w:p>
      <w:pPr>
        <w:pStyle w:val="yIndenta"/>
        <w:rPr>
          <w:del w:id="3054" w:author="Master Repository Process" w:date="2022-03-30T12:17:00Z"/>
        </w:rPr>
      </w:pPr>
      <w:del w:id="3055" w:author="Master Repository Process" w:date="2022-03-30T12:17:00Z">
        <w:r>
          <w:tab/>
          <w:delText>(c)</w:delText>
        </w:r>
        <w:r>
          <w:tab/>
          <w:delText>proceedings in respect of the offence have not been instituted.</w:delText>
        </w:r>
      </w:del>
    </w:p>
    <w:p>
      <w:pPr>
        <w:pStyle w:val="ySubsection"/>
        <w:rPr>
          <w:del w:id="3056" w:author="Master Repository Process" w:date="2022-03-30T12:17:00Z"/>
        </w:rPr>
      </w:pPr>
      <w:del w:id="3057" w:author="Master Repository Process" w:date="2022-03-30T12:17:00Z">
        <w:r>
          <w:tab/>
          <w:delText>(3)</w:delText>
        </w:r>
        <w:r>
          <w:tab/>
          <w:delText xml:space="preserve">A workforce representative in relation to a designated work group may request an inspector to institute proceedings for an offence against a listed OSH law in relation to the occurrence of an act or omission if — </w:delText>
        </w:r>
      </w:del>
    </w:p>
    <w:p>
      <w:pPr>
        <w:pStyle w:val="yIndenta"/>
        <w:rPr>
          <w:del w:id="3058" w:author="Master Repository Process" w:date="2022-03-30T12:17:00Z"/>
        </w:rPr>
      </w:pPr>
      <w:del w:id="3059" w:author="Master Repository Process" w:date="2022-03-30T12:17:00Z">
        <w:r>
          <w:tab/>
          <w:delText>(a)</w:delText>
        </w:r>
        <w:r>
          <w:tab/>
          <w:delText>a period of 6 months has elapsed since the act or omission occurred; and</w:delText>
        </w:r>
      </w:del>
    </w:p>
    <w:p>
      <w:pPr>
        <w:pStyle w:val="yIndenta"/>
        <w:rPr>
          <w:del w:id="3060" w:author="Master Repository Process" w:date="2022-03-30T12:17:00Z"/>
        </w:rPr>
      </w:pPr>
      <w:del w:id="3061" w:author="Master Repository Process" w:date="2022-03-30T12:17:00Z">
        <w:r>
          <w:tab/>
          <w:delText>(b)</w:delText>
        </w:r>
        <w:r>
          <w:tab/>
          <w:delText>the workforce representative considers that the occurrence of the act or omission constitutes an offence against a listed OSH law; and</w:delText>
        </w:r>
      </w:del>
    </w:p>
    <w:p>
      <w:pPr>
        <w:pStyle w:val="yIndenta"/>
        <w:rPr>
          <w:del w:id="3062" w:author="Master Repository Process" w:date="2022-03-30T12:17:00Z"/>
        </w:rPr>
      </w:pPr>
      <w:del w:id="3063" w:author="Master Repository Process" w:date="2022-03-30T12:17:00Z">
        <w:r>
          <w:tab/>
          <w:delText>(c)</w:delText>
        </w:r>
        <w:r>
          <w:tab/>
          <w:delText>proceedings in respect of the offence have not been instituted; and</w:delText>
        </w:r>
      </w:del>
    </w:p>
    <w:p>
      <w:pPr>
        <w:pStyle w:val="yIndenta"/>
        <w:rPr>
          <w:del w:id="3064" w:author="Master Repository Process" w:date="2022-03-30T12:17:00Z"/>
        </w:rPr>
      </w:pPr>
      <w:del w:id="3065" w:author="Master Repository Process" w:date="2022-03-30T12:17:00Z">
        <w:r>
          <w:tab/>
          <w:delText>(d)</w:delText>
        </w:r>
        <w:r>
          <w:tab/>
          <w:delText>a group member included in the group requests the workforce representative to request an inspector to institute the proceedings.</w:delText>
        </w:r>
      </w:del>
    </w:p>
    <w:p>
      <w:pPr>
        <w:pStyle w:val="ySubsection"/>
        <w:rPr>
          <w:del w:id="3066" w:author="Master Repository Process" w:date="2022-03-30T12:17:00Z"/>
        </w:rPr>
      </w:pPr>
      <w:del w:id="3067" w:author="Master Repository Process" w:date="2022-03-30T12:17:00Z">
        <w:r>
          <w:tab/>
          <w:delText>(4)</w:delText>
        </w:r>
        <w:r>
          <w:tab/>
          <w:delText>A request under subclause (2) or (3) must be in writing.</w:delText>
        </w:r>
      </w:del>
    </w:p>
    <w:p>
      <w:pPr>
        <w:pStyle w:val="ySubsection"/>
        <w:rPr>
          <w:del w:id="3068" w:author="Master Repository Process" w:date="2022-03-30T12:17:00Z"/>
        </w:rPr>
      </w:pPr>
      <w:del w:id="3069" w:author="Master Repository Process" w:date="2022-03-30T12:17:00Z">
        <w:r>
          <w:tab/>
          <w:delText>(5)</w:delText>
        </w:r>
        <w:r>
          <w:tab/>
          <w:delText>An inspector must, within 3 months after receiving the request, advise the safety and health representative or the workforce representative, as the case may be, whether proceedings under subclause (1) have been or will be instituted, and, if not, give reasons why not.</w:delText>
        </w:r>
      </w:del>
    </w:p>
    <w:p>
      <w:pPr>
        <w:pStyle w:val="yFootnotesection"/>
        <w:rPr>
          <w:del w:id="3070" w:author="Master Repository Process" w:date="2022-03-30T12:17:00Z"/>
        </w:rPr>
      </w:pPr>
      <w:del w:id="3071" w:author="Master Repository Process" w:date="2022-03-30T12:17:00Z">
        <w:r>
          <w:tab/>
          <w:delText>[Clause 77 inserted: No. 13 of 2005 s. 17.]</w:delText>
        </w:r>
      </w:del>
    </w:p>
    <w:p>
      <w:pPr>
        <w:pStyle w:val="yHeading5"/>
        <w:rPr>
          <w:del w:id="3072" w:author="Master Repository Process" w:date="2022-03-30T12:17:00Z"/>
        </w:rPr>
      </w:pPr>
      <w:bookmarkStart w:id="3073" w:name="_Toc97630767"/>
      <w:del w:id="3074" w:author="Master Repository Process" w:date="2022-03-30T12:17:00Z">
        <w:r>
          <w:rPr>
            <w:rStyle w:val="CharSClsNo"/>
          </w:rPr>
          <w:delText>78</w:delText>
        </w:r>
        <w:r>
          <w:delText>.</w:delText>
        </w:r>
        <w:r>
          <w:rPr>
            <w:b w:val="0"/>
          </w:rPr>
          <w:tab/>
        </w:r>
        <w:r>
          <w:delText>Conduct of directors, employees and agents</w:delText>
        </w:r>
        <w:bookmarkEnd w:id="3073"/>
      </w:del>
    </w:p>
    <w:p>
      <w:pPr>
        <w:pStyle w:val="ySubsection"/>
        <w:rPr>
          <w:del w:id="3075" w:author="Master Repository Process" w:date="2022-03-30T12:17:00Z"/>
        </w:rPr>
      </w:pPr>
      <w:del w:id="3076" w:author="Master Repository Process" w:date="2022-03-30T12:17:00Z">
        <w:r>
          <w:tab/>
          <w:delText>(1)</w:delText>
        </w:r>
        <w:r>
          <w:tab/>
          <w:delText>This clause has effect for the purposes of a proceeding for an offence against a listed OSH law.</w:delText>
        </w:r>
      </w:del>
    </w:p>
    <w:p>
      <w:pPr>
        <w:pStyle w:val="ySubsection"/>
        <w:rPr>
          <w:del w:id="3077" w:author="Master Repository Process" w:date="2022-03-30T12:17:00Z"/>
        </w:rPr>
      </w:pPr>
      <w:del w:id="3078" w:author="Master Repository Process" w:date="2022-03-30T12:17:00Z">
        <w:r>
          <w:tab/>
          <w:delText>(2)</w:delText>
        </w:r>
        <w:r>
          <w:tab/>
          <w:delText xml:space="preserve">If it is necessary to establish the state of mind of a body corporate in relation to particular conduct, it is sufficient to show — </w:delText>
        </w:r>
      </w:del>
    </w:p>
    <w:p>
      <w:pPr>
        <w:pStyle w:val="yIndenta"/>
        <w:rPr>
          <w:del w:id="3079" w:author="Master Repository Process" w:date="2022-03-30T12:17:00Z"/>
        </w:rPr>
      </w:pPr>
      <w:del w:id="3080" w:author="Master Repository Process" w:date="2022-03-30T12:17:00Z">
        <w:r>
          <w:tab/>
          <w:delText>(a)</w:delText>
        </w:r>
        <w:r>
          <w:tab/>
          <w:delText>that the conduct was engaged in by a director, employee or agent of the body corporate within the scope of actual or apparent authority; and</w:delText>
        </w:r>
      </w:del>
    </w:p>
    <w:p>
      <w:pPr>
        <w:pStyle w:val="yIndenta"/>
        <w:rPr>
          <w:del w:id="3081" w:author="Master Repository Process" w:date="2022-03-30T12:17:00Z"/>
        </w:rPr>
      </w:pPr>
      <w:del w:id="3082" w:author="Master Repository Process" w:date="2022-03-30T12:17:00Z">
        <w:r>
          <w:tab/>
          <w:delText>(b)</w:delText>
        </w:r>
        <w:r>
          <w:tab/>
          <w:delText>that the director, employee or agent had the state of mind.</w:delText>
        </w:r>
      </w:del>
    </w:p>
    <w:p>
      <w:pPr>
        <w:pStyle w:val="ySubsection"/>
        <w:rPr>
          <w:del w:id="3083" w:author="Master Repository Process" w:date="2022-03-30T12:17:00Z"/>
        </w:rPr>
      </w:pPr>
      <w:del w:id="3084" w:author="Master Repository Process" w:date="2022-03-30T12:17:00Z">
        <w:r>
          <w:tab/>
          <w:delText>(3)</w:delText>
        </w:r>
        <w:r>
          <w:tab/>
          <w:delTex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delText>
        </w:r>
      </w:del>
    </w:p>
    <w:p>
      <w:pPr>
        <w:pStyle w:val="ySubsection"/>
        <w:rPr>
          <w:del w:id="3085" w:author="Master Repository Process" w:date="2022-03-30T12:17:00Z"/>
        </w:rPr>
      </w:pPr>
      <w:del w:id="3086" w:author="Master Repository Process" w:date="2022-03-30T12:17:00Z">
        <w:r>
          <w:tab/>
          <w:delText>(4)</w:delText>
        </w:r>
        <w:r>
          <w:tab/>
          <w:delText xml:space="preserve">If it is necessary to establish the state of mind of a natural person in relation to particular conduct, it is sufficient to show — </w:delText>
        </w:r>
      </w:del>
    </w:p>
    <w:p>
      <w:pPr>
        <w:pStyle w:val="yIndenta"/>
        <w:rPr>
          <w:del w:id="3087" w:author="Master Repository Process" w:date="2022-03-30T12:17:00Z"/>
        </w:rPr>
      </w:pPr>
      <w:del w:id="3088" w:author="Master Repository Process" w:date="2022-03-30T12:17:00Z">
        <w:r>
          <w:tab/>
          <w:delText>(a)</w:delText>
        </w:r>
        <w:r>
          <w:tab/>
          <w:delText>that the conduct was engaged in by an employee or agent of the natural person within the scope of actual or apparent authority; and</w:delText>
        </w:r>
      </w:del>
    </w:p>
    <w:p>
      <w:pPr>
        <w:pStyle w:val="yIndenta"/>
        <w:rPr>
          <w:del w:id="3089" w:author="Master Repository Process" w:date="2022-03-30T12:17:00Z"/>
        </w:rPr>
      </w:pPr>
      <w:del w:id="3090" w:author="Master Repository Process" w:date="2022-03-30T12:17:00Z">
        <w:r>
          <w:tab/>
          <w:delText>(b)</w:delText>
        </w:r>
        <w:r>
          <w:tab/>
          <w:delText>that the employee or agent had the state of mind.</w:delText>
        </w:r>
      </w:del>
    </w:p>
    <w:p>
      <w:pPr>
        <w:pStyle w:val="ySubsection"/>
        <w:rPr>
          <w:del w:id="3091" w:author="Master Repository Process" w:date="2022-03-30T12:17:00Z"/>
        </w:rPr>
      </w:pPr>
      <w:del w:id="3092" w:author="Master Repository Process" w:date="2022-03-30T12:17:00Z">
        <w:r>
          <w:tab/>
          <w:delText>(5)</w:delText>
        </w:r>
        <w:r>
          <w:tab/>
          <w:delTex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delText>
        </w:r>
      </w:del>
    </w:p>
    <w:p>
      <w:pPr>
        <w:pStyle w:val="ySubsection"/>
        <w:rPr>
          <w:del w:id="3093" w:author="Master Repository Process" w:date="2022-03-30T12:17:00Z"/>
        </w:rPr>
      </w:pPr>
      <w:del w:id="3094" w:author="Master Repository Process" w:date="2022-03-30T12:17:00Z">
        <w:r>
          <w:tab/>
          <w:delText>(6)</w:delText>
        </w:r>
        <w:r>
          <w:tab/>
          <w:delText xml:space="preserve">If — </w:delText>
        </w:r>
      </w:del>
    </w:p>
    <w:p>
      <w:pPr>
        <w:pStyle w:val="yIndenta"/>
        <w:rPr>
          <w:del w:id="3095" w:author="Master Repository Process" w:date="2022-03-30T12:17:00Z"/>
        </w:rPr>
      </w:pPr>
      <w:del w:id="3096" w:author="Master Repository Process" w:date="2022-03-30T12:17:00Z">
        <w:r>
          <w:tab/>
          <w:delText>(a)</w:delText>
        </w:r>
        <w:r>
          <w:tab/>
          <w:delText>a natural person is found guilty of an offence; and</w:delText>
        </w:r>
      </w:del>
    </w:p>
    <w:p>
      <w:pPr>
        <w:pStyle w:val="yIndenta"/>
        <w:keepNext/>
        <w:rPr>
          <w:del w:id="3097" w:author="Master Repository Process" w:date="2022-03-30T12:17:00Z"/>
        </w:rPr>
      </w:pPr>
      <w:del w:id="3098" w:author="Master Repository Process" w:date="2022-03-30T12:17:00Z">
        <w:r>
          <w:tab/>
          <w:delText>(b)</w:delText>
        </w:r>
        <w:r>
          <w:tab/>
          <w:delText>he or she would not have been found guilty of the offence if subclauses (4) and (5) had not been enacted,</w:delText>
        </w:r>
      </w:del>
    </w:p>
    <w:p>
      <w:pPr>
        <w:pStyle w:val="ySubsection"/>
        <w:rPr>
          <w:del w:id="3099" w:author="Master Repository Process" w:date="2022-03-30T12:17:00Z"/>
        </w:rPr>
      </w:pPr>
      <w:del w:id="3100" w:author="Master Repository Process" w:date="2022-03-30T12:17:00Z">
        <w:r>
          <w:tab/>
        </w:r>
        <w:r>
          <w:tab/>
          <w:delText>he or she is not liable to be punished by imprisonment for that offence.</w:delText>
        </w:r>
      </w:del>
    </w:p>
    <w:p>
      <w:pPr>
        <w:pStyle w:val="ySubsection"/>
        <w:rPr>
          <w:del w:id="3101" w:author="Master Repository Process" w:date="2022-03-30T12:17:00Z"/>
        </w:rPr>
      </w:pPr>
      <w:del w:id="3102" w:author="Master Repository Process" w:date="2022-03-30T12:17:00Z">
        <w:r>
          <w:tab/>
          <w:delText>(7)</w:delText>
        </w:r>
        <w:r>
          <w:tab/>
          <w:delText xml:space="preserve">A reference in subclause (2) or (4) to the state of mind of a person includes a reference to — </w:delText>
        </w:r>
      </w:del>
    </w:p>
    <w:p>
      <w:pPr>
        <w:pStyle w:val="yIndenta"/>
        <w:rPr>
          <w:del w:id="3103" w:author="Master Repository Process" w:date="2022-03-30T12:17:00Z"/>
        </w:rPr>
      </w:pPr>
      <w:del w:id="3104" w:author="Master Repository Process" w:date="2022-03-30T12:17:00Z">
        <w:r>
          <w:tab/>
          <w:delText>(a)</w:delText>
        </w:r>
        <w:r>
          <w:tab/>
          <w:delText>the person’s knowledge, intention, opinion, belief or purpose; and</w:delText>
        </w:r>
      </w:del>
    </w:p>
    <w:p>
      <w:pPr>
        <w:pStyle w:val="yIndenta"/>
        <w:keepNext/>
        <w:rPr>
          <w:del w:id="3105" w:author="Master Repository Process" w:date="2022-03-30T12:17:00Z"/>
        </w:rPr>
      </w:pPr>
      <w:del w:id="3106" w:author="Master Repository Process" w:date="2022-03-30T12:17:00Z">
        <w:r>
          <w:tab/>
          <w:delText>(b)</w:delText>
        </w:r>
        <w:r>
          <w:tab/>
          <w:delText>the person’s reasons for the intention, opinion, belief or purpose.</w:delText>
        </w:r>
      </w:del>
    </w:p>
    <w:p>
      <w:pPr>
        <w:pStyle w:val="yFootnotesection"/>
        <w:rPr>
          <w:del w:id="3107" w:author="Master Repository Process" w:date="2022-03-30T12:17:00Z"/>
        </w:rPr>
      </w:pPr>
      <w:del w:id="3108" w:author="Master Repository Process" w:date="2022-03-30T12:17:00Z">
        <w:r>
          <w:tab/>
          <w:delText>[Clause 78 inserted: No. 13 of 2005 s. 17.]</w:delText>
        </w:r>
      </w:del>
    </w:p>
    <w:p>
      <w:pPr>
        <w:pStyle w:val="yHeading5"/>
        <w:rPr>
          <w:del w:id="3109" w:author="Master Repository Process" w:date="2022-03-30T12:17:00Z"/>
        </w:rPr>
      </w:pPr>
      <w:bookmarkStart w:id="3110" w:name="_Toc97630768"/>
      <w:del w:id="3111" w:author="Master Repository Process" w:date="2022-03-30T12:17:00Z">
        <w:r>
          <w:rPr>
            <w:rStyle w:val="CharSClsNo"/>
          </w:rPr>
          <w:delText>79</w:delText>
        </w:r>
        <w:r>
          <w:delText>.</w:delText>
        </w:r>
        <w:r>
          <w:rPr>
            <w:b w:val="0"/>
          </w:rPr>
          <w:tab/>
        </w:r>
        <w:r>
          <w:delText>Act not to give rise to other liabilities etc.</w:delText>
        </w:r>
        <w:bookmarkEnd w:id="3110"/>
      </w:del>
    </w:p>
    <w:p>
      <w:pPr>
        <w:pStyle w:val="ySubsection"/>
        <w:rPr>
          <w:del w:id="3112" w:author="Master Repository Process" w:date="2022-03-30T12:17:00Z"/>
        </w:rPr>
      </w:pPr>
      <w:del w:id="3113" w:author="Master Repository Process" w:date="2022-03-30T12:17:00Z">
        <w:r>
          <w:tab/>
        </w:r>
        <w:r>
          <w:tab/>
          <w:delText xml:space="preserve">This Schedule does not — </w:delText>
        </w:r>
      </w:del>
    </w:p>
    <w:p>
      <w:pPr>
        <w:pStyle w:val="yIndenta"/>
        <w:rPr>
          <w:del w:id="3114" w:author="Master Repository Process" w:date="2022-03-30T12:17:00Z"/>
        </w:rPr>
      </w:pPr>
      <w:del w:id="3115" w:author="Master Repository Process" w:date="2022-03-30T12:17:00Z">
        <w:r>
          <w:tab/>
          <w:delText>(a)</w:delText>
        </w:r>
        <w:r>
          <w:tab/>
          <w:delText>confer a right of action in any civil proceeding in respect of any contravention of a listed OSH law; or</w:delText>
        </w:r>
      </w:del>
    </w:p>
    <w:p>
      <w:pPr>
        <w:pStyle w:val="yIndenta"/>
        <w:rPr>
          <w:del w:id="3116" w:author="Master Repository Process" w:date="2022-03-30T12:17:00Z"/>
        </w:rPr>
      </w:pPr>
      <w:del w:id="3117" w:author="Master Repository Process" w:date="2022-03-30T12:17:00Z">
        <w:r>
          <w:tab/>
          <w:delText>(b)</w:delText>
        </w:r>
        <w:r>
          <w:tab/>
          <w:delText>confer a defence to an action in any civil proceeding or otherwise affect a right of action in any civil proceeding.</w:delText>
        </w:r>
      </w:del>
    </w:p>
    <w:p>
      <w:pPr>
        <w:pStyle w:val="yFootnotesection"/>
        <w:rPr>
          <w:del w:id="3118" w:author="Master Repository Process" w:date="2022-03-30T12:17:00Z"/>
        </w:rPr>
      </w:pPr>
      <w:del w:id="3119" w:author="Master Repository Process" w:date="2022-03-30T12:17:00Z">
        <w:r>
          <w:tab/>
          <w:delText>[Clause 79 inserted: No. 13 of 2005 s. 17.]</w:delText>
        </w:r>
      </w:del>
    </w:p>
    <w:p>
      <w:pPr>
        <w:pStyle w:val="yHeading5"/>
        <w:rPr>
          <w:del w:id="3120" w:author="Master Repository Process" w:date="2022-03-30T12:17:00Z"/>
        </w:rPr>
      </w:pPr>
      <w:bookmarkStart w:id="3121" w:name="_Toc97630769"/>
      <w:del w:id="3122" w:author="Master Repository Process" w:date="2022-03-30T12:17:00Z">
        <w:r>
          <w:rPr>
            <w:rStyle w:val="CharSClsNo"/>
          </w:rPr>
          <w:delText>80</w:delText>
        </w:r>
        <w:r>
          <w:delText>.</w:delText>
        </w:r>
        <w:r>
          <w:rPr>
            <w:b w:val="0"/>
          </w:rPr>
          <w:tab/>
        </w:r>
        <w:r>
          <w:delText>Circumstances preventing compliance may be defence to prosecution</w:delText>
        </w:r>
        <w:bookmarkEnd w:id="3121"/>
      </w:del>
    </w:p>
    <w:p>
      <w:pPr>
        <w:pStyle w:val="ySubsection"/>
        <w:rPr>
          <w:del w:id="3123" w:author="Master Repository Process" w:date="2022-03-30T12:17:00Z"/>
        </w:rPr>
      </w:pPr>
      <w:del w:id="3124" w:author="Master Repository Process" w:date="2022-03-30T12:17:00Z">
        <w:r>
          <w:tab/>
        </w:r>
        <w:r>
          <w:tab/>
          <w:delText>It is a defence to a prosecution for a contravention of a listed OSH law if the accused proves that it was not practicable to comply with it because of an emergency prevailing at the relevant time.</w:delText>
        </w:r>
      </w:del>
    </w:p>
    <w:p>
      <w:pPr>
        <w:pStyle w:val="yFootnotesection"/>
        <w:rPr>
          <w:del w:id="3125" w:author="Master Repository Process" w:date="2022-03-30T12:17:00Z"/>
        </w:rPr>
      </w:pPr>
      <w:del w:id="3126" w:author="Master Repository Process" w:date="2022-03-30T12:17:00Z">
        <w:r>
          <w:tab/>
          <w:delText>[Clause 80 inserted: No. 13 of 2005 s. 17</w:delText>
        </w:r>
        <w:r>
          <w:rPr>
            <w:spacing w:val="-4"/>
          </w:rPr>
          <w:delText>; amended: No. 47 of 2011 s.</w:delText>
        </w:r>
        <w:r>
          <w:delText> 15.]</w:delText>
        </w:r>
      </w:del>
    </w:p>
    <w:p>
      <w:pPr>
        <w:pStyle w:val="yHeading5"/>
        <w:rPr>
          <w:del w:id="3127" w:author="Master Repository Process" w:date="2022-03-30T12:17:00Z"/>
        </w:rPr>
      </w:pPr>
      <w:bookmarkStart w:id="3128" w:name="_Toc97630770"/>
      <w:del w:id="3129" w:author="Master Repository Process" w:date="2022-03-30T12:17:00Z">
        <w:r>
          <w:rPr>
            <w:rStyle w:val="CharSClsNo"/>
          </w:rPr>
          <w:delText>81</w:delText>
        </w:r>
        <w:r>
          <w:delText>.</w:delText>
        </w:r>
        <w:r>
          <w:rPr>
            <w:b w:val="0"/>
          </w:rPr>
          <w:tab/>
        </w:r>
        <w:r>
          <w:delText>Regulations — general</w:delText>
        </w:r>
        <w:bookmarkEnd w:id="3128"/>
      </w:del>
    </w:p>
    <w:p>
      <w:pPr>
        <w:pStyle w:val="ySubsection"/>
        <w:keepNext/>
        <w:rPr>
          <w:del w:id="3130" w:author="Master Repository Process" w:date="2022-03-30T12:17:00Z"/>
        </w:rPr>
      </w:pPr>
      <w:del w:id="3131" w:author="Master Repository Process" w:date="2022-03-30T12:17:00Z">
        <w:r>
          <w:tab/>
          <w:delText>(1)</w:delText>
        </w:r>
        <w:r>
          <w:tab/>
          <w:delText xml:space="preserve">The regulations may prescribe any of the following — </w:delText>
        </w:r>
      </w:del>
    </w:p>
    <w:p>
      <w:pPr>
        <w:pStyle w:val="yIndenta"/>
        <w:rPr>
          <w:del w:id="3132" w:author="Master Repository Process" w:date="2022-03-30T12:17:00Z"/>
        </w:rPr>
      </w:pPr>
      <w:del w:id="3133" w:author="Master Repository Process" w:date="2022-03-30T12:17:00Z">
        <w:r>
          <w:tab/>
          <w:delText>(a)</w:delText>
        </w:r>
        <w:r>
          <w:tab/>
          <w:delText xml:space="preserve">procedures for the selection of persons, under clause 39, as members of safety and health committees, to represent the interests of members of the workforce engaged in a petroleum operation or geothermal energy operation; </w:delText>
        </w:r>
      </w:del>
    </w:p>
    <w:p>
      <w:pPr>
        <w:pStyle w:val="yIndenta"/>
        <w:rPr>
          <w:del w:id="3134" w:author="Master Repository Process" w:date="2022-03-30T12:17:00Z"/>
        </w:rPr>
      </w:pPr>
      <w:del w:id="3135" w:author="Master Repository Process" w:date="2022-03-30T12:17:00Z">
        <w:r>
          <w:tab/>
          <w:delText>(b)</w:delText>
        </w:r>
        <w:r>
          <w:tab/>
          <w:delText xml:space="preserve">procedures to be followed at meetings of safety and health committees; </w:delText>
        </w:r>
      </w:del>
    </w:p>
    <w:p>
      <w:pPr>
        <w:pStyle w:val="yIndenta"/>
        <w:rPr>
          <w:del w:id="3136" w:author="Master Repository Process" w:date="2022-03-30T12:17:00Z"/>
        </w:rPr>
      </w:pPr>
      <w:del w:id="3137" w:author="Master Repository Process" w:date="2022-03-30T12:17:00Z">
        <w:r>
          <w:tab/>
          <w:delText>(c)</w:delText>
        </w:r>
        <w:r>
          <w:tab/>
          <w:delText xml:space="preserve">the manner in which notices are to be served under this Schedule or the regulations; </w:delText>
        </w:r>
      </w:del>
    </w:p>
    <w:p>
      <w:pPr>
        <w:pStyle w:val="yIndenta"/>
        <w:rPr>
          <w:del w:id="3138" w:author="Master Repository Process" w:date="2022-03-30T12:17:00Z"/>
        </w:rPr>
      </w:pPr>
      <w:del w:id="3139" w:author="Master Repository Process" w:date="2022-03-30T12:17:00Z">
        <w:r>
          <w:tab/>
          <w:delText>(d)</w:delText>
        </w:r>
        <w:r>
          <w:tab/>
          <w:delText>the practice and procedure to be followed in relation to the review of decisions under clause 21 or 64 by reviewing authorities;</w:delText>
        </w:r>
      </w:del>
    </w:p>
    <w:p>
      <w:pPr>
        <w:pStyle w:val="yIndenta"/>
        <w:rPr>
          <w:del w:id="3140" w:author="Master Repository Process" w:date="2022-03-30T12:17:00Z"/>
        </w:rPr>
      </w:pPr>
      <w:del w:id="3141" w:author="Master Repository Process" w:date="2022-03-30T12:17:00Z">
        <w:r>
          <w:tab/>
          <w:delText>(e)</w:delText>
        </w:r>
        <w:r>
          <w:tab/>
          <w:delText>forms for the purposes of this Schedule or the regulations.</w:delText>
        </w:r>
      </w:del>
    </w:p>
    <w:p>
      <w:pPr>
        <w:pStyle w:val="ySubsection"/>
        <w:keepNext/>
        <w:rPr>
          <w:del w:id="3142" w:author="Master Repository Process" w:date="2022-03-30T12:17:00Z"/>
        </w:rPr>
      </w:pPr>
      <w:del w:id="3143" w:author="Master Repository Process" w:date="2022-03-30T12:17:00Z">
        <w:r>
          <w:tab/>
          <w:delText>(2)</w:delText>
        </w:r>
        <w:r>
          <w:tab/>
          <w:delText xml:space="preserve">If the Minister is satisfied that — </w:delText>
        </w:r>
      </w:del>
    </w:p>
    <w:p>
      <w:pPr>
        <w:pStyle w:val="yIndenta"/>
        <w:rPr>
          <w:del w:id="3144" w:author="Master Repository Process" w:date="2022-03-30T12:17:00Z"/>
        </w:rPr>
      </w:pPr>
      <w:del w:id="3145" w:author="Master Repository Process" w:date="2022-03-30T12:17:00Z">
        <w:r>
          <w:tab/>
          <w:delText>(a)</w:delText>
        </w:r>
        <w:r>
          <w:tab/>
          <w:delText>a power, function or duty is conferred or imposed on a person under a law of this State or the Commonwealth; and</w:delText>
        </w:r>
      </w:del>
    </w:p>
    <w:p>
      <w:pPr>
        <w:pStyle w:val="yIndenta"/>
        <w:rPr>
          <w:del w:id="3146" w:author="Master Repository Process" w:date="2022-03-30T12:17:00Z"/>
        </w:rPr>
      </w:pPr>
      <w:del w:id="3147" w:author="Master Repository Process" w:date="2022-03-30T12:17:00Z">
        <w:r>
          <w:tab/>
          <w:delText>(b)</w:delText>
        </w:r>
        <w:r>
          <w:tab/>
          <w:delText>the proper exercise of the power or performance of the function or duty is or would be prevented by this Schedule or a provision of this Schedule,</w:delText>
        </w:r>
      </w:del>
    </w:p>
    <w:p>
      <w:pPr>
        <w:pStyle w:val="ySubsection"/>
        <w:rPr>
          <w:del w:id="3148" w:author="Master Repository Process" w:date="2022-03-30T12:17:00Z"/>
        </w:rPr>
      </w:pPr>
      <w:del w:id="3149" w:author="Master Repository Process" w:date="2022-03-30T12:17:00Z">
        <w:r>
          <w:tab/>
        </w:r>
        <w:r>
          <w:tab/>
          <w:delText>regulations made for the purposes of this subclause may declare that this Schedule, or the provision, as the case may be, does not apply to that person, or does not apply to that person in the circumstances specified in the regulations.</w:delText>
        </w:r>
      </w:del>
    </w:p>
    <w:p>
      <w:pPr>
        <w:pStyle w:val="ySubsection"/>
        <w:rPr>
          <w:del w:id="3150" w:author="Master Repository Process" w:date="2022-03-30T12:17:00Z"/>
        </w:rPr>
      </w:pPr>
      <w:del w:id="3151" w:author="Master Repository Process" w:date="2022-03-30T12:17:00Z">
        <w:r>
          <w:tab/>
          <w:delText>(3)</w:delText>
        </w:r>
        <w:r>
          <w:tab/>
          <w:delText>Regulations made for the purposes of subclause (2) do not remain in force for longer than 5 years after they commence, but this subclause does not prevent the making of further regulations of the same substance.</w:delText>
        </w:r>
      </w:del>
    </w:p>
    <w:p>
      <w:pPr>
        <w:pStyle w:val="ySubsection"/>
        <w:rPr>
          <w:del w:id="3152" w:author="Master Repository Process" w:date="2022-03-30T12:17:00Z"/>
        </w:rPr>
      </w:pPr>
      <w:del w:id="3153" w:author="Master Repository Process" w:date="2022-03-30T12:17:00Z">
        <w:r>
          <w:tab/>
          <w:delText>(4)</w:delText>
        </w:r>
        <w:r>
          <w:tab/>
          <w:delText xml:space="preserve">In subclause (2) — </w:delText>
        </w:r>
      </w:del>
    </w:p>
    <w:p>
      <w:pPr>
        <w:pStyle w:val="yDefstart"/>
        <w:rPr>
          <w:del w:id="3154" w:author="Master Repository Process" w:date="2022-03-30T12:17:00Z"/>
        </w:rPr>
      </w:pPr>
      <w:del w:id="3155" w:author="Master Repository Process" w:date="2022-03-30T12:17:00Z">
        <w:r>
          <w:tab/>
        </w:r>
        <w:r>
          <w:rPr>
            <w:rStyle w:val="CharDefText"/>
          </w:rPr>
          <w:delText>this Schedule</w:delText>
        </w:r>
        <w:r>
          <w:delText xml:space="preserve"> includes regulations made for the purposes of this Schedule.</w:delText>
        </w:r>
      </w:del>
    </w:p>
    <w:p>
      <w:pPr>
        <w:pStyle w:val="yEdnoteschedule"/>
      </w:pPr>
      <w:del w:id="3156" w:author="Master Repository Process" w:date="2022-03-30T12:17:00Z">
        <w:r>
          <w:tab/>
          <w:delText>[Clause 81 inserted: No. 13 of 2005 s. 17; amended: No. 35 of 2007 s. 86</w:delText>
        </w:r>
      </w:del>
      <w:ins w:id="3157" w:author="Master Repository Process" w:date="2022-03-30T12:17:00Z">
        <w:r>
          <w:t>307</w:t>
        </w:r>
      </w:ins>
      <w:r>
        <w:t>.]</w:t>
      </w:r>
    </w:p>
    <w:p>
      <w:pPr>
        <w:pStyle w:val="yScheduleHeading"/>
      </w:pPr>
      <w:bookmarkStart w:id="3158" w:name="_Toc97629880"/>
      <w:bookmarkStart w:id="3159" w:name="_Toc97630233"/>
      <w:bookmarkStart w:id="3160" w:name="_Toc97630771"/>
      <w:bookmarkStart w:id="3161" w:name="_Toc98748686"/>
      <w:bookmarkStart w:id="3162" w:name="_Toc98766221"/>
      <w:bookmarkStart w:id="3163" w:name="_Toc98834488"/>
      <w:bookmarkStart w:id="3164" w:name="_Toc98947070"/>
      <w:r>
        <w:rPr>
          <w:rStyle w:val="CharSchNo"/>
        </w:rPr>
        <w:t>Schedule 2</w:t>
      </w:r>
      <w:r>
        <w:t> — </w:t>
      </w:r>
      <w:r>
        <w:rPr>
          <w:rStyle w:val="CharSchText"/>
        </w:rPr>
        <w:t>Further transitional provisions</w:t>
      </w:r>
      <w:bookmarkEnd w:id="3158"/>
      <w:bookmarkEnd w:id="3159"/>
      <w:bookmarkEnd w:id="3160"/>
      <w:bookmarkEnd w:id="3161"/>
      <w:bookmarkEnd w:id="3162"/>
      <w:bookmarkEnd w:id="3163"/>
      <w:bookmarkEnd w:id="3164"/>
    </w:p>
    <w:p>
      <w:pPr>
        <w:pStyle w:val="yShoulderClause"/>
      </w:pPr>
      <w:r>
        <w:t>[s. 154]</w:t>
      </w:r>
    </w:p>
    <w:p>
      <w:pPr>
        <w:pStyle w:val="yFootnoteheading"/>
      </w:pPr>
      <w:r>
        <w:tab/>
        <w:t>[Heading inserted: No. 42 of 2010 s. 61.]</w:t>
      </w:r>
    </w:p>
    <w:p>
      <w:pPr>
        <w:pStyle w:val="yHeading3"/>
      </w:pPr>
      <w:bookmarkStart w:id="3165" w:name="_Toc97629881"/>
      <w:bookmarkStart w:id="3166" w:name="_Toc97630234"/>
      <w:bookmarkStart w:id="3167" w:name="_Toc97630772"/>
      <w:bookmarkStart w:id="3168" w:name="_Toc98748687"/>
      <w:bookmarkStart w:id="3169" w:name="_Toc98766222"/>
      <w:bookmarkStart w:id="3170" w:name="_Toc98834489"/>
      <w:bookmarkStart w:id="3171" w:name="_Toc98947071"/>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3165"/>
      <w:bookmarkEnd w:id="3166"/>
      <w:bookmarkEnd w:id="3167"/>
      <w:bookmarkEnd w:id="3168"/>
      <w:bookmarkEnd w:id="3169"/>
      <w:bookmarkEnd w:id="3170"/>
      <w:bookmarkEnd w:id="3171"/>
    </w:p>
    <w:p>
      <w:pPr>
        <w:pStyle w:val="yFootnoteheading"/>
      </w:pPr>
      <w:r>
        <w:tab/>
        <w:t>[Heading inserted: No. 42 of 2010 s. 61.]</w:t>
      </w:r>
    </w:p>
    <w:p>
      <w:pPr>
        <w:pStyle w:val="yHeading5"/>
      </w:pPr>
      <w:bookmarkStart w:id="3172" w:name="_Toc98947072"/>
      <w:bookmarkStart w:id="3173" w:name="_Toc97630773"/>
      <w:r>
        <w:rPr>
          <w:rStyle w:val="CharSClsNo"/>
        </w:rPr>
        <w:t>1</w:t>
      </w:r>
      <w:r>
        <w:t>.</w:t>
      </w:r>
      <w:r>
        <w:tab/>
        <w:t>Terms used</w:t>
      </w:r>
      <w:bookmarkEnd w:id="3172"/>
      <w:bookmarkEnd w:id="3173"/>
    </w:p>
    <w:p>
      <w:pPr>
        <w:pStyle w:val="ySubsection"/>
      </w:pPr>
      <w:r>
        <w:tab/>
      </w:r>
      <w:r>
        <w:tab/>
        <w:t xml:space="preserve">In this Division — </w:t>
      </w:r>
    </w:p>
    <w:p>
      <w:pPr>
        <w:pStyle w:val="yDefstart"/>
      </w:pPr>
      <w:r>
        <w:tab/>
      </w:r>
      <w:r>
        <w:rPr>
          <w:rStyle w:val="CharDefText"/>
        </w:rPr>
        <w:t>amending Act</w:t>
      </w:r>
      <w:r>
        <w:t xml:space="preserve"> means the </w:t>
      </w:r>
      <w:r>
        <w:rPr>
          <w:i/>
        </w:rPr>
        <w:t>Petroleum and Energy Legislation Amendment Act 2010</w:t>
      </w:r>
      <w:r>
        <w:t>;</w:t>
      </w:r>
    </w:p>
    <w:p>
      <w:pPr>
        <w:pStyle w:val="yDefstart"/>
      </w:pPr>
      <w:r>
        <w:tab/>
      </w:r>
      <w:r>
        <w:rPr>
          <w:rStyle w:val="CharDefText"/>
        </w:rPr>
        <w:t>regulation 3</w:t>
      </w:r>
      <w:r>
        <w:t xml:space="preserve"> means the </w:t>
      </w:r>
      <w:r>
        <w:rPr>
          <w:i/>
          <w:iCs/>
        </w:rPr>
        <w:t>Petroleum and Geothermal Energy Resources Regulations 1987</w:t>
      </w:r>
      <w:r>
        <w:t xml:space="preserve"> regulation 3.</w:t>
      </w:r>
    </w:p>
    <w:p>
      <w:pPr>
        <w:pStyle w:val="yFootnotesection"/>
      </w:pPr>
      <w:r>
        <w:tab/>
        <w:t>[Clause 1 inserted: No. 42 of 2010 s. 61.]</w:t>
      </w:r>
    </w:p>
    <w:p>
      <w:pPr>
        <w:pStyle w:val="yHeading5"/>
      </w:pPr>
      <w:bookmarkStart w:id="3174" w:name="_Toc98947073"/>
      <w:bookmarkStart w:id="3175" w:name="_Toc97630774"/>
      <w:r>
        <w:rPr>
          <w:rStyle w:val="CharSClsNo"/>
        </w:rPr>
        <w:t>2</w:t>
      </w:r>
      <w:r>
        <w:t>.</w:t>
      </w:r>
      <w:r>
        <w:tab/>
        <w:t>Section 41(5) (permit renewals)</w:t>
      </w:r>
      <w:bookmarkEnd w:id="3174"/>
      <w:bookmarkEnd w:id="3175"/>
    </w:p>
    <w:p>
      <w:pPr>
        <w:pStyle w:val="ySubsection"/>
      </w:pPr>
      <w:r>
        <w:tab/>
        <w:t>(1)</w:t>
      </w:r>
      <w:r>
        <w:tab/>
        <w:t>This clause has effect despite the deletion of section 41(5) by section 17(2) of the amending Act.</w:t>
      </w:r>
    </w:p>
    <w:p>
      <w:pPr>
        <w:pStyle w:val="ySubsection"/>
      </w:pPr>
      <w:r>
        <w:tab/>
        <w:t>(2)</w:t>
      </w:r>
      <w:r>
        <w:tab/>
        <w:t>Section 41(5) as in force immediately before the commencement of section 17 of the amending Act continues to apply in respect of the first application after that commencement for the renewal of a permit that was granted before that commencement.</w:t>
      </w:r>
    </w:p>
    <w:p>
      <w:pPr>
        <w:pStyle w:val="yFootnotesection"/>
      </w:pPr>
      <w:r>
        <w:tab/>
        <w:t>[Clause 2 inserted: No. 42 of 2010 s. 61.]</w:t>
      </w:r>
    </w:p>
    <w:p>
      <w:pPr>
        <w:pStyle w:val="yHeading5"/>
      </w:pPr>
      <w:bookmarkStart w:id="3176" w:name="_Toc98947074"/>
      <w:bookmarkStart w:id="3177" w:name="_Toc97630775"/>
      <w:r>
        <w:rPr>
          <w:rStyle w:val="CharSClsNo"/>
        </w:rPr>
        <w:t>3</w:t>
      </w:r>
      <w:r>
        <w:t>.</w:t>
      </w:r>
      <w:r>
        <w:tab/>
        <w:t>Section 112 (release of information)</w:t>
      </w:r>
      <w:bookmarkEnd w:id="3176"/>
      <w:bookmarkEnd w:id="3177"/>
    </w:p>
    <w:p>
      <w:pPr>
        <w:pStyle w:val="ySubsection"/>
      </w:pPr>
      <w:r>
        <w:tab/>
        <w:t>(1)</w:t>
      </w:r>
      <w:r>
        <w:tab/>
        <w:t>This clause has effect despite the deletion of section 112 by section 51 of the amending Act.</w:t>
      </w:r>
    </w:p>
    <w:p>
      <w:pPr>
        <w:pStyle w:val="ySubsection"/>
      </w:pPr>
      <w:r>
        <w:tab/>
        <w:t>(2)</w:t>
      </w:r>
      <w:r>
        <w:tab/>
        <w:t>Section 112 as in force immediately before it was deleted continues to apply in respect of information given to the Minister before the commencement of section 51 of the amending Act.</w:t>
      </w:r>
    </w:p>
    <w:p>
      <w:pPr>
        <w:pStyle w:val="ySubsection"/>
        <w:keepNext/>
      </w:pPr>
      <w:r>
        <w:tab/>
        <w:t>(3)</w:t>
      </w:r>
      <w:r>
        <w:tab/>
        <w:t xml:space="preserve">Regulation 3 as in force immediately before the deletion of section 112 — </w:t>
      </w:r>
    </w:p>
    <w:p>
      <w:pPr>
        <w:pStyle w:val="yIndenta"/>
      </w:pPr>
      <w:r>
        <w:tab/>
        <w:t>(a)</w:t>
      </w:r>
      <w:r>
        <w:tab/>
        <w:t>continues in force for the purposes of that section as it continues to apply under subclause (1); and</w:t>
      </w:r>
    </w:p>
    <w:p>
      <w:pPr>
        <w:pStyle w:val="yIndenta"/>
      </w:pPr>
      <w:r>
        <w:tab/>
        <w:t>(b)</w:t>
      </w:r>
      <w:r>
        <w:tab/>
        <w:t>also separately continues in force on and after the commencement of section 57 of the amending Act as if it had been made for the purposes of Part IVB.</w:t>
      </w:r>
    </w:p>
    <w:p>
      <w:pPr>
        <w:pStyle w:val="ySubsection"/>
      </w:pPr>
      <w:r>
        <w:tab/>
        <w:t>(4)</w:t>
      </w:r>
      <w:r>
        <w:tab/>
        <w:t>Regulation 3 as continued in force under subclause (3)(a) or (b) may, for the purposes of its application under subclause (3)(a) or (b), be amended or deleted by regulations.</w:t>
      </w:r>
    </w:p>
    <w:p>
      <w:pPr>
        <w:pStyle w:val="yFootnotesection"/>
      </w:pPr>
      <w:r>
        <w:tab/>
        <w:t>[Clause 3 inserted: No. 42 of 2010 s. 61.]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rPr>
          <w:i w:val="0"/>
        </w:rPr>
      </w:pPr>
    </w:p>
    <w:p>
      <w:pPr>
        <w:pStyle w:val="yFootnotesection"/>
        <w:rPr>
          <w:del w:id="3178" w:author="Master Repository Process" w:date="2022-03-30T12:17:00Z"/>
        </w:rPr>
      </w:pPr>
    </w:p>
    <w:p>
      <w:pPr>
        <w:sectPr>
          <w:headerReference w:type="even" r:id="rId21"/>
          <w:headerReference w:type="default" r:id="rId22"/>
          <w:headerReference w:type="first" r:id="rId23"/>
          <w:type w:val="continuous"/>
          <w:pgSz w:w="11907" w:h="16840" w:code="9"/>
          <w:pgMar w:top="2376" w:right="2404" w:bottom="3544" w:left="2404" w:header="720" w:footer="3380" w:gutter="0"/>
          <w:cols w:space="720"/>
          <w:noEndnote/>
          <w:docGrid w:linePitch="326"/>
        </w:sectPr>
      </w:pPr>
    </w:p>
    <w:p>
      <w:pPr>
        <w:pStyle w:val="nHeading2"/>
      </w:pPr>
      <w:bookmarkStart w:id="3180" w:name="_Toc97629885"/>
      <w:bookmarkStart w:id="3181" w:name="_Toc97630238"/>
      <w:bookmarkStart w:id="3182" w:name="_Toc97630776"/>
      <w:bookmarkStart w:id="3183" w:name="_Toc98748691"/>
      <w:bookmarkStart w:id="3184" w:name="_Toc98766226"/>
      <w:bookmarkStart w:id="3185" w:name="_Toc98834493"/>
      <w:bookmarkStart w:id="3186" w:name="_Toc98947075"/>
      <w:r>
        <w:t>Notes</w:t>
      </w:r>
      <w:bookmarkEnd w:id="3180"/>
      <w:bookmarkEnd w:id="3181"/>
      <w:bookmarkEnd w:id="3182"/>
      <w:bookmarkEnd w:id="3183"/>
      <w:bookmarkEnd w:id="3184"/>
      <w:bookmarkEnd w:id="3185"/>
      <w:bookmarkEnd w:id="3186"/>
    </w:p>
    <w:p>
      <w:pPr>
        <w:pStyle w:val="nStatement"/>
      </w:pPr>
      <w:r>
        <w:t xml:space="preserve">This is a compilation of the </w:t>
      </w:r>
      <w:r>
        <w:rPr>
          <w:i/>
          <w:noProof/>
        </w:rPr>
        <w:t>Petroleum and Geothermal Energy Resources Act 1967</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3187" w:name="_Toc98947076"/>
      <w:bookmarkStart w:id="3188" w:name="_Toc97630777"/>
      <w:r>
        <w:t>Compilation table</w:t>
      </w:r>
      <w:bookmarkEnd w:id="3187"/>
      <w:bookmarkEnd w:id="3188"/>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Petroleum Act 1967</w:t>
            </w:r>
            <w:r>
              <w:rPr>
                <w:iCs/>
              </w:rPr>
              <w:t xml:space="preserve"> </w:t>
            </w:r>
            <w:r>
              <w:rPr>
                <w:iCs/>
                <w:vertAlign w:val="superscript"/>
              </w:rPr>
              <w:t>4</w:t>
            </w:r>
          </w:p>
        </w:tc>
        <w:tc>
          <w:tcPr>
            <w:tcW w:w="1134" w:type="dxa"/>
          </w:tcPr>
          <w:p>
            <w:pPr>
              <w:pStyle w:val="nTable"/>
              <w:spacing w:after="40"/>
            </w:pPr>
            <w:r>
              <w:t>72 of 1967</w:t>
            </w:r>
          </w:p>
        </w:tc>
        <w:tc>
          <w:tcPr>
            <w:tcW w:w="1134" w:type="dxa"/>
          </w:tcPr>
          <w:p>
            <w:pPr>
              <w:pStyle w:val="nTable"/>
              <w:spacing w:after="40"/>
            </w:pPr>
            <w:r>
              <w:t>11 Dec 1967</w:t>
            </w:r>
          </w:p>
        </w:tc>
        <w:tc>
          <w:tcPr>
            <w:tcW w:w="2552" w:type="dxa"/>
          </w:tcPr>
          <w:p>
            <w:pPr>
              <w:pStyle w:val="nTable"/>
              <w:spacing w:after="40"/>
            </w:pPr>
            <w:r>
              <w:t xml:space="preserve">5 Sep 1969 (see s. 2 and </w:t>
            </w:r>
            <w:r>
              <w:rPr>
                <w:i/>
              </w:rPr>
              <w:t>Gazette</w:t>
            </w:r>
            <w:r>
              <w:t xml:space="preserve"> 5 Sep 1969 p. 2540)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Metric Conversion Act 1972</w:t>
            </w:r>
            <w:r>
              <w:rPr>
                <w:iCs/>
              </w:rPr>
              <w:t xml:space="preserve"> s. 4</w:t>
            </w:r>
          </w:p>
        </w:tc>
        <w:tc>
          <w:tcPr>
            <w:tcW w:w="1134" w:type="dxa"/>
          </w:tcPr>
          <w:p>
            <w:pPr>
              <w:pStyle w:val="nTable"/>
              <w:spacing w:after="40"/>
            </w:pPr>
            <w:r>
              <w:t>94 of 1972</w:t>
            </w:r>
            <w:r>
              <w:br/>
              <w:t>(as amended by No. 19 of 1973 s. 8)</w:t>
            </w:r>
          </w:p>
        </w:tc>
        <w:tc>
          <w:tcPr>
            <w:tcW w:w="1134" w:type="dxa"/>
          </w:tcPr>
          <w:p>
            <w:pPr>
              <w:pStyle w:val="nTable"/>
              <w:spacing w:after="40"/>
            </w:pPr>
            <w:r>
              <w:t>4 Dec 1972</w:t>
            </w:r>
          </w:p>
        </w:tc>
        <w:tc>
          <w:tcPr>
            <w:tcW w:w="2552" w:type="dxa"/>
          </w:tcPr>
          <w:p>
            <w:pPr>
              <w:pStyle w:val="nTable"/>
              <w:spacing w:after="40"/>
            </w:pPr>
            <w:r>
              <w:t>Relevant amendments (see First Sch.</w:t>
            </w:r>
            <w:r>
              <w:rPr>
                <w:vertAlign w:val="superscript"/>
              </w:rPr>
              <w:t> 5</w:t>
            </w:r>
            <w:r>
              <w:t xml:space="preserve">) took effect on 1 Jan 1973 (see s. 4(2) and </w:t>
            </w:r>
            <w:r>
              <w:rPr>
                <w:i/>
              </w:rPr>
              <w:t>Gazette</w:t>
            </w:r>
            <w:r>
              <w:t xml:space="preserve"> 29 Dec 1972 p. 4811)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(Mining) Act 1981</w:t>
            </w:r>
            <w:r>
              <w:t xml:space="preserve"> Pt. III</w:t>
            </w:r>
            <w:r>
              <w:rPr>
                <w:vertAlign w:val="superscript"/>
              </w:rPr>
              <w:t> 6</w:t>
            </w:r>
          </w:p>
        </w:tc>
        <w:tc>
          <w:tcPr>
            <w:tcW w:w="1134" w:type="dxa"/>
          </w:tcPr>
          <w:p>
            <w:pPr>
              <w:pStyle w:val="nTable"/>
              <w:spacing w:after="40"/>
            </w:pPr>
            <w:r>
              <w:t>69 of 1981</w:t>
            </w:r>
          </w:p>
        </w:tc>
        <w:tc>
          <w:tcPr>
            <w:tcW w:w="1134" w:type="dxa"/>
          </w:tcPr>
          <w:p>
            <w:pPr>
              <w:pStyle w:val="nTable"/>
              <w:spacing w:after="40"/>
            </w:pPr>
            <w:r>
              <w:t>30 Oct 1981</w:t>
            </w:r>
          </w:p>
        </w:tc>
        <w:tc>
          <w:tcPr>
            <w:tcW w:w="2552" w:type="dxa"/>
          </w:tcPr>
          <w:p>
            <w:pPr>
              <w:pStyle w:val="nTable"/>
              <w:spacing w:after="40"/>
            </w:pPr>
            <w:r>
              <w:t>30 Oct 1981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Petroleum Act 1967</w:t>
            </w:r>
            <w:r>
              <w:rPr>
                <w:b/>
                <w:bCs/>
              </w:rPr>
              <w:t xml:space="preserve"> approved 20 Sep 1982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(Aboriginal Affairs Planning Authority) Act 1982</w:t>
            </w:r>
            <w:r>
              <w:t xml:space="preserve"> Pt. III</w:t>
            </w:r>
          </w:p>
        </w:tc>
        <w:tc>
          <w:tcPr>
            <w:tcW w:w="1134" w:type="dxa"/>
          </w:tcPr>
          <w:p>
            <w:pPr>
              <w:pStyle w:val="nTable"/>
              <w:spacing w:after="40"/>
            </w:pPr>
            <w:r>
              <w:t>107 of 1982</w:t>
            </w:r>
          </w:p>
        </w:tc>
        <w:tc>
          <w:tcPr>
            <w:tcW w:w="1134" w:type="dxa"/>
          </w:tcPr>
          <w:p>
            <w:pPr>
              <w:pStyle w:val="nTable"/>
              <w:spacing w:after="40"/>
            </w:pPr>
            <w:r>
              <w:t>7 Dec 1982</w:t>
            </w:r>
          </w:p>
        </w:tc>
        <w:tc>
          <w:tcPr>
            <w:tcW w:w="2552" w:type="dxa"/>
          </w:tcPr>
          <w:p>
            <w:pPr>
              <w:pStyle w:val="nTable"/>
              <w:spacing w:after="40"/>
            </w:pPr>
            <w:r>
              <w:t>7 Dec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Barrow Island Royalty Variation Agreement Act 1985 </w:t>
            </w:r>
            <w:r>
              <w:t>Pt. III</w:t>
            </w:r>
          </w:p>
        </w:tc>
        <w:tc>
          <w:tcPr>
            <w:tcW w:w="1134" w:type="dxa"/>
          </w:tcPr>
          <w:p>
            <w:pPr>
              <w:pStyle w:val="nTable"/>
              <w:spacing w:after="40"/>
            </w:pPr>
            <w:r>
              <w:t>113 of 1985</w:t>
            </w:r>
          </w:p>
        </w:tc>
        <w:tc>
          <w:tcPr>
            <w:tcW w:w="1134" w:type="dxa"/>
          </w:tcPr>
          <w:p>
            <w:pPr>
              <w:pStyle w:val="nTable"/>
              <w:spacing w:after="40"/>
            </w:pPr>
            <w:r>
              <w:t>7 Jan 1986</w:t>
            </w:r>
          </w:p>
        </w:tc>
        <w:tc>
          <w:tcPr>
            <w:tcW w:w="2552" w:type="dxa"/>
          </w:tcPr>
          <w:p>
            <w:pPr>
              <w:pStyle w:val="nTable"/>
              <w:spacing w:after="40"/>
            </w:pPr>
            <w:r>
              <w:t>7 Jan 1986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Petroleum Amendment Act 1987</w:t>
            </w:r>
          </w:p>
        </w:tc>
        <w:tc>
          <w:tcPr>
            <w:tcW w:w="1134" w:type="dxa"/>
          </w:tcPr>
          <w:p>
            <w:pPr>
              <w:pStyle w:val="nTable"/>
              <w:spacing w:after="40"/>
            </w:pPr>
            <w:r>
              <w:t>90 of 1987</w:t>
            </w:r>
          </w:p>
        </w:tc>
        <w:tc>
          <w:tcPr>
            <w:tcW w:w="1134" w:type="dxa"/>
          </w:tcPr>
          <w:p>
            <w:pPr>
              <w:pStyle w:val="nTable"/>
              <w:spacing w:after="40"/>
            </w:pPr>
            <w:r>
              <w:t>9 Dec 1987</w:t>
            </w:r>
          </w:p>
        </w:tc>
        <w:tc>
          <w:tcPr>
            <w:tcW w:w="2552" w:type="dxa"/>
          </w:tcPr>
          <w:p>
            <w:pPr>
              <w:pStyle w:val="nTable"/>
              <w:spacing w:after="40"/>
            </w:pPr>
            <w:r>
              <w:t>Act other than s. 6: 14 Feb 1983 (see s. 2(1));</w:t>
            </w:r>
            <w:r>
              <w:br/>
              <w:t>s. 6: 9 Dec 1987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(Petroleum) Act 1990</w:t>
            </w:r>
            <w:r>
              <w:t xml:space="preserve"> Pt. II</w:t>
            </w:r>
            <w:r>
              <w:rPr>
                <w:vertAlign w:val="superscript"/>
              </w:rPr>
              <w:t> 7</w:t>
            </w:r>
            <w:r>
              <w:rPr>
                <w:vertAlign w:val="superscript"/>
              </w:rPr>
              <w:noBreakHyphen/>
              <w:t>13</w:t>
            </w:r>
          </w:p>
        </w:tc>
        <w:tc>
          <w:tcPr>
            <w:tcW w:w="1134" w:type="dxa"/>
          </w:tcPr>
          <w:p>
            <w:pPr>
              <w:pStyle w:val="nTable"/>
              <w:keepNext/>
              <w:spacing w:after="40"/>
            </w:pPr>
            <w:r>
              <w:t>12 of 1990</w:t>
            </w:r>
          </w:p>
        </w:tc>
        <w:tc>
          <w:tcPr>
            <w:tcW w:w="1134" w:type="dxa"/>
          </w:tcPr>
          <w:p>
            <w:pPr>
              <w:pStyle w:val="nTable"/>
              <w:keepNext/>
              <w:spacing w:after="40"/>
            </w:pPr>
            <w:r>
              <w:t>31 Jul 1990</w:t>
            </w:r>
          </w:p>
        </w:tc>
        <w:tc>
          <w:tcPr>
            <w:tcW w:w="2552" w:type="dxa"/>
          </w:tcPr>
          <w:p>
            <w:pPr>
              <w:pStyle w:val="nTable"/>
              <w:keepNext/>
              <w:spacing w:after="40"/>
            </w:pPr>
            <w:r>
              <w:t xml:space="preserve">1 Oct 1990 (see s. 2(1) and </w:t>
            </w:r>
            <w:r>
              <w:rPr>
                <w:i/>
              </w:rPr>
              <w:t>Gazette</w:t>
            </w:r>
            <w:r>
              <w:t xml:space="preserve"> 28 Sep 1990 p. 5099)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Petroleum (Drilling Reservations) Amendment Act 1990</w:t>
            </w:r>
          </w:p>
        </w:tc>
        <w:tc>
          <w:tcPr>
            <w:tcW w:w="1134" w:type="dxa"/>
          </w:tcPr>
          <w:p>
            <w:pPr>
              <w:pStyle w:val="nTable"/>
              <w:spacing w:after="40"/>
            </w:pPr>
            <w:r>
              <w:t>78 of 1990</w:t>
            </w:r>
          </w:p>
        </w:tc>
        <w:tc>
          <w:tcPr>
            <w:tcW w:w="1134" w:type="dxa"/>
          </w:tcPr>
          <w:p>
            <w:pPr>
              <w:pStyle w:val="nTable"/>
              <w:spacing w:after="40"/>
            </w:pPr>
            <w:r>
              <w:t>22 Dec 1990</w:t>
            </w:r>
          </w:p>
        </w:tc>
        <w:tc>
          <w:tcPr>
            <w:tcW w:w="2552" w:type="dxa"/>
          </w:tcPr>
          <w:p>
            <w:pPr>
              <w:pStyle w:val="nTable"/>
              <w:spacing w:after="40"/>
            </w:pPr>
            <w:r>
              <w:t>s. 1 and 2: 22 Dec 1990;</w:t>
            </w:r>
            <w:r>
              <w:br/>
              <w:t xml:space="preserve">Act other than s. 1 and 2: 1 Mar 1991 (see s. 2 and </w:t>
            </w:r>
            <w:r>
              <w:rPr>
                <w:i/>
              </w:rPr>
              <w:t>Gazette</w:t>
            </w:r>
            <w:r>
              <w:t xml:space="preserve"> 22 Feb 1991 p. 868)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Petroleum Act 1967</w:t>
            </w:r>
            <w:r>
              <w:rPr>
                <w:b/>
                <w:bCs/>
              </w:rPr>
              <w:t xml:space="preserve"> as at 17 Dec 1992</w:t>
            </w:r>
            <w:r>
              <w:t xml:space="preserve"> (erratum</w:t>
            </w:r>
            <w:del w:id="3189" w:author="Master Repository Process" w:date="2022-03-30T12:17:00Z">
              <w:r>
                <w:delText xml:space="preserve"> in</w:delText>
              </w:r>
            </w:del>
            <w:ins w:id="3190" w:author="Master Repository Process" w:date="2022-03-30T12:17:00Z">
              <w:r>
                <w:t>:</w:t>
              </w:r>
            </w:ins>
            <w:r>
              <w:t xml:space="preserve"> </w:t>
            </w:r>
            <w:r>
              <w:rPr>
                <w:i/>
                <w:iCs/>
              </w:rPr>
              <w:t>Gazette</w:t>
            </w:r>
            <w:r>
              <w:t xml:space="preserve"> 26 Feb 1993 p. 1362)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2" w:type="dxa"/>
          </w:tcPr>
          <w:p>
            <w:pPr>
              <w:pStyle w:val="nTable"/>
              <w:spacing w:after="40"/>
            </w:pPr>
            <w:r>
              <w:t>2 Dec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Petroleum Royalties Legislation Amendment Act 1994</w:t>
            </w:r>
            <w:r>
              <w:t xml:space="preserve"> Pt. 2</w:t>
            </w:r>
          </w:p>
        </w:tc>
        <w:tc>
          <w:tcPr>
            <w:tcW w:w="1134" w:type="dxa"/>
          </w:tcPr>
          <w:p>
            <w:pPr>
              <w:pStyle w:val="nTable"/>
              <w:spacing w:after="40"/>
            </w:pPr>
            <w:r>
              <w:t>11 of 1994</w:t>
            </w:r>
          </w:p>
        </w:tc>
        <w:tc>
          <w:tcPr>
            <w:tcW w:w="1134" w:type="dxa"/>
          </w:tcPr>
          <w:p>
            <w:pPr>
              <w:pStyle w:val="nTable"/>
              <w:spacing w:after="40"/>
            </w:pPr>
            <w:r>
              <w:t>15 Apr 1994</w:t>
            </w:r>
          </w:p>
        </w:tc>
        <w:tc>
          <w:tcPr>
            <w:tcW w:w="2552" w:type="dxa"/>
          </w:tcPr>
          <w:p>
            <w:pPr>
              <w:pStyle w:val="nTable"/>
              <w:spacing w:after="40"/>
            </w:pPr>
            <w:r>
              <w:t>1 Mar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(Petroleum) Act 1994</w:t>
            </w:r>
            <w:r>
              <w:t xml:space="preserve"> Pt. 3</w:t>
            </w:r>
            <w:r>
              <w:rPr>
                <w:vertAlign w:val="superscript"/>
              </w:rPr>
              <w:t> 14-16</w:t>
            </w:r>
          </w:p>
        </w:tc>
        <w:tc>
          <w:tcPr>
            <w:tcW w:w="1134" w:type="dxa"/>
          </w:tcPr>
          <w:p>
            <w:pPr>
              <w:pStyle w:val="nTable"/>
              <w:spacing w:after="40"/>
            </w:pPr>
            <w:r>
              <w:t>28 of 1994</w:t>
            </w:r>
          </w:p>
        </w:tc>
        <w:tc>
          <w:tcPr>
            <w:tcW w:w="1134" w:type="dxa"/>
          </w:tcPr>
          <w:p>
            <w:pPr>
              <w:pStyle w:val="nTable"/>
              <w:spacing w:after="40"/>
            </w:pPr>
            <w:r>
              <w:t>29 Jun 1994</w:t>
            </w:r>
          </w:p>
        </w:tc>
        <w:tc>
          <w:tcPr>
            <w:tcW w:w="2552" w:type="dxa"/>
          </w:tcPr>
          <w:p>
            <w:pPr>
              <w:pStyle w:val="nTable"/>
              <w:spacing w:after="40"/>
            </w:pPr>
            <w:r>
              <w:t xml:space="preserve">22 Jul 1994 (see s. 2 and </w:t>
            </w:r>
            <w:r>
              <w:rPr>
                <w:i/>
              </w:rPr>
              <w:t>Gazette</w:t>
            </w:r>
            <w:r>
              <w:t xml:space="preserve"> 22 Jul 1994 p. 3728)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(Native Title) Act 1995</w:t>
            </w:r>
            <w:r>
              <w:t xml:space="preserve"> Pt. 7</w:t>
            </w:r>
          </w:p>
        </w:tc>
        <w:tc>
          <w:tcPr>
            <w:tcW w:w="1134" w:type="dxa"/>
          </w:tcPr>
          <w:p>
            <w:pPr>
              <w:pStyle w:val="nTable"/>
              <w:spacing w:after="40"/>
            </w:pPr>
            <w:r>
              <w:t>52 of 1995</w:t>
            </w:r>
          </w:p>
        </w:tc>
        <w:tc>
          <w:tcPr>
            <w:tcW w:w="1134"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(Marine Reserves) Act 1997</w:t>
            </w:r>
            <w:r>
              <w:t xml:space="preserve"> Pt. 4</w:t>
            </w:r>
          </w:p>
        </w:tc>
        <w:tc>
          <w:tcPr>
            <w:tcW w:w="1134" w:type="dxa"/>
          </w:tcPr>
          <w:p>
            <w:pPr>
              <w:pStyle w:val="nTable"/>
              <w:spacing w:after="40"/>
            </w:pPr>
            <w:r>
              <w:t>5 of 1997</w:t>
            </w:r>
          </w:p>
        </w:tc>
        <w:tc>
          <w:tcPr>
            <w:tcW w:w="1134" w:type="dxa"/>
          </w:tcPr>
          <w:p>
            <w:pPr>
              <w:pStyle w:val="nTable"/>
              <w:spacing w:after="40"/>
            </w:pPr>
            <w:r>
              <w:t>10 Jun 1997</w:t>
            </w:r>
          </w:p>
        </w:tc>
        <w:tc>
          <w:tcPr>
            <w:tcW w:w="2552" w:type="dxa"/>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49 and 68</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Mining and Petroleum) Act 1998</w:t>
            </w:r>
            <w:r>
              <w:t xml:space="preserve"> Pt. 4</w:t>
            </w:r>
          </w:p>
        </w:tc>
        <w:tc>
          <w:tcPr>
            <w:tcW w:w="1134" w:type="dxa"/>
          </w:tcPr>
          <w:p>
            <w:pPr>
              <w:pStyle w:val="nTable"/>
              <w:spacing w:after="40"/>
            </w:pPr>
            <w:r>
              <w:t>61 of 1998</w:t>
            </w:r>
          </w:p>
        </w:tc>
        <w:tc>
          <w:tcPr>
            <w:tcW w:w="1134" w:type="dxa"/>
          </w:tcPr>
          <w:p>
            <w:pPr>
              <w:pStyle w:val="nTable"/>
              <w:spacing w:after="40"/>
            </w:pPr>
            <w:r>
              <w:t>11 Jan 1999</w:t>
            </w:r>
          </w:p>
        </w:tc>
        <w:tc>
          <w:tcPr>
            <w:tcW w:w="2552" w:type="dxa"/>
          </w:tcPr>
          <w:p>
            <w:pPr>
              <w:pStyle w:val="nTable"/>
              <w:spacing w:after="40"/>
            </w:pPr>
            <w:r>
              <w:t>11 Jan 1999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(Mining and Petroleum) Act 1999</w:t>
            </w:r>
            <w:r>
              <w:t xml:space="preserve"> Pt. 3</w:t>
            </w:r>
            <w:r>
              <w:rPr>
                <w:vertAlign w:val="superscript"/>
              </w:rPr>
              <w:t> 17, 18</w:t>
            </w:r>
          </w:p>
        </w:tc>
        <w:tc>
          <w:tcPr>
            <w:tcW w:w="1134" w:type="dxa"/>
          </w:tcPr>
          <w:p>
            <w:pPr>
              <w:pStyle w:val="nTable"/>
              <w:spacing w:after="40"/>
            </w:pPr>
            <w:r>
              <w:t>17 of 1999</w:t>
            </w:r>
          </w:p>
        </w:tc>
        <w:tc>
          <w:tcPr>
            <w:tcW w:w="1134" w:type="dxa"/>
          </w:tcPr>
          <w:p>
            <w:pPr>
              <w:pStyle w:val="nTable"/>
              <w:spacing w:after="40"/>
            </w:pPr>
            <w:r>
              <w:t>15 Jun 1999</w:t>
            </w:r>
          </w:p>
        </w:tc>
        <w:tc>
          <w:tcPr>
            <w:tcW w:w="2552" w:type="dxa"/>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Petroleum Act 1967</w:t>
            </w:r>
            <w:r>
              <w:rPr>
                <w:b/>
                <w:bCs/>
              </w:rPr>
              <w:t xml:space="preserve"> as at 14 Jan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(Australian Datum) Act 2000</w:t>
            </w:r>
            <w:r>
              <w:t xml:space="preserve"> s. 7</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pPr>
            <w:r>
              <w:t xml:space="preserve">16 Dec 2000 (see s. 2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(No. 2) 2003</w:t>
            </w:r>
            <w:r>
              <w:t xml:space="preserve"> Pt. 15</w:t>
            </w:r>
          </w:p>
        </w:tc>
        <w:tc>
          <w:tcPr>
            <w:tcW w:w="1134" w:type="dxa"/>
          </w:tcPr>
          <w:p>
            <w:pPr>
              <w:pStyle w:val="nTable"/>
              <w:spacing w:after="40"/>
            </w:pPr>
            <w:r>
              <w:t>20 of 2003</w:t>
            </w:r>
          </w:p>
        </w:tc>
        <w:tc>
          <w:tcPr>
            <w:tcW w:w="1134" w:type="dxa"/>
          </w:tcPr>
          <w:p>
            <w:pPr>
              <w:pStyle w:val="nTable"/>
              <w:spacing w:after="40"/>
            </w:pPr>
            <w:r>
              <w:t>23 Apr 2003</w:t>
            </w:r>
          </w:p>
        </w:tc>
        <w:tc>
          <w:tcPr>
            <w:tcW w:w="2552" w:type="dxa"/>
          </w:tcPr>
          <w:p>
            <w:pPr>
              <w:pStyle w:val="nTable"/>
              <w:spacing w:after="40"/>
            </w:pPr>
            <w:r>
              <w:t xml:space="preserve">15 Jul 2001 (see s. 2(1)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Criminal Code Amendment Act 2004 </w:t>
            </w:r>
            <w:r>
              <w:rPr>
                <w:snapToGrid w:val="0"/>
              </w:rPr>
              <w:t>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Courts</w:t>
            </w:r>
          </w:p>
          <w:p>
            <w:pPr>
              <w:pStyle w:val="nTable"/>
              <w:spacing w:after="40"/>
              <w:ind w:right="113"/>
              <w:rPr>
                <w:i/>
                <w:snapToGrid w:val="0"/>
              </w:rPr>
            </w:pPr>
            <w:r>
              <w:rPr>
                <w:i/>
              </w:rPr>
              <w:t xml:space="preserve"> Legislation Amendment and Repeal Act 2004</w:t>
            </w:r>
            <w:r>
              <w:t xml:space="preserve"> s. 141</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vertAlign w:val="superscript"/>
              </w:rPr>
            </w:pPr>
            <w:r>
              <w:rPr>
                <w:i/>
                <w:iCs/>
              </w:rPr>
              <w:t>State Administrative Tribunal (Conferral of Jurisdiction) Amendment and Repeal Act 2004</w:t>
            </w:r>
            <w:r>
              <w:t xml:space="preserve"> Pt. 2 Div. 98</w:t>
            </w:r>
            <w:r>
              <w:rPr>
                <w:vertAlign w:val="superscript"/>
              </w:rPr>
              <w:t> 19</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rPr>
            </w:pPr>
            <w:r>
              <w:rPr>
                <w:i/>
                <w:snapToGrid w:val="0"/>
              </w:rPr>
              <w:t>Petroleum Legislation Amendment and Repeal Act 2005</w:t>
            </w:r>
            <w:r>
              <w:rPr>
                <w:iCs/>
                <w:snapToGrid w:val="0"/>
              </w:rPr>
              <w:t xml:space="preserve"> Pt. 2</w:t>
            </w:r>
          </w:p>
        </w:tc>
        <w:tc>
          <w:tcPr>
            <w:tcW w:w="1134" w:type="dxa"/>
          </w:tcPr>
          <w:p>
            <w:pPr>
              <w:pStyle w:val="nTable"/>
              <w:spacing w:after="40"/>
            </w:pPr>
            <w:r>
              <w:t>13 of 2005</w:t>
            </w:r>
          </w:p>
        </w:tc>
        <w:tc>
          <w:tcPr>
            <w:tcW w:w="1134" w:type="dxa"/>
          </w:tcPr>
          <w:p>
            <w:pPr>
              <w:pStyle w:val="nTable"/>
              <w:spacing w:after="40"/>
            </w:pPr>
            <w:r>
              <w:t>1 Sep 2005</w:t>
            </w:r>
          </w:p>
        </w:tc>
        <w:tc>
          <w:tcPr>
            <w:tcW w:w="2552" w:type="dxa"/>
          </w:tcPr>
          <w:p>
            <w:pPr>
              <w:pStyle w:val="nTable"/>
              <w:spacing w:after="40"/>
            </w:pPr>
            <w:r>
              <w:t xml:space="preserve">15 May 2010 (see s. 2 and </w:t>
            </w:r>
            <w:r>
              <w:rPr>
                <w:i/>
                <w:iCs/>
              </w:rPr>
              <w:t>Gazette</w:t>
            </w:r>
            <w:r>
              <w:t xml:space="preserve"> 14 May 2010 p. 2015)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4: The </w:t>
            </w:r>
            <w:r>
              <w:rPr>
                <w:b/>
                <w:bCs/>
                <w:i/>
              </w:rPr>
              <w:t>Petroleum Act 1967</w:t>
            </w:r>
            <w:r>
              <w:rPr>
                <w:b/>
                <w:bCs/>
              </w:rPr>
              <w:t xml:space="preserve"> as at 13 Apr 2007</w:t>
            </w:r>
            <w:r>
              <w:t xml:space="preserve"> (includes amendments listed above except those in the </w:t>
            </w:r>
            <w:r>
              <w:rPr>
                <w:i/>
                <w:iCs/>
              </w:rPr>
              <w:t>Petroleum Legislation Amendment and Repeal Act 2005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vertAlign w:val="superscript"/>
              </w:rPr>
            </w:pPr>
            <w:r>
              <w:rPr>
                <w:i/>
                <w:snapToGrid w:val="0"/>
              </w:rPr>
              <w:t>Petroleum Amendment Act 2007</w:t>
            </w:r>
            <w:r>
              <w:rPr>
                <w:iCs/>
                <w:snapToGrid w:val="0"/>
              </w:rPr>
              <w:t xml:space="preserve"> Pt.</w:t>
            </w:r>
            <w:r>
              <w:t> 2</w:t>
            </w:r>
          </w:p>
        </w:tc>
        <w:tc>
          <w:tcPr>
            <w:tcW w:w="1134" w:type="dxa"/>
          </w:tcPr>
          <w:p>
            <w:pPr>
              <w:pStyle w:val="nTable"/>
              <w:spacing w:after="40"/>
            </w:pPr>
            <w:r>
              <w:t>35 of 2007</w:t>
            </w:r>
          </w:p>
        </w:tc>
        <w:tc>
          <w:tcPr>
            <w:tcW w:w="1134" w:type="dxa"/>
          </w:tcPr>
          <w:p>
            <w:pPr>
              <w:pStyle w:val="nTable"/>
              <w:spacing w:after="40"/>
            </w:pPr>
            <w:r>
              <w:t>21 Dec 2007</w:t>
            </w:r>
          </w:p>
        </w:tc>
        <w:tc>
          <w:tcPr>
            <w:tcW w:w="2552" w:type="dxa"/>
          </w:tcPr>
          <w:p>
            <w:pPr>
              <w:pStyle w:val="nTable"/>
              <w:spacing w:after="40"/>
            </w:pPr>
            <w:r>
              <w:t xml:space="preserve">Div. 1: 19 Jan 2008 (see s. 2(b) and </w:t>
            </w:r>
            <w:r>
              <w:rPr>
                <w:i/>
                <w:iCs/>
              </w:rPr>
              <w:t>Gazette</w:t>
            </w:r>
            <w:r>
              <w:t xml:space="preserve"> 18 Jan 2008 p. 147);</w:t>
            </w:r>
            <w:r>
              <w:br/>
              <w:t xml:space="preserve">Div. 2: 15 May 2010 (see s. 2(b) and </w:t>
            </w:r>
            <w:r>
              <w:rPr>
                <w:i/>
                <w:iCs/>
              </w:rPr>
              <w:t>Gazette</w:t>
            </w:r>
            <w:r>
              <w:t xml:space="preserve"> 14 May 2010 p. 2015)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5: The </w:t>
            </w:r>
            <w:r>
              <w:rPr>
                <w:b/>
                <w:bCs/>
                <w:i/>
              </w:rPr>
              <w:t xml:space="preserve">Petroleum </w:t>
            </w:r>
            <w:r>
              <w:rPr>
                <w:b/>
                <w:bCs/>
                <w:i/>
                <w:noProof/>
                <w:snapToGrid w:val="0"/>
              </w:rPr>
              <w:t xml:space="preserve">and Geothermal Energy Resources </w:t>
            </w:r>
            <w:r>
              <w:rPr>
                <w:b/>
                <w:bCs/>
                <w:i/>
              </w:rPr>
              <w:t>Act 1967</w:t>
            </w:r>
            <w:r>
              <w:rPr>
                <w:b/>
                <w:bCs/>
              </w:rPr>
              <w:t xml:space="preserve"> as at 2 May 2008</w:t>
            </w:r>
            <w:r>
              <w:t xml:space="preserve"> (includes amendments listed above except those in the </w:t>
            </w:r>
            <w:r>
              <w:rPr>
                <w:i/>
                <w:iCs/>
              </w:rPr>
              <w:t>Petroleum Legislation Amendment and Repeal Act 2005</w:t>
            </w:r>
            <w:r>
              <w:t xml:space="preserve"> and the </w:t>
            </w:r>
            <w:r>
              <w:rPr>
                <w:i/>
                <w:iCs/>
              </w:rPr>
              <w:t>Petroleum Amendment Act 2007</w:t>
            </w:r>
            <w:r>
              <w:t xml:space="preserve"> Pt. 2 Div. 2) (correction</w:t>
            </w:r>
            <w:del w:id="3191" w:author="Master Repository Process" w:date="2022-03-30T12:17:00Z">
              <w:r>
                <w:delText xml:space="preserve"> in</w:delText>
              </w:r>
            </w:del>
            <w:ins w:id="3192" w:author="Master Repository Process" w:date="2022-03-30T12:17:00Z">
              <w:r>
                <w:t>:</w:t>
              </w:r>
            </w:ins>
            <w:r>
              <w:t xml:space="preserve"> </w:t>
            </w:r>
            <w:r>
              <w:rPr>
                <w:i/>
                <w:iCs/>
              </w:rPr>
              <w:t>Gazette</w:t>
            </w:r>
            <w:r>
              <w:t xml:space="preserve"> 23 Jun 2009 p. 2470)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vertAlign w:val="superscript"/>
              </w:rPr>
            </w:pPr>
            <w:r>
              <w:rPr>
                <w:i/>
                <w:snapToGrid w:val="0"/>
              </w:rPr>
              <w:t>Revenue Laws Amendment Act (No. 2) 2008</w:t>
            </w:r>
            <w:r>
              <w:rPr>
                <w:iCs/>
                <w:snapToGrid w:val="0"/>
              </w:rPr>
              <w:t xml:space="preserve"> s. 34</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pPr>
            <w:r>
              <w:t>28 Jun 2008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6: The </w:t>
            </w:r>
            <w:r>
              <w:rPr>
                <w:b/>
                <w:bCs/>
                <w:i/>
              </w:rPr>
              <w:t xml:space="preserve">Petroleum </w:t>
            </w:r>
            <w:r>
              <w:rPr>
                <w:b/>
                <w:bCs/>
                <w:i/>
                <w:noProof/>
                <w:snapToGrid w:val="0"/>
              </w:rPr>
              <w:t xml:space="preserve">and Geothermal Energy Resources </w:t>
            </w:r>
            <w:r>
              <w:rPr>
                <w:b/>
                <w:bCs/>
                <w:i/>
              </w:rPr>
              <w:t>Act 1967</w:t>
            </w:r>
            <w:r>
              <w:rPr>
                <w:b/>
                <w:bCs/>
              </w:rPr>
              <w:t xml:space="preserve"> as at 22 Oct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vertAlign w:val="superscript"/>
              </w:rPr>
            </w:pPr>
            <w:r>
              <w:rPr>
                <w:i/>
                <w:snapToGrid w:val="0"/>
              </w:rPr>
              <w:t>Petroleum and Energy Legislation Amendment Act 2010</w:t>
            </w:r>
            <w:r>
              <w:rPr>
                <w:snapToGrid w:val="0"/>
              </w:rPr>
              <w:t xml:space="preserve"> Pt. 2</w:t>
            </w:r>
          </w:p>
        </w:tc>
        <w:tc>
          <w:tcPr>
            <w:tcW w:w="1134" w:type="dxa"/>
          </w:tcPr>
          <w:p>
            <w:pPr>
              <w:pStyle w:val="nTable"/>
              <w:spacing w:after="40"/>
            </w:pPr>
            <w:r>
              <w:t>42 of 2010</w:t>
            </w:r>
          </w:p>
        </w:tc>
        <w:tc>
          <w:tcPr>
            <w:tcW w:w="1134" w:type="dxa"/>
          </w:tcPr>
          <w:p>
            <w:pPr>
              <w:pStyle w:val="nTable"/>
              <w:spacing w:after="40"/>
            </w:pPr>
            <w:r>
              <w:t>28 Oct 2010</w:t>
            </w:r>
          </w:p>
        </w:tc>
        <w:tc>
          <w:tcPr>
            <w:tcW w:w="2552" w:type="dxa"/>
          </w:tcPr>
          <w:p>
            <w:pPr>
              <w:pStyle w:val="nTable"/>
              <w:spacing w:after="40"/>
            </w:pPr>
            <w:r>
              <w:rPr>
                <w:snapToGrid w:val="0"/>
              </w:rPr>
              <w:t xml:space="preserve">Pt. 2 other than s. 51, 57, 58(b) (to the extent that it inserts s. 153(2)(lc)), 61 (to the extent that it inserts Sch. 2 cl. 3): 25 May 2011 (see s. 2(b) and </w:t>
            </w:r>
            <w:r>
              <w:rPr>
                <w:i/>
                <w:snapToGrid w:val="0"/>
              </w:rPr>
              <w:t>Gazette</w:t>
            </w:r>
            <w:r>
              <w:rPr>
                <w:snapToGrid w:val="0"/>
              </w:rPr>
              <w:t xml:space="preserve"> 24 May 2011 p. 1892);</w:t>
            </w:r>
            <w:r>
              <w:rPr>
                <w:snapToGrid w:val="0"/>
              </w:rPr>
              <w:br/>
            </w:r>
            <w:r>
              <w:rPr>
                <w:iCs/>
                <w:snapToGrid w:val="0"/>
              </w:rPr>
              <w:t>s</w:t>
            </w:r>
            <w:r>
              <w:rPr>
                <w:snapToGrid w:val="0"/>
              </w:rPr>
              <w:t xml:space="preserve">. 51, 57, 58(b) (to the extent that it inserts s. 153(2)(lc)), 61 (to the extent that it inserts Sch. 2 cl. 3): 1 Jul 2015 (see s. 2(b) and </w:t>
            </w:r>
            <w:r>
              <w:rPr>
                <w:i/>
                <w:snapToGrid w:val="0"/>
              </w:rPr>
              <w:t>Gazette</w:t>
            </w:r>
            <w:r>
              <w:rPr>
                <w:snapToGrid w:val="0"/>
              </w:rPr>
              <w:t xml:space="preserve"> 30 Jun 2015 p. 2321)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rPr>
              <w:t xml:space="preserve">Reprint 7: The </w:t>
            </w:r>
            <w:r>
              <w:rPr>
                <w:b/>
                <w:bCs/>
                <w:i/>
              </w:rPr>
              <w:t xml:space="preserve">Petroleum </w:t>
            </w:r>
            <w:r>
              <w:rPr>
                <w:b/>
                <w:bCs/>
                <w:i/>
                <w:noProof/>
                <w:snapToGrid w:val="0"/>
              </w:rPr>
              <w:t xml:space="preserve">and Geothermal Energy Resources </w:t>
            </w:r>
            <w:r>
              <w:rPr>
                <w:b/>
                <w:bCs/>
                <w:i/>
              </w:rPr>
              <w:t>Act 1967</w:t>
            </w:r>
            <w:r>
              <w:rPr>
                <w:b/>
                <w:bCs/>
              </w:rPr>
              <w:t xml:space="preserve"> as at 5 Aug 2011</w:t>
            </w:r>
            <w:r>
              <w:t xml:space="preserve"> (includes amendments listed above except those in the</w:t>
            </w:r>
            <w:r>
              <w:rPr>
                <w:i/>
                <w:snapToGrid w:val="0"/>
              </w:rPr>
              <w:t xml:space="preserve"> Petroleum and Energy Legislation Amendment Act 2010 </w:t>
            </w:r>
            <w:r>
              <w:rPr>
                <w:snapToGrid w:val="0"/>
              </w:rPr>
              <w:t>s. </w:t>
            </w:r>
            <w:r>
              <w:t>51, 57, 58(b) (to the extent that it inserts s. 153(2)(lc)) and 61 (to the extent that it inserts Sch. 2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vertAlign w:val="superscript"/>
              </w:rPr>
            </w:pPr>
            <w:r>
              <w:rPr>
                <w:i/>
                <w:snapToGrid w:val="0"/>
              </w:rPr>
              <w:t>Personal Property Securities (Consequential Repeals and Amendments) Act 2011</w:t>
            </w:r>
            <w:r>
              <w:rPr>
                <w:snapToGrid w:val="0"/>
              </w:rPr>
              <w:t xml:space="preserve"> Pt. 9 Div. 3</w:t>
            </w:r>
          </w:p>
        </w:tc>
        <w:tc>
          <w:tcPr>
            <w:tcW w:w="1134" w:type="dxa"/>
          </w:tcPr>
          <w:p>
            <w:pPr>
              <w:pStyle w:val="nTable"/>
              <w:spacing w:after="40"/>
            </w:pPr>
            <w:r>
              <w:rPr>
                <w:snapToGrid w:val="0"/>
              </w:rPr>
              <w:t>42 of 2011</w:t>
            </w:r>
          </w:p>
        </w:tc>
        <w:tc>
          <w:tcPr>
            <w:tcW w:w="1134" w:type="dxa"/>
          </w:tcPr>
          <w:p>
            <w:pPr>
              <w:pStyle w:val="nTable"/>
              <w:spacing w:after="40"/>
            </w:pPr>
            <w:r>
              <w:t>4 Oct 2011</w:t>
            </w:r>
          </w:p>
        </w:tc>
        <w:tc>
          <w:tcPr>
            <w:tcW w:w="2552" w:type="dxa"/>
          </w:tcPr>
          <w:p>
            <w:pPr>
              <w:pStyle w:val="nTable"/>
              <w:spacing w:after="40"/>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vertAlign w:val="superscript"/>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15</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 xml:space="preserve">Statutes (Repeals and Minor Amendments) Act 2014 </w:t>
            </w:r>
            <w:r>
              <w:rPr>
                <w:snapToGrid w:val="0"/>
              </w:rPr>
              <w:t>s. 8</w:t>
            </w:r>
          </w:p>
        </w:tc>
        <w:tc>
          <w:tcPr>
            <w:tcW w:w="1134" w:type="dxa"/>
            <w:shd w:val="clear" w:color="auto" w:fill="auto"/>
          </w:tcPr>
          <w:p>
            <w:pPr>
              <w:pStyle w:val="nTable"/>
              <w:spacing w:after="40"/>
              <w:rPr>
                <w:snapToGrid w:val="0"/>
              </w:rPr>
            </w:pPr>
            <w:r>
              <w:rPr>
                <w:snapToGrid w:val="0"/>
              </w:rPr>
              <w:t>17 of 2014</w:t>
            </w:r>
          </w:p>
        </w:tc>
        <w:tc>
          <w:tcPr>
            <w:tcW w:w="1134" w:type="dxa"/>
            <w:shd w:val="clear" w:color="auto" w:fill="auto"/>
          </w:tcPr>
          <w:p>
            <w:pPr>
              <w:pStyle w:val="nTable"/>
              <w:spacing w:after="40"/>
              <w:rPr>
                <w:snapToGrid w:val="0"/>
              </w:rPr>
            </w:pPr>
            <w:r>
              <w:rPr>
                <w:snapToGrid w:val="0"/>
              </w:rPr>
              <w:t>2 Jul 2014</w:t>
            </w:r>
          </w:p>
        </w:tc>
        <w:tc>
          <w:tcPr>
            <w:tcW w:w="2552" w:type="dxa"/>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8: The </w:t>
            </w:r>
            <w:r>
              <w:rPr>
                <w:b/>
                <w:i/>
                <w:noProof/>
                <w:snapToGrid w:val="0"/>
              </w:rPr>
              <w:t>Petroleum and Geothermal Energy Resources Act 1967</w:t>
            </w:r>
            <w:r>
              <w:rPr>
                <w:b/>
                <w:snapToGrid w:val="0"/>
              </w:rPr>
              <w:t xml:space="preserve"> as at</w:t>
            </w:r>
            <w:r>
              <w:rPr>
                <w:b/>
                <w:snapToGrid w:val="0"/>
              </w:rPr>
              <w:br/>
              <w:t>15 Jan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Petroleum Legislation Amendment Act 2017</w:t>
            </w:r>
            <w:r>
              <w:rPr>
                <w:snapToGrid w:val="0"/>
              </w:rPr>
              <w:t xml:space="preserve"> Pt. 2</w:t>
            </w:r>
          </w:p>
        </w:tc>
        <w:tc>
          <w:tcPr>
            <w:tcW w:w="1134" w:type="dxa"/>
            <w:shd w:val="clear" w:color="auto" w:fill="auto"/>
          </w:tcPr>
          <w:p>
            <w:pPr>
              <w:pStyle w:val="nTable"/>
              <w:spacing w:after="40"/>
              <w:rPr>
                <w:snapToGrid w:val="0"/>
              </w:rPr>
            </w:pPr>
            <w:r>
              <w:t>7 of 2017</w:t>
            </w:r>
          </w:p>
        </w:tc>
        <w:tc>
          <w:tcPr>
            <w:tcW w:w="1134" w:type="dxa"/>
            <w:shd w:val="clear" w:color="auto" w:fill="auto"/>
          </w:tcPr>
          <w:p>
            <w:pPr>
              <w:pStyle w:val="nTable"/>
              <w:spacing w:after="40"/>
              <w:rPr>
                <w:snapToGrid w:val="0"/>
              </w:rPr>
            </w:pPr>
            <w:r>
              <w:t>14 Sep 2017</w:t>
            </w:r>
          </w:p>
        </w:tc>
        <w:tc>
          <w:tcPr>
            <w:tcW w:w="2552" w:type="dxa"/>
            <w:shd w:val="clear" w:color="auto" w:fill="auto"/>
          </w:tcPr>
          <w:p>
            <w:pPr>
              <w:pStyle w:val="nTable"/>
              <w:spacing w:after="40"/>
              <w:rPr>
                <w:snapToGrid w:val="0"/>
              </w:rPr>
            </w:pPr>
            <w:r>
              <w:rPr>
                <w:snapToGrid w:val="0"/>
              </w:rPr>
              <w:t xml:space="preserve">15 Nov 2017 (see s. 2(b) and </w:t>
            </w:r>
            <w:r>
              <w:rPr>
                <w:i/>
                <w:snapToGrid w:val="0"/>
              </w:rPr>
              <w:t>Gazette</w:t>
            </w:r>
            <w:r>
              <w:rPr>
                <w:snapToGrid w:val="0"/>
              </w:rPr>
              <w:t xml:space="preserve"> 14 Nov 2017 p. 5597)</w:t>
            </w:r>
          </w:p>
        </w:tc>
      </w:tr>
      <w:tr>
        <w:tblPrEx>
          <w:tblBorders>
            <w:top w:val="none" w:sz="0" w:space="0" w:color="auto"/>
            <w:bottom w:val="none" w:sz="0" w:space="0" w:color="auto"/>
            <w:insideH w:val="none" w:sz="0" w:space="0" w:color="auto"/>
          </w:tblBorders>
        </w:tblPrEx>
        <w:trPr>
          <w:cantSplit/>
          <w:ins w:id="3193" w:author="Master Repository Process" w:date="2022-03-30T12:17:00Z"/>
        </w:trPr>
        <w:tc>
          <w:tcPr>
            <w:tcW w:w="2268" w:type="dxa"/>
            <w:tcBorders>
              <w:bottom w:val="single" w:sz="4" w:space="0" w:color="auto"/>
            </w:tcBorders>
            <w:shd w:val="clear" w:color="auto" w:fill="auto"/>
          </w:tcPr>
          <w:p>
            <w:pPr>
              <w:pStyle w:val="nTable"/>
              <w:spacing w:after="40"/>
              <w:ind w:right="113"/>
              <w:rPr>
                <w:ins w:id="3194" w:author="Master Repository Process" w:date="2022-03-30T12:17:00Z"/>
                <w:i/>
                <w:snapToGrid w:val="0"/>
              </w:rPr>
            </w:pPr>
            <w:ins w:id="3195" w:author="Master Repository Process" w:date="2022-03-30T12:17:00Z">
              <w:r>
                <w:rPr>
                  <w:i/>
                </w:rPr>
                <w:t>Work Health and Safety Act 2020</w:t>
              </w:r>
              <w:r>
                <w:t xml:space="preserve"> Pt. 15 Div. 3 Subdiv. 1</w:t>
              </w:r>
            </w:ins>
          </w:p>
        </w:tc>
        <w:tc>
          <w:tcPr>
            <w:tcW w:w="1134" w:type="dxa"/>
            <w:tcBorders>
              <w:bottom w:val="single" w:sz="4" w:space="0" w:color="auto"/>
            </w:tcBorders>
            <w:shd w:val="clear" w:color="auto" w:fill="auto"/>
          </w:tcPr>
          <w:p>
            <w:pPr>
              <w:pStyle w:val="nTable"/>
              <w:spacing w:after="40"/>
              <w:rPr>
                <w:ins w:id="3196" w:author="Master Repository Process" w:date="2022-03-30T12:17:00Z"/>
              </w:rPr>
            </w:pPr>
            <w:ins w:id="3197" w:author="Master Repository Process" w:date="2022-03-30T12:17:00Z">
              <w:r>
                <w:t>36 of 2020</w:t>
              </w:r>
            </w:ins>
          </w:p>
        </w:tc>
        <w:tc>
          <w:tcPr>
            <w:tcW w:w="1134" w:type="dxa"/>
            <w:tcBorders>
              <w:bottom w:val="single" w:sz="4" w:space="0" w:color="auto"/>
            </w:tcBorders>
            <w:shd w:val="clear" w:color="auto" w:fill="auto"/>
          </w:tcPr>
          <w:p>
            <w:pPr>
              <w:pStyle w:val="nTable"/>
              <w:spacing w:after="40"/>
              <w:rPr>
                <w:ins w:id="3198" w:author="Master Repository Process" w:date="2022-03-30T12:17:00Z"/>
              </w:rPr>
            </w:pPr>
            <w:ins w:id="3199" w:author="Master Repository Process" w:date="2022-03-30T12:17:00Z">
              <w:r>
                <w:t>10 Nov 2020</w:t>
              </w:r>
            </w:ins>
          </w:p>
        </w:tc>
        <w:tc>
          <w:tcPr>
            <w:tcW w:w="2552" w:type="dxa"/>
            <w:tcBorders>
              <w:bottom w:val="single" w:sz="4" w:space="0" w:color="auto"/>
            </w:tcBorders>
            <w:shd w:val="clear" w:color="auto" w:fill="auto"/>
          </w:tcPr>
          <w:p>
            <w:pPr>
              <w:pStyle w:val="nTable"/>
              <w:spacing w:after="40"/>
              <w:rPr>
                <w:ins w:id="3200" w:author="Master Repository Process" w:date="2022-03-30T12:17:00Z"/>
                <w:snapToGrid w:val="0"/>
              </w:rPr>
            </w:pPr>
            <w:ins w:id="3201" w:author="Master Repository Process" w:date="2022-03-30T12:17:00Z">
              <w:r>
                <w:t>31 Mar 2022 (see s. 2(1)(c) and SL 2022/18 cl. 2)</w:t>
              </w:r>
            </w:ins>
          </w:p>
        </w:tc>
      </w:tr>
    </w:tbl>
    <w:p>
      <w:pPr>
        <w:pStyle w:val="nHeading3"/>
      </w:pPr>
      <w:bookmarkStart w:id="3202" w:name="_Toc98947077"/>
      <w:bookmarkStart w:id="3203" w:name="_Toc97630778"/>
      <w:r>
        <w:t>Uncommenced provisions table</w:t>
      </w:r>
      <w:bookmarkEnd w:id="3202"/>
      <w:bookmarkEnd w:id="320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bottom w:val="single" w:sz="4" w:space="0" w:color="auto"/>
            </w:tcBorders>
            <w:shd w:val="clear" w:color="auto" w:fill="auto"/>
          </w:tcPr>
          <w:p>
            <w:pPr>
              <w:pStyle w:val="nTable"/>
              <w:spacing w:after="40"/>
              <w:rPr>
                <w:i/>
                <w:vertAlign w:val="superscript"/>
              </w:rPr>
            </w:pPr>
            <w:r>
              <w:rPr>
                <w:i/>
                <w:snapToGrid w:val="0"/>
              </w:rPr>
              <w:t>Native Title (State Provisions) Act 1999</w:t>
            </w:r>
            <w:r>
              <w:rPr>
                <w:snapToGrid w:val="0"/>
              </w:rPr>
              <w:t xml:space="preserve"> Sch. 2 Div. 7</w:t>
            </w:r>
          </w:p>
        </w:tc>
        <w:tc>
          <w:tcPr>
            <w:tcW w:w="1134" w:type="dxa"/>
            <w:tcBorders>
              <w:top w:val="single" w:sz="8" w:space="0" w:color="auto"/>
              <w:bottom w:val="single" w:sz="4" w:space="0" w:color="auto"/>
            </w:tcBorders>
            <w:shd w:val="clear" w:color="auto" w:fill="auto"/>
          </w:tcPr>
          <w:p>
            <w:pPr>
              <w:pStyle w:val="nTable"/>
              <w:spacing w:after="40"/>
            </w:pPr>
            <w:r>
              <w:t>60 of 1999</w:t>
            </w:r>
          </w:p>
        </w:tc>
        <w:tc>
          <w:tcPr>
            <w:tcW w:w="1134" w:type="dxa"/>
            <w:tcBorders>
              <w:top w:val="single" w:sz="8" w:space="0" w:color="auto"/>
              <w:bottom w:val="single" w:sz="4" w:space="0" w:color="auto"/>
            </w:tcBorders>
            <w:shd w:val="clear" w:color="auto" w:fill="auto"/>
          </w:tcPr>
          <w:p>
            <w:pPr>
              <w:pStyle w:val="nTable"/>
              <w:spacing w:after="40"/>
            </w:pPr>
            <w:r>
              <w:t>10 Jan 2000</w:t>
            </w:r>
          </w:p>
        </w:tc>
        <w:tc>
          <w:tcPr>
            <w:tcW w:w="2552" w:type="dxa"/>
            <w:tcBorders>
              <w:top w:val="single" w:sz="8" w:space="0" w:color="auto"/>
              <w:bottom w:val="single" w:sz="4" w:space="0" w:color="auto"/>
            </w:tcBorders>
            <w:shd w:val="clear" w:color="auto" w:fill="auto"/>
          </w:tcPr>
          <w:p>
            <w:pPr>
              <w:pStyle w:val="nTable"/>
              <w:spacing w:after="40"/>
            </w:pPr>
            <w:r>
              <w:t>s. 7.3 operative on earliest of commencement of Pt. 2 (except s. 2.2), Pt. 3 (except s. 3.1) and Pt. 4</w:t>
            </w:r>
          </w:p>
        </w:tc>
      </w:tr>
      <w:tr>
        <w:trPr>
          <w:cantSplit/>
          <w:del w:id="3204" w:author="Master Repository Process" w:date="2022-03-30T12:17:00Z"/>
        </w:trPr>
        <w:tc>
          <w:tcPr>
            <w:tcW w:w="2268" w:type="dxa"/>
            <w:tcBorders>
              <w:bottom w:val="single" w:sz="8" w:space="0" w:color="auto"/>
            </w:tcBorders>
            <w:shd w:val="clear" w:color="auto" w:fill="auto"/>
          </w:tcPr>
          <w:p>
            <w:pPr>
              <w:pStyle w:val="nTable"/>
              <w:spacing w:after="40"/>
              <w:rPr>
                <w:del w:id="3205" w:author="Master Repository Process" w:date="2022-03-30T12:17:00Z"/>
                <w:snapToGrid w:val="0"/>
              </w:rPr>
            </w:pPr>
            <w:del w:id="3206" w:author="Master Repository Process" w:date="2022-03-30T12:17:00Z">
              <w:r>
                <w:rPr>
                  <w:i/>
                </w:rPr>
                <w:delText>Work Health and Safety Act 2020</w:delText>
              </w:r>
              <w:r>
                <w:delText xml:space="preserve"> Pt. 15 Div. 3 Subdiv. 1</w:delText>
              </w:r>
            </w:del>
          </w:p>
        </w:tc>
        <w:tc>
          <w:tcPr>
            <w:tcW w:w="1134" w:type="dxa"/>
            <w:tcBorders>
              <w:bottom w:val="single" w:sz="8" w:space="0" w:color="auto"/>
            </w:tcBorders>
            <w:shd w:val="clear" w:color="auto" w:fill="auto"/>
          </w:tcPr>
          <w:p>
            <w:pPr>
              <w:pStyle w:val="nTable"/>
              <w:spacing w:after="40"/>
              <w:rPr>
                <w:del w:id="3207" w:author="Master Repository Process" w:date="2022-03-30T12:17:00Z"/>
              </w:rPr>
            </w:pPr>
            <w:del w:id="3208" w:author="Master Repository Process" w:date="2022-03-30T12:17:00Z">
              <w:r>
                <w:delText>36 of 2020</w:delText>
              </w:r>
            </w:del>
          </w:p>
        </w:tc>
        <w:tc>
          <w:tcPr>
            <w:tcW w:w="1134" w:type="dxa"/>
            <w:tcBorders>
              <w:bottom w:val="single" w:sz="8" w:space="0" w:color="auto"/>
            </w:tcBorders>
            <w:shd w:val="clear" w:color="auto" w:fill="auto"/>
          </w:tcPr>
          <w:p>
            <w:pPr>
              <w:pStyle w:val="nTable"/>
              <w:spacing w:after="40"/>
              <w:rPr>
                <w:del w:id="3209" w:author="Master Repository Process" w:date="2022-03-30T12:17:00Z"/>
              </w:rPr>
            </w:pPr>
            <w:del w:id="3210" w:author="Master Repository Process" w:date="2022-03-30T12:17:00Z">
              <w:r>
                <w:delText>10 Nov 2020</w:delText>
              </w:r>
            </w:del>
          </w:p>
        </w:tc>
        <w:tc>
          <w:tcPr>
            <w:tcW w:w="2552" w:type="dxa"/>
            <w:tcBorders>
              <w:bottom w:val="single" w:sz="8" w:space="0" w:color="auto"/>
            </w:tcBorders>
            <w:shd w:val="clear" w:color="auto" w:fill="auto"/>
          </w:tcPr>
          <w:p>
            <w:pPr>
              <w:pStyle w:val="nTable"/>
              <w:spacing w:after="40"/>
              <w:rPr>
                <w:del w:id="3211" w:author="Master Repository Process" w:date="2022-03-30T12:17:00Z"/>
              </w:rPr>
            </w:pPr>
            <w:del w:id="3212" w:author="Master Repository Process" w:date="2022-03-30T12:17:00Z">
              <w:r>
                <w:delText>31 Mar 2022 (see s. 2(1)(c) and SL 2022/18 cl. 2)</w:delText>
              </w:r>
            </w:del>
          </w:p>
        </w:tc>
      </w:tr>
    </w:tbl>
    <w:p>
      <w:pPr>
        <w:pStyle w:val="nHeading3"/>
      </w:pPr>
      <w:bookmarkStart w:id="3213" w:name="_Toc98947078"/>
      <w:bookmarkStart w:id="3214" w:name="_Toc97630779"/>
      <w:r>
        <w:t>Other notes</w:t>
      </w:r>
      <w:bookmarkEnd w:id="3213"/>
      <w:bookmarkEnd w:id="3214"/>
    </w:p>
    <w:p>
      <w:pPr>
        <w:pStyle w:val="nNote"/>
        <w:spacing w:before="160"/>
        <w:rPr>
          <w:snapToGrid w:val="0"/>
        </w:rPr>
      </w:pPr>
      <w:r>
        <w:rPr>
          <w:snapToGrid w:val="0"/>
          <w:vertAlign w:val="superscript"/>
        </w:rPr>
        <w:t>1</w:t>
      </w:r>
      <w:r>
        <w:rPr>
          <w:snapToGrid w:val="0"/>
        </w:rPr>
        <w:tab/>
        <w:t xml:space="preserve">The </w:t>
      </w:r>
      <w:r>
        <w:rPr>
          <w:i/>
        </w:rPr>
        <w:t>Petroleum Act 1936</w:t>
      </w:r>
      <w:r>
        <w:rPr>
          <w:snapToGrid w:val="0"/>
        </w:rPr>
        <w:t xml:space="preserve"> was repealed by this Act, s. 3.</w:t>
      </w:r>
    </w:p>
    <w:p>
      <w:pPr>
        <w:pStyle w:val="nNote"/>
        <w:rPr>
          <w:snapToGrid w:val="0"/>
        </w:rPr>
      </w:pPr>
      <w:r>
        <w:rPr>
          <w:snapToGrid w:val="0"/>
          <w:vertAlign w:val="superscript"/>
        </w:rPr>
        <w:t>2</w:t>
      </w:r>
      <w:r>
        <w:rPr>
          <w:snapToGrid w:val="0"/>
        </w:rPr>
        <w:tab/>
        <w:t xml:space="preserve">The </w:t>
      </w:r>
      <w:r>
        <w:rPr>
          <w:i/>
          <w:snapToGrid w:val="0"/>
        </w:rPr>
        <w:t>Interpretation Act 1918</w:t>
      </w:r>
      <w:r>
        <w:rPr>
          <w:snapToGrid w:val="0"/>
        </w:rPr>
        <w:t xml:space="preserve"> was 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The amendment in the </w:t>
      </w:r>
      <w:r>
        <w:rPr>
          <w:i/>
          <w:iCs/>
          <w:snapToGrid w:val="0"/>
        </w:rPr>
        <w:t>Petroleum Safety Act 1999</w:t>
      </w:r>
      <w:r>
        <w:rPr>
          <w:snapToGrid w:val="0"/>
        </w:rPr>
        <w:t xml:space="preserve"> s. 92 is not included as it was deleted by the </w:t>
      </w:r>
      <w:r>
        <w:rPr>
          <w:i/>
          <w:snapToGrid w:val="0"/>
        </w:rPr>
        <w:t>Petroleum Legislation Amendment and Repeal Act 2005</w:t>
      </w:r>
      <w:r>
        <w:rPr>
          <w:iCs/>
          <w:snapToGrid w:val="0"/>
        </w:rPr>
        <w:t xml:space="preserve"> s. 51 before it came into operation</w:t>
      </w:r>
      <w:r>
        <w:rPr>
          <w:snapToGrid w:val="0"/>
        </w:rPr>
        <w:t>.</w:t>
      </w:r>
    </w:p>
    <w:p>
      <w:pPr>
        <w:pStyle w:val="nNote"/>
        <w:rPr>
          <w:iCs/>
        </w:rPr>
      </w:pPr>
      <w:del w:id="3215" w:author="Master Repository Process" w:date="2022-03-30T12:17:00Z">
        <w:r>
          <w:rPr>
            <w:vertAlign w:val="superscript"/>
          </w:rPr>
          <w:delText>3</w:delText>
        </w:r>
      </w:del>
      <w:ins w:id="3216" w:author="Master Repository Process" w:date="2022-03-30T12:17:00Z">
        <w:r>
          <w:rPr>
            <w:vertAlign w:val="superscript"/>
          </w:rPr>
          <w:t>4</w:t>
        </w:r>
      </w:ins>
      <w:r>
        <w:tab/>
        <w:t xml:space="preserve">Now known as the </w:t>
      </w:r>
      <w:r>
        <w:rPr>
          <w:i/>
          <w:noProof/>
          <w:snapToGrid w:val="0"/>
        </w:rPr>
        <w:t>Petroleum and Geothermal Energy Resources Act 1967</w:t>
      </w:r>
      <w:r>
        <w:rPr>
          <w:noProof/>
          <w:snapToGrid w:val="0"/>
        </w:rPr>
        <w:t>; short title changed</w:t>
      </w:r>
      <w:r>
        <w:rPr>
          <w:iCs/>
          <w:noProof/>
          <w:snapToGrid w:val="0"/>
        </w:rPr>
        <w:t xml:space="preserve"> (see note under s. 1).</w:t>
      </w:r>
    </w:p>
    <w:p>
      <w:pPr>
        <w:pStyle w:val="nNote"/>
        <w:rPr>
          <w:snapToGrid w:val="0"/>
        </w:rPr>
      </w:pPr>
      <w:r>
        <w:rPr>
          <w:snapToGrid w:val="0"/>
          <w:vertAlign w:val="superscript"/>
        </w:rPr>
        <w:t>5</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Note"/>
        <w:rPr>
          <w:snapToGrid w:val="0"/>
        </w:rPr>
      </w:pPr>
      <w:r>
        <w:rPr>
          <w:snapToGrid w:val="0"/>
          <w:vertAlign w:val="superscript"/>
        </w:rPr>
        <w:t>6</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pPr>
        <w:pStyle w:val="nNote"/>
        <w:keepNext/>
        <w:ind w:left="459" w:hanging="459"/>
        <w:rPr>
          <w:snapToGrid w:val="0"/>
        </w:rPr>
      </w:pPr>
      <w:r>
        <w:rPr>
          <w:snapToGrid w:val="0"/>
          <w:vertAlign w:val="superscript"/>
        </w:rPr>
        <w:t>7</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BlankOpen"/>
        <w:rPr>
          <w:snapToGrid w:val="0"/>
        </w:rPr>
      </w:pP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BlankClose"/>
      </w:pPr>
    </w:p>
    <w:p>
      <w:pPr>
        <w:pStyle w:val="nNote"/>
        <w:keepNext/>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32(2)</w:t>
      </w:r>
      <w:r>
        <w:rPr>
          <w:snapToGrid w:val="0"/>
        </w:rPr>
        <w:noBreakHyphen/>
        <w:t>(6)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keepNext/>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keepNext/>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BlankClose"/>
      </w:pPr>
    </w:p>
    <w:p>
      <w:pPr>
        <w:pStyle w:val="nNote"/>
        <w:keepNext/>
        <w:keepLines/>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42(2)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BlankClose"/>
      </w:pPr>
    </w:p>
    <w:p>
      <w:pPr>
        <w:pStyle w:val="nNote"/>
        <w:keepNext/>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48(2) reads as follows:</w:t>
      </w:r>
    </w:p>
    <w:p>
      <w:pPr>
        <w:pStyle w:val="BlankOpen"/>
        <w:rPr>
          <w:snapToGrid w:val="0"/>
        </w:rPr>
      </w:pP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BlankClose"/>
      </w:pPr>
    </w:p>
    <w:p>
      <w:pPr>
        <w:pStyle w:val="nNote"/>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56(2), (3) and (4) read as follows:</w:t>
      </w:r>
    </w:p>
    <w:p>
      <w:pPr>
        <w:pStyle w:val="BlankOpen"/>
        <w:rPr>
          <w:snapToGrid w:val="0"/>
        </w:rPr>
      </w:pP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BlankClose"/>
      </w:pPr>
    </w:p>
    <w:p>
      <w:pPr>
        <w:pStyle w:val="nNote"/>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keepNext/>
        <w:keepLines/>
        <w:spacing w:before="80"/>
        <w:rPr>
          <w:snapToGrid w:val="0"/>
        </w:rPr>
      </w:pPr>
      <w:r>
        <w:rPr>
          <w:snapToGrid w:val="0"/>
        </w:rPr>
        <w:tab/>
        <w:t>(c)</w:t>
      </w:r>
      <w:r>
        <w:rPr>
          <w:snapToGrid w:val="0"/>
        </w:rPr>
        <w:tab/>
        <w:t>that permit, licence or access authority has come, or comes, into existence,</w:t>
      </w:r>
    </w:p>
    <w:p>
      <w:pPr>
        <w:pStyle w:val="nzSubsection"/>
        <w:keepNext/>
        <w:keepLines/>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keepNext/>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BlankClose"/>
      </w:pPr>
    </w:p>
    <w:p>
      <w:pPr>
        <w:pStyle w:val="nNote"/>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76(2)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pPr>
    </w:p>
    <w:p>
      <w:pPr>
        <w:pStyle w:val="nNote"/>
        <w:keepNext/>
        <w:keepLines/>
        <w:rPr>
          <w:snapToGrid w:val="0"/>
        </w:rPr>
      </w:pPr>
      <w:r>
        <w:rPr>
          <w:snapToGrid w:val="0"/>
          <w:vertAlign w:val="superscript"/>
        </w:rPr>
        <w:t>14</w:t>
      </w:r>
      <w:r>
        <w:rPr>
          <w:snapToGrid w:val="0"/>
        </w:rPr>
        <w:tab/>
        <w:t xml:space="preserve">The </w:t>
      </w:r>
      <w:r>
        <w:rPr>
          <w:i/>
          <w:snapToGrid w:val="0"/>
        </w:rPr>
        <w:t>Acts Amendment (Petroleum) Act 1994</w:t>
      </w:r>
      <w:r>
        <w:rPr>
          <w:snapToGrid w:val="0"/>
        </w:rPr>
        <w:t xml:space="preserve"> s. 14(2), (3) and (4) read as follows:</w:t>
      </w:r>
    </w:p>
    <w:p>
      <w:pPr>
        <w:pStyle w:val="BlankOpen"/>
        <w:rPr>
          <w:snapToGrid w:val="0"/>
        </w:rPr>
      </w:pPr>
    </w:p>
    <w:p>
      <w:pPr>
        <w:pStyle w:val="nzSubsection"/>
        <w:keepNext/>
        <w:keepLines/>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keepLines/>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BlankClose"/>
      </w:pPr>
    </w:p>
    <w:p>
      <w:pPr>
        <w:pStyle w:val="nNote"/>
        <w:keepNext/>
        <w:rPr>
          <w:snapToGrid w:val="0"/>
        </w:rPr>
      </w:pPr>
      <w:r>
        <w:rPr>
          <w:snapToGrid w:val="0"/>
          <w:vertAlign w:val="superscript"/>
        </w:rPr>
        <w:t>15</w:t>
      </w:r>
      <w:r>
        <w:rPr>
          <w:snapToGrid w:val="0"/>
        </w:rPr>
        <w:tab/>
        <w:t xml:space="preserve">The </w:t>
      </w:r>
      <w:r>
        <w:rPr>
          <w:i/>
          <w:snapToGrid w:val="0"/>
        </w:rPr>
        <w:t>Acts Amendment (Petroleum) Act 1994</w:t>
      </w:r>
      <w:r>
        <w:rPr>
          <w:snapToGrid w:val="0"/>
        </w:rPr>
        <w:t xml:space="preserve"> s. 16(2) reads as follows:</w:t>
      </w:r>
    </w:p>
    <w:p>
      <w:pPr>
        <w:pStyle w:val="BlankOpen"/>
        <w:rPr>
          <w:snapToGrid w:val="0"/>
        </w:rPr>
      </w:pP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BlankClose"/>
      </w:pPr>
    </w:p>
    <w:p>
      <w:pPr>
        <w:pStyle w:val="nNote"/>
        <w:keepNext/>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55(2) reads as follows:</w:t>
      </w:r>
    </w:p>
    <w:p>
      <w:pPr>
        <w:pStyle w:val="BlankOpen"/>
        <w:rPr>
          <w:snapToGrid w:val="0"/>
        </w:rPr>
      </w:pP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BlankClose"/>
      </w:pPr>
    </w:p>
    <w:p>
      <w:pPr>
        <w:pStyle w:val="nNote"/>
        <w:keepNext/>
        <w:keepLines/>
      </w:pPr>
      <w:r>
        <w:rPr>
          <w:snapToGrid w:val="0"/>
          <w:vertAlign w:val="superscript"/>
        </w:rPr>
        <w:t>17</w:t>
      </w:r>
      <w:r>
        <w:tab/>
        <w:t xml:space="preserve">The </w:t>
      </w:r>
      <w:r>
        <w:rPr>
          <w:i/>
        </w:rPr>
        <w:t>Acts Amendment (Mining and Petroleum) Act 1999</w:t>
      </w:r>
      <w:r>
        <w:t xml:space="preserve"> s. 23(2)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the Barrow Island lease.</w:t>
      </w:r>
    </w:p>
    <w:p>
      <w:pPr>
        <w:pStyle w:val="nzSubsection"/>
        <w:rPr>
          <w:snapToGrid w:val="0"/>
        </w:rPr>
      </w:pPr>
      <w:r>
        <w:rPr>
          <w:snapToGrid w:val="0"/>
        </w:rPr>
        <w:tab/>
        <w:t>(3)</w:t>
      </w:r>
      <w:r>
        <w:rPr>
          <w:snapToGrid w:val="0"/>
        </w:rPr>
        <w:tab/>
        <w:t>In subsection (2) —</w:t>
      </w:r>
    </w:p>
    <w:p>
      <w:pPr>
        <w:pStyle w:val="nzDefstart"/>
      </w:pPr>
      <w:r>
        <w:rPr>
          <w:b/>
        </w:rPr>
        <w:tab/>
      </w:r>
      <w:r>
        <w:rPr>
          <w:b/>
          <w:i/>
          <w:iCs/>
        </w:rPr>
        <w:t>Barrow Island lease</w:t>
      </w:r>
      <w:r>
        <w:rPr>
          <w:b/>
        </w:rPr>
        <w:t xml:space="preserve"> </w:t>
      </w:r>
      <w:r>
        <w:t xml:space="preserve">has the meaning given in section 128 of the </w:t>
      </w:r>
      <w:r>
        <w:rPr>
          <w:i/>
        </w:rPr>
        <w:t>Petroleum Act 1967</w:t>
      </w:r>
      <w:r>
        <w:t>;</w:t>
      </w:r>
    </w:p>
    <w:p>
      <w:pPr>
        <w:pStyle w:val="nzDefstart"/>
      </w:pPr>
      <w:r>
        <w:rPr>
          <w:b/>
        </w:rPr>
        <w:tab/>
      </w:r>
      <w:r>
        <w:rPr>
          <w:b/>
          <w:i/>
          <w:iCs/>
        </w:rPr>
        <w:t>relevant licence</w:t>
      </w:r>
      <w:r>
        <w:rPr>
          <w:b/>
        </w:rPr>
        <w:t xml:space="preserve"> </w:t>
      </w:r>
      <w:r>
        <w:t xml:space="preserve">means a production licence for petroleum in force under Part III of the </w:t>
      </w:r>
      <w:r>
        <w:rPr>
          <w:i/>
        </w:rPr>
        <w:t>Petroleum Act 1967</w:t>
      </w:r>
      <w:r>
        <w:t xml:space="preserve"> immediately before the commencement of this section.</w:t>
      </w:r>
    </w:p>
    <w:p>
      <w:pPr>
        <w:pStyle w:val="BlankClose"/>
      </w:pPr>
    </w:p>
    <w:p>
      <w:pPr>
        <w:pStyle w:val="nNote"/>
      </w:pPr>
      <w:r>
        <w:rPr>
          <w:vertAlign w:val="superscript"/>
        </w:rPr>
        <w:t>18</w:t>
      </w:r>
      <w:r>
        <w:tab/>
        <w:t xml:space="preserve">The </w:t>
      </w:r>
      <w:r>
        <w:rPr>
          <w:i/>
        </w:rPr>
        <w:t>Acts Amendment (Mining and Petroleum) Act 1999</w:t>
      </w:r>
      <w:r>
        <w:t xml:space="preserve"> s. 26(5) reads as follows:</w:t>
      </w:r>
    </w:p>
    <w:p>
      <w:pPr>
        <w:pStyle w:val="BlankOpen"/>
        <w:rPr>
          <w:snapToGrid w:val="0"/>
        </w:rPr>
      </w:pP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BlankClose"/>
      </w:pPr>
    </w:p>
    <w:p>
      <w:pPr>
        <w:pStyle w:val="nNote"/>
        <w:rPr>
          <w:iCs/>
        </w:rPr>
      </w:pPr>
      <w:r>
        <w:rPr>
          <w:vertAlign w:val="superscript"/>
        </w:rPr>
        <w:t>19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179" w:name="Schedule"/>
    <w:bookmarkEnd w:id="317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217" w:name="Compilation"/>
    <w:bookmarkEnd w:id="32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18" w:name="Coversheet"/>
    <w:bookmarkEnd w:id="32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E44B8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0C5AF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5D8954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52E8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9AE75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4C9C6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4D460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DA5A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F8EC6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2983BB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710067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D234AF0"/>
    <w:multiLevelType w:val="multilevel"/>
    <w:tmpl w:val="CCD23C8E"/>
    <w:lvl w:ilvl="0">
      <w:start w:val="1"/>
      <w:numFmt w:val="decimal"/>
      <w:lvlText w:val="%1."/>
      <w:lvlJc w:val="left"/>
      <w:pPr>
        <w:tabs>
          <w:tab w:val="num" w:pos="720"/>
        </w:tabs>
        <w:ind w:left="720" w:hanging="720"/>
      </w:pPr>
    </w:lvl>
    <w:lvl w:ilvl="1">
      <w:start w:val="1"/>
      <w:numFmt w:val="bullet"/>
      <w:lvlText w:val=""/>
      <w:lvlJc w:val="left"/>
      <w:pPr>
        <w:tabs>
          <w:tab w:val="num" w:pos="1440"/>
        </w:tabs>
        <w:ind w:left="1440" w:hanging="720"/>
      </w:pPr>
      <w:rPr>
        <w:rFonts w:ascii="Symbol" w:hAnsi="Symbol"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8104127"/>
    <w:docVar w:name="WAFER_20140123102753" w:val="RemoveTocBookmarks,RemoveUnusedBookmarks,RemoveLanguageTags,UsedStyles,ResetPageSize,UpdateArrangement"/>
    <w:docVar w:name="WAFER_20140123102753_GUID" w:val="b70c0386-708b-4fd3-8825-29c237f7e838"/>
    <w:docVar w:name="WAFER_20140123110818" w:val="RemoveTocBookmarks,RunningHeaders"/>
    <w:docVar w:name="WAFER_20140123110818_GUID" w:val="3184ce31-bc94-4106-8ac0-869066bc8e92"/>
    <w:docVar w:name="WAFER_20150630143045" w:val="ResetPageSize,UpdateArrangement,UpdateNTable"/>
    <w:docVar w:name="WAFER_20150630143045_GUID" w:val="dc0e3705-47bb-431c-b55a-fc3627c7b907"/>
    <w:docVar w:name="WAFER_20151103095229" w:val="UpdateStyles,UsedStyles"/>
    <w:docVar w:name="WAFER_20151103095229_GUID" w:val="0ba0ef88-ece5-41c5-b38b-627b2aac4233"/>
    <w:docVar w:name="WAFER_2020022611154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1545_GUID" w:val="6a3124f2-eae3-4737-8d30-994184892188"/>
    <w:docVar w:name="WAFER_202011091549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54936_GUID" w:val="a6922370-be4a-4bc9-99ff-89d82e252b69"/>
    <w:docVar w:name="WAFER_202203081041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04127_GUID" w:val="f93e7a0d-5234-42b8-9456-aa89f8d1e3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C863548-10CD-414B-B1E9-CF2F0CF68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0121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94165</Words>
  <Characters>448226</Characters>
  <Application>Microsoft Office Word</Application>
  <DocSecurity>0</DocSecurity>
  <Lines>11492</Lines>
  <Paragraphs>5165</Paragraphs>
  <ScaleCrop>false</ScaleCrop>
  <HeadingPairs>
    <vt:vector size="2" baseType="variant">
      <vt:variant>
        <vt:lpstr>Title</vt:lpstr>
      </vt:variant>
      <vt:variant>
        <vt:i4>1</vt:i4>
      </vt:variant>
    </vt:vector>
  </HeadingPairs>
  <TitlesOfParts>
    <vt:vector size="1" baseType="lpstr">
      <vt:lpstr>Petroleum and Geothermal Energy Resources Act 1967</vt:lpstr>
    </vt:vector>
  </TitlesOfParts>
  <Manager/>
  <Company/>
  <LinksUpToDate>false</LinksUpToDate>
  <CharactersWithSpaces>537226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08-d0-01 - 08-e0-00</dc:title>
  <dc:subject/>
  <dc:creator/>
  <cp:keywords/>
  <dc:description/>
  <cp:lastModifiedBy>Master Repository Process</cp:lastModifiedBy>
  <cp:revision>2</cp:revision>
  <cp:lastPrinted>2016-01-20T01:35:00Z</cp:lastPrinted>
  <dcterms:created xsi:type="dcterms:W3CDTF">2022-03-30T04:17:00Z</dcterms:created>
  <dcterms:modified xsi:type="dcterms:W3CDTF">2022-03-30T04:18:00Z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DocumentType">
    <vt:lpwstr>Act</vt:lpwstr>
  </property>
  <property fmtid="{D5CDD505-2E9C-101B-9397-08002B2CF9AE}" pid="4" name="OwlsUID">
    <vt:i4>596</vt:i4>
  </property>
  <property fmtid="{D5CDD505-2E9C-101B-9397-08002B2CF9AE}" pid="5" name="ThisVersion">
    <vt:lpwstr>07-a0-00</vt:lpwstr>
  </property>
  <property fmtid="{D5CDD505-2E9C-101B-9397-08002B2CF9AE}" pid="6" name="ReprintedAsAt">
    <vt:filetime>2016-01-14T16:00:00Z</vt:filetime>
  </property>
  <property fmtid="{D5CDD505-2E9C-101B-9397-08002B2CF9AE}" pid="7" name="ReprintNo">
    <vt:lpwstr>8</vt:lpwstr>
  </property>
  <property fmtid="{D5CDD505-2E9C-101B-9397-08002B2CF9AE}" pid="8" name="CommencementDate">
    <vt:lpwstr>20220331</vt:lpwstr>
  </property>
  <property fmtid="{D5CDD505-2E9C-101B-9397-08002B2CF9AE}" pid="9" name="FromSuffix">
    <vt:lpwstr>08-d0-01</vt:lpwstr>
  </property>
  <property fmtid="{D5CDD505-2E9C-101B-9397-08002B2CF9AE}" pid="10" name="FromAsAtDate">
    <vt:lpwstr>10 Nov 2020</vt:lpwstr>
  </property>
  <property fmtid="{D5CDD505-2E9C-101B-9397-08002B2CF9AE}" pid="11" name="ToSuffix">
    <vt:lpwstr>08-e0-00</vt:lpwstr>
  </property>
  <property fmtid="{D5CDD505-2E9C-101B-9397-08002B2CF9AE}" pid="12" name="ToAsAtDate">
    <vt:lpwstr>31 Mar 2022</vt:lpwstr>
  </property>
</Properties>
</file>