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Jurisdiction of Courts (Cross-vesting)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02-c0-07</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Jurisdiction of Courts (Cross</w:t>
      </w:r>
      <w:r>
        <w:noBreakHyphen/>
        <w:t>vesting) Act 1987</w:t>
      </w:r>
    </w:p>
    <w:p>
      <w:pPr>
        <w:pStyle w:val="LongTitle"/>
        <w:spacing w:before="240" w:after="240"/>
        <w:rPr>
          <w:snapToGrid w:val="0"/>
        </w:rPr>
      </w:pPr>
      <w:r>
        <w:rPr>
          <w:snapToGrid w:val="0"/>
        </w:rPr>
        <w:t>A</w:t>
      </w:r>
      <w:bookmarkStart w:id="1" w:name="_GoBack"/>
      <w:bookmarkEnd w:id="1"/>
      <w:r>
        <w:rPr>
          <w:snapToGrid w:val="0"/>
        </w:rPr>
        <w:t>n Act relating to the cross</w:t>
      </w:r>
      <w:r>
        <w:rPr>
          <w:snapToGrid w:val="0"/>
        </w:rPr>
        <w:noBreakHyphen/>
        <w:t>vesting of certain jurisdiction.</w:t>
      </w:r>
    </w:p>
    <w:p>
      <w:pPr>
        <w:pStyle w:val="Preamble1"/>
        <w:rPr>
          <w:snapToGrid w:val="0"/>
        </w:rPr>
      </w:pPr>
      <w:r>
        <w:t>Preamble</w:t>
      </w:r>
    </w:p>
    <w:p>
      <w:pPr>
        <w:pStyle w:val="Preamble2"/>
        <w:rPr>
          <w:snapToGrid w:val="0"/>
        </w:rPr>
      </w:pPr>
      <w:r>
        <w:rPr>
          <w:snapToGrid w:val="0"/>
        </w:rPr>
        <w:t>Whereas inconvenience and expense have occasionally been caused to litigants by jurisdictional limitations in federal, State and Territory courts, and whereas it is desirable —</w:t>
      </w:r>
    </w:p>
    <w:p>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pPr>
        <w:pStyle w:val="Footnotepreamble"/>
      </w:pPr>
      <w:r>
        <w:tab/>
        <w:t>[Preamble amended: No. 19 of 2010 s. 50.]</w:t>
      </w:r>
    </w:p>
    <w:p>
      <w:pPr>
        <w:pStyle w:val="Enactment"/>
        <w:pageBreakBefore/>
        <w:spacing w:before="120"/>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2" w:name="_Toc100576652"/>
      <w:bookmarkStart w:id="3" w:name="_Toc377384877"/>
      <w:bookmarkStart w:id="4" w:name="_Toc420505401"/>
      <w:r>
        <w:rPr>
          <w:rStyle w:val="CharSectno"/>
        </w:rPr>
        <w:t>1</w:t>
      </w:r>
      <w:r>
        <w:rPr>
          <w:snapToGrid w:val="0"/>
        </w:rPr>
        <w:t>.</w:t>
      </w:r>
      <w:r>
        <w:rPr>
          <w:snapToGrid w:val="0"/>
        </w:rPr>
        <w:tab/>
        <w:t>Short title and commencement</w:t>
      </w:r>
      <w:bookmarkEnd w:id="2"/>
      <w:bookmarkEnd w:id="3"/>
      <w:bookmarkEnd w:id="4"/>
    </w:p>
    <w:p>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del w:id="5" w:author="Master Repository Process" w:date="2022-04-14T17:47:00Z">
        <w:r>
          <w:rPr>
            <w:snapToGrid w:val="0"/>
          </w:rPr>
          <w:delText xml:space="preserve"> </w:delText>
        </w:r>
        <w:r>
          <w:rPr>
            <w:snapToGrid w:val="0"/>
            <w:vertAlign w:val="superscript"/>
          </w:rPr>
          <w:delText>1</w:delText>
        </w:r>
      </w:del>
      <w:r>
        <w:rPr>
          <w:snapToGrid w:val="0"/>
        </w:rPr>
        <w:t>.</w:t>
      </w:r>
    </w:p>
    <w:p>
      <w:pPr>
        <w:pStyle w:val="Subsection"/>
        <w:spacing w:before="120"/>
        <w:rPr>
          <w:snapToGrid w:val="0"/>
        </w:rPr>
      </w:pPr>
      <w:r>
        <w:rPr>
          <w:snapToGrid w:val="0"/>
        </w:rPr>
        <w:tab/>
        <w:t>(2)</w:t>
      </w:r>
      <w:r>
        <w:rPr>
          <w:snapToGrid w:val="0"/>
        </w:rPr>
        <w:tab/>
        <w:t>This Act shall come into operation on a day to be fixed by proclamation</w:t>
      </w:r>
      <w:del w:id="6" w:author="Master Repository Process" w:date="2022-04-14T17:47:00Z">
        <w:r>
          <w:rPr>
            <w:snapToGrid w:val="0"/>
          </w:rPr>
          <w:delText xml:space="preserve"> </w:delText>
        </w:r>
        <w:r>
          <w:rPr>
            <w:snapToGrid w:val="0"/>
            <w:vertAlign w:val="superscript"/>
          </w:rPr>
          <w:delText>1</w:delText>
        </w:r>
      </w:del>
      <w:r>
        <w:rPr>
          <w:snapToGrid w:val="0"/>
        </w:rPr>
        <w:t>.</w:t>
      </w:r>
    </w:p>
    <w:p>
      <w:pPr>
        <w:pStyle w:val="Heading5"/>
        <w:rPr>
          <w:snapToGrid w:val="0"/>
        </w:rPr>
      </w:pPr>
      <w:bookmarkStart w:id="7" w:name="_Toc100576653"/>
      <w:bookmarkStart w:id="8" w:name="_Toc377384878"/>
      <w:bookmarkStart w:id="9" w:name="_Toc420505402"/>
      <w:r>
        <w:rPr>
          <w:rStyle w:val="CharSectno"/>
        </w:rPr>
        <w:t>2</w:t>
      </w:r>
      <w:r>
        <w:rPr>
          <w:snapToGrid w:val="0"/>
        </w:rPr>
        <w:t>.</w:t>
      </w:r>
      <w:r>
        <w:rPr>
          <w:snapToGrid w:val="0"/>
        </w:rPr>
        <w:tab/>
        <w:t>Purpose</w:t>
      </w:r>
      <w:bookmarkEnd w:id="7"/>
      <w:bookmarkEnd w:id="8"/>
      <w:bookmarkEnd w:id="9"/>
    </w:p>
    <w:p>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pPr>
        <w:pStyle w:val="Heading5"/>
        <w:rPr>
          <w:snapToGrid w:val="0"/>
        </w:rPr>
      </w:pPr>
      <w:bookmarkStart w:id="10" w:name="_Toc100576654"/>
      <w:bookmarkStart w:id="11" w:name="_Toc377384879"/>
      <w:bookmarkStart w:id="12" w:name="_Toc420505403"/>
      <w:r>
        <w:rPr>
          <w:rStyle w:val="CharSectno"/>
        </w:rPr>
        <w:t>3</w:t>
      </w:r>
      <w:r>
        <w:rPr>
          <w:snapToGrid w:val="0"/>
        </w:rPr>
        <w:t>.</w:t>
      </w:r>
      <w:r>
        <w:rPr>
          <w:snapToGrid w:val="0"/>
        </w:rPr>
        <w:tab/>
        <w:t>Terms used</w:t>
      </w:r>
      <w:bookmarkEnd w:id="10"/>
      <w:bookmarkEnd w:id="11"/>
      <w:bookmarkEnd w:id="12"/>
    </w:p>
    <w:p>
      <w:pPr>
        <w:pStyle w:val="Subsection"/>
        <w:spacing w:before="120"/>
        <w:rPr>
          <w:snapToGrid w:val="0"/>
        </w:rPr>
      </w:pPr>
      <w:r>
        <w:rPr>
          <w:snapToGrid w:val="0"/>
        </w:rPr>
        <w:tab/>
        <w:t>(1)</w:t>
      </w:r>
      <w:r>
        <w:rPr>
          <w:snapToGrid w:val="0"/>
        </w:rPr>
        <w:tab/>
        <w:t>In this Act —</w:t>
      </w:r>
    </w:p>
    <w:p>
      <w:pPr>
        <w:pStyle w:val="Defstart"/>
      </w:pPr>
      <w:r>
        <w:rPr>
          <w:b/>
        </w:rPr>
        <w:tab/>
      </w:r>
      <w:r>
        <w:rPr>
          <w:rStyle w:val="CharDefText"/>
        </w:rPr>
        <w:t>Family Court</w:t>
      </w:r>
      <w:r>
        <w:t xml:space="preserve"> means the Family Court of Australia;</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Full Court</w:t>
      </w:r>
      <w:r>
        <w:t>, in relation to a Supreme Court of a State, includes any court of the State to which appeals lie from a single judge of that Supreme Court;</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party</w:t>
      </w:r>
      <w:r>
        <w:t>, in relation to a proceeding, includes a person who intervenes in the proceeding;</w:t>
      </w:r>
    </w:p>
    <w:p>
      <w:pPr>
        <w:pStyle w:val="Defstart"/>
      </w:pPr>
      <w:r>
        <w:rPr>
          <w:b/>
        </w:rPr>
        <w:tab/>
      </w:r>
      <w:r>
        <w:rPr>
          <w:rStyle w:val="CharDefText"/>
        </w:rPr>
        <w:t>proceeding</w:t>
      </w:r>
      <w:r>
        <w:t xml:space="preserve"> does not include a criminal proceeding;</w:t>
      </w:r>
    </w:p>
    <w:p>
      <w:pPr>
        <w:pStyle w:val="Defstart"/>
      </w:pPr>
      <w:r>
        <w:rPr>
          <w:b/>
        </w:rPr>
        <w:tab/>
      </w:r>
      <w:r>
        <w:rPr>
          <w:rStyle w:val="CharDefText"/>
        </w:rPr>
        <w:t>special federal matter</w:t>
      </w:r>
      <w:r>
        <w:t xml:space="preserve"> has the same meaning as in the Commonwealth Act;</w:t>
      </w:r>
    </w:p>
    <w:p>
      <w:pPr>
        <w:pStyle w:val="Defstart"/>
      </w:pPr>
      <w:r>
        <w:rPr>
          <w:b/>
        </w:rPr>
        <w:tab/>
      </w:r>
      <w:r>
        <w:rPr>
          <w:rStyle w:val="CharDefText"/>
        </w:rPr>
        <w:t>State</w:t>
      </w:r>
      <w:r>
        <w:t xml:space="preserve"> includes the Northern Territory and the Australian Capital Territory;</w:t>
      </w:r>
    </w:p>
    <w:p>
      <w:pPr>
        <w:pStyle w:val="Defstart"/>
        <w:keepNext/>
        <w:keepLines/>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pPr>
        <w:pStyle w:val="Defstart"/>
        <w:keepNext/>
      </w:pPr>
      <w:r>
        <w:rPr>
          <w:b/>
        </w:rPr>
        <w:tab/>
      </w:r>
      <w:r>
        <w:rPr>
          <w:rStyle w:val="CharDefText"/>
        </w:rPr>
        <w:t>State matter</w:t>
      </w:r>
      <w:r>
        <w:t xml:space="preserve"> means a matter —</w:t>
      </w:r>
    </w:p>
    <w:p>
      <w:pPr>
        <w:pStyle w:val="Defpara"/>
      </w:pPr>
      <w:r>
        <w:tab/>
        <w:t>(a)</w:t>
      </w:r>
      <w:r>
        <w:tab/>
        <w:t>in which the Supreme Court has jurisdiction otherwise than by reason of a law of the Commonwealth or of another State; or</w:t>
      </w:r>
    </w:p>
    <w:p>
      <w:pPr>
        <w:pStyle w:val="Defpara"/>
      </w:pPr>
      <w:r>
        <w:tab/>
        <w:t>(b)</w:t>
      </w:r>
      <w:r>
        <w:tab/>
        <w:t>removed to the Supreme Court under section 8;</w:t>
      </w:r>
    </w:p>
    <w:p>
      <w:pPr>
        <w:pStyle w:val="Defstart"/>
      </w:pPr>
      <w:r>
        <w:rPr>
          <w:b/>
        </w:rPr>
        <w:tab/>
      </w:r>
      <w:r>
        <w:rPr>
          <w:rStyle w:val="CharDefText"/>
        </w:rPr>
        <w:t>Territory</w:t>
      </w:r>
      <w:r>
        <w:t xml:space="preserve"> does not include the Northern Territory or the Australian Capital Territory;</w:t>
      </w:r>
    </w:p>
    <w:p>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pPr>
        <w:pStyle w:val="Footnotesection"/>
      </w:pPr>
      <w:r>
        <w:tab/>
        <w:t>[Section 3 amended: No. 3 of 1994 s. 4, 6 and 8.]</w:t>
      </w:r>
    </w:p>
    <w:p>
      <w:pPr>
        <w:pStyle w:val="Heading5"/>
      </w:pPr>
      <w:bookmarkStart w:id="13" w:name="_Toc100576655"/>
      <w:bookmarkStart w:id="14" w:name="_Toc377384880"/>
      <w:bookmarkStart w:id="15" w:name="_Toc420505404"/>
      <w:r>
        <w:rPr>
          <w:rStyle w:val="CharSectno"/>
        </w:rPr>
        <w:t>3A</w:t>
      </w:r>
      <w:r>
        <w:t>.</w:t>
      </w:r>
      <w:r>
        <w:tab/>
        <w:t>Corporations Act of the Commonwealth</w:t>
      </w:r>
      <w:bookmarkEnd w:id="13"/>
      <w:bookmarkEnd w:id="14"/>
      <w:bookmarkEnd w:id="15"/>
    </w:p>
    <w:p>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pPr>
        <w:pStyle w:val="Footnotesection"/>
      </w:pPr>
      <w:r>
        <w:tab/>
        <w:t>[Section 3A inserted: No. 8 of 2001 s. 29.]</w:t>
      </w:r>
    </w:p>
    <w:p>
      <w:pPr>
        <w:pStyle w:val="Heading5"/>
        <w:rPr>
          <w:snapToGrid w:val="0"/>
        </w:rPr>
      </w:pPr>
      <w:bookmarkStart w:id="16" w:name="_Toc100576656"/>
      <w:bookmarkStart w:id="17" w:name="_Toc377384881"/>
      <w:bookmarkStart w:id="18" w:name="_Toc420505405"/>
      <w:r>
        <w:rPr>
          <w:rStyle w:val="CharSectno"/>
        </w:rPr>
        <w:t>4</w:t>
      </w:r>
      <w:r>
        <w:rPr>
          <w:snapToGrid w:val="0"/>
        </w:rPr>
        <w:t>.</w:t>
      </w:r>
      <w:r>
        <w:rPr>
          <w:snapToGrid w:val="0"/>
        </w:rPr>
        <w:tab/>
        <w:t>Vesting of additional jurisdiction in certain courts</w:t>
      </w:r>
      <w:bookmarkEnd w:id="16"/>
      <w:bookmarkEnd w:id="17"/>
      <w:bookmarkEnd w:id="18"/>
    </w:p>
    <w:p>
      <w:pPr>
        <w:pStyle w:val="Ednotesubsection"/>
      </w:pPr>
      <w:r>
        <w:tab/>
        <w:t>[(1), (2)</w:t>
      </w:r>
      <w:r>
        <w:tab/>
        <w:t>deleted]</w:t>
      </w:r>
    </w:p>
    <w:p>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pPr>
        <w:pStyle w:val="Subsection"/>
      </w:pPr>
      <w:r>
        <w:tab/>
        <w:t>(5)</w:t>
      </w:r>
      <w:r>
        <w:tab/>
        <w:t>Subsection (3) or (4) does not —</w:t>
      </w:r>
    </w:p>
    <w:p>
      <w:pPr>
        <w:pStyle w:val="Indenta"/>
      </w:pPr>
      <w:r>
        <w:tab/>
        <w:t>(a)</w:t>
      </w:r>
      <w:r>
        <w:tab/>
        <w:t>invest a Supreme Court with; or</w:t>
      </w:r>
    </w:p>
    <w:p>
      <w:pPr>
        <w:pStyle w:val="Indenta"/>
      </w:pPr>
      <w:r>
        <w:tab/>
        <w:t>(b)</w:t>
      </w:r>
      <w:r>
        <w:tab/>
        <w:t>confer on any such court,</w:t>
      </w:r>
    </w:p>
    <w:p>
      <w:pPr>
        <w:pStyle w:val="Subsection"/>
      </w:pPr>
      <w:r>
        <w:tab/>
      </w:r>
      <w:r>
        <w:tab/>
        <w:t>jurisdiction with respect to criminal matters.</w:t>
      </w:r>
    </w:p>
    <w:p>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pPr>
        <w:pStyle w:val="Footnotesection"/>
      </w:pPr>
      <w:r>
        <w:tab/>
        <w:t>[Section 4 amended: No. 32 of 2001 s. 23.]</w:t>
      </w:r>
    </w:p>
    <w:p>
      <w:pPr>
        <w:pStyle w:val="Heading5"/>
        <w:rPr>
          <w:snapToGrid w:val="0"/>
        </w:rPr>
      </w:pPr>
      <w:bookmarkStart w:id="19" w:name="_Toc100576657"/>
      <w:bookmarkStart w:id="20" w:name="_Toc377384882"/>
      <w:bookmarkStart w:id="21" w:name="_Toc420505406"/>
      <w:r>
        <w:rPr>
          <w:rStyle w:val="CharSectno"/>
        </w:rPr>
        <w:t>5</w:t>
      </w:r>
      <w:r>
        <w:rPr>
          <w:snapToGrid w:val="0"/>
        </w:rPr>
        <w:t>.</w:t>
      </w:r>
      <w:r>
        <w:rPr>
          <w:snapToGrid w:val="0"/>
        </w:rPr>
        <w:tab/>
        <w:t>Transfer of proceedings</w:t>
      </w:r>
      <w:bookmarkEnd w:id="19"/>
      <w:bookmarkEnd w:id="20"/>
      <w:bookmarkEnd w:id="21"/>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pPr>
        <w:pStyle w:val="Indenta"/>
      </w:pPr>
      <w:r>
        <w:tab/>
        <w:t>(b)</w:t>
      </w:r>
      <w:r>
        <w:tab/>
        <w:t>it appears to the Supreme Court that, having regard to —</w:t>
      </w:r>
    </w:p>
    <w:p>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pPr>
        <w:pStyle w:val="Indenti"/>
      </w:pPr>
      <w:r>
        <w:tab/>
        <w:t>(iii)</w:t>
      </w:r>
      <w:r>
        <w:tab/>
        <w:t>the interests of justice,</w:t>
      </w:r>
    </w:p>
    <w:p>
      <w:pPr>
        <w:pStyle w:val="Indenta"/>
      </w:pPr>
      <w:r>
        <w:tab/>
      </w:r>
      <w:r>
        <w:tab/>
        <w:t>it is more appropriate that the relevant proceeding be determined by the Federal Court or the Family Court, as the case may be,</w:t>
      </w:r>
    </w:p>
    <w:p>
      <w:pPr>
        <w:pStyle w:val="Subsection"/>
        <w:rPr>
          <w:snapToGrid w:val="0"/>
        </w:rPr>
      </w:pPr>
      <w:r>
        <w:rPr>
          <w:snapToGrid w:val="0"/>
        </w:rPr>
        <w:tab/>
      </w:r>
      <w:r>
        <w:rPr>
          <w:snapToGrid w:val="0"/>
        </w:rPr>
        <w:tab/>
        <w:t>the Supreme Court shall transfer the relevant proceeding to the Federal Court or the Family Court, as the case may be.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that other Supreme Court; or</w:t>
      </w:r>
    </w:p>
    <w:p>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pPr>
        <w:pStyle w:val="Subsection"/>
        <w:rPr>
          <w:snapToGrid w:val="0"/>
        </w:rPr>
      </w:pPr>
      <w:r>
        <w:rPr>
          <w:snapToGrid w:val="0"/>
        </w:rPr>
        <w:tab/>
      </w:r>
      <w:r>
        <w:rPr>
          <w:snapToGrid w:val="0"/>
        </w:rPr>
        <w:tab/>
        <w:t>the first court shall transfer the relevant proceeding to that other Supreme Court.</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keepNext/>
        <w:keepLines/>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the Supreme Court of Western Australia; or</w:t>
      </w:r>
    </w:p>
    <w:p>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pPr>
        <w:pStyle w:val="Subsection"/>
        <w:spacing w:before="80"/>
        <w:rPr>
          <w:snapToGrid w:val="0"/>
        </w:rPr>
      </w:pPr>
      <w:r>
        <w:rPr>
          <w:snapToGrid w:val="0"/>
        </w:rPr>
        <w:tab/>
      </w:r>
      <w:r>
        <w:rPr>
          <w:snapToGrid w:val="0"/>
        </w:rPr>
        <w:tab/>
        <w:t>the first court shall transfer the relevant proceeding to the Supreme Court of Western Australia.</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pPr>
        <w:pStyle w:val="Indenta"/>
        <w:spacing w:before="60"/>
        <w:rPr>
          <w:snapToGrid w:val="0"/>
        </w:rPr>
      </w:pPr>
      <w:r>
        <w:rPr>
          <w:snapToGrid w:val="0"/>
        </w:rPr>
        <w:tab/>
        <w:t>(b)</w:t>
      </w:r>
      <w:r>
        <w:rPr>
          <w:snapToGrid w:val="0"/>
        </w:rPr>
        <w:tab/>
        <w:t>it appears to the first court that —</w:t>
      </w:r>
    </w:p>
    <w:p>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pPr>
        <w:pStyle w:val="Indenti"/>
        <w:spacing w:before="60"/>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pPr>
        <w:pStyle w:val="IndentI0"/>
        <w:spacing w:before="60"/>
        <w:rPr>
          <w:snapToGrid w:val="0"/>
        </w:rPr>
      </w:pPr>
      <w:r>
        <w:rPr>
          <w:snapToGrid w:val="0"/>
        </w:rPr>
        <w:tab/>
        <w:t>(B)</w:t>
      </w:r>
      <w:r>
        <w:rPr>
          <w:snapToGrid w:val="0"/>
        </w:rPr>
        <w:tab/>
        <w:t>the interests of justice,</w:t>
      </w:r>
    </w:p>
    <w:p>
      <w:pPr>
        <w:pStyle w:val="Indenti"/>
        <w:spacing w:before="60"/>
        <w:rPr>
          <w:snapToGrid w:val="0"/>
        </w:rPr>
      </w:pPr>
      <w:r>
        <w:rPr>
          <w:snapToGrid w:val="0"/>
        </w:rPr>
        <w:tab/>
      </w:r>
      <w:r>
        <w:rPr>
          <w:snapToGrid w:val="0"/>
        </w:rPr>
        <w:tab/>
        <w:t>it is more appropriate that the relevant proceeding be determined by that other court; or</w:t>
      </w:r>
    </w:p>
    <w:p>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pPr>
        <w:pStyle w:val="Subsection"/>
        <w:spacing w:before="120"/>
        <w:rPr>
          <w:snapToGrid w:val="0"/>
        </w:rPr>
      </w:pPr>
      <w:r>
        <w:rPr>
          <w:snapToGrid w:val="0"/>
        </w:rPr>
        <w:tab/>
      </w:r>
      <w:r>
        <w:rPr>
          <w:snapToGrid w:val="0"/>
        </w:rPr>
        <w:tab/>
        <w:t>the first court shall transfer the relevant proceeding to that other court.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pPr>
        <w:pStyle w:val="Indenti"/>
      </w:pPr>
      <w:r>
        <w:tab/>
        <w:t>(ii)</w:t>
      </w:r>
      <w:r>
        <w:tab/>
        <w:t>having regard to —</w:t>
      </w:r>
    </w:p>
    <w:p>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pPr>
        <w:pStyle w:val="IndentI0"/>
      </w:pPr>
      <w:r>
        <w:tab/>
        <w:t>(D)</w:t>
      </w:r>
      <w:r>
        <w:tab/>
        <w:t>the interests of justice,</w:t>
      </w:r>
    </w:p>
    <w:p>
      <w:pPr>
        <w:pStyle w:val="Indenti"/>
      </w:pPr>
      <w:r>
        <w:tab/>
      </w:r>
      <w:r>
        <w:tab/>
        <w:t>it is more appropriate that the relevant proceeding be determined by the Supreme Court; or</w:t>
      </w:r>
    </w:p>
    <w:p>
      <w:pPr>
        <w:pStyle w:val="Indenti"/>
        <w:rPr>
          <w:snapToGrid w:val="0"/>
        </w:rPr>
      </w:pPr>
      <w:r>
        <w:rPr>
          <w:snapToGrid w:val="0"/>
        </w:rPr>
        <w:tab/>
        <w:t>(iii)</w:t>
      </w:r>
      <w:r>
        <w:rPr>
          <w:snapToGrid w:val="0"/>
        </w:rPr>
        <w:tab/>
        <w:t>it is otherwise in the interests of justice that the relevant proceeding be determined by the Supreme Court,</w:t>
      </w:r>
    </w:p>
    <w:p>
      <w:pPr>
        <w:pStyle w:val="Subsection"/>
        <w:rPr>
          <w:snapToGrid w:val="0"/>
        </w:rPr>
      </w:pPr>
      <w:r>
        <w:rPr>
          <w:snapToGrid w:val="0"/>
        </w:rPr>
        <w:tab/>
      </w:r>
      <w:r>
        <w:rPr>
          <w:snapToGrid w:val="0"/>
        </w:rPr>
        <w:tab/>
        <w:t>the first court shall transfer the relevant proceeding to the Supreme Court.</w:t>
      </w:r>
    </w:p>
    <w:p>
      <w:pPr>
        <w:pStyle w:val="Ednotesubsection"/>
      </w:pPr>
      <w:r>
        <w:tab/>
        <w:t>[(6)</w:t>
      </w:r>
      <w:r>
        <w:tab/>
        <w:t>deleted]</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proceeding be determined by the other court,</w:t>
      </w:r>
    </w:p>
    <w:p>
      <w:pPr>
        <w:pStyle w:val="Subsection"/>
        <w:rPr>
          <w:snapToGrid w:val="0"/>
        </w:rPr>
      </w:pPr>
      <w:r>
        <w:rPr>
          <w:snapToGrid w:val="0"/>
        </w:rPr>
        <w:tab/>
      </w:r>
      <w:r>
        <w:rPr>
          <w:snapToGrid w:val="0"/>
        </w:rPr>
        <w:tab/>
        <w:t>the first court shall transfer the other proceeding to the other court.</w:t>
      </w:r>
    </w:p>
    <w:p>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pPr>
        <w:pStyle w:val="Subsection"/>
        <w:rPr>
          <w:snapToGrid w:val="0"/>
        </w:rPr>
      </w:pPr>
      <w:r>
        <w:rPr>
          <w:snapToGrid w:val="0"/>
        </w:rPr>
        <w:tab/>
        <w:t>(9)</w:t>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Subsection"/>
      </w:pPr>
      <w:r>
        <w:tab/>
        <w:t>(10)</w:t>
      </w:r>
      <w:r>
        <w:tab/>
        <w:t>Nothing in this section confers on a court jurisdiction that the court would not otherwise have.</w:t>
      </w:r>
    </w:p>
    <w:p>
      <w:pPr>
        <w:pStyle w:val="Footnotesection"/>
      </w:pPr>
      <w:r>
        <w:tab/>
        <w:t>[Section 5 amended: No. 32 of 2001 s. 24; No. 21 of 2008 s. 670.]</w:t>
      </w:r>
    </w:p>
    <w:p>
      <w:pPr>
        <w:pStyle w:val="Heading5"/>
      </w:pPr>
      <w:bookmarkStart w:id="22" w:name="_Toc100576658"/>
      <w:bookmarkStart w:id="23" w:name="_Toc377384883"/>
      <w:bookmarkStart w:id="24" w:name="_Toc420505407"/>
      <w:r>
        <w:rPr>
          <w:rStyle w:val="CharSectno"/>
        </w:rPr>
        <w:t>6</w:t>
      </w:r>
      <w:r>
        <w:t>.</w:t>
      </w:r>
      <w:r>
        <w:tab/>
        <w:t>Special federal matters</w:t>
      </w:r>
      <w:bookmarkEnd w:id="22"/>
      <w:bookmarkEnd w:id="23"/>
      <w:bookmarkEnd w:id="24"/>
    </w:p>
    <w:p>
      <w:pPr>
        <w:pStyle w:val="Subsection"/>
      </w:pPr>
      <w:r>
        <w:tab/>
        <w:t>(1)</w:t>
      </w:r>
      <w:r>
        <w:tab/>
        <w:t>If —</w:t>
      </w:r>
    </w:p>
    <w:p>
      <w:pPr>
        <w:pStyle w:val="Indenta"/>
      </w:pPr>
      <w:r>
        <w:tab/>
        <w:t>(a)</w:t>
      </w:r>
      <w:r>
        <w:tab/>
        <w:t>a matter for determination in a proceeding that is pending in the Supreme Court is a special federal matter; and</w:t>
      </w:r>
    </w:p>
    <w:p>
      <w:pPr>
        <w:pStyle w:val="Indenta"/>
      </w:pPr>
      <w:r>
        <w:tab/>
        <w:t>(b)</w:t>
      </w:r>
      <w:r>
        <w:tab/>
        <w:t>the court does not make an order under subsection (3) in respect of the matter,</w:t>
      </w:r>
    </w:p>
    <w:p>
      <w:pPr>
        <w:pStyle w:val="Subsection"/>
      </w:pPr>
      <w:r>
        <w:tab/>
      </w:r>
      <w:r>
        <w:tab/>
        <w:t>the court shall transfer the proceeding in accordance with this section to the Federal Court or a court mentioned in subsection (2)(b).</w:t>
      </w:r>
    </w:p>
    <w:p>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pPr>
        <w:pStyle w:val="Subsection"/>
        <w:keepNext/>
        <w:keepLines/>
      </w:pPr>
      <w:r>
        <w:tab/>
        <w:t>(2)</w:t>
      </w:r>
      <w:r>
        <w:tab/>
        <w:t>Where a proceeding or part of a proceeding is to be transferred under subsection (1) —</w:t>
      </w:r>
    </w:p>
    <w:p>
      <w:pPr>
        <w:pStyle w:val="Indenta"/>
      </w:pPr>
      <w:r>
        <w:tab/>
        <w:t>(a)</w:t>
      </w:r>
      <w:r>
        <w:tab/>
        <w:t xml:space="preserve">if the special federal matter is a matter mentioned in paragraph (a), (b), (c), (d) or (e) of the definition of </w:t>
      </w:r>
      <w:r>
        <w:rPr>
          <w:b/>
          <w:bCs/>
          <w:i/>
          <w:iCs/>
        </w:rPr>
        <w:t>special federal matter</w:t>
      </w:r>
      <w:r>
        <w:t xml:space="preserve"> in section 3(1) of the Commonwealth Act, the proceeding shall be transferred to the Federal Court; or</w:t>
      </w:r>
    </w:p>
    <w:p>
      <w:pPr>
        <w:pStyle w:val="Indenta"/>
      </w:pPr>
      <w:r>
        <w:tab/>
        <w:t>(b)</w:t>
      </w:r>
      <w:r>
        <w:tab/>
        <w:t xml:space="preserve">if the special federal matter is a matter mentioned in paragraph (ba) of the definition of </w:t>
      </w:r>
      <w:r>
        <w:rPr>
          <w:b/>
          <w:bCs/>
          <w:i/>
          <w:iCs/>
        </w:rPr>
        <w:t>special federal matter</w:t>
      </w:r>
      <w:r>
        <w:t xml:space="preserve"> in section 3(1) of the Commonwealth Act, the proceeding shall be transferred to whichever of —</w:t>
      </w:r>
    </w:p>
    <w:p>
      <w:pPr>
        <w:pStyle w:val="Indenti"/>
      </w:pPr>
      <w:r>
        <w:tab/>
        <w:t>(i)</w:t>
      </w:r>
      <w:r>
        <w:tab/>
        <w:t>the Family Court;</w:t>
      </w:r>
    </w:p>
    <w:p>
      <w:pPr>
        <w:pStyle w:val="Indenti"/>
      </w:pPr>
      <w:r>
        <w:tab/>
        <w:t>(ii)</w:t>
      </w:r>
      <w:r>
        <w:tab/>
        <w:t>the State Family Court; or</w:t>
      </w:r>
    </w:p>
    <w:p>
      <w:pPr>
        <w:pStyle w:val="Indenti"/>
      </w:pPr>
      <w:r>
        <w:tab/>
        <w:t>(iii)</w:t>
      </w:r>
      <w:r>
        <w:tab/>
        <w:t>the Supreme Court of the Northern Territory,</w:t>
      </w:r>
    </w:p>
    <w:p>
      <w:pPr>
        <w:pStyle w:val="Indenta"/>
      </w:pPr>
      <w:r>
        <w:tab/>
      </w:r>
      <w:r>
        <w:tab/>
        <w:t>appears to the Supreme Court to be appropriate in the circumstances.</w:t>
      </w:r>
    </w:p>
    <w:p>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pPr>
        <w:pStyle w:val="Subsection"/>
      </w:pPr>
      <w:r>
        <w:tab/>
        <w:t>(4)</w:t>
      </w:r>
      <w:r>
        <w:tab/>
        <w:t>Before making an order under subsection (3), the court has to be satisfied that —</w:t>
      </w:r>
    </w:p>
    <w:p>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pPr>
        <w:pStyle w:val="Indenta"/>
      </w:pPr>
      <w:r>
        <w:tab/>
        <w:t>(b)</w:t>
      </w:r>
      <w:r>
        <w:tab/>
        <w:t>a reasonable time has elapsed since the giving of the notice for the Attorney</w:t>
      </w:r>
      <w:r>
        <w:noBreakHyphen/>
        <w:t>General to consider whether submissions to the court should be made in relation to the proceeding.</w:t>
      </w:r>
    </w:p>
    <w:p>
      <w:pPr>
        <w:pStyle w:val="Subsection"/>
        <w:keepNext/>
      </w:pPr>
      <w:r>
        <w:tab/>
        <w:t>(5)</w:t>
      </w:r>
      <w:r>
        <w:tab/>
        <w:t>For the purposes of subsection (4), the court —</w:t>
      </w:r>
    </w:p>
    <w:p>
      <w:pPr>
        <w:pStyle w:val="Indenta"/>
      </w:pPr>
      <w:r>
        <w:tab/>
        <w:t>(a)</w:t>
      </w:r>
      <w:r>
        <w:tab/>
        <w:t>may adjourn the proceeding for such time as the court thinks necessary and may make such order as to costs in relation to an adjournment as it thinks fit; and</w:t>
      </w:r>
    </w:p>
    <w:p>
      <w:pPr>
        <w:pStyle w:val="Indenta"/>
      </w:pPr>
      <w:r>
        <w:tab/>
        <w:t>(b)</w:t>
      </w:r>
      <w:r>
        <w:tab/>
        <w:t>may direct a party to the proceeding to give a notice in accordance with that subsection.</w:t>
      </w:r>
    </w:p>
    <w:p>
      <w:pPr>
        <w:pStyle w:val="Subsection"/>
      </w:pPr>
      <w:r>
        <w:tab/>
        <w:t>(6)</w:t>
      </w:r>
      <w:r>
        <w:tab/>
        <w:t>In considering whether there are special reasons for the purposes of subsection (3), the court shall —</w:t>
      </w:r>
    </w:p>
    <w:p>
      <w:pPr>
        <w:pStyle w:val="Indenta"/>
      </w:pPr>
      <w:r>
        <w:tab/>
        <w:t>(a)</w:t>
      </w:r>
      <w:r>
        <w:tab/>
        <w:t>have regard to the general rule that special federal matters should be heard by the Federal Court or a court mentioned in subsection (2)(b), whichever is appropriate in the particular case; and</w:t>
      </w:r>
    </w:p>
    <w:p>
      <w:pPr>
        <w:pStyle w:val="Indenta"/>
      </w:pPr>
      <w:r>
        <w:tab/>
        <w:t>(b)</w:t>
      </w:r>
      <w:r>
        <w:tab/>
        <w:t>take into account any submission made in relation to the proceeding by an Attorney</w:t>
      </w:r>
      <w:r>
        <w:noBreakHyphen/>
        <w:t>General mentioned in subsection (4).</w:t>
      </w:r>
    </w:p>
    <w:p>
      <w:pPr>
        <w:pStyle w:val="Subsection"/>
      </w:pPr>
      <w:r>
        <w:tab/>
        <w:t>(7)</w:t>
      </w:r>
      <w:r>
        <w:tab/>
        <w:t>Nothing in this section prevents the court granting urgent relief of an interlocutory nature if it is in the interests of justice to do so.</w:t>
      </w:r>
    </w:p>
    <w:p>
      <w:pPr>
        <w:pStyle w:val="Subsection"/>
      </w:pPr>
      <w:r>
        <w:tab/>
        <w:t>(8)</w:t>
      </w:r>
      <w:r>
        <w:tab/>
        <w:t>If the Supreme Court —</w:t>
      </w:r>
    </w:p>
    <w:p>
      <w:pPr>
        <w:pStyle w:val="Indenta"/>
      </w:pPr>
      <w:r>
        <w:tab/>
        <w:t>(a)</w:t>
      </w:r>
      <w:r>
        <w:tab/>
        <w:t>through inadvertence, determines a proceeding of the kind mentioned in subsection (1) without making an order under subsection (3); or</w:t>
      </w:r>
    </w:p>
    <w:p>
      <w:pPr>
        <w:pStyle w:val="Indenta"/>
      </w:pPr>
      <w:r>
        <w:tab/>
        <w:t>(b)</w:t>
      </w:r>
      <w:r>
        <w:tab/>
        <w:t>determines a proceeding of the kind mentioned in subsection (1) having, through inadvertence, made an order under subsection (3) without a notice mentioned in subsection (4) being given,</w:t>
      </w:r>
    </w:p>
    <w:p>
      <w:pPr>
        <w:pStyle w:val="Subsection"/>
      </w:pPr>
      <w:r>
        <w:tab/>
      </w:r>
      <w:r>
        <w:tab/>
        <w:t>nothing in this section invalidates the decision of that court.</w:t>
      </w:r>
    </w:p>
    <w:p>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del w:id="25" w:author="Master Repository Process" w:date="2022-04-14T17:47:00Z">
        <w:r>
          <w:delText xml:space="preserve"> </w:delText>
        </w:r>
        <w:r>
          <w:rPr>
            <w:vertAlign w:val="superscript"/>
          </w:rPr>
          <w:delText>1</w:delText>
        </w:r>
      </w:del>
      <w:r>
        <w:t>, in relation to the special federal matter.</w:t>
      </w:r>
    </w:p>
    <w:p>
      <w:pPr>
        <w:pStyle w:val="Footnotesection"/>
        <w:spacing w:before="80"/>
        <w:ind w:left="890" w:hanging="890"/>
      </w:pPr>
      <w:r>
        <w:tab/>
        <w:t>[Section 6 inserted: No. 3 of 1994 s. 5; amended: No. 32 of 2001 s. 25; No. 45 of 2004 s. 37.]</w:t>
      </w:r>
    </w:p>
    <w:p>
      <w:pPr>
        <w:pStyle w:val="Heading5"/>
        <w:spacing w:before="180"/>
      </w:pPr>
      <w:bookmarkStart w:id="26" w:name="_Toc100576659"/>
      <w:bookmarkStart w:id="27" w:name="_Toc377384884"/>
      <w:bookmarkStart w:id="28" w:name="_Toc420505408"/>
      <w:r>
        <w:rPr>
          <w:rStyle w:val="CharSectno"/>
        </w:rPr>
        <w:t>6A</w:t>
      </w:r>
      <w:r>
        <w:t>.</w:t>
      </w:r>
      <w:r>
        <w:tab/>
        <w:t>Special federal matters: Commonwealth authorities or officers acting under the laws of States</w:t>
      </w:r>
      <w:bookmarkEnd w:id="26"/>
      <w:bookmarkEnd w:id="27"/>
      <w:bookmarkEnd w:id="28"/>
    </w:p>
    <w:p>
      <w:pPr>
        <w:pStyle w:val="Subsection"/>
        <w:spacing w:before="120"/>
      </w:pPr>
      <w:r>
        <w:tab/>
        <w:t>(1)</w:t>
      </w:r>
      <w:r>
        <w:tab/>
        <w:t xml:space="preserve">This section applies to a proceeding (in this section referred to as the </w:t>
      </w:r>
      <w:r>
        <w:rPr>
          <w:rStyle w:val="CharDefText"/>
        </w:rPr>
        <w:t>federal matter proceeding</w:t>
      </w:r>
      <w:r>
        <w:t>) if —</w:t>
      </w:r>
    </w:p>
    <w:p>
      <w:pPr>
        <w:pStyle w:val="Indenta"/>
      </w:pPr>
      <w:r>
        <w:tab/>
        <w:t>(a)</w:t>
      </w:r>
      <w:r>
        <w:tab/>
        <w:t xml:space="preserve">a matter for determination in the proceeding is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w:t>
      </w:r>
      <w:r>
        <w:rPr>
          <w:b/>
          <w:bCs/>
          <w:i/>
          <w:iCs/>
        </w:rPr>
        <w:t>enactment</w:t>
      </w:r>
      <w:r>
        <w:t xml:space="preserve"> in section 3(1) of the </w:t>
      </w:r>
      <w:r>
        <w:rPr>
          <w:i/>
        </w:rPr>
        <w:t>Administrative Decisions (Judicial Review) Act 1977</w:t>
      </w:r>
      <w:r>
        <w:t xml:space="preserve"> of the Commonwealth; and</w:t>
      </w:r>
    </w:p>
    <w:p>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pPr>
        <w:pStyle w:val="Indenti"/>
        <w:spacing w:before="60"/>
      </w:pPr>
      <w:r>
        <w:tab/>
        <w:t>(i)</w:t>
      </w:r>
      <w:r>
        <w:tab/>
        <w:t>that arises, or a substantial part of which arises, under the State enactment or a corresponding enactment of another State; and</w:t>
      </w:r>
    </w:p>
    <w:p>
      <w:pPr>
        <w:pStyle w:val="Indenti"/>
        <w:spacing w:before="60"/>
      </w:pPr>
      <w:r>
        <w:tab/>
        <w:t>(ii)</w:t>
      </w:r>
      <w:r>
        <w:tab/>
        <w:t xml:space="preserve">none of the matters for determination in which are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spacing w:before="60"/>
      </w:pPr>
      <w:r>
        <w:tab/>
      </w:r>
      <w:r>
        <w:tab/>
        <w:t>regardless of which proceeding was commenced first.</w:t>
      </w:r>
    </w:p>
    <w:p>
      <w:pPr>
        <w:pStyle w:val="Subsection"/>
      </w:pPr>
      <w:r>
        <w:tab/>
        <w:t>(2)</w:t>
      </w:r>
      <w:r>
        <w:tab/>
        <w:t>If —</w:t>
      </w:r>
    </w:p>
    <w:p>
      <w:pPr>
        <w:pStyle w:val="Indenta"/>
      </w:pPr>
      <w:r>
        <w:tab/>
        <w:t>(a)</w:t>
      </w:r>
      <w:r>
        <w:tab/>
        <w:t>the federal matter proceeding is pending in the Federal Court or the Family Court; and</w:t>
      </w:r>
    </w:p>
    <w:p>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pPr>
        <w:pStyle w:val="Subsection"/>
        <w:spacing w:before="120"/>
      </w:pPr>
      <w:r>
        <w:tab/>
      </w:r>
      <w:r>
        <w:tab/>
        <w:t>the Federal Court or the Family Court may transfer the proceeding to the Supreme Court, and section 5(5) does not apply to the federal matter proceeding.</w:t>
      </w:r>
    </w:p>
    <w:p>
      <w:pPr>
        <w:pStyle w:val="Subsection"/>
        <w:spacing w:before="120"/>
      </w:pPr>
      <w:r>
        <w:tab/>
        <w:t>(3)</w:t>
      </w:r>
      <w:r>
        <w:tab/>
        <w:t>If —</w:t>
      </w:r>
    </w:p>
    <w:p>
      <w:pPr>
        <w:pStyle w:val="Indenta"/>
      </w:pPr>
      <w:r>
        <w:tab/>
        <w:t>(a)</w:t>
      </w:r>
      <w:r>
        <w:tab/>
        <w:t>the federal matter proceeding is pending in the Supreme Court; and</w:t>
      </w:r>
    </w:p>
    <w:p>
      <w:pPr>
        <w:pStyle w:val="Indenta"/>
      </w:pPr>
      <w:r>
        <w:tab/>
        <w:t>(b)</w:t>
      </w:r>
      <w:r>
        <w:tab/>
        <w:t>the State matter proceeding is pending in any court of this State,</w:t>
      </w:r>
    </w:p>
    <w:p>
      <w:pPr>
        <w:pStyle w:val="Subsection"/>
        <w:spacing w:before="120"/>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pPr>
        <w:pStyle w:val="Subsection"/>
        <w:spacing w:before="120"/>
      </w:pPr>
      <w:r>
        <w:tab/>
        <w:t>(4)</w:t>
      </w:r>
      <w:r>
        <w:tab/>
        <w:t>Nothing in this section confers on a court jurisdiction that the court would not otherwise have.</w:t>
      </w:r>
    </w:p>
    <w:p>
      <w:pPr>
        <w:pStyle w:val="Subsection"/>
        <w:spacing w:before="120"/>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pPr>
        <w:pStyle w:val="Subsection"/>
        <w:spacing w:before="120"/>
      </w:pPr>
      <w:r>
        <w:tab/>
        <w:t>(6)</w:t>
      </w:r>
      <w:r>
        <w:tab/>
        <w:t>In this section —</w:t>
      </w:r>
    </w:p>
    <w:p>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pPr>
        <w:pStyle w:val="Defstart"/>
      </w:pPr>
      <w:r>
        <w:tab/>
      </w:r>
      <w:r>
        <w:rPr>
          <w:rStyle w:val="CharDefText"/>
        </w:rPr>
        <w:t>officer of the Commonwealth</w:t>
      </w:r>
      <w:r>
        <w:t xml:space="preserve"> has the same meaning as in section 75(v) of the Constitution of the Commonwealth.</w:t>
      </w:r>
    </w:p>
    <w:p>
      <w:pPr>
        <w:pStyle w:val="Footnotesection"/>
      </w:pPr>
      <w:r>
        <w:tab/>
        <w:t>[Section 6A inserted: No. 32 of 2001 s. 26; amended: No. 8 of 2009 s. 82.]</w:t>
      </w:r>
    </w:p>
    <w:p>
      <w:pPr>
        <w:pStyle w:val="Heading5"/>
        <w:rPr>
          <w:snapToGrid w:val="0"/>
        </w:rPr>
      </w:pPr>
      <w:bookmarkStart w:id="29" w:name="_Toc100576660"/>
      <w:bookmarkStart w:id="30" w:name="_Toc377384885"/>
      <w:bookmarkStart w:id="31" w:name="_Toc420505409"/>
      <w:r>
        <w:rPr>
          <w:rStyle w:val="CharSectno"/>
        </w:rPr>
        <w:t>7</w:t>
      </w:r>
      <w:r>
        <w:rPr>
          <w:snapToGrid w:val="0"/>
        </w:rPr>
        <w:t>.</w:t>
      </w:r>
      <w:r>
        <w:rPr>
          <w:snapToGrid w:val="0"/>
        </w:rPr>
        <w:tab/>
        <w:t>Institution and hearing of appeals</w:t>
      </w:r>
      <w:bookmarkEnd w:id="29"/>
      <w:bookmarkEnd w:id="30"/>
      <w:bookmarkEnd w:id="31"/>
    </w:p>
    <w:p>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pPr>
        <w:pStyle w:val="Subsection"/>
        <w:rPr>
          <w:snapToGrid w:val="0"/>
        </w:rPr>
      </w:pPr>
      <w:r>
        <w:rPr>
          <w:snapToGrid w:val="0"/>
        </w:rPr>
        <w:tab/>
        <w:t>(2)</w:t>
      </w:r>
      <w:r>
        <w:rPr>
          <w:snapToGrid w:val="0"/>
        </w:rPr>
        <w:tab/>
        <w:t>An appeal shall not be instituted from the Federal Court or the Family Court to the other of those courts.</w:t>
      </w:r>
    </w:p>
    <w:p>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w:t>
      </w:r>
    </w:p>
    <w:p>
      <w:pPr>
        <w:pStyle w:val="Indenta"/>
        <w:rPr>
          <w:snapToGrid w:val="0"/>
        </w:rPr>
      </w:pPr>
      <w:r>
        <w:rPr>
          <w:snapToGrid w:val="0"/>
        </w:rPr>
        <w:tab/>
        <w:t>(a)</w:t>
      </w:r>
      <w:r>
        <w:rPr>
          <w:snapToGrid w:val="0"/>
        </w:rPr>
        <w:tab/>
        <w:t>the Full Court of the Federal Court or of the Family Court, as the case requires; or</w:t>
      </w:r>
    </w:p>
    <w:p>
      <w:pPr>
        <w:pStyle w:val="Indenta"/>
        <w:rPr>
          <w:snapToGrid w:val="0"/>
        </w:rPr>
      </w:pPr>
      <w:r>
        <w:rPr>
          <w:snapToGrid w:val="0"/>
        </w:rPr>
        <w:tab/>
        <w:t>(b)</w:t>
      </w:r>
      <w:r>
        <w:rPr>
          <w:snapToGrid w:val="0"/>
        </w:rPr>
        <w:tab/>
        <w:t>with special leave of the High Court, the High Court.</w:t>
      </w:r>
    </w:p>
    <w:p>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w:t>
      </w:r>
    </w:p>
    <w:p>
      <w:pPr>
        <w:pStyle w:val="Indenta"/>
        <w:rPr>
          <w:snapToGrid w:val="0"/>
        </w:rPr>
      </w:pPr>
      <w:r>
        <w:rPr>
          <w:snapToGrid w:val="0"/>
        </w:rPr>
        <w:tab/>
        <w:t>(a)</w:t>
      </w:r>
      <w:r>
        <w:rPr>
          <w:snapToGrid w:val="0"/>
        </w:rPr>
        <w:tab/>
        <w:t>a matter arising under an Act specified in the Schedule referred to in subsection (3); and</w:t>
      </w:r>
    </w:p>
    <w:p>
      <w:pPr>
        <w:pStyle w:val="Indenta"/>
        <w:rPr>
          <w:snapToGrid w:val="0"/>
        </w:rPr>
      </w:pPr>
      <w:r>
        <w:rPr>
          <w:snapToGrid w:val="0"/>
        </w:rPr>
        <w:tab/>
        <w:t>(b)</w:t>
      </w:r>
      <w:r>
        <w:rPr>
          <w:snapToGrid w:val="0"/>
        </w:rPr>
        <w:tab/>
        <w:t>another matter,</w:t>
      </w:r>
    </w:p>
    <w:p>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the Court of Appeal commences to hear a proceeding by way of an appeal; and</w:t>
      </w:r>
    </w:p>
    <w:p>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pPr>
        <w:pStyle w:val="Subsection"/>
        <w:keepNext/>
        <w:rPr>
          <w:snapToGrid w:val="0"/>
        </w:rPr>
      </w:pPr>
      <w:r>
        <w:rPr>
          <w:snapToGrid w:val="0"/>
        </w:rPr>
        <w:tab/>
        <w:t>(8)</w:t>
      </w:r>
      <w:r>
        <w:rPr>
          <w:snapToGrid w:val="0"/>
        </w:rPr>
        <w:tab/>
        <w:t>Where the Court of Appeal —</w:t>
      </w:r>
    </w:p>
    <w:p>
      <w:pPr>
        <w:pStyle w:val="Indenta"/>
        <w:rPr>
          <w:snapToGrid w:val="0"/>
        </w:rPr>
      </w:pPr>
      <w:r>
        <w:rPr>
          <w:snapToGrid w:val="0"/>
        </w:rPr>
        <w:tab/>
        <w:t>(a)</w:t>
      </w:r>
      <w:r>
        <w:rPr>
          <w:snapToGrid w:val="0"/>
        </w:rPr>
        <w:tab/>
        <w:t>determines a proceeding to which subsection (5) applies as mentioned in subsection (7); or</w:t>
      </w:r>
    </w:p>
    <w:p>
      <w:pPr>
        <w:pStyle w:val="Indenta"/>
        <w:rPr>
          <w:snapToGrid w:val="0"/>
        </w:rPr>
      </w:pPr>
      <w:r>
        <w:rPr>
          <w:snapToGrid w:val="0"/>
        </w:rPr>
        <w:tab/>
        <w:t>(b)</w:t>
      </w:r>
      <w:r>
        <w:rPr>
          <w:snapToGrid w:val="0"/>
        </w:rPr>
        <w:tab/>
        <w:t>through inadvertence, determines a proceeding to which subsection (5) applies,</w:t>
      </w:r>
    </w:p>
    <w:p>
      <w:pPr>
        <w:pStyle w:val="Subsection"/>
        <w:rPr>
          <w:snapToGrid w:val="0"/>
        </w:rPr>
      </w:pPr>
      <w:r>
        <w:rPr>
          <w:snapToGrid w:val="0"/>
        </w:rPr>
        <w:tab/>
      </w:r>
      <w:r>
        <w:rPr>
          <w:snapToGrid w:val="0"/>
        </w:rPr>
        <w:tab/>
        <w:t>nothing in this section invalidates the decision of that Court.</w:t>
      </w:r>
    </w:p>
    <w:p>
      <w:pPr>
        <w:pStyle w:val="Footnotesection"/>
      </w:pPr>
      <w:r>
        <w:tab/>
        <w:t>[Section 7 amended: No. 3 of 1994 s. 6(b); No. 45 of 2004 s. 37.]</w:t>
      </w:r>
    </w:p>
    <w:p>
      <w:pPr>
        <w:pStyle w:val="Heading5"/>
        <w:rPr>
          <w:snapToGrid w:val="0"/>
        </w:rPr>
      </w:pPr>
      <w:bookmarkStart w:id="32" w:name="_Toc100576661"/>
      <w:bookmarkStart w:id="33" w:name="_Toc377384886"/>
      <w:bookmarkStart w:id="34" w:name="_Toc420505410"/>
      <w:r>
        <w:rPr>
          <w:rStyle w:val="CharSectno"/>
        </w:rPr>
        <w:t>8</w:t>
      </w:r>
      <w:r>
        <w:rPr>
          <w:snapToGrid w:val="0"/>
        </w:rPr>
        <w:t>.</w:t>
      </w:r>
      <w:r>
        <w:rPr>
          <w:snapToGrid w:val="0"/>
        </w:rPr>
        <w:tab/>
        <w:t>Orders by Supreme Court</w:t>
      </w:r>
      <w:bookmarkEnd w:id="32"/>
      <w:bookmarkEnd w:id="33"/>
      <w:bookmarkEnd w:id="34"/>
    </w:p>
    <w:p>
      <w:pPr>
        <w:pStyle w:val="Subsection"/>
        <w:keepNext/>
        <w:keepLines/>
        <w:rPr>
          <w:snapToGrid w:val="0"/>
        </w:rPr>
      </w:pPr>
      <w:r>
        <w:rPr>
          <w:snapToGrid w:val="0"/>
        </w:rPr>
        <w:tab/>
        <w:t>(1)</w:t>
      </w:r>
      <w:r>
        <w:rPr>
          <w:snapToGrid w:val="0"/>
        </w:rPr>
        <w:tab/>
        <w:t>Where —</w:t>
      </w:r>
    </w:p>
    <w:p>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w:t>
      </w:r>
    </w:p>
    <w:p>
      <w:pPr>
        <w:pStyle w:val="Indenti"/>
        <w:rPr>
          <w:snapToGrid w:val="0"/>
        </w:rPr>
      </w:pPr>
      <w:r>
        <w:rPr>
          <w:snapToGrid w:val="0"/>
        </w:rPr>
        <w:tab/>
        <w:t>(i)</w:t>
      </w:r>
      <w:r>
        <w:rPr>
          <w:snapToGrid w:val="0"/>
        </w:rPr>
        <w:tab/>
        <w:t>a court, other than the Supreme Court, of the State; or</w:t>
      </w:r>
    </w:p>
    <w:p>
      <w:pPr>
        <w:pStyle w:val="Indenti"/>
        <w:rPr>
          <w:snapToGrid w:val="0"/>
        </w:rPr>
      </w:pPr>
      <w:r>
        <w:rPr>
          <w:snapToGrid w:val="0"/>
        </w:rPr>
        <w:tab/>
        <w:t>(ii)</w:t>
      </w:r>
      <w:r>
        <w:rPr>
          <w:snapToGrid w:val="0"/>
        </w:rPr>
        <w:tab/>
        <w:t>a tribunal established by or under an Act;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it appears to the Supreme Court that —</w:t>
      </w:r>
    </w:p>
    <w:p>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pPr>
        <w:pStyle w:val="Heading5"/>
        <w:rPr>
          <w:snapToGrid w:val="0"/>
        </w:rPr>
      </w:pPr>
      <w:bookmarkStart w:id="35" w:name="_Toc100576662"/>
      <w:bookmarkStart w:id="36" w:name="_Toc377384887"/>
      <w:bookmarkStart w:id="37" w:name="_Toc420505411"/>
      <w:r>
        <w:rPr>
          <w:rStyle w:val="CharSectno"/>
        </w:rPr>
        <w:t>9</w:t>
      </w:r>
      <w:r>
        <w:rPr>
          <w:snapToGrid w:val="0"/>
        </w:rPr>
        <w:t>.</w:t>
      </w:r>
      <w:r>
        <w:rPr>
          <w:snapToGrid w:val="0"/>
        </w:rPr>
        <w:tab/>
        <w:t>Exercise of jurisdiction pursuant to cross</w:t>
      </w:r>
      <w:r>
        <w:rPr>
          <w:snapToGrid w:val="0"/>
        </w:rPr>
        <w:noBreakHyphen/>
        <w:t>vesting laws</w:t>
      </w:r>
      <w:bookmarkEnd w:id="35"/>
      <w:bookmarkEnd w:id="36"/>
      <w:bookmarkEnd w:id="37"/>
    </w:p>
    <w:p>
      <w:pPr>
        <w:pStyle w:val="Subsection"/>
        <w:keepNext/>
        <w:rPr>
          <w:snapToGrid w:val="0"/>
        </w:rPr>
      </w:pPr>
      <w:r>
        <w:rPr>
          <w:snapToGrid w:val="0"/>
        </w:rPr>
        <w:tab/>
      </w:r>
      <w:r>
        <w:rPr>
          <w:snapToGrid w:val="0"/>
        </w:rPr>
        <w:tab/>
        <w:t>The Supreme Court or the State Family Court —</w:t>
      </w:r>
    </w:p>
    <w:p>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pPr>
        <w:pStyle w:val="Indenta"/>
        <w:rPr>
          <w:snapToGrid w:val="0"/>
        </w:rPr>
      </w:pPr>
      <w:r>
        <w:rPr>
          <w:snapToGrid w:val="0"/>
        </w:rPr>
        <w:tab/>
        <w:t>(b)</w:t>
      </w:r>
      <w:r>
        <w:rPr>
          <w:snapToGrid w:val="0"/>
        </w:rPr>
        <w:tab/>
        <w:t>may hear and determine a proceeding transferred to that court under such a provision.</w:t>
      </w:r>
    </w:p>
    <w:p>
      <w:pPr>
        <w:pStyle w:val="Heading5"/>
        <w:rPr>
          <w:snapToGrid w:val="0"/>
        </w:rPr>
      </w:pPr>
      <w:bookmarkStart w:id="38" w:name="_Toc100576663"/>
      <w:bookmarkStart w:id="39" w:name="_Toc377384888"/>
      <w:bookmarkStart w:id="40" w:name="_Toc420505412"/>
      <w:r>
        <w:rPr>
          <w:rStyle w:val="CharSectno"/>
        </w:rPr>
        <w:t>10</w:t>
      </w:r>
      <w:r>
        <w:rPr>
          <w:snapToGrid w:val="0"/>
        </w:rPr>
        <w:t>.</w:t>
      </w:r>
      <w:r>
        <w:rPr>
          <w:snapToGrid w:val="0"/>
        </w:rPr>
        <w:tab/>
        <w:t>Transfer of matters arising under Division 1 or 1A of Part V of the Trade Practices Act</w:t>
      </w:r>
      <w:bookmarkEnd w:id="38"/>
      <w:bookmarkEnd w:id="39"/>
      <w:bookmarkEnd w:id="40"/>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a proceeding is pending in the Supreme Court or the Supreme Court of another State or of a Territory;</w:t>
      </w:r>
    </w:p>
    <w:p>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pPr>
        <w:pStyle w:val="Indenta"/>
        <w:rPr>
          <w:snapToGrid w:val="0"/>
        </w:rPr>
      </w:pPr>
      <w:r>
        <w:rPr>
          <w:snapToGrid w:val="0"/>
        </w:rPr>
        <w:tab/>
        <w:t>(c)</w:t>
      </w:r>
      <w:r>
        <w:rPr>
          <w:snapToGrid w:val="0"/>
        </w:rPr>
        <w:tab/>
        <w:t>no matter for determination in the proceeding is a special federal matter;</w:t>
      </w:r>
    </w:p>
    <w:p>
      <w:pPr>
        <w:pStyle w:val="Indenta"/>
        <w:rPr>
          <w:snapToGrid w:val="0"/>
        </w:rPr>
      </w:pPr>
      <w:r>
        <w:rPr>
          <w:snapToGrid w:val="0"/>
        </w:rPr>
        <w:tab/>
        <w:t>(d)</w:t>
      </w:r>
      <w:r>
        <w:rPr>
          <w:snapToGrid w:val="0"/>
        </w:rPr>
        <w:tab/>
        <w:t>the proceeding is not a proceeding by way of an appeal from a judgment of a court; and</w:t>
      </w:r>
    </w:p>
    <w:p>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pPr>
        <w:pStyle w:val="Footnotesection"/>
      </w:pPr>
      <w:r>
        <w:tab/>
        <w:t>[Section 10 amended: No. 32 of 2001 s. 27.]</w:t>
      </w:r>
    </w:p>
    <w:p>
      <w:pPr>
        <w:pStyle w:val="Heading5"/>
        <w:rPr>
          <w:snapToGrid w:val="0"/>
        </w:rPr>
      </w:pPr>
      <w:bookmarkStart w:id="41" w:name="_Toc100576664"/>
      <w:bookmarkStart w:id="42" w:name="_Toc377384889"/>
      <w:bookmarkStart w:id="43" w:name="_Toc420505413"/>
      <w:r>
        <w:rPr>
          <w:rStyle w:val="CharSectno"/>
        </w:rPr>
        <w:t>11</w:t>
      </w:r>
      <w:r>
        <w:rPr>
          <w:snapToGrid w:val="0"/>
        </w:rPr>
        <w:t>.</w:t>
      </w:r>
      <w:r>
        <w:rPr>
          <w:snapToGrid w:val="0"/>
        </w:rPr>
        <w:tab/>
        <w:t>Conduct of proceedings</w:t>
      </w:r>
      <w:bookmarkEnd w:id="41"/>
      <w:bookmarkEnd w:id="42"/>
      <w:bookmarkEnd w:id="43"/>
    </w:p>
    <w:p>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w:t>
      </w:r>
    </w:p>
    <w:p>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pPr>
        <w:pStyle w:val="Ednotesubsection"/>
      </w:pPr>
      <w:r>
        <w:tab/>
        <w:t>[(2)</w:t>
      </w:r>
      <w:r>
        <w:tab/>
        <w:t>deleted]</w:t>
      </w:r>
    </w:p>
    <w:p>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Footnotesection"/>
      </w:pPr>
      <w:r>
        <w:tab/>
        <w:t>[Section 11 amended: No. 32 of 2001 s. 28.]</w:t>
      </w:r>
    </w:p>
    <w:p>
      <w:pPr>
        <w:pStyle w:val="Heading5"/>
        <w:rPr>
          <w:snapToGrid w:val="0"/>
        </w:rPr>
      </w:pPr>
      <w:bookmarkStart w:id="44" w:name="_Toc100576665"/>
      <w:bookmarkStart w:id="45" w:name="_Toc377384890"/>
      <w:bookmarkStart w:id="46" w:name="_Toc420505414"/>
      <w:r>
        <w:rPr>
          <w:rStyle w:val="CharSectno"/>
        </w:rPr>
        <w:t>12</w:t>
      </w:r>
      <w:r>
        <w:rPr>
          <w:snapToGrid w:val="0"/>
        </w:rPr>
        <w:t>.</w:t>
      </w:r>
      <w:r>
        <w:rPr>
          <w:snapToGrid w:val="0"/>
        </w:rPr>
        <w:tab/>
        <w:t>Orders as to costs</w:t>
      </w:r>
      <w:bookmarkEnd w:id="44"/>
      <w:bookmarkEnd w:id="45"/>
      <w:bookmarkEnd w:id="46"/>
    </w:p>
    <w:p>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pPr>
        <w:pStyle w:val="Heading5"/>
        <w:rPr>
          <w:snapToGrid w:val="0"/>
        </w:rPr>
      </w:pPr>
      <w:bookmarkStart w:id="47" w:name="_Toc100576666"/>
      <w:bookmarkStart w:id="48" w:name="_Toc377384891"/>
      <w:bookmarkStart w:id="49" w:name="_Toc420505415"/>
      <w:r>
        <w:rPr>
          <w:rStyle w:val="CharSectno"/>
        </w:rPr>
        <w:t>13</w:t>
      </w:r>
      <w:r>
        <w:rPr>
          <w:snapToGrid w:val="0"/>
        </w:rPr>
        <w:t>.</w:t>
      </w:r>
      <w:r>
        <w:rPr>
          <w:snapToGrid w:val="0"/>
        </w:rPr>
        <w:tab/>
        <w:t>Limitation on appeals</w:t>
      </w:r>
      <w:bookmarkEnd w:id="47"/>
      <w:bookmarkEnd w:id="48"/>
      <w:bookmarkEnd w:id="49"/>
    </w:p>
    <w:p>
      <w:pPr>
        <w:pStyle w:val="Subsection"/>
        <w:keepNext/>
        <w:rPr>
          <w:snapToGrid w:val="0"/>
        </w:rPr>
      </w:pPr>
      <w:r>
        <w:rPr>
          <w:snapToGrid w:val="0"/>
        </w:rPr>
        <w:tab/>
      </w:r>
      <w:r>
        <w:rPr>
          <w:snapToGrid w:val="0"/>
        </w:rPr>
        <w:tab/>
        <w:t>An appeal does not lie from a decision of a court —</w:t>
      </w:r>
    </w:p>
    <w:p>
      <w:pPr>
        <w:pStyle w:val="Indenta"/>
        <w:rPr>
          <w:snapToGrid w:val="0"/>
        </w:rPr>
      </w:pPr>
      <w:r>
        <w:rPr>
          <w:snapToGrid w:val="0"/>
        </w:rPr>
        <w:tab/>
        <w:t>(a)</w:t>
      </w:r>
      <w:r>
        <w:rPr>
          <w:snapToGrid w:val="0"/>
        </w:rPr>
        <w:tab/>
        <w:t>in relation to the transfer or removal of a proceeding under this Act; or</w:t>
      </w:r>
    </w:p>
    <w:p>
      <w:pPr>
        <w:pStyle w:val="Indenta"/>
        <w:rPr>
          <w:snapToGrid w:val="0"/>
        </w:rPr>
      </w:pPr>
      <w:r>
        <w:rPr>
          <w:snapToGrid w:val="0"/>
        </w:rPr>
        <w:tab/>
        <w:t>(b)</w:t>
      </w:r>
      <w:r>
        <w:rPr>
          <w:snapToGrid w:val="0"/>
        </w:rPr>
        <w:tab/>
        <w:t>as to which rules of evidence and procedure are to be applied pursuant to section 11(1).</w:t>
      </w:r>
    </w:p>
    <w:p>
      <w:pPr>
        <w:pStyle w:val="Heading5"/>
        <w:rPr>
          <w:snapToGrid w:val="0"/>
        </w:rPr>
      </w:pPr>
      <w:bookmarkStart w:id="50" w:name="_Toc100576667"/>
      <w:bookmarkStart w:id="51" w:name="_Toc377384892"/>
      <w:bookmarkStart w:id="52" w:name="_Toc420505416"/>
      <w:r>
        <w:rPr>
          <w:rStyle w:val="CharSectno"/>
        </w:rPr>
        <w:t>14</w:t>
      </w:r>
      <w:r>
        <w:rPr>
          <w:snapToGrid w:val="0"/>
        </w:rPr>
        <w:t>.</w:t>
      </w:r>
      <w:r>
        <w:rPr>
          <w:snapToGrid w:val="0"/>
        </w:rPr>
        <w:tab/>
        <w:t>Enforcement and effect of judgments</w:t>
      </w:r>
      <w:bookmarkEnd w:id="50"/>
      <w:bookmarkEnd w:id="51"/>
      <w:bookmarkEnd w:id="52"/>
    </w:p>
    <w:p>
      <w:pPr>
        <w:pStyle w:val="Ednotesubsection"/>
      </w:pPr>
      <w:r>
        <w:tab/>
        <w:t>[(1)</w:t>
      </w:r>
      <w:r>
        <w:tab/>
        <w:t>deleted]</w:t>
      </w:r>
    </w:p>
    <w:p>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pPr>
        <w:pStyle w:val="Indenta"/>
        <w:rPr>
          <w:snapToGrid w:val="0"/>
        </w:rPr>
      </w:pPr>
      <w:r>
        <w:rPr>
          <w:snapToGrid w:val="0"/>
        </w:rPr>
        <w:tab/>
        <w:t>(b)</w:t>
      </w:r>
      <w:r>
        <w:rPr>
          <w:snapToGrid w:val="0"/>
        </w:rPr>
        <w:tab/>
        <w:t>that thing is done by another court in exercise of jurisdiction conferred by this Act,</w:t>
      </w:r>
    </w:p>
    <w:p>
      <w:pPr>
        <w:pStyle w:val="Subsection"/>
        <w:rPr>
          <w:snapToGrid w:val="0"/>
        </w:rPr>
      </w:pPr>
      <w:r>
        <w:rPr>
          <w:snapToGrid w:val="0"/>
        </w:rPr>
        <w:tab/>
      </w:r>
      <w:r>
        <w:rPr>
          <w:snapToGrid w:val="0"/>
        </w:rPr>
        <w:tab/>
        <w:t>the reference in that provision to the Supreme Court shall be read as a reference to that other court.</w:t>
      </w:r>
    </w:p>
    <w:p>
      <w:pPr>
        <w:pStyle w:val="Footnotesection"/>
      </w:pPr>
      <w:r>
        <w:tab/>
        <w:t>[Section 14 amended: No. 32 of 2001 s. 29.]</w:t>
      </w:r>
    </w:p>
    <w:p>
      <w:pPr>
        <w:pStyle w:val="Heading5"/>
        <w:rPr>
          <w:snapToGrid w:val="0"/>
        </w:rPr>
      </w:pPr>
      <w:bookmarkStart w:id="53" w:name="_Toc100576668"/>
      <w:bookmarkStart w:id="54" w:name="_Toc377384893"/>
      <w:bookmarkStart w:id="55" w:name="_Toc420505417"/>
      <w:r>
        <w:rPr>
          <w:rStyle w:val="CharSectno"/>
        </w:rPr>
        <w:t>15</w:t>
      </w:r>
      <w:r>
        <w:rPr>
          <w:snapToGrid w:val="0"/>
        </w:rPr>
        <w:t>.</w:t>
      </w:r>
      <w:r>
        <w:rPr>
          <w:snapToGrid w:val="0"/>
        </w:rPr>
        <w:tab/>
        <w:t>Construction of Act to be subject to legislative power of State</w:t>
      </w:r>
      <w:bookmarkEnd w:id="53"/>
      <w:bookmarkEnd w:id="54"/>
      <w:bookmarkEnd w:id="55"/>
    </w:p>
    <w:p>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pPr>
        <w:pStyle w:val="Heading5"/>
        <w:rPr>
          <w:snapToGrid w:val="0"/>
        </w:rPr>
      </w:pPr>
      <w:bookmarkStart w:id="56" w:name="_Toc100576669"/>
      <w:bookmarkStart w:id="57" w:name="_Toc377384894"/>
      <w:bookmarkStart w:id="58" w:name="_Toc420505418"/>
      <w:r>
        <w:rPr>
          <w:rStyle w:val="CharSectno"/>
        </w:rPr>
        <w:t>16</w:t>
      </w:r>
      <w:r>
        <w:rPr>
          <w:snapToGrid w:val="0"/>
        </w:rPr>
        <w:t>.</w:t>
      </w:r>
      <w:r>
        <w:rPr>
          <w:snapToGrid w:val="0"/>
        </w:rPr>
        <w:tab/>
        <w:t>Suspension or cessation of operation of Act</w:t>
      </w:r>
      <w:bookmarkEnd w:id="56"/>
      <w:bookmarkEnd w:id="57"/>
      <w:bookmarkEnd w:id="58"/>
    </w:p>
    <w:p>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Governor has made a proclamation under subsection (5) in relation to the Commonwealth or a Territory or a State; and</w:t>
      </w:r>
    </w:p>
    <w:p>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59" w:name="_Toc100562037"/>
      <w:bookmarkStart w:id="60" w:name="_Toc100576670"/>
      <w:bookmarkStart w:id="61" w:name="_Toc377384895"/>
      <w:bookmarkStart w:id="62" w:name="_Toc420505304"/>
      <w:bookmarkStart w:id="63" w:name="_Toc420505328"/>
      <w:bookmarkStart w:id="64" w:name="_Toc420505419"/>
      <w:bookmarkStart w:id="65" w:name="_Toc100561346"/>
      <w:r>
        <w:t>Notes</w:t>
      </w:r>
      <w:bookmarkEnd w:id="59"/>
      <w:bookmarkEnd w:id="60"/>
      <w:bookmarkEnd w:id="61"/>
      <w:bookmarkEnd w:id="62"/>
      <w:bookmarkEnd w:id="63"/>
      <w:bookmarkEnd w:id="64"/>
    </w:p>
    <w:p>
      <w:pPr>
        <w:pStyle w:val="nStatement"/>
      </w:pPr>
      <w:del w:id="66" w:author="Master Repository Process" w:date="2022-04-14T17:47:00Z">
        <w:r>
          <w:rPr>
            <w:snapToGrid w:val="0"/>
            <w:vertAlign w:val="superscript"/>
          </w:rPr>
          <w:delText>1</w:delText>
        </w:r>
        <w:r>
          <w:rPr>
            <w:snapToGrid w:val="0"/>
          </w:rPr>
          <w:tab/>
        </w:r>
      </w:del>
      <w:r>
        <w:t xml:space="preserve">This is a compilation of the </w:t>
      </w:r>
      <w:r>
        <w:rPr>
          <w:i/>
          <w:noProof/>
        </w:rPr>
        <w:t>Jurisdiction of Courts (Cross-vesting) Act 1987</w:t>
      </w:r>
      <w:r>
        <w:t xml:space="preserve"> and includes </w:t>
      </w:r>
      <w:del w:id="67" w:author="Master Repository Process" w:date="2022-04-14T17:47:00Z">
        <w:r>
          <w:rPr>
            <w:snapToGrid w:val="0"/>
          </w:rPr>
          <w:delText xml:space="preserve">the </w:delText>
        </w:r>
      </w:del>
      <w:r>
        <w:t xml:space="preserve">amendments made by </w:t>
      </w:r>
      <w:del w:id="68" w:author="Master Repository Process" w:date="2022-04-14T17:47:00Z">
        <w:r>
          <w:rPr>
            <w:snapToGrid w:val="0"/>
          </w:rPr>
          <w:delText xml:space="preserve">the </w:delText>
        </w:r>
      </w:del>
      <w:r>
        <w:t>other written laws</w:t>
      </w:r>
      <w:del w:id="69" w:author="Master Repository Process" w:date="2022-04-14T17:47:00Z">
        <w:r>
          <w:rPr>
            <w:snapToGrid w:val="0"/>
          </w:rPr>
          <w:delText xml:space="preserve"> referred to in the following table</w:delText>
        </w:r>
        <w:r>
          <w:rPr>
            <w:snapToGrid w:val="0"/>
            <w:vertAlign w:val="superscript"/>
          </w:rPr>
          <w:delText> 2</w:delText>
        </w:r>
        <w:r>
          <w:rPr>
            <w:snapToGrid w:val="0"/>
          </w:rPr>
          <w:delText>.  The table also contains</w:delText>
        </w:r>
      </w:del>
      <w:ins w:id="70" w:author="Master Repository Process" w:date="2022-04-14T17:47:00Z">
        <w:r>
          <w:t>. For provisions that have come into operation, and for</w:t>
        </w:r>
      </w:ins>
      <w:r>
        <w:t xml:space="preserve"> information about any </w:t>
      </w:r>
      <w:del w:id="71" w:author="Master Repository Process" w:date="2022-04-14T17:47:00Z">
        <w:r>
          <w:rPr>
            <w:snapToGrid w:val="0"/>
          </w:rPr>
          <w:delText>reprint</w:delText>
        </w:r>
      </w:del>
      <w:ins w:id="72" w:author="Master Repository Process" w:date="2022-04-14T17:47:00Z">
        <w:r>
          <w:t>reprints, see the compilation table</w:t>
        </w:r>
        <w:r>
          <w:rPr>
            <w:snapToGrid w:val="0"/>
            <w:vertAlign w:val="superscript"/>
          </w:rPr>
          <w:t> 1</w:t>
        </w:r>
        <w:r>
          <w:t>. For provisions that have not yet come into operation see the uncommenced provisions table</w:t>
        </w:r>
      </w:ins>
      <w:r>
        <w:t>.</w:t>
      </w:r>
    </w:p>
    <w:p>
      <w:pPr>
        <w:pStyle w:val="nHeading3"/>
      </w:pPr>
      <w:bookmarkStart w:id="73" w:name="_Toc100576671"/>
      <w:bookmarkStart w:id="74" w:name="_Toc377384896"/>
      <w:bookmarkStart w:id="75" w:name="_Toc420505420"/>
      <w:r>
        <w:t>Compilation table</w:t>
      </w:r>
      <w:bookmarkEnd w:id="73"/>
      <w:bookmarkEnd w:id="74"/>
      <w:bookmarkEnd w:id="7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76" w:author="Master Repository Process" w:date="2022-04-14T17:47:00Z">
              <w:r>
                <w:rPr>
                  <w:b/>
                </w:rPr>
                <w:delText xml:space="preserve"> </w:delText>
              </w:r>
            </w:del>
            <w:ins w:id="77" w:author="Master Repository Process" w:date="2022-04-14T17:4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rPr>
              <w:t>Jurisdiction of Courts (Cross-vesting) Act 1987</w:t>
            </w:r>
          </w:p>
        </w:tc>
        <w:tc>
          <w:tcPr>
            <w:tcW w:w="1134" w:type="dxa"/>
            <w:tcBorders>
              <w:top w:val="nil"/>
              <w:bottom w:val="nil"/>
            </w:tcBorders>
          </w:tcPr>
          <w:p>
            <w:pPr>
              <w:pStyle w:val="nTable"/>
              <w:spacing w:after="40"/>
            </w:pPr>
            <w:r>
              <w:t>68 of 1987</w:t>
            </w:r>
          </w:p>
        </w:tc>
        <w:tc>
          <w:tcPr>
            <w:tcW w:w="1134" w:type="dxa"/>
            <w:tcBorders>
              <w:top w:val="nil"/>
              <w:bottom w:val="nil"/>
            </w:tcBorders>
          </w:tcPr>
          <w:p>
            <w:pPr>
              <w:pStyle w:val="nTable"/>
              <w:spacing w:after="40"/>
            </w:pPr>
            <w:r>
              <w:t>22 Nov 1987</w:t>
            </w:r>
          </w:p>
        </w:tc>
        <w:tc>
          <w:tcPr>
            <w:tcW w:w="2552" w:type="dxa"/>
            <w:tcBorders>
              <w:top w:val="nil"/>
              <w:bottom w:val="nil"/>
            </w:tcBorders>
          </w:tcPr>
          <w:p>
            <w:pPr>
              <w:pStyle w:val="nTable"/>
              <w:spacing w:after="40"/>
            </w:pPr>
            <w:r>
              <w:t>s. 1: 22 Nov 1987;</w:t>
            </w:r>
            <w:r>
              <w:br/>
              <w:t xml:space="preserve">Act other than s. 1: 1 Jul 1988 (see s. 1(2) and </w:t>
            </w:r>
            <w:r>
              <w:rPr>
                <w:i/>
              </w:rPr>
              <w:t>Gazette</w:t>
            </w:r>
            <w:r>
              <w:t xml:space="preserve"> 24 Jun 1988 p. 1995)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vertAlign w:val="superscript"/>
              </w:rPr>
            </w:pPr>
            <w:r>
              <w:rPr>
                <w:i/>
              </w:rPr>
              <w:t>Jurisdiction of Courts (Cross-vesting) Amendment Act 1994</w:t>
            </w:r>
            <w:r>
              <w:rPr>
                <w:i/>
                <w:vertAlign w:val="superscript"/>
              </w:rPr>
              <w:t> </w:t>
            </w:r>
            <w:del w:id="78" w:author="Master Repository Process" w:date="2022-04-14T17:47:00Z">
              <w:r>
                <w:rPr>
                  <w:vertAlign w:val="superscript"/>
                </w:rPr>
                <w:delText>3</w:delText>
              </w:r>
            </w:del>
            <w:ins w:id="79" w:author="Master Repository Process" w:date="2022-04-14T17:47:00Z">
              <w:r>
                <w:rPr>
                  <w:vertAlign w:val="superscript"/>
                </w:rPr>
                <w:t>2</w:t>
              </w:r>
            </w:ins>
          </w:p>
        </w:tc>
        <w:tc>
          <w:tcPr>
            <w:tcW w:w="1134" w:type="dxa"/>
            <w:tcBorders>
              <w:top w:val="nil"/>
              <w:bottom w:val="nil"/>
            </w:tcBorders>
          </w:tcPr>
          <w:p>
            <w:pPr>
              <w:pStyle w:val="nTable"/>
              <w:spacing w:after="40"/>
            </w:pPr>
            <w:r>
              <w:t>3 of 1994</w:t>
            </w:r>
          </w:p>
        </w:tc>
        <w:tc>
          <w:tcPr>
            <w:tcW w:w="1134" w:type="dxa"/>
            <w:tcBorders>
              <w:top w:val="nil"/>
              <w:bottom w:val="nil"/>
            </w:tcBorders>
          </w:tcPr>
          <w:p>
            <w:pPr>
              <w:pStyle w:val="nTable"/>
              <w:spacing w:after="40"/>
            </w:pPr>
            <w:r>
              <w:t>11 Apr 1994</w:t>
            </w:r>
          </w:p>
        </w:tc>
        <w:tc>
          <w:tcPr>
            <w:tcW w:w="2552" w:type="dxa"/>
            <w:tcBorders>
              <w:top w:val="nil"/>
              <w:bottom w:val="nil"/>
            </w:tcBorders>
          </w:tcPr>
          <w:p>
            <w:pPr>
              <w:pStyle w:val="nTable"/>
              <w:spacing w:after="40"/>
            </w:pPr>
            <w:r>
              <w:t>s. 1 and 2: 11 Apr 1994;</w:t>
            </w:r>
            <w:r>
              <w:br/>
              <w:t xml:space="preserve">Act other than s. 1 and 2: 26 Sep 1998 (see s. 2 and </w:t>
            </w:r>
            <w:r>
              <w:rPr>
                <w:i/>
              </w:rPr>
              <w:t>Gazette</w:t>
            </w:r>
            <w:r>
              <w:t xml:space="preserve"> 25 Sep 1998 p. 5295)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snapToGrid w:val="0"/>
              </w:rPr>
              <w:t>Corporations (Ancillary Provisions) Act 2001</w:t>
            </w:r>
            <w:r>
              <w:t xml:space="preserve"> s. 29</w:t>
            </w:r>
          </w:p>
        </w:tc>
        <w:tc>
          <w:tcPr>
            <w:tcW w:w="1134" w:type="dxa"/>
            <w:tcBorders>
              <w:top w:val="nil"/>
              <w:bottom w:val="nil"/>
            </w:tcBorders>
          </w:tcPr>
          <w:p>
            <w:pPr>
              <w:pStyle w:val="nTable"/>
              <w:spacing w:after="40"/>
            </w:pPr>
            <w:r>
              <w:t>8 of 2001</w:t>
            </w:r>
          </w:p>
        </w:tc>
        <w:tc>
          <w:tcPr>
            <w:tcW w:w="1134" w:type="dxa"/>
            <w:tcBorders>
              <w:top w:val="nil"/>
              <w:bottom w:val="nil"/>
            </w:tcBorders>
          </w:tcPr>
          <w:p>
            <w:pPr>
              <w:pStyle w:val="nTable"/>
              <w:spacing w:after="40"/>
            </w:pPr>
            <w:r>
              <w:t>28 Jun 2001</w:t>
            </w:r>
          </w:p>
        </w:tc>
        <w:tc>
          <w:tcPr>
            <w:tcW w:w="2552" w:type="dxa"/>
            <w:tcBorders>
              <w:top w:val="nil"/>
              <w:bottom w:val="nil"/>
            </w:tcBorders>
          </w:tcPr>
          <w:p>
            <w:pPr>
              <w:pStyle w:val="nTable"/>
              <w:spacing w:after="40"/>
            </w:pPr>
            <w:r>
              <w:t xml:space="preserve">Operative immediately before the beginning of 15 Jul 2001 (see s. 2 and Cwlth </w:t>
            </w:r>
            <w:r>
              <w:rPr>
                <w:i/>
              </w:rPr>
              <w:t>Gazette</w:t>
            </w:r>
            <w:r>
              <w:t xml:space="preserve"> 13 Jul 2001 No. S285)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Acts Amendment (Federal Courts and Tribunals) Act 2001</w:t>
            </w:r>
            <w:r>
              <w:rPr>
                <w:snapToGrid w:val="0"/>
              </w:rPr>
              <w:t xml:space="preserve"> Pt. 6</w:t>
            </w:r>
          </w:p>
        </w:tc>
        <w:tc>
          <w:tcPr>
            <w:tcW w:w="1134" w:type="dxa"/>
            <w:tcBorders>
              <w:top w:val="nil"/>
              <w:bottom w:val="nil"/>
            </w:tcBorders>
          </w:tcPr>
          <w:p>
            <w:pPr>
              <w:pStyle w:val="nTable"/>
              <w:spacing w:after="40"/>
            </w:pPr>
            <w:r>
              <w:t>32 of 2001</w:t>
            </w:r>
          </w:p>
        </w:tc>
        <w:tc>
          <w:tcPr>
            <w:tcW w:w="1134" w:type="dxa"/>
            <w:tcBorders>
              <w:top w:val="nil"/>
              <w:bottom w:val="nil"/>
            </w:tcBorders>
          </w:tcPr>
          <w:p>
            <w:pPr>
              <w:pStyle w:val="nTable"/>
              <w:spacing w:after="40"/>
            </w:pPr>
            <w:r>
              <w:t>21 Dec 2001</w:t>
            </w:r>
          </w:p>
        </w:tc>
        <w:tc>
          <w:tcPr>
            <w:tcW w:w="2552" w:type="dxa"/>
            <w:tcBorders>
              <w:top w:val="nil"/>
              <w:bottom w:val="nil"/>
            </w:tcBorders>
          </w:tcPr>
          <w:p>
            <w:pPr>
              <w:pStyle w:val="nTable"/>
              <w:spacing w:after="40"/>
            </w:pPr>
            <w:r>
              <w:t>21 Dec 2001 (see s. 2(1))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of the </w:t>
            </w:r>
            <w:r>
              <w:rPr>
                <w:b/>
                <w:i/>
              </w:rPr>
              <w:t>Jurisdiction of Courts (Cross-vesting) Act 1987</w:t>
            </w:r>
            <w:r>
              <w:rPr>
                <w:b/>
              </w:rPr>
              <w:t xml:space="preserve"> as at 8 Feb 2002</w:t>
            </w:r>
            <w:r>
              <w:b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Acts Amendment (Court of Appeal) Act 2004</w:t>
            </w:r>
            <w:r>
              <w:rPr>
                <w:snapToGrid w:val="0"/>
              </w:rPr>
              <w:t xml:space="preserve"> s. 37</w:t>
            </w:r>
          </w:p>
        </w:tc>
        <w:tc>
          <w:tcPr>
            <w:tcW w:w="1134" w:type="dxa"/>
            <w:tcBorders>
              <w:top w:val="nil"/>
              <w:bottom w:val="nil"/>
            </w:tcBorders>
          </w:tcPr>
          <w:p>
            <w:pPr>
              <w:pStyle w:val="nTable"/>
              <w:spacing w:after="40"/>
            </w:pPr>
            <w:r>
              <w:rPr>
                <w:snapToGrid w:val="0"/>
              </w:rPr>
              <w:t>45 of 2004</w:t>
            </w:r>
          </w:p>
        </w:tc>
        <w:tc>
          <w:tcPr>
            <w:tcW w:w="1134" w:type="dxa"/>
            <w:tcBorders>
              <w:top w:val="nil"/>
              <w:bottom w:val="nil"/>
            </w:tcBorders>
          </w:tcPr>
          <w:p>
            <w:pPr>
              <w:pStyle w:val="nTable"/>
              <w:spacing w:after="40"/>
            </w:pPr>
            <w:r>
              <w:t>9 Nov 2004</w:t>
            </w:r>
          </w:p>
        </w:tc>
        <w:tc>
          <w:tcPr>
            <w:tcW w:w="2552" w:type="dxa"/>
            <w:tcBorders>
              <w:top w:val="nil"/>
              <w:bottom w:val="nil"/>
            </w:tcBorders>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Legal Profession Act 2008</w:t>
            </w:r>
            <w:r>
              <w:rPr>
                <w:snapToGrid w:val="0"/>
              </w:rPr>
              <w:t xml:space="preserve"> s. 670 </w:t>
            </w:r>
          </w:p>
        </w:tc>
        <w:tc>
          <w:tcPr>
            <w:tcW w:w="1134" w:type="dxa"/>
            <w:tcBorders>
              <w:top w:val="nil"/>
              <w:bottom w:val="nil"/>
            </w:tcBorders>
          </w:tcPr>
          <w:p>
            <w:pPr>
              <w:pStyle w:val="nTable"/>
              <w:spacing w:after="40"/>
              <w:rPr>
                <w:snapToGrid w:val="0"/>
              </w:rPr>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82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Jurisdiction of Courts (Cross-vesting) Act 1987</w:t>
            </w:r>
            <w:r>
              <w:rPr>
                <w:b/>
              </w:rPr>
              <w:t xml:space="preserve"> as at 24 Jul 2009</w:t>
            </w:r>
            <w: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2"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rPr>
          <w:ins w:id="80" w:author="Master Repository Process" w:date="2022-04-14T17:47:00Z"/>
        </w:rPr>
      </w:pPr>
      <w:bookmarkStart w:id="81" w:name="_Toc100576672"/>
      <w:del w:id="82" w:author="Master Repository Process" w:date="2022-04-14T17:47:00Z">
        <w:r>
          <w:rPr>
            <w:snapToGrid w:val="0"/>
            <w:vertAlign w:val="superscript"/>
          </w:rPr>
          <w:delText>2</w:delText>
        </w:r>
      </w:del>
      <w:ins w:id="83" w:author="Master Repository Process" w:date="2022-04-14T17:47:00Z">
        <w:r>
          <w:t>Uncommenced provisions table</w:t>
        </w:r>
        <w:bookmarkEnd w:id="81"/>
      </w:ins>
    </w:p>
    <w:p>
      <w:pPr>
        <w:pStyle w:val="nStatement"/>
        <w:keepNext/>
        <w:spacing w:after="240"/>
        <w:rPr>
          <w:ins w:id="84" w:author="Master Repository Process" w:date="2022-04-14T17:47:00Z"/>
        </w:rPr>
      </w:pPr>
      <w:ins w:id="85" w:author="Master Repository Process" w:date="2022-04-14T17:4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6" w:author="Master Repository Process" w:date="2022-04-14T17:47:00Z"/>
        </w:trPr>
        <w:tc>
          <w:tcPr>
            <w:tcW w:w="2268" w:type="dxa"/>
          </w:tcPr>
          <w:p>
            <w:pPr>
              <w:pStyle w:val="nTable"/>
              <w:spacing w:after="40"/>
              <w:rPr>
                <w:ins w:id="87" w:author="Master Repository Process" w:date="2022-04-14T17:47:00Z"/>
                <w:b/>
              </w:rPr>
            </w:pPr>
            <w:ins w:id="88" w:author="Master Repository Process" w:date="2022-04-14T17:47:00Z">
              <w:r>
                <w:rPr>
                  <w:b/>
                </w:rPr>
                <w:t>Short title</w:t>
              </w:r>
            </w:ins>
          </w:p>
        </w:tc>
        <w:tc>
          <w:tcPr>
            <w:tcW w:w="1134" w:type="dxa"/>
          </w:tcPr>
          <w:p>
            <w:pPr>
              <w:pStyle w:val="nTable"/>
              <w:spacing w:after="40"/>
              <w:rPr>
                <w:ins w:id="89" w:author="Master Repository Process" w:date="2022-04-14T17:47:00Z"/>
                <w:b/>
              </w:rPr>
            </w:pPr>
            <w:ins w:id="90" w:author="Master Repository Process" w:date="2022-04-14T17:47:00Z">
              <w:r>
                <w:rPr>
                  <w:b/>
                </w:rPr>
                <w:t>Number and year</w:t>
              </w:r>
            </w:ins>
          </w:p>
        </w:tc>
        <w:tc>
          <w:tcPr>
            <w:tcW w:w="1134" w:type="dxa"/>
          </w:tcPr>
          <w:p>
            <w:pPr>
              <w:pStyle w:val="nTable"/>
              <w:spacing w:after="40"/>
              <w:rPr>
                <w:ins w:id="91" w:author="Master Repository Process" w:date="2022-04-14T17:47:00Z"/>
                <w:b/>
              </w:rPr>
            </w:pPr>
            <w:ins w:id="92" w:author="Master Repository Process" w:date="2022-04-14T17:47:00Z">
              <w:r>
                <w:rPr>
                  <w:b/>
                </w:rPr>
                <w:t>Assent</w:t>
              </w:r>
            </w:ins>
          </w:p>
        </w:tc>
        <w:tc>
          <w:tcPr>
            <w:tcW w:w="2552" w:type="dxa"/>
          </w:tcPr>
          <w:p>
            <w:pPr>
              <w:pStyle w:val="nTable"/>
              <w:spacing w:after="40"/>
              <w:rPr>
                <w:ins w:id="93" w:author="Master Repository Process" w:date="2022-04-14T17:47:00Z"/>
                <w:b/>
              </w:rPr>
            </w:pPr>
            <w:ins w:id="94" w:author="Master Repository Process" w:date="2022-04-14T17:47:00Z">
              <w:r>
                <w:rPr>
                  <w:b/>
                </w:rPr>
                <w:t>Commencement</w:t>
              </w:r>
            </w:ins>
          </w:p>
        </w:tc>
      </w:tr>
      <w:tr>
        <w:trPr>
          <w:ins w:id="95" w:author="Master Repository Process" w:date="2022-04-14T17:47:00Z"/>
        </w:trPr>
        <w:tc>
          <w:tcPr>
            <w:tcW w:w="2268" w:type="dxa"/>
          </w:tcPr>
          <w:p>
            <w:pPr>
              <w:pStyle w:val="nTable"/>
              <w:spacing w:after="40"/>
              <w:rPr>
                <w:ins w:id="96" w:author="Master Repository Process" w:date="2022-04-14T17:47:00Z"/>
              </w:rPr>
            </w:pPr>
            <w:ins w:id="97" w:author="Master Repository Process" w:date="2022-04-14T17:47:00Z">
              <w:r>
                <w:rPr>
                  <w:i/>
                </w:rPr>
                <w:t>Legal Profession Uniform Law Application Act 2022</w:t>
              </w:r>
              <w:r>
                <w:t xml:space="preserve"> s. 424</w:t>
              </w:r>
            </w:ins>
          </w:p>
        </w:tc>
        <w:tc>
          <w:tcPr>
            <w:tcW w:w="1134" w:type="dxa"/>
          </w:tcPr>
          <w:p>
            <w:pPr>
              <w:pStyle w:val="nTable"/>
              <w:spacing w:after="40"/>
              <w:rPr>
                <w:ins w:id="98" w:author="Master Repository Process" w:date="2022-04-14T17:47:00Z"/>
              </w:rPr>
            </w:pPr>
            <w:ins w:id="99" w:author="Master Repository Process" w:date="2022-04-14T17:47:00Z">
              <w:r>
                <w:t>9 of 2022</w:t>
              </w:r>
            </w:ins>
          </w:p>
        </w:tc>
        <w:tc>
          <w:tcPr>
            <w:tcW w:w="1134" w:type="dxa"/>
          </w:tcPr>
          <w:p>
            <w:pPr>
              <w:pStyle w:val="nTable"/>
              <w:spacing w:after="40"/>
              <w:rPr>
                <w:ins w:id="100" w:author="Master Repository Process" w:date="2022-04-14T17:47:00Z"/>
              </w:rPr>
            </w:pPr>
            <w:ins w:id="101" w:author="Master Repository Process" w:date="2022-04-14T17:47:00Z">
              <w:r>
                <w:t>14 Apr 2022</w:t>
              </w:r>
            </w:ins>
          </w:p>
        </w:tc>
        <w:tc>
          <w:tcPr>
            <w:tcW w:w="2552" w:type="dxa"/>
          </w:tcPr>
          <w:p>
            <w:pPr>
              <w:pStyle w:val="nTable"/>
              <w:spacing w:after="40"/>
              <w:rPr>
                <w:ins w:id="102" w:author="Master Repository Process" w:date="2022-04-14T17:47:00Z"/>
              </w:rPr>
            </w:pPr>
            <w:ins w:id="103" w:author="Master Repository Process" w:date="2022-04-14T17:47:00Z">
              <w:r>
                <w:t>To be proclaimed (see s. 2(c))</w:t>
              </w:r>
            </w:ins>
          </w:p>
        </w:tc>
      </w:tr>
    </w:tbl>
    <w:p>
      <w:pPr>
        <w:pStyle w:val="nHeading3"/>
        <w:rPr>
          <w:ins w:id="104" w:author="Master Repository Process" w:date="2022-04-14T17:47:00Z"/>
        </w:rPr>
      </w:pPr>
      <w:bookmarkStart w:id="105" w:name="_Toc100576673"/>
      <w:ins w:id="106" w:author="Master Repository Process" w:date="2022-04-14T17:47:00Z">
        <w:r>
          <w:t>Other notes</w:t>
        </w:r>
        <w:bookmarkEnd w:id="105"/>
      </w:ins>
    </w:p>
    <w:p>
      <w:pPr>
        <w:pStyle w:val="nNote"/>
        <w:rPr>
          <w:snapToGrid w:val="0"/>
        </w:rPr>
      </w:pPr>
      <w:ins w:id="107" w:author="Master Repository Process" w:date="2022-04-14T17:47:00Z">
        <w:r>
          <w:rPr>
            <w:snapToGrid w:val="0"/>
            <w:vertAlign w:val="superscript"/>
          </w:rPr>
          <w:t>1</w:t>
        </w:r>
      </w:ins>
      <w:r>
        <w:rPr>
          <w:snapToGrid w:val="0"/>
        </w:rPr>
        <w:tab/>
        <w:t xml:space="preserve">The </w:t>
      </w:r>
      <w:r>
        <w:rPr>
          <w:i/>
          <w:snapToGrid w:val="0"/>
        </w:rPr>
        <w:t>Federal Courts (State Jurisdiction) Act 1999</w:t>
      </w:r>
      <w:r>
        <w:rPr>
          <w:snapToGrid w:val="0"/>
        </w:rPr>
        <w:t xml:space="preserve"> s. 21 had not come into operation when it was deleted by the </w:t>
      </w:r>
      <w:r>
        <w:rPr>
          <w:i/>
          <w:snapToGrid w:val="0"/>
        </w:rPr>
        <w:t>Acts Amendment (Federal Courts and Tribunals) Act 2001</w:t>
      </w:r>
      <w:r>
        <w:rPr>
          <w:snapToGrid w:val="0"/>
        </w:rPr>
        <w:t xml:space="preserve"> s. 16.</w:t>
      </w:r>
    </w:p>
    <w:p>
      <w:pPr>
        <w:pStyle w:val="nNote"/>
        <w:spacing w:before="120"/>
      </w:pPr>
      <w:del w:id="108" w:author="Master Repository Process" w:date="2022-04-14T17:47:00Z">
        <w:r>
          <w:rPr>
            <w:vertAlign w:val="superscript"/>
          </w:rPr>
          <w:delText>3</w:delText>
        </w:r>
      </w:del>
      <w:ins w:id="109" w:author="Master Repository Process" w:date="2022-04-14T17:47:00Z">
        <w:r>
          <w:rPr>
            <w:vertAlign w:val="superscript"/>
          </w:rPr>
          <w:t>2</w:t>
        </w:r>
      </w:ins>
      <w:r>
        <w:tab/>
        <w:t xml:space="preserve">The </w:t>
      </w:r>
      <w:r>
        <w:rPr>
          <w:i/>
        </w:rPr>
        <w:t>Jurisdiction of Courts (Cross-vesting) Amendment Act 1994</w:t>
      </w:r>
      <w:r>
        <w:t xml:space="preserve"> s. 7 reads as follows:</w:t>
      </w:r>
    </w:p>
    <w:p>
      <w:pPr>
        <w:pStyle w:val="BlankOpen"/>
      </w:pPr>
    </w:p>
    <w:p>
      <w:pPr>
        <w:pStyle w:val="nzHeading5"/>
      </w:pPr>
      <w:r>
        <w:t>7.</w:t>
      </w:r>
      <w:r>
        <w:tab/>
        <w:t>Application</w:t>
      </w:r>
    </w:p>
    <w:p>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pPr>
        <w:pStyle w:val="BlankClose"/>
      </w:pPr>
    </w:p>
    <w:p>
      <w:pPr>
        <w:rPr>
          <w:ins w:id="110" w:author="Master Repository Process" w:date="2022-04-14T17:47:00Z"/>
        </w:rPr>
      </w:pPr>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65"/>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Height w:val="359"/>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E873B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ECCCF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CCEFE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8BE809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A44E5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F64526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64BAF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D25E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54D1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30E7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1922"/>
    <w:docVar w:name="WAFER_20140113135217" w:val="RemoveTocBookmarks,RemoveUnusedBookmarks,RemoveLanguageTags,UsedStyles,ResetPageSize,UpdateArrangement"/>
    <w:docVar w:name="WAFER_20140113135217_GUID" w:val="319f792d-1e97-4b8a-8ab9-c1c8ae2ba6c9"/>
    <w:docVar w:name="WAFER_20140113135223" w:val="RemoveTocBookmarks,RunningHeaders"/>
    <w:docVar w:name="WAFER_20140113135223_GUID" w:val="474268f9-a648-4ad8-a0e6-9dae13700714"/>
    <w:docVar w:name="WAFER_20150527152521" w:val="ResetPageSize,UpdateArrangement,UpdateNTable"/>
    <w:docVar w:name="WAFER_20150527152521_GUID" w:val="146e5dfa-d124-41a2-b731-c832e2ca8539"/>
    <w:docVar w:name="WAFER_20151105135340" w:val="UpdateStyles,UsedStyles"/>
    <w:docVar w:name="WAFER_20151105135340_GUID" w:val="9e762bed-973c-48b8-a3a1-addb55f0ef8e"/>
    <w:docVar w:name="WAFER_20151130162305" w:val="RemoveTrackChanges"/>
    <w:docVar w:name="WAFER_20151130162305_GUID" w:val="cb81f136-c615-4d32-9312-e99dbc5d48ab"/>
    <w:docVar w:name="WAFER_20220411091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1922_GUID" w:val="34a92794-15d0-4adb-9814-8761b295b7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FA21A8-FEFE-48EA-8383-80AEF87D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6157</Words>
  <Characters>29679</Characters>
  <Application>Microsoft Office Word</Application>
  <DocSecurity>0</DocSecurity>
  <Lines>824</Lines>
  <Paragraphs>369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35467</CharactersWithSpaces>
  <SharedDoc>false</SharedDoc>
  <HLinks>
    <vt:vector size="12" baseType="variant">
      <vt:variant>
        <vt:i4>5439608</vt:i4>
      </vt:variant>
      <vt:variant>
        <vt:i4>35843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02-c0-07 - 02-d0-00</dc:title>
  <dc:subject/>
  <dc:creator/>
  <cp:keywords/>
  <dc:description/>
  <cp:lastModifiedBy>Master Repository Process</cp:lastModifiedBy>
  <cp:revision>2</cp:revision>
  <cp:lastPrinted>2009-07-17T03:44:00Z</cp:lastPrinted>
  <dcterms:created xsi:type="dcterms:W3CDTF">2022-04-14T09:47:00Z</dcterms:created>
  <dcterms:modified xsi:type="dcterms:W3CDTF">2022-04-14T09:47:00Z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DocumentType">
    <vt:lpwstr>Act</vt:lpwstr>
  </property>
  <property fmtid="{D5CDD505-2E9C-101B-9397-08002B2CF9AE}" pid="4" name="OwlsUID">
    <vt:i4>412</vt:i4>
  </property>
  <property fmtid="{D5CDD505-2E9C-101B-9397-08002B2CF9AE}" pid="5" name="ReprintedAsAt">
    <vt:filetime>2009-07-23T16:00:00Z</vt:filetime>
  </property>
  <property fmtid="{D5CDD505-2E9C-101B-9397-08002B2CF9AE}" pid="6" name="ReprintNo">
    <vt:lpwstr>2</vt:lpwstr>
  </property>
  <property fmtid="{D5CDD505-2E9C-101B-9397-08002B2CF9AE}" pid="7" name="CommencementDate">
    <vt:lpwstr>20220414</vt:lpwstr>
  </property>
  <property fmtid="{D5CDD505-2E9C-101B-9397-08002B2CF9AE}" pid="8" name="FromSuffix">
    <vt:lpwstr>02-c0-07</vt:lpwstr>
  </property>
  <property fmtid="{D5CDD505-2E9C-101B-9397-08002B2CF9AE}" pid="9" name="FromAsAtDate">
    <vt:lpwstr>11 Sep 2010</vt:lpwstr>
  </property>
  <property fmtid="{D5CDD505-2E9C-101B-9397-08002B2CF9AE}" pid="10" name="ToSuffix">
    <vt:lpwstr>02-d0-00</vt:lpwstr>
  </property>
  <property fmtid="{D5CDD505-2E9C-101B-9397-08002B2CF9AE}" pid="11" name="ToAsAtDate">
    <vt:lpwstr>14 Apr 2022</vt:lpwstr>
  </property>
</Properties>
</file>