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Feb 2021</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14 May 2022</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Magistrates Court (Civil Proceedings) Act 2004</w:t>
      </w:r>
    </w:p>
    <w:p>
      <w:pPr>
        <w:pStyle w:val="NameofActReg"/>
      </w:pPr>
      <w:r>
        <w:t>Magistrates Court (Minor Cases Procedure) Rules 2005</w:t>
      </w:r>
    </w:p>
    <w:p>
      <w:pPr>
        <w:pStyle w:val="Heading2"/>
        <w:pageBreakBefore w:val="0"/>
        <w:spacing w:before="240"/>
      </w:pPr>
      <w:bookmarkStart w:id="1" w:name="_Toc102992203"/>
      <w:bookmarkStart w:id="2" w:name="_Toc102993061"/>
      <w:bookmarkStart w:id="3" w:name="_Toc103094321"/>
      <w:bookmarkStart w:id="4" w:name="_Toc64977121"/>
      <w:bookmarkStart w:id="5" w:name="_Toc64981287"/>
      <w:bookmarkStart w:id="6" w:name="_Toc6505250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3094322"/>
      <w:bookmarkStart w:id="9" w:name="_Toc65052510"/>
      <w:r>
        <w:rPr>
          <w:rStyle w:val="CharSectno"/>
        </w:rPr>
        <w:t>1</w:t>
      </w:r>
      <w:r>
        <w:t>.</w:t>
      </w:r>
      <w:r>
        <w:tab/>
        <w:t>Citation</w:t>
      </w:r>
      <w:bookmarkEnd w:id="8"/>
      <w:bookmarkEnd w:id="9"/>
    </w:p>
    <w:p>
      <w:pPr>
        <w:pStyle w:val="Subsection"/>
      </w:pPr>
      <w:r>
        <w:tab/>
      </w:r>
      <w:r>
        <w:tab/>
      </w:r>
      <w:r>
        <w:rPr>
          <w:spacing w:val="-2"/>
        </w:rPr>
        <w:t>These</w:t>
      </w:r>
      <w:r>
        <w:t xml:space="preserve"> rules </w:t>
      </w:r>
      <w:r>
        <w:rPr>
          <w:spacing w:val="-2"/>
        </w:rPr>
        <w:t>are</w:t>
      </w:r>
      <w:r>
        <w:t xml:space="preserve"> the </w:t>
      </w:r>
      <w:r>
        <w:rPr>
          <w:i/>
        </w:rPr>
        <w:t>Magistrates Court (Minor Cases Procedure) Rules 2005</w:t>
      </w:r>
      <w:r>
        <w:t>.</w:t>
      </w:r>
    </w:p>
    <w:p>
      <w:pPr>
        <w:pStyle w:val="Heading5"/>
        <w:rPr>
          <w:spacing w:val="-2"/>
        </w:rPr>
      </w:pPr>
      <w:bookmarkStart w:id="10" w:name="_Toc103094323"/>
      <w:bookmarkStart w:id="11" w:name="_Toc65052511"/>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rules come into operation on </w:t>
      </w:r>
      <w:r>
        <w:rPr>
          <w:rFonts w:ascii="Times" w:hAnsi="Times"/>
        </w:rPr>
        <w:t xml:space="preserve">the day on which the </w:t>
      </w:r>
      <w:r>
        <w:rPr>
          <w:i/>
          <w:iCs/>
        </w:rPr>
        <w:t>Magistrates Court (Civil Proceedings) Act 2004</w:t>
      </w:r>
      <w:r>
        <w:t xml:space="preserve"> comes into operation.</w:t>
      </w:r>
    </w:p>
    <w:p>
      <w:pPr>
        <w:pStyle w:val="Heading5"/>
        <w:rPr>
          <w:i/>
          <w:iCs/>
        </w:rPr>
      </w:pPr>
      <w:bookmarkStart w:id="12" w:name="_Toc103094324"/>
      <w:bookmarkStart w:id="13" w:name="_Toc65052512"/>
      <w:r>
        <w:rPr>
          <w:rStyle w:val="CharSectno"/>
        </w:rPr>
        <w:t>3</w:t>
      </w:r>
      <w:r>
        <w:t>.</w:t>
      </w:r>
      <w:r>
        <w:tab/>
        <w:t xml:space="preserve">These rules to be read with the </w:t>
      </w:r>
      <w:r>
        <w:rPr>
          <w:i/>
          <w:iCs/>
        </w:rPr>
        <w:t>Magistrates Court (General) Rules 2005</w:t>
      </w:r>
      <w:bookmarkEnd w:id="12"/>
      <w:bookmarkEnd w:id="13"/>
    </w:p>
    <w:p>
      <w:pPr>
        <w:pStyle w:val="Subsection"/>
      </w:pPr>
      <w:r>
        <w:tab/>
      </w:r>
      <w:r>
        <w:tab/>
        <w:t xml:space="preserve">These rules are to be read with the </w:t>
      </w:r>
      <w:r>
        <w:rPr>
          <w:i/>
          <w:iCs/>
        </w:rPr>
        <w:t>Magistrates Court (General) Rules 2005</w:t>
      </w:r>
      <w:r>
        <w:t>.</w:t>
      </w:r>
    </w:p>
    <w:p>
      <w:pPr>
        <w:pStyle w:val="Heading5"/>
      </w:pPr>
      <w:bookmarkStart w:id="14" w:name="_Toc103094325"/>
      <w:bookmarkStart w:id="15" w:name="_Toc65052513"/>
      <w:r>
        <w:rPr>
          <w:rStyle w:val="CharSectno"/>
        </w:rPr>
        <w:t>4</w:t>
      </w:r>
      <w:r>
        <w:t>.</w:t>
      </w:r>
      <w:r>
        <w:tab/>
        <w:t>Terms used</w:t>
      </w:r>
      <w:bookmarkEnd w:id="14"/>
      <w:bookmarkEnd w:id="15"/>
    </w:p>
    <w:p>
      <w:pPr>
        <w:pStyle w:val="Subsection"/>
        <w:keepNext/>
        <w:keepLines/>
      </w:pPr>
      <w:r>
        <w:tab/>
      </w:r>
      <w:r>
        <w:tab/>
        <w:t>In these rules, unless the contrary intention appears —</w:t>
      </w:r>
    </w:p>
    <w:p>
      <w:pPr>
        <w:pStyle w:val="Defstart"/>
      </w:pPr>
      <w:r>
        <w:rPr>
          <w:b/>
        </w:rPr>
        <w:tab/>
      </w:r>
      <w:r>
        <w:rPr>
          <w:rStyle w:val="CharDefText"/>
        </w:rPr>
        <w:t>Act</w:t>
      </w:r>
      <w:r>
        <w:t xml:space="preserve"> means the </w:t>
      </w:r>
      <w:r>
        <w:rPr>
          <w:i/>
          <w:iCs/>
        </w:rPr>
        <w:t>Magistrates Court (Civil Proceedings) Act 2004;</w:t>
      </w:r>
    </w:p>
    <w:p>
      <w:pPr>
        <w:pStyle w:val="Defstart"/>
      </w:pPr>
      <w:r>
        <w:tab/>
      </w:r>
      <w:r>
        <w:rPr>
          <w:rStyle w:val="CharDefText"/>
        </w:rPr>
        <w:t>administrative staff member</w:t>
      </w:r>
      <w:r>
        <w:t xml:space="preserve"> means a person referred to in the </w:t>
      </w:r>
      <w:r>
        <w:rPr>
          <w:i/>
        </w:rPr>
        <w:t xml:space="preserve">Magistrates Court Act 2004 </w:t>
      </w:r>
      <w:r>
        <w:t>section 26(1);</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lastRenderedPageBreak/>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tab/>
      </w:r>
      <w:r>
        <w:rPr>
          <w:rStyle w:val="CharDefText"/>
        </w:rPr>
        <w:t>departmental officer</w:t>
      </w:r>
      <w:r>
        <w:t xml:space="preserve"> means a person employed in the department of the Public Service principally assisting in the administration of the </w:t>
      </w:r>
      <w:r>
        <w:rPr>
          <w:i/>
        </w:rPr>
        <w:t>Magistrates Court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ECMS exempt</w:t>
      </w:r>
      <w:r>
        <w:t xml:space="preserve">, in relation to a document, has the meaning given in the </w:t>
      </w:r>
      <w:r>
        <w:rPr>
          <w:i/>
        </w:rPr>
        <w:t>Magistrates Court (Civil Proceedings) Rules 2005</w:t>
      </w:r>
      <w:r>
        <w:t xml:space="preserve"> rule 96;</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 or</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w:t>
      </w:r>
      <w:r>
        <w:rPr>
          <w:b/>
          <w:i/>
        </w:rPr>
        <w:t>serve personally</w:t>
      </w:r>
      <w:r>
        <w:t>;</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lastRenderedPageBreak/>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Gazette 24 Aug 2007 p. 4333; 3 Jun 2008 p. 2139; 3 May 2016 p. 1362; SL 2021/25 r. 28.]</w:t>
      </w:r>
    </w:p>
    <w:p>
      <w:pPr>
        <w:pStyle w:val="Heading5"/>
      </w:pPr>
      <w:bookmarkStart w:id="16" w:name="_Toc103094326"/>
      <w:bookmarkStart w:id="17" w:name="_Toc65052514"/>
      <w:r>
        <w:rPr>
          <w:rStyle w:val="CharSectno"/>
        </w:rPr>
        <w:t>5</w:t>
      </w:r>
      <w:r>
        <w:t>.</w:t>
      </w:r>
      <w:r>
        <w:tab/>
        <w:t>When these rules apply</w:t>
      </w:r>
      <w:bookmarkEnd w:id="16"/>
      <w:bookmarkEnd w:id="17"/>
    </w:p>
    <w:p>
      <w:pPr>
        <w:pStyle w:val="Subsection"/>
      </w:pPr>
      <w:r>
        <w:tab/>
      </w:r>
      <w:r>
        <w:tab/>
        <w:t>Unless the Court in a particular case orders otherwise, these rules apply in every minor case.</w:t>
      </w:r>
    </w:p>
    <w:p>
      <w:pPr>
        <w:pStyle w:val="Heading5"/>
      </w:pPr>
      <w:bookmarkStart w:id="18" w:name="_Toc103094327"/>
      <w:bookmarkStart w:id="19" w:name="_Toc65052515"/>
      <w:r>
        <w:rPr>
          <w:rStyle w:val="CharSectno"/>
        </w:rPr>
        <w:t>6A</w:t>
      </w:r>
      <w:r>
        <w:t>.</w:t>
      </w:r>
      <w:r>
        <w:tab/>
        <w:t>Exercise of Court’s powers in Part 3 of the Act</w:t>
      </w:r>
      <w:bookmarkEnd w:id="18"/>
      <w:bookmarkEnd w:id="19"/>
    </w:p>
    <w:p>
      <w:pPr>
        <w:pStyle w:val="Subsection"/>
      </w:pPr>
      <w:r>
        <w:tab/>
      </w:r>
      <w:r>
        <w:tab/>
        <w:t>The Court’s powers in Part 3 of the Act, except sections 14, 18 and 25, may be exercised by the Court in every circumstance.</w:t>
      </w:r>
    </w:p>
    <w:p>
      <w:pPr>
        <w:pStyle w:val="Footnotesection"/>
      </w:pPr>
      <w:r>
        <w:tab/>
        <w:t>[Rule 6A inserted as rule 5A: Gazette 10 Jun 2005 p. 2566; renumbered as rule 6A: Gazette 3 Jun 2008 p. 2139.]</w:t>
      </w:r>
    </w:p>
    <w:p>
      <w:pPr>
        <w:pStyle w:val="Heading2"/>
      </w:pPr>
      <w:bookmarkStart w:id="20" w:name="_Toc102992210"/>
      <w:bookmarkStart w:id="21" w:name="_Toc102993068"/>
      <w:bookmarkStart w:id="22" w:name="_Toc103094328"/>
      <w:bookmarkStart w:id="23" w:name="_Toc64977128"/>
      <w:bookmarkStart w:id="24" w:name="_Toc64981294"/>
      <w:bookmarkStart w:id="25" w:name="_Toc65052516"/>
      <w:r>
        <w:rPr>
          <w:rStyle w:val="CharPartNo"/>
        </w:rPr>
        <w:t>Part 2</w:t>
      </w:r>
      <w:r>
        <w:t> — </w:t>
      </w:r>
      <w:r>
        <w:rPr>
          <w:rStyle w:val="CharPartText"/>
        </w:rPr>
        <w:t>How to make and defend a claim</w:t>
      </w:r>
      <w:bookmarkEnd w:id="20"/>
      <w:bookmarkEnd w:id="21"/>
      <w:bookmarkEnd w:id="22"/>
      <w:del w:id="26" w:author="Master Repository Process" w:date="2022-05-13T08:43:00Z">
        <w:r>
          <w:rPr>
            <w:rStyle w:val="CharPartText"/>
          </w:rPr>
          <w:delText xml:space="preserve"> generally</w:delText>
        </w:r>
      </w:del>
      <w:bookmarkEnd w:id="23"/>
      <w:bookmarkEnd w:id="24"/>
      <w:bookmarkEnd w:id="25"/>
    </w:p>
    <w:p>
      <w:pPr>
        <w:pStyle w:val="Heading5"/>
        <w:rPr>
          <w:del w:id="27" w:author="Master Repository Process" w:date="2022-05-13T08:43:00Z"/>
        </w:rPr>
      </w:pPr>
      <w:bookmarkStart w:id="28" w:name="_Toc65052517"/>
      <w:del w:id="29" w:author="Master Repository Process" w:date="2022-05-13T08:43:00Z">
        <w:r>
          <w:rPr>
            <w:rStyle w:val="CharSectno"/>
          </w:rPr>
          <w:delText>6</w:delText>
        </w:r>
        <w:r>
          <w:delText>.</w:delText>
        </w:r>
        <w:r>
          <w:tab/>
          <w:delText>When this Part applies</w:delText>
        </w:r>
        <w:bookmarkEnd w:id="28"/>
      </w:del>
    </w:p>
    <w:p>
      <w:pPr>
        <w:pStyle w:val="Subsection"/>
        <w:rPr>
          <w:del w:id="30" w:author="Master Repository Process" w:date="2022-05-13T08:43:00Z"/>
        </w:rPr>
      </w:pPr>
      <w:del w:id="31" w:author="Master Repository Process" w:date="2022-05-13T08:43:00Z">
        <w:r>
          <w:tab/>
        </w:r>
        <w:r>
          <w:tab/>
          <w:delText>This Part applies if —</w:delText>
        </w:r>
      </w:del>
    </w:p>
    <w:p>
      <w:pPr>
        <w:pStyle w:val="Indenta"/>
        <w:rPr>
          <w:del w:id="32" w:author="Master Repository Process" w:date="2022-05-13T08:43:00Z"/>
        </w:rPr>
      </w:pPr>
      <w:del w:id="33" w:author="Master Repository Process" w:date="2022-05-13T08:43:00Z">
        <w:r>
          <w:tab/>
          <w:delText>(a)</w:delText>
        </w:r>
        <w:r>
          <w:tab/>
          <w:delText>you want to make any claim other than a consumer/trader claim; or</w:delText>
        </w:r>
      </w:del>
    </w:p>
    <w:p>
      <w:pPr>
        <w:pStyle w:val="Indenta"/>
        <w:rPr>
          <w:del w:id="34" w:author="Master Repository Process" w:date="2022-05-13T08:43:00Z"/>
        </w:rPr>
      </w:pPr>
      <w:del w:id="35" w:author="Master Repository Process" w:date="2022-05-13T08:43:00Z">
        <w:r>
          <w:tab/>
          <w:delText>(b)</w:delText>
        </w:r>
        <w:r>
          <w:tab/>
          <w:delText>if a claim other than a consumer/trader claim is made against you.</w:delText>
        </w:r>
      </w:del>
    </w:p>
    <w:p>
      <w:pPr>
        <w:pStyle w:val="Footnoteheading"/>
        <w:rPr>
          <w:ins w:id="36" w:author="Master Repository Process" w:date="2022-05-13T08:43:00Z"/>
        </w:rPr>
      </w:pPr>
      <w:ins w:id="37" w:author="Master Repository Process" w:date="2022-05-13T08:43:00Z">
        <w:r>
          <w:tab/>
          <w:t>[Heading amended: SL 2022/54 r. 9.]</w:t>
        </w:r>
      </w:ins>
    </w:p>
    <w:p>
      <w:pPr>
        <w:pStyle w:val="Ednotesection"/>
        <w:rPr>
          <w:ins w:id="38" w:author="Master Repository Process" w:date="2022-05-13T08:43:00Z"/>
        </w:rPr>
      </w:pPr>
      <w:ins w:id="39" w:author="Master Repository Process" w:date="2022-05-13T08:43:00Z">
        <w:r>
          <w:t>[</w:t>
        </w:r>
        <w:r>
          <w:rPr>
            <w:b/>
          </w:rPr>
          <w:t>6.</w:t>
        </w:r>
        <w:r>
          <w:tab/>
          <w:t>Deleted: SL 2022/54 r. 10.]</w:t>
        </w:r>
      </w:ins>
    </w:p>
    <w:p>
      <w:pPr>
        <w:pStyle w:val="Heading5"/>
      </w:pPr>
      <w:bookmarkStart w:id="40" w:name="_Toc103094329"/>
      <w:bookmarkStart w:id="41" w:name="_Toc65052518"/>
      <w:r>
        <w:rPr>
          <w:rStyle w:val="CharSectno"/>
          <w:rFonts w:ascii="Times" w:hAnsi="Times"/>
        </w:rPr>
        <w:t>7</w:t>
      </w:r>
      <w:r>
        <w:t>.</w:t>
      </w:r>
      <w:r>
        <w:tab/>
        <w:t>How to make a claim that starts a case</w:t>
      </w:r>
      <w:bookmarkEnd w:id="40"/>
      <w:bookmarkEnd w:id="41"/>
    </w:p>
    <w:p>
      <w:pPr>
        <w:pStyle w:val="Subsection"/>
      </w:pPr>
      <w:r>
        <w:tab/>
        <w:t>(1)</w:t>
      </w:r>
      <w:r>
        <w:tab/>
        <w:t>If you want to make a claim that starts a case you must lodge the approved form.</w:t>
      </w:r>
    </w:p>
    <w:p>
      <w:pPr>
        <w:pStyle w:val="Ednotesubsection"/>
      </w:pPr>
      <w:r>
        <w:tab/>
        <w:t>[(2)</w:t>
      </w:r>
      <w:r>
        <w:tab/>
        <w:t>deleted]</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Gazette 3 Jun 2008 p. 2139; amended: Gazette 30 Sep 2016 p. 4175; SL 2020/67 r. 44.]</w:t>
      </w:r>
    </w:p>
    <w:p>
      <w:pPr>
        <w:pStyle w:val="Ednotesection"/>
      </w:pPr>
      <w:r>
        <w:t>[</w:t>
      </w:r>
      <w:r>
        <w:rPr>
          <w:b/>
        </w:rPr>
        <w:t>7A.</w:t>
      </w:r>
      <w:r>
        <w:tab/>
        <w:t>Deleted: SL 2020/67 r. 45.]</w:t>
      </w:r>
    </w:p>
    <w:p>
      <w:pPr>
        <w:pStyle w:val="Heading5"/>
      </w:pPr>
      <w:bookmarkStart w:id="42" w:name="_Toc103094330"/>
      <w:bookmarkStart w:id="43" w:name="_Toc65052519"/>
      <w:r>
        <w:rPr>
          <w:rStyle w:val="CharSectno"/>
          <w:rFonts w:ascii="Times" w:hAnsi="Times"/>
        </w:rPr>
        <w:t>8</w:t>
      </w:r>
      <w:r>
        <w:t>.</w:t>
      </w:r>
      <w:r>
        <w:tab/>
        <w:t>How to make a third party claim</w:t>
      </w:r>
      <w:bookmarkEnd w:id="42"/>
      <w:bookmarkEnd w:id="43"/>
    </w:p>
    <w:p>
      <w:pPr>
        <w:pStyle w:val="Subsection"/>
      </w:pPr>
      <w:r>
        <w:tab/>
        <w:t>(1)</w:t>
      </w:r>
      <w:r>
        <w:tab/>
        <w:t>If you want to make a third party claim you must lodge the approved form.</w:t>
      </w:r>
    </w:p>
    <w:p>
      <w:pPr>
        <w:pStyle w:val="Ednotesubsection"/>
      </w:pPr>
      <w:r>
        <w:tab/>
        <w:t>[(2)</w:t>
      </w:r>
      <w:r>
        <w:noBreakHyphen/>
        <w:t>(3)</w:t>
      </w:r>
      <w:r>
        <w:tab/>
        <w:t>deleted]</w:t>
      </w:r>
    </w:p>
    <w:p>
      <w:pPr>
        <w:pStyle w:val="Subsection"/>
        <w:keepNext/>
      </w:pPr>
      <w:r>
        <w:tab/>
        <w:t>(4)</w:t>
      </w:r>
      <w:r>
        <w:tab/>
        <w:t>Unless these rules or an Act says otherwise, your third party claim must be served personally on the party you are claiming against.</w:t>
      </w:r>
    </w:p>
    <w:p>
      <w:pPr>
        <w:pStyle w:val="Footnotesection"/>
      </w:pPr>
      <w:r>
        <w:tab/>
        <w:t>[Rule 8 inserted: Gazette 3 Jun 2008 p. 2139</w:t>
      </w:r>
      <w:r>
        <w:noBreakHyphen/>
        <w:t>40; amended: Gazette 30 Sep 2016 p. 4175; SL 2020/67 r. 46.]</w:t>
      </w:r>
    </w:p>
    <w:p>
      <w:pPr>
        <w:pStyle w:val="Heading5"/>
      </w:pPr>
      <w:bookmarkStart w:id="44" w:name="_Toc103094331"/>
      <w:bookmarkStart w:id="45" w:name="_Toc65052520"/>
      <w:r>
        <w:rPr>
          <w:rStyle w:val="CharSectno"/>
          <w:rFonts w:ascii="Times" w:hAnsi="Times"/>
        </w:rPr>
        <w:t>9</w:t>
      </w:r>
      <w:r>
        <w:t>.</w:t>
      </w:r>
      <w:r>
        <w:tab/>
        <w:t>How to respond to a claim</w:t>
      </w:r>
      <w:bookmarkEnd w:id="44"/>
      <w:bookmarkEnd w:id="45"/>
    </w:p>
    <w:p>
      <w:pPr>
        <w:pStyle w:val="Subsection"/>
      </w:pPr>
      <w:r>
        <w:tab/>
        <w:t>(1)</w:t>
      </w:r>
      <w:r>
        <w:tab/>
        <w:t>If a claim has been made against you, you must lodge a response to the claim in the approved form with the Court within 14 days after the claim was served.</w:t>
      </w:r>
    </w:p>
    <w:p>
      <w:pPr>
        <w:pStyle w:val="Ednotesubsection"/>
      </w:pPr>
      <w:r>
        <w:tab/>
        <w:t>[(2)</w:t>
      </w:r>
      <w:r>
        <w:tab/>
        <w:t>deleted]</w:t>
      </w:r>
    </w:p>
    <w:p>
      <w:pPr>
        <w:pStyle w:val="Subsection"/>
        <w:keepNext/>
      </w:pPr>
      <w:r>
        <w:tab/>
        <w:t>(3)</w:t>
      </w:r>
      <w:r>
        <w:tab/>
        <w:t>After you lodge your response, the Court will give a copy of it to the party which made the claim against you and to every other party to your case.</w:t>
      </w:r>
    </w:p>
    <w:p>
      <w:pPr>
        <w:pStyle w:val="Footnotesection"/>
      </w:pPr>
      <w:r>
        <w:tab/>
        <w:t>[Rule 9 amended: Gazette 3 Jun 2008 p. 2140; 30 Sep 2016 p. 4175; SL 2020/67 r. 47.]</w:t>
      </w:r>
    </w:p>
    <w:p>
      <w:pPr>
        <w:pStyle w:val="Ednotesection"/>
      </w:pPr>
      <w:r>
        <w:t>[</w:t>
      </w:r>
      <w:r>
        <w:rPr>
          <w:b/>
        </w:rPr>
        <w:t>9A.</w:t>
      </w:r>
      <w:r>
        <w:tab/>
        <w:t>Deleted: SL 2020/67 r. 48.]</w:t>
      </w:r>
    </w:p>
    <w:p>
      <w:pPr>
        <w:pStyle w:val="Heading5"/>
      </w:pPr>
      <w:bookmarkStart w:id="46" w:name="_Toc103094332"/>
      <w:bookmarkStart w:id="47" w:name="_Toc65052521"/>
      <w:r>
        <w:rPr>
          <w:rStyle w:val="CharSectno"/>
          <w:rFonts w:ascii="Times" w:hAnsi="Times"/>
        </w:rPr>
        <w:t>10A</w:t>
      </w:r>
      <w:r>
        <w:t>.</w:t>
      </w:r>
      <w:r>
        <w:tab/>
        <w:t>If you admit a claim</w:t>
      </w:r>
      <w:bookmarkEnd w:id="46"/>
      <w:bookmarkEnd w:id="47"/>
    </w:p>
    <w:p>
      <w:pPr>
        <w:pStyle w:val="Subsection"/>
        <w:keepNext/>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Gazette 3 Jun 2008 p. 2140.]</w:t>
      </w:r>
    </w:p>
    <w:p>
      <w:pPr>
        <w:pStyle w:val="Heading5"/>
      </w:pPr>
      <w:bookmarkStart w:id="48" w:name="_Toc103094333"/>
      <w:bookmarkStart w:id="49" w:name="_Toc65052522"/>
      <w:r>
        <w:rPr>
          <w:rStyle w:val="CharSectno"/>
          <w:rFonts w:ascii="Times" w:hAnsi="Times"/>
        </w:rPr>
        <w:t>10B</w:t>
      </w:r>
      <w:r>
        <w:t>.</w:t>
      </w:r>
      <w:r>
        <w:tab/>
        <w:t>If you admit part of a claim</w:t>
      </w:r>
      <w:bookmarkEnd w:id="48"/>
      <w:bookmarkEnd w:id="49"/>
    </w:p>
    <w:p>
      <w:pPr>
        <w:pStyle w:val="Subsection"/>
        <w:keepNext/>
      </w:pPr>
      <w:r>
        <w:tab/>
        <w:t>(1)</w:t>
      </w:r>
      <w:r>
        <w:tab/>
        <w:t xml:space="preserve">If in a response you admit liability for part of a claim made against you but indicate that you want to defend the rest of the claim, in your response you — </w:t>
      </w:r>
    </w:p>
    <w:p>
      <w:pPr>
        <w:pStyle w:val="Indenta"/>
      </w:pPr>
      <w:r>
        <w:tab/>
        <w:t>(a)</w:t>
      </w:r>
      <w:r>
        <w:tab/>
        <w:t>must outline the basis upon which you admit part of the claim; and</w:t>
      </w:r>
    </w:p>
    <w:p>
      <w:pPr>
        <w:pStyle w:val="Indenta"/>
      </w:pPr>
      <w:r>
        <w:tab/>
        <w:t>(b)</w:t>
      </w:r>
      <w:r>
        <w:tab/>
        <w:t>may offer an amount as full satisfaction for the claim.</w:t>
      </w:r>
    </w:p>
    <w:p>
      <w:pPr>
        <w:pStyle w:val="Subsection"/>
      </w:pPr>
      <w:r>
        <w:tab/>
        <w:t>(2)</w:t>
      </w:r>
      <w:r>
        <w:tab/>
        <w:t>The other party may accept your offer by lodging and serving a notice of acceptance in an approved form within 14 days after receiving your response.</w:t>
      </w:r>
    </w:p>
    <w:p>
      <w:pPr>
        <w:pStyle w:val="Subsection"/>
        <w:keepNext/>
      </w:pPr>
      <w:r>
        <w:tab/>
        <w:t>(3)</w:t>
      </w:r>
      <w:r>
        <w:tab/>
        <w:t>If your offer is accepted, the registrar may give judgment against you in accordance with your admission and offer.</w:t>
      </w:r>
    </w:p>
    <w:p>
      <w:pPr>
        <w:pStyle w:val="Footnotesection"/>
      </w:pPr>
      <w:r>
        <w:tab/>
        <w:t>[Rule 10B inserted: Gazette 3 Jun 2008 p. 2140; amended: SL 2020/67 r. 49.]</w:t>
      </w:r>
    </w:p>
    <w:p>
      <w:pPr>
        <w:pStyle w:val="Heading5"/>
      </w:pPr>
      <w:bookmarkStart w:id="50" w:name="_Toc103094334"/>
      <w:bookmarkStart w:id="51" w:name="_Toc65052523"/>
      <w:r>
        <w:rPr>
          <w:rStyle w:val="CharSectno"/>
          <w:rFonts w:ascii="Times" w:hAnsi="Times"/>
        </w:rPr>
        <w:t>10C</w:t>
      </w:r>
      <w:r>
        <w:t>.</w:t>
      </w:r>
      <w:r>
        <w:tab/>
        <w:t>You may admit liability but dispute the amount claimed</w:t>
      </w:r>
      <w:bookmarkEnd w:id="50"/>
      <w:bookmarkEnd w:id="51"/>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keepNext/>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Court must then list the case for a status conference and notify you and the other parties in writing.</w:t>
      </w:r>
    </w:p>
    <w:p>
      <w:pPr>
        <w:pStyle w:val="Subsection"/>
        <w:keepNext/>
      </w:pPr>
      <w:r>
        <w:tab/>
        <w:t>(3)</w:t>
      </w:r>
      <w:r>
        <w:tab/>
        <w:t xml:space="preserve">At a status conference a magistrate may — </w:t>
      </w:r>
    </w:p>
    <w:p>
      <w:pPr>
        <w:pStyle w:val="Indenta"/>
      </w:pPr>
      <w:r>
        <w:tab/>
        <w:t>(a)</w:t>
      </w:r>
      <w:r>
        <w:tab/>
        <w:t xml:space="preserve">make any orders necessary to facilitate settlement or ensure the case is ready to be listed for a hearing at which the Court will assess the amount that should be awarded for the claim; or </w:t>
      </w:r>
    </w:p>
    <w:p>
      <w:pPr>
        <w:pStyle w:val="Indenta"/>
        <w:keepNext/>
      </w:pPr>
      <w:r>
        <w:tab/>
        <w:t>(b)</w:t>
      </w:r>
      <w:r>
        <w:tab/>
        <w:t>list the case for a hearing at which the Court will assess the amount that should be awarded for the claim.</w:t>
      </w:r>
    </w:p>
    <w:p>
      <w:pPr>
        <w:pStyle w:val="Footnotesection"/>
      </w:pPr>
      <w:r>
        <w:tab/>
        <w:t>[Rule 10C inserted: Gazette 3 Jun 2008 p. 2140</w:t>
      </w:r>
      <w:r>
        <w:noBreakHyphen/>
        <w:t>1; amended: Gazette 24 May 2013 p. 2057; SL 2020/67 r. 50.]</w:t>
      </w:r>
    </w:p>
    <w:p>
      <w:pPr>
        <w:pStyle w:val="Heading5"/>
      </w:pPr>
      <w:bookmarkStart w:id="52" w:name="_Toc103094335"/>
      <w:bookmarkStart w:id="53" w:name="_Toc65052524"/>
      <w:r>
        <w:rPr>
          <w:rStyle w:val="CharSectno"/>
          <w:rFonts w:ascii="Times" w:hAnsi="Times"/>
        </w:rPr>
        <w:t>10</w:t>
      </w:r>
      <w:r>
        <w:t>.</w:t>
      </w:r>
      <w:r>
        <w:tab/>
        <w:t>How to accept an offer of settlement</w:t>
      </w:r>
      <w:bookmarkEnd w:id="52"/>
      <w:bookmarkEnd w:id="53"/>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a status conference or such other time as is ordered by the Court.</w:t>
      </w:r>
    </w:p>
    <w:p>
      <w:pPr>
        <w:pStyle w:val="Subsection"/>
        <w:keepNext/>
      </w:pPr>
      <w:r>
        <w:tab/>
        <w:t>(2)</w:t>
      </w:r>
      <w:r>
        <w:tab/>
        <w:t>The notice of acceptance must be in the approved form.</w:t>
      </w:r>
    </w:p>
    <w:p>
      <w:pPr>
        <w:pStyle w:val="Footnotesection"/>
      </w:pPr>
      <w:r>
        <w:tab/>
        <w:t>[Rule 10 inserted: Gazette 3 Jun 2008 p. 2141; amended: SL 2020/67 r. 51.]</w:t>
      </w:r>
    </w:p>
    <w:p>
      <w:pPr>
        <w:pStyle w:val="Heading2"/>
        <w:rPr>
          <w:del w:id="54" w:author="Master Repository Process" w:date="2022-05-13T08:43:00Z"/>
        </w:rPr>
      </w:pPr>
      <w:ins w:id="55" w:author="Master Repository Process" w:date="2022-05-13T08:43:00Z">
        <w:r>
          <w:t>[</w:t>
        </w:r>
      </w:ins>
      <w:bookmarkStart w:id="56" w:name="_Toc64977137"/>
      <w:bookmarkStart w:id="57" w:name="_Toc64981303"/>
      <w:bookmarkStart w:id="58" w:name="_Toc65052525"/>
      <w:r>
        <w:t>Part 3</w:t>
      </w:r>
      <w:del w:id="59" w:author="Master Repository Process" w:date="2022-05-13T08:43:00Z">
        <w:r>
          <w:rPr>
            <w:rStyle w:val="CharDivNo"/>
          </w:rPr>
          <w:delText> </w:delText>
        </w:r>
        <w:r>
          <w:delText>—</w:delText>
        </w:r>
        <w:r>
          <w:rPr>
            <w:rStyle w:val="CharDivText"/>
          </w:rPr>
          <w:delText> </w:delText>
        </w:r>
        <w:r>
          <w:rPr>
            <w:rStyle w:val="CharPartText"/>
          </w:rPr>
          <w:delText>How to make a consumer/trader claim</w:delText>
        </w:r>
        <w:bookmarkEnd w:id="56"/>
        <w:bookmarkEnd w:id="57"/>
        <w:bookmarkEnd w:id="58"/>
      </w:del>
    </w:p>
    <w:p>
      <w:pPr>
        <w:pStyle w:val="Heading5"/>
        <w:rPr>
          <w:del w:id="60" w:author="Master Repository Process" w:date="2022-05-13T08:43:00Z"/>
        </w:rPr>
      </w:pPr>
      <w:ins w:id="61" w:author="Master Repository Process" w:date="2022-05-13T08:43:00Z">
        <w:r>
          <w:t xml:space="preserve"> (r. </w:t>
        </w:r>
      </w:ins>
      <w:bookmarkStart w:id="62" w:name="_Toc65052526"/>
      <w:r>
        <w:t>11</w:t>
      </w:r>
      <w:del w:id="63" w:author="Master Repository Process" w:date="2022-05-13T08:43:00Z">
        <w:r>
          <w:delText>.</w:delText>
        </w:r>
        <w:r>
          <w:tab/>
          <w:delText>How to make a consumer/trader claim</w:delText>
        </w:r>
        <w:bookmarkEnd w:id="62"/>
      </w:del>
    </w:p>
    <w:p>
      <w:pPr>
        <w:pStyle w:val="Subsection"/>
        <w:rPr>
          <w:del w:id="64" w:author="Master Repository Process" w:date="2022-05-13T08:43:00Z"/>
        </w:rPr>
      </w:pPr>
      <w:del w:id="65" w:author="Master Repository Process" w:date="2022-05-13T08:43:00Z">
        <w:r>
          <w:tab/>
        </w:r>
        <w:r>
          <w:tab/>
          <w:delText>If you want to make a consumer/trader claim you must lodge the approved form.</w:delText>
        </w:r>
      </w:del>
    </w:p>
    <w:p>
      <w:pPr>
        <w:pStyle w:val="Heading5"/>
        <w:rPr>
          <w:del w:id="66" w:author="Master Repository Process" w:date="2022-05-13T08:43:00Z"/>
        </w:rPr>
      </w:pPr>
      <w:bookmarkStart w:id="67" w:name="_Toc65052527"/>
      <w:del w:id="68" w:author="Master Repository Process" w:date="2022-05-13T08:43:00Z">
        <w:r>
          <w:rPr>
            <w:rStyle w:val="CharSectno"/>
          </w:rPr>
          <w:delText>12</w:delText>
        </w:r>
        <w:r>
          <w:delText>.</w:delText>
        </w:r>
        <w:r>
          <w:tab/>
          <w:delText>Service of the claim</w:delText>
        </w:r>
        <w:bookmarkEnd w:id="67"/>
      </w:del>
    </w:p>
    <w:p>
      <w:pPr>
        <w:pStyle w:val="Subsection"/>
        <w:rPr>
          <w:del w:id="69" w:author="Master Repository Process" w:date="2022-05-13T08:43:00Z"/>
        </w:rPr>
      </w:pPr>
      <w:del w:id="70" w:author="Master Repository Process" w:date="2022-05-13T08:43:00Z">
        <w:r>
          <w:tab/>
        </w:r>
        <w:r>
          <w:tab/>
          <w:delText>After you lodge a consumer/trader claim, the Court will give a copy of it to the party against which you are claiming and to every other party to your case.</w:delText>
        </w:r>
      </w:del>
    </w:p>
    <w:p>
      <w:pPr>
        <w:pStyle w:val="Heading5"/>
        <w:rPr>
          <w:del w:id="71" w:author="Master Repository Process" w:date="2022-05-13T08:43:00Z"/>
        </w:rPr>
      </w:pPr>
      <w:bookmarkStart w:id="72" w:name="_Toc65052528"/>
      <w:del w:id="73" w:author="Master Repository Process" w:date="2022-05-13T08:43:00Z">
        <w:r>
          <w:rPr>
            <w:rStyle w:val="CharSectno"/>
          </w:rPr>
          <w:delText>13A</w:delText>
        </w:r>
        <w:r>
          <w:delText>.</w:delText>
        </w:r>
        <w:r>
          <w:tab/>
          <w:delText>If someone has made a consumer/trader claim against you</w:delText>
        </w:r>
        <w:bookmarkEnd w:id="72"/>
      </w:del>
    </w:p>
    <w:p>
      <w:pPr>
        <w:pStyle w:val="Subsection"/>
        <w:rPr>
          <w:del w:id="74" w:author="Master Repository Process" w:date="2022-05-13T08:43:00Z"/>
        </w:rPr>
      </w:pPr>
      <w:del w:id="75" w:author="Master Repository Process" w:date="2022-05-13T08:43:00Z">
        <w:r>
          <w:tab/>
        </w:r>
        <w:r>
          <w:tab/>
          <w:delText>If someone has made a consumer/trader claim against you and you want to make a third party claim against another person, you must lodge it in the approved form within 14 days after you have received a copy of the claim made against you.</w:delText>
        </w:r>
      </w:del>
    </w:p>
    <w:p>
      <w:pPr>
        <w:pStyle w:val="Footnotesection"/>
        <w:rPr>
          <w:del w:id="76" w:author="Master Repository Process" w:date="2022-05-13T08:43:00Z"/>
        </w:rPr>
      </w:pPr>
      <w:del w:id="77" w:author="Master Repository Process" w:date="2022-05-13T08:43:00Z">
        <w:r>
          <w:tab/>
          <w:delText>[Rule 13A inserted</w:delText>
        </w:r>
      </w:del>
      <w:ins w:id="78" w:author="Master Repository Process" w:date="2022-05-13T08:43:00Z">
        <w:r>
          <w:noBreakHyphen/>
          <w:t>15) deleted</w:t>
        </w:r>
      </w:ins>
      <w:r>
        <w:t>: SL </w:t>
      </w:r>
      <w:del w:id="79" w:author="Master Repository Process" w:date="2022-05-13T08:43:00Z">
        <w:r>
          <w:delText>2020/67 r. 52.]</w:delText>
        </w:r>
      </w:del>
    </w:p>
    <w:p>
      <w:pPr>
        <w:pStyle w:val="Heading5"/>
        <w:rPr>
          <w:del w:id="80" w:author="Master Repository Process" w:date="2022-05-13T08:43:00Z"/>
        </w:rPr>
      </w:pPr>
      <w:bookmarkStart w:id="81" w:name="_Toc65052529"/>
      <w:del w:id="82" w:author="Master Repository Process" w:date="2022-05-13T08:43:00Z">
        <w:r>
          <w:rPr>
            <w:rStyle w:val="CharSectno"/>
            <w:rFonts w:ascii="Times" w:hAnsi="Times"/>
          </w:rPr>
          <w:delText>13</w:delText>
        </w:r>
        <w:r>
          <w:delText>.</w:delText>
        </w:r>
        <w:r>
          <w:tab/>
          <w:delText>Registrar to list case for status conference</w:delText>
        </w:r>
        <w:bookmarkEnd w:id="81"/>
      </w:del>
    </w:p>
    <w:p>
      <w:pPr>
        <w:pStyle w:val="Subsection"/>
        <w:rPr>
          <w:del w:id="83" w:author="Master Repository Process" w:date="2022-05-13T08:43:00Z"/>
        </w:rPr>
      </w:pPr>
      <w:del w:id="84" w:author="Master Repository Process" w:date="2022-05-13T08:43:00Z">
        <w:r>
          <w:tab/>
          <w:delText>(1)</w:delText>
        </w:r>
        <w:r>
          <w:tab/>
          <w:delText>A registrar must, as soon as possible after a consumer/trader claim is made and the time for making any related third party claim has passed, list the case for a status conference.</w:delText>
        </w:r>
      </w:del>
    </w:p>
    <w:p>
      <w:pPr>
        <w:pStyle w:val="Subsection"/>
        <w:rPr>
          <w:del w:id="85" w:author="Master Repository Process" w:date="2022-05-13T08:43:00Z"/>
        </w:rPr>
      </w:pPr>
      <w:del w:id="86" w:author="Master Repository Process" w:date="2022-05-13T08:43:00Z">
        <w:r>
          <w:tab/>
          <w:delText>(2)</w:delText>
        </w:r>
        <w:r>
          <w:tab/>
          <w:delText>The registrar must notify you and the other parties in writing of the status conference.</w:delText>
        </w:r>
      </w:del>
    </w:p>
    <w:p>
      <w:pPr>
        <w:pStyle w:val="Footnotesection"/>
        <w:rPr>
          <w:del w:id="87" w:author="Master Repository Process" w:date="2022-05-13T08:43:00Z"/>
        </w:rPr>
      </w:pPr>
      <w:del w:id="88" w:author="Master Repository Process" w:date="2022-05-13T08:43:00Z">
        <w:r>
          <w:tab/>
          <w:delText>[Rule 13 inserted: Gazette 3 Jun 2008 p. 2141; amended: SL 2020/67</w:delText>
        </w:r>
      </w:del>
      <w:ins w:id="89" w:author="Master Repository Process" w:date="2022-05-13T08:43:00Z">
        <w:r>
          <w:t>2022/54</w:t>
        </w:r>
      </w:ins>
      <w:r>
        <w:t xml:space="preserve"> r. </w:t>
      </w:r>
      <w:del w:id="90" w:author="Master Repository Process" w:date="2022-05-13T08:43:00Z">
        <w:r>
          <w:delText>53.]</w:delText>
        </w:r>
      </w:del>
    </w:p>
    <w:p>
      <w:pPr>
        <w:pStyle w:val="Heading5"/>
        <w:rPr>
          <w:del w:id="91" w:author="Master Repository Process" w:date="2022-05-13T08:43:00Z"/>
        </w:rPr>
      </w:pPr>
      <w:bookmarkStart w:id="92" w:name="_Toc65052530"/>
      <w:del w:id="93" w:author="Master Repository Process" w:date="2022-05-13T08:43:00Z">
        <w:r>
          <w:rPr>
            <w:rStyle w:val="CharSectno"/>
          </w:rPr>
          <w:delText>14</w:delText>
        </w:r>
        <w:r>
          <w:delText>.</w:delText>
        </w:r>
        <w:r>
          <w:tab/>
          <w:delText>Status conference</w:delText>
        </w:r>
        <w:bookmarkEnd w:id="92"/>
      </w:del>
    </w:p>
    <w:p>
      <w:pPr>
        <w:pStyle w:val="Subsection"/>
        <w:rPr>
          <w:del w:id="94" w:author="Master Repository Process" w:date="2022-05-13T08:43:00Z"/>
        </w:rPr>
      </w:pPr>
      <w:del w:id="95" w:author="Master Repository Process" w:date="2022-05-13T08:43:00Z">
        <w:r>
          <w:tab/>
          <w:delText>(1)</w:delText>
        </w:r>
        <w:r>
          <w:tab/>
          <w:delText>A status conference must be conducted before a magistrate, in private and at any time or place the Court thinks fit.</w:delText>
        </w:r>
      </w:del>
    </w:p>
    <w:p>
      <w:pPr>
        <w:pStyle w:val="Subsection"/>
        <w:rPr>
          <w:del w:id="96" w:author="Master Repository Process" w:date="2022-05-13T08:43:00Z"/>
        </w:rPr>
      </w:pPr>
      <w:del w:id="97" w:author="Master Repository Process" w:date="2022-05-13T08:43:00Z">
        <w:r>
          <w:tab/>
          <w:delText>(2)</w:delText>
        </w:r>
        <w:r>
          <w:tab/>
          <w:delText>Unless the Court at a status conference orders the parties to attend before a mediator, or to attend a pre</w:delText>
        </w:r>
        <w:r>
          <w:noBreakHyphen/>
          <w:delText>trial conference or a further status conference, the Court will list the case for trial.</w:delText>
        </w:r>
      </w:del>
    </w:p>
    <w:p>
      <w:pPr>
        <w:pStyle w:val="Subsection"/>
        <w:rPr>
          <w:del w:id="98" w:author="Master Repository Process" w:date="2022-05-13T08:43:00Z"/>
        </w:rPr>
      </w:pPr>
      <w:del w:id="99" w:author="Master Repository Process" w:date="2022-05-13T08:43:00Z">
        <w:r>
          <w:tab/>
          <w:delText>(3)</w:delText>
        </w:r>
        <w:r>
          <w:tab/>
          <w:delText>The registrar must notify you and the other parties in writing of the listing.</w:delText>
        </w:r>
      </w:del>
    </w:p>
    <w:p>
      <w:pPr>
        <w:pStyle w:val="Footnotesection"/>
        <w:rPr>
          <w:del w:id="100" w:author="Master Repository Process" w:date="2022-05-13T08:43:00Z"/>
        </w:rPr>
      </w:pPr>
      <w:del w:id="101" w:author="Master Repository Process" w:date="2022-05-13T08:43:00Z">
        <w:r>
          <w:tab/>
          <w:delText>[Rule 14 amended: SL 2020/67 r. 54.]</w:delText>
        </w:r>
      </w:del>
    </w:p>
    <w:p>
      <w:pPr>
        <w:pStyle w:val="Heading5"/>
        <w:rPr>
          <w:del w:id="102" w:author="Master Repository Process" w:date="2022-05-13T08:43:00Z"/>
        </w:rPr>
      </w:pPr>
      <w:bookmarkStart w:id="103" w:name="_Toc65052531"/>
      <w:del w:id="104" w:author="Master Repository Process" w:date="2022-05-13T08:43:00Z">
        <w:r>
          <w:rPr>
            <w:rStyle w:val="CharSectno"/>
          </w:rPr>
          <w:delText>15</w:delText>
        </w:r>
        <w:r>
          <w:delText>.</w:delText>
        </w:r>
        <w:r>
          <w:tab/>
          <w:delText>Attendance of parties at status conference</w:delText>
        </w:r>
        <w:bookmarkEnd w:id="103"/>
      </w:del>
    </w:p>
    <w:p>
      <w:pPr>
        <w:pStyle w:val="Subsection"/>
        <w:rPr>
          <w:del w:id="105" w:author="Master Repository Process" w:date="2022-05-13T08:43:00Z"/>
        </w:rPr>
      </w:pPr>
      <w:del w:id="106" w:author="Master Repository Process" w:date="2022-05-13T08:43:00Z">
        <w:r>
          <w:tab/>
          <w:delText>(1)</w:delText>
        </w:r>
        <w:r>
          <w:tab/>
          <w:delText>You must attend a status conference in person.</w:delText>
        </w:r>
      </w:del>
    </w:p>
    <w:p>
      <w:pPr>
        <w:pStyle w:val="Subsection"/>
        <w:rPr>
          <w:del w:id="107" w:author="Master Repository Process" w:date="2022-05-13T08:43:00Z"/>
        </w:rPr>
      </w:pPr>
      <w:del w:id="108" w:author="Master Repository Process" w:date="2022-05-13T08:43:00Z">
        <w:r>
          <w:tab/>
          <w:delText>(2)</w:delText>
        </w:r>
        <w:r>
          <w:tab/>
          <w:delText>If you do not attend a status conference the magistrate at the status conference may give default judgment against you.</w:delText>
        </w:r>
      </w:del>
    </w:p>
    <w:p>
      <w:pPr>
        <w:pStyle w:val="Ednotepart"/>
      </w:pPr>
      <w:del w:id="109" w:author="Master Repository Process" w:date="2022-05-13T08:43:00Z">
        <w:r>
          <w:tab/>
          <w:delText>[Rule 15 amended: Gazette 24 May 2013 p. 2058; SL 2020/67 r. 55</w:delText>
        </w:r>
      </w:del>
      <w:ins w:id="110" w:author="Master Repository Process" w:date="2022-05-13T08:43:00Z">
        <w:r>
          <w:t>11</w:t>
        </w:r>
      </w:ins>
      <w:r>
        <w:t>.]</w:t>
      </w:r>
    </w:p>
    <w:p>
      <w:pPr>
        <w:pStyle w:val="Heading2"/>
      </w:pPr>
      <w:bookmarkStart w:id="111" w:name="_Toc102992226"/>
      <w:bookmarkStart w:id="112" w:name="_Toc102993076"/>
      <w:bookmarkStart w:id="113" w:name="_Toc103094336"/>
      <w:bookmarkStart w:id="114" w:name="_Toc64977144"/>
      <w:bookmarkStart w:id="115" w:name="_Toc64981310"/>
      <w:bookmarkStart w:id="116" w:name="_Toc65052532"/>
      <w:r>
        <w:rPr>
          <w:rStyle w:val="CharPartNo"/>
        </w:rPr>
        <w:t>Part 4</w:t>
      </w:r>
      <w:r>
        <w:rPr>
          <w:rStyle w:val="CharDivNo"/>
        </w:rPr>
        <w:t> </w:t>
      </w:r>
      <w:r>
        <w:t>—</w:t>
      </w:r>
      <w:r>
        <w:rPr>
          <w:rStyle w:val="CharDivText"/>
        </w:rPr>
        <w:t> </w:t>
      </w:r>
      <w:r>
        <w:rPr>
          <w:rStyle w:val="CharPartText"/>
        </w:rPr>
        <w:t>If you or another party does not defend a claim</w:t>
      </w:r>
      <w:bookmarkEnd w:id="111"/>
      <w:bookmarkEnd w:id="112"/>
      <w:bookmarkEnd w:id="113"/>
      <w:bookmarkEnd w:id="114"/>
      <w:bookmarkEnd w:id="115"/>
      <w:bookmarkEnd w:id="116"/>
    </w:p>
    <w:p>
      <w:pPr>
        <w:pStyle w:val="Heading5"/>
      </w:pPr>
      <w:bookmarkStart w:id="117" w:name="_Toc103094337"/>
      <w:bookmarkStart w:id="118" w:name="_Toc65052533"/>
      <w:r>
        <w:rPr>
          <w:rStyle w:val="CharSectno"/>
        </w:rPr>
        <w:t>16</w:t>
      </w:r>
      <w:r>
        <w:t>.</w:t>
      </w:r>
      <w:r>
        <w:tab/>
        <w:t>When this Part applies</w:t>
      </w:r>
      <w:bookmarkEnd w:id="117"/>
      <w:bookmarkEnd w:id="118"/>
    </w:p>
    <w:p>
      <w:pPr>
        <w:pStyle w:val="Subsection"/>
      </w:pPr>
      <w:r>
        <w:tab/>
      </w:r>
      <w:r>
        <w:tab/>
        <w:t>This Part applies if an application for default judgment is made against you or another party for a failure to lodge and serve a response in accordance with rule 9(1).</w:t>
      </w:r>
    </w:p>
    <w:p>
      <w:pPr>
        <w:pStyle w:val="Footnotesection"/>
      </w:pPr>
      <w:r>
        <w:tab/>
        <w:t>[Rule 16 inserted: SL 2020/67 r. 56.]</w:t>
      </w:r>
    </w:p>
    <w:p>
      <w:pPr>
        <w:pStyle w:val="Heading5"/>
      </w:pPr>
      <w:bookmarkStart w:id="119" w:name="_Toc103094338"/>
      <w:bookmarkStart w:id="120" w:name="_Toc65052534"/>
      <w:r>
        <w:rPr>
          <w:rStyle w:val="CharSectno"/>
        </w:rPr>
        <w:t>17</w:t>
      </w:r>
      <w:r>
        <w:t>.</w:t>
      </w:r>
      <w:r>
        <w:tab/>
        <w:t>If the claim is for a liquidated amount</w:t>
      </w:r>
      <w:bookmarkEnd w:id="119"/>
      <w:bookmarkEnd w:id="120"/>
    </w:p>
    <w:p>
      <w:pPr>
        <w:pStyle w:val="Subsection"/>
      </w:pPr>
      <w:r>
        <w:tab/>
      </w:r>
      <w:r>
        <w:tab/>
        <w:t xml:space="preserve">Unless rule 21 applies, if the claim is for a liquidated amount a registrar is to give default judgment for that amount. </w:t>
      </w:r>
    </w:p>
    <w:p>
      <w:pPr>
        <w:pStyle w:val="Footnotesection"/>
      </w:pPr>
      <w:r>
        <w:tab/>
        <w:t>[Rule 17 inserted: SL 2020/67 r. 56.]</w:t>
      </w:r>
    </w:p>
    <w:p>
      <w:pPr>
        <w:pStyle w:val="Heading5"/>
      </w:pPr>
      <w:bookmarkStart w:id="121" w:name="_Toc103094339"/>
      <w:bookmarkStart w:id="122" w:name="_Toc65052535"/>
      <w:r>
        <w:rPr>
          <w:rStyle w:val="CharSectno"/>
        </w:rPr>
        <w:t>18</w:t>
      </w:r>
      <w:r>
        <w:t>.</w:t>
      </w:r>
      <w:r>
        <w:tab/>
        <w:t>If the claim is for an unliquidated amount</w:t>
      </w:r>
      <w:bookmarkEnd w:id="121"/>
      <w:bookmarkEnd w:id="122"/>
    </w:p>
    <w:p>
      <w:pPr>
        <w:pStyle w:val="Subsection"/>
      </w:pPr>
      <w:r>
        <w:tab/>
        <w:t>(1)</w:t>
      </w:r>
      <w:r>
        <w:tab/>
        <w:t>Unless rule 21 applies, if the claim is for an unliquidated amount a registrar is to give default judgment for an unliquidated amount.</w:t>
      </w:r>
    </w:p>
    <w:p>
      <w:pPr>
        <w:pStyle w:val="Subsection"/>
      </w:pPr>
      <w:r>
        <w:tab/>
        <w:t>(2)</w:t>
      </w:r>
      <w:r>
        <w:tab/>
        <w:t xml:space="preserve">When the registrar gives default judgment for an unliquidated amount, the registrar may do any or all of the following — </w:t>
      </w:r>
    </w:p>
    <w:p>
      <w:pPr>
        <w:pStyle w:val="Indenta"/>
      </w:pPr>
      <w:r>
        <w:tab/>
        <w:t>(a)</w:t>
      </w:r>
      <w:r>
        <w:tab/>
        <w:t>request that you or another party lodge additional supporting material in relation to the claim;</w:t>
      </w:r>
    </w:p>
    <w:p>
      <w:pPr>
        <w:pStyle w:val="Indenta"/>
      </w:pPr>
      <w:r>
        <w:tab/>
        <w:t>(b)</w:t>
      </w:r>
      <w:r>
        <w:tab/>
        <w:t>give default judgment against the defendant for a specified amount, if the registrar is able to assess the amount from any additional supporting material lodged;</w:t>
      </w:r>
    </w:p>
    <w:p>
      <w:pPr>
        <w:pStyle w:val="Indenta"/>
      </w:pPr>
      <w:r>
        <w:tab/>
        <w:t>(c)</w:t>
      </w:r>
      <w:r>
        <w:tab/>
        <w:t>list the application for a hearing at which the Court will assess the amount.</w:t>
      </w:r>
    </w:p>
    <w:p>
      <w:pPr>
        <w:pStyle w:val="Subsection"/>
      </w:pPr>
      <w:r>
        <w:tab/>
        <w:t>(3)</w:t>
      </w:r>
      <w:r>
        <w:tab/>
        <w:t>If the registrar lists the application for a hearing under subrule (2)(c) —</w:t>
      </w:r>
    </w:p>
    <w:p>
      <w:pPr>
        <w:pStyle w:val="Indenta"/>
      </w:pPr>
      <w:r>
        <w:tab/>
        <w:t>(a)</w:t>
      </w:r>
      <w:r>
        <w:tab/>
        <w:t>the registrar must notify you and the other parties in writing at least 28 days before the hearing; and</w:t>
      </w:r>
    </w:p>
    <w:p>
      <w:pPr>
        <w:pStyle w:val="Indenta"/>
      </w:pPr>
      <w:r>
        <w:tab/>
        <w:t>(b)</w:t>
      </w:r>
      <w:r>
        <w:tab/>
        <w:t>you must lodge and serve a supporting affidavit at least 14 days before the hearing.</w:t>
      </w:r>
    </w:p>
    <w:p>
      <w:pPr>
        <w:pStyle w:val="Subsection"/>
      </w:pPr>
      <w:r>
        <w:tab/>
        <w:t>(4)</w:t>
      </w:r>
      <w:r>
        <w:tab/>
        <w:t>An application for default judgment under this Part does not need to be supported by an affidavit unless a hearing is listed under subrule (2)(c).</w:t>
      </w:r>
    </w:p>
    <w:p>
      <w:pPr>
        <w:pStyle w:val="Footnotesection"/>
      </w:pPr>
      <w:r>
        <w:tab/>
        <w:t>[Rule 18 inserted: SL 2020/67 r. 56.]</w:t>
      </w:r>
    </w:p>
    <w:p>
      <w:pPr>
        <w:pStyle w:val="Heading5"/>
      </w:pPr>
      <w:bookmarkStart w:id="123" w:name="_Toc103094340"/>
      <w:bookmarkStart w:id="124" w:name="_Toc65052536"/>
      <w:r>
        <w:rPr>
          <w:rStyle w:val="CharSectno"/>
        </w:rPr>
        <w:t>19</w:t>
      </w:r>
      <w:r>
        <w:t>.</w:t>
      </w:r>
      <w:r>
        <w:tab/>
        <w:t>If the claim against you is to recover possession of personal property</w:t>
      </w:r>
      <w:bookmarkEnd w:id="123"/>
      <w:bookmarkEnd w:id="124"/>
    </w:p>
    <w:p>
      <w:pPr>
        <w:pStyle w:val="Subsection"/>
      </w:pPr>
      <w:r>
        <w:tab/>
      </w:r>
      <w:r>
        <w:tab/>
        <w:t xml:space="preserve">Unless rule 21 applies, </w:t>
      </w:r>
      <w:del w:id="125" w:author="Master Repository Process" w:date="2022-05-13T08:43:00Z">
        <w:r>
          <w:delText xml:space="preserve">or the claim is a consumer/trader claim, </w:delText>
        </w:r>
      </w:del>
      <w:r>
        <w:t>a registrar may give default judgment for a claim to recover possession of personal property.</w:t>
      </w:r>
    </w:p>
    <w:p>
      <w:pPr>
        <w:pStyle w:val="Footnotesection"/>
        <w:ind w:left="890" w:hanging="890"/>
        <w:rPr>
          <w:ins w:id="126" w:author="Master Repository Process" w:date="2022-05-13T08:43:00Z"/>
        </w:rPr>
      </w:pPr>
      <w:ins w:id="127" w:author="Master Repository Process" w:date="2022-05-13T08:43:00Z">
        <w:r>
          <w:tab/>
          <w:t>[Rule 19 amended: SL 2022/54 r. 12.]</w:t>
        </w:r>
      </w:ins>
    </w:p>
    <w:p>
      <w:pPr>
        <w:pStyle w:val="Heading5"/>
      </w:pPr>
      <w:bookmarkStart w:id="128" w:name="_Toc103094341"/>
      <w:bookmarkStart w:id="129" w:name="_Toc65052537"/>
      <w:r>
        <w:rPr>
          <w:rStyle w:val="CharSectno"/>
        </w:rPr>
        <w:t>20</w:t>
      </w:r>
      <w:r>
        <w:t>.</w:t>
      </w:r>
      <w:r>
        <w:tab/>
        <w:t>Registrar may give default judgment in absence of parties</w:t>
      </w:r>
      <w:bookmarkEnd w:id="128"/>
      <w:bookmarkEnd w:id="129"/>
    </w:p>
    <w:p>
      <w:pPr>
        <w:pStyle w:val="Subsection"/>
      </w:pPr>
      <w:r>
        <w:tab/>
      </w:r>
      <w:r>
        <w:tab/>
        <w:t>A registrar may give default judgment under this Part in the absence of the parties.</w:t>
      </w:r>
    </w:p>
    <w:p>
      <w:pPr>
        <w:pStyle w:val="Heading5"/>
        <w:spacing w:before="180"/>
      </w:pPr>
      <w:bookmarkStart w:id="130" w:name="_Toc103094342"/>
      <w:bookmarkStart w:id="131" w:name="_Toc65052538"/>
      <w:r>
        <w:rPr>
          <w:rStyle w:val="CharSectno"/>
          <w:rFonts w:ascii="Times" w:hAnsi="Times"/>
        </w:rPr>
        <w:t>21</w:t>
      </w:r>
      <w:r>
        <w:t>.</w:t>
      </w:r>
      <w:r>
        <w:tab/>
        <w:t>Registrar not to give judgment in certain cases</w:t>
      </w:r>
      <w:bookmarkEnd w:id="130"/>
      <w:bookmarkEnd w:id="131"/>
    </w:p>
    <w:p>
      <w:pPr>
        <w:pStyle w:val="Ednotesubsection"/>
      </w:pPr>
      <w:r>
        <w:tab/>
        <w:t>[(1)</w:t>
      </w:r>
      <w:r>
        <w:tab/>
        <w:t>deleted]</w:t>
      </w:r>
    </w:p>
    <w:p>
      <w:pPr>
        <w:pStyle w:val="Subsection"/>
        <w:keepNext/>
      </w:pPr>
      <w:r>
        <w:tab/>
        <w:t>(2)</w:t>
      </w:r>
      <w:r>
        <w:tab/>
        <w:t>A registrar must not, without the approval of a Magistrate, give default judgment against you under this Part if one year or more has passed since the claim that started the case was served.</w:t>
      </w:r>
    </w:p>
    <w:p>
      <w:pPr>
        <w:pStyle w:val="Footnotesection"/>
        <w:ind w:left="890" w:hanging="890"/>
      </w:pPr>
      <w:r>
        <w:tab/>
        <w:t>[Rule 21 inserted: Gazette 3 Jun 2008 p. 2142; amended: Gazette 24 May 2013 p. 2058; SL 2020/67 r. 57.]</w:t>
      </w:r>
    </w:p>
    <w:p>
      <w:pPr>
        <w:pStyle w:val="Heading5"/>
      </w:pPr>
      <w:bookmarkStart w:id="132" w:name="_Toc103094343"/>
      <w:bookmarkStart w:id="133" w:name="_Toc65052539"/>
      <w:r>
        <w:rPr>
          <w:rStyle w:val="CharSectno"/>
          <w:rFonts w:ascii="Times" w:hAnsi="Times"/>
        </w:rPr>
        <w:t>22A</w:t>
      </w:r>
      <w:r>
        <w:t>.</w:t>
      </w:r>
      <w:r>
        <w:tab/>
        <w:t>Default judgment one year or more after originating claim, referral to Magistrate</w:t>
      </w:r>
      <w:bookmarkEnd w:id="132"/>
      <w:bookmarkEnd w:id="133"/>
    </w:p>
    <w:p>
      <w:pPr>
        <w:pStyle w:val="Subsection"/>
      </w:pPr>
      <w:r>
        <w:tab/>
        <w:t>(1)</w:t>
      </w:r>
      <w:r>
        <w:tab/>
        <w:t>If one year or more has passed since the claim that started the case was served, a registrar may, if an application for default judgment has been made, refer the matter to a Magistrate.</w:t>
      </w:r>
    </w:p>
    <w:p>
      <w:pPr>
        <w:pStyle w:val="Subsection"/>
      </w:pPr>
      <w:r>
        <w:tab/>
        <w:t>(2)</w:t>
      </w:r>
      <w:r>
        <w:tab/>
        <w:t>If a matter is referred to a Magistrate the person who applied for default judgment must provide an affidavit setting out the reasons for the delay in the matter being finalised.</w:t>
      </w:r>
    </w:p>
    <w:p>
      <w:pPr>
        <w:pStyle w:val="Subsection"/>
        <w:keepNext/>
      </w:pPr>
      <w:r>
        <w:tab/>
        <w:t>(3)</w:t>
      </w:r>
      <w:r>
        <w:tab/>
        <w:t>If a matter is referred to a Magistrate, the Magistrate may give approval for the registrar to give default judgment under this Part.</w:t>
      </w:r>
    </w:p>
    <w:p>
      <w:pPr>
        <w:pStyle w:val="Footnotesection"/>
        <w:ind w:left="890" w:hanging="890"/>
      </w:pPr>
      <w:r>
        <w:tab/>
        <w:t>[Rule 22A inserted: Gazette 24 May 2013 p. 2058.]</w:t>
      </w:r>
    </w:p>
    <w:p>
      <w:pPr>
        <w:pStyle w:val="Heading5"/>
      </w:pPr>
      <w:bookmarkStart w:id="134" w:name="_Toc103094344"/>
      <w:bookmarkStart w:id="135" w:name="_Toc65052540"/>
      <w:r>
        <w:rPr>
          <w:rStyle w:val="CharSectno"/>
        </w:rPr>
        <w:t>22</w:t>
      </w:r>
      <w:r>
        <w:t>.</w:t>
      </w:r>
      <w:r>
        <w:tab/>
        <w:t>Application for default judgment to be dismissed if not granted</w:t>
      </w:r>
      <w:bookmarkEnd w:id="134"/>
      <w:bookmarkEnd w:id="135"/>
    </w:p>
    <w:p>
      <w:pPr>
        <w:pStyle w:val="Subsection"/>
        <w:keepNext/>
      </w:pPr>
      <w:r>
        <w:tab/>
      </w:r>
      <w:r>
        <w:tab/>
        <w:t>If the registrar decides not to grant an application for default judgment, the registrar must dismiss it.</w:t>
      </w:r>
    </w:p>
    <w:p>
      <w:pPr>
        <w:pStyle w:val="Footnotesection"/>
      </w:pPr>
      <w:r>
        <w:tab/>
        <w:t>[Rule 22 inserted: Gazette 21 Jul 2017 p. 4026.]</w:t>
      </w:r>
    </w:p>
    <w:p>
      <w:pPr>
        <w:pStyle w:val="Heading5"/>
      </w:pPr>
      <w:bookmarkStart w:id="136" w:name="_Toc103094345"/>
      <w:bookmarkStart w:id="137" w:name="_Toc65052541"/>
      <w:r>
        <w:rPr>
          <w:rStyle w:val="CharSectno"/>
        </w:rPr>
        <w:t>23A</w:t>
      </w:r>
      <w:r>
        <w:t>.</w:t>
      </w:r>
      <w:r>
        <w:tab/>
        <w:t>Registrar may order costs after giving judgment</w:t>
      </w:r>
      <w:bookmarkEnd w:id="136"/>
      <w:bookmarkEnd w:id="137"/>
    </w:p>
    <w:p>
      <w:pPr>
        <w:pStyle w:val="Subsection"/>
        <w:keepNext/>
      </w:pPr>
      <w:r>
        <w:tab/>
      </w:r>
      <w:r>
        <w:tab/>
        <w:t>When the registrar gives default judgment under this Part the registrar may also make an order for costs under the Act section 31(2).</w:t>
      </w:r>
    </w:p>
    <w:p>
      <w:pPr>
        <w:pStyle w:val="Footnotesection"/>
      </w:pPr>
      <w:r>
        <w:tab/>
        <w:t>[Rule 23A inserted as rule 22A: Gazette 10 Jun 2005 p. 2566; renumbered as rule 23A: Gazette 3 Jun 2008 p. 2143.]</w:t>
      </w:r>
    </w:p>
    <w:p>
      <w:pPr>
        <w:pStyle w:val="Heading2"/>
      </w:pPr>
      <w:bookmarkStart w:id="138" w:name="_Toc102992236"/>
      <w:bookmarkStart w:id="139" w:name="_Toc102993086"/>
      <w:bookmarkStart w:id="140" w:name="_Toc103094346"/>
      <w:bookmarkStart w:id="141" w:name="_Toc64977154"/>
      <w:bookmarkStart w:id="142" w:name="_Toc64981320"/>
      <w:bookmarkStart w:id="143" w:name="_Toc65052542"/>
      <w:r>
        <w:rPr>
          <w:rStyle w:val="CharPartNo"/>
        </w:rPr>
        <w:t>Part 5</w:t>
      </w:r>
      <w:r>
        <w:rPr>
          <w:rStyle w:val="CharDivNo"/>
        </w:rPr>
        <w:t> </w:t>
      </w:r>
      <w:r>
        <w:t>—</w:t>
      </w:r>
      <w:r>
        <w:rPr>
          <w:rStyle w:val="CharDivText"/>
        </w:rPr>
        <w:t> </w:t>
      </w:r>
      <w:r>
        <w:rPr>
          <w:rStyle w:val="CharPartText"/>
        </w:rPr>
        <w:t>Status conferences and pre</w:t>
      </w:r>
      <w:r>
        <w:rPr>
          <w:rStyle w:val="CharPartText"/>
        </w:rPr>
        <w:noBreakHyphen/>
        <w:t>trial conferences</w:t>
      </w:r>
      <w:bookmarkEnd w:id="138"/>
      <w:bookmarkEnd w:id="139"/>
      <w:bookmarkEnd w:id="140"/>
      <w:bookmarkEnd w:id="141"/>
      <w:bookmarkEnd w:id="142"/>
      <w:bookmarkEnd w:id="143"/>
    </w:p>
    <w:p>
      <w:pPr>
        <w:pStyle w:val="Footnoteheading"/>
      </w:pPr>
      <w:r>
        <w:tab/>
        <w:t>[Heading inserted: SL 2020/67 r. 58.]</w:t>
      </w:r>
    </w:p>
    <w:p>
      <w:pPr>
        <w:pStyle w:val="Heading5"/>
      </w:pPr>
      <w:bookmarkStart w:id="144" w:name="_Toc103094347"/>
      <w:bookmarkStart w:id="145" w:name="_Toc65052543"/>
      <w:r>
        <w:rPr>
          <w:rStyle w:val="CharSectno"/>
          <w:rFonts w:ascii="Times" w:hAnsi="Times"/>
        </w:rPr>
        <w:t>23</w:t>
      </w:r>
      <w:r>
        <w:t>.</w:t>
      </w:r>
      <w:r>
        <w:tab/>
        <w:t>Listing case for a status conference</w:t>
      </w:r>
      <w:bookmarkEnd w:id="144"/>
      <w:bookmarkEnd w:id="145"/>
    </w:p>
    <w:p>
      <w:pPr>
        <w:pStyle w:val="Subsection"/>
      </w:pPr>
      <w:r>
        <w:tab/>
        <w:t>(1)</w:t>
      </w:r>
      <w:r>
        <w:tab/>
        <w:t>If a defendant lodges a response, a registrar must, within 14 days, list the case for a status conference.</w:t>
      </w:r>
    </w:p>
    <w:p>
      <w:pPr>
        <w:pStyle w:val="Subsection"/>
      </w:pPr>
      <w:r>
        <w:tab/>
        <w:t>(2)</w:t>
      </w:r>
      <w:r>
        <w:tab/>
        <w:t>The registrar must notify you and the other parties in writing of the status conference.</w:t>
      </w:r>
    </w:p>
    <w:p>
      <w:pPr>
        <w:pStyle w:val="Footnotesection"/>
      </w:pPr>
      <w:r>
        <w:tab/>
        <w:t>[Rule 23 inserted: Gazette 3 Jun 2008 p. 2143; amended: Gazette 30 Sep 2016 p. 4176; SL 2020/67 r. 59.]</w:t>
      </w:r>
    </w:p>
    <w:p>
      <w:pPr>
        <w:pStyle w:val="Heading5"/>
      </w:pPr>
      <w:bookmarkStart w:id="146" w:name="_Toc103094348"/>
      <w:bookmarkStart w:id="147" w:name="_Toc65052544"/>
      <w:r>
        <w:rPr>
          <w:rStyle w:val="CharSectno"/>
        </w:rPr>
        <w:t>23AA</w:t>
      </w:r>
      <w:r>
        <w:t>.</w:t>
      </w:r>
      <w:r>
        <w:tab/>
        <w:t>What happens at a status conference</w:t>
      </w:r>
      <w:bookmarkEnd w:id="146"/>
      <w:bookmarkEnd w:id="147"/>
    </w:p>
    <w:p>
      <w:pPr>
        <w:pStyle w:val="Subsection"/>
      </w:pPr>
      <w:r>
        <w:tab/>
        <w:t>(1)</w:t>
      </w:r>
      <w:r>
        <w:tab/>
        <w:t>The purpose of a status conference is to allow for the management of a case.</w:t>
      </w:r>
    </w:p>
    <w:p>
      <w:pPr>
        <w:pStyle w:val="Subsection"/>
      </w:pPr>
      <w:r>
        <w:tab/>
        <w:t>(2)</w:t>
      </w:r>
      <w:r>
        <w:tab/>
        <w:t xml:space="preserve">Specifically, at a status conference the Court may do any or all of the following — </w:t>
      </w:r>
    </w:p>
    <w:p>
      <w:pPr>
        <w:pStyle w:val="Indenta"/>
      </w:pPr>
      <w:r>
        <w:tab/>
        <w:t>(a)</w:t>
      </w:r>
      <w:r>
        <w:tab/>
        <w:t>refer the case to a pre</w:t>
      </w:r>
      <w:r>
        <w:noBreakHyphen/>
        <w:t>trial conference to be conducted by a registrar immediately;</w:t>
      </w:r>
    </w:p>
    <w:p>
      <w:pPr>
        <w:pStyle w:val="Indenta"/>
      </w:pPr>
      <w:r>
        <w:tab/>
        <w:t>(b)</w:t>
      </w:r>
      <w:r>
        <w:tab/>
        <w:t>determine what facts, if any, are agreed by the parties;</w:t>
      </w:r>
    </w:p>
    <w:p>
      <w:pPr>
        <w:pStyle w:val="Indenta"/>
      </w:pPr>
      <w:r>
        <w:tab/>
        <w:t>(c)</w:t>
      </w:r>
      <w:r>
        <w:tab/>
        <w:t xml:space="preserve">order the parties to — </w:t>
      </w:r>
    </w:p>
    <w:p>
      <w:pPr>
        <w:pStyle w:val="Indenti"/>
      </w:pPr>
      <w:r>
        <w:tab/>
        <w:t>(i)</w:t>
      </w:r>
      <w:r>
        <w:tab/>
        <w:t>lodge and serve lists of documents the parties might tender in evidence at the trial in support of their claims or defences; or</w:t>
      </w:r>
    </w:p>
    <w:p>
      <w:pPr>
        <w:pStyle w:val="Indenti"/>
      </w:pPr>
      <w:r>
        <w:tab/>
        <w:t>(ii)</w:t>
      </w:r>
      <w:r>
        <w:tab/>
        <w:t>exchange any other documents or information;</w:t>
      </w:r>
    </w:p>
    <w:p>
      <w:pPr>
        <w:pStyle w:val="Indenta"/>
      </w:pPr>
      <w:r>
        <w:tab/>
        <w:t>(d)</w:t>
      </w:r>
      <w:r>
        <w:tab/>
        <w:t>extend the time for making counterclaims or third party claims (even if the time for making those claims has passed);</w:t>
      </w:r>
    </w:p>
    <w:p>
      <w:pPr>
        <w:pStyle w:val="Indenta"/>
      </w:pPr>
      <w:r>
        <w:tab/>
        <w:t>(e)</w:t>
      </w:r>
      <w:r>
        <w:tab/>
        <w:t>list the case for a further status conference;</w:t>
      </w:r>
    </w:p>
    <w:p>
      <w:pPr>
        <w:pStyle w:val="Indenta"/>
      </w:pPr>
      <w:r>
        <w:tab/>
        <w:t>(f)</w:t>
      </w:r>
      <w:r>
        <w:tab/>
        <w:t>make any other orders necessary to facilitate settlement or ensure the case is ready for trial.</w:t>
      </w:r>
    </w:p>
    <w:p>
      <w:pPr>
        <w:pStyle w:val="Subsection"/>
      </w:pPr>
      <w:r>
        <w:tab/>
        <w:t>(3)</w:t>
      </w:r>
      <w:r>
        <w:tab/>
        <w:t xml:space="preserve">If the case involves a counterclaim that is not a minor case, then, at the status conference — </w:t>
      </w:r>
    </w:p>
    <w:p>
      <w:pPr>
        <w:pStyle w:val="Indenta"/>
      </w:pPr>
      <w:r>
        <w:tab/>
        <w:t>(a)</w:t>
      </w:r>
      <w:r>
        <w:tab/>
        <w:t>the Court will consider whether or not you and the other parties consent to the counterclaim being dealt with under these rules; and</w:t>
      </w:r>
    </w:p>
    <w:p>
      <w:pPr>
        <w:pStyle w:val="Indenta"/>
      </w:pPr>
      <w:r>
        <w:tab/>
        <w:t>(b)</w:t>
      </w:r>
      <w:r>
        <w:tab/>
        <w:t>if the parties do not consent to the counterclaim being dealt with under these rules, the court must —</w:t>
      </w:r>
    </w:p>
    <w:p>
      <w:pPr>
        <w:pStyle w:val="Indenti"/>
      </w:pPr>
      <w:r>
        <w:tab/>
        <w:t>(i)</w:t>
      </w:r>
      <w:r>
        <w:tab/>
        <w:t>list the case for a hearing before the Court for it to determine what part of the case, if any, is to be dealt with under these rules; and</w:t>
      </w:r>
    </w:p>
    <w:p>
      <w:pPr>
        <w:pStyle w:val="Indenti"/>
      </w:pPr>
      <w:r>
        <w:tab/>
        <w:t>(ii)</w:t>
      </w:r>
      <w:r>
        <w:tab/>
        <w:t>notify you and the other parties in writing of the hearing date.</w:t>
      </w:r>
    </w:p>
    <w:p>
      <w:pPr>
        <w:pStyle w:val="Subsection"/>
      </w:pPr>
      <w:r>
        <w:tab/>
        <w:t>(4)</w:t>
      </w:r>
      <w:r>
        <w:tab/>
        <w:t>If the Court determines at the hearing referred to in subrule (3) that part of the case is to be dealt with under these rules, it will list the case for a further status conference.</w:t>
      </w:r>
    </w:p>
    <w:p>
      <w:pPr>
        <w:pStyle w:val="Subsection"/>
      </w:pPr>
      <w:r>
        <w:tab/>
        <w:t>(5)</w:t>
      </w:r>
      <w:r>
        <w:tab/>
        <w:t>The court must notify you and the other parties in writing of the listing under subrule (4).</w:t>
      </w:r>
    </w:p>
    <w:p>
      <w:pPr>
        <w:pStyle w:val="Footnotesection"/>
      </w:pPr>
      <w:r>
        <w:tab/>
        <w:t>[Rule 23AA inserted: SL 2020/67 r. 60.]</w:t>
      </w:r>
    </w:p>
    <w:p>
      <w:pPr>
        <w:pStyle w:val="Heading5"/>
      </w:pPr>
      <w:bookmarkStart w:id="148" w:name="_Toc103094349"/>
      <w:bookmarkStart w:id="149" w:name="_Toc65052545"/>
      <w:r>
        <w:rPr>
          <w:rStyle w:val="CharSectno"/>
        </w:rPr>
        <w:t>24</w:t>
      </w:r>
      <w:r>
        <w:t>.</w:t>
      </w:r>
      <w:r>
        <w:tab/>
        <w:t>What happens at a pre</w:t>
      </w:r>
      <w:r>
        <w:noBreakHyphen/>
        <w:t>trial conference</w:t>
      </w:r>
      <w:bookmarkEnd w:id="148"/>
      <w:bookmarkEnd w:id="149"/>
    </w:p>
    <w:p>
      <w:pPr>
        <w:pStyle w:val="Subsection"/>
      </w:pPr>
      <w:r>
        <w:tab/>
        <w:t>(1)</w:t>
      </w:r>
      <w:r>
        <w:tab/>
        <w:t>At a pre</w:t>
      </w:r>
      <w:r>
        <w:noBreakHyphen/>
        <w:t>trial conference the registrar may do any or all of the things that the Court may do at a status conference under rule 23AA(2)(b) to (f).</w:t>
      </w:r>
    </w:p>
    <w:p>
      <w:pPr>
        <w:pStyle w:val="Ednotesubsection"/>
      </w:pPr>
      <w:r>
        <w:tab/>
        <w:t>[(2)</w:t>
      </w:r>
      <w:r>
        <w:noBreakHyphen/>
        <w:t>(3)</w:t>
      </w:r>
      <w:r>
        <w:tab/>
        <w:t>deleted]</w:t>
      </w:r>
    </w:p>
    <w:p>
      <w:pPr>
        <w:pStyle w:val="Subsection"/>
      </w:pPr>
      <w:r>
        <w:tab/>
        <w:t>(4)</w:t>
      </w:r>
      <w:r>
        <w:tab/>
        <w:t>The registrar must notify you and the other parties in writing of any further status conference or pre</w:t>
      </w:r>
      <w:r>
        <w:noBreakHyphen/>
        <w:t>trial conference.</w:t>
      </w:r>
    </w:p>
    <w:p>
      <w:pPr>
        <w:pStyle w:val="Ednotesubsection"/>
      </w:pPr>
      <w:r>
        <w:tab/>
        <w:t>[(5)</w:t>
      </w:r>
      <w:r>
        <w:tab/>
        <w:t>deleted]</w:t>
      </w:r>
    </w:p>
    <w:p>
      <w:pPr>
        <w:pStyle w:val="Footnotesection"/>
      </w:pPr>
      <w:r>
        <w:tab/>
        <w:t>[Rule 24 amended: Gazette 3 Jun 2008 p. 2143</w:t>
      </w:r>
      <w:r>
        <w:noBreakHyphen/>
        <w:t>4; 30 Sep 2016 p. 4176; SL 2020/67 r. 61.]</w:t>
      </w:r>
    </w:p>
    <w:p>
      <w:pPr>
        <w:pStyle w:val="Ednotesection"/>
      </w:pPr>
      <w:r>
        <w:t>[</w:t>
      </w:r>
      <w:r>
        <w:rPr>
          <w:b/>
        </w:rPr>
        <w:t>25A, 25B.</w:t>
      </w:r>
      <w:r>
        <w:rPr>
          <w:b/>
        </w:rPr>
        <w:tab/>
      </w:r>
      <w:r>
        <w:t>Deleted: Gazette 30 Sep 2016 p. 4176.]</w:t>
      </w:r>
    </w:p>
    <w:p>
      <w:pPr>
        <w:pStyle w:val="Heading5"/>
      </w:pPr>
      <w:bookmarkStart w:id="150" w:name="_Toc103094350"/>
      <w:bookmarkStart w:id="151" w:name="_Toc65052546"/>
      <w:r>
        <w:rPr>
          <w:rStyle w:val="CharSectno"/>
        </w:rPr>
        <w:t>25C</w:t>
      </w:r>
      <w:r>
        <w:t>.</w:t>
      </w:r>
      <w:r>
        <w:tab/>
        <w:t>List of documents you might tender at trial</w:t>
      </w:r>
      <w:bookmarkEnd w:id="150"/>
      <w:bookmarkEnd w:id="151"/>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Gazette 3 Jun 2008 p. 2145.]</w:t>
      </w:r>
    </w:p>
    <w:p>
      <w:pPr>
        <w:pStyle w:val="Ednotesection"/>
      </w:pPr>
      <w:r>
        <w:t>[</w:t>
      </w:r>
      <w:r>
        <w:rPr>
          <w:b/>
        </w:rPr>
        <w:t>25.</w:t>
      </w:r>
      <w:r>
        <w:tab/>
        <w:t>Deleted: SL 2020/67 r. 62.]</w:t>
      </w:r>
    </w:p>
    <w:p>
      <w:pPr>
        <w:pStyle w:val="Heading5"/>
      </w:pPr>
      <w:bookmarkStart w:id="152" w:name="_Toc103094351"/>
      <w:bookmarkStart w:id="153" w:name="_Toc65052547"/>
      <w:r>
        <w:rPr>
          <w:rStyle w:val="CharSectno"/>
        </w:rPr>
        <w:t>26</w:t>
      </w:r>
      <w:r>
        <w:t>.</w:t>
      </w:r>
      <w:r>
        <w:tab/>
        <w:t>Your attendance at a status conference, pre</w:t>
      </w:r>
      <w:r>
        <w:noBreakHyphen/>
        <w:t>trial conference or hearing</w:t>
      </w:r>
      <w:bookmarkEnd w:id="152"/>
      <w:bookmarkEnd w:id="153"/>
    </w:p>
    <w:p>
      <w:pPr>
        <w:pStyle w:val="Subsection"/>
      </w:pPr>
      <w:r>
        <w:tab/>
        <w:t>(1)</w:t>
      </w:r>
      <w:r>
        <w:tab/>
        <w:t>You must attend a status conference, pre</w:t>
      </w:r>
      <w:r>
        <w:noBreakHyphen/>
        <w:t>trial conference, or any hearing referred to in rule 23AA(3), in person.</w:t>
      </w:r>
    </w:p>
    <w:p>
      <w:pPr>
        <w:pStyle w:val="Subsection"/>
      </w:pPr>
      <w:r>
        <w:tab/>
        <w:t>(1A)</w:t>
      </w:r>
      <w:r>
        <w:tab/>
        <w:t>A subrogated insurer who is authorised in writing by you may, upon presentation of the written authorisation to the Court, represent or assist you at a status conference, a pre</w:t>
      </w:r>
      <w:r>
        <w:noBreakHyphen/>
        <w:t xml:space="preserve">trial conference or a hearing referred to in rule 23AA(3), but not at the trial of your case. </w:t>
      </w:r>
    </w:p>
    <w:p>
      <w:pPr>
        <w:pStyle w:val="Subsection"/>
        <w:keepLines/>
      </w:pPr>
      <w:r>
        <w:tab/>
        <w:t>(2)</w:t>
      </w:r>
      <w:r>
        <w:tab/>
        <w:t>If you do not attend a pre</w:t>
      </w:r>
      <w:r>
        <w:noBreakHyphen/>
        <w:t>trial conference, the registrar at the pre</w:t>
      </w:r>
      <w:r>
        <w:noBreakHyphen/>
        <w:t>trial conference may give default judgment against you.  In that case Part 4, except rule 21, applies with any necessary modifications in relation to the default judgment.</w:t>
      </w:r>
    </w:p>
    <w:p>
      <w:pPr>
        <w:pStyle w:val="Footnotesection"/>
      </w:pPr>
      <w:r>
        <w:tab/>
        <w:t>[Rule 26 amended: SL 2020/67 r. 63.]</w:t>
      </w:r>
    </w:p>
    <w:p>
      <w:pPr>
        <w:pStyle w:val="Heading5"/>
      </w:pPr>
      <w:bookmarkStart w:id="154" w:name="_Toc103094352"/>
      <w:bookmarkStart w:id="155" w:name="_Toc65052548"/>
      <w:r>
        <w:rPr>
          <w:rStyle w:val="CharSectno"/>
        </w:rPr>
        <w:t>27</w:t>
      </w:r>
      <w:r>
        <w:t>.</w:t>
      </w:r>
      <w:r>
        <w:tab/>
        <w:t>Listing the case for trial</w:t>
      </w:r>
      <w:bookmarkEnd w:id="154"/>
      <w:bookmarkEnd w:id="155"/>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56" w:name="_Toc103094353"/>
      <w:bookmarkStart w:id="157" w:name="_Toc65052549"/>
      <w:r>
        <w:rPr>
          <w:rStyle w:val="CharSectno"/>
        </w:rPr>
        <w:t>28</w:t>
      </w:r>
      <w:r>
        <w:t>.</w:t>
      </w:r>
      <w:r>
        <w:tab/>
        <w:t>Status of things said or done at a status conference or a pre</w:t>
      </w:r>
      <w:r>
        <w:noBreakHyphen/>
        <w:t>trial conference</w:t>
      </w:r>
      <w:bookmarkEnd w:id="156"/>
      <w:bookmarkEnd w:id="157"/>
    </w:p>
    <w:p>
      <w:pPr>
        <w:pStyle w:val="Subsection"/>
      </w:pPr>
      <w:r>
        <w:tab/>
        <w:t>(1A)</w:t>
      </w:r>
      <w:r>
        <w:tab/>
        <w:t>A status conference must be conducted before a magistrate.</w:t>
      </w:r>
    </w:p>
    <w:p>
      <w:pPr>
        <w:pStyle w:val="Subsection"/>
        <w:keepNext/>
        <w:keepLines/>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status conference or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Footnotesection"/>
      </w:pPr>
      <w:r>
        <w:tab/>
        <w:t>[Rule 28 amended: SL 2020/67 r. 64.]</w:t>
      </w:r>
    </w:p>
    <w:p>
      <w:pPr>
        <w:pStyle w:val="Heading2"/>
      </w:pPr>
      <w:bookmarkStart w:id="158" w:name="_Toc102992244"/>
      <w:bookmarkStart w:id="159" w:name="_Toc102993094"/>
      <w:bookmarkStart w:id="160" w:name="_Toc103094354"/>
      <w:bookmarkStart w:id="161" w:name="_Toc64977162"/>
      <w:bookmarkStart w:id="162" w:name="_Toc64981328"/>
      <w:bookmarkStart w:id="163" w:name="_Toc65052550"/>
      <w:r>
        <w:rPr>
          <w:rStyle w:val="CharPartNo"/>
        </w:rPr>
        <w:t>Part 6</w:t>
      </w:r>
      <w:r>
        <w:rPr>
          <w:rStyle w:val="CharDivNo"/>
        </w:rPr>
        <w:t> </w:t>
      </w:r>
      <w:r>
        <w:t>—</w:t>
      </w:r>
      <w:r>
        <w:rPr>
          <w:rStyle w:val="CharDivText"/>
        </w:rPr>
        <w:t> </w:t>
      </w:r>
      <w:r>
        <w:rPr>
          <w:rStyle w:val="CharPartText"/>
        </w:rPr>
        <w:t>Mediation</w:t>
      </w:r>
      <w:bookmarkEnd w:id="158"/>
      <w:bookmarkEnd w:id="159"/>
      <w:bookmarkEnd w:id="160"/>
      <w:bookmarkEnd w:id="161"/>
      <w:bookmarkEnd w:id="162"/>
      <w:bookmarkEnd w:id="163"/>
    </w:p>
    <w:p>
      <w:pPr>
        <w:pStyle w:val="Heading5"/>
      </w:pPr>
      <w:bookmarkStart w:id="164" w:name="_Toc103094355"/>
      <w:bookmarkStart w:id="165" w:name="_Toc65052551"/>
      <w:r>
        <w:rPr>
          <w:rStyle w:val="CharSectno"/>
        </w:rPr>
        <w:t>29</w:t>
      </w:r>
      <w:r>
        <w:t>.</w:t>
      </w:r>
      <w:r>
        <w:tab/>
        <w:t>Mediation conference</w:t>
      </w:r>
      <w:bookmarkEnd w:id="164"/>
      <w:bookmarkEnd w:id="165"/>
    </w:p>
    <w:p>
      <w:pPr>
        <w:pStyle w:val="Subsection"/>
      </w:pPr>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66" w:name="_Toc103094356"/>
      <w:bookmarkStart w:id="167" w:name="_Toc65052552"/>
      <w:r>
        <w:rPr>
          <w:rStyle w:val="CharSectno"/>
        </w:rPr>
        <w:t>30</w:t>
      </w:r>
      <w:r>
        <w:t>.</w:t>
      </w:r>
      <w:r>
        <w:tab/>
        <w:t>Attendance of parties at mediation conferences</w:t>
      </w:r>
      <w:bookmarkEnd w:id="166"/>
      <w:bookmarkEnd w:id="167"/>
    </w:p>
    <w:p>
      <w:pPr>
        <w:pStyle w:val="Subsection"/>
      </w:pPr>
      <w:r>
        <w:tab/>
      </w:r>
      <w:r>
        <w:tab/>
        <w:t>Unless the mediator otherwise approves, you must attend a mediation conference in person.</w:t>
      </w:r>
    </w:p>
    <w:p>
      <w:pPr>
        <w:pStyle w:val="Heading5"/>
      </w:pPr>
      <w:bookmarkStart w:id="168" w:name="_Toc103094357"/>
      <w:bookmarkStart w:id="169" w:name="_Toc65052553"/>
      <w:r>
        <w:rPr>
          <w:rStyle w:val="CharSectno"/>
        </w:rPr>
        <w:t>31</w:t>
      </w:r>
      <w:r>
        <w:t>.</w:t>
      </w:r>
      <w:r>
        <w:tab/>
        <w:t>Outcome of mediation</w:t>
      </w:r>
      <w:bookmarkEnd w:id="168"/>
      <w:bookmarkEnd w:id="169"/>
    </w:p>
    <w:p>
      <w:pPr>
        <w:pStyle w:val="Subsection"/>
      </w:pPr>
      <w:r>
        <w:tab/>
      </w:r>
      <w:r>
        <w:tab/>
        <w:t>If you are the claimant you must, within 14 days after the mediation conference, lodge a notice of the outcome of the mediation in the approved form.</w:t>
      </w:r>
    </w:p>
    <w:p>
      <w:pPr>
        <w:pStyle w:val="Heading5"/>
      </w:pPr>
      <w:bookmarkStart w:id="170" w:name="_Toc103094358"/>
      <w:bookmarkStart w:id="171" w:name="_Toc65052554"/>
      <w:r>
        <w:rPr>
          <w:rStyle w:val="CharSectno"/>
        </w:rPr>
        <w:t>32</w:t>
      </w:r>
      <w:r>
        <w:t>.</w:t>
      </w:r>
      <w:r>
        <w:tab/>
        <w:t>Further pre</w:t>
      </w:r>
      <w:r>
        <w:noBreakHyphen/>
        <w:t>trial conference if case not settled</w:t>
      </w:r>
      <w:bookmarkEnd w:id="170"/>
      <w:bookmarkEnd w:id="171"/>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72" w:name="_Toc102992249"/>
      <w:bookmarkStart w:id="173" w:name="_Toc102993099"/>
      <w:bookmarkStart w:id="174" w:name="_Toc103094359"/>
      <w:bookmarkStart w:id="175" w:name="_Toc64977167"/>
      <w:bookmarkStart w:id="176" w:name="_Toc64981333"/>
      <w:bookmarkStart w:id="177" w:name="_Toc65052555"/>
      <w:r>
        <w:rPr>
          <w:rStyle w:val="CharPartNo"/>
        </w:rPr>
        <w:t>Part 7</w:t>
      </w:r>
      <w:r>
        <w:rPr>
          <w:rStyle w:val="CharDivNo"/>
        </w:rPr>
        <w:t> </w:t>
      </w:r>
      <w:r>
        <w:t>—</w:t>
      </w:r>
      <w:r>
        <w:rPr>
          <w:rStyle w:val="CharDivText"/>
        </w:rPr>
        <w:t> </w:t>
      </w:r>
      <w:r>
        <w:rPr>
          <w:rStyle w:val="CharPartText"/>
        </w:rPr>
        <w:t>Consent orders and settlement</w:t>
      </w:r>
      <w:bookmarkEnd w:id="172"/>
      <w:bookmarkEnd w:id="173"/>
      <w:bookmarkEnd w:id="174"/>
      <w:bookmarkEnd w:id="175"/>
      <w:bookmarkEnd w:id="176"/>
      <w:bookmarkEnd w:id="177"/>
    </w:p>
    <w:p>
      <w:pPr>
        <w:pStyle w:val="Heading5"/>
      </w:pPr>
      <w:bookmarkStart w:id="178" w:name="_Toc103094360"/>
      <w:bookmarkStart w:id="179" w:name="_Toc65052556"/>
      <w:r>
        <w:rPr>
          <w:rStyle w:val="CharSectno"/>
        </w:rPr>
        <w:t>33</w:t>
      </w:r>
      <w:r>
        <w:t>.</w:t>
      </w:r>
      <w:r>
        <w:tab/>
        <w:t>Memorandum of consent</w:t>
      </w:r>
      <w:bookmarkEnd w:id="178"/>
      <w:bookmarkEnd w:id="179"/>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80" w:name="_Toc103094361"/>
      <w:bookmarkStart w:id="181" w:name="_Toc65052557"/>
      <w:r>
        <w:rPr>
          <w:rStyle w:val="CharSectno"/>
        </w:rPr>
        <w:t>34</w:t>
      </w:r>
      <w:r>
        <w:t>.</w:t>
      </w:r>
      <w:r>
        <w:tab/>
        <w:t>Registrar may make consent orders or give judgment</w:t>
      </w:r>
      <w:bookmarkEnd w:id="180"/>
      <w:bookmarkEnd w:id="181"/>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82" w:name="_Toc103094362"/>
      <w:bookmarkStart w:id="183" w:name="_Toc65052558"/>
      <w:r>
        <w:rPr>
          <w:rStyle w:val="CharSectno"/>
        </w:rPr>
        <w:t>35</w:t>
      </w:r>
      <w:r>
        <w:t>.</w:t>
      </w:r>
      <w:r>
        <w:tab/>
        <w:t>When the rules require your consent</w:t>
      </w:r>
      <w:bookmarkEnd w:id="182"/>
      <w:bookmarkEnd w:id="183"/>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84" w:name="_Toc103094363"/>
      <w:bookmarkStart w:id="185" w:name="_Toc65052559"/>
      <w:r>
        <w:rPr>
          <w:rStyle w:val="CharSectno"/>
        </w:rPr>
        <w:t>36</w:t>
      </w:r>
      <w:r>
        <w:t>.</w:t>
      </w:r>
      <w:r>
        <w:tab/>
        <w:t>Settling claims involving a person under a legal disability</w:t>
      </w:r>
      <w:bookmarkEnd w:id="184"/>
      <w:bookmarkEnd w:id="185"/>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r>
        <w:tab/>
        <w:t>[Rule 36 amended: Gazette 3 Jun 2008 p. 2145.]</w:t>
      </w:r>
    </w:p>
    <w:p>
      <w:pPr>
        <w:pStyle w:val="Heading2"/>
      </w:pPr>
      <w:bookmarkStart w:id="186" w:name="_Toc102992254"/>
      <w:bookmarkStart w:id="187" w:name="_Toc102993104"/>
      <w:bookmarkStart w:id="188" w:name="_Toc103094364"/>
      <w:bookmarkStart w:id="189" w:name="_Toc64977172"/>
      <w:bookmarkStart w:id="190" w:name="_Toc64981338"/>
      <w:bookmarkStart w:id="191" w:name="_Toc65052560"/>
      <w:r>
        <w:rPr>
          <w:rStyle w:val="CharPartNo"/>
        </w:rPr>
        <w:t>Part 8</w:t>
      </w:r>
      <w:r>
        <w:t> — </w:t>
      </w:r>
      <w:r>
        <w:rPr>
          <w:rStyle w:val="CharPartText"/>
        </w:rPr>
        <w:t>Trial</w:t>
      </w:r>
      <w:bookmarkEnd w:id="186"/>
      <w:bookmarkEnd w:id="187"/>
      <w:bookmarkEnd w:id="188"/>
      <w:bookmarkEnd w:id="189"/>
      <w:bookmarkEnd w:id="190"/>
      <w:bookmarkEnd w:id="191"/>
    </w:p>
    <w:p>
      <w:pPr>
        <w:pStyle w:val="Heading5"/>
        <w:spacing w:before="180"/>
      </w:pPr>
      <w:bookmarkStart w:id="192" w:name="_Toc103094365"/>
      <w:bookmarkStart w:id="193" w:name="_Toc65052561"/>
      <w:r>
        <w:rPr>
          <w:rStyle w:val="CharSectno"/>
        </w:rPr>
        <w:t>37</w:t>
      </w:r>
      <w:r>
        <w:t>.</w:t>
      </w:r>
      <w:r>
        <w:tab/>
        <w:t>How the trial of your case is to be conducted</w:t>
      </w:r>
      <w:bookmarkEnd w:id="192"/>
      <w:bookmarkEnd w:id="193"/>
    </w:p>
    <w:p>
      <w:pPr>
        <w:pStyle w:val="Subsection"/>
      </w:pPr>
      <w:r>
        <w:tab/>
      </w:r>
      <w:r>
        <w:tab/>
        <w:t>The trial of your case must be conducted in accordance with orders given by the Court.</w:t>
      </w:r>
    </w:p>
    <w:p>
      <w:pPr>
        <w:pStyle w:val="Footnotesection"/>
      </w:pPr>
      <w:r>
        <w:tab/>
        <w:t>[Rule 37 amended: Gazette 3 Jun 2008 p. 2145.]</w:t>
      </w:r>
    </w:p>
    <w:p>
      <w:pPr>
        <w:pStyle w:val="Heading5"/>
        <w:spacing w:before="180"/>
      </w:pPr>
      <w:bookmarkStart w:id="194" w:name="_Toc103094366"/>
      <w:bookmarkStart w:id="195" w:name="_Toc65052562"/>
      <w:r>
        <w:rPr>
          <w:rStyle w:val="CharSectno"/>
        </w:rPr>
        <w:t>38</w:t>
      </w:r>
      <w:r>
        <w:t>.</w:t>
      </w:r>
      <w:r>
        <w:tab/>
        <w:t>Your attendance at trial</w:t>
      </w:r>
      <w:bookmarkEnd w:id="194"/>
      <w:bookmarkEnd w:id="195"/>
    </w:p>
    <w:p>
      <w:pPr>
        <w:pStyle w:val="Subsection"/>
      </w:pPr>
      <w:r>
        <w:tab/>
      </w:r>
      <w:r>
        <w:tab/>
        <w:t>You must attend the trial of your case in person.</w:t>
      </w:r>
    </w:p>
    <w:p>
      <w:pPr>
        <w:pStyle w:val="Heading5"/>
        <w:spacing w:before="180"/>
      </w:pPr>
      <w:bookmarkStart w:id="196" w:name="_Toc103094367"/>
      <w:bookmarkStart w:id="197" w:name="_Toc65052563"/>
      <w:r>
        <w:rPr>
          <w:rStyle w:val="CharSectno"/>
        </w:rPr>
        <w:t>39</w:t>
      </w:r>
      <w:r>
        <w:t>.</w:t>
      </w:r>
      <w:r>
        <w:tab/>
        <w:t>How to call witnesses</w:t>
      </w:r>
      <w:bookmarkEnd w:id="196"/>
      <w:bookmarkEnd w:id="197"/>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produce to the Court, either at the same time as giving the oral evidence or at an earlier time specified in the summons,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keepNext/>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 or</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Footnotesection"/>
        <w:ind w:left="890" w:hanging="890"/>
      </w:pPr>
      <w:r>
        <w:tab/>
        <w:t>[Rule 39 amended: Gazette 21 Jul 2017 p. 4027.]</w:t>
      </w:r>
    </w:p>
    <w:p>
      <w:pPr>
        <w:pStyle w:val="Heading5"/>
      </w:pPr>
      <w:bookmarkStart w:id="198" w:name="_Toc103094368"/>
      <w:bookmarkStart w:id="199" w:name="_Toc65052564"/>
      <w:r>
        <w:rPr>
          <w:rStyle w:val="CharSectno"/>
        </w:rPr>
        <w:t>39A</w:t>
      </w:r>
      <w:r>
        <w:t>.</w:t>
      </w:r>
      <w:r>
        <w:tab/>
        <w:t>Compliance with witness summons</w:t>
      </w:r>
      <w:bookmarkEnd w:id="198"/>
      <w:bookmarkEnd w:id="199"/>
    </w:p>
    <w:p>
      <w:pPr>
        <w:pStyle w:val="Subsection"/>
      </w:pPr>
      <w:r>
        <w:tab/>
        <w:t>(1)</w:t>
      </w:r>
      <w:r>
        <w:tab/>
        <w:t>Your witness must comply with a witness summons requested under rule 39(2)(b) by delivering or sending the evidentiary material and a copy of the witness summons to the Court at the date, time and place specified for production.</w:t>
      </w:r>
    </w:p>
    <w:p>
      <w:pPr>
        <w:pStyle w:val="Subsection"/>
        <w:rPr>
          <w:ins w:id="200" w:author="Master Repository Process" w:date="2022-05-13T08:43:00Z"/>
        </w:rPr>
      </w:pPr>
      <w:ins w:id="201" w:author="Master Repository Process" w:date="2022-05-13T08:43:00Z">
        <w:r>
          <w:tab/>
          <w:t>(1A)</w:t>
        </w:r>
        <w:r>
          <w:tab/>
          <w:t>For the purposes of subrule (1), evidentiary material and a copy of the witness summons that are delivered or sent by using the ECMS are taken to have been delivered or sent to the Court at the place specified for production.</w:t>
        </w:r>
      </w:ins>
    </w:p>
    <w:p>
      <w:pPr>
        <w:pStyle w:val="Subsection"/>
      </w:pPr>
      <w:r>
        <w:tab/>
        <w:t>(2)</w:t>
      </w:r>
      <w:r>
        <w:tab/>
        <w:t>In the case of a witness summons requested under rule 39(2)(a) and (b), compliance with subrule (1) does not discharge your witness from the requirement to attend Court to give evidence.</w:t>
      </w:r>
    </w:p>
    <w:p>
      <w:pPr>
        <w:pStyle w:val="Subsection"/>
      </w:pPr>
      <w:r>
        <w:tab/>
        <w:t>(3)</w:t>
      </w:r>
      <w:r>
        <w:tab/>
        <w:t>Unless your witness summons specifically requires the production of an original document, your witness may produce a copy of it.</w:t>
      </w:r>
    </w:p>
    <w:p>
      <w:pPr>
        <w:pStyle w:val="Subsection"/>
      </w:pPr>
      <w:r>
        <w:tab/>
        <w:t>(4)</w:t>
      </w:r>
      <w:r>
        <w:tab/>
        <w:t>The copy of a document may be —</w:t>
      </w:r>
    </w:p>
    <w:p>
      <w:pPr>
        <w:pStyle w:val="Indenta"/>
      </w:pPr>
      <w:r>
        <w:tab/>
        <w:t>(a)</w:t>
      </w:r>
      <w:r>
        <w:tab/>
        <w:t>a photocopy; or</w:t>
      </w:r>
    </w:p>
    <w:p>
      <w:pPr>
        <w:pStyle w:val="Indenta"/>
        <w:keepNext/>
      </w:pPr>
      <w:r>
        <w:tab/>
        <w:t>(b)</w:t>
      </w:r>
      <w:r>
        <w:tab/>
        <w:t>in PDF format on a CD</w:t>
      </w:r>
      <w:r>
        <w:noBreakHyphen/>
        <w:t>ROM.</w:t>
      </w:r>
    </w:p>
    <w:p>
      <w:pPr>
        <w:pStyle w:val="Footnotesection"/>
        <w:ind w:left="890" w:hanging="890"/>
      </w:pPr>
      <w:r>
        <w:tab/>
        <w:t>[Rule 39A inserted: Gazette 21 Jul 2017 p. 4027</w:t>
      </w:r>
      <w:ins w:id="202" w:author="Master Repository Process" w:date="2022-05-13T08:43:00Z">
        <w:r>
          <w:t>; amended: SL 2022/54 r. 13</w:t>
        </w:r>
      </w:ins>
      <w:r>
        <w:t>.]</w:t>
      </w:r>
    </w:p>
    <w:p>
      <w:pPr>
        <w:pStyle w:val="Heading5"/>
      </w:pPr>
      <w:bookmarkStart w:id="203" w:name="_Toc103094369"/>
      <w:bookmarkStart w:id="204" w:name="_Toc65052565"/>
      <w:r>
        <w:rPr>
          <w:rStyle w:val="CharSectno"/>
        </w:rPr>
        <w:t>40</w:t>
      </w:r>
      <w:r>
        <w:t>.</w:t>
      </w:r>
      <w:r>
        <w:tab/>
        <w:t>Return of things after trial</w:t>
      </w:r>
      <w:bookmarkEnd w:id="203"/>
      <w:bookmarkEnd w:id="204"/>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exhibit is tendered at your trial.</w:t>
      </w:r>
    </w:p>
    <w:p>
      <w:pPr>
        <w:pStyle w:val="Subsection"/>
      </w:pPr>
      <w:r>
        <w:tab/>
        <w:t>(3)</w:t>
      </w:r>
      <w:r>
        <w:tab/>
        <w:t>If you do not take possession of the thing within 60 days after your entitlement to the return of something under subrule (1) arises, the registrar may dispose of the thing as the registrar thinks fit.</w:t>
      </w:r>
    </w:p>
    <w:p>
      <w:pPr>
        <w:pStyle w:val="Footnotesection"/>
        <w:ind w:left="890" w:hanging="890"/>
      </w:pPr>
      <w:r>
        <w:tab/>
        <w:t>[Rule 40 amended: Gazette 18 Sep 2018 p. 3516.]</w:t>
      </w:r>
    </w:p>
    <w:p>
      <w:pPr>
        <w:pStyle w:val="Heading2"/>
      </w:pPr>
      <w:bookmarkStart w:id="205" w:name="_Toc102992260"/>
      <w:bookmarkStart w:id="206" w:name="_Toc102993110"/>
      <w:bookmarkStart w:id="207" w:name="_Toc103094370"/>
      <w:bookmarkStart w:id="208" w:name="_Toc64977178"/>
      <w:bookmarkStart w:id="209" w:name="_Toc64981344"/>
      <w:bookmarkStart w:id="210" w:name="_Toc65052566"/>
      <w:r>
        <w:rPr>
          <w:rStyle w:val="CharPartNo"/>
        </w:rPr>
        <w:t>Part 9</w:t>
      </w:r>
      <w:r>
        <w:t> — </w:t>
      </w:r>
      <w:r>
        <w:rPr>
          <w:rStyle w:val="CharPartText"/>
        </w:rPr>
        <w:t>Orders and judgments</w:t>
      </w:r>
      <w:bookmarkEnd w:id="205"/>
      <w:bookmarkEnd w:id="206"/>
      <w:bookmarkEnd w:id="207"/>
      <w:bookmarkEnd w:id="208"/>
      <w:bookmarkEnd w:id="209"/>
      <w:bookmarkEnd w:id="210"/>
    </w:p>
    <w:p>
      <w:pPr>
        <w:pStyle w:val="Heading5"/>
      </w:pPr>
      <w:bookmarkStart w:id="211" w:name="_Toc103094371"/>
      <w:bookmarkStart w:id="212" w:name="_Toc65052567"/>
      <w:r>
        <w:rPr>
          <w:rStyle w:val="CharSectno"/>
        </w:rPr>
        <w:t>41</w:t>
      </w:r>
      <w:r>
        <w:t>.</w:t>
      </w:r>
      <w:r>
        <w:tab/>
        <w:t>Money paid to you if you are a person under a legal disability</w:t>
      </w:r>
      <w:bookmarkEnd w:id="211"/>
      <w:bookmarkEnd w:id="212"/>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other than in accordance with the </w:t>
      </w:r>
      <w:r>
        <w:rPr>
          <w:i/>
        </w:rPr>
        <w:t>Public Trustee Act 1941</w:t>
      </w:r>
      <w:r>
        <w:t xml:space="preserve"> section 39C. </w:t>
      </w:r>
    </w:p>
    <w:p>
      <w:pPr>
        <w:pStyle w:val="Footnotesection"/>
        <w:ind w:left="890" w:hanging="890"/>
      </w:pPr>
      <w:r>
        <w:tab/>
        <w:t>[Rule 41 amended: Gazette 24 May 2013 p. 2059.]</w:t>
      </w:r>
    </w:p>
    <w:p>
      <w:pPr>
        <w:pStyle w:val="Heading5"/>
      </w:pPr>
      <w:bookmarkStart w:id="213" w:name="_Toc103094372"/>
      <w:bookmarkStart w:id="214" w:name="_Toc65052568"/>
      <w:r>
        <w:rPr>
          <w:rStyle w:val="CharSectno"/>
        </w:rPr>
        <w:t>42</w:t>
      </w:r>
      <w:r>
        <w:t>.</w:t>
      </w:r>
      <w:r>
        <w:tab/>
        <w:t>Setting aside default judgment</w:t>
      </w:r>
      <w:bookmarkEnd w:id="213"/>
      <w:bookmarkEnd w:id="214"/>
    </w:p>
    <w:p>
      <w:pPr>
        <w:pStyle w:val="Subsection"/>
      </w:pPr>
      <w:r>
        <w:tab/>
      </w:r>
      <w:r>
        <w:tab/>
        <w:t>If the Court gives default judgment against you and you want to apply for the judgment to be set aside you must apply within 21 days after the judgment was given or by such other date as the Court allows.</w:t>
      </w:r>
    </w:p>
    <w:p>
      <w:pPr>
        <w:pStyle w:val="Footnotesection"/>
      </w:pPr>
      <w:r>
        <w:tab/>
        <w:t>[Rule 42 amended: SL 2020/67 r. 65.]</w:t>
      </w:r>
    </w:p>
    <w:p>
      <w:pPr>
        <w:pStyle w:val="Heading5"/>
      </w:pPr>
      <w:bookmarkStart w:id="215" w:name="_Toc103094373"/>
      <w:bookmarkStart w:id="216" w:name="_Toc65052569"/>
      <w:r>
        <w:rPr>
          <w:rStyle w:val="CharSectno"/>
        </w:rPr>
        <w:t>43</w:t>
      </w:r>
      <w:r>
        <w:t>.</w:t>
      </w:r>
      <w:r>
        <w:tab/>
        <w:t>Decisions of registrars</w:t>
      </w:r>
      <w:bookmarkEnd w:id="215"/>
      <w:bookmarkEnd w:id="216"/>
    </w:p>
    <w:p>
      <w:pPr>
        <w:pStyle w:val="Subsection"/>
      </w:pPr>
      <w:r>
        <w:tab/>
        <w:t>(1)</w:t>
      </w:r>
      <w:r>
        <w:tab/>
        <w:t>If a registrar exercises any jurisdiction of the Court, the decision of the registrar is to be taken to be a decision of the Court unless it is set aside on an appeal.</w:t>
      </w:r>
    </w:p>
    <w:p>
      <w:pPr>
        <w:pStyle w:val="Subsection"/>
      </w:pPr>
      <w:r>
        <w:tab/>
        <w:t>(2)</w:t>
      </w:r>
      <w:r>
        <w:tab/>
        <w:t xml:space="preserve">Nothing in this rule limits the application of the </w:t>
      </w:r>
      <w:r>
        <w:rPr>
          <w:i/>
        </w:rPr>
        <w:t>Magistrates Court (Civil Proceedings) Act 2004</w:t>
      </w:r>
      <w:r>
        <w:t xml:space="preserve"> section 19(3) to the judgment of a registrar made under section 19(2) of that Act.</w:t>
      </w:r>
    </w:p>
    <w:p>
      <w:pPr>
        <w:pStyle w:val="Footnotesection"/>
        <w:ind w:left="890" w:hanging="890"/>
      </w:pPr>
      <w:r>
        <w:tab/>
        <w:t>[Rule 43 amended: Gazette 24 May 2013 p. 2059.]</w:t>
      </w:r>
    </w:p>
    <w:p>
      <w:pPr>
        <w:pStyle w:val="Heading5"/>
      </w:pPr>
      <w:bookmarkStart w:id="217" w:name="_Toc103094374"/>
      <w:bookmarkStart w:id="218" w:name="_Toc65052570"/>
      <w:r>
        <w:rPr>
          <w:rStyle w:val="CharSectno"/>
        </w:rPr>
        <w:t>44</w:t>
      </w:r>
      <w:r>
        <w:t>.</w:t>
      </w:r>
      <w:r>
        <w:tab/>
        <w:t>Requests for certificate of judgment</w:t>
      </w:r>
      <w:bookmarkEnd w:id="217"/>
      <w:bookmarkEnd w:id="218"/>
    </w:p>
    <w:p>
      <w:pPr>
        <w:pStyle w:val="Subsection"/>
      </w:pPr>
      <w:r>
        <w:tab/>
      </w:r>
      <w:r>
        <w:tab/>
        <w:t>If you want a certificate of a judgment, you must lodge a request for the judgment in an approved form.</w:t>
      </w:r>
    </w:p>
    <w:p>
      <w:pPr>
        <w:pStyle w:val="Heading2"/>
      </w:pPr>
      <w:bookmarkStart w:id="219" w:name="_Toc102992265"/>
      <w:bookmarkStart w:id="220" w:name="_Toc102993115"/>
      <w:bookmarkStart w:id="221" w:name="_Toc103094375"/>
      <w:bookmarkStart w:id="222" w:name="_Toc64977183"/>
      <w:bookmarkStart w:id="223" w:name="_Toc64981349"/>
      <w:bookmarkStart w:id="224" w:name="_Toc65052571"/>
      <w:r>
        <w:rPr>
          <w:rStyle w:val="CharPartNo"/>
        </w:rPr>
        <w:t>Part 10A</w:t>
      </w:r>
      <w:r>
        <w:rPr>
          <w:rStyle w:val="CharDivNo"/>
        </w:rPr>
        <w:t> </w:t>
      </w:r>
      <w:r>
        <w:t>—</w:t>
      </w:r>
      <w:r>
        <w:rPr>
          <w:rStyle w:val="CharDivText"/>
        </w:rPr>
        <w:t> </w:t>
      </w:r>
      <w:r>
        <w:rPr>
          <w:rStyle w:val="CharPartText"/>
        </w:rPr>
        <w:t>Inactive cases</w:t>
      </w:r>
      <w:bookmarkEnd w:id="219"/>
      <w:bookmarkEnd w:id="220"/>
      <w:bookmarkEnd w:id="221"/>
      <w:bookmarkEnd w:id="222"/>
      <w:bookmarkEnd w:id="223"/>
      <w:bookmarkEnd w:id="224"/>
    </w:p>
    <w:p>
      <w:pPr>
        <w:pStyle w:val="Footnoteheading"/>
      </w:pPr>
      <w:r>
        <w:tab/>
        <w:t>[Heading inserted: Gazette 5 Apr 2019 p. 1014.]</w:t>
      </w:r>
    </w:p>
    <w:p>
      <w:pPr>
        <w:pStyle w:val="Heading5"/>
      </w:pPr>
      <w:bookmarkStart w:id="225" w:name="_Toc103094376"/>
      <w:bookmarkStart w:id="226" w:name="_Toc65052572"/>
      <w:r>
        <w:rPr>
          <w:rStyle w:val="CharSectno"/>
        </w:rPr>
        <w:t>45A</w:t>
      </w:r>
      <w:r>
        <w:t>.</w:t>
      </w:r>
      <w:r>
        <w:tab/>
        <w:t>Term used: inactive case</w:t>
      </w:r>
      <w:bookmarkEnd w:id="225"/>
      <w:bookmarkEnd w:id="226"/>
    </w:p>
    <w:p>
      <w:pPr>
        <w:pStyle w:val="Subsection"/>
      </w:pPr>
      <w:r>
        <w:tab/>
      </w:r>
      <w:r>
        <w:tab/>
        <w:t xml:space="preserve">In this Part — </w:t>
      </w:r>
    </w:p>
    <w:p>
      <w:pPr>
        <w:pStyle w:val="Defstart"/>
      </w:pPr>
      <w:r>
        <w:tab/>
      </w:r>
      <w:r>
        <w:rPr>
          <w:rStyle w:val="CharDefText"/>
        </w:rPr>
        <w:t>inactive case</w:t>
      </w:r>
      <w:r>
        <w:t xml:space="preserve"> means a case that has become inactive under rule 45B.</w:t>
      </w:r>
    </w:p>
    <w:p>
      <w:pPr>
        <w:pStyle w:val="Footnotesection"/>
      </w:pPr>
      <w:r>
        <w:tab/>
        <w:t>[Rule 45A inserted: Gazette 5 Apr 2019 p. 1015.]</w:t>
      </w:r>
    </w:p>
    <w:p>
      <w:pPr>
        <w:pStyle w:val="Heading5"/>
      </w:pPr>
      <w:bookmarkStart w:id="227" w:name="_Toc103094377"/>
      <w:bookmarkStart w:id="228" w:name="_Toc65052573"/>
      <w:r>
        <w:rPr>
          <w:rStyle w:val="CharSectno"/>
        </w:rPr>
        <w:t>45B</w:t>
      </w:r>
      <w:r>
        <w:t>.</w:t>
      </w:r>
      <w:r>
        <w:tab/>
        <w:t>When your case becomes inactive</w:t>
      </w:r>
      <w:bookmarkEnd w:id="227"/>
      <w:bookmarkEnd w:id="228"/>
    </w:p>
    <w:p>
      <w:pPr>
        <w:pStyle w:val="Subsection"/>
        <w:spacing w:before="120"/>
      </w:pPr>
      <w:r>
        <w:tab/>
        <w:t>(1)</w:t>
      </w:r>
      <w:r>
        <w:tab/>
        <w:t>If neither you nor any other party to your case has taken any procedural step for 12 months your case becomes an inactive case, unless the Court orders otherwise.</w:t>
      </w:r>
    </w:p>
    <w:p>
      <w:pPr>
        <w:pStyle w:val="Subsection"/>
        <w:spacing w:before="120"/>
      </w:pPr>
      <w:r>
        <w:tab/>
        <w:t>(2)</w:t>
      </w:r>
      <w:r>
        <w:tab/>
        <w:t>A magistrate or registrar who makes an order or direction in relation to your case may direct that, unless the order or direction is complied with by a stated date, your case becomes an inactive case on that date.</w:t>
      </w:r>
    </w:p>
    <w:p>
      <w:pPr>
        <w:pStyle w:val="Subsection"/>
      </w:pPr>
      <w:r>
        <w:tab/>
        <w:t>(3)</w:t>
      </w:r>
      <w:r>
        <w:tab/>
        <w:t>Unless it is cancelled by a magistrate or registrar before it takes effect, a direction made under subrule (2) takes effect according to its terms.</w:t>
      </w:r>
    </w:p>
    <w:p>
      <w:pPr>
        <w:pStyle w:val="Ednotesubsection"/>
      </w:pPr>
      <w:r>
        <w:tab/>
        <w:t>[(4)</w:t>
      </w:r>
      <w:r>
        <w:tab/>
        <w:t>deleted]</w:t>
      </w:r>
    </w:p>
    <w:p>
      <w:pPr>
        <w:pStyle w:val="Footnotesection"/>
      </w:pPr>
      <w:r>
        <w:tab/>
        <w:t>[Rule 45B inserted: Gazette 31 Dec 2013 p. 6545-6; amended: Gazette 5 Apr 2019 p. 1015.]</w:t>
      </w:r>
    </w:p>
    <w:p>
      <w:pPr>
        <w:pStyle w:val="Heading5"/>
      </w:pPr>
      <w:bookmarkStart w:id="229" w:name="_Toc103094378"/>
      <w:bookmarkStart w:id="230" w:name="_Toc65052574"/>
      <w:r>
        <w:rPr>
          <w:rStyle w:val="CharSectno"/>
        </w:rPr>
        <w:t>45C</w:t>
      </w:r>
      <w:r>
        <w:t>.</w:t>
      </w:r>
      <w:r>
        <w:tab/>
        <w:t>Notification of inactive cases</w:t>
      </w:r>
      <w:bookmarkEnd w:id="229"/>
      <w:bookmarkEnd w:id="230"/>
    </w:p>
    <w:p>
      <w:pPr>
        <w:pStyle w:val="Subsection"/>
      </w:pPr>
      <w:r>
        <w:tab/>
        <w:t>(1)</w:t>
      </w:r>
      <w:r>
        <w:tab/>
        <w:t xml:space="preserve">If your case becomes an inactive case, the Court is to give you and all the other parties to the case written notice of — </w:t>
      </w:r>
    </w:p>
    <w:p>
      <w:pPr>
        <w:pStyle w:val="Indenta"/>
      </w:pPr>
      <w:r>
        <w:tab/>
        <w:t>(a)</w:t>
      </w:r>
      <w:r>
        <w:tab/>
        <w:t>the fact that the case has become an inactive case and why; and</w:t>
      </w:r>
    </w:p>
    <w:p>
      <w:pPr>
        <w:pStyle w:val="Indenta"/>
      </w:pPr>
      <w:r>
        <w:tab/>
        <w:t>(b)</w:t>
      </w:r>
      <w:r>
        <w:tab/>
        <w:t>the effect of rule 45D.</w:t>
      </w:r>
    </w:p>
    <w:p>
      <w:pPr>
        <w:pStyle w:val="Subsection"/>
      </w:pPr>
      <w:r>
        <w:tab/>
        <w:t>(2)</w:t>
      </w:r>
      <w:r>
        <w:tab/>
        <w:t xml:space="preserve">If an agent representing a party to a case receives a notice under subrule (1), the agent is to notify the party as soon as practicable of — </w:t>
      </w:r>
    </w:p>
    <w:p>
      <w:pPr>
        <w:pStyle w:val="Indenta"/>
      </w:pPr>
      <w:r>
        <w:tab/>
        <w:t>(a)</w:t>
      </w:r>
      <w:r>
        <w:tab/>
        <w:t>the fact that the case has become an inactive case and why; and</w:t>
      </w:r>
    </w:p>
    <w:p>
      <w:pPr>
        <w:pStyle w:val="Indenta"/>
      </w:pPr>
      <w:r>
        <w:tab/>
        <w:t>(b)</w:t>
      </w:r>
      <w:r>
        <w:tab/>
        <w:t>the effect of rule 45D.</w:t>
      </w:r>
    </w:p>
    <w:p>
      <w:pPr>
        <w:pStyle w:val="Footnotesection"/>
      </w:pPr>
      <w:r>
        <w:tab/>
        <w:t>[Rule 45C inserted: Gazette 5 Apr 2019 p. 1015.]</w:t>
      </w:r>
    </w:p>
    <w:p>
      <w:pPr>
        <w:pStyle w:val="Heading5"/>
      </w:pPr>
      <w:bookmarkStart w:id="231" w:name="_Toc103094379"/>
      <w:bookmarkStart w:id="232" w:name="_Toc65052575"/>
      <w:r>
        <w:rPr>
          <w:rStyle w:val="CharSectno"/>
        </w:rPr>
        <w:t>45D</w:t>
      </w:r>
      <w:r>
        <w:t>.</w:t>
      </w:r>
      <w:r>
        <w:tab/>
        <w:t>Consequences of case becoming an inactive case</w:t>
      </w:r>
      <w:bookmarkEnd w:id="231"/>
      <w:bookmarkEnd w:id="232"/>
    </w:p>
    <w:p>
      <w:pPr>
        <w:pStyle w:val="Subsection"/>
      </w:pPr>
      <w:r>
        <w:tab/>
      </w:r>
      <w:r>
        <w:tab/>
        <w:t xml:space="preserve">So long as your case is an inactive case, the only documents that you may lodge with the Court in relation to the case are — </w:t>
      </w:r>
    </w:p>
    <w:p>
      <w:pPr>
        <w:pStyle w:val="Indenta"/>
      </w:pPr>
      <w:r>
        <w:tab/>
        <w:t>(a)</w:t>
      </w:r>
      <w:r>
        <w:tab/>
        <w:t>an application for an order under rule 45E; or</w:t>
      </w:r>
    </w:p>
    <w:p>
      <w:pPr>
        <w:pStyle w:val="Indenta"/>
      </w:pPr>
      <w:r>
        <w:tab/>
        <w:t>(b)</w:t>
      </w:r>
      <w:r>
        <w:tab/>
        <w:t>a notice of discontinuance under rule 76; or</w:t>
      </w:r>
    </w:p>
    <w:p>
      <w:pPr>
        <w:pStyle w:val="Indenta"/>
      </w:pPr>
      <w:r>
        <w:tab/>
        <w:t>(c)</w:t>
      </w:r>
      <w:r>
        <w:tab/>
        <w:t>a memorandum of consent under rule 33 to an order or judgment that would settle or conclude the case.</w:t>
      </w:r>
    </w:p>
    <w:p>
      <w:pPr>
        <w:pStyle w:val="Footnotesection"/>
      </w:pPr>
      <w:r>
        <w:tab/>
        <w:t>[Rule 45D inserted: Gazette 31 Dec 2013 p. 6546; amended: Gazette 5 Apr 2019 p. 1015.]</w:t>
      </w:r>
    </w:p>
    <w:p>
      <w:pPr>
        <w:pStyle w:val="Heading5"/>
      </w:pPr>
      <w:bookmarkStart w:id="233" w:name="_Toc103094380"/>
      <w:bookmarkStart w:id="234" w:name="_Toc65052576"/>
      <w:r>
        <w:rPr>
          <w:rStyle w:val="CharSectno"/>
        </w:rPr>
        <w:t>45E</w:t>
      </w:r>
      <w:r>
        <w:t>.</w:t>
      </w:r>
      <w:r>
        <w:tab/>
        <w:t>Cases no longer taken to be inactive</w:t>
      </w:r>
      <w:bookmarkEnd w:id="233"/>
      <w:bookmarkEnd w:id="234"/>
    </w:p>
    <w:p>
      <w:pPr>
        <w:pStyle w:val="Subsection"/>
      </w:pPr>
      <w:r>
        <w:tab/>
        <w:t>(1)</w:t>
      </w:r>
      <w:r>
        <w:tab/>
        <w:t>If your case is an inactive case, you may apply to the Court for an order that the case is no longer taken to be inactive.</w:t>
      </w:r>
    </w:p>
    <w:p>
      <w:pPr>
        <w:pStyle w:val="Subsection"/>
      </w:pPr>
      <w:r>
        <w:tab/>
        <w:t>(2)</w:t>
      </w:r>
      <w:r>
        <w:tab/>
        <w:t xml:space="preserve">The Court may order that an inactive case is no longer taken to be inactive — </w:t>
      </w:r>
    </w:p>
    <w:p>
      <w:pPr>
        <w:pStyle w:val="Indenta"/>
      </w:pPr>
      <w:r>
        <w:tab/>
        <w:t>(a)</w:t>
      </w:r>
      <w:r>
        <w:tab/>
        <w:t>if it is satisfied that the case will be conducted in a timely way; or</w:t>
      </w:r>
    </w:p>
    <w:p>
      <w:pPr>
        <w:pStyle w:val="Indenta"/>
      </w:pPr>
      <w:r>
        <w:tab/>
        <w:t>(b)</w:t>
      </w:r>
      <w:r>
        <w:tab/>
        <w:t>for any other good reason.</w:t>
      </w:r>
    </w:p>
    <w:p>
      <w:pPr>
        <w:pStyle w:val="Subsection"/>
      </w:pPr>
      <w:r>
        <w:tab/>
        <w:t>(3)</w:t>
      </w:r>
      <w:r>
        <w:tab/>
        <w:t>When the Court orders that your case is no longer taken to be inactive, it may make further orders for the conduct of the case in a timely way.</w:t>
      </w:r>
    </w:p>
    <w:p>
      <w:pPr>
        <w:pStyle w:val="Footnotesection"/>
      </w:pPr>
      <w:r>
        <w:tab/>
        <w:t>[Rule 45E inserted: Gazette 5 Apr 2019 p. 1016.]</w:t>
      </w:r>
    </w:p>
    <w:p>
      <w:pPr>
        <w:pStyle w:val="Heading5"/>
      </w:pPr>
      <w:bookmarkStart w:id="235" w:name="_Toc103094381"/>
      <w:bookmarkStart w:id="236" w:name="_Toc65052577"/>
      <w:r>
        <w:rPr>
          <w:rStyle w:val="CharSectno"/>
        </w:rPr>
        <w:t>45F</w:t>
      </w:r>
      <w:r>
        <w:t>.</w:t>
      </w:r>
      <w:r>
        <w:tab/>
        <w:t>Dismissal of inactive cases</w:t>
      </w:r>
      <w:bookmarkEnd w:id="235"/>
      <w:bookmarkEnd w:id="236"/>
    </w:p>
    <w:p>
      <w:pPr>
        <w:pStyle w:val="Subsection"/>
      </w:pPr>
      <w:r>
        <w:tab/>
        <w:t>(1)</w:t>
      </w:r>
      <w:r>
        <w:tab/>
        <w:t>If your case remains an inactive case for 6 continuous months, it is taken to be dismissed.</w:t>
      </w:r>
    </w:p>
    <w:p>
      <w:pPr>
        <w:pStyle w:val="Subsection"/>
      </w:pPr>
      <w:r>
        <w:tab/>
        <w:t>(2)</w:t>
      </w:r>
      <w:r>
        <w:tab/>
        <w:t>If the Court orders that your case is no longer taken to be inactive and neither you nor any other party to the case takes any procedural step in the case in the 6 months after the date of the order, your case is taken to be dismissed.</w:t>
      </w:r>
    </w:p>
    <w:p>
      <w:pPr>
        <w:pStyle w:val="Subsection"/>
      </w:pPr>
      <w:r>
        <w:tab/>
        <w:t>(3)</w:t>
      </w:r>
      <w:r>
        <w:tab/>
        <w:t xml:space="preserve">If your case is taken to be dismissed under subrule (1) or (2) — </w:t>
      </w:r>
    </w:p>
    <w:p>
      <w:pPr>
        <w:pStyle w:val="Indenta"/>
      </w:pPr>
      <w:r>
        <w:tab/>
        <w:t>(a)</w:t>
      </w:r>
      <w:r>
        <w:tab/>
        <w:t>you or any other party to the case may apply for an order for costs; and</w:t>
      </w:r>
    </w:p>
    <w:p>
      <w:pPr>
        <w:pStyle w:val="Indenta"/>
      </w:pPr>
      <w:r>
        <w:tab/>
        <w:t>(b)</w:t>
      </w:r>
      <w:r>
        <w:tab/>
        <w:t>the Court may make an order for costs.</w:t>
      </w:r>
    </w:p>
    <w:p>
      <w:pPr>
        <w:pStyle w:val="Subsection"/>
      </w:pPr>
      <w:r>
        <w:tab/>
        <w:t>(4)</w:t>
      </w:r>
      <w:r>
        <w:tab/>
        <w:t>The Court may, in exceptional circumstances and on such terms as it thinks just, set aside the dismissal of your case under this rule.</w:t>
      </w:r>
    </w:p>
    <w:p>
      <w:pPr>
        <w:pStyle w:val="Subsection"/>
      </w:pPr>
      <w:r>
        <w:tab/>
        <w:t>(5)</w:t>
      </w:r>
      <w:r>
        <w:tab/>
        <w:t>For the purposes of subrule (4), it does not matter that your case was taken to be dismissed before the commencement of that subrule.</w:t>
      </w:r>
    </w:p>
    <w:p>
      <w:pPr>
        <w:pStyle w:val="Footnotesection"/>
      </w:pPr>
      <w:r>
        <w:tab/>
        <w:t>[Rule 45F inserted: Gazette 5 Apr 2019 p. 1016.]</w:t>
      </w:r>
    </w:p>
    <w:p>
      <w:pPr>
        <w:pStyle w:val="Heading2"/>
      </w:pPr>
      <w:bookmarkStart w:id="237" w:name="_Toc102992272"/>
      <w:bookmarkStart w:id="238" w:name="_Toc102993122"/>
      <w:bookmarkStart w:id="239" w:name="_Toc103094382"/>
      <w:bookmarkStart w:id="240" w:name="_Toc64981356"/>
      <w:bookmarkStart w:id="241" w:name="_Toc65052578"/>
      <w:bookmarkStart w:id="242" w:name="_Toc64977190"/>
      <w:r>
        <w:rPr>
          <w:rStyle w:val="CharPartNo"/>
        </w:rPr>
        <w:t>Part 10</w:t>
      </w:r>
      <w:r>
        <w:rPr>
          <w:b w:val="0"/>
        </w:rPr>
        <w:t> </w:t>
      </w:r>
      <w:r>
        <w:t>—</w:t>
      </w:r>
      <w:r>
        <w:rPr>
          <w:b w:val="0"/>
        </w:rPr>
        <w:t> </w:t>
      </w:r>
      <w:r>
        <w:rPr>
          <w:rStyle w:val="CharPartText"/>
        </w:rPr>
        <w:t>How to lodge documents</w:t>
      </w:r>
      <w:bookmarkEnd w:id="237"/>
      <w:bookmarkEnd w:id="238"/>
      <w:bookmarkEnd w:id="239"/>
      <w:bookmarkEnd w:id="240"/>
      <w:bookmarkEnd w:id="241"/>
    </w:p>
    <w:p>
      <w:pPr>
        <w:pStyle w:val="Footnoteheading"/>
      </w:pPr>
      <w:r>
        <w:tab/>
        <w:t>[Heading inserted: SL 2021/25 r. 29.]</w:t>
      </w:r>
    </w:p>
    <w:p>
      <w:pPr>
        <w:pStyle w:val="Heading5"/>
      </w:pPr>
      <w:bookmarkStart w:id="243" w:name="_Toc103094383"/>
      <w:bookmarkStart w:id="244" w:name="_Toc65052579"/>
      <w:r>
        <w:rPr>
          <w:rStyle w:val="CharSectno"/>
        </w:rPr>
        <w:t>45</w:t>
      </w:r>
      <w:r>
        <w:t>.</w:t>
      </w:r>
      <w:r>
        <w:tab/>
        <w:t>How to lodge a document</w:t>
      </w:r>
      <w:bookmarkEnd w:id="243"/>
      <w:bookmarkEnd w:id="244"/>
    </w:p>
    <w:p>
      <w:pPr>
        <w:pStyle w:val="Subsection"/>
      </w:pPr>
      <w:r>
        <w:tab/>
      </w:r>
      <w:r>
        <w:tab/>
        <w:t xml:space="preserve">To lodge a document you must present it to the Court following the rules in this Part together with — </w:t>
      </w:r>
    </w:p>
    <w:p>
      <w:pPr>
        <w:pStyle w:val="Indenta"/>
      </w:pPr>
      <w:r>
        <w:tab/>
        <w:t>(a)</w:t>
      </w:r>
      <w:r>
        <w:tab/>
        <w:t xml:space="preserve">the fee (if any) required to be paid under the </w:t>
      </w:r>
      <w:r>
        <w:rPr>
          <w:i/>
        </w:rPr>
        <w:t>Magistrates Court (Fees) Regulations 2005</w:t>
      </w:r>
      <w:r>
        <w:t>; or</w:t>
      </w:r>
    </w:p>
    <w:p>
      <w:pPr>
        <w:pStyle w:val="Indenta"/>
      </w:pPr>
      <w:r>
        <w:tab/>
        <w:t>(b)</w:t>
      </w:r>
      <w:r>
        <w:tab/>
        <w:t>any information the Court needs to enable the Court to be paid the fee.</w:t>
      </w:r>
    </w:p>
    <w:p>
      <w:pPr>
        <w:pStyle w:val="Footnotesection"/>
      </w:pPr>
      <w:r>
        <w:tab/>
        <w:t>[Rule 45 inserted: SL 2021/25 r. 29.]</w:t>
      </w:r>
    </w:p>
    <w:p>
      <w:pPr>
        <w:pStyle w:val="Heading5"/>
      </w:pPr>
      <w:bookmarkStart w:id="245" w:name="_Toc103094384"/>
      <w:bookmarkStart w:id="246" w:name="_Toc65052580"/>
      <w:r>
        <w:rPr>
          <w:rStyle w:val="CharSectno"/>
        </w:rPr>
        <w:t>46</w:t>
      </w:r>
      <w:r>
        <w:t>.</w:t>
      </w:r>
      <w:r>
        <w:tab/>
        <w:t>Where you may lodge a claim that starts a case</w:t>
      </w:r>
      <w:bookmarkEnd w:id="245"/>
      <w:bookmarkEnd w:id="246"/>
    </w:p>
    <w:p>
      <w:pPr>
        <w:pStyle w:val="Subsection"/>
      </w:pPr>
      <w:r>
        <w:tab/>
      </w:r>
      <w:r>
        <w:tab/>
        <w:t xml:space="preserve">You may lodge a claim that starts a case at any registry of the Court except a registry of the Court where the only registrar is a member of the Police Force who is a deputy registrar under the </w:t>
      </w:r>
      <w:r>
        <w:rPr>
          <w:i/>
        </w:rPr>
        <w:t>Magistrates Court Act 2004</w:t>
      </w:r>
      <w:r>
        <w:t xml:space="preserve"> section 26(5).</w:t>
      </w:r>
    </w:p>
    <w:p>
      <w:pPr>
        <w:pStyle w:val="Footnotesection"/>
      </w:pPr>
      <w:r>
        <w:tab/>
        <w:t>[Rule 46 inserted: SL 2021/25 r. 29.]</w:t>
      </w:r>
    </w:p>
    <w:p>
      <w:pPr>
        <w:pStyle w:val="Heading5"/>
      </w:pPr>
      <w:bookmarkStart w:id="247" w:name="_Toc103094385"/>
      <w:bookmarkStart w:id="248" w:name="_Toc65052581"/>
      <w:r>
        <w:rPr>
          <w:rStyle w:val="CharSectno"/>
        </w:rPr>
        <w:t>47</w:t>
      </w:r>
      <w:r>
        <w:t>.</w:t>
      </w:r>
      <w:r>
        <w:tab/>
        <w:t>You must lodge a document by using the ECMS unless these rules permit you not to</w:t>
      </w:r>
      <w:bookmarkEnd w:id="247"/>
      <w:bookmarkEnd w:id="248"/>
    </w:p>
    <w:p>
      <w:pPr>
        <w:pStyle w:val="Subsection"/>
      </w:pPr>
      <w:r>
        <w:tab/>
        <w:t>(1)</w:t>
      </w:r>
      <w:r>
        <w:tab/>
        <w:t xml:space="preserve">You must lodge a document by using the ECMS unless — </w:t>
      </w:r>
    </w:p>
    <w:p>
      <w:pPr>
        <w:pStyle w:val="Indenta"/>
      </w:pPr>
      <w:r>
        <w:tab/>
        <w:t>(a)</w:t>
      </w:r>
      <w:r>
        <w:tab/>
        <w:t>you are ECMS exempt in relation to the document; or</w:t>
      </w:r>
    </w:p>
    <w:p>
      <w:pPr>
        <w:pStyle w:val="Indenta"/>
      </w:pPr>
      <w:r>
        <w:tab/>
        <w:t>(b)</w:t>
      </w:r>
      <w:r>
        <w:tab/>
        <w:t xml:space="preserve">the ECMS — </w:t>
      </w:r>
    </w:p>
    <w:p>
      <w:pPr>
        <w:pStyle w:val="Indenti"/>
      </w:pPr>
      <w:r>
        <w:tab/>
        <w:t>(i)</w:t>
      </w:r>
      <w:r>
        <w:tab/>
        <w:t xml:space="preserve">has been declared unavailable for use under the </w:t>
      </w:r>
      <w:r>
        <w:rPr>
          <w:i/>
        </w:rPr>
        <w:t>Magistrates Court (Civil Proceedings) Rules 2005</w:t>
      </w:r>
      <w:r>
        <w:t xml:space="preserve"> rule 99; or</w:t>
      </w:r>
    </w:p>
    <w:p>
      <w:pPr>
        <w:pStyle w:val="Indenti"/>
      </w:pPr>
      <w:r>
        <w:tab/>
        <w:t>(ii)</w:t>
      </w:r>
      <w:r>
        <w:tab/>
        <w:t>is otherwise unavailable for use; or</w:t>
      </w:r>
    </w:p>
    <w:p>
      <w:pPr>
        <w:pStyle w:val="Indenti"/>
      </w:pPr>
      <w:r>
        <w:tab/>
        <w:t>(iii)</w:t>
      </w:r>
      <w:r>
        <w:tab/>
        <w:t>does not permit the document to be lodged.</w:t>
      </w:r>
    </w:p>
    <w:p>
      <w:pPr>
        <w:pStyle w:val="Subsection"/>
      </w:pPr>
      <w:r>
        <w:tab/>
        <w:t>(2)</w:t>
      </w:r>
      <w:r>
        <w:tab/>
        <w:t xml:space="preserve">If you are not required to lodge a document by using the ECMS, you may lodge it by — </w:t>
      </w:r>
    </w:p>
    <w:p>
      <w:pPr>
        <w:pStyle w:val="Indenta"/>
      </w:pPr>
      <w:r>
        <w:tab/>
        <w:t>(a)</w:t>
      </w:r>
      <w:r>
        <w:tab/>
        <w:t>delivering it by hand; or</w:t>
      </w:r>
    </w:p>
    <w:p>
      <w:pPr>
        <w:pStyle w:val="Indenta"/>
      </w:pPr>
      <w:r>
        <w:tab/>
        <w:t>(b)</w:t>
      </w:r>
      <w:r>
        <w:tab/>
        <w:t>emailing it (see rule 48); or</w:t>
      </w:r>
    </w:p>
    <w:p>
      <w:pPr>
        <w:pStyle w:val="Indenta"/>
      </w:pPr>
      <w:r>
        <w:tab/>
        <w:t>(c)</w:t>
      </w:r>
      <w:r>
        <w:tab/>
        <w:t>posting it (see rule 49C); or</w:t>
      </w:r>
    </w:p>
    <w:p>
      <w:pPr>
        <w:pStyle w:val="Indenta"/>
      </w:pPr>
      <w:r>
        <w:tab/>
        <w:t>(d)</w:t>
      </w:r>
      <w:r>
        <w:tab/>
        <w:t>faxing it (see rule 49C).</w:t>
      </w:r>
    </w:p>
    <w:p>
      <w:pPr>
        <w:pStyle w:val="Footnotesection"/>
      </w:pPr>
      <w:r>
        <w:tab/>
        <w:t>[Rule 47 inserted: SL 2021/25 r. 29.]</w:t>
      </w:r>
    </w:p>
    <w:p>
      <w:pPr>
        <w:pStyle w:val="Heading5"/>
      </w:pPr>
      <w:bookmarkStart w:id="249" w:name="_Toc103094386"/>
      <w:bookmarkStart w:id="250" w:name="_Toc65052582"/>
      <w:r>
        <w:rPr>
          <w:rStyle w:val="CharSectno"/>
        </w:rPr>
        <w:t>48</w:t>
      </w:r>
      <w:r>
        <w:t>.</w:t>
      </w:r>
      <w:r>
        <w:tab/>
        <w:t>Lodging documents by email</w:t>
      </w:r>
      <w:bookmarkEnd w:id="249"/>
      <w:bookmarkEnd w:id="250"/>
    </w:p>
    <w:p>
      <w:pPr>
        <w:pStyle w:val="Subsection"/>
      </w:pPr>
      <w:r>
        <w:tab/>
      </w:r>
      <w:r>
        <w:tab/>
        <w:t xml:space="preserve">If you want to lodge a document by email and you are permitted to do so by these rules, you must comply with the lodgment requirements set out in the </w:t>
      </w:r>
      <w:r>
        <w:rPr>
          <w:i/>
        </w:rPr>
        <w:t>Magistrates Court (Civil Proceedings) Rules 2005</w:t>
      </w:r>
      <w:r>
        <w:t xml:space="preserve"> rule 98D.</w:t>
      </w:r>
    </w:p>
    <w:p>
      <w:pPr>
        <w:pStyle w:val="Footnotesection"/>
      </w:pPr>
      <w:r>
        <w:tab/>
        <w:t>[Rule 48 inserted: SL 2021/25 r. 29.]</w:t>
      </w:r>
    </w:p>
    <w:p>
      <w:pPr>
        <w:pStyle w:val="Heading5"/>
      </w:pPr>
      <w:bookmarkStart w:id="251" w:name="_Toc103094387"/>
      <w:bookmarkStart w:id="252" w:name="_Toc65052583"/>
      <w:r>
        <w:rPr>
          <w:rStyle w:val="CharSectno"/>
        </w:rPr>
        <w:t>49</w:t>
      </w:r>
      <w:r>
        <w:t>.</w:t>
      </w:r>
      <w:r>
        <w:tab/>
        <w:t>Form of documents lodged using ECMS or by email</w:t>
      </w:r>
      <w:bookmarkEnd w:id="251"/>
      <w:bookmarkEnd w:id="252"/>
    </w:p>
    <w:p>
      <w:pPr>
        <w:pStyle w:val="Subsection"/>
      </w:pPr>
      <w:r>
        <w:tab/>
        <w:t>(1)</w:t>
      </w:r>
      <w:r>
        <w:tab/>
        <w:t>You must comply with this rule if you want to lodge a document by using the ECMS or by email.</w:t>
      </w:r>
    </w:p>
    <w:p>
      <w:pPr>
        <w:pStyle w:val="Subsection"/>
      </w:pPr>
      <w:r>
        <w:tab/>
        <w:t>(2)</w:t>
      </w:r>
      <w:r>
        <w:tab/>
        <w:t xml:space="preserve">If the document is an affidavit, a consent to the Court doing anything, or a document signed by someone who is not a party to your case, you must — </w:t>
      </w:r>
    </w:p>
    <w:p>
      <w:pPr>
        <w:pStyle w:val="Indenta"/>
      </w:pPr>
      <w:r>
        <w:tab/>
        <w:t>(a)</w:t>
      </w:r>
      <w:r>
        <w:tab/>
        <w:t>ensure that the document is signed; and</w:t>
      </w:r>
    </w:p>
    <w:p>
      <w:pPr>
        <w:pStyle w:val="Indenta"/>
      </w:pPr>
      <w:r>
        <w:tab/>
        <w:t>(b)</w:t>
      </w:r>
      <w:r>
        <w:tab/>
        <w:t>convert it to .pdf format; and</w:t>
      </w:r>
    </w:p>
    <w:p>
      <w:pPr>
        <w:pStyle w:val="Indenta"/>
      </w:pPr>
      <w:r>
        <w:tab/>
        <w:t>(c)</w:t>
      </w:r>
      <w:r>
        <w:tab/>
        <w:t>lodge the document; and</w:t>
      </w:r>
    </w:p>
    <w:p>
      <w:pPr>
        <w:pStyle w:val="Indenta"/>
      </w:pPr>
      <w:r>
        <w:tab/>
        <w:t>(d)</w:t>
      </w:r>
      <w:r>
        <w:tab/>
        <w:t>keep the signed copy and produce it if required to do so by the Court.</w:t>
      </w:r>
    </w:p>
    <w:p>
      <w:pPr>
        <w:pStyle w:val="Subsection"/>
      </w:pPr>
      <w:r>
        <w:tab/>
        <w:t>(3)</w:t>
      </w:r>
      <w:r>
        <w:tab/>
        <w:t xml:space="preserve">For any other document that must be signed under the </w:t>
      </w:r>
      <w:r>
        <w:rPr>
          <w:i/>
        </w:rPr>
        <w:t>Magistrates Court (General) Rules 2005</w:t>
      </w:r>
      <w:r>
        <w:t xml:space="preserve"> or the </w:t>
      </w:r>
      <w:r>
        <w:rPr>
          <w:i/>
        </w:rPr>
        <w:t>Magistrates Court (Civil Proceedings) Rules 2005</w:t>
      </w:r>
      <w:r>
        <w:t xml:space="preserve">, you must — </w:t>
      </w:r>
    </w:p>
    <w:p>
      <w:pPr>
        <w:pStyle w:val="Indenta"/>
      </w:pPr>
      <w:r>
        <w:tab/>
        <w:t>(a)</w:t>
      </w:r>
      <w:r>
        <w:tab/>
        <w:t>ensure that the document is signed; and</w:t>
      </w:r>
    </w:p>
    <w:p>
      <w:pPr>
        <w:pStyle w:val="Indenta"/>
      </w:pPr>
      <w:r>
        <w:tab/>
        <w:t>(b)</w:t>
      </w:r>
      <w:r>
        <w:tab/>
        <w:t>present a copy of the document, in .docx format, instead of the signed copy; and</w:t>
      </w:r>
    </w:p>
    <w:p>
      <w:pPr>
        <w:pStyle w:val="Indenta"/>
      </w:pPr>
      <w:r>
        <w:tab/>
        <w:t>(c)</w:t>
      </w:r>
      <w:r>
        <w:tab/>
        <w:t>in any place in the copy of the document in .docx format where a signature would otherwise be required, state the name of the person who is required to sign it; and</w:t>
      </w:r>
    </w:p>
    <w:p>
      <w:pPr>
        <w:pStyle w:val="Indenta"/>
      </w:pPr>
      <w:r>
        <w:tab/>
        <w:t>(d)</w:t>
      </w:r>
      <w:r>
        <w:tab/>
        <w:t>retain the signed copy and produce it if required to do so by the Court.</w:t>
      </w:r>
    </w:p>
    <w:p>
      <w:pPr>
        <w:pStyle w:val="Footnotesection"/>
      </w:pPr>
      <w:r>
        <w:tab/>
        <w:t>[Rule 49 inserted: SL 2021/25 r. 29.]</w:t>
      </w:r>
    </w:p>
    <w:p>
      <w:pPr>
        <w:pStyle w:val="Heading5"/>
      </w:pPr>
      <w:bookmarkStart w:id="253" w:name="_Toc103094388"/>
      <w:bookmarkStart w:id="254" w:name="_Toc65052584"/>
      <w:r>
        <w:rPr>
          <w:rStyle w:val="CharSectno"/>
        </w:rPr>
        <w:t>49A</w:t>
      </w:r>
      <w:r>
        <w:t>.</w:t>
      </w:r>
      <w:r>
        <w:tab/>
        <w:t>Time documents are lodged</w:t>
      </w:r>
      <w:bookmarkEnd w:id="253"/>
      <w:bookmarkEnd w:id="254"/>
    </w:p>
    <w:p>
      <w:pPr>
        <w:pStyle w:val="Subsection"/>
      </w:pPr>
      <w:r>
        <w:tab/>
      </w:r>
      <w:r>
        <w:tab/>
        <w:t xml:space="preserve">Documents lodged by using the ECMS or by email or fax are taken to have been lodged — </w:t>
      </w:r>
    </w:p>
    <w:p>
      <w:pPr>
        <w:pStyle w:val="Indenta"/>
      </w:pPr>
      <w:r>
        <w:tab/>
        <w:t>(a)</w:t>
      </w:r>
      <w:r>
        <w:tab/>
        <w:t>in the case of lodging by using the ECMS — on the day and at the time when the ECMS records the lodgment; and</w:t>
      </w:r>
    </w:p>
    <w:p>
      <w:pPr>
        <w:pStyle w:val="Indenta"/>
      </w:pPr>
      <w:r>
        <w:tab/>
        <w:t>(b)</w:t>
      </w:r>
      <w:r>
        <w:tab/>
        <w:t>in the case of lodging by email — on the day and at the time when the Court receives the email; and</w:t>
      </w:r>
    </w:p>
    <w:p>
      <w:pPr>
        <w:pStyle w:val="Indenta"/>
      </w:pPr>
      <w:r>
        <w:tab/>
        <w:t>(c)</w:t>
      </w:r>
      <w:r>
        <w:tab/>
        <w:t>in the case of lodging by fax — on the day and at the time when the Court receives the fax.</w:t>
      </w:r>
    </w:p>
    <w:p>
      <w:pPr>
        <w:pStyle w:val="Footnotesection"/>
      </w:pPr>
      <w:r>
        <w:tab/>
        <w:t>[Rule 49A inserted: SL 2021/25 r. 29.]</w:t>
      </w:r>
    </w:p>
    <w:p>
      <w:pPr>
        <w:pStyle w:val="Heading5"/>
      </w:pPr>
      <w:bookmarkStart w:id="255" w:name="_Toc103094389"/>
      <w:bookmarkStart w:id="256" w:name="_Toc65052585"/>
      <w:r>
        <w:rPr>
          <w:rStyle w:val="CharSectno"/>
        </w:rPr>
        <w:t>49B</w:t>
      </w:r>
      <w:r>
        <w:t>.</w:t>
      </w:r>
      <w:r>
        <w:tab/>
        <w:t>General provisions as to lodgment</w:t>
      </w:r>
      <w:bookmarkEnd w:id="255"/>
      <w:bookmarkEnd w:id="256"/>
    </w:p>
    <w:p>
      <w:pPr>
        <w:pStyle w:val="Subsection"/>
      </w:pPr>
      <w:r>
        <w:tab/>
        <w:t>(1)</w:t>
      </w:r>
      <w:r>
        <w:tab/>
        <w:t>You do not need to comply with a requirement by the Court to lodge 2 or more copies of a document if you lodge the document by using the ECMS or by email.</w:t>
      </w:r>
    </w:p>
    <w:p>
      <w:pPr>
        <w:pStyle w:val="Subsection"/>
      </w:pPr>
      <w:r>
        <w:tab/>
        <w:t>(2)</w:t>
      </w:r>
      <w:r>
        <w:tab/>
        <w:t xml:space="preserve">The Court or a registrar may reject a document that you present for lodgment if — </w:t>
      </w:r>
    </w:p>
    <w:p>
      <w:pPr>
        <w:pStyle w:val="Indenta"/>
      </w:pPr>
      <w:r>
        <w:tab/>
        <w:t>(a)</w:t>
      </w:r>
      <w:r>
        <w:tab/>
        <w:t>the form and content of the document do not comply with these rules and any Court order or direction; or</w:t>
      </w:r>
    </w:p>
    <w:p>
      <w:pPr>
        <w:pStyle w:val="Indenta"/>
      </w:pPr>
      <w:r>
        <w:tab/>
        <w:t>(b)</w:t>
      </w:r>
      <w:r>
        <w:tab/>
        <w:t>the document is not presented following the rules in this Part.</w:t>
      </w:r>
    </w:p>
    <w:p>
      <w:pPr>
        <w:pStyle w:val="Subsection"/>
      </w:pPr>
      <w:r>
        <w:tab/>
        <w:t>(3)</w:t>
      </w:r>
      <w:r>
        <w:tab/>
        <w:t>If the Court or a registrar rejects a document under subrule (2), a registrar must notify the person who presented the document for lodgment.</w:t>
      </w:r>
    </w:p>
    <w:p>
      <w:pPr>
        <w:pStyle w:val="Subsection"/>
        <w:keepNext/>
      </w:pPr>
      <w:r>
        <w:tab/>
        <w:t>(4)</w:t>
      </w:r>
      <w:r>
        <w:tab/>
        <w:t xml:space="preserve">If you present a document for lodgment by using the ECMS or by email, the Court or a registrar may order you to — </w:t>
      </w:r>
    </w:p>
    <w:p>
      <w:pPr>
        <w:pStyle w:val="Indenta"/>
      </w:pPr>
      <w:r>
        <w:tab/>
        <w:t>(a)</w:t>
      </w:r>
      <w:r>
        <w:tab/>
        <w:t>bring the original document to any conference or hearing in the case; or</w:t>
      </w:r>
    </w:p>
    <w:p>
      <w:pPr>
        <w:pStyle w:val="Indenta"/>
      </w:pPr>
      <w:r>
        <w:tab/>
        <w:t>(b)</w:t>
      </w:r>
      <w:r>
        <w:tab/>
        <w:t>lodge the original document.</w:t>
      </w:r>
    </w:p>
    <w:p>
      <w:pPr>
        <w:pStyle w:val="Footnotesection"/>
      </w:pPr>
      <w:r>
        <w:tab/>
        <w:t>[Rule 49B inserted: SL 2021/25 r. 29.]</w:t>
      </w:r>
    </w:p>
    <w:p>
      <w:pPr>
        <w:pStyle w:val="Heading5"/>
      </w:pPr>
      <w:bookmarkStart w:id="257" w:name="_Toc103094390"/>
      <w:bookmarkStart w:id="258" w:name="_Toc65052586"/>
      <w:r>
        <w:rPr>
          <w:rStyle w:val="CharSectno"/>
        </w:rPr>
        <w:t>49C</w:t>
      </w:r>
      <w:r>
        <w:t>.</w:t>
      </w:r>
      <w:r>
        <w:tab/>
        <w:t>Lodging documents by post or fax</w:t>
      </w:r>
      <w:bookmarkEnd w:id="257"/>
      <w:bookmarkEnd w:id="258"/>
    </w:p>
    <w:p>
      <w:pPr>
        <w:pStyle w:val="Subsection"/>
      </w:pPr>
      <w:r>
        <w:tab/>
      </w:r>
      <w:r>
        <w:tab/>
        <w:t xml:space="preserve">If you want to lodge a document by post or fax and you are permitted to do so by these rules, you must comply with the lodgment requirements set out in the </w:t>
      </w:r>
      <w:r>
        <w:rPr>
          <w:i/>
        </w:rPr>
        <w:t>Magistrates Court (Civil Proceedings) Rules 2005</w:t>
      </w:r>
      <w:r>
        <w:t xml:space="preserve"> rule 98F or 98G.</w:t>
      </w:r>
    </w:p>
    <w:p>
      <w:pPr>
        <w:pStyle w:val="Footnotesection"/>
      </w:pPr>
      <w:r>
        <w:tab/>
        <w:t>[Rule 49C inserted: SL 2021/25 r. 29.]</w:t>
      </w:r>
    </w:p>
    <w:p>
      <w:pPr>
        <w:pStyle w:val="Heading5"/>
      </w:pPr>
      <w:bookmarkStart w:id="259" w:name="_Toc103094391"/>
      <w:bookmarkStart w:id="260" w:name="_Toc65052587"/>
      <w:r>
        <w:rPr>
          <w:rStyle w:val="CharSectno"/>
        </w:rPr>
        <w:t>49D</w:t>
      </w:r>
      <w:r>
        <w:t>.</w:t>
      </w:r>
      <w:r>
        <w:tab/>
        <w:t>The Court may convert paper documents to electronic form</w:t>
      </w:r>
      <w:bookmarkEnd w:id="259"/>
      <w:bookmarkEnd w:id="260"/>
    </w:p>
    <w:p>
      <w:pPr>
        <w:pStyle w:val="Subsection"/>
      </w:pPr>
      <w:r>
        <w:tab/>
      </w:r>
      <w:r>
        <w:tab/>
        <w:t>The Court may convert the lodged paper copy of a document to an electronic format and record it in the ECMS as if it had been lodged by using the ECMS.</w:t>
      </w:r>
    </w:p>
    <w:p>
      <w:pPr>
        <w:pStyle w:val="Footnotesection"/>
      </w:pPr>
      <w:r>
        <w:tab/>
        <w:t>[Rule 49D inserted: SL 2021/25 r. 29.]</w:t>
      </w:r>
    </w:p>
    <w:p>
      <w:pPr>
        <w:pStyle w:val="Heading2"/>
      </w:pPr>
      <w:bookmarkStart w:id="261" w:name="_Toc102992282"/>
      <w:bookmarkStart w:id="262" w:name="_Toc102993132"/>
      <w:bookmarkStart w:id="263" w:name="_Toc103094392"/>
      <w:bookmarkStart w:id="264" w:name="_Toc64977196"/>
      <w:bookmarkStart w:id="265" w:name="_Toc64981366"/>
      <w:bookmarkStart w:id="266" w:name="_Toc65052588"/>
      <w:bookmarkEnd w:id="242"/>
      <w:r>
        <w:rPr>
          <w:rStyle w:val="CharPartNo"/>
        </w:rPr>
        <w:t>Part 11</w:t>
      </w:r>
      <w:r>
        <w:t> — </w:t>
      </w:r>
      <w:r>
        <w:rPr>
          <w:rStyle w:val="CharPartText"/>
        </w:rPr>
        <w:t>How to serve documents</w:t>
      </w:r>
      <w:bookmarkEnd w:id="261"/>
      <w:bookmarkEnd w:id="262"/>
      <w:bookmarkEnd w:id="263"/>
      <w:bookmarkEnd w:id="264"/>
      <w:bookmarkEnd w:id="265"/>
      <w:bookmarkEnd w:id="266"/>
    </w:p>
    <w:p>
      <w:pPr>
        <w:pStyle w:val="Heading3"/>
      </w:pPr>
      <w:bookmarkStart w:id="267" w:name="_Toc102992283"/>
      <w:bookmarkStart w:id="268" w:name="_Toc102993133"/>
      <w:bookmarkStart w:id="269" w:name="_Toc103094393"/>
      <w:bookmarkStart w:id="270" w:name="_Toc64977197"/>
      <w:bookmarkStart w:id="271" w:name="_Toc64981367"/>
      <w:bookmarkStart w:id="272" w:name="_Toc65052589"/>
      <w:r>
        <w:rPr>
          <w:rStyle w:val="CharDivNo"/>
        </w:rPr>
        <w:t>Division 1</w:t>
      </w:r>
      <w:r>
        <w:t> — </w:t>
      </w:r>
      <w:r>
        <w:rPr>
          <w:rStyle w:val="CharDivText"/>
        </w:rPr>
        <w:t>General</w:t>
      </w:r>
      <w:bookmarkEnd w:id="267"/>
      <w:bookmarkEnd w:id="268"/>
      <w:bookmarkEnd w:id="269"/>
      <w:bookmarkEnd w:id="270"/>
      <w:bookmarkEnd w:id="271"/>
      <w:bookmarkEnd w:id="272"/>
    </w:p>
    <w:p>
      <w:pPr>
        <w:pStyle w:val="Heading5"/>
      </w:pPr>
      <w:bookmarkStart w:id="273" w:name="_Toc103094394"/>
      <w:bookmarkStart w:id="274" w:name="_Toc65052590"/>
      <w:r>
        <w:rPr>
          <w:rStyle w:val="CharSectno"/>
        </w:rPr>
        <w:t>50</w:t>
      </w:r>
      <w:r>
        <w:t>.</w:t>
      </w:r>
      <w:r>
        <w:tab/>
        <w:t>Meaning of serve</w:t>
      </w:r>
      <w:bookmarkEnd w:id="273"/>
      <w:bookmarkEnd w:id="274"/>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275" w:name="_Toc103094395"/>
      <w:bookmarkStart w:id="276" w:name="_Toc65052591"/>
      <w:r>
        <w:rPr>
          <w:rStyle w:val="CharSectno"/>
        </w:rPr>
        <w:t>51</w:t>
      </w:r>
      <w:r>
        <w:t>.</w:t>
      </w:r>
      <w:r>
        <w:tab/>
        <w:t>How to serve a document</w:t>
      </w:r>
      <w:bookmarkEnd w:id="275"/>
      <w:bookmarkEnd w:id="276"/>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 or</w:t>
      </w:r>
    </w:p>
    <w:p>
      <w:pPr>
        <w:pStyle w:val="Indenta"/>
      </w:pPr>
      <w:r>
        <w:tab/>
        <w:t>(b)</w:t>
      </w:r>
      <w:r>
        <w:tab/>
        <w:t>send the document by pre</w:t>
      </w:r>
      <w:r>
        <w:noBreakHyphen/>
        <w:t>paid post to the person; or</w:t>
      </w:r>
    </w:p>
    <w:p>
      <w:pPr>
        <w:pStyle w:val="Indenta"/>
      </w:pPr>
      <w:r>
        <w:tab/>
        <w:t>(c)</w:t>
      </w:r>
      <w:r>
        <w:tab/>
        <w:t xml:space="preserve">if the </w:t>
      </w:r>
      <w:r>
        <w:rPr>
          <w:i/>
          <w:iCs/>
        </w:rPr>
        <w:t>Magistrates Court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 or the party’s usual postal address.</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pPr>
      <w:r>
        <w:tab/>
        <w:t>[Rule 51 amended: Gazette 24 May 2013 p. 2059.]</w:t>
      </w:r>
    </w:p>
    <w:p>
      <w:pPr>
        <w:pStyle w:val="Heading5"/>
      </w:pPr>
      <w:bookmarkStart w:id="277" w:name="_Toc103094396"/>
      <w:bookmarkStart w:id="278" w:name="_Toc65052592"/>
      <w:r>
        <w:rPr>
          <w:rStyle w:val="CharSectno"/>
        </w:rPr>
        <w:t>52</w:t>
      </w:r>
      <w:r>
        <w:t>.</w:t>
      </w:r>
      <w:r>
        <w:tab/>
        <w:t>An enforcement officer may serve documents for you</w:t>
      </w:r>
      <w:bookmarkEnd w:id="277"/>
      <w:bookmarkEnd w:id="278"/>
    </w:p>
    <w:p>
      <w:pPr>
        <w:pStyle w:val="Subsection"/>
      </w:pPr>
      <w:r>
        <w:tab/>
        <w:t>(1)</w:t>
      </w:r>
      <w:r>
        <w:tab/>
        <w:t>You may ask an enforcement officer, an administrative staff member or a departmental officer to serve a document for you.</w:t>
      </w:r>
    </w:p>
    <w:p>
      <w:pPr>
        <w:pStyle w:val="Subsection"/>
      </w:pPr>
      <w:r>
        <w:tab/>
        <w:t>(1A)</w:t>
      </w:r>
      <w:r>
        <w:tab/>
        <w:t>If an enforcement officer, administrative staff member or departmental officer serves a document for you, that person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 administrative staff member or departmental officer.</w:t>
      </w:r>
    </w:p>
    <w:p>
      <w:pPr>
        <w:pStyle w:val="Footnotesection"/>
      </w:pPr>
      <w:r>
        <w:tab/>
        <w:t>[Rule 52 amended: Gazette 24 Aug 2007 p. 4334; 3 May 2016 p. 1362.]</w:t>
      </w:r>
    </w:p>
    <w:p>
      <w:pPr>
        <w:pStyle w:val="Heading5"/>
      </w:pPr>
      <w:bookmarkStart w:id="279" w:name="_Toc103094397"/>
      <w:bookmarkStart w:id="280" w:name="_Toc65052593"/>
      <w:r>
        <w:rPr>
          <w:rStyle w:val="CharSectno"/>
        </w:rPr>
        <w:t>53</w:t>
      </w:r>
      <w:r>
        <w:t>.</w:t>
      </w:r>
      <w:r>
        <w:tab/>
        <w:t>You must lodge an affidavit after serving a document</w:t>
      </w:r>
      <w:bookmarkEnd w:id="279"/>
      <w:bookmarkEnd w:id="280"/>
    </w:p>
    <w:p>
      <w:pPr>
        <w:pStyle w:val="Subsection"/>
      </w:pPr>
      <w:r>
        <w:tab/>
        <w:t>(1)</w:t>
      </w:r>
      <w:r>
        <w:tab/>
        <w:t>If you serve a document personally, or someone other than an enforcement officer, administrative staff member or departmental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Gazette 24 Aug 2007 p. 4334; 3 May 2016 p. 1362.]</w:t>
      </w:r>
    </w:p>
    <w:p>
      <w:pPr>
        <w:pStyle w:val="Heading3"/>
      </w:pPr>
      <w:bookmarkStart w:id="281" w:name="_Toc102992288"/>
      <w:bookmarkStart w:id="282" w:name="_Toc102993138"/>
      <w:bookmarkStart w:id="283" w:name="_Toc103094398"/>
      <w:bookmarkStart w:id="284" w:name="_Toc64977202"/>
      <w:bookmarkStart w:id="285" w:name="_Toc64981372"/>
      <w:bookmarkStart w:id="286" w:name="_Toc65052594"/>
      <w:r>
        <w:rPr>
          <w:rStyle w:val="CharDivNo"/>
        </w:rPr>
        <w:t>Division 2</w:t>
      </w:r>
      <w:r>
        <w:t> — </w:t>
      </w:r>
      <w:r>
        <w:rPr>
          <w:rStyle w:val="CharDivText"/>
        </w:rPr>
        <w:t>Service at a residential or business address</w:t>
      </w:r>
      <w:bookmarkEnd w:id="281"/>
      <w:bookmarkEnd w:id="282"/>
      <w:bookmarkEnd w:id="283"/>
      <w:bookmarkEnd w:id="284"/>
      <w:bookmarkEnd w:id="285"/>
      <w:bookmarkEnd w:id="286"/>
    </w:p>
    <w:p>
      <w:pPr>
        <w:pStyle w:val="Footnoteheading"/>
      </w:pPr>
      <w:r>
        <w:tab/>
        <w:t>[Heading inserted: Gazette 20 May 2011 p. 1840.]</w:t>
      </w:r>
    </w:p>
    <w:p>
      <w:pPr>
        <w:pStyle w:val="Heading5"/>
      </w:pPr>
      <w:bookmarkStart w:id="287" w:name="_Toc103094399"/>
      <w:bookmarkStart w:id="288" w:name="_Toc65052595"/>
      <w:r>
        <w:rPr>
          <w:rStyle w:val="CharSectno"/>
        </w:rPr>
        <w:t>54</w:t>
      </w:r>
      <w:r>
        <w:t>.</w:t>
      </w:r>
      <w:r>
        <w:tab/>
        <w:t>Your address must be on each document</w:t>
      </w:r>
      <w:bookmarkEnd w:id="287"/>
      <w:bookmarkEnd w:id="288"/>
    </w:p>
    <w:p>
      <w:pPr>
        <w:pStyle w:val="Subsection"/>
      </w:pPr>
      <w:r>
        <w:tab/>
        <w:t>(1)</w:t>
      </w:r>
      <w:r>
        <w:tab/>
        <w:t>If you lodge a document in relation to a case, the document must contain your residential or business address for service.</w:t>
      </w:r>
    </w:p>
    <w:p>
      <w:pPr>
        <w:pStyle w:val="Subsection"/>
      </w:pPr>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Gazette 3 Jun 2008 p. 2145</w:t>
      </w:r>
      <w:r>
        <w:noBreakHyphen/>
        <w:t>6.]</w:t>
      </w:r>
    </w:p>
    <w:p>
      <w:pPr>
        <w:pStyle w:val="Heading5"/>
      </w:pPr>
      <w:bookmarkStart w:id="289" w:name="_Toc103094400"/>
      <w:bookmarkStart w:id="290" w:name="_Toc65052596"/>
      <w:r>
        <w:rPr>
          <w:rStyle w:val="CharSectno"/>
        </w:rPr>
        <w:t>55</w:t>
      </w:r>
      <w:r>
        <w:t>.</w:t>
      </w:r>
      <w:r>
        <w:tab/>
        <w:t>If you are not represented</w:t>
      </w:r>
      <w:bookmarkEnd w:id="289"/>
      <w:bookmarkEnd w:id="290"/>
    </w:p>
    <w:p>
      <w:pPr>
        <w:pStyle w:val="Subsection"/>
      </w:pPr>
      <w:r>
        <w:tab/>
        <w:t>(1)</w:t>
      </w:r>
      <w:r>
        <w:tab/>
        <w:t>If you are an individual who is not represented by an agent, the address for service is to be your usual place of residence, your principal place of business or your postal address.</w:t>
      </w:r>
    </w:p>
    <w:p>
      <w:pPr>
        <w:pStyle w:val="Subsection"/>
      </w:pPr>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r>
        <w:tab/>
        <w:t>[Rule 55 amended: Gazette 3 Jun 2008 p. 2146; 24 May 2013 p. 2059.]</w:t>
      </w:r>
    </w:p>
    <w:p>
      <w:pPr>
        <w:pStyle w:val="Heading5"/>
      </w:pPr>
      <w:bookmarkStart w:id="291" w:name="_Toc103094401"/>
      <w:bookmarkStart w:id="292" w:name="_Toc65052597"/>
      <w:r>
        <w:rPr>
          <w:rStyle w:val="CharSectno"/>
        </w:rPr>
        <w:t>56</w:t>
      </w:r>
      <w:r>
        <w:t>.</w:t>
      </w:r>
      <w:r>
        <w:tab/>
        <w:t>If you are represented</w:t>
      </w:r>
      <w:bookmarkEnd w:id="291"/>
      <w:bookmarkEnd w:id="292"/>
    </w:p>
    <w:p>
      <w:pPr>
        <w:pStyle w:val="Subsection"/>
        <w:spacing w:before="120"/>
      </w:pPr>
      <w:r>
        <w:tab/>
        <w:t>(1)</w:t>
      </w:r>
      <w:r>
        <w:tab/>
        <w:t>If you are represented by a lawyer, your address for service is to be your lawyer’s principal place of business or your lawyer’s number (if any) at a document exchange approved by the Chief Magistrate.</w:t>
      </w:r>
    </w:p>
    <w:p>
      <w:pPr>
        <w:pStyle w:val="Subsection"/>
        <w:spacing w:before="120"/>
      </w:pPr>
      <w:r>
        <w:tab/>
        <w:t>(2)</w:t>
      </w:r>
      <w:r>
        <w:tab/>
        <w:t>If you are represented by an agent who is not a lawyer, your address for service is to be your agent’s usual place of residence or principal place of business.</w:t>
      </w:r>
    </w:p>
    <w:p>
      <w:pPr>
        <w:pStyle w:val="Footnotesection"/>
      </w:pPr>
      <w:r>
        <w:tab/>
        <w:t>[Rule 56 amended: Gazette 3 Jun 2008 p. 2146.]</w:t>
      </w:r>
    </w:p>
    <w:p>
      <w:pPr>
        <w:pStyle w:val="Heading5"/>
      </w:pPr>
      <w:bookmarkStart w:id="293" w:name="_Toc103094402"/>
      <w:bookmarkStart w:id="294" w:name="_Toc65052598"/>
      <w:r>
        <w:rPr>
          <w:rStyle w:val="CharSectno"/>
        </w:rPr>
        <w:t>57</w:t>
      </w:r>
      <w:r>
        <w:t>.</w:t>
      </w:r>
      <w:r>
        <w:tab/>
        <w:t>If your address changes</w:t>
      </w:r>
      <w:bookmarkEnd w:id="293"/>
      <w:bookmarkEnd w:id="294"/>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295" w:name="_Toc102992293"/>
      <w:bookmarkStart w:id="296" w:name="_Toc102993143"/>
      <w:bookmarkStart w:id="297" w:name="_Toc103094403"/>
      <w:bookmarkStart w:id="298" w:name="_Toc64977207"/>
      <w:bookmarkStart w:id="299" w:name="_Toc64981377"/>
      <w:bookmarkStart w:id="300" w:name="_Toc65052599"/>
      <w:r>
        <w:rPr>
          <w:rStyle w:val="CharDivNo"/>
        </w:rPr>
        <w:t>Division 3</w:t>
      </w:r>
      <w:r>
        <w:t> — </w:t>
      </w:r>
      <w:r>
        <w:rPr>
          <w:rStyle w:val="CharDivText"/>
        </w:rPr>
        <w:t>Personal service</w:t>
      </w:r>
      <w:bookmarkEnd w:id="295"/>
      <w:bookmarkEnd w:id="296"/>
      <w:bookmarkEnd w:id="297"/>
      <w:bookmarkEnd w:id="298"/>
      <w:bookmarkEnd w:id="299"/>
      <w:bookmarkEnd w:id="300"/>
    </w:p>
    <w:p>
      <w:pPr>
        <w:pStyle w:val="Heading5"/>
      </w:pPr>
      <w:bookmarkStart w:id="301" w:name="_Toc103094404"/>
      <w:bookmarkStart w:id="302" w:name="_Toc65052600"/>
      <w:r>
        <w:rPr>
          <w:rStyle w:val="CharSectno"/>
        </w:rPr>
        <w:t>58</w:t>
      </w:r>
      <w:r>
        <w:t>.</w:t>
      </w:r>
      <w:r>
        <w:tab/>
        <w:t>Service on an individual personally</w:t>
      </w:r>
      <w:bookmarkEnd w:id="301"/>
      <w:bookmarkEnd w:id="302"/>
    </w:p>
    <w:p>
      <w:pPr>
        <w:pStyle w:val="Subsection"/>
      </w:pPr>
      <w:r>
        <w:tab/>
      </w:r>
      <w:r>
        <w:tab/>
        <w:t xml:space="preserve">In order to serve a document on an individual personally you must — </w:t>
      </w:r>
    </w:p>
    <w:p>
      <w:pPr>
        <w:pStyle w:val="Indenta"/>
        <w:rPr>
          <w:u w:val="words"/>
        </w:rPr>
      </w:pPr>
      <w:r>
        <w:tab/>
        <w:t>(a)</w:t>
      </w:r>
      <w:r>
        <w:tab/>
        <w:t>hand the document to the individual or, if he or she is a person under a legal disability, to his or her parent, guardian or litigation guardian;</w:t>
      </w:r>
      <w:r>
        <w:rPr>
          <w:u w:val="words"/>
        </w:rPr>
        <w:t xml:space="preserve"> </w:t>
      </w:r>
      <w:r>
        <w:t>or</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pPr>
        <w:pStyle w:val="Indenta"/>
      </w:pPr>
      <w:r>
        <w:tab/>
        <w:t>(c)</w:t>
      </w:r>
      <w:r>
        <w:tab/>
        <w:t>hand the document to someone who is authorised in writing to receive documents on behalf of the individual; or</w:t>
      </w:r>
    </w:p>
    <w:p>
      <w:pPr>
        <w:pStyle w:val="Indenta"/>
      </w:pPr>
      <w:r>
        <w:tab/>
        <w:t>(d)</w:t>
      </w:r>
      <w:r>
        <w:tab/>
        <w:t>hand the document to someone at the individual’s usual or last known place of residence or business who is believed, on reasonable grounds, to have reached 18 years of age; or</w:t>
      </w:r>
    </w:p>
    <w:p>
      <w:pPr>
        <w:pStyle w:val="Indenta"/>
      </w:pPr>
      <w:r>
        <w:tab/>
        <w:t>(e)</w:t>
      </w:r>
      <w:r>
        <w:tab/>
        <w:t>hand the document to an agent who is acting for the individual.</w:t>
      </w:r>
    </w:p>
    <w:p>
      <w:pPr>
        <w:pStyle w:val="Footnotesection"/>
        <w:rPr>
          <w:u w:val="words"/>
        </w:rPr>
      </w:pPr>
      <w:r>
        <w:tab/>
        <w:t>[Rule 58 amended: Gazette 2 Jul 2010 p. 3196; 31 Dec 2013 p. 6547.]</w:t>
      </w:r>
    </w:p>
    <w:p>
      <w:pPr>
        <w:pStyle w:val="Heading5"/>
      </w:pPr>
      <w:bookmarkStart w:id="303" w:name="_Toc103094405"/>
      <w:bookmarkStart w:id="304" w:name="_Toc65052601"/>
      <w:r>
        <w:rPr>
          <w:rStyle w:val="CharSectno"/>
        </w:rPr>
        <w:t>59</w:t>
      </w:r>
      <w:r>
        <w:t>.</w:t>
      </w:r>
      <w:r>
        <w:tab/>
        <w:t>Service on a partnership personally</w:t>
      </w:r>
      <w:bookmarkEnd w:id="303"/>
      <w:bookmarkEnd w:id="304"/>
    </w:p>
    <w:p>
      <w:pPr>
        <w:pStyle w:val="Subsection"/>
      </w:pPr>
      <w:r>
        <w:tab/>
      </w:r>
      <w:r>
        <w:tab/>
        <w:t xml:space="preserve">In order to serve a document on a partnership personally you must — </w:t>
      </w:r>
    </w:p>
    <w:p>
      <w:pPr>
        <w:pStyle w:val="Indenta"/>
      </w:pPr>
      <w:r>
        <w:tab/>
        <w:t>(a)</w:t>
      </w:r>
      <w:r>
        <w:tab/>
        <w:t>hand the document to one of the partners; or</w:t>
      </w:r>
    </w:p>
    <w:p>
      <w:pPr>
        <w:pStyle w:val="Indenta"/>
      </w:pPr>
      <w:r>
        <w:tab/>
        <w:t>(b)</w:t>
      </w:r>
      <w:r>
        <w:tab/>
        <w:t>if the partner does not accept the document, put the document down in the partner’s presence and advise the partner of the nature of the document; or</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05" w:name="_Toc103094406"/>
      <w:bookmarkStart w:id="306" w:name="_Toc65052602"/>
      <w:r>
        <w:rPr>
          <w:rStyle w:val="CharSectno"/>
        </w:rPr>
        <w:t>60</w:t>
      </w:r>
      <w:r>
        <w:t>.</w:t>
      </w:r>
      <w:r>
        <w:tab/>
        <w:t>Service on a corporation personally</w:t>
      </w:r>
      <w:bookmarkEnd w:id="305"/>
      <w:bookmarkEnd w:id="306"/>
    </w:p>
    <w:p>
      <w:pPr>
        <w:pStyle w:val="Subsection"/>
      </w:pPr>
      <w:r>
        <w:tab/>
        <w:t>(1)</w:t>
      </w:r>
      <w:r>
        <w:tab/>
        <w:t>In order to serve a document on a corporation personally you must hand the document to —</w:t>
      </w:r>
    </w:p>
    <w:p>
      <w:pPr>
        <w:pStyle w:val="Indenta"/>
      </w:pPr>
      <w:r>
        <w:tab/>
        <w:t>(a)</w:t>
      </w:r>
      <w:r>
        <w:tab/>
        <w:t>a person who, on reasonable grounds, is believed to be a director of the corporation who resides in Australia;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Gazette 3 Jun 2008 p. 2146.]</w:t>
      </w:r>
    </w:p>
    <w:p>
      <w:pPr>
        <w:pStyle w:val="Heading5"/>
      </w:pPr>
      <w:bookmarkStart w:id="307" w:name="_Toc103094407"/>
      <w:bookmarkStart w:id="308" w:name="_Toc65052603"/>
      <w:r>
        <w:rPr>
          <w:rStyle w:val="CharSectno"/>
        </w:rPr>
        <w:t>61</w:t>
      </w:r>
      <w:r>
        <w:t>.</w:t>
      </w:r>
      <w:r>
        <w:tab/>
        <w:t>Service on a public authority personally</w:t>
      </w:r>
      <w:bookmarkEnd w:id="307"/>
      <w:bookmarkEnd w:id="308"/>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09" w:name="_Toc102992298"/>
      <w:bookmarkStart w:id="310" w:name="_Toc102993148"/>
      <w:bookmarkStart w:id="311" w:name="_Toc103094408"/>
      <w:bookmarkStart w:id="312" w:name="_Toc64977212"/>
      <w:bookmarkStart w:id="313" w:name="_Toc64981382"/>
      <w:bookmarkStart w:id="314" w:name="_Toc65052604"/>
      <w:r>
        <w:rPr>
          <w:rStyle w:val="CharDivNo"/>
        </w:rPr>
        <w:t>Division 4</w:t>
      </w:r>
      <w:r>
        <w:t> — </w:t>
      </w:r>
      <w:r>
        <w:rPr>
          <w:rStyle w:val="CharDivText"/>
        </w:rPr>
        <w:t>Miscellaneous</w:t>
      </w:r>
      <w:bookmarkEnd w:id="309"/>
      <w:bookmarkEnd w:id="310"/>
      <w:bookmarkEnd w:id="311"/>
      <w:bookmarkEnd w:id="312"/>
      <w:bookmarkEnd w:id="313"/>
      <w:bookmarkEnd w:id="314"/>
    </w:p>
    <w:p>
      <w:pPr>
        <w:pStyle w:val="Footnoteheading"/>
      </w:pPr>
      <w:r>
        <w:tab/>
        <w:t>[Heading inserted: Gazette 3 Jun 2008 p. 2147.]</w:t>
      </w:r>
    </w:p>
    <w:p>
      <w:pPr>
        <w:pStyle w:val="Heading5"/>
      </w:pPr>
      <w:bookmarkStart w:id="315" w:name="_Toc103094409"/>
      <w:bookmarkStart w:id="316" w:name="_Toc65052605"/>
      <w:r>
        <w:rPr>
          <w:rStyle w:val="CharSectno"/>
        </w:rPr>
        <w:t>62A</w:t>
      </w:r>
      <w:r>
        <w:t>.</w:t>
      </w:r>
      <w:r>
        <w:tab/>
        <w:t>Applications for substituted service</w:t>
      </w:r>
      <w:bookmarkEnd w:id="315"/>
      <w:bookmarkEnd w:id="316"/>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Gazette 3 Jun 2008 p. 2147.]</w:t>
      </w:r>
    </w:p>
    <w:p>
      <w:pPr>
        <w:pStyle w:val="Heading2"/>
      </w:pPr>
      <w:bookmarkStart w:id="317" w:name="_Toc102992300"/>
      <w:bookmarkStart w:id="318" w:name="_Toc102993150"/>
      <w:bookmarkStart w:id="319" w:name="_Toc103094410"/>
      <w:bookmarkStart w:id="320" w:name="_Toc64977214"/>
      <w:bookmarkStart w:id="321" w:name="_Toc64981384"/>
      <w:bookmarkStart w:id="322" w:name="_Toc65052606"/>
      <w:r>
        <w:rPr>
          <w:rStyle w:val="CharPartNo"/>
        </w:rPr>
        <w:t>Part 12</w:t>
      </w:r>
      <w:r>
        <w:rPr>
          <w:rStyle w:val="CharDivNo"/>
        </w:rPr>
        <w:t> </w:t>
      </w:r>
      <w:r>
        <w:t>—</w:t>
      </w:r>
      <w:r>
        <w:rPr>
          <w:rStyle w:val="CharDivText"/>
        </w:rPr>
        <w:t> </w:t>
      </w:r>
      <w:r>
        <w:rPr>
          <w:rStyle w:val="CharPartText"/>
        </w:rPr>
        <w:t>How to make an application</w:t>
      </w:r>
      <w:bookmarkEnd w:id="317"/>
      <w:bookmarkEnd w:id="318"/>
      <w:bookmarkEnd w:id="319"/>
      <w:bookmarkEnd w:id="320"/>
      <w:bookmarkEnd w:id="321"/>
      <w:bookmarkEnd w:id="322"/>
    </w:p>
    <w:p>
      <w:pPr>
        <w:pStyle w:val="Heading5"/>
      </w:pPr>
      <w:bookmarkStart w:id="323" w:name="_Toc103094411"/>
      <w:bookmarkStart w:id="324" w:name="_Toc65052607"/>
      <w:r>
        <w:rPr>
          <w:rStyle w:val="CharSectno"/>
        </w:rPr>
        <w:t>62</w:t>
      </w:r>
      <w:r>
        <w:t>.</w:t>
      </w:r>
      <w:r>
        <w:tab/>
        <w:t>How to make a written application</w:t>
      </w:r>
      <w:bookmarkEnd w:id="323"/>
      <w:bookmarkEnd w:id="324"/>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25" w:name="_Toc103094412"/>
      <w:bookmarkStart w:id="326" w:name="_Toc65052608"/>
      <w:r>
        <w:rPr>
          <w:rStyle w:val="CharSectno"/>
        </w:rPr>
        <w:t>63</w:t>
      </w:r>
      <w:r>
        <w:t>.</w:t>
      </w:r>
      <w:r>
        <w:tab/>
        <w:t>Your supporting affidavit</w:t>
      </w:r>
      <w:bookmarkEnd w:id="325"/>
      <w:bookmarkEnd w:id="326"/>
    </w:p>
    <w:p>
      <w:pPr>
        <w:pStyle w:val="Subsection"/>
      </w:pPr>
      <w:r>
        <w:tab/>
      </w:r>
      <w:r>
        <w:tab/>
        <w:t>Unless rule 18(3) applies, if you are making a written application it must be lodged together with a supporting affidavit.</w:t>
      </w:r>
    </w:p>
    <w:p>
      <w:pPr>
        <w:pStyle w:val="Heading5"/>
      </w:pPr>
      <w:bookmarkStart w:id="327" w:name="_Toc103094413"/>
      <w:bookmarkStart w:id="328" w:name="_Toc65052609"/>
      <w:r>
        <w:rPr>
          <w:rStyle w:val="CharSectno"/>
        </w:rPr>
        <w:t>64</w:t>
      </w:r>
      <w:r>
        <w:t>.</w:t>
      </w:r>
      <w:r>
        <w:tab/>
        <w:t>Application must be served</w:t>
      </w:r>
      <w:bookmarkEnd w:id="327"/>
      <w:bookmarkEnd w:id="328"/>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9A;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Gazette 3 Jun 2008 p. 2147; 20 May 2011 p. 1840-1; 30 Sep 2016 p. 4176.]</w:t>
      </w:r>
    </w:p>
    <w:p>
      <w:pPr>
        <w:pStyle w:val="Heading5"/>
      </w:pPr>
      <w:bookmarkStart w:id="329" w:name="_Toc103094414"/>
      <w:bookmarkStart w:id="330" w:name="_Toc65052610"/>
      <w:r>
        <w:rPr>
          <w:rStyle w:val="CharSectno"/>
        </w:rPr>
        <w:t>65</w:t>
      </w:r>
      <w:r>
        <w:t>.</w:t>
      </w:r>
      <w:r>
        <w:tab/>
        <w:t>Response to an application</w:t>
      </w:r>
      <w:bookmarkEnd w:id="329"/>
      <w:bookmarkEnd w:id="330"/>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 and</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31" w:name="_Toc103094415"/>
      <w:bookmarkStart w:id="332" w:name="_Toc65052611"/>
      <w:r>
        <w:rPr>
          <w:rStyle w:val="CharSectno"/>
        </w:rPr>
        <w:t>66</w:t>
      </w:r>
      <w:r>
        <w:t>.</w:t>
      </w:r>
      <w:r>
        <w:tab/>
        <w:t>How the Court will deal with your application</w:t>
      </w:r>
      <w:bookmarkEnd w:id="331"/>
      <w:bookmarkEnd w:id="332"/>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r>
        <w:tab/>
      </w:r>
      <w:r>
        <w:tab/>
        <w:t>[Rule 66 amended: Gazette 3 Jun 2008 p. 2148.]</w:t>
      </w:r>
    </w:p>
    <w:p>
      <w:pPr>
        <w:pStyle w:val="Heading2"/>
      </w:pPr>
      <w:bookmarkStart w:id="333" w:name="_Toc102992306"/>
      <w:bookmarkStart w:id="334" w:name="_Toc102993156"/>
      <w:bookmarkStart w:id="335" w:name="_Toc103094416"/>
      <w:bookmarkStart w:id="336" w:name="_Toc64977220"/>
      <w:bookmarkStart w:id="337" w:name="_Toc64981390"/>
      <w:bookmarkStart w:id="338" w:name="_Toc65052612"/>
      <w:r>
        <w:rPr>
          <w:rStyle w:val="CharPartNo"/>
        </w:rPr>
        <w:t>Part 13</w:t>
      </w:r>
      <w:r>
        <w:rPr>
          <w:rStyle w:val="CharDivNo"/>
        </w:rPr>
        <w:t> </w:t>
      </w:r>
      <w:r>
        <w:t>—</w:t>
      </w:r>
      <w:r>
        <w:rPr>
          <w:rStyle w:val="CharDivText"/>
        </w:rPr>
        <w:t> </w:t>
      </w:r>
      <w:r>
        <w:rPr>
          <w:rStyle w:val="CharPartText"/>
        </w:rPr>
        <w:t>Affidavits</w:t>
      </w:r>
      <w:bookmarkEnd w:id="333"/>
      <w:bookmarkEnd w:id="334"/>
      <w:bookmarkEnd w:id="335"/>
      <w:bookmarkEnd w:id="336"/>
      <w:bookmarkEnd w:id="337"/>
      <w:bookmarkEnd w:id="338"/>
    </w:p>
    <w:p>
      <w:pPr>
        <w:pStyle w:val="Heading5"/>
      </w:pPr>
      <w:bookmarkStart w:id="339" w:name="_Toc103094417"/>
      <w:bookmarkStart w:id="340" w:name="_Toc65052613"/>
      <w:r>
        <w:rPr>
          <w:rStyle w:val="CharSectno"/>
        </w:rPr>
        <w:t>67</w:t>
      </w:r>
      <w:r>
        <w:t>.</w:t>
      </w:r>
      <w:r>
        <w:tab/>
        <w:t>Form of an affidavit</w:t>
      </w:r>
      <w:bookmarkEnd w:id="339"/>
      <w:bookmarkEnd w:id="340"/>
    </w:p>
    <w:p>
      <w:pPr>
        <w:pStyle w:val="Subsection"/>
      </w:pPr>
      <w:r>
        <w:tab/>
      </w:r>
      <w:r>
        <w:tab/>
        <w:t>An affidavit lodged by you must be in the approved form.</w:t>
      </w:r>
    </w:p>
    <w:p>
      <w:pPr>
        <w:pStyle w:val="Heading5"/>
      </w:pPr>
      <w:bookmarkStart w:id="341" w:name="_Toc103094418"/>
      <w:bookmarkStart w:id="342" w:name="_Toc65052614"/>
      <w:r>
        <w:rPr>
          <w:rStyle w:val="CharSectno"/>
        </w:rPr>
        <w:t>68</w:t>
      </w:r>
      <w:r>
        <w:t>.</w:t>
      </w:r>
      <w:r>
        <w:tab/>
        <w:t>Content of an affidavit</w:t>
      </w:r>
      <w:bookmarkEnd w:id="341"/>
      <w:bookmarkEnd w:id="342"/>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r>
        <w:tab/>
        <w:t>[Rule 68 amended: Gazette 3 Jun 2008 p. 2148.]</w:t>
      </w:r>
    </w:p>
    <w:p>
      <w:pPr>
        <w:pStyle w:val="Heading2"/>
      </w:pPr>
      <w:bookmarkStart w:id="343" w:name="_Toc102992309"/>
      <w:bookmarkStart w:id="344" w:name="_Toc102993159"/>
      <w:bookmarkStart w:id="345" w:name="_Toc103094419"/>
      <w:bookmarkStart w:id="346" w:name="_Toc64977223"/>
      <w:bookmarkStart w:id="347" w:name="_Toc64981393"/>
      <w:bookmarkStart w:id="348" w:name="_Toc65052615"/>
      <w:r>
        <w:rPr>
          <w:rStyle w:val="CharPartNo"/>
        </w:rPr>
        <w:t>Part 14</w:t>
      </w:r>
      <w:r>
        <w:t> — </w:t>
      </w:r>
      <w:r>
        <w:rPr>
          <w:rStyle w:val="CharPartText"/>
        </w:rPr>
        <w:t>If you need a litigation guardian</w:t>
      </w:r>
      <w:bookmarkEnd w:id="343"/>
      <w:bookmarkEnd w:id="344"/>
      <w:bookmarkEnd w:id="345"/>
      <w:bookmarkEnd w:id="346"/>
      <w:bookmarkEnd w:id="347"/>
      <w:bookmarkEnd w:id="348"/>
    </w:p>
    <w:p>
      <w:pPr>
        <w:pStyle w:val="Heading5"/>
      </w:pPr>
      <w:bookmarkStart w:id="349" w:name="_Toc103094420"/>
      <w:bookmarkStart w:id="350" w:name="_Toc65052616"/>
      <w:r>
        <w:rPr>
          <w:rStyle w:val="CharSectno"/>
        </w:rPr>
        <w:t>69</w:t>
      </w:r>
      <w:r>
        <w:t>.</w:t>
      </w:r>
      <w:r>
        <w:tab/>
        <w:t>Terms used</w:t>
      </w:r>
      <w:bookmarkEnd w:id="349"/>
      <w:bookmarkEnd w:id="350"/>
      <w:r>
        <w:t xml:space="preserve"> </w:t>
      </w:r>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351" w:name="_Toc103094421"/>
      <w:bookmarkStart w:id="352" w:name="_Toc65052617"/>
      <w:r>
        <w:rPr>
          <w:rStyle w:val="CharSectno"/>
        </w:rPr>
        <w:t>70</w:t>
      </w:r>
      <w:r>
        <w:t>.</w:t>
      </w:r>
      <w:r>
        <w:tab/>
        <w:t>When this Part applies</w:t>
      </w:r>
      <w:bookmarkEnd w:id="351"/>
      <w:bookmarkEnd w:id="352"/>
    </w:p>
    <w:p>
      <w:pPr>
        <w:pStyle w:val="Subsection"/>
      </w:pPr>
      <w:r>
        <w:tab/>
      </w:r>
      <w:r>
        <w:tab/>
        <w:t>This Part applies if you are a person under a legal disability and you are, or intend to be, a party to a case.</w:t>
      </w:r>
    </w:p>
    <w:p>
      <w:pPr>
        <w:pStyle w:val="Heading5"/>
      </w:pPr>
      <w:bookmarkStart w:id="353" w:name="_Toc103094422"/>
      <w:bookmarkStart w:id="354" w:name="_Toc65052618"/>
      <w:r>
        <w:rPr>
          <w:rStyle w:val="CharSectno"/>
        </w:rPr>
        <w:t>71</w:t>
      </w:r>
      <w:r>
        <w:t>.</w:t>
      </w:r>
      <w:r>
        <w:tab/>
        <w:t>If you are a represented person</w:t>
      </w:r>
      <w:bookmarkEnd w:id="353"/>
      <w:bookmarkEnd w:id="354"/>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355" w:name="_Toc103094423"/>
      <w:bookmarkStart w:id="356" w:name="_Toc65052619"/>
      <w:r>
        <w:rPr>
          <w:rStyle w:val="CharSectno"/>
        </w:rPr>
        <w:t>72</w:t>
      </w:r>
      <w:r>
        <w:t>.</w:t>
      </w:r>
      <w:r>
        <w:tab/>
        <w:t>Affidavit your litigation guardian must lodge and serve if you are a represented person</w:t>
      </w:r>
      <w:bookmarkEnd w:id="355"/>
      <w:bookmarkEnd w:id="356"/>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 and</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357" w:name="_Toc103094424"/>
      <w:bookmarkStart w:id="358" w:name="_Toc65052620"/>
      <w:r>
        <w:rPr>
          <w:rStyle w:val="CharSectno"/>
        </w:rPr>
        <w:t>73</w:t>
      </w:r>
      <w:r>
        <w:t>.</w:t>
      </w:r>
      <w:r>
        <w:tab/>
        <w:t>If you are a child</w:t>
      </w:r>
      <w:bookmarkEnd w:id="357"/>
      <w:bookmarkEnd w:id="358"/>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359" w:name="_Toc103094425"/>
      <w:bookmarkStart w:id="360" w:name="_Toc65052621"/>
      <w:r>
        <w:rPr>
          <w:rStyle w:val="CharSectno"/>
        </w:rPr>
        <w:t>74</w:t>
      </w:r>
      <w:r>
        <w:t>.</w:t>
      </w:r>
      <w:r>
        <w:tab/>
        <w:t>Affidavits your litigation guardian must lodge and serve if you are a child</w:t>
      </w:r>
      <w:bookmarkEnd w:id="359"/>
      <w:bookmarkEnd w:id="360"/>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 and</w:t>
      </w:r>
    </w:p>
    <w:p>
      <w:pPr>
        <w:pStyle w:val="Indenta"/>
      </w:pPr>
      <w:r>
        <w:tab/>
        <w:t>(b)</w:t>
      </w:r>
      <w:r>
        <w:tab/>
        <w:t>state the nature of your litigation guardian’s relationship with you; and</w:t>
      </w:r>
    </w:p>
    <w:p>
      <w:pPr>
        <w:pStyle w:val="Indenta"/>
      </w:pPr>
      <w:r>
        <w:tab/>
        <w:t>(c)</w:t>
      </w:r>
      <w:r>
        <w:tab/>
        <w:t>verify that your litigation guardian consents to acting in that capacity for you; and</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361" w:name="_Toc103094426"/>
      <w:bookmarkStart w:id="362" w:name="_Toc65052622"/>
      <w:r>
        <w:rPr>
          <w:rStyle w:val="CharSectno"/>
        </w:rPr>
        <w:t>75</w:t>
      </w:r>
      <w:r>
        <w:t>.</w:t>
      </w:r>
      <w:r>
        <w:tab/>
        <w:t>Person may apply to be appointed your litigation guardian</w:t>
      </w:r>
      <w:bookmarkEnd w:id="361"/>
      <w:bookmarkEnd w:id="362"/>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363" w:name="_Toc102992317"/>
      <w:bookmarkStart w:id="364" w:name="_Toc102993167"/>
      <w:bookmarkStart w:id="365" w:name="_Toc103094427"/>
      <w:bookmarkStart w:id="366" w:name="_Toc64977231"/>
      <w:bookmarkStart w:id="367" w:name="_Toc64981401"/>
      <w:bookmarkStart w:id="368" w:name="_Toc65052623"/>
      <w:r>
        <w:rPr>
          <w:rStyle w:val="CharPartNo"/>
        </w:rPr>
        <w:t>Part 15</w:t>
      </w:r>
      <w:r>
        <w:rPr>
          <w:rStyle w:val="CharDivNo"/>
        </w:rPr>
        <w:t> </w:t>
      </w:r>
      <w:r>
        <w:t>—</w:t>
      </w:r>
      <w:r>
        <w:rPr>
          <w:rStyle w:val="CharDivText"/>
        </w:rPr>
        <w:t> </w:t>
      </w:r>
      <w:r>
        <w:rPr>
          <w:rStyle w:val="CharPartText"/>
        </w:rPr>
        <w:t>Miscellaneous</w:t>
      </w:r>
      <w:bookmarkEnd w:id="363"/>
      <w:bookmarkEnd w:id="364"/>
      <w:bookmarkEnd w:id="365"/>
      <w:bookmarkEnd w:id="366"/>
      <w:bookmarkEnd w:id="367"/>
      <w:bookmarkEnd w:id="368"/>
    </w:p>
    <w:p>
      <w:pPr>
        <w:pStyle w:val="Heading5"/>
      </w:pPr>
      <w:bookmarkStart w:id="369" w:name="_Toc103094428"/>
      <w:bookmarkStart w:id="370" w:name="_Toc65052624"/>
      <w:r>
        <w:rPr>
          <w:rStyle w:val="CharSectno"/>
        </w:rPr>
        <w:t>76A</w:t>
      </w:r>
      <w:r>
        <w:t>.</w:t>
      </w:r>
      <w:r>
        <w:tab/>
        <w:t xml:space="preserve">If you are making an application under the </w:t>
      </w:r>
      <w:r>
        <w:rPr>
          <w:i/>
          <w:iCs/>
        </w:rPr>
        <w:t>Residential Tenancies Act 1987</w:t>
      </w:r>
      <w:bookmarkEnd w:id="369"/>
      <w:bookmarkEnd w:id="370"/>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Gazette 3 Jun 2008 p. 2148.]</w:t>
      </w:r>
    </w:p>
    <w:p>
      <w:pPr>
        <w:pStyle w:val="Heading5"/>
      </w:pPr>
      <w:bookmarkStart w:id="371" w:name="_Toc103094429"/>
      <w:bookmarkStart w:id="372" w:name="_Toc65052625"/>
      <w:r>
        <w:rPr>
          <w:rStyle w:val="CharSectno"/>
        </w:rPr>
        <w:t>76B</w:t>
      </w:r>
      <w:r>
        <w:t>.</w:t>
      </w:r>
      <w:r>
        <w:tab/>
        <w:t>If you want to change venues</w:t>
      </w:r>
      <w:bookmarkEnd w:id="371"/>
      <w:bookmarkEnd w:id="372"/>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Gazette 3 Jun 2008 p. 2148.]</w:t>
      </w:r>
    </w:p>
    <w:p>
      <w:pPr>
        <w:pStyle w:val="Heading5"/>
      </w:pPr>
      <w:bookmarkStart w:id="373" w:name="_Toc103094430"/>
      <w:bookmarkStart w:id="374" w:name="_Toc65052626"/>
      <w:r>
        <w:rPr>
          <w:rStyle w:val="CharSectno"/>
        </w:rPr>
        <w:t>76C</w:t>
      </w:r>
      <w:r>
        <w:t>.</w:t>
      </w:r>
      <w:r>
        <w:tab/>
        <w:t>If you want to correct typographical and other errors</w:t>
      </w:r>
      <w:bookmarkEnd w:id="373"/>
      <w:bookmarkEnd w:id="374"/>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Gazette 3 Jun 2008 p. 2148.]</w:t>
      </w:r>
    </w:p>
    <w:p>
      <w:pPr>
        <w:pStyle w:val="Heading5"/>
      </w:pPr>
      <w:bookmarkStart w:id="375" w:name="_Toc103094431"/>
      <w:bookmarkStart w:id="376" w:name="_Toc65052627"/>
      <w:r>
        <w:rPr>
          <w:rStyle w:val="CharSectno"/>
        </w:rPr>
        <w:t>76</w:t>
      </w:r>
      <w:r>
        <w:t>.</w:t>
      </w:r>
      <w:r>
        <w:tab/>
        <w:t>You may discontinue claim</w:t>
      </w:r>
      <w:bookmarkEnd w:id="375"/>
      <w:bookmarkEnd w:id="376"/>
    </w:p>
    <w:p>
      <w:pPr>
        <w:pStyle w:val="Subsection"/>
      </w:pPr>
      <w:r>
        <w:tab/>
        <w:t>(1)</w:t>
      </w:r>
      <w:r>
        <w:tab/>
        <w:t>If you want to discontinue the whole or part of a claim that you have made, you must lodge a notice of discontinuance in the approved form.</w:t>
      </w:r>
    </w:p>
    <w:p>
      <w:pPr>
        <w:pStyle w:val="Subsection"/>
      </w:pPr>
      <w:r>
        <w:tab/>
        <w:t>(2)</w:t>
      </w:r>
      <w:r>
        <w:tab/>
        <w:t>You must serve a copy of the notice of discontinuance on the other parties.</w:t>
      </w:r>
    </w:p>
    <w:p>
      <w:pPr>
        <w:pStyle w:val="Footnotesection"/>
      </w:pPr>
      <w:r>
        <w:tab/>
        <w:t>[Rule 76 amended: Gazette 21 Jul 2017 p. 4027.]</w:t>
      </w:r>
    </w:p>
    <w:p>
      <w:pPr>
        <w:pStyle w:val="Heading5"/>
      </w:pPr>
      <w:bookmarkStart w:id="377" w:name="_Toc103094432"/>
      <w:bookmarkStart w:id="378" w:name="_Toc65052628"/>
      <w:r>
        <w:rPr>
          <w:rStyle w:val="CharSectno"/>
        </w:rPr>
        <w:t>77</w:t>
      </w:r>
      <w:r>
        <w:t>.</w:t>
      </w:r>
      <w:r>
        <w:tab/>
        <w:t>Availability of forms</w:t>
      </w:r>
      <w:bookmarkEnd w:id="377"/>
      <w:bookmarkEnd w:id="378"/>
    </w:p>
    <w:p>
      <w:pPr>
        <w:pStyle w:val="Subsection"/>
      </w:pPr>
      <w:r>
        <w:tab/>
      </w:r>
      <w:r>
        <w:tab/>
        <w:t xml:space="preserve">The Court will make forms approved by the Chief Magistrate available — </w:t>
      </w:r>
    </w:p>
    <w:p>
      <w:pPr>
        <w:pStyle w:val="Indenta"/>
      </w:pPr>
      <w:r>
        <w:tab/>
        <w:t>(a)</w:t>
      </w:r>
      <w:r>
        <w:tab/>
        <w:t>at each Court registry; and</w:t>
      </w:r>
    </w:p>
    <w:p>
      <w:pPr>
        <w:pStyle w:val="Indenta"/>
      </w:pPr>
      <w:r>
        <w:tab/>
        <w:t>(b)</w:t>
      </w:r>
      <w:r>
        <w:tab/>
        <w:t>on request, by post; and</w:t>
      </w:r>
    </w:p>
    <w:p>
      <w:pPr>
        <w:pStyle w:val="Indenta"/>
      </w:pPr>
      <w:r>
        <w:tab/>
        <w:t>(c)</w:t>
      </w:r>
      <w:r>
        <w:tab/>
        <w:t xml:space="preserve">on the website maintained by the Principal Registrar under the </w:t>
      </w:r>
      <w:r>
        <w:rPr>
          <w:i/>
          <w:iCs/>
        </w:rPr>
        <w:t>Magistrates Court (General) Rules 2005</w:t>
      </w:r>
      <w:r>
        <w:t>.</w:t>
      </w:r>
    </w:p>
    <w:p>
      <w:pPr>
        <w:pStyle w:val="Heading5"/>
      </w:pPr>
      <w:bookmarkStart w:id="379" w:name="_Toc103094433"/>
      <w:bookmarkStart w:id="380" w:name="_Toc65052629"/>
      <w:r>
        <w:rPr>
          <w:rStyle w:val="CharSectno"/>
        </w:rPr>
        <w:t>78</w:t>
      </w:r>
      <w:r>
        <w:t>.</w:t>
      </w:r>
      <w:r>
        <w:tab/>
        <w:t>Partnership name may be used</w:t>
      </w:r>
      <w:bookmarkEnd w:id="379"/>
      <w:bookmarkEnd w:id="380"/>
    </w:p>
    <w:p>
      <w:pPr>
        <w:pStyle w:val="Subsection"/>
      </w:pPr>
      <w:r>
        <w:tab/>
        <w:t>(1)</w:t>
      </w:r>
      <w:r>
        <w:tab/>
        <w:t>If you are a partnership you may conduct your case in your partnership name, if any.</w:t>
      </w:r>
    </w:p>
    <w:p>
      <w:pPr>
        <w:pStyle w:val="Subsection"/>
      </w:pPr>
      <w:r>
        <w:tab/>
        <w:t>(2)</w:t>
      </w:r>
      <w:r>
        <w:tab/>
        <w:t>You may make a claim, and conduct a case, against a partnership in the partnership’s name, if any.</w:t>
      </w:r>
    </w:p>
    <w:p>
      <w:pPr>
        <w:pStyle w:val="Footnotesection"/>
      </w:pPr>
      <w:r>
        <w:tab/>
        <w:t>[Rule 78 amended: Gazette 3 Jun 2008 p. 2149.]</w:t>
      </w:r>
    </w:p>
    <w:p>
      <w:pPr>
        <w:pStyle w:val="Heading5"/>
      </w:pPr>
      <w:bookmarkStart w:id="381" w:name="_Toc103094434"/>
      <w:bookmarkStart w:id="382" w:name="_Toc65052630"/>
      <w:r>
        <w:rPr>
          <w:rStyle w:val="CharSectno"/>
        </w:rPr>
        <w:t>79</w:t>
      </w:r>
      <w:r>
        <w:t>.</w:t>
      </w:r>
      <w:r>
        <w:tab/>
        <w:t>When you are required to do things personally and you are not an individual</w:t>
      </w:r>
      <w:bookmarkEnd w:id="381"/>
      <w:bookmarkEnd w:id="382"/>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Gazette 24 Aug 2007 p. 4334.]</w:t>
      </w:r>
    </w:p>
    <w:p>
      <w:pPr>
        <w:pStyle w:val="Heading5"/>
      </w:pPr>
      <w:bookmarkStart w:id="383" w:name="_Toc103094435"/>
      <w:bookmarkStart w:id="384" w:name="_Toc65052631"/>
      <w:r>
        <w:rPr>
          <w:rStyle w:val="CharSectno"/>
        </w:rPr>
        <w:t>80</w:t>
      </w:r>
      <w:r>
        <w:t>.</w:t>
      </w:r>
      <w:r>
        <w:tab/>
        <w:t>Payments into Court</w:t>
      </w:r>
      <w:bookmarkEnd w:id="383"/>
      <w:bookmarkEnd w:id="384"/>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385" w:name="_Toc103094436"/>
      <w:bookmarkStart w:id="386" w:name="_Toc65052632"/>
      <w:r>
        <w:rPr>
          <w:rStyle w:val="CharSectno"/>
        </w:rPr>
        <w:t>81</w:t>
      </w:r>
      <w:r>
        <w:t>.</w:t>
      </w:r>
      <w:r>
        <w:tab/>
        <w:t xml:space="preserve">Registrar’s powers under the </w:t>
      </w:r>
      <w:r>
        <w:rPr>
          <w:rStyle w:val="CharPartText"/>
          <w:i/>
          <w:iCs/>
        </w:rPr>
        <w:t>Civil Judgments Enforcement Act 2004</w:t>
      </w:r>
      <w:bookmarkEnd w:id="385"/>
      <w:bookmarkEnd w:id="386"/>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 or</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p>
      <w:pPr>
        <w:pStyle w:val="Heading2"/>
      </w:pPr>
      <w:bookmarkStart w:id="387" w:name="_Toc102992327"/>
      <w:bookmarkStart w:id="388" w:name="_Toc102993177"/>
      <w:bookmarkStart w:id="389" w:name="_Toc103094437"/>
      <w:bookmarkStart w:id="390" w:name="_Toc64977241"/>
      <w:bookmarkStart w:id="391" w:name="_Toc64981411"/>
      <w:bookmarkStart w:id="392" w:name="_Toc65052633"/>
      <w:r>
        <w:rPr>
          <w:rStyle w:val="CharPartNo"/>
        </w:rPr>
        <w:t>Part 16</w:t>
      </w:r>
      <w:r>
        <w:rPr>
          <w:rStyle w:val="CharDivNo"/>
        </w:rPr>
        <w:t> </w:t>
      </w:r>
      <w:r>
        <w:t>—</w:t>
      </w:r>
      <w:r>
        <w:rPr>
          <w:rStyle w:val="CharDivText"/>
        </w:rPr>
        <w:t> </w:t>
      </w:r>
      <w:r>
        <w:rPr>
          <w:rStyle w:val="CharPartText"/>
        </w:rPr>
        <w:t xml:space="preserve">Transitional rules for the </w:t>
      </w:r>
      <w:r>
        <w:rPr>
          <w:rStyle w:val="CharPartText"/>
          <w:i/>
        </w:rPr>
        <w:t>Magistrates Court Rules Amendment Rules 2020</w:t>
      </w:r>
      <w:bookmarkEnd w:id="387"/>
      <w:bookmarkEnd w:id="388"/>
      <w:bookmarkEnd w:id="389"/>
      <w:bookmarkEnd w:id="390"/>
      <w:bookmarkEnd w:id="391"/>
      <w:bookmarkEnd w:id="392"/>
    </w:p>
    <w:p>
      <w:pPr>
        <w:pStyle w:val="Footnoteheading"/>
      </w:pPr>
      <w:r>
        <w:tab/>
        <w:t>[Heading inserted: SL 2020/67 r. 66.]</w:t>
      </w:r>
    </w:p>
    <w:p>
      <w:pPr>
        <w:pStyle w:val="Heading5"/>
      </w:pPr>
      <w:bookmarkStart w:id="393" w:name="_Toc103094438"/>
      <w:bookmarkStart w:id="394" w:name="_Toc65052634"/>
      <w:r>
        <w:rPr>
          <w:rStyle w:val="CharSectno"/>
        </w:rPr>
        <w:t>82</w:t>
      </w:r>
      <w:r>
        <w:t>.</w:t>
      </w:r>
      <w:r>
        <w:tab/>
        <w:t>Terms used in this Part</w:t>
      </w:r>
      <w:bookmarkEnd w:id="393"/>
      <w:bookmarkEnd w:id="394"/>
    </w:p>
    <w:p>
      <w:pPr>
        <w:pStyle w:val="Subsection"/>
      </w:pPr>
      <w:r>
        <w:tab/>
      </w:r>
      <w:r>
        <w:tab/>
        <w:t xml:space="preserve">In this Part — </w:t>
      </w:r>
    </w:p>
    <w:p>
      <w:pPr>
        <w:pStyle w:val="Defstart"/>
      </w:pPr>
      <w:r>
        <w:tab/>
      </w:r>
      <w:r>
        <w:rPr>
          <w:rStyle w:val="CharDefText"/>
        </w:rPr>
        <w:t>amended Rules</w:t>
      </w:r>
      <w:r>
        <w:t xml:space="preserve"> means the </w:t>
      </w:r>
      <w:r>
        <w:rPr>
          <w:i/>
        </w:rPr>
        <w:t>Magistrates Court (Minor Cases Procedure) Rules 2005</w:t>
      </w:r>
      <w:r>
        <w:t xml:space="preserve"> as in force from time to time on and after commencement day;</w:t>
      </w:r>
    </w:p>
    <w:p>
      <w:pPr>
        <w:pStyle w:val="Defstart"/>
      </w:pPr>
      <w:r>
        <w:tab/>
      </w:r>
      <w:r>
        <w:rPr>
          <w:rStyle w:val="CharDefText"/>
        </w:rPr>
        <w:t>commencement day</w:t>
      </w:r>
      <w:r>
        <w:t xml:space="preserve"> means 1 June 2020;</w:t>
      </w:r>
    </w:p>
    <w:p>
      <w:pPr>
        <w:pStyle w:val="Defstart"/>
      </w:pPr>
      <w:r>
        <w:tab/>
      </w:r>
      <w:r>
        <w:rPr>
          <w:rStyle w:val="CharDefText"/>
        </w:rPr>
        <w:t>former Rules</w:t>
      </w:r>
      <w:r>
        <w:t xml:space="preserve"> means the </w:t>
      </w:r>
      <w:r>
        <w:rPr>
          <w:i/>
        </w:rPr>
        <w:t>Magistrates Court (Minor Cases Procedure) Rules 2005</w:t>
      </w:r>
      <w:r>
        <w:t xml:space="preserve"> as in force before commencement day;</w:t>
      </w:r>
    </w:p>
    <w:p>
      <w:pPr>
        <w:pStyle w:val="Defstart"/>
      </w:pPr>
      <w:r>
        <w:tab/>
      </w:r>
      <w:r>
        <w:rPr>
          <w:rStyle w:val="CharDefText"/>
        </w:rPr>
        <w:t>transitional case</w:t>
      </w:r>
      <w:r>
        <w:t xml:space="preserve"> means a case that, as of commencement day, has been commenced but not concluded.</w:t>
      </w:r>
    </w:p>
    <w:p>
      <w:pPr>
        <w:pStyle w:val="Footnotesection"/>
      </w:pPr>
      <w:r>
        <w:tab/>
        <w:t>[Rule 82 inserted: SL 2020/67 r. 66.]</w:t>
      </w:r>
    </w:p>
    <w:p>
      <w:pPr>
        <w:pStyle w:val="Heading5"/>
      </w:pPr>
      <w:bookmarkStart w:id="395" w:name="_Toc103094439"/>
      <w:bookmarkStart w:id="396" w:name="_Toc65052635"/>
      <w:r>
        <w:rPr>
          <w:rStyle w:val="CharSectno"/>
        </w:rPr>
        <w:t>83</w:t>
      </w:r>
      <w:r>
        <w:t>.</w:t>
      </w:r>
      <w:r>
        <w:tab/>
        <w:t>Application of amended Rules in relation to transitional cases</w:t>
      </w:r>
      <w:bookmarkEnd w:id="395"/>
      <w:bookmarkEnd w:id="396"/>
    </w:p>
    <w:p>
      <w:pPr>
        <w:pStyle w:val="Subsection"/>
      </w:pPr>
      <w:r>
        <w:tab/>
        <w:t>(1)</w:t>
      </w:r>
      <w:r>
        <w:tab/>
        <w:t>Subject to rule 84, on and from commencement day the amended Rules apply in relation to a transitional case.</w:t>
      </w:r>
    </w:p>
    <w:p>
      <w:pPr>
        <w:pStyle w:val="Subsection"/>
      </w:pPr>
      <w:r>
        <w:tab/>
        <w:t>(2)</w:t>
      </w:r>
      <w:r>
        <w:tab/>
        <w:t xml:space="preserve">If the amended Rules apply in relation to a transitional case, then, unless otherwise directed under rule 86 — </w:t>
      </w:r>
    </w:p>
    <w:p>
      <w:pPr>
        <w:pStyle w:val="Indenta"/>
      </w:pPr>
      <w:r>
        <w:tab/>
        <w:t>(a)</w:t>
      </w:r>
      <w:r>
        <w:tab/>
        <w:t>everything lodged or served in relation to the case under a provision of the former Rules is taken to have been lodged or served under the corresponding provision of the amended Rules; and</w:t>
      </w:r>
    </w:p>
    <w:p>
      <w:pPr>
        <w:pStyle w:val="Indenta"/>
      </w:pPr>
      <w:r>
        <w:tab/>
        <w:t>(b)</w:t>
      </w:r>
      <w:r>
        <w:tab/>
        <w:t>every order made, direction given or other thing done in relation to the case by the Court or by a registrar under a provision of the former Rules is taken to have been made, given or done under the corresponding provision of the amended Rules.</w:t>
      </w:r>
    </w:p>
    <w:p>
      <w:pPr>
        <w:pStyle w:val="Footnotesection"/>
      </w:pPr>
      <w:r>
        <w:tab/>
        <w:t>[Rule 83 inserted: SL 2020/67 r. 66.]</w:t>
      </w:r>
    </w:p>
    <w:p>
      <w:pPr>
        <w:pStyle w:val="Heading5"/>
      </w:pPr>
      <w:bookmarkStart w:id="397" w:name="_Toc103094440"/>
      <w:bookmarkStart w:id="398" w:name="_Toc65052636"/>
      <w:r>
        <w:rPr>
          <w:rStyle w:val="CharSectno"/>
        </w:rPr>
        <w:t>84</w:t>
      </w:r>
      <w:r>
        <w:t>.</w:t>
      </w:r>
      <w:r>
        <w:tab/>
        <w:t>Application of former Rules in relation to certain transitional cases</w:t>
      </w:r>
      <w:bookmarkEnd w:id="397"/>
      <w:bookmarkEnd w:id="398"/>
    </w:p>
    <w:p>
      <w:pPr>
        <w:pStyle w:val="Subsection"/>
      </w:pPr>
      <w:r>
        <w:tab/>
        <w:t>(1)</w:t>
      </w:r>
      <w:r>
        <w:tab/>
        <w:t xml:space="preserve">This rule applies to a transitional case if — </w:t>
      </w:r>
    </w:p>
    <w:p>
      <w:pPr>
        <w:pStyle w:val="Indenta"/>
      </w:pPr>
      <w:r>
        <w:tab/>
        <w:t>(a)</w:t>
      </w:r>
      <w:r>
        <w:tab/>
        <w:t xml:space="preserve">under the former Rules Parts 2 and 3, a party to the case is required to lodge and serve any of the following documents on a day falling on or after commencement day — </w:t>
      </w:r>
    </w:p>
    <w:p>
      <w:pPr>
        <w:pStyle w:val="Indenti"/>
      </w:pPr>
      <w:r>
        <w:tab/>
        <w:t>(i)</w:t>
      </w:r>
      <w:r>
        <w:tab/>
        <w:t>a statement of claim;</w:t>
      </w:r>
    </w:p>
    <w:p>
      <w:pPr>
        <w:pStyle w:val="Indenti"/>
      </w:pPr>
      <w:r>
        <w:tab/>
        <w:t>(ii)</w:t>
      </w:r>
      <w:r>
        <w:tab/>
        <w:t>a counterclaim;</w:t>
      </w:r>
    </w:p>
    <w:p>
      <w:pPr>
        <w:pStyle w:val="Indenti"/>
      </w:pPr>
      <w:r>
        <w:tab/>
        <w:t>(iii)</w:t>
      </w:r>
      <w:r>
        <w:tab/>
        <w:t>a third party claim;</w:t>
      </w:r>
    </w:p>
    <w:p>
      <w:pPr>
        <w:pStyle w:val="Indenti"/>
      </w:pPr>
      <w:r>
        <w:tab/>
        <w:t>(iv)</w:t>
      </w:r>
      <w:r>
        <w:tab/>
        <w:t>a response to a claim;</w:t>
      </w:r>
    </w:p>
    <w:p>
      <w:pPr>
        <w:pStyle w:val="Indenti"/>
      </w:pPr>
      <w:r>
        <w:tab/>
        <w:t>(v)</w:t>
      </w:r>
      <w:r>
        <w:tab/>
        <w:t>a statement of defence;</w:t>
      </w:r>
    </w:p>
    <w:p>
      <w:pPr>
        <w:pStyle w:val="Indenta"/>
      </w:pPr>
      <w:r>
        <w:tab/>
      </w:r>
      <w:r>
        <w:tab/>
        <w:t>or</w:t>
      </w:r>
    </w:p>
    <w:p>
      <w:pPr>
        <w:pStyle w:val="Indenta"/>
      </w:pPr>
      <w:r>
        <w:tab/>
        <w:t>(b)</w:t>
      </w:r>
      <w:r>
        <w:tab/>
        <w:t>a pre</w:t>
      </w:r>
      <w:r>
        <w:noBreakHyphen/>
        <w:t>trial conference, listing conference or trial for which the case was listed before commencement day is held on or after commencement day.</w:t>
      </w:r>
    </w:p>
    <w:p>
      <w:pPr>
        <w:pStyle w:val="Subsection"/>
      </w:pPr>
      <w:r>
        <w:tab/>
        <w:t>(2)</w:t>
      </w:r>
      <w:r>
        <w:tab/>
        <w:t xml:space="preserve">On and from commencement day, the former Rules continue to apply in relation to a transitional case to which this rule applies until — </w:t>
      </w:r>
    </w:p>
    <w:p>
      <w:pPr>
        <w:pStyle w:val="Indenta"/>
      </w:pPr>
      <w:r>
        <w:tab/>
        <w:t>(a)</w:t>
      </w:r>
      <w:r>
        <w:tab/>
        <w:t>the Court or a registrar directs otherwise under rule 86; or</w:t>
      </w:r>
    </w:p>
    <w:p>
      <w:pPr>
        <w:pStyle w:val="Indenta"/>
      </w:pPr>
      <w:r>
        <w:tab/>
        <w:t>(b)</w:t>
      </w:r>
      <w:r>
        <w:tab/>
        <w:t>the case is concluded.</w:t>
      </w:r>
    </w:p>
    <w:p>
      <w:pPr>
        <w:pStyle w:val="Footnotesection"/>
      </w:pPr>
      <w:r>
        <w:tab/>
        <w:t>[Rule 84 inserted: SL 2020/67 r. 66.]</w:t>
      </w:r>
    </w:p>
    <w:p>
      <w:pPr>
        <w:pStyle w:val="Heading5"/>
      </w:pPr>
      <w:bookmarkStart w:id="399" w:name="_Toc103094441"/>
      <w:bookmarkStart w:id="400" w:name="_Toc65052637"/>
      <w:r>
        <w:rPr>
          <w:rStyle w:val="CharSectno"/>
        </w:rPr>
        <w:t>85</w:t>
      </w:r>
      <w:r>
        <w:t>.</w:t>
      </w:r>
      <w:r>
        <w:tab/>
        <w:t>Listing transitional cases for a status conference</w:t>
      </w:r>
      <w:bookmarkEnd w:id="399"/>
      <w:bookmarkEnd w:id="400"/>
    </w:p>
    <w:p>
      <w:pPr>
        <w:pStyle w:val="Subsection"/>
      </w:pPr>
      <w:r>
        <w:tab/>
        <w:t>(1)</w:t>
      </w:r>
      <w:r>
        <w:tab/>
        <w:t>The Court may, of its own motion, list a transitional case for a status conference.</w:t>
      </w:r>
    </w:p>
    <w:p>
      <w:pPr>
        <w:pStyle w:val="Subsection"/>
      </w:pPr>
      <w:r>
        <w:tab/>
        <w:t>(2)</w:t>
      </w:r>
      <w:r>
        <w:tab/>
        <w:t>The Court must list a transitional case for a status conference if a party to a transitional case applies to the Court in the approved form to have the case listed.</w:t>
      </w:r>
    </w:p>
    <w:p>
      <w:pPr>
        <w:pStyle w:val="Subsection"/>
      </w:pPr>
      <w:r>
        <w:tab/>
        <w:t>(3)</w:t>
      </w:r>
      <w:r>
        <w:tab/>
        <w:t>The court must give the parties to the case 7 days written notice of a status conference for which the case is listed under this rule.</w:t>
      </w:r>
    </w:p>
    <w:p>
      <w:pPr>
        <w:pStyle w:val="Subsection"/>
      </w:pPr>
      <w:r>
        <w:tab/>
        <w:t>(4)</w:t>
      </w:r>
      <w:r>
        <w:tab/>
        <w:t>The Court must conduct a status conference for which a case is listed under this rule in open court.</w:t>
      </w:r>
    </w:p>
    <w:p>
      <w:pPr>
        <w:pStyle w:val="Footnotesection"/>
      </w:pPr>
      <w:r>
        <w:tab/>
        <w:t>[Rule 85 inserted: SL 2020/67 r. 66.]</w:t>
      </w:r>
    </w:p>
    <w:p>
      <w:pPr>
        <w:pStyle w:val="Heading5"/>
      </w:pPr>
      <w:bookmarkStart w:id="401" w:name="_Toc103094442"/>
      <w:bookmarkStart w:id="402" w:name="_Toc65052638"/>
      <w:r>
        <w:rPr>
          <w:rStyle w:val="CharSectno"/>
        </w:rPr>
        <w:t>86</w:t>
      </w:r>
      <w:r>
        <w:t>.</w:t>
      </w:r>
      <w:r>
        <w:tab/>
        <w:t>Court or registrar may give directions in relation to transitional issues</w:t>
      </w:r>
      <w:bookmarkEnd w:id="401"/>
      <w:bookmarkEnd w:id="402"/>
    </w:p>
    <w:p>
      <w:pPr>
        <w:pStyle w:val="Subsection"/>
      </w:pPr>
      <w:r>
        <w:tab/>
      </w:r>
      <w:r>
        <w:tab/>
        <w:t>At a status conference, pre</w:t>
      </w:r>
      <w:r>
        <w:noBreakHyphen/>
        <w:t xml:space="preserve">trial conference, listing conference or trial held in relation to a transitional case, the Court or a registrar may make any or all of the following directions — </w:t>
      </w:r>
    </w:p>
    <w:p>
      <w:pPr>
        <w:pStyle w:val="Indenta"/>
      </w:pPr>
      <w:r>
        <w:tab/>
        <w:t>(a)</w:t>
      </w:r>
      <w:r>
        <w:tab/>
        <w:t>if the amended Rules do not apply in relation to the case, a direction that they are to apply in relation to the case on and from a specified date;</w:t>
      </w:r>
    </w:p>
    <w:p>
      <w:pPr>
        <w:pStyle w:val="Indenta"/>
      </w:pPr>
      <w:r>
        <w:tab/>
        <w:t>(b)</w:t>
      </w:r>
      <w:r>
        <w:tab/>
        <w:t>a direction modifying the application of the amended Rules in relation to the case;</w:t>
      </w:r>
    </w:p>
    <w:p>
      <w:pPr>
        <w:pStyle w:val="Indenta"/>
      </w:pPr>
      <w:r>
        <w:tab/>
        <w:t>(c)</w:t>
      </w:r>
      <w:r>
        <w:tab/>
        <w:t>any other direction necessary or convenient in connection with the application of the amended Rules in relation to the case.</w:t>
      </w:r>
    </w:p>
    <w:p>
      <w:pPr>
        <w:pStyle w:val="Footnotesection"/>
      </w:pPr>
      <w:r>
        <w:tab/>
        <w:t>[Rule 86 inserted: SL 2020/67 r. 66; amended: SL 2021/25 r. 30.]</w:t>
      </w:r>
    </w:p>
    <w:p>
      <w:pPr>
        <w:pStyle w:val="Heading2"/>
        <w:rPr>
          <w:ins w:id="403" w:author="Master Repository Process" w:date="2022-05-13T08:43:00Z"/>
        </w:rPr>
      </w:pPr>
      <w:bookmarkStart w:id="404" w:name="_Toc102050894"/>
      <w:bookmarkStart w:id="405" w:name="_Toc102052352"/>
      <w:bookmarkStart w:id="406" w:name="_Toc102988233"/>
      <w:bookmarkStart w:id="407" w:name="_Toc102993183"/>
      <w:bookmarkStart w:id="408" w:name="_Toc103094443"/>
      <w:ins w:id="409" w:author="Master Repository Process" w:date="2022-05-13T08:43:00Z">
        <w:r>
          <w:rPr>
            <w:rStyle w:val="CharPartNo"/>
          </w:rPr>
          <w:t>Part 17</w:t>
        </w:r>
        <w:r>
          <w:t> — </w:t>
        </w:r>
        <w:r>
          <w:rPr>
            <w:rStyle w:val="CharPartText"/>
          </w:rPr>
          <w:t>Transitional rules for the Magistrates Court Rules Amendment Rules 2022</w:t>
        </w:r>
        <w:bookmarkEnd w:id="404"/>
        <w:bookmarkEnd w:id="405"/>
        <w:bookmarkEnd w:id="406"/>
        <w:bookmarkEnd w:id="407"/>
        <w:bookmarkEnd w:id="408"/>
      </w:ins>
    </w:p>
    <w:p>
      <w:pPr>
        <w:pStyle w:val="Footnoteheading"/>
        <w:rPr>
          <w:ins w:id="410" w:author="Master Repository Process" w:date="2022-05-13T08:43:00Z"/>
        </w:rPr>
      </w:pPr>
      <w:bookmarkStart w:id="411" w:name="_Toc102052353"/>
      <w:bookmarkStart w:id="412" w:name="_Toc102988234"/>
      <w:ins w:id="413" w:author="Master Repository Process" w:date="2022-05-13T08:43:00Z">
        <w:r>
          <w:tab/>
          <w:t>[Heading inserted: SL 2022/54 r. 14.]</w:t>
        </w:r>
      </w:ins>
    </w:p>
    <w:p>
      <w:pPr>
        <w:pStyle w:val="Heading5"/>
        <w:rPr>
          <w:ins w:id="414" w:author="Master Repository Process" w:date="2022-05-13T08:43:00Z"/>
        </w:rPr>
      </w:pPr>
      <w:bookmarkStart w:id="415" w:name="_Toc103094444"/>
      <w:ins w:id="416" w:author="Master Repository Process" w:date="2022-05-13T08:43:00Z">
        <w:r>
          <w:rPr>
            <w:rStyle w:val="CharSectno"/>
          </w:rPr>
          <w:t>87</w:t>
        </w:r>
        <w:r>
          <w:t>.</w:t>
        </w:r>
        <w:r>
          <w:tab/>
          <w:t>Consumer/trader claims</w:t>
        </w:r>
        <w:bookmarkEnd w:id="411"/>
        <w:bookmarkEnd w:id="412"/>
        <w:bookmarkEnd w:id="415"/>
      </w:ins>
    </w:p>
    <w:p>
      <w:pPr>
        <w:pStyle w:val="Subsection"/>
        <w:rPr>
          <w:ins w:id="417" w:author="Master Repository Process" w:date="2022-05-13T08:43:00Z"/>
        </w:rPr>
      </w:pPr>
      <w:ins w:id="418" w:author="Master Repository Process" w:date="2022-05-13T08:43:00Z">
        <w:r>
          <w:tab/>
          <w:t>(1)</w:t>
        </w:r>
        <w:r>
          <w:tab/>
          <w:t>In this rule —</w:t>
        </w:r>
      </w:ins>
    </w:p>
    <w:p>
      <w:pPr>
        <w:pStyle w:val="Defstart"/>
        <w:rPr>
          <w:ins w:id="419" w:author="Master Repository Process" w:date="2022-05-13T08:43:00Z"/>
        </w:rPr>
      </w:pPr>
      <w:ins w:id="420" w:author="Master Repository Process" w:date="2022-05-13T08:43:00Z">
        <w:r>
          <w:tab/>
        </w:r>
        <w:r>
          <w:rPr>
            <w:rStyle w:val="CharDefText"/>
          </w:rPr>
          <w:t>commencement day</w:t>
        </w:r>
        <w:r>
          <w:t xml:space="preserve"> means the day on which the </w:t>
        </w:r>
        <w:r>
          <w:rPr>
            <w:i/>
          </w:rPr>
          <w:t>Magistrates Court Rules Amendment Rules 2022</w:t>
        </w:r>
        <w:r>
          <w:t xml:space="preserve"> Part 4 comes into operation.</w:t>
        </w:r>
      </w:ins>
    </w:p>
    <w:p>
      <w:pPr>
        <w:pStyle w:val="Subsection"/>
        <w:rPr>
          <w:ins w:id="421" w:author="Master Repository Process" w:date="2022-05-13T08:43:00Z"/>
        </w:rPr>
      </w:pPr>
      <w:ins w:id="422" w:author="Master Repository Process" w:date="2022-05-13T08:43:00Z">
        <w:r>
          <w:tab/>
          <w:t>(2)</w:t>
        </w:r>
        <w:r>
          <w:tab/>
          <w:t>On and from commencement day, Part 3 as in force immediately before commencement day continues to apply in relation to a case that —</w:t>
        </w:r>
      </w:ins>
    </w:p>
    <w:p>
      <w:pPr>
        <w:pStyle w:val="Indenta"/>
        <w:rPr>
          <w:ins w:id="423" w:author="Master Repository Process" w:date="2022-05-13T08:43:00Z"/>
        </w:rPr>
      </w:pPr>
      <w:ins w:id="424" w:author="Master Repository Process" w:date="2022-05-13T08:43:00Z">
        <w:r>
          <w:tab/>
          <w:t>(a)</w:t>
        </w:r>
        <w:r>
          <w:tab/>
          <w:t>was started by a consumer/trader claim before commencement day; and</w:t>
        </w:r>
      </w:ins>
    </w:p>
    <w:p>
      <w:pPr>
        <w:pStyle w:val="Indenta"/>
        <w:rPr>
          <w:ins w:id="425" w:author="Master Repository Process" w:date="2022-05-13T08:43:00Z"/>
        </w:rPr>
      </w:pPr>
      <w:ins w:id="426" w:author="Master Repository Process" w:date="2022-05-13T08:43:00Z">
        <w:r>
          <w:tab/>
          <w:t>(b)</w:t>
        </w:r>
        <w:r>
          <w:tab/>
          <w:t>as of commencement day, has not been concluded.</w:t>
        </w:r>
      </w:ins>
    </w:p>
    <w:p>
      <w:pPr>
        <w:pStyle w:val="Footnotesection"/>
        <w:rPr>
          <w:ins w:id="427" w:author="Master Repository Process" w:date="2022-05-13T08:43:00Z"/>
        </w:rPr>
      </w:pPr>
      <w:ins w:id="428" w:author="Master Repository Process" w:date="2022-05-13T08:43:00Z">
        <w:r>
          <w:tab/>
          <w:t>[Rule 87 inserted: SL 2022/54 r. 14.]</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29" w:name="_Toc102992333"/>
      <w:bookmarkStart w:id="430" w:name="_Toc102993185"/>
      <w:bookmarkStart w:id="431" w:name="_Toc103094445"/>
      <w:bookmarkStart w:id="432" w:name="_Toc64977247"/>
      <w:bookmarkStart w:id="433" w:name="_Toc64981417"/>
      <w:bookmarkStart w:id="434" w:name="_Toc65052639"/>
      <w:r>
        <w:t>Notes</w:t>
      </w:r>
      <w:bookmarkEnd w:id="429"/>
      <w:bookmarkEnd w:id="430"/>
      <w:bookmarkEnd w:id="431"/>
      <w:bookmarkEnd w:id="432"/>
      <w:bookmarkEnd w:id="433"/>
      <w:bookmarkEnd w:id="434"/>
    </w:p>
    <w:p>
      <w:pPr>
        <w:pStyle w:val="nStatement"/>
      </w:pPr>
      <w:r>
        <w:t xml:space="preserve">This is a compilation of the </w:t>
      </w:r>
      <w:r>
        <w:rPr>
          <w:i/>
          <w:noProof/>
        </w:rPr>
        <w:t>Magistrates Court (Minor Cases Procedure) Rules</w:t>
      </w:r>
      <w:del w:id="435" w:author="Master Repository Process" w:date="2022-05-13T08:43:00Z">
        <w:r>
          <w:rPr>
            <w:i/>
            <w:noProof/>
          </w:rPr>
          <w:delText xml:space="preserve"> </w:delText>
        </w:r>
      </w:del>
      <w:ins w:id="436" w:author="Master Repository Process" w:date="2022-05-13T08:43:00Z">
        <w:r>
          <w:rPr>
            <w:i/>
            <w:noProof/>
          </w:rPr>
          <w:t> </w:t>
        </w:r>
      </w:ins>
      <w:r>
        <w:rPr>
          <w:i/>
          <w:noProof/>
        </w:rPr>
        <w:t>2005</w:t>
      </w:r>
      <w:r>
        <w:t xml:space="preserve"> and includes amendments made by other written laws. For provisions that have come into operation, and for information about any reprints, see the compilation table.</w:t>
      </w:r>
    </w:p>
    <w:p>
      <w:pPr>
        <w:pStyle w:val="nHeading3"/>
      </w:pPr>
      <w:bookmarkStart w:id="437" w:name="_Toc103094446"/>
      <w:bookmarkStart w:id="438" w:name="_Toc65052640"/>
      <w:r>
        <w:t>Compilation table</w:t>
      </w:r>
      <w:bookmarkEnd w:id="437"/>
      <w:bookmarkEnd w:id="4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(Minor Cases Procedure) Rules 2005</w:t>
            </w:r>
          </w:p>
        </w:tc>
        <w:tc>
          <w:tcPr>
            <w:tcW w:w="1276" w:type="dxa"/>
            <w:tcBorders>
              <w:top w:val="single" w:sz="8" w:space="0" w:color="auto"/>
            </w:tcBorders>
          </w:tcPr>
          <w:p>
            <w:pPr>
              <w:pStyle w:val="nTable"/>
              <w:spacing w:after="40"/>
            </w:pPr>
            <w:r>
              <w:t>28 Apr 2005 p. 1711</w:t>
            </w:r>
            <w:r>
              <w:noBreakHyphen/>
              <w:t>48</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2005</w:t>
            </w:r>
          </w:p>
        </w:tc>
        <w:tc>
          <w:tcPr>
            <w:tcW w:w="1276" w:type="dxa"/>
          </w:tcPr>
          <w:p>
            <w:pPr>
              <w:pStyle w:val="nTable"/>
              <w:spacing w:after="40"/>
            </w:pPr>
            <w:r>
              <w:t>10 Jun 2005 p. 2565</w:t>
            </w:r>
            <w:r>
              <w:noBreakHyphen/>
              <w:t>6</w:t>
            </w:r>
          </w:p>
        </w:tc>
        <w:tc>
          <w:tcPr>
            <w:tcW w:w="2693" w:type="dxa"/>
          </w:tcPr>
          <w:p>
            <w:pPr>
              <w:pStyle w:val="nTable"/>
              <w:spacing w:after="40"/>
            </w:pPr>
            <w:r>
              <w:t>10 Jun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2007</w:t>
            </w:r>
          </w:p>
        </w:tc>
        <w:tc>
          <w:tcPr>
            <w:tcW w:w="1276" w:type="dxa"/>
          </w:tcPr>
          <w:p>
            <w:pPr>
              <w:pStyle w:val="nTable"/>
              <w:spacing w:after="40"/>
            </w:pPr>
            <w:r>
              <w:t>24 Aug 2007 p. 4333</w:t>
            </w:r>
            <w:r>
              <w:noBreakHyphen/>
              <w:t>4</w:t>
            </w:r>
          </w:p>
        </w:tc>
        <w:tc>
          <w:tcPr>
            <w:tcW w:w="2693" w:type="dxa"/>
          </w:tcPr>
          <w:p>
            <w:pPr>
              <w:pStyle w:val="nTable"/>
              <w:spacing w:after="40"/>
            </w:pPr>
            <w:r>
              <w:rPr>
                <w:snapToGrid w:val="0"/>
              </w:rPr>
              <w:t>r. 1 and 2: 24 Aug 2007 (see r. 2(a));</w:t>
            </w:r>
            <w:r>
              <w:rPr>
                <w:snapToGrid w:val="0"/>
              </w:rPr>
              <w:br/>
              <w:t>Rules other than r. 1 and 2: 25 Aug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2008</w:t>
            </w:r>
          </w:p>
        </w:tc>
        <w:tc>
          <w:tcPr>
            <w:tcW w:w="1276" w:type="dxa"/>
          </w:tcPr>
          <w:p>
            <w:pPr>
              <w:pStyle w:val="nTable"/>
              <w:spacing w:after="40"/>
            </w:pPr>
            <w:r>
              <w:t>3 Jun 2008 p. 2138</w:t>
            </w:r>
            <w:r>
              <w:noBreakHyphen/>
              <w:t>49</w:t>
            </w:r>
          </w:p>
        </w:tc>
        <w:tc>
          <w:tcPr>
            <w:tcW w:w="2693" w:type="dxa"/>
          </w:tcPr>
          <w:p>
            <w:pPr>
              <w:pStyle w:val="nTable"/>
              <w:spacing w:after="40"/>
              <w:rPr>
                <w:snapToGrid w:val="0"/>
              </w:rPr>
            </w:pPr>
            <w:r>
              <w:rPr>
                <w:snapToGrid w:val="0"/>
              </w:rPr>
              <w:t>r. 1 and 2: 3 Jun 2008 (see r. 2(a));</w:t>
            </w:r>
            <w:r>
              <w:rPr>
                <w:snapToGrid w:val="0"/>
              </w:rPr>
              <w:br/>
              <w:t>Rules other than r. 1 and 2: 1 Sep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Magistrates Court (Minor Cases Procedure) Rules 2005</w:t>
            </w:r>
            <w:r>
              <w:rPr>
                <w:b/>
                <w:bCs/>
                <w:snapToGrid w:val="0"/>
              </w:rPr>
              <w:t xml:space="preserve"> as at 14 Nov 2008 </w:t>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2010</w:t>
            </w:r>
          </w:p>
        </w:tc>
        <w:tc>
          <w:tcPr>
            <w:tcW w:w="1276" w:type="dxa"/>
          </w:tcPr>
          <w:p>
            <w:pPr>
              <w:pStyle w:val="nTable"/>
              <w:spacing w:after="40"/>
            </w:pPr>
            <w:r>
              <w:t>2 Jul 2010 p. 3196</w:t>
            </w:r>
          </w:p>
        </w:tc>
        <w:tc>
          <w:tcPr>
            <w:tcW w:w="2693" w:type="dxa"/>
          </w:tcPr>
          <w:p>
            <w:pPr>
              <w:pStyle w:val="nTable"/>
              <w:spacing w:after="40"/>
              <w:rPr>
                <w:snapToGrid w:val="0"/>
              </w:rPr>
            </w:pPr>
            <w:r>
              <w:rPr>
                <w:snapToGrid w:val="0"/>
              </w:rPr>
              <w:t>r. 1 and 2: 2 Jul 2010 (see r. 2(a));</w:t>
            </w:r>
            <w:r>
              <w:rPr>
                <w:snapToGrid w:val="0"/>
              </w:rPr>
              <w:br/>
              <w:t>Rules other than r. 1 and 2: 3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2011</w:t>
            </w:r>
          </w:p>
        </w:tc>
        <w:tc>
          <w:tcPr>
            <w:tcW w:w="1276" w:type="dxa"/>
          </w:tcPr>
          <w:p>
            <w:pPr>
              <w:pStyle w:val="nTable"/>
              <w:spacing w:after="40"/>
            </w:pPr>
            <w:r>
              <w:t>20 May 2011 p. 1840-1</w:t>
            </w:r>
          </w:p>
        </w:tc>
        <w:tc>
          <w:tcPr>
            <w:tcW w:w="2693" w:type="dxa"/>
          </w:tcPr>
          <w:p>
            <w:pPr>
              <w:pStyle w:val="nTable"/>
              <w:spacing w:after="40"/>
              <w:rPr>
                <w:snapToGrid w:val="0"/>
              </w:rPr>
            </w:pPr>
            <w:r>
              <w:rPr>
                <w:snapToGrid w:val="0"/>
              </w:rPr>
              <w:t>r. 1 and 2: 20 May 2011 (see r. 2(a));</w:t>
            </w:r>
            <w:r>
              <w:rPr>
                <w:snapToGrid w:val="0"/>
              </w:rPr>
              <w:br/>
              <w:t>Rules other than r. 1 and 2: 21 May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2013</w:t>
            </w:r>
          </w:p>
        </w:tc>
        <w:tc>
          <w:tcPr>
            <w:tcW w:w="1276" w:type="dxa"/>
          </w:tcPr>
          <w:p>
            <w:pPr>
              <w:pStyle w:val="nTable"/>
              <w:spacing w:after="40"/>
            </w:pPr>
            <w:r>
              <w:t>24 May 2013 p. 2057-60</w:t>
            </w:r>
          </w:p>
        </w:tc>
        <w:tc>
          <w:tcPr>
            <w:tcW w:w="2693" w:type="dxa"/>
          </w:tcPr>
          <w:p>
            <w:pPr>
              <w:pStyle w:val="nTable"/>
              <w:spacing w:after="40"/>
              <w:rPr>
                <w:snapToGrid w:val="0"/>
              </w:rPr>
            </w:pPr>
            <w:r>
              <w:rPr>
                <w:snapToGrid w:val="0"/>
              </w:rPr>
              <w:t>r. 1 and 2: 24 May 2013 (see r. 2(a));</w:t>
            </w:r>
            <w:r>
              <w:rPr>
                <w:snapToGrid w:val="0"/>
              </w:rPr>
              <w:br/>
              <w:t>Rules other than r. 1 and 2: 25 May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2013</w:t>
            </w:r>
          </w:p>
        </w:tc>
        <w:tc>
          <w:tcPr>
            <w:tcW w:w="1276" w:type="dxa"/>
          </w:tcPr>
          <w:p>
            <w:pPr>
              <w:pStyle w:val="nTable"/>
              <w:spacing w:after="40"/>
            </w:pPr>
            <w:r>
              <w:t>31 Dec 2013 p. 6545-7</w:t>
            </w:r>
          </w:p>
        </w:tc>
        <w:tc>
          <w:tcPr>
            <w:tcW w:w="2693" w:type="dxa"/>
          </w:tcPr>
          <w:p>
            <w:pPr>
              <w:pStyle w:val="nTable"/>
              <w:spacing w:after="40"/>
              <w:rPr>
                <w:snapToGrid w:val="0"/>
              </w:rPr>
            </w:pPr>
            <w:r>
              <w:rPr>
                <w:snapToGrid w:val="0"/>
              </w:rPr>
              <w:t>r. 1 and 2: 31 Dec 2013 (see r. 2(a));</w:t>
            </w:r>
            <w:r>
              <w:rPr>
                <w:snapToGrid w:val="0"/>
              </w:rPr>
              <w:br/>
              <w:t>Rules other than r. 1 and 2: 1 Jan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(Minor Cases Procedure) Amendment Rules (No. 2) 2014</w:t>
            </w:r>
          </w:p>
        </w:tc>
        <w:tc>
          <w:tcPr>
            <w:tcW w:w="1276" w:type="dxa"/>
          </w:tcPr>
          <w:p>
            <w:pPr>
              <w:pStyle w:val="nTable"/>
              <w:spacing w:after="40"/>
            </w:pPr>
            <w:r>
              <w:t>12 Dec 2014 p. 4717</w:t>
            </w:r>
            <w:r>
              <w:noBreakHyphen/>
              <w:t>18</w:t>
            </w:r>
          </w:p>
        </w:tc>
        <w:tc>
          <w:tcPr>
            <w:tcW w:w="2693" w:type="dxa"/>
          </w:tcPr>
          <w:p>
            <w:pPr>
              <w:pStyle w:val="nTable"/>
              <w:spacing w:after="40"/>
              <w:rPr>
                <w:snapToGrid w:val="0"/>
              </w:rPr>
            </w:pPr>
            <w:r>
              <w:rPr>
                <w:snapToGrid w:val="0"/>
              </w:rPr>
              <w:t>r. 1 and 2: 12 Dec 2014 (see r. 2(a));</w:t>
            </w:r>
            <w:r>
              <w:rPr>
                <w:snapToGrid w:val="0"/>
              </w:rPr>
              <w:br/>
              <w:t>Rules other than r. 1 and 2: 13 Dec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(No. 2) 2016</w:t>
            </w:r>
          </w:p>
        </w:tc>
        <w:tc>
          <w:tcPr>
            <w:tcW w:w="1276" w:type="dxa"/>
          </w:tcPr>
          <w:p>
            <w:pPr>
              <w:pStyle w:val="nTable"/>
              <w:keepNext/>
              <w:spacing w:after="40"/>
            </w:pPr>
            <w:r>
              <w:t>3 May 2016 p. 1361-2</w:t>
            </w:r>
          </w:p>
        </w:tc>
        <w:tc>
          <w:tcPr>
            <w:tcW w:w="2693" w:type="dxa"/>
          </w:tcPr>
          <w:p>
            <w:pPr>
              <w:pStyle w:val="nTable"/>
              <w:keepNext/>
              <w:spacing w:after="40"/>
              <w:rPr>
                <w:snapToGrid w:val="0"/>
              </w:rPr>
            </w:pPr>
            <w:r>
              <w:rPr>
                <w:bCs/>
                <w:snapToGrid w:val="0"/>
                <w:spacing w:val="-2"/>
              </w:rPr>
              <w:t>r. 1 and 2: 3 May 2016 (see r. 2(a));</w:t>
            </w:r>
            <w:r>
              <w:rPr>
                <w:bCs/>
                <w:snapToGrid w:val="0"/>
                <w:spacing w:val="-2"/>
              </w:rPr>
              <w:br/>
              <w:t>Rules other than r. 1 and 2: 4 May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(Minor Cases Procedure) Amendment Rules 2016</w:t>
            </w:r>
          </w:p>
        </w:tc>
        <w:tc>
          <w:tcPr>
            <w:tcW w:w="1276" w:type="dxa"/>
          </w:tcPr>
          <w:p>
            <w:pPr>
              <w:pStyle w:val="nTable"/>
              <w:keepNext/>
              <w:spacing w:after="40"/>
            </w:pPr>
            <w:r>
              <w:t>30 Sep 2016 p. 4174-6</w:t>
            </w:r>
          </w:p>
        </w:tc>
        <w:tc>
          <w:tcPr>
            <w:tcW w:w="2693" w:type="dxa"/>
          </w:tcPr>
          <w:p>
            <w:pPr>
              <w:pStyle w:val="nTable"/>
              <w:keepNext/>
              <w:spacing w:after="40"/>
              <w:rPr>
                <w:bCs/>
                <w:snapToGrid w:val="0"/>
                <w:spacing w:val="-2"/>
              </w:rPr>
            </w:pPr>
            <w:r>
              <w:rPr>
                <w:bCs/>
                <w:snapToGrid w:val="0"/>
                <w:spacing w:val="-2"/>
              </w:rPr>
              <w:t>r. 1 and 2: 30 Sep 2016 (see r. 2(a));</w:t>
            </w:r>
            <w:r>
              <w:rPr>
                <w:bCs/>
                <w:snapToGrid w:val="0"/>
                <w:spacing w:val="-2"/>
              </w:rPr>
              <w:br/>
              <w:t>Rules other than r. 1 and 2: 1 Oct 2016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bCs/>
                <w:snapToGrid w:val="0"/>
                <w:spacing w:val="-2"/>
              </w:rPr>
            </w:pPr>
            <w:r>
              <w:rPr>
                <w:b/>
                <w:bCs/>
                <w:snapToGrid w:val="0"/>
                <w:spacing w:val="-2"/>
              </w:rPr>
              <w:t xml:space="preserve">Reprint 2: The </w:t>
            </w:r>
            <w:r>
              <w:rPr>
                <w:b/>
                <w:bCs/>
                <w:i/>
                <w:noProof/>
                <w:snapToGrid w:val="0"/>
                <w:spacing w:val="-2"/>
              </w:rPr>
              <w:t>Magistrates Court (Minor Cases Procedure) Rules 2005</w:t>
            </w:r>
            <w:r>
              <w:rPr>
                <w:b/>
                <w:bCs/>
                <w:snapToGrid w:val="0"/>
                <w:spacing w:val="-2"/>
              </w:rPr>
              <w:t xml:space="preserve"> as at 12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Rules Amendment Rules 2017</w:t>
            </w:r>
            <w:r>
              <w:t xml:space="preserve"> Pt. 3</w:t>
            </w:r>
          </w:p>
        </w:tc>
        <w:tc>
          <w:tcPr>
            <w:tcW w:w="1276" w:type="dxa"/>
          </w:tcPr>
          <w:p>
            <w:pPr>
              <w:pStyle w:val="nTable"/>
              <w:keepNext/>
              <w:spacing w:after="40"/>
            </w:pPr>
            <w:r>
              <w:t>21 Jul 2017 p. 4024</w:t>
            </w:r>
            <w:r>
              <w:noBreakHyphen/>
              <w:t>7</w:t>
            </w:r>
          </w:p>
        </w:tc>
        <w:tc>
          <w:tcPr>
            <w:tcW w:w="2693" w:type="dxa"/>
          </w:tcPr>
          <w:p>
            <w:pPr>
              <w:pStyle w:val="nTable"/>
              <w:keepNext/>
              <w:spacing w:after="40"/>
              <w:rPr>
                <w:bCs/>
                <w:snapToGrid w:val="0"/>
                <w:spacing w:val="-2"/>
              </w:rPr>
            </w:pPr>
            <w:r>
              <w:rPr>
                <w:bCs/>
                <w:snapToGrid w:val="0"/>
                <w:spacing w:val="-2"/>
              </w:rPr>
              <w:t>22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Rules Amendment Rules 2018</w:t>
            </w:r>
            <w:r>
              <w:t xml:space="preserve"> Pt. 3</w:t>
            </w:r>
          </w:p>
        </w:tc>
        <w:tc>
          <w:tcPr>
            <w:tcW w:w="1276" w:type="dxa"/>
          </w:tcPr>
          <w:p>
            <w:pPr>
              <w:pStyle w:val="nTable"/>
              <w:keepNext/>
              <w:spacing w:after="40"/>
            </w:pPr>
            <w:r>
              <w:t>18 Sep 2018 p. 3515</w:t>
            </w:r>
            <w:r>
              <w:noBreakHyphen/>
              <w:t>16</w:t>
            </w:r>
          </w:p>
        </w:tc>
        <w:tc>
          <w:tcPr>
            <w:tcW w:w="2693" w:type="dxa"/>
          </w:tcPr>
          <w:p>
            <w:pPr>
              <w:pStyle w:val="nTable"/>
              <w:keepNext/>
              <w:spacing w:after="40"/>
              <w:rPr>
                <w:bCs/>
                <w:snapToGrid w:val="0"/>
                <w:spacing w:val="-2"/>
              </w:rPr>
            </w:pPr>
            <w:r>
              <w:rPr>
                <w:bCs/>
                <w:snapToGrid w:val="0"/>
                <w:spacing w:val="-2"/>
              </w:rPr>
              <w:t>19 Sep 2018 (see r. 2(b))</w:t>
            </w:r>
          </w:p>
        </w:tc>
      </w:tr>
      <w:tr>
        <w:tc>
          <w:tcPr>
            <w:tcW w:w="3118" w:type="dxa"/>
            <w:tcBorders>
              <w:top w:val="nil"/>
              <w:bottom w:val="nil"/>
            </w:tcBorders>
          </w:tcPr>
          <w:p>
            <w:pPr>
              <w:pStyle w:val="nTable"/>
              <w:spacing w:after="40"/>
              <w:rPr>
                <w:i/>
              </w:rPr>
            </w:pPr>
            <w:r>
              <w:rPr>
                <w:i/>
              </w:rPr>
              <w:t>Magistrates Court Rules Amendment (Inactive Cases) Rules 2019</w:t>
            </w:r>
            <w:r>
              <w:t xml:space="preserve"> Pt. 3</w:t>
            </w:r>
          </w:p>
        </w:tc>
        <w:tc>
          <w:tcPr>
            <w:tcW w:w="1276" w:type="dxa"/>
            <w:tcBorders>
              <w:top w:val="nil"/>
              <w:bottom w:val="nil"/>
            </w:tcBorders>
          </w:tcPr>
          <w:p>
            <w:pPr>
              <w:pStyle w:val="nTable"/>
              <w:keepNext/>
              <w:spacing w:after="40"/>
            </w:pPr>
            <w:r>
              <w:t>5 Apr 2019 p. 1012</w:t>
            </w:r>
            <w:r>
              <w:noBreakHyphen/>
              <w:t>16</w:t>
            </w:r>
          </w:p>
        </w:tc>
        <w:tc>
          <w:tcPr>
            <w:tcW w:w="2693" w:type="dxa"/>
            <w:tcBorders>
              <w:top w:val="nil"/>
              <w:bottom w:val="nil"/>
            </w:tcBorders>
          </w:tcPr>
          <w:p>
            <w:pPr>
              <w:pStyle w:val="nTable"/>
              <w:keepNext/>
              <w:spacing w:after="40"/>
              <w:rPr>
                <w:bCs/>
                <w:snapToGrid w:val="0"/>
                <w:spacing w:val="-2"/>
              </w:rPr>
            </w:pPr>
            <w:r>
              <w:rPr>
                <w:bCs/>
                <w:snapToGrid w:val="0"/>
                <w:spacing w:val="-2"/>
              </w:rPr>
              <w:t>6 Apr 2019 (see r. 2(b))</w:t>
            </w:r>
          </w:p>
        </w:tc>
      </w:tr>
      <w:tr>
        <w:tc>
          <w:tcPr>
            <w:tcW w:w="3118" w:type="dxa"/>
            <w:tcBorders>
              <w:top w:val="nil"/>
              <w:bottom w:val="nil"/>
            </w:tcBorders>
          </w:tcPr>
          <w:p>
            <w:pPr>
              <w:pStyle w:val="nTable"/>
              <w:spacing w:after="40"/>
              <w:rPr>
                <w:i/>
              </w:rPr>
            </w:pPr>
            <w:r>
              <w:rPr>
                <w:i/>
              </w:rPr>
              <w:t>Magistrates Court Rules Amendment Rules 2020</w:t>
            </w:r>
            <w:r>
              <w:t xml:space="preserve"> Pt. 3</w:t>
            </w:r>
          </w:p>
        </w:tc>
        <w:tc>
          <w:tcPr>
            <w:tcW w:w="1276" w:type="dxa"/>
            <w:tcBorders>
              <w:top w:val="nil"/>
              <w:bottom w:val="nil"/>
            </w:tcBorders>
          </w:tcPr>
          <w:p>
            <w:pPr>
              <w:pStyle w:val="nTable"/>
              <w:keepNext/>
              <w:spacing w:after="40"/>
            </w:pPr>
            <w:r>
              <w:t>SL 2020/67 28 May 2020</w:t>
            </w:r>
          </w:p>
        </w:tc>
        <w:tc>
          <w:tcPr>
            <w:tcW w:w="2693" w:type="dxa"/>
            <w:tcBorders>
              <w:top w:val="nil"/>
              <w:bottom w:val="nil"/>
            </w:tcBorders>
          </w:tcPr>
          <w:p>
            <w:pPr>
              <w:pStyle w:val="nTable"/>
              <w:keepNext/>
              <w:spacing w:after="40"/>
              <w:rPr>
                <w:bCs/>
                <w:snapToGrid w:val="0"/>
                <w:spacing w:val="-2"/>
              </w:rPr>
            </w:pPr>
            <w:r>
              <w:rPr>
                <w:bCs/>
                <w:snapToGrid w:val="0"/>
                <w:spacing w:val="-2"/>
              </w:rPr>
              <w:t>1 Jun 2020 (see r. 2(b))</w:t>
            </w:r>
          </w:p>
        </w:tc>
      </w:tr>
      <w:tr>
        <w:tc>
          <w:tcPr>
            <w:tcW w:w="3118" w:type="dxa"/>
            <w:tcBorders>
              <w:top w:val="nil"/>
              <w:bottom w:val="nil"/>
            </w:tcBorders>
          </w:tcPr>
          <w:p>
            <w:pPr>
              <w:pStyle w:val="nTable"/>
              <w:spacing w:after="40"/>
            </w:pPr>
            <w:r>
              <w:rPr>
                <w:i/>
              </w:rPr>
              <w:t>Magistrates Court Rules Amendment Rules 2021</w:t>
            </w:r>
            <w:r>
              <w:t xml:space="preserve"> Pt. 4</w:t>
            </w:r>
          </w:p>
        </w:tc>
        <w:tc>
          <w:tcPr>
            <w:tcW w:w="1276" w:type="dxa"/>
            <w:tcBorders>
              <w:top w:val="nil"/>
              <w:bottom w:val="nil"/>
            </w:tcBorders>
          </w:tcPr>
          <w:p>
            <w:pPr>
              <w:pStyle w:val="nTable"/>
              <w:keepNext/>
              <w:spacing w:after="40"/>
            </w:pPr>
            <w:r>
              <w:t>SL 2021/25 26 Feb 2021</w:t>
            </w:r>
          </w:p>
        </w:tc>
        <w:tc>
          <w:tcPr>
            <w:tcW w:w="2693" w:type="dxa"/>
            <w:tcBorders>
              <w:top w:val="nil"/>
              <w:bottom w:val="nil"/>
            </w:tcBorders>
          </w:tcPr>
          <w:p>
            <w:pPr>
              <w:pStyle w:val="nTable"/>
              <w:keepNext/>
              <w:spacing w:after="40"/>
              <w:rPr>
                <w:bCs/>
                <w:snapToGrid w:val="0"/>
                <w:spacing w:val="-2"/>
              </w:rPr>
            </w:pPr>
            <w:r>
              <w:rPr>
                <w:bCs/>
                <w:snapToGrid w:val="0"/>
                <w:spacing w:val="-2"/>
              </w:rPr>
              <w:t>27 Feb 2021 (see r. 2(b))</w:t>
            </w:r>
          </w:p>
        </w:tc>
      </w:tr>
      <w:tr>
        <w:tblPrEx>
          <w:tblBorders>
            <w:top w:val="none" w:sz="0" w:space="0" w:color="auto"/>
            <w:bottom w:val="none" w:sz="0" w:space="0" w:color="auto"/>
            <w:insideH w:val="none" w:sz="0" w:space="0" w:color="auto"/>
          </w:tblBorders>
        </w:tblPrEx>
        <w:trPr>
          <w:ins w:id="439" w:author="Master Repository Process" w:date="2022-05-13T08:43:00Z"/>
        </w:trPr>
        <w:tc>
          <w:tcPr>
            <w:tcW w:w="3118" w:type="dxa"/>
            <w:tcBorders>
              <w:bottom w:val="single" w:sz="4" w:space="0" w:color="auto"/>
            </w:tcBorders>
          </w:tcPr>
          <w:p>
            <w:pPr>
              <w:pStyle w:val="nTable"/>
              <w:spacing w:after="40"/>
              <w:rPr>
                <w:ins w:id="440" w:author="Master Repository Process" w:date="2022-05-13T08:43:00Z"/>
              </w:rPr>
            </w:pPr>
            <w:ins w:id="441" w:author="Master Repository Process" w:date="2022-05-13T08:43:00Z">
              <w:r>
                <w:rPr>
                  <w:i/>
                </w:rPr>
                <w:t>Magistrates Court Rules Amendment Rules 2022</w:t>
              </w:r>
              <w:r>
                <w:t xml:space="preserve"> Pt. 4</w:t>
              </w:r>
            </w:ins>
          </w:p>
        </w:tc>
        <w:tc>
          <w:tcPr>
            <w:tcW w:w="1276" w:type="dxa"/>
            <w:tcBorders>
              <w:bottom w:val="single" w:sz="4" w:space="0" w:color="auto"/>
            </w:tcBorders>
          </w:tcPr>
          <w:p>
            <w:pPr>
              <w:pStyle w:val="nTable"/>
              <w:keepNext/>
              <w:spacing w:after="40"/>
              <w:rPr>
                <w:ins w:id="442" w:author="Master Repository Process" w:date="2022-05-13T08:43:00Z"/>
              </w:rPr>
            </w:pPr>
            <w:ins w:id="443" w:author="Master Repository Process" w:date="2022-05-13T08:43:00Z">
              <w:r>
                <w:t>SL 2022/54 13 May 2022</w:t>
              </w:r>
            </w:ins>
          </w:p>
        </w:tc>
        <w:tc>
          <w:tcPr>
            <w:tcW w:w="2693" w:type="dxa"/>
            <w:tcBorders>
              <w:bottom w:val="single" w:sz="4" w:space="0" w:color="auto"/>
            </w:tcBorders>
          </w:tcPr>
          <w:p>
            <w:pPr>
              <w:pStyle w:val="nTable"/>
              <w:keepNext/>
              <w:spacing w:after="40"/>
              <w:rPr>
                <w:ins w:id="444" w:author="Master Repository Process" w:date="2022-05-13T08:43:00Z"/>
                <w:bCs/>
                <w:snapToGrid w:val="0"/>
                <w:spacing w:val="-2"/>
              </w:rPr>
            </w:pPr>
            <w:ins w:id="445" w:author="Master Repository Process" w:date="2022-05-13T08:43:00Z">
              <w:r>
                <w:rPr>
                  <w:bCs/>
                  <w:snapToGrid w:val="0"/>
                  <w:spacing w:val="-2"/>
                </w:rPr>
                <w:t>14 May 2022 (see r.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Feb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(Minor Cases Procedure) Rules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46" w:name="Compilation"/>
    <w:bookmarkEnd w:id="4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47" w:name="Coversheet"/>
    <w:bookmarkEnd w:id="4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CE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9123545"/>
    <w:docVar w:name="WAFER_20131230115039" w:val="RemoveTocBookmarks,RemoveUnusedBookmarks,RemoveLanguageTags,UsedStyles,ResetPageSize,UpdateArrangement"/>
    <w:docVar w:name="WAFER_20131230115039_GUID" w:val="b0a0c3b9-9b6d-4f6d-addc-89a8f3e4e990"/>
    <w:docVar w:name="WAFER_20131230143415" w:val="RemoveTocBookmarks,RunningHeaders"/>
    <w:docVar w:name="WAFER_20131230143415_GUID" w:val="77b376cf-20f6-41c0-b138-64d8216809cb"/>
    <w:docVar w:name="WAFER_20141211175509" w:val="RemoveTocBookmarks,RemoveUnusedBookmarks,RemoveLanguageTags,UsedStyles,ResetPageSize,UpdateArrangement"/>
    <w:docVar w:name="WAFER_20141211175509_GUID" w:val="9023ca95-e8b5-4520-a00d-e9df759e32f4"/>
    <w:docVar w:name="WAFER_20141211175520" w:val="RemoveTocBookmarks,RunningHeaders"/>
    <w:docVar w:name="WAFER_20141211175520_GUID" w:val="606a021a-0799-4beb-8dfc-21f67b648672"/>
    <w:docVar w:name="WAFER_20150603143546" w:val="ResetPageSize,UpdateArrangement,UpdateNTable"/>
    <w:docVar w:name="WAFER_20150603143546_GUID" w:val="33072751-25df-488b-8ee3-4158c9956282"/>
    <w:docVar w:name="WAFER_20151106150630" w:val="UpdateStyles,UsedStyles"/>
    <w:docVar w:name="WAFER_20151106150630_GUID" w:val="4f42e333-026e-45c5-aa63-3590d628f5cd"/>
    <w:docVar w:name="WAFER_20151130164940" w:val="RemoveTrackChanges"/>
    <w:docVar w:name="WAFER_20151130164940_GUID" w:val="8d4a2bd0-f558-4071-bdc0-e9f695253360"/>
    <w:docVar w:name="WAFER_20160502101927" w:val="RemoveTocBookmarks,RemoveUnusedBookmarks,RemoveLanguageTags,UsedStyles,ResetPageSize"/>
    <w:docVar w:name="WAFER_20160502101927_GUID" w:val="1b323f39-def8-4b72-af57-026171f34029"/>
    <w:docVar w:name="WAFER_20161013111409" w:val="RemoveTocBookmarks,RemoveUnusedBookmarks,RemoveLanguageTags,UsedStyles,ResetPageSize,RemoveCustomizations"/>
    <w:docVar w:name="WAFER_20161013111409_GUID" w:val="ab51bc01-5ed9-40e6-a876-ce6b610b6761"/>
    <w:docVar w:name="WAFER_20170209103043" w:val="RemoveTocBookmarks,RemoveUnusedBookmarks,RemoveLanguageTags,UsedStyles,RemoveTrackChanges"/>
    <w:docVar w:name="WAFER_20170209103043_GUID" w:val="6c898de6-c3fd-4a6a-b99e-913828d75ee3"/>
    <w:docVar w:name="WAFER_20170209103105" w:val="RemoveTocBookmarks,RemoveUnusedBookmarks,RemoveLanguageTags,UsedStyles,RemoveTrackChanges"/>
    <w:docVar w:name="WAFER_20170209103105_GUID" w:val="08990318-8126-4ed4-9ee8-9cf7edcaf12c"/>
    <w:docVar w:name="WAFER_20200527161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7161548_GUID" w:val="20b7a835-2c86-42a1-aae2-2debc61de5c5"/>
    <w:docVar w:name="WAFER_202102231216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3121637_GUID" w:val="502282b4-7d90-4c61-8af1-ad730b0c3f92"/>
    <w:docVar w:name="WAFER_20220509123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123545_GUID" w:val="7ce2b937-7575-4aa3-a20e-23937be91d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0927772-E97C-4088-9780-B63A453BD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D35549-90EB-4CDA-B363-356102B1E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11376</Words>
  <Characters>51425</Characters>
  <Application>Microsoft Office Word</Application>
  <DocSecurity>0</DocSecurity>
  <Lines>1469</Lines>
  <Paragraphs>910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02-f0-02 - 02-g0-00</dc:title>
  <dc:subject/>
  <dc:creator/>
  <cp:keywords/>
  <dc:description/>
  <cp:lastModifiedBy>Master Repository Process</cp:lastModifiedBy>
  <cp:revision>2</cp:revision>
  <cp:lastPrinted>2017-05-02T07:15:00Z</cp:lastPrinted>
  <dcterms:created xsi:type="dcterms:W3CDTF">2022-05-13T00:43:00Z</dcterms:created>
  <dcterms:modified xsi:type="dcterms:W3CDTF">2022-05-13T00:43:00Z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OwlsUID">
    <vt:i4>37467</vt:i4>
  </property>
  <property fmtid="{D5CDD505-2E9C-101B-9397-08002B2CF9AE}" pid="4" name="DocumentType">
    <vt:lpwstr>Reg</vt:lpwstr>
  </property>
  <property fmtid="{D5CDD505-2E9C-101B-9397-08002B2CF9AE}" pid="5" name="ReprintedAsAt">
    <vt:filetime>2017-05-11T16:00:00Z</vt:filetime>
  </property>
  <property fmtid="{D5CDD505-2E9C-101B-9397-08002B2CF9AE}" pid="6" name="ReprintNo">
    <vt:lpwstr>2</vt:lpwstr>
  </property>
  <property fmtid="{D5CDD505-2E9C-101B-9397-08002B2CF9AE}" pid="7" name="CommencementDate">
    <vt:lpwstr>20220514</vt:lpwstr>
  </property>
  <property fmtid="{D5CDD505-2E9C-101B-9397-08002B2CF9AE}" pid="8" name="FromSuffix">
    <vt:lpwstr>02-f0-02</vt:lpwstr>
  </property>
  <property fmtid="{D5CDD505-2E9C-101B-9397-08002B2CF9AE}" pid="9" name="FromAsAtDate">
    <vt:lpwstr>27 Feb 2021</vt:lpwstr>
  </property>
  <property fmtid="{D5CDD505-2E9C-101B-9397-08002B2CF9AE}" pid="10" name="ToSuffix">
    <vt:lpwstr>02-g0-00</vt:lpwstr>
  </property>
  <property fmtid="{D5CDD505-2E9C-101B-9397-08002B2CF9AE}" pid="11" name="ToAsAtDate">
    <vt:lpwstr>14 May 2022</vt:lpwstr>
  </property>
</Properties>
</file>