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Jun 2019</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04 Jun 2022</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Liquor Control Act 1988</w:t>
      </w:r>
    </w:p>
    <w:p>
      <w:pPr>
        <w:pStyle w:val="NameofActReg"/>
      </w:pPr>
      <w:r>
        <w:t>Liquor Control (Wakathuni Restricted Area) Regulations 2019</w:t>
      </w:r>
    </w:p>
    <w:p>
      <w:pPr>
        <w:pStyle w:val="Heading2"/>
        <w:pageBreakBefore w:val="0"/>
        <w:spacing w:before="220"/>
      </w:pPr>
      <w:bookmarkStart w:id="1" w:name="_Toc104973760"/>
      <w:bookmarkStart w:id="2" w:name="_Toc104974372"/>
      <w:bookmarkStart w:id="3" w:name="_Toc104977764"/>
      <w:bookmarkStart w:id="4" w:name="_Toc8649983"/>
      <w:bookmarkStart w:id="5" w:name="_Toc8649999"/>
      <w:bookmarkStart w:id="6" w:name="_Toc8652775"/>
      <w:bookmarkStart w:id="7" w:name="_Toc8653042"/>
      <w:bookmarkStart w:id="8" w:name="_Toc8653343"/>
      <w:bookmarkStart w:id="9" w:name="_Toc8654089"/>
      <w:bookmarkStart w:id="10" w:name="_Toc8654303"/>
      <w:bookmarkStart w:id="11" w:name="_Toc11318606"/>
      <w:bookmarkStart w:id="12" w:name="_Toc11319593"/>
      <w:bookmarkStart w:id="13" w:name="_Toc11404099"/>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5" w:name="_Toc104977765"/>
      <w:bookmarkStart w:id="16" w:name="_Toc8654090"/>
      <w:bookmarkStart w:id="17" w:name="_Toc8654304"/>
      <w:bookmarkStart w:id="18" w:name="_Toc11404100"/>
      <w:r>
        <w:rPr>
          <w:rStyle w:val="CharSectno"/>
        </w:rPr>
        <w:t>1</w:t>
      </w:r>
      <w:r>
        <w:t>.</w:t>
      </w:r>
      <w:r>
        <w:tab/>
        <w:t>Citation</w:t>
      </w:r>
      <w:bookmarkEnd w:id="15"/>
      <w:bookmarkEnd w:id="16"/>
      <w:bookmarkEnd w:id="17"/>
      <w:bookmarkEnd w:id="18"/>
    </w:p>
    <w:p>
      <w:pPr>
        <w:pStyle w:val="Subsection"/>
      </w:pPr>
      <w:r>
        <w:tab/>
      </w:r>
      <w:r>
        <w:tab/>
      </w:r>
      <w:bookmarkStart w:id="19" w:name="Start_Cursor"/>
      <w:bookmarkEnd w:id="19"/>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20" w:name="_Toc104977766"/>
      <w:bookmarkStart w:id="21" w:name="_Toc8654091"/>
      <w:bookmarkStart w:id="22" w:name="_Toc8654305"/>
      <w:bookmarkStart w:id="23" w:name="_Toc11404101"/>
      <w:r>
        <w:rPr>
          <w:rStyle w:val="CharSectno"/>
        </w:rPr>
        <w:t>2</w:t>
      </w:r>
      <w:r>
        <w:rPr>
          <w:spacing w:val="-2"/>
        </w:rPr>
        <w:t>.</w:t>
      </w:r>
      <w:r>
        <w:rPr>
          <w:spacing w:val="-2"/>
        </w:rPr>
        <w:tab/>
        <w:t>Commencement</w:t>
      </w:r>
      <w:bookmarkEnd w:id="20"/>
      <w:bookmarkEnd w:id="21"/>
      <w:bookmarkEnd w:id="22"/>
      <w:bookmarkEnd w:id="2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24" w:name="_Toc104977767"/>
      <w:bookmarkStart w:id="25" w:name="_Toc8654092"/>
      <w:bookmarkStart w:id="26" w:name="_Toc8654306"/>
      <w:bookmarkStart w:id="27" w:name="_Toc11404102"/>
      <w:r>
        <w:rPr>
          <w:rStyle w:val="CharSectno"/>
        </w:rPr>
        <w:t>3</w:t>
      </w:r>
      <w:r>
        <w:t>.</w:t>
      </w:r>
      <w:r>
        <w:tab/>
        <w:t>Terms used</w:t>
      </w:r>
      <w:bookmarkEnd w:id="24"/>
      <w:bookmarkEnd w:id="25"/>
      <w:bookmarkEnd w:id="26"/>
      <w:bookmarkEnd w:id="27"/>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keepLines/>
      </w:pPr>
      <w:r>
        <w:tab/>
      </w:r>
      <w:r>
        <w:rPr>
          <w:rStyle w:val="CharDefText"/>
        </w:rPr>
        <w:t>Wakathuni Aboriginal Community</w:t>
      </w:r>
      <w:r>
        <w:t xml:space="preserve"> means the land lying within a radius of 5 km measured from the centre of the Wakathuni basketball court located at latitude </w:t>
      </w:r>
      <w:r>
        <w:rPr>
          <w:szCs w:val="22"/>
        </w:rPr>
        <w:t>22.866784</w:t>
      </w:r>
      <w:r>
        <w:t xml:space="preserve">° S, longitude </w:t>
      </w:r>
      <w:r>
        <w:rPr>
          <w:szCs w:val="22"/>
        </w:rPr>
        <w:t>117.832828</w:t>
      </w:r>
      <w:r>
        <w:t>° E.</w:t>
      </w:r>
    </w:p>
    <w:p>
      <w:pPr>
        <w:pStyle w:val="Heading5"/>
        <w:keepLines w:val="0"/>
        <w:rPr>
          <w:del w:id="28" w:author="Master Repository Process" w:date="2022-06-03T11:59:00Z"/>
        </w:rPr>
      </w:pPr>
      <w:bookmarkStart w:id="29" w:name="_Toc8654093"/>
      <w:bookmarkStart w:id="30" w:name="_Toc8654307"/>
      <w:bookmarkStart w:id="31" w:name="_Toc11404103"/>
      <w:del w:id="32" w:author="Master Repository Process" w:date="2022-06-03T11:59:00Z">
        <w:r>
          <w:rPr>
            <w:rStyle w:val="CharSectno"/>
          </w:rPr>
          <w:delText>4</w:delText>
        </w:r>
        <w:r>
          <w:delText>.</w:delText>
        </w:r>
        <w:r>
          <w:tab/>
          <w:delText>Note is not part of regulations</w:delText>
        </w:r>
        <w:bookmarkEnd w:id="29"/>
        <w:bookmarkEnd w:id="30"/>
        <w:bookmarkEnd w:id="31"/>
      </w:del>
    </w:p>
    <w:p>
      <w:pPr>
        <w:pStyle w:val="Subsection"/>
        <w:rPr>
          <w:del w:id="33" w:author="Master Repository Process" w:date="2022-06-03T11:59:00Z"/>
        </w:rPr>
      </w:pPr>
      <w:del w:id="34" w:author="Master Repository Process" w:date="2022-06-03T11:59:00Z">
        <w:r>
          <w:tab/>
        </w:r>
        <w:r>
          <w:tab/>
          <w:delText>The note after regulation 9 does not form part of these regulations.</w:delText>
        </w:r>
      </w:del>
    </w:p>
    <w:p>
      <w:pPr>
        <w:pStyle w:val="Ednotesection"/>
        <w:rPr>
          <w:ins w:id="35" w:author="Master Repository Process" w:date="2022-06-03T11:59:00Z"/>
        </w:rPr>
      </w:pPr>
      <w:ins w:id="36" w:author="Master Repository Process" w:date="2022-06-03T11:59:00Z">
        <w:r>
          <w:t>[</w:t>
        </w:r>
        <w:r>
          <w:rPr>
            <w:b/>
          </w:rPr>
          <w:t>4.</w:t>
        </w:r>
        <w:r>
          <w:tab/>
          <w:t>Deleted: SL 2022/63 r. 7.]</w:t>
        </w:r>
      </w:ins>
    </w:p>
    <w:p>
      <w:pPr>
        <w:pStyle w:val="Heading2"/>
      </w:pPr>
      <w:bookmarkStart w:id="37" w:name="_Toc104973765"/>
      <w:bookmarkStart w:id="38" w:name="_Toc104974376"/>
      <w:bookmarkStart w:id="39" w:name="_Toc104977768"/>
      <w:bookmarkStart w:id="40" w:name="_Toc8649988"/>
      <w:bookmarkStart w:id="41" w:name="_Toc8650004"/>
      <w:bookmarkStart w:id="42" w:name="_Toc8652780"/>
      <w:bookmarkStart w:id="43" w:name="_Toc8653047"/>
      <w:bookmarkStart w:id="44" w:name="_Toc8653348"/>
      <w:bookmarkStart w:id="45" w:name="_Toc8654094"/>
      <w:bookmarkStart w:id="46" w:name="_Toc8654308"/>
      <w:bookmarkStart w:id="47" w:name="_Toc11318611"/>
      <w:bookmarkStart w:id="48" w:name="_Toc11319598"/>
      <w:bookmarkStart w:id="49" w:name="_Toc11404104"/>
      <w:r>
        <w:rPr>
          <w:rStyle w:val="CharPartNo"/>
        </w:rPr>
        <w:t>Part 2</w:t>
      </w:r>
      <w:r>
        <w:rPr>
          <w:rStyle w:val="CharDivNo"/>
        </w:rPr>
        <w:t> </w:t>
      </w:r>
      <w:r>
        <w:t>—</w:t>
      </w:r>
      <w:r>
        <w:rPr>
          <w:rStyle w:val="CharDivText"/>
        </w:rPr>
        <w:t> </w:t>
      </w:r>
      <w:r>
        <w:rPr>
          <w:rStyle w:val="CharPartText"/>
        </w:rPr>
        <w:t>Restricted area</w:t>
      </w:r>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0" w:name="_Toc104977769"/>
      <w:bookmarkStart w:id="51" w:name="_Toc8654095"/>
      <w:bookmarkStart w:id="52" w:name="_Toc8654309"/>
      <w:bookmarkStart w:id="53" w:name="_Toc11404105"/>
      <w:r>
        <w:rPr>
          <w:rStyle w:val="CharSectno"/>
        </w:rPr>
        <w:t>5</w:t>
      </w:r>
      <w:r>
        <w:t>.</w:t>
      </w:r>
      <w:r>
        <w:tab/>
        <w:t>Declaration of restricted area</w:t>
      </w:r>
      <w:bookmarkEnd w:id="50"/>
      <w:bookmarkEnd w:id="51"/>
      <w:bookmarkEnd w:id="52"/>
      <w:bookmarkEnd w:id="53"/>
    </w:p>
    <w:p>
      <w:pPr>
        <w:pStyle w:val="Subsection"/>
      </w:pPr>
      <w:r>
        <w:tab/>
      </w:r>
      <w:r>
        <w:tab/>
        <w:t>The Wakathuni Aboriginal Community is declared to be a restricted area for the purposes of section 175(1a) of the Act.</w:t>
      </w:r>
    </w:p>
    <w:p>
      <w:pPr>
        <w:pStyle w:val="Heading5"/>
      </w:pPr>
      <w:bookmarkStart w:id="54" w:name="_Toc104977770"/>
      <w:bookmarkStart w:id="55" w:name="_Toc8654096"/>
      <w:bookmarkStart w:id="56" w:name="_Toc8654310"/>
      <w:bookmarkStart w:id="57" w:name="_Toc11404106"/>
      <w:r>
        <w:rPr>
          <w:rStyle w:val="CharSectno"/>
        </w:rPr>
        <w:t>6</w:t>
      </w:r>
      <w:r>
        <w:t>.</w:t>
      </w:r>
      <w:r>
        <w:tab/>
        <w:t>Notice of restricted area</w:t>
      </w:r>
      <w:bookmarkEnd w:id="54"/>
      <w:bookmarkEnd w:id="55"/>
      <w:bookmarkEnd w:id="56"/>
      <w:bookmarkEnd w:id="57"/>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58" w:name="_Toc104973768"/>
      <w:bookmarkStart w:id="59" w:name="_Toc104974379"/>
      <w:bookmarkStart w:id="60" w:name="_Toc104977771"/>
      <w:bookmarkStart w:id="61" w:name="_Toc8649991"/>
      <w:bookmarkStart w:id="62" w:name="_Toc8650007"/>
      <w:bookmarkStart w:id="63" w:name="_Toc8652783"/>
      <w:bookmarkStart w:id="64" w:name="_Toc8653050"/>
      <w:bookmarkStart w:id="65" w:name="_Toc8653351"/>
      <w:bookmarkStart w:id="66" w:name="_Toc8654097"/>
      <w:bookmarkStart w:id="67" w:name="_Toc8654311"/>
      <w:bookmarkStart w:id="68" w:name="_Toc11318614"/>
      <w:bookmarkStart w:id="69" w:name="_Toc11319601"/>
      <w:bookmarkStart w:id="70" w:name="_Toc11404107"/>
      <w:r>
        <w:rPr>
          <w:rStyle w:val="CharPartNo"/>
        </w:rPr>
        <w:t>Part 3</w:t>
      </w:r>
      <w:r>
        <w:rPr>
          <w:rStyle w:val="CharDivNo"/>
        </w:rPr>
        <w:t> </w:t>
      </w:r>
      <w:r>
        <w:t>—</w:t>
      </w:r>
      <w:r>
        <w:rPr>
          <w:rStyle w:val="CharDivText"/>
        </w:rPr>
        <w:t> </w:t>
      </w:r>
      <w:r>
        <w:rPr>
          <w:rStyle w:val="CharPartText"/>
        </w:rPr>
        <w:t>Prohibitions and related provisions</w:t>
      </w:r>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pPr>
      <w:bookmarkStart w:id="71" w:name="_Toc104977772"/>
      <w:bookmarkStart w:id="72" w:name="_Toc8654098"/>
      <w:bookmarkStart w:id="73" w:name="_Toc8654312"/>
      <w:bookmarkStart w:id="74" w:name="_Toc11404108"/>
      <w:r>
        <w:rPr>
          <w:rStyle w:val="CharSectno"/>
        </w:rPr>
        <w:t>7</w:t>
      </w:r>
      <w:r>
        <w:t>.</w:t>
      </w:r>
      <w:r>
        <w:tab/>
        <w:t>Prohibitions as to liquor in the Wakathuni Aboriginal Community</w:t>
      </w:r>
      <w:bookmarkEnd w:id="71"/>
      <w:bookmarkEnd w:id="72"/>
      <w:bookmarkEnd w:id="73"/>
      <w:bookmarkEnd w:id="74"/>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75" w:name="_Toc104977773"/>
      <w:bookmarkStart w:id="76" w:name="_Toc8654099"/>
      <w:bookmarkStart w:id="77" w:name="_Toc8654313"/>
      <w:bookmarkStart w:id="78" w:name="_Toc11404109"/>
      <w:r>
        <w:rPr>
          <w:rStyle w:val="CharSectno"/>
        </w:rPr>
        <w:t>8</w:t>
      </w:r>
      <w:r>
        <w:t>.</w:t>
      </w:r>
      <w:r>
        <w:tab/>
        <w:t>Seizure and disposal of containers of liquor</w:t>
      </w:r>
      <w:bookmarkEnd w:id="75"/>
      <w:bookmarkEnd w:id="76"/>
      <w:bookmarkEnd w:id="77"/>
      <w:bookmarkEnd w:id="78"/>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79" w:name="_Toc104973771"/>
      <w:bookmarkStart w:id="80" w:name="_Toc104974382"/>
      <w:bookmarkStart w:id="81" w:name="_Toc104977774"/>
      <w:bookmarkStart w:id="82" w:name="_Toc8649994"/>
      <w:bookmarkStart w:id="83" w:name="_Toc8650010"/>
      <w:bookmarkStart w:id="84" w:name="_Toc8652786"/>
      <w:bookmarkStart w:id="85" w:name="_Toc8653053"/>
      <w:bookmarkStart w:id="86" w:name="_Toc8653354"/>
      <w:bookmarkStart w:id="87" w:name="_Toc8654100"/>
      <w:bookmarkStart w:id="88" w:name="_Toc8654314"/>
      <w:bookmarkStart w:id="89" w:name="_Toc11318617"/>
      <w:bookmarkStart w:id="90" w:name="_Toc11319604"/>
      <w:bookmarkStart w:id="91" w:name="_Toc11404110"/>
      <w:r>
        <w:rPr>
          <w:rStyle w:val="CharPartNo"/>
        </w:rPr>
        <w:t>Part 4</w:t>
      </w:r>
      <w:r>
        <w:rPr>
          <w:rStyle w:val="CharDivNo"/>
        </w:rPr>
        <w:t> </w:t>
      </w:r>
      <w:r>
        <w:t>—</w:t>
      </w:r>
      <w:r>
        <w:rPr>
          <w:rStyle w:val="CharDivText"/>
        </w:rPr>
        <w:t> </w:t>
      </w:r>
      <w:r>
        <w:rPr>
          <w:rStyle w:val="CharPartText"/>
        </w:rPr>
        <w:t>Period of effect</w:t>
      </w:r>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104977775"/>
      <w:bookmarkStart w:id="93" w:name="_Toc8654101"/>
      <w:bookmarkStart w:id="94" w:name="_Toc8654315"/>
      <w:bookmarkStart w:id="95" w:name="_Toc11404111"/>
      <w:r>
        <w:rPr>
          <w:rStyle w:val="CharSectno"/>
        </w:rPr>
        <w:t>9</w:t>
      </w:r>
      <w:r>
        <w:t>.</w:t>
      </w:r>
      <w:r>
        <w:tab/>
        <w:t>Period during which these regulations have effect</w:t>
      </w:r>
      <w:bookmarkEnd w:id="92"/>
      <w:bookmarkEnd w:id="93"/>
      <w:bookmarkEnd w:id="94"/>
      <w:bookmarkEnd w:id="95"/>
    </w:p>
    <w:p>
      <w:pPr>
        <w:pStyle w:val="Subsection"/>
      </w:pPr>
      <w:r>
        <w:tab/>
      </w:r>
      <w:r>
        <w:tab/>
        <w:t>Unless sooner repealed, these regulations have effect for the period that ends at the close of 30 June </w:t>
      </w:r>
      <w:del w:id="96" w:author="Master Repository Process" w:date="2022-06-03T11:59:00Z">
        <w:r>
          <w:delText>2022</w:delText>
        </w:r>
      </w:del>
      <w:ins w:id="97" w:author="Master Repository Process" w:date="2022-06-03T11:59:00Z">
        <w:r>
          <w:t>2023</w:t>
        </w:r>
      </w:ins>
      <w:r>
        <w:t>.</w:t>
      </w:r>
    </w:p>
    <w:p>
      <w:pPr>
        <w:pStyle w:val="PermNoteHeading"/>
        <w:rPr>
          <w:del w:id="98" w:author="Master Repository Process" w:date="2022-06-03T11:59:00Z"/>
        </w:rPr>
      </w:pPr>
      <w:del w:id="99" w:author="Master Repository Process" w:date="2022-06-03T11:59:00Z">
        <w:r>
          <w:tab/>
          <w:delText>Note for this regulation:</w:delText>
        </w:r>
      </w:del>
    </w:p>
    <w:p>
      <w:pPr>
        <w:pStyle w:val="PermNoteText"/>
        <w:rPr>
          <w:del w:id="100" w:author="Master Repository Process" w:date="2022-06-03T11:59:00Z"/>
        </w:rPr>
      </w:pPr>
      <w:del w:id="101" w:author="Master Repository Process" w:date="2022-06-03T11:59:00Z">
        <w:r>
          <w:tab/>
        </w:r>
        <w:r>
          <w:tab/>
          <w:delText xml:space="preserve">Under the </w:delText>
        </w:r>
        <w:r>
          <w:rPr>
            <w:i/>
          </w:rPr>
          <w:delText>Liquor Control Act 1988</w:delText>
        </w:r>
        <w:r>
          <w:delText xml:space="preserve"> section 175(1d), these regulations expire at the end of the period referred to in regulation 9.</w:delText>
        </w:r>
      </w:del>
    </w:p>
    <w:p>
      <w:pPr>
        <w:pStyle w:val="Footnotesection"/>
        <w:rPr>
          <w:ins w:id="102" w:author="Master Repository Process" w:date="2022-06-03T11:59:00Z"/>
        </w:rPr>
      </w:pPr>
      <w:ins w:id="103" w:author="Master Repository Process" w:date="2022-06-03T11:59:00Z">
        <w:r>
          <w:tab/>
          <w:t>[Regulation 9 amended: SL 2022/63 r. 8.]</w:t>
        </w:r>
      </w:ins>
    </w:p>
    <w:p>
      <w:pPr>
        <w:pStyle w:val="Heading2"/>
      </w:pPr>
      <w:bookmarkStart w:id="104" w:name="_Toc104973773"/>
      <w:bookmarkStart w:id="105" w:name="_Toc104974384"/>
      <w:bookmarkStart w:id="106" w:name="_Toc104977776"/>
      <w:bookmarkStart w:id="107" w:name="_Toc8649996"/>
      <w:bookmarkStart w:id="108" w:name="_Toc8650012"/>
      <w:bookmarkStart w:id="109" w:name="_Toc8652788"/>
      <w:bookmarkStart w:id="110" w:name="_Toc8653055"/>
      <w:bookmarkStart w:id="111" w:name="_Toc8653356"/>
      <w:bookmarkStart w:id="112" w:name="_Toc8654102"/>
      <w:bookmarkStart w:id="113" w:name="_Toc8654316"/>
      <w:bookmarkStart w:id="114" w:name="_Toc11318619"/>
      <w:bookmarkStart w:id="115" w:name="_Toc11319606"/>
      <w:bookmarkStart w:id="116" w:name="_Toc11404112"/>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Heading5"/>
      </w:pPr>
      <w:bookmarkStart w:id="117" w:name="_Toc104977777"/>
      <w:bookmarkStart w:id="118" w:name="_Toc8654103"/>
      <w:bookmarkStart w:id="119" w:name="_Toc8654317"/>
      <w:bookmarkStart w:id="120" w:name="_Toc11404113"/>
      <w:r>
        <w:rPr>
          <w:rStyle w:val="CharSectno"/>
        </w:rPr>
        <w:t>10</w:t>
      </w:r>
      <w:r>
        <w:t>.</w:t>
      </w:r>
      <w:r>
        <w:tab/>
        <w:t>Regulations amended</w:t>
      </w:r>
      <w:bookmarkEnd w:id="117"/>
      <w:bookmarkEnd w:id="118"/>
      <w:bookmarkEnd w:id="119"/>
      <w:bookmarkEnd w:id="120"/>
    </w:p>
    <w:p>
      <w:pPr>
        <w:pStyle w:val="Subsection"/>
      </w:pPr>
      <w:r>
        <w:tab/>
      </w:r>
      <w:r>
        <w:tab/>
        <w:t xml:space="preserve">This Part amends the </w:t>
      </w:r>
      <w:r>
        <w:rPr>
          <w:i/>
        </w:rPr>
        <w:t>Liquor Control Regulations 1989</w:t>
      </w:r>
      <w:r>
        <w:t>.</w:t>
      </w:r>
    </w:p>
    <w:p>
      <w:pPr>
        <w:pStyle w:val="Heading5"/>
      </w:pPr>
      <w:bookmarkStart w:id="121" w:name="_Toc104977778"/>
      <w:bookmarkStart w:id="122" w:name="_Toc8654104"/>
      <w:bookmarkStart w:id="123" w:name="_Toc8654318"/>
      <w:bookmarkStart w:id="124" w:name="_Toc11404114"/>
      <w:r>
        <w:rPr>
          <w:rStyle w:val="CharSectno"/>
        </w:rPr>
        <w:t>11</w:t>
      </w:r>
      <w:r>
        <w:t>.</w:t>
      </w:r>
      <w:r>
        <w:tab/>
        <w:t>Regulation 27 amended</w:t>
      </w:r>
      <w:bookmarkEnd w:id="121"/>
      <w:bookmarkEnd w:id="122"/>
      <w:bookmarkEnd w:id="123"/>
      <w:bookmarkEnd w:id="124"/>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CentredBaseLine"/>
        <w:jc w:val="center"/>
        <w:rPr>
          <w:ins w:id="125" w:author="Master Repository Process" w:date="2022-06-03T11:59:00Z"/>
        </w:rPr>
      </w:pPr>
      <w:ins w:id="126" w:author="Master Repository Process" w:date="2022-06-03T11:59: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ByCommand"/>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127" w:name="_Toc104974387"/>
      <w:bookmarkStart w:id="128" w:name="_Toc104977779"/>
      <w:bookmarkStart w:id="129" w:name="_Toc11319609"/>
      <w:bookmarkStart w:id="130" w:name="_Toc11404115"/>
      <w:bookmarkStart w:id="131" w:name="_Toc104973778"/>
      <w:r>
        <w:t>Notes</w:t>
      </w:r>
      <w:bookmarkEnd w:id="127"/>
      <w:bookmarkEnd w:id="128"/>
      <w:bookmarkEnd w:id="129"/>
      <w:bookmarkEnd w:id="130"/>
    </w:p>
    <w:p>
      <w:pPr>
        <w:pStyle w:val="nStatement"/>
      </w:pPr>
      <w:del w:id="132" w:author="Master Repository Process" w:date="2022-06-03T11:59:00Z">
        <w:r>
          <w:rPr>
            <w:vertAlign w:val="superscript"/>
          </w:rPr>
          <w:delText>1</w:delText>
        </w:r>
        <w:r>
          <w:tab/>
        </w:r>
      </w:del>
      <w:r>
        <w:t xml:space="preserve">This is a compilation of the </w:t>
      </w:r>
      <w:r>
        <w:rPr>
          <w:i/>
          <w:noProof/>
        </w:rPr>
        <w:t>Liquor Control (Wakathuni Restricted Area) Regulations</w:t>
      </w:r>
      <w:del w:id="133" w:author="Master Repository Process" w:date="2022-06-03T11:59:00Z">
        <w:r>
          <w:rPr>
            <w:i/>
            <w:noProof/>
          </w:rPr>
          <w:delText xml:space="preserve"> </w:delText>
        </w:r>
      </w:del>
      <w:ins w:id="134" w:author="Master Repository Process" w:date="2022-06-03T11:59:00Z">
        <w:r>
          <w:rPr>
            <w:i/>
            <w:noProof/>
          </w:rPr>
          <w:t> </w:t>
        </w:r>
      </w:ins>
      <w:r>
        <w:rPr>
          <w:i/>
          <w:noProof/>
        </w:rPr>
        <w:t>2019</w:t>
      </w:r>
      <w:del w:id="135" w:author="Master Repository Process" w:date="2022-06-03T11:59:00Z">
        <w:r>
          <w:delText>.  The following</w:delText>
        </w:r>
      </w:del>
      <w:ins w:id="136" w:author="Master Repository Process" w:date="2022-06-03T11:59:00Z">
        <w:r>
          <w:t xml:space="preserve"> and includes amendments made by other written laws. For provisions that have come into operation see the compilation</w:t>
        </w:r>
      </w:ins>
      <w:r>
        <w:t xml:space="preserve"> table</w:t>
      </w:r>
      <w:del w:id="137" w:author="Master Repository Process" w:date="2022-06-03T11:59:00Z">
        <w:r>
          <w:delText xml:space="preserve"> contains information about those regulations</w:delText>
        </w:r>
        <w:r>
          <w:rPr>
            <w:vertAlign w:val="superscript"/>
          </w:rPr>
          <w:delText> 2</w:delText>
        </w:r>
      </w:del>
      <w:r>
        <w:t>.</w:t>
      </w:r>
    </w:p>
    <w:p>
      <w:pPr>
        <w:pStyle w:val="nHeading3"/>
      </w:pPr>
      <w:bookmarkStart w:id="138" w:name="_Toc104977780"/>
      <w:bookmarkStart w:id="139" w:name="_Toc11404116"/>
      <w:r>
        <w:t>Compilation table</w:t>
      </w:r>
      <w:bookmarkEnd w:id="138"/>
      <w:bookmarkEnd w:id="13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40" w:author="Master Repository Process" w:date="2022-06-03T11:59:00Z">
              <w:r>
                <w:rPr>
                  <w:b/>
                </w:rPr>
                <w:delText>Gazettal</w:delText>
              </w:r>
            </w:del>
            <w:ins w:id="141" w:author="Master Repository Process" w:date="2022-06-03T11:59: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(Wakathuni Restricted Area) Regulations 2019</w:t>
            </w:r>
            <w:ins w:id="142" w:author="Master Repository Process" w:date="2022-06-03T11:59:00Z">
              <w:r>
                <w:rPr>
                  <w:vertAlign w:val="superscript"/>
                </w:rPr>
                <w:t> 1</w:t>
              </w:r>
            </w:ins>
          </w:p>
        </w:tc>
        <w:tc>
          <w:tcPr>
            <w:tcW w:w="1276" w:type="dxa"/>
            <w:tcBorders>
              <w:bottom w:val="nil"/>
            </w:tcBorders>
          </w:tcPr>
          <w:p>
            <w:pPr>
              <w:pStyle w:val="nTable"/>
              <w:spacing w:after="40"/>
            </w:pPr>
            <w:r>
              <w:t>14 Jun 2019 p. 1898</w:t>
            </w:r>
            <w:r>
              <w:noBreakHyphen/>
              <w:t>900</w:t>
            </w:r>
          </w:p>
        </w:tc>
        <w:tc>
          <w:tcPr>
            <w:tcW w:w="2693" w:type="dxa"/>
            <w:tcBorders>
              <w:bottom w:val="nil"/>
            </w:tcBorders>
          </w:tcPr>
          <w:p>
            <w:pPr>
              <w:pStyle w:val="nTable"/>
              <w:spacing w:after="40"/>
            </w:pPr>
            <w:r>
              <w:t>r. 1 and 2: 14 Jun 2019 (see r. 2(a));</w:t>
            </w:r>
            <w:r>
              <w:br/>
              <w:t>Regulations other than r. 1 and 2: 15 Jun 2019 (see r. 2(b))</w:t>
            </w:r>
          </w:p>
        </w:tc>
      </w:tr>
      <w:tr>
        <w:trPr>
          <w:ins w:id="143" w:author="Master Repository Process" w:date="2022-06-03T11:59:00Z"/>
        </w:trPr>
        <w:tc>
          <w:tcPr>
            <w:tcW w:w="3118" w:type="dxa"/>
            <w:tcBorders>
              <w:top w:val="nil"/>
              <w:bottom w:val="single" w:sz="4" w:space="0" w:color="auto"/>
            </w:tcBorders>
          </w:tcPr>
          <w:p>
            <w:pPr>
              <w:pStyle w:val="nTable"/>
              <w:spacing w:after="40"/>
              <w:rPr>
                <w:ins w:id="144" w:author="Master Repository Process" w:date="2022-06-03T11:59:00Z"/>
                <w:i/>
                <w:noProof/>
              </w:rPr>
            </w:pPr>
            <w:ins w:id="145" w:author="Master Repository Process" w:date="2022-06-03T11:59:00Z">
              <w:r>
                <w:rPr>
                  <w:i/>
                  <w:noProof/>
                </w:rPr>
                <w:t>Racing and Gaming Regulations Amendment (Liquor Control) Regulations (No. 2) 2022</w:t>
              </w:r>
              <w:r>
                <w:rPr>
                  <w:noProof/>
                </w:rPr>
                <w:t xml:space="preserve"> Pt. 3</w:t>
              </w:r>
            </w:ins>
          </w:p>
        </w:tc>
        <w:tc>
          <w:tcPr>
            <w:tcW w:w="1276" w:type="dxa"/>
            <w:tcBorders>
              <w:top w:val="nil"/>
              <w:bottom w:val="single" w:sz="4" w:space="0" w:color="auto"/>
            </w:tcBorders>
          </w:tcPr>
          <w:p>
            <w:pPr>
              <w:pStyle w:val="nTable"/>
              <w:spacing w:after="40"/>
              <w:rPr>
                <w:ins w:id="146" w:author="Master Repository Process" w:date="2022-06-03T11:59:00Z"/>
              </w:rPr>
            </w:pPr>
            <w:ins w:id="147" w:author="Master Repository Process" w:date="2022-06-03T11:59:00Z">
              <w:r>
                <w:t>SL 2022/63 3 Jun 2022</w:t>
              </w:r>
            </w:ins>
          </w:p>
        </w:tc>
        <w:tc>
          <w:tcPr>
            <w:tcW w:w="2693" w:type="dxa"/>
            <w:tcBorders>
              <w:top w:val="nil"/>
              <w:bottom w:val="single" w:sz="4" w:space="0" w:color="auto"/>
            </w:tcBorders>
          </w:tcPr>
          <w:p>
            <w:pPr>
              <w:pStyle w:val="nTable"/>
              <w:spacing w:after="40"/>
              <w:rPr>
                <w:ins w:id="148" w:author="Master Repository Process" w:date="2022-06-03T11:59:00Z"/>
              </w:rPr>
            </w:pPr>
            <w:ins w:id="149" w:author="Master Repository Process" w:date="2022-06-03T11:59:00Z">
              <w:r>
                <w:t>4 Jun 2022 (see r. 2(b))</w:t>
              </w:r>
            </w:ins>
          </w:p>
        </w:tc>
      </w:tr>
    </w:tbl>
    <w:p>
      <w:pPr>
        <w:pStyle w:val="nHeading3"/>
        <w:rPr>
          <w:ins w:id="150" w:author="Master Repository Process" w:date="2022-06-03T11:59:00Z"/>
        </w:rPr>
      </w:pPr>
      <w:bookmarkStart w:id="151" w:name="_Toc104977781"/>
      <w:del w:id="152" w:author="Master Repository Process" w:date="2022-06-03T11:59:00Z">
        <w:r>
          <w:rPr>
            <w:vertAlign w:val="superscript"/>
          </w:rPr>
          <w:delText>2</w:delText>
        </w:r>
      </w:del>
      <w:ins w:id="153" w:author="Master Repository Process" w:date="2022-06-03T11:59:00Z">
        <w:r>
          <w:t>Other notes</w:t>
        </w:r>
        <w:bookmarkEnd w:id="151"/>
      </w:ins>
    </w:p>
    <w:p>
      <w:pPr>
        <w:pStyle w:val="nNote"/>
      </w:pPr>
      <w:ins w:id="154" w:author="Master Repository Process" w:date="2022-06-03T11:59:00Z">
        <w:r>
          <w:rPr>
            <w:vertAlign w:val="superscript"/>
          </w:rPr>
          <w:t>1</w:t>
        </w:r>
      </w:ins>
      <w:r>
        <w:tab/>
        <w:t xml:space="preserve">These regulations expire </w:t>
      </w:r>
      <w:ins w:id="155" w:author="Master Repository Process" w:date="2022-06-03T11:59:00Z">
        <w:r>
          <w:t xml:space="preserve">at the close of </w:t>
        </w:r>
      </w:ins>
      <w:r>
        <w:t>30 Jun </w:t>
      </w:r>
      <w:del w:id="156" w:author="Master Repository Process" w:date="2022-06-03T11:59:00Z">
        <w:r>
          <w:delText>2022</w:delText>
        </w:r>
      </w:del>
      <w:ins w:id="157" w:author="Master Repository Process" w:date="2022-06-03T11:59:00Z">
        <w:r>
          <w:t>2023</w:t>
        </w:r>
      </w:ins>
      <w:r>
        <w:t xml:space="preserve"> (see r. 9).</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131"/>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9" w:name="Coversheet"/>
    <w:bookmarkEnd w:id="1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0943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A50CD-F84B-4B40-9948-312626AF6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3763</Characters>
  <Application>Microsoft Office Word</Application>
  <DocSecurity>0</DocSecurity>
  <Lines>125</Lines>
  <Paragraphs>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00-a0-00 - 00-b0-00</dc:title>
  <dc:subject/>
  <dc:creator/>
  <cp:keywords/>
  <dc:description/>
  <cp:lastModifiedBy>Master Repository Process</cp:lastModifiedBy>
  <cp:revision>2</cp:revision>
  <cp:lastPrinted>2019-05-14T02:50:00Z</cp:lastPrinted>
  <dcterms:created xsi:type="dcterms:W3CDTF">2022-06-03T03:59:00Z</dcterms:created>
  <dcterms:modified xsi:type="dcterms:W3CDTF">2022-06-03T03:59:00Z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CommencementDate">
    <vt:lpwstr>20220604</vt:lpwstr>
  </property>
  <property fmtid="{D5CDD505-2E9C-101B-9397-08002B2CF9AE}" pid="9" name="FromSuffix">
    <vt:lpwstr>00-a0-00</vt:lpwstr>
  </property>
  <property fmtid="{D5CDD505-2E9C-101B-9397-08002B2CF9AE}" pid="10" name="FromAsAtDate">
    <vt:lpwstr>15 Jun 2019</vt:lpwstr>
  </property>
  <property fmtid="{D5CDD505-2E9C-101B-9397-08002B2CF9AE}" pid="11" name="ToSuffix">
    <vt:lpwstr>00-b0-00</vt:lpwstr>
  </property>
  <property fmtid="{D5CDD505-2E9C-101B-9397-08002B2CF9AE}" pid="12" name="ToAsAtDate">
    <vt:lpwstr>04 Jun 2022</vt:lpwstr>
  </property>
</Properties>
</file>