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Rail Safety National Law (WA)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Apr 2022</w:t>
      </w:r>
      <w:r>
        <w:fldChar w:fldCharType="end"/>
      </w:r>
      <w:r>
        <w:t xml:space="preserve">, </w:t>
      </w:r>
      <w:r>
        <w:fldChar w:fldCharType="begin"/>
      </w:r>
      <w:r>
        <w:instrText xml:space="preserve"> DocProperty FromSuffix </w:instrText>
      </w:r>
      <w:r>
        <w:fldChar w:fldCharType="separate"/>
      </w:r>
      <w:r>
        <w:t>00-p0-00</w:t>
      </w:r>
      <w:r>
        <w:fldChar w:fldCharType="end"/>
      </w:r>
      <w:r>
        <w:t>] and [</w:t>
      </w:r>
      <w:r>
        <w:fldChar w:fldCharType="begin"/>
      </w:r>
      <w:r>
        <w:instrText xml:space="preserve"> DocProperty ToAsAtDate</w:instrText>
      </w:r>
      <w:r>
        <w:fldChar w:fldCharType="separate"/>
      </w:r>
      <w:r>
        <w:t>03 Jun 2022</w:t>
      </w:r>
      <w:r>
        <w:fldChar w:fldCharType="end"/>
      </w:r>
      <w:r>
        <w:t xml:space="preserve">, </w:t>
      </w:r>
      <w:r>
        <w:fldChar w:fldCharType="begin"/>
      </w:r>
      <w:r>
        <w:instrText xml:space="preserve"> DocProperty ToSuffix</w:instrText>
      </w:r>
      <w:r>
        <w:fldChar w:fldCharType="separate"/>
      </w:r>
      <w:r>
        <w:t>00-q0-00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1" w:name="_Toc104992186"/>
      <w:bookmarkStart w:id="2" w:name="_Toc104992340"/>
      <w:bookmarkStart w:id="3" w:name="_Toc105055146"/>
      <w:bookmarkStart w:id="4" w:name="_Toc100051412"/>
      <w:bookmarkStart w:id="5" w:name="_Toc100053327"/>
      <w:bookmarkStart w:id="6" w:name="_Toc100070614"/>
      <w:r>
        <w:rPr>
          <w:rStyle w:val="CharPartNo"/>
        </w:rPr>
        <w:t>P</w:t>
      </w:r>
      <w:bookmarkStart w:id="7" w:name="_GoBack"/>
      <w:bookmarkEnd w:id="7"/>
      <w:r>
        <w:rPr>
          <w:rStyle w:val="CharPartNo"/>
        </w:rPr>
        <w:t>art 1</w:t>
      </w:r>
      <w:r>
        <w:t> —</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105055147"/>
      <w:bookmarkStart w:id="9" w:name="_Toc100070615"/>
      <w:r>
        <w:rPr>
          <w:rStyle w:val="CharSectno"/>
        </w:rPr>
        <w:t>1</w:t>
      </w:r>
      <w:r>
        <w:t>.</w:t>
      </w:r>
      <w:r>
        <w:tab/>
        <w:t>Citation</w:t>
      </w:r>
      <w:bookmarkEnd w:id="8"/>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11" w:name="_Toc105055148"/>
      <w:bookmarkStart w:id="12" w:name="_Toc100070616"/>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13" w:name="_Toc105055149"/>
      <w:bookmarkStart w:id="14" w:name="_Toc100070617"/>
      <w:r>
        <w:rPr>
          <w:rStyle w:val="CharSectno"/>
        </w:rPr>
        <w:t>3</w:t>
      </w:r>
      <w:r>
        <w:t>.</w:t>
      </w:r>
      <w:r>
        <w:tab/>
        <w:t>Terms used</w:t>
      </w:r>
      <w:bookmarkEnd w:id="13"/>
      <w:bookmarkEnd w:id="14"/>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lastRenderedPageBreak/>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15" w:name="_Toc105055150"/>
      <w:bookmarkStart w:id="16" w:name="_Toc100070618"/>
      <w:r>
        <w:rPr>
          <w:rStyle w:val="CharSectno"/>
        </w:rPr>
        <w:t>4</w:t>
      </w:r>
      <w:r>
        <w:t>.</w:t>
      </w:r>
      <w:r>
        <w:tab/>
        <w:t>Definition of occupational health and safety legislation</w:t>
      </w:r>
      <w:bookmarkEnd w:id="15"/>
      <w:bookmarkEnd w:id="16"/>
    </w:p>
    <w:p>
      <w:pPr>
        <w:pStyle w:val="Subsection"/>
      </w:pPr>
      <w:r>
        <w:tab/>
      </w:r>
      <w:r>
        <w:tab/>
        <w:t xml:space="preserve">The </w:t>
      </w:r>
      <w:r>
        <w:rPr>
          <w:i/>
        </w:rPr>
        <w:t>Work Health and Safety Act 2020</w:t>
      </w:r>
      <w:r>
        <w:t xml:space="preserve"> is prescribed for the purposes of the definition of </w:t>
      </w:r>
      <w:r>
        <w:rPr>
          <w:b/>
          <w:i/>
        </w:rPr>
        <w:t>occupational health and safety legislation</w:t>
      </w:r>
      <w:r>
        <w:t xml:space="preserve"> in section 4 (Interpretation) of the Law.</w:t>
      </w:r>
    </w:p>
    <w:p>
      <w:pPr>
        <w:pStyle w:val="Footnotesection"/>
      </w:pPr>
      <w:r>
        <w:tab/>
        <w:t>[Regulation 4 amended: SL 2022/23 r. 4.]</w:t>
      </w:r>
    </w:p>
    <w:p>
      <w:pPr>
        <w:pStyle w:val="Heading5"/>
      </w:pPr>
      <w:bookmarkStart w:id="17" w:name="_Toc105055151"/>
      <w:bookmarkStart w:id="18" w:name="_Toc100070619"/>
      <w:r>
        <w:rPr>
          <w:rStyle w:val="CharSectno"/>
        </w:rPr>
        <w:t>5</w:t>
      </w:r>
      <w:r>
        <w:t>.</w:t>
      </w:r>
      <w:r>
        <w:tab/>
        <w:t>Declaration of drug</w:t>
      </w:r>
      <w:bookmarkEnd w:id="17"/>
      <w:bookmarkEnd w:id="18"/>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19" w:name="_Toc105055152"/>
      <w:bookmarkStart w:id="20" w:name="_Toc100070620"/>
      <w:r>
        <w:rPr>
          <w:rStyle w:val="CharSectno"/>
        </w:rPr>
        <w:t>6</w:t>
      </w:r>
      <w:r>
        <w:t>.</w:t>
      </w:r>
      <w:r>
        <w:tab/>
        <w:t>Meaning of prescribed notifiable occurrence</w:t>
      </w:r>
      <w:bookmarkEnd w:id="19"/>
      <w:bookmarkEnd w:id="20"/>
    </w:p>
    <w:p>
      <w:pPr>
        <w:pStyle w:val="Subsection"/>
      </w:pPr>
      <w:r>
        <w:tab/>
      </w:r>
      <w:r>
        <w:tab/>
        <w:t>A prescribed notifiable occurrence is a Category A notifiable occurrence (other than a Category A notifiable occurrence referred to in regulation 57(1)(a)(v)).</w:t>
      </w:r>
    </w:p>
    <w:p>
      <w:pPr>
        <w:pStyle w:val="Heading5"/>
      </w:pPr>
      <w:bookmarkStart w:id="21" w:name="_Toc105055153"/>
      <w:bookmarkStart w:id="22" w:name="_Toc100070621"/>
      <w:r>
        <w:rPr>
          <w:rStyle w:val="CharSectno"/>
        </w:rPr>
        <w:t>7A</w:t>
      </w:r>
      <w:r>
        <w:t>.</w:t>
      </w:r>
      <w:r>
        <w:tab/>
        <w:t>Numbering</w:t>
      </w:r>
      <w:bookmarkEnd w:id="21"/>
      <w:bookmarkEnd w:id="22"/>
    </w:p>
    <w:p>
      <w:pPr>
        <w:pStyle w:val="Subsection"/>
      </w:pPr>
      <w:r>
        <w:tab/>
      </w:r>
      <w:r>
        <w:tab/>
        <w:t xml:space="preserve">In order to maintain consistent numbering between these regulations and the SA regulations — </w:t>
      </w:r>
    </w:p>
    <w:p>
      <w:pPr>
        <w:pStyle w:val="Indenta"/>
      </w:pPr>
      <w:r>
        <w:tab/>
        <w:t>(a)</w:t>
      </w:r>
      <w:r>
        <w:tab/>
        <w:t xml:space="preserve">if the SA regulations contain a regulation that is not required in these regulations, the provision number and heading to the regulation appearing in the </w:t>
      </w:r>
      <w:r>
        <w:lastRenderedPageBreak/>
        <w:t>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23" w:name="_Toc105055154"/>
      <w:bookmarkStart w:id="24" w:name="_Toc100070622"/>
      <w:r>
        <w:rPr>
          <w:rStyle w:val="CharSectno"/>
        </w:rPr>
        <w:t>7B</w:t>
      </w:r>
      <w:r>
        <w:t>.</w:t>
      </w:r>
      <w:r>
        <w:tab/>
        <w:t>Notes</w:t>
      </w:r>
      <w:bookmarkEnd w:id="23"/>
      <w:bookmarkEnd w:id="24"/>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25" w:name="_Toc105055155"/>
      <w:bookmarkStart w:id="26" w:name="_Toc100070623"/>
      <w:r>
        <w:rPr>
          <w:rStyle w:val="CharSectno"/>
        </w:rPr>
        <w:t>7</w:t>
      </w:r>
      <w:r>
        <w:t>.</w:t>
      </w:r>
      <w:r>
        <w:tab/>
        <w:t>Railways to which Law does or does not apply</w:t>
      </w:r>
      <w:bookmarkEnd w:id="25"/>
      <w:bookmarkEnd w:id="26"/>
    </w:p>
    <w:p>
      <w:pPr>
        <w:pStyle w:val="PermNoteHeading"/>
      </w:pPr>
      <w:r>
        <w:tab/>
        <w:t>Note for this regulation:</w:t>
      </w:r>
    </w:p>
    <w:p>
      <w:pPr>
        <w:pStyle w:val="PermNoteText"/>
      </w:pPr>
      <w:r>
        <w:tab/>
      </w:r>
      <w:r>
        <w:tab/>
        <w:t>The SA regulations provide for railways to which the Law does not apply.</w:t>
      </w:r>
    </w:p>
    <w:p>
      <w:pPr>
        <w:pStyle w:val="Heading2"/>
      </w:pPr>
      <w:bookmarkStart w:id="27" w:name="_Toc104992196"/>
      <w:bookmarkStart w:id="28" w:name="_Toc104992350"/>
      <w:bookmarkStart w:id="29" w:name="_Toc105055156"/>
      <w:bookmarkStart w:id="30" w:name="_Toc100051422"/>
      <w:bookmarkStart w:id="31" w:name="_Toc100053337"/>
      <w:bookmarkStart w:id="32" w:name="_Toc100070624"/>
      <w:r>
        <w:rPr>
          <w:rStyle w:val="CharPartNo"/>
        </w:rPr>
        <w:t>Part 2</w:t>
      </w:r>
      <w:r>
        <w:rPr>
          <w:rStyle w:val="CharDivNo"/>
        </w:rPr>
        <w:t> </w:t>
      </w:r>
      <w:r>
        <w:t>—</w:t>
      </w:r>
      <w:r>
        <w:rPr>
          <w:rStyle w:val="CharDivText"/>
        </w:rPr>
        <w:t> </w:t>
      </w:r>
      <w:r>
        <w:rPr>
          <w:rStyle w:val="CharPartText"/>
        </w:rPr>
        <w:t>Accreditation</w:t>
      </w:r>
      <w:bookmarkEnd w:id="27"/>
      <w:bookmarkEnd w:id="28"/>
      <w:bookmarkEnd w:id="29"/>
      <w:bookmarkEnd w:id="30"/>
      <w:bookmarkEnd w:id="31"/>
      <w:bookmarkEnd w:id="32"/>
    </w:p>
    <w:p>
      <w:pPr>
        <w:pStyle w:val="Heading5"/>
      </w:pPr>
      <w:bookmarkStart w:id="33" w:name="_Toc105055157"/>
      <w:bookmarkStart w:id="34" w:name="_Toc100070625"/>
      <w:r>
        <w:rPr>
          <w:rStyle w:val="CharSectno"/>
        </w:rPr>
        <w:t>8</w:t>
      </w:r>
      <w:r>
        <w:t>.</w:t>
      </w:r>
      <w:r>
        <w:tab/>
        <w:t>Application for accreditation</w:t>
      </w:r>
      <w:bookmarkEnd w:id="33"/>
      <w:bookmarkEnd w:id="34"/>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35" w:name="_Toc105055158"/>
      <w:bookmarkStart w:id="36" w:name="_Toc100070626"/>
      <w:r>
        <w:rPr>
          <w:rStyle w:val="CharSectno"/>
        </w:rPr>
        <w:t>9</w:t>
      </w:r>
      <w:r>
        <w:t>.</w:t>
      </w:r>
      <w:r>
        <w:tab/>
        <w:t>Prescribed conditions and restrictions</w:t>
      </w:r>
      <w:bookmarkEnd w:id="35"/>
      <w:bookmarkEnd w:id="36"/>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37" w:name="_Toc105055159"/>
      <w:bookmarkStart w:id="38" w:name="_Toc100070627"/>
      <w:r>
        <w:rPr>
          <w:rStyle w:val="CharSectno"/>
        </w:rPr>
        <w:t>10</w:t>
      </w:r>
      <w:r>
        <w:t>.</w:t>
      </w:r>
      <w:r>
        <w:tab/>
        <w:t>Prescribed details for required notification</w:t>
      </w:r>
      <w:bookmarkEnd w:id="37"/>
      <w:bookmarkEnd w:id="38"/>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39" w:name="_Toc105055160"/>
      <w:bookmarkStart w:id="40" w:name="_Toc100070628"/>
      <w:r>
        <w:rPr>
          <w:rStyle w:val="CharSectno"/>
        </w:rPr>
        <w:t>11</w:t>
      </w:r>
      <w:r>
        <w:t>.</w:t>
      </w:r>
      <w:r>
        <w:tab/>
        <w:t>Application for variation of accreditation</w:t>
      </w:r>
      <w:bookmarkEnd w:id="39"/>
      <w:bookmarkEnd w:id="40"/>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41" w:name="_Toc104992201"/>
      <w:bookmarkStart w:id="42" w:name="_Toc104992355"/>
      <w:bookmarkStart w:id="43" w:name="_Toc105055161"/>
      <w:bookmarkStart w:id="44" w:name="_Toc100051427"/>
      <w:bookmarkStart w:id="45" w:name="_Toc100053342"/>
      <w:bookmarkStart w:id="46" w:name="_Toc100070629"/>
      <w:r>
        <w:rPr>
          <w:rStyle w:val="CharPartNo"/>
        </w:rPr>
        <w:t>Part 3</w:t>
      </w:r>
      <w:r>
        <w:rPr>
          <w:rStyle w:val="CharDivNo"/>
        </w:rPr>
        <w:t> </w:t>
      </w:r>
      <w:r>
        <w:t>—</w:t>
      </w:r>
      <w:r>
        <w:rPr>
          <w:rStyle w:val="CharDivText"/>
        </w:rPr>
        <w:t> </w:t>
      </w:r>
      <w:r>
        <w:rPr>
          <w:rStyle w:val="CharPartText"/>
        </w:rPr>
        <w:t>Registration of rail infrastructure managers of private sidings</w:t>
      </w:r>
      <w:bookmarkEnd w:id="41"/>
      <w:bookmarkEnd w:id="42"/>
      <w:bookmarkEnd w:id="43"/>
      <w:bookmarkEnd w:id="44"/>
      <w:bookmarkEnd w:id="45"/>
      <w:bookmarkEnd w:id="46"/>
    </w:p>
    <w:p>
      <w:pPr>
        <w:pStyle w:val="Heading5"/>
      </w:pPr>
      <w:bookmarkStart w:id="47" w:name="_Toc105055162"/>
      <w:bookmarkStart w:id="48" w:name="_Toc100070630"/>
      <w:r>
        <w:rPr>
          <w:rStyle w:val="CharSectno"/>
        </w:rPr>
        <w:t>12</w:t>
      </w:r>
      <w:r>
        <w:t>.</w:t>
      </w:r>
      <w:r>
        <w:tab/>
        <w:t>Application for registration</w:t>
      </w:r>
      <w:bookmarkEnd w:id="47"/>
      <w:bookmarkEnd w:id="48"/>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49" w:name="_Toc105055163"/>
      <w:bookmarkStart w:id="50" w:name="_Toc100070631"/>
      <w:r>
        <w:rPr>
          <w:rStyle w:val="CharSectno"/>
        </w:rPr>
        <w:t>13</w:t>
      </w:r>
      <w:r>
        <w:t>.</w:t>
      </w:r>
      <w:r>
        <w:tab/>
        <w:t>Prescribed conditions and restrictions</w:t>
      </w:r>
      <w:bookmarkEnd w:id="49"/>
      <w:bookmarkEnd w:id="50"/>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51" w:name="_Toc105055164"/>
      <w:bookmarkStart w:id="52" w:name="_Toc100070632"/>
      <w:r>
        <w:rPr>
          <w:rStyle w:val="CharSectno"/>
        </w:rPr>
        <w:t>14</w:t>
      </w:r>
      <w:r>
        <w:t>.</w:t>
      </w:r>
      <w:r>
        <w:tab/>
        <w:t>Prescribed details for required notification</w:t>
      </w:r>
      <w:bookmarkEnd w:id="51"/>
      <w:bookmarkEnd w:id="52"/>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53" w:name="_Toc105055165"/>
      <w:bookmarkStart w:id="54" w:name="_Toc100070633"/>
      <w:r>
        <w:rPr>
          <w:rStyle w:val="CharSectno"/>
        </w:rPr>
        <w:t>15</w:t>
      </w:r>
      <w:r>
        <w:t>.</w:t>
      </w:r>
      <w:r>
        <w:tab/>
        <w:t>Application for variation of registration</w:t>
      </w:r>
      <w:bookmarkEnd w:id="53"/>
      <w:bookmarkEnd w:id="54"/>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55" w:name="_Toc104992206"/>
      <w:bookmarkStart w:id="56" w:name="_Toc104992360"/>
      <w:bookmarkStart w:id="57" w:name="_Toc105055166"/>
      <w:bookmarkStart w:id="58" w:name="_Toc100051432"/>
      <w:bookmarkStart w:id="59" w:name="_Toc100053347"/>
      <w:bookmarkStart w:id="60" w:name="_Toc100070634"/>
      <w:r>
        <w:rPr>
          <w:rStyle w:val="CharPartNo"/>
        </w:rPr>
        <w:t>Part 4</w:t>
      </w:r>
      <w:r>
        <w:t> — </w:t>
      </w:r>
      <w:r>
        <w:rPr>
          <w:rStyle w:val="CharPartText"/>
        </w:rPr>
        <w:t>Safety management</w:t>
      </w:r>
      <w:bookmarkEnd w:id="55"/>
      <w:bookmarkEnd w:id="56"/>
      <w:bookmarkEnd w:id="57"/>
      <w:bookmarkEnd w:id="58"/>
      <w:bookmarkEnd w:id="59"/>
      <w:bookmarkEnd w:id="60"/>
    </w:p>
    <w:p>
      <w:pPr>
        <w:pStyle w:val="Heading3"/>
      </w:pPr>
      <w:bookmarkStart w:id="61" w:name="_Toc104992207"/>
      <w:bookmarkStart w:id="62" w:name="_Toc104992361"/>
      <w:bookmarkStart w:id="63" w:name="_Toc105055167"/>
      <w:bookmarkStart w:id="64" w:name="_Toc100051433"/>
      <w:bookmarkStart w:id="65" w:name="_Toc100053348"/>
      <w:bookmarkStart w:id="66" w:name="_Toc100070635"/>
      <w:r>
        <w:rPr>
          <w:rStyle w:val="CharDivNo"/>
        </w:rPr>
        <w:t>Division 1</w:t>
      </w:r>
      <w:r>
        <w:t> — </w:t>
      </w:r>
      <w:r>
        <w:rPr>
          <w:rStyle w:val="CharDivText"/>
        </w:rPr>
        <w:t>Safety management systems</w:t>
      </w:r>
      <w:bookmarkEnd w:id="61"/>
      <w:bookmarkEnd w:id="62"/>
      <w:bookmarkEnd w:id="63"/>
      <w:bookmarkEnd w:id="64"/>
      <w:bookmarkEnd w:id="65"/>
      <w:bookmarkEnd w:id="66"/>
    </w:p>
    <w:p>
      <w:pPr>
        <w:pStyle w:val="Heading5"/>
      </w:pPr>
      <w:bookmarkStart w:id="67" w:name="_Toc105055168"/>
      <w:bookmarkStart w:id="68" w:name="_Toc100070636"/>
      <w:r>
        <w:rPr>
          <w:rStyle w:val="CharSectno"/>
        </w:rPr>
        <w:t>16</w:t>
      </w:r>
      <w:r>
        <w:t>.</w:t>
      </w:r>
      <w:r>
        <w:tab/>
        <w:t>Prescribed requirements for safety management system</w:t>
      </w:r>
      <w:bookmarkEnd w:id="67"/>
      <w:bookmarkEnd w:id="68"/>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69" w:name="_Toc105055169"/>
      <w:bookmarkStart w:id="70" w:name="_Toc100070637"/>
      <w:r>
        <w:rPr>
          <w:rStyle w:val="CharSectno"/>
        </w:rPr>
        <w:t>17</w:t>
      </w:r>
      <w:r>
        <w:t>.</w:t>
      </w:r>
      <w:r>
        <w:tab/>
        <w:t>Review of safety management system</w:t>
      </w:r>
      <w:bookmarkEnd w:id="69"/>
      <w:bookmarkEnd w:id="70"/>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71" w:name="_Toc104992210"/>
      <w:bookmarkStart w:id="72" w:name="_Toc104992364"/>
      <w:bookmarkStart w:id="73" w:name="_Toc105055170"/>
      <w:bookmarkStart w:id="74" w:name="_Toc100051436"/>
      <w:bookmarkStart w:id="75" w:name="_Toc100053351"/>
      <w:bookmarkStart w:id="76" w:name="_Toc100070638"/>
      <w:r>
        <w:rPr>
          <w:rStyle w:val="CharDivNo"/>
        </w:rPr>
        <w:t>Division 2</w:t>
      </w:r>
      <w:r>
        <w:t> — </w:t>
      </w:r>
      <w:r>
        <w:rPr>
          <w:rStyle w:val="CharDivText"/>
        </w:rPr>
        <w:t>Security management plans</w:t>
      </w:r>
      <w:bookmarkEnd w:id="71"/>
      <w:bookmarkEnd w:id="72"/>
      <w:bookmarkEnd w:id="73"/>
      <w:bookmarkEnd w:id="74"/>
      <w:bookmarkEnd w:id="75"/>
      <w:bookmarkEnd w:id="76"/>
    </w:p>
    <w:p>
      <w:pPr>
        <w:pStyle w:val="Heading5"/>
      </w:pPr>
      <w:bookmarkStart w:id="77" w:name="_Toc105055171"/>
      <w:bookmarkStart w:id="78" w:name="_Toc100070639"/>
      <w:r>
        <w:rPr>
          <w:rStyle w:val="CharSectno"/>
        </w:rPr>
        <w:t>18</w:t>
      </w:r>
      <w:r>
        <w:t>.</w:t>
      </w:r>
      <w:r>
        <w:tab/>
        <w:t>Security management plan</w:t>
      </w:r>
      <w:bookmarkEnd w:id="77"/>
      <w:bookmarkEnd w:id="78"/>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79" w:name="_Toc104992212"/>
      <w:bookmarkStart w:id="80" w:name="_Toc104992366"/>
      <w:bookmarkStart w:id="81" w:name="_Toc105055172"/>
      <w:bookmarkStart w:id="82" w:name="_Toc100051438"/>
      <w:bookmarkStart w:id="83" w:name="_Toc100053353"/>
      <w:bookmarkStart w:id="84" w:name="_Toc100070640"/>
      <w:r>
        <w:rPr>
          <w:rStyle w:val="CharDivNo"/>
        </w:rPr>
        <w:t>Division 3</w:t>
      </w:r>
      <w:r>
        <w:t> — </w:t>
      </w:r>
      <w:r>
        <w:rPr>
          <w:rStyle w:val="CharDivText"/>
        </w:rPr>
        <w:t>Emergency management plans</w:t>
      </w:r>
      <w:bookmarkEnd w:id="79"/>
      <w:bookmarkEnd w:id="80"/>
      <w:bookmarkEnd w:id="81"/>
      <w:bookmarkEnd w:id="82"/>
      <w:bookmarkEnd w:id="83"/>
      <w:bookmarkEnd w:id="84"/>
    </w:p>
    <w:p>
      <w:pPr>
        <w:pStyle w:val="Heading5"/>
      </w:pPr>
      <w:bookmarkStart w:id="85" w:name="_Toc105055173"/>
      <w:bookmarkStart w:id="86" w:name="_Toc100070641"/>
      <w:r>
        <w:rPr>
          <w:rStyle w:val="CharSectno"/>
        </w:rPr>
        <w:t>19</w:t>
      </w:r>
      <w:r>
        <w:t>.</w:t>
      </w:r>
      <w:r>
        <w:tab/>
        <w:t>Emergency management plan</w:t>
      </w:r>
      <w:bookmarkEnd w:id="85"/>
      <w:bookmarkEnd w:id="86"/>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87" w:name="_Toc105055174"/>
      <w:bookmarkStart w:id="88" w:name="_Toc100070642"/>
      <w:r>
        <w:rPr>
          <w:rStyle w:val="CharSectno"/>
        </w:rPr>
        <w:t>20</w:t>
      </w:r>
      <w:r>
        <w:t>.</w:t>
      </w:r>
      <w:r>
        <w:tab/>
        <w:t>Keeping, maintaining and testing emergency management plan</w:t>
      </w:r>
      <w:bookmarkEnd w:id="87"/>
      <w:bookmarkEnd w:id="88"/>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89" w:name="_Toc104992215"/>
      <w:bookmarkStart w:id="90" w:name="_Toc104992369"/>
      <w:bookmarkStart w:id="91" w:name="_Toc105055175"/>
      <w:bookmarkStart w:id="92" w:name="_Toc100051441"/>
      <w:bookmarkStart w:id="93" w:name="_Toc100053356"/>
      <w:bookmarkStart w:id="94" w:name="_Toc100070643"/>
      <w:r>
        <w:rPr>
          <w:rStyle w:val="CharDivNo"/>
        </w:rPr>
        <w:t>Division 4</w:t>
      </w:r>
      <w:r>
        <w:t> — </w:t>
      </w:r>
      <w:r>
        <w:rPr>
          <w:rStyle w:val="CharDivText"/>
        </w:rPr>
        <w:t>Network rules</w:t>
      </w:r>
      <w:bookmarkEnd w:id="89"/>
      <w:bookmarkEnd w:id="90"/>
      <w:bookmarkEnd w:id="91"/>
      <w:bookmarkEnd w:id="92"/>
      <w:bookmarkEnd w:id="93"/>
      <w:bookmarkEnd w:id="94"/>
    </w:p>
    <w:p>
      <w:pPr>
        <w:pStyle w:val="Heading5"/>
      </w:pPr>
      <w:bookmarkStart w:id="95" w:name="_Toc105055176"/>
      <w:bookmarkStart w:id="96" w:name="_Toc100070644"/>
      <w:r>
        <w:rPr>
          <w:rStyle w:val="CharSectno"/>
        </w:rPr>
        <w:t>21</w:t>
      </w:r>
      <w:r>
        <w:t>.</w:t>
      </w:r>
      <w:r>
        <w:tab/>
        <w:t>Interpretation</w:t>
      </w:r>
      <w:bookmarkEnd w:id="95"/>
      <w:bookmarkEnd w:id="96"/>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97" w:name="_Toc105055177"/>
      <w:bookmarkStart w:id="98" w:name="_Toc100070645"/>
      <w:r>
        <w:rPr>
          <w:rStyle w:val="CharSectno"/>
        </w:rPr>
        <w:t>22</w:t>
      </w:r>
      <w:r>
        <w:t>.</w:t>
      </w:r>
      <w:r>
        <w:tab/>
        <w:t>Establishing and amending network rules</w:t>
      </w:r>
      <w:bookmarkEnd w:id="97"/>
      <w:bookmarkEnd w:id="98"/>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keepNext/>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99" w:name="_Toc105055178"/>
      <w:bookmarkStart w:id="100" w:name="_Toc100070646"/>
      <w:r>
        <w:rPr>
          <w:rStyle w:val="CharSectno"/>
        </w:rPr>
        <w:t>23</w:t>
      </w:r>
      <w:r>
        <w:t>.</w:t>
      </w:r>
      <w:r>
        <w:tab/>
        <w:t>Emergency amendments to network rules</w:t>
      </w:r>
      <w:bookmarkEnd w:id="99"/>
      <w:bookmarkEnd w:id="100"/>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101" w:name="_Toc104992219"/>
      <w:bookmarkStart w:id="102" w:name="_Toc104992373"/>
      <w:bookmarkStart w:id="103" w:name="_Toc105055179"/>
      <w:bookmarkStart w:id="104" w:name="_Toc100051445"/>
      <w:bookmarkStart w:id="105" w:name="_Toc100053360"/>
      <w:bookmarkStart w:id="106" w:name="_Toc100070647"/>
      <w:r>
        <w:rPr>
          <w:rStyle w:val="CharDivNo"/>
        </w:rPr>
        <w:t>Division 5</w:t>
      </w:r>
      <w:r>
        <w:t> — </w:t>
      </w:r>
      <w:r>
        <w:rPr>
          <w:rStyle w:val="CharDivText"/>
        </w:rPr>
        <w:t>Interface agreements</w:t>
      </w:r>
      <w:bookmarkEnd w:id="101"/>
      <w:bookmarkEnd w:id="102"/>
      <w:bookmarkEnd w:id="103"/>
      <w:bookmarkEnd w:id="104"/>
      <w:bookmarkEnd w:id="105"/>
      <w:bookmarkEnd w:id="106"/>
    </w:p>
    <w:p>
      <w:pPr>
        <w:pStyle w:val="Heading5"/>
      </w:pPr>
      <w:bookmarkStart w:id="107" w:name="_Toc105055180"/>
      <w:bookmarkStart w:id="108" w:name="_Toc100070648"/>
      <w:r>
        <w:rPr>
          <w:rStyle w:val="CharSectno"/>
        </w:rPr>
        <w:t>24</w:t>
      </w:r>
      <w:r>
        <w:t>.</w:t>
      </w:r>
      <w:r>
        <w:tab/>
        <w:t>Interface coordination — rail infrastructure and public roads</w:t>
      </w:r>
      <w:bookmarkEnd w:id="107"/>
      <w:bookmarkEnd w:id="108"/>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109" w:name="_Toc105055181"/>
      <w:bookmarkStart w:id="110" w:name="_Toc100070649"/>
      <w:r>
        <w:rPr>
          <w:rStyle w:val="CharSectno"/>
        </w:rPr>
        <w:t>25</w:t>
      </w:r>
      <w:r>
        <w:t>.</w:t>
      </w:r>
      <w:r>
        <w:tab/>
        <w:t>Interface coordination — rail infrastructure and private roads</w:t>
      </w:r>
      <w:bookmarkEnd w:id="109"/>
      <w:bookmarkEnd w:id="110"/>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 1999</w:t>
      </w:r>
      <w:r>
        <w:t xml:space="preserve"> (Northern Territory), as in force from time to time (and published in the Northern Territory </w:t>
      </w:r>
      <w:r>
        <w:rPr>
          <w:i/>
        </w:rPr>
        <w:t>Government Gazette</w:t>
      </w:r>
      <w:r>
        <w:t xml:space="preserve"> under that section), is prescribed.</w:t>
      </w:r>
    </w:p>
    <w:p>
      <w:pPr>
        <w:pStyle w:val="Footnotesection"/>
      </w:pPr>
      <w:r>
        <w:tab/>
        <w:t>[Regulation 25 amended: SL 2020/75 r. 4; SL 2022/46 r. 14.]</w:t>
      </w:r>
    </w:p>
    <w:p>
      <w:pPr>
        <w:pStyle w:val="Heading3"/>
      </w:pPr>
      <w:bookmarkStart w:id="111" w:name="_Toc104992222"/>
      <w:bookmarkStart w:id="112" w:name="_Toc104992376"/>
      <w:bookmarkStart w:id="113" w:name="_Toc105055182"/>
      <w:bookmarkStart w:id="114" w:name="_Toc100051448"/>
      <w:bookmarkStart w:id="115" w:name="_Toc100053363"/>
      <w:bookmarkStart w:id="116" w:name="_Toc100070650"/>
      <w:r>
        <w:rPr>
          <w:rStyle w:val="CharDivNo"/>
        </w:rPr>
        <w:t>Division 6</w:t>
      </w:r>
      <w:r>
        <w:t> — </w:t>
      </w:r>
      <w:r>
        <w:rPr>
          <w:rStyle w:val="CharDivText"/>
        </w:rPr>
        <w:t>Disclosure of train safety recordings</w:t>
      </w:r>
      <w:bookmarkEnd w:id="111"/>
      <w:bookmarkEnd w:id="112"/>
      <w:bookmarkEnd w:id="113"/>
      <w:bookmarkEnd w:id="114"/>
      <w:bookmarkEnd w:id="115"/>
      <w:bookmarkEnd w:id="116"/>
    </w:p>
    <w:p>
      <w:pPr>
        <w:pStyle w:val="Heading5"/>
      </w:pPr>
      <w:bookmarkStart w:id="117" w:name="_Toc105055183"/>
      <w:bookmarkStart w:id="118" w:name="_Toc100070651"/>
      <w:r>
        <w:rPr>
          <w:rStyle w:val="CharSectno"/>
        </w:rPr>
        <w:t>26</w:t>
      </w:r>
      <w:r>
        <w:t>.</w:t>
      </w:r>
      <w:r>
        <w:tab/>
        <w:t>Disclosure of train safety recordings</w:t>
      </w:r>
      <w:bookmarkEnd w:id="117"/>
      <w:bookmarkEnd w:id="118"/>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119" w:name="_Toc104992224"/>
      <w:bookmarkStart w:id="120" w:name="_Toc104992378"/>
      <w:bookmarkStart w:id="121" w:name="_Toc105055184"/>
      <w:bookmarkStart w:id="122" w:name="_Toc100051450"/>
      <w:bookmarkStart w:id="123" w:name="_Toc100053365"/>
      <w:bookmarkStart w:id="124" w:name="_Toc100070652"/>
      <w:r>
        <w:rPr>
          <w:rStyle w:val="CharPartNo"/>
        </w:rPr>
        <w:t>Part 5</w:t>
      </w:r>
      <w:r>
        <w:rPr>
          <w:rStyle w:val="CharDivNo"/>
        </w:rPr>
        <w:t> </w:t>
      </w:r>
      <w:r>
        <w:t>—</w:t>
      </w:r>
      <w:r>
        <w:rPr>
          <w:rStyle w:val="CharDivText"/>
        </w:rPr>
        <w:t> </w:t>
      </w:r>
      <w:r>
        <w:rPr>
          <w:rStyle w:val="CharPartText"/>
        </w:rPr>
        <w:t>Rail safety workers</w:t>
      </w:r>
      <w:bookmarkEnd w:id="119"/>
      <w:bookmarkEnd w:id="120"/>
      <w:bookmarkEnd w:id="121"/>
      <w:bookmarkEnd w:id="122"/>
      <w:bookmarkEnd w:id="123"/>
      <w:bookmarkEnd w:id="124"/>
    </w:p>
    <w:p>
      <w:pPr>
        <w:pStyle w:val="Heading5"/>
      </w:pPr>
      <w:bookmarkStart w:id="125" w:name="_Toc105055185"/>
      <w:bookmarkStart w:id="126" w:name="_Toc100070653"/>
      <w:r>
        <w:rPr>
          <w:rStyle w:val="CharSectno"/>
        </w:rPr>
        <w:t>27</w:t>
      </w:r>
      <w:r>
        <w:t>.</w:t>
      </w:r>
      <w:r>
        <w:tab/>
        <w:t>Health and fitness management program</w:t>
      </w:r>
      <w:bookmarkEnd w:id="125"/>
      <w:bookmarkEnd w:id="126"/>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127" w:name="_Toc105055186"/>
      <w:bookmarkStart w:id="128" w:name="_Toc100070654"/>
      <w:r>
        <w:rPr>
          <w:rStyle w:val="CharSectno"/>
        </w:rPr>
        <w:t>28</w:t>
      </w:r>
      <w:r>
        <w:t>.</w:t>
      </w:r>
      <w:r>
        <w:tab/>
        <w:t>Drug and alcohol management program</w:t>
      </w:r>
      <w:bookmarkEnd w:id="127"/>
      <w:bookmarkEnd w:id="128"/>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129" w:name="_Toc105055187"/>
      <w:bookmarkStart w:id="130" w:name="_Toc100070655"/>
      <w:r>
        <w:rPr>
          <w:rStyle w:val="CharSectno"/>
        </w:rPr>
        <w:t>29</w:t>
      </w:r>
      <w:r>
        <w:t>.</w:t>
      </w:r>
      <w:r>
        <w:tab/>
        <w:t>Fatigue risk management program</w:t>
      </w:r>
      <w:bookmarkEnd w:id="129"/>
      <w:bookmarkEnd w:id="130"/>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131" w:name="_Toc105055188"/>
      <w:bookmarkStart w:id="132" w:name="_Toc100070656"/>
      <w:r>
        <w:rPr>
          <w:rStyle w:val="CharSectno"/>
        </w:rPr>
        <w:t>30</w:t>
      </w:r>
      <w:r>
        <w:t>.</w:t>
      </w:r>
      <w:r>
        <w:tab/>
        <w:t>Records of competence</w:t>
      </w:r>
      <w:bookmarkEnd w:id="131"/>
      <w:bookmarkEnd w:id="132"/>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133" w:name="_Toc104992229"/>
      <w:bookmarkStart w:id="134" w:name="_Toc104992383"/>
      <w:bookmarkStart w:id="135" w:name="_Toc105055189"/>
      <w:bookmarkStart w:id="136" w:name="_Toc100051455"/>
      <w:bookmarkStart w:id="137" w:name="_Toc100053370"/>
      <w:bookmarkStart w:id="138" w:name="_Toc100070657"/>
      <w:r>
        <w:rPr>
          <w:rStyle w:val="CharPartNo"/>
        </w:rPr>
        <w:t>Part 6</w:t>
      </w:r>
      <w:r>
        <w:rPr>
          <w:rStyle w:val="CharDivNo"/>
        </w:rPr>
        <w:t> </w:t>
      </w:r>
      <w:r>
        <w:t>—</w:t>
      </w:r>
      <w:r>
        <w:rPr>
          <w:rStyle w:val="CharDivText"/>
        </w:rPr>
        <w:t> </w:t>
      </w:r>
      <w:r>
        <w:rPr>
          <w:rStyle w:val="CharPartText"/>
        </w:rPr>
        <w:t>Exemptions granted by Regulator</w:t>
      </w:r>
      <w:bookmarkEnd w:id="133"/>
      <w:bookmarkEnd w:id="134"/>
      <w:bookmarkEnd w:id="135"/>
      <w:bookmarkEnd w:id="136"/>
      <w:bookmarkEnd w:id="137"/>
      <w:bookmarkEnd w:id="138"/>
    </w:p>
    <w:p>
      <w:pPr>
        <w:pStyle w:val="Heading5"/>
      </w:pPr>
      <w:bookmarkStart w:id="139" w:name="_Toc105055190"/>
      <w:bookmarkStart w:id="140" w:name="_Toc100070658"/>
      <w:r>
        <w:rPr>
          <w:rStyle w:val="CharSectno"/>
        </w:rPr>
        <w:t>31</w:t>
      </w:r>
      <w:r>
        <w:t>.</w:t>
      </w:r>
      <w:r>
        <w:tab/>
        <w:t>Application for exemption</w:t>
      </w:r>
      <w:bookmarkEnd w:id="139"/>
      <w:bookmarkEnd w:id="140"/>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141" w:name="_Toc105055191"/>
      <w:bookmarkStart w:id="142" w:name="_Toc100070659"/>
      <w:r>
        <w:rPr>
          <w:rStyle w:val="CharSectno"/>
        </w:rPr>
        <w:t>32</w:t>
      </w:r>
      <w:r>
        <w:t>.</w:t>
      </w:r>
      <w:r>
        <w:tab/>
        <w:t>Prescribed details for required notification</w:t>
      </w:r>
      <w:bookmarkEnd w:id="141"/>
      <w:bookmarkEnd w:id="142"/>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143" w:name="_Toc105055192"/>
      <w:bookmarkStart w:id="144" w:name="_Toc100070660"/>
      <w:r>
        <w:rPr>
          <w:rStyle w:val="CharSectno"/>
        </w:rPr>
        <w:t>33</w:t>
      </w:r>
      <w:r>
        <w:t>.</w:t>
      </w:r>
      <w:r>
        <w:tab/>
        <w:t>Application for variation of an exemption</w:t>
      </w:r>
      <w:bookmarkEnd w:id="143"/>
      <w:bookmarkEnd w:id="144"/>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45" w:name="_Toc104992233"/>
      <w:bookmarkStart w:id="146" w:name="_Toc104992387"/>
      <w:bookmarkStart w:id="147" w:name="_Toc105055193"/>
      <w:bookmarkStart w:id="148" w:name="_Toc100051459"/>
      <w:bookmarkStart w:id="149" w:name="_Toc100053374"/>
      <w:bookmarkStart w:id="150" w:name="_Toc100070661"/>
      <w:r>
        <w:rPr>
          <w:rStyle w:val="CharPartNo"/>
        </w:rPr>
        <w:t>Part 7</w:t>
      </w:r>
      <w:r>
        <w:rPr>
          <w:rStyle w:val="CharDivNo"/>
        </w:rPr>
        <w:t> </w:t>
      </w:r>
      <w:r>
        <w:t>—</w:t>
      </w:r>
      <w:r>
        <w:rPr>
          <w:rStyle w:val="CharDivText"/>
        </w:rPr>
        <w:t> </w:t>
      </w:r>
      <w:r>
        <w:rPr>
          <w:rStyle w:val="CharPartText"/>
        </w:rPr>
        <w:t>Infringement penalty provisions</w:t>
      </w:r>
      <w:bookmarkEnd w:id="145"/>
      <w:bookmarkEnd w:id="146"/>
      <w:bookmarkEnd w:id="147"/>
      <w:bookmarkEnd w:id="148"/>
      <w:bookmarkEnd w:id="149"/>
      <w:bookmarkEnd w:id="150"/>
    </w:p>
    <w:p>
      <w:pPr>
        <w:pStyle w:val="Heading5"/>
      </w:pPr>
      <w:bookmarkStart w:id="151" w:name="_Toc105055194"/>
      <w:bookmarkStart w:id="152" w:name="_Toc100070662"/>
      <w:r>
        <w:rPr>
          <w:rStyle w:val="CharSectno"/>
        </w:rPr>
        <w:t>34</w:t>
      </w:r>
      <w:r>
        <w:t>.</w:t>
      </w:r>
      <w:r>
        <w:tab/>
        <w:t>Infringement penalty provisions</w:t>
      </w:r>
      <w:bookmarkEnd w:id="151"/>
      <w:bookmarkEnd w:id="152"/>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153" w:name="_Toc104992235"/>
      <w:bookmarkStart w:id="154" w:name="_Toc104992389"/>
      <w:bookmarkStart w:id="155" w:name="_Toc105055195"/>
      <w:bookmarkStart w:id="156" w:name="_Toc100051461"/>
      <w:bookmarkStart w:id="157" w:name="_Toc100053376"/>
      <w:bookmarkStart w:id="158" w:name="_Toc100070663"/>
      <w:r>
        <w:rPr>
          <w:rStyle w:val="CharPartNo"/>
        </w:rPr>
        <w:t>Part 8</w:t>
      </w:r>
      <w:r>
        <w:t> — </w:t>
      </w:r>
      <w:r>
        <w:rPr>
          <w:rStyle w:val="CharPartText"/>
        </w:rPr>
        <w:t>Application of certain South Australian Acts to the Law</w:t>
      </w:r>
      <w:bookmarkEnd w:id="153"/>
      <w:bookmarkEnd w:id="154"/>
      <w:bookmarkEnd w:id="155"/>
      <w:bookmarkEnd w:id="156"/>
      <w:bookmarkEnd w:id="157"/>
      <w:bookmarkEnd w:id="158"/>
    </w:p>
    <w:p>
      <w:pPr>
        <w:pStyle w:val="Heading3"/>
      </w:pPr>
      <w:bookmarkStart w:id="159" w:name="_Toc104992236"/>
      <w:bookmarkStart w:id="160" w:name="_Toc104992390"/>
      <w:bookmarkStart w:id="161" w:name="_Toc105055196"/>
      <w:bookmarkStart w:id="162" w:name="_Toc100051462"/>
      <w:bookmarkStart w:id="163" w:name="_Toc100053377"/>
      <w:bookmarkStart w:id="164" w:name="_Toc100070664"/>
      <w:r>
        <w:rPr>
          <w:rStyle w:val="CharDivNo"/>
        </w:rPr>
        <w:t>Division 1</w:t>
      </w:r>
      <w:r>
        <w:t> — </w:t>
      </w:r>
      <w:r>
        <w:rPr>
          <w:rStyle w:val="CharDivText"/>
        </w:rPr>
        <w:t>Application of South Australian FOI Act</w:t>
      </w:r>
      <w:bookmarkEnd w:id="159"/>
      <w:bookmarkEnd w:id="160"/>
      <w:bookmarkEnd w:id="161"/>
      <w:bookmarkEnd w:id="162"/>
      <w:bookmarkEnd w:id="163"/>
      <w:bookmarkEnd w:id="164"/>
    </w:p>
    <w:p>
      <w:pPr>
        <w:pStyle w:val="Heading5"/>
      </w:pPr>
      <w:bookmarkStart w:id="165" w:name="_Toc105055197"/>
      <w:bookmarkStart w:id="166" w:name="_Toc100070665"/>
      <w:r>
        <w:rPr>
          <w:rStyle w:val="CharSectno"/>
        </w:rPr>
        <w:t>35</w:t>
      </w:r>
      <w:r>
        <w:t>.</w:t>
      </w:r>
      <w:r>
        <w:tab/>
        <w:t>Interpretation</w:t>
      </w:r>
      <w:bookmarkEnd w:id="165"/>
      <w:bookmarkEnd w:id="166"/>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167" w:name="_Toc105055198"/>
      <w:bookmarkStart w:id="168" w:name="_Toc100070666"/>
      <w:r>
        <w:rPr>
          <w:rStyle w:val="CharSectno"/>
        </w:rPr>
        <w:t>36</w:t>
      </w:r>
      <w:r>
        <w:t>.</w:t>
      </w:r>
      <w:r>
        <w:tab/>
        <w:t>Application of FOI Act</w:t>
      </w:r>
      <w:bookmarkEnd w:id="167"/>
      <w:bookmarkEnd w:id="168"/>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169" w:name="_Toc105055199"/>
      <w:bookmarkStart w:id="170" w:name="_Toc100070667"/>
      <w:r>
        <w:rPr>
          <w:rStyle w:val="CharSectno"/>
        </w:rPr>
        <w:t>37</w:t>
      </w:r>
      <w:r>
        <w:t>.</w:t>
      </w:r>
      <w:r>
        <w:tab/>
        <w:t>Modifications of FOI Act for purposes of national rail safety scheme</w:t>
      </w:r>
      <w:bookmarkEnd w:id="169"/>
      <w:bookmarkEnd w:id="170"/>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(faa)</w:t>
      </w:r>
      <w:r>
        <w:tab/>
        <w:t>the Office of the National Rail Safety Regulator (</w:t>
      </w:r>
      <w:r>
        <w:rPr>
          <w:b/>
          <w:i/>
        </w:rPr>
        <w:t>ONRSR</w:t>
      </w:r>
      <w:r>
        <w:t>); or</w:t>
      </w:r>
    </w:p>
    <w:p>
      <w:pPr>
        <w:pStyle w:val="BlankClose"/>
      </w:pPr>
    </w:p>
    <w:p>
      <w:pPr>
        <w:pStyle w:val="Indenta"/>
        <w:keepNext/>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section 4(1) of the Rail Safety National Law;</w:t>
      </w:r>
    </w:p>
    <w:p>
      <w:pPr>
        <w:pStyle w:val="BlankClose"/>
      </w:pPr>
    </w:p>
    <w:p>
      <w:pPr>
        <w:pStyle w:val="Indenta"/>
      </w:pPr>
      <w:r>
        <w:tab/>
        <w:t>(da)</w:t>
      </w:r>
      <w:r>
        <w:tab/>
        <w:t xml:space="preserve">section 4(1) — as if the following definitions were inserted after the definition of </w:t>
      </w:r>
      <w:r>
        <w:rPr>
          <w:b/>
          <w:i/>
        </w:rPr>
        <w:t>principal officer</w:t>
      </w:r>
      <w:r>
        <w:t> —</w:t>
      </w:r>
    </w:p>
    <w:p>
      <w:pPr>
        <w:pStyle w:val="BlankOpen"/>
      </w:pPr>
    </w:p>
    <w:p>
      <w:pPr>
        <w:pStyle w:val="MiscellaneousBody"/>
        <w:ind w:left="1843" w:hanging="1843"/>
      </w:pPr>
      <w:r>
        <w:tab/>
      </w:r>
      <w:r>
        <w:rPr>
          <w:b/>
          <w:i/>
        </w:rPr>
        <w:t>Rail Safety National Law</w:t>
      </w:r>
      <w:r>
        <w:t xml:space="preserve"> means </w:t>
      </w:r>
      <w:r>
        <w:rPr>
          <w:b/>
          <w:i/>
        </w:rPr>
        <w:t>this Law</w:t>
      </w:r>
      <w:r>
        <w:t xml:space="preserve"> as defined in section 4(1) of the Rail Safety National Law (WA);</w:t>
      </w:r>
    </w:p>
    <w:p>
      <w:pPr>
        <w:pStyle w:val="MiscellaneousBody"/>
        <w:ind w:left="1843" w:hanging="1843"/>
      </w:pPr>
      <w:r>
        <w:tab/>
      </w:r>
      <w:r>
        <w:rPr>
          <w:b/>
          <w:i/>
        </w:rPr>
        <w:t>Regulator</w:t>
      </w:r>
      <w:r>
        <w:rPr>
          <w:b/>
        </w:rPr>
        <w:t xml:space="preserve"> </w:t>
      </w:r>
      <w:r>
        <w:t>has the same meaning as in section 4(1) of the Rail Safety National Law;</w:t>
      </w:r>
    </w:p>
    <w:p>
      <w:pPr>
        <w:pStyle w:val="BlankClose"/>
        <w:tabs>
          <w:tab w:val="left" w:pos="1985"/>
        </w:tabs>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keepNext/>
      </w:pPr>
      <w:r>
        <w:tab/>
        <w:t>(i)</w:t>
      </w:r>
      <w:r>
        <w:tab/>
        <w:t>as if section 54AA were deleted and the following section substituted —</w:t>
      </w:r>
    </w:p>
    <w:p>
      <w:pPr>
        <w:pStyle w:val="BlankOpen"/>
      </w:pPr>
    </w:p>
    <w:p>
      <w:pPr>
        <w:pStyle w:val="MiscellaneousBody"/>
        <w:keepNext/>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(ka)</w:t>
      </w:r>
      <w:r>
        <w:tab/>
        <w:t>Schedule 1 clause 4(2)(a)(iii) — as if “revenue law” were deleted and “rail safety law” substituted;</w:t>
      </w:r>
    </w:p>
    <w:p>
      <w:pPr>
        <w:pStyle w:val="Indenta"/>
      </w:pPr>
      <w:r>
        <w:tab/>
        <w:t>(kb)</w:t>
      </w:r>
      <w:r>
        <w:tab/>
        <w:t>Schedule 1 clause 4(2)(a)(iv) — as if “or managing rail safety” were inserted after “public safety”;</w:t>
      </w:r>
    </w:p>
    <w:p>
      <w:pPr>
        <w:pStyle w:val="Indenta"/>
      </w:pPr>
      <w:r>
        <w:tab/>
        <w:t>(kc)</w:t>
      </w:r>
      <w:r>
        <w:tab/>
        <w:t>Schedule 1 clause 7(1)(c)(ii)(A) — as if “the Government or to an agency” were deleted and “ONRSR or the Regulator” substituted;</w:t>
      </w:r>
    </w:p>
    <w:p>
      <w:pPr>
        <w:pStyle w:val="Indenta"/>
      </w:pPr>
      <w:r>
        <w:tab/>
        <w:t>(kd)</w:t>
      </w:r>
      <w:r>
        <w:tab/>
        <w:t>Schedule 1 clause 9(1)(a)(ii) — as if “including by, or with, a committee of ONRSR,” were inserted after “taken place,”;</w:t>
      </w:r>
    </w:p>
    <w:p>
      <w:pPr>
        <w:pStyle w:val="Indenta"/>
      </w:pPr>
      <w:r>
        <w:tab/>
        <w:t>(ke)</w:t>
      </w:r>
      <w:r>
        <w:tab/>
        <w:t>Schedule 1 clause 9(1)(a) — as if “Minister or an agency” were deleted and “Minister, ONRSR or the Regulator” substituted;</w:t>
      </w:r>
    </w:p>
    <w:p>
      <w:pPr>
        <w:pStyle w:val="Indenta"/>
      </w:pPr>
      <w:r>
        <w:tab/>
        <w:t>(kf)</w:t>
      </w:r>
      <w:r>
        <w:tab/>
        <w:t>Schedule 1 clause 13(1)(b)(i) — as if “the Government or to an agency” were deleted and “ONRSR or the Regulator in a co</w:t>
      </w:r>
      <w:r>
        <w:noBreakHyphen/>
        <w:t>regulatory environment” substituted;</w:t>
      </w:r>
    </w:p>
    <w:p>
      <w:pPr>
        <w:pStyle w:val="Indenta"/>
      </w:pPr>
      <w:r>
        <w:tab/>
        <w:t>(l)</w:t>
      </w:r>
      <w:r>
        <w:tab/>
        <w:t>Schedule 1 clause 13(2) to (7) — as if subclauses (2) to (7) (inclusive) were deleted;</w:t>
      </w:r>
    </w:p>
    <w:p>
      <w:pPr>
        <w:pStyle w:val="Indenta"/>
      </w:pPr>
      <w:r>
        <w:tab/>
        <w:t>(la)</w:t>
      </w:r>
      <w:r>
        <w:tab/>
        <w:t>Schedule 1 — as if the following clauses were inserted after clause 19 —</w:t>
      </w:r>
    </w:p>
    <w:p>
      <w:pPr>
        <w:pStyle w:val="BlankOpen"/>
      </w:pPr>
    </w:p>
    <w:p>
      <w:pPr>
        <w:pStyle w:val="MiscellaneousBody"/>
        <w:tabs>
          <w:tab w:val="left" w:pos="1560"/>
        </w:tabs>
        <w:ind w:left="2127" w:hanging="2127"/>
        <w:rPr>
          <w:b/>
        </w:rPr>
      </w:pPr>
      <w:r>
        <w:rPr>
          <w:b/>
        </w:rPr>
        <w:tab/>
        <w:t>20—Exempt documents communicated between ONRSR or Regulator and Transport and Infrastructure Council and responsible Ministers etc.</w:t>
      </w:r>
    </w:p>
    <w:p>
      <w:pPr>
        <w:pStyle w:val="MiscellaneousBody"/>
        <w:ind w:left="2268"/>
      </w:pPr>
      <w:r>
        <w:t>The following documents are exempt documents —</w:t>
      </w:r>
    </w:p>
    <w:p>
      <w:pPr>
        <w:pStyle w:val="MiscellaneousBody"/>
        <w:tabs>
          <w:tab w:val="left" w:pos="2694"/>
        </w:tabs>
        <w:ind w:left="3119" w:hanging="3119"/>
      </w:pPr>
      <w:r>
        <w:tab/>
        <w:t>(a)</w:t>
      </w:r>
      <w:r>
        <w:tab/>
        <w:t>a document that contains information from a communication between ONRSR or the Regulator and either of the following —</w:t>
      </w:r>
    </w:p>
    <w:p>
      <w:pPr>
        <w:pStyle w:val="MiscellaneousBody"/>
        <w:tabs>
          <w:tab w:val="left" w:pos="3686"/>
        </w:tabs>
        <w:ind w:left="4253" w:hanging="4253"/>
      </w:pPr>
      <w:r>
        <w:tab/>
        <w:t>(i)</w:t>
      </w:r>
      <w:r>
        <w:tab/>
        <w:t>a member of the Transport and Infrastructure Council (or such other body that may, from time to time, be a body in substitution of the Council);</w:t>
      </w:r>
    </w:p>
    <w:p>
      <w:pPr>
        <w:pStyle w:val="MiscellaneousBody"/>
        <w:tabs>
          <w:tab w:val="left" w:pos="3686"/>
        </w:tabs>
        <w:ind w:left="4253" w:hanging="4253"/>
      </w:pPr>
      <w:r>
        <w:tab/>
        <w:t>(ii)</w:t>
      </w:r>
      <w:r>
        <w:tab/>
        <w:t>a government agency of a participating jurisdiction,</w:t>
      </w:r>
    </w:p>
    <w:p>
      <w:pPr>
        <w:pStyle w:val="MiscellaneousBody"/>
        <w:tabs>
          <w:tab w:val="left" w:pos="2694"/>
        </w:tabs>
        <w:ind w:left="3119" w:hanging="3119"/>
      </w:pPr>
      <w:ins w:id="171" w:author="Master Repository Process" w:date="2022-06-03T12:00:00Z">
        <w:r>
          <w:tab/>
        </w:r>
      </w:ins>
      <w:r>
        <w:tab/>
        <w:t>where the information relates to the business or proceedings of the Transport and Infrastructure Council (or substituted body);</w:t>
      </w:r>
    </w:p>
    <w:p>
      <w:pPr>
        <w:pStyle w:val="MiscellaneousBody"/>
        <w:tabs>
          <w:tab w:val="left" w:pos="2694"/>
        </w:tabs>
        <w:ind w:left="3119" w:hanging="3119"/>
      </w:pPr>
      <w:r>
        <w:tab/>
        <w:t>(b)</w:t>
      </w:r>
      <w:r>
        <w:tab/>
        <w:t>a document that contains information from a communication between ONRSR or the Regulator and a responsible Minister (within the meaning of the Rail Safety National Law).</w:t>
      </w:r>
    </w:p>
    <w:p>
      <w:pPr>
        <w:pStyle w:val="MiscellaneousBody"/>
        <w:tabs>
          <w:tab w:val="left" w:pos="1560"/>
        </w:tabs>
        <w:ind w:left="1985" w:hanging="1985"/>
        <w:rPr>
          <w:b/>
        </w:rPr>
      </w:pPr>
      <w:r>
        <w:rPr>
          <w:b/>
        </w:rPr>
        <w:tab/>
        <w:t>21—Information or documents provided under section 20 of Rail Safety National Law</w:t>
      </w:r>
    </w:p>
    <w:p>
      <w:pPr>
        <w:pStyle w:val="MiscellaneousBody"/>
        <w:ind w:left="2268" w:hanging="2268"/>
      </w:pPr>
      <w:r>
        <w:tab/>
        <w:t>A document is an exempt document if it is a document that is produced, or contains information or evidence that is given, to the Regulator by a person (whether a natural person or a body corporate) in accordance with a requirement under section 20 of the Rail Safety National Law.</w:t>
      </w:r>
    </w:p>
    <w:p>
      <w:pPr>
        <w:pStyle w:val="MiscellaneousBody"/>
        <w:ind w:left="1560" w:hanging="1560"/>
        <w:rPr>
          <w:b/>
        </w:rPr>
      </w:pPr>
      <w:r>
        <w:rPr>
          <w:b/>
        </w:rPr>
        <w:tab/>
        <w:t>22—Train safety recordings</w:t>
      </w:r>
    </w:p>
    <w:p>
      <w:pPr>
        <w:pStyle w:val="MiscellaneousBody"/>
        <w:tabs>
          <w:tab w:val="left" w:pos="1701"/>
        </w:tabs>
        <w:ind w:left="2268" w:hanging="2268"/>
      </w:pPr>
      <w:ins w:id="172" w:author="Master Repository Process" w:date="2022-06-03T12:00:00Z">
        <w:r>
          <w:tab/>
        </w:r>
      </w:ins>
      <w:r>
        <w:t>(1)</w:t>
      </w:r>
      <w:r>
        <w:tab/>
        <w:t>A document is an exempt document if —</w:t>
      </w:r>
    </w:p>
    <w:p>
      <w:pPr>
        <w:pStyle w:val="MiscellaneousBody"/>
        <w:tabs>
          <w:tab w:val="left" w:pos="2552"/>
        </w:tabs>
        <w:ind w:left="3119" w:hanging="3119"/>
      </w:pPr>
      <w:r>
        <w:tab/>
        <w:t>(a)</w:t>
      </w:r>
      <w:r>
        <w:tab/>
        <w:t>it is a train safety recording or any part of a train safety recording; or</w:t>
      </w:r>
    </w:p>
    <w:p>
      <w:pPr>
        <w:pStyle w:val="MiscellaneousBody"/>
        <w:tabs>
          <w:tab w:val="left" w:pos="2552"/>
        </w:tabs>
        <w:ind w:left="3119" w:hanging="3119"/>
      </w:pPr>
      <w:r>
        <w:tab/>
        <w:t>(b)</w:t>
      </w:r>
      <w:r>
        <w:tab/>
        <w:t>it contains any information obtained from a train safety recording or any part of a train safety recording,</w:t>
      </w:r>
    </w:p>
    <w:p>
      <w:pPr>
        <w:pStyle w:val="MiscellaneousBody"/>
        <w:tabs>
          <w:tab w:val="left" w:pos="1701"/>
        </w:tabs>
        <w:ind w:left="2310" w:hanging="2310"/>
      </w:pPr>
      <w:r>
        <w:tab/>
      </w:r>
      <w:r>
        <w:tab/>
        <w:t>provided to, or obtained by, the Regulator under the Rail Safety National Law.</w:t>
      </w:r>
    </w:p>
    <w:p>
      <w:pPr>
        <w:pStyle w:val="MiscellaneousBody"/>
        <w:tabs>
          <w:tab w:val="left" w:pos="1701"/>
        </w:tabs>
        <w:ind w:left="2268" w:hanging="2268"/>
      </w:pPr>
      <w:r>
        <w:tab/>
        <w:t>(2)</w:t>
      </w:r>
      <w:r>
        <w:tab/>
        <w:t>In this clause —</w:t>
      </w:r>
    </w:p>
    <w:p>
      <w:pPr>
        <w:pStyle w:val="MiscellaneousBody"/>
        <w:ind w:left="2410" w:hanging="2410"/>
      </w:pPr>
      <w:r>
        <w:tab/>
      </w:r>
      <w:r>
        <w:rPr>
          <w:b/>
          <w:i/>
        </w:rPr>
        <w:t>train safety recording</w:t>
      </w:r>
      <w:r>
        <w:t xml:space="preserve"> has the same meaning as in section 130 of the Rail Safety National Law.</w:t>
      </w:r>
    </w:p>
    <w:p>
      <w:pPr>
        <w:pStyle w:val="Indenta"/>
      </w:pPr>
      <w:r>
        <w:tab/>
        <w:t>(m)</w:t>
      </w:r>
      <w:r>
        <w:tab/>
        <w:t>with any other modifications that are necessary.</w:t>
      </w:r>
    </w:p>
    <w:p>
      <w:pPr>
        <w:pStyle w:val="Footnotesection"/>
      </w:pPr>
      <w:r>
        <w:tab/>
        <w:t>[Regulation 37 amended: SL 2022/46 r. 15.]</w:t>
      </w:r>
    </w:p>
    <w:p>
      <w:pPr>
        <w:pStyle w:val="Heading5"/>
      </w:pPr>
      <w:bookmarkStart w:id="173" w:name="_Toc105055200"/>
      <w:bookmarkStart w:id="174" w:name="_Toc100070668"/>
      <w:r>
        <w:rPr>
          <w:rStyle w:val="CharSectno"/>
        </w:rPr>
        <w:t>38</w:t>
      </w:r>
      <w:r>
        <w:t>.</w:t>
      </w:r>
      <w:r>
        <w:tab/>
        <w:t>Conferral of jurisdiction on District Court of South Australia</w:t>
      </w:r>
      <w:bookmarkEnd w:id="173"/>
      <w:bookmarkEnd w:id="174"/>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175" w:name="_Toc105055201"/>
      <w:bookmarkStart w:id="176" w:name="_Toc100070669"/>
      <w:r>
        <w:rPr>
          <w:rStyle w:val="CharSectno"/>
        </w:rPr>
        <w:t>39</w:t>
      </w:r>
      <w:r>
        <w:t>.</w:t>
      </w:r>
      <w:r>
        <w:tab/>
        <w:t>Modification of Freedom of Information (Fees and Charges) Regulations</w:t>
      </w:r>
      <w:bookmarkEnd w:id="175"/>
      <w:bookmarkEnd w:id="176"/>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177" w:name="_Toc105055202"/>
      <w:bookmarkStart w:id="178" w:name="_Toc100070670"/>
      <w:r>
        <w:rPr>
          <w:rStyle w:val="CharSectno"/>
        </w:rPr>
        <w:t>40</w:t>
      </w:r>
      <w:r>
        <w:t>.</w:t>
      </w:r>
      <w:r>
        <w:tab/>
        <w:t>Disapplication of other regulations</w:t>
      </w:r>
      <w:bookmarkEnd w:id="177"/>
      <w:bookmarkEnd w:id="178"/>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179" w:name="_Toc104992243"/>
      <w:bookmarkStart w:id="180" w:name="_Toc104992397"/>
      <w:bookmarkStart w:id="181" w:name="_Toc105055203"/>
      <w:bookmarkStart w:id="182" w:name="_Toc100051469"/>
      <w:bookmarkStart w:id="183" w:name="_Toc100053384"/>
      <w:bookmarkStart w:id="184" w:name="_Toc100070671"/>
      <w:r>
        <w:rPr>
          <w:rStyle w:val="CharDivNo"/>
        </w:rPr>
        <w:t>Division 2</w:t>
      </w:r>
      <w:r>
        <w:t> — </w:t>
      </w:r>
      <w:r>
        <w:rPr>
          <w:rStyle w:val="CharDivText"/>
        </w:rPr>
        <w:t>Application of South Australian Ombudsman Act</w:t>
      </w:r>
      <w:bookmarkEnd w:id="179"/>
      <w:bookmarkEnd w:id="180"/>
      <w:bookmarkEnd w:id="181"/>
      <w:bookmarkEnd w:id="182"/>
      <w:bookmarkEnd w:id="183"/>
      <w:bookmarkEnd w:id="184"/>
    </w:p>
    <w:p>
      <w:pPr>
        <w:pStyle w:val="Heading5"/>
      </w:pPr>
      <w:bookmarkStart w:id="185" w:name="_Toc105055204"/>
      <w:bookmarkStart w:id="186" w:name="_Toc100070672"/>
      <w:r>
        <w:rPr>
          <w:rStyle w:val="CharSectno"/>
        </w:rPr>
        <w:t>41</w:t>
      </w:r>
      <w:r>
        <w:t>.</w:t>
      </w:r>
      <w:r>
        <w:tab/>
        <w:t>Interpretation</w:t>
      </w:r>
      <w:bookmarkEnd w:id="185"/>
      <w:bookmarkEnd w:id="186"/>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187" w:name="_Toc105055205"/>
      <w:bookmarkStart w:id="188" w:name="_Toc100070673"/>
      <w:r>
        <w:rPr>
          <w:rStyle w:val="CharSectno"/>
        </w:rPr>
        <w:t>42</w:t>
      </w:r>
      <w:r>
        <w:t>.</w:t>
      </w:r>
      <w:r>
        <w:tab/>
        <w:t>Application of Ombudsman Act</w:t>
      </w:r>
      <w:bookmarkEnd w:id="187"/>
      <w:bookmarkEnd w:id="188"/>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189" w:name="_Toc105055206"/>
      <w:bookmarkStart w:id="190" w:name="_Toc100070674"/>
      <w:r>
        <w:rPr>
          <w:rStyle w:val="CharSectno"/>
        </w:rPr>
        <w:t>43</w:t>
      </w:r>
      <w:r>
        <w:t>.</w:t>
      </w:r>
      <w:r>
        <w:tab/>
        <w:t>Modifications of Ombudsman Act for purposes of national rail safety scheme</w:t>
      </w:r>
      <w:bookmarkEnd w:id="189"/>
      <w:bookmarkEnd w:id="190"/>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191" w:name="_Toc105055207"/>
      <w:bookmarkStart w:id="192" w:name="_Toc100070675"/>
      <w:r>
        <w:rPr>
          <w:rStyle w:val="CharSectno"/>
        </w:rPr>
        <w:t>44</w:t>
      </w:r>
      <w:r>
        <w:t>.</w:t>
      </w:r>
      <w:r>
        <w:tab/>
        <w:t>Conferral of function on Ombudsman of South Australia</w:t>
      </w:r>
      <w:bookmarkEnd w:id="191"/>
      <w:bookmarkEnd w:id="192"/>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193" w:name="_Toc105055208"/>
      <w:bookmarkStart w:id="194" w:name="_Toc100070676"/>
      <w:r>
        <w:rPr>
          <w:rStyle w:val="CharSectno"/>
        </w:rPr>
        <w:t>45</w:t>
      </w:r>
      <w:r>
        <w:t>.</w:t>
      </w:r>
      <w:r>
        <w:tab/>
        <w:t>Conferral of jurisdiction on Supreme Court of South Australia</w:t>
      </w:r>
      <w:bookmarkEnd w:id="193"/>
      <w:bookmarkEnd w:id="194"/>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195" w:name="_Toc104992249"/>
      <w:bookmarkStart w:id="196" w:name="_Toc104992403"/>
      <w:bookmarkStart w:id="197" w:name="_Toc105055209"/>
      <w:bookmarkStart w:id="198" w:name="_Toc100051475"/>
      <w:bookmarkStart w:id="199" w:name="_Toc100053390"/>
      <w:bookmarkStart w:id="200" w:name="_Toc100070677"/>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195"/>
      <w:bookmarkEnd w:id="196"/>
      <w:bookmarkEnd w:id="197"/>
      <w:bookmarkEnd w:id="198"/>
      <w:bookmarkEnd w:id="199"/>
      <w:bookmarkEnd w:id="200"/>
    </w:p>
    <w:p>
      <w:pPr>
        <w:pStyle w:val="Heading5"/>
      </w:pPr>
      <w:bookmarkStart w:id="201" w:name="_Toc105055210"/>
      <w:bookmarkStart w:id="202" w:name="_Toc100070678"/>
      <w:r>
        <w:rPr>
          <w:rStyle w:val="CharSectno"/>
        </w:rPr>
        <w:t>46</w:t>
      </w:r>
      <w:r>
        <w:t>.</w:t>
      </w:r>
      <w:r>
        <w:tab/>
        <w:t>Interpretation</w:t>
      </w:r>
      <w:bookmarkEnd w:id="201"/>
      <w:bookmarkEnd w:id="202"/>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203" w:name="_Toc105055211"/>
      <w:bookmarkStart w:id="204" w:name="_Toc100070679"/>
      <w:r>
        <w:rPr>
          <w:rStyle w:val="CharSectno"/>
        </w:rPr>
        <w:t>47</w:t>
      </w:r>
      <w:r>
        <w:t>.</w:t>
      </w:r>
      <w:r>
        <w:tab/>
        <w:t>Application of Public Finance and Audit Act</w:t>
      </w:r>
      <w:bookmarkEnd w:id="203"/>
      <w:bookmarkEnd w:id="204"/>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205" w:name="_Toc105055212"/>
      <w:bookmarkStart w:id="206" w:name="_Toc100070680"/>
      <w:r>
        <w:rPr>
          <w:rStyle w:val="CharSectno"/>
        </w:rPr>
        <w:t>48</w:t>
      </w:r>
      <w:r>
        <w:t>.</w:t>
      </w:r>
      <w:r>
        <w:tab/>
        <w:t>Modifications of PFA Act for purposes of national rail safety scheme</w:t>
      </w:r>
      <w:bookmarkEnd w:id="205"/>
      <w:bookmarkEnd w:id="206"/>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widowControl w:val="0"/>
      </w:pPr>
      <w:bookmarkStart w:id="207" w:name="_Toc105055213"/>
      <w:bookmarkStart w:id="208" w:name="_Toc100070681"/>
      <w:r>
        <w:rPr>
          <w:rStyle w:val="CharSectno"/>
        </w:rPr>
        <w:t>49</w:t>
      </w:r>
      <w:r>
        <w:t>.</w:t>
      </w:r>
      <w:r>
        <w:tab/>
        <w:t>Conferral of function on Auditor General of South Australia</w:t>
      </w:r>
      <w:bookmarkEnd w:id="207"/>
      <w:bookmarkEnd w:id="208"/>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209" w:name="_Toc105055214"/>
      <w:bookmarkStart w:id="210" w:name="_Toc100070682"/>
      <w:r>
        <w:rPr>
          <w:rStyle w:val="CharSectno"/>
        </w:rPr>
        <w:t>50</w:t>
      </w:r>
      <w:r>
        <w:t>.</w:t>
      </w:r>
      <w:r>
        <w:tab/>
        <w:t>Conferral of jurisdiction on Supreme Court of South Australia</w:t>
      </w:r>
      <w:bookmarkEnd w:id="209"/>
      <w:bookmarkEnd w:id="210"/>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211" w:name="_Toc105055215"/>
      <w:bookmarkStart w:id="212" w:name="_Toc100070683"/>
      <w:r>
        <w:rPr>
          <w:rStyle w:val="CharSectno"/>
        </w:rPr>
        <w:t>51</w:t>
      </w:r>
      <w:r>
        <w:t>.</w:t>
      </w:r>
      <w:r>
        <w:tab/>
        <w:t>Disapplication of regulations</w:t>
      </w:r>
      <w:bookmarkEnd w:id="211"/>
      <w:bookmarkEnd w:id="212"/>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213" w:name="_Toc104992256"/>
      <w:bookmarkStart w:id="214" w:name="_Toc104992410"/>
      <w:bookmarkStart w:id="215" w:name="_Toc105055216"/>
      <w:bookmarkStart w:id="216" w:name="_Toc100051482"/>
      <w:bookmarkStart w:id="217" w:name="_Toc100053397"/>
      <w:bookmarkStart w:id="218" w:name="_Toc100070684"/>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213"/>
      <w:bookmarkEnd w:id="214"/>
      <w:bookmarkEnd w:id="215"/>
      <w:bookmarkEnd w:id="216"/>
      <w:bookmarkEnd w:id="217"/>
      <w:bookmarkEnd w:id="218"/>
    </w:p>
    <w:p>
      <w:pPr>
        <w:pStyle w:val="Heading5"/>
      </w:pPr>
      <w:bookmarkStart w:id="219" w:name="_Toc105055217"/>
      <w:bookmarkStart w:id="220" w:name="_Toc100070685"/>
      <w:r>
        <w:rPr>
          <w:rStyle w:val="CharSectno"/>
        </w:rPr>
        <w:t>52</w:t>
      </w:r>
      <w:r>
        <w:t>.</w:t>
      </w:r>
      <w:r>
        <w:tab/>
        <w:t>Interpretation</w:t>
      </w:r>
      <w:bookmarkEnd w:id="219"/>
      <w:bookmarkEnd w:id="220"/>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221" w:name="_Toc105055218"/>
      <w:bookmarkStart w:id="222" w:name="_Toc100070686"/>
      <w:r>
        <w:rPr>
          <w:rStyle w:val="CharSectno"/>
        </w:rPr>
        <w:t>53</w:t>
      </w:r>
      <w:r>
        <w:t>.</w:t>
      </w:r>
      <w:r>
        <w:tab/>
        <w:t>Application of State Records Act</w:t>
      </w:r>
      <w:bookmarkEnd w:id="221"/>
      <w:bookmarkEnd w:id="222"/>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223" w:name="_Toc105055219"/>
      <w:bookmarkStart w:id="224" w:name="_Toc100070687"/>
      <w:r>
        <w:rPr>
          <w:rStyle w:val="CharSectno"/>
        </w:rPr>
        <w:t>54</w:t>
      </w:r>
      <w:r>
        <w:t>.</w:t>
      </w:r>
      <w:r>
        <w:tab/>
        <w:t>Modifications of State Records Act for purposes of national rail safety scheme</w:t>
      </w:r>
      <w:bookmarkEnd w:id="223"/>
      <w:bookmarkEnd w:id="224"/>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225" w:name="_Toc105055220"/>
      <w:bookmarkStart w:id="226" w:name="_Toc100070688"/>
      <w:r>
        <w:rPr>
          <w:rStyle w:val="CharSectno"/>
        </w:rPr>
        <w:t>55</w:t>
      </w:r>
      <w:r>
        <w:t>.</w:t>
      </w:r>
      <w:r>
        <w:tab/>
        <w:t>Conferral of functions on South Australian Manager and Council</w:t>
      </w:r>
      <w:bookmarkEnd w:id="225"/>
      <w:bookmarkEnd w:id="226"/>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227" w:name="_Toc104992261"/>
      <w:bookmarkStart w:id="228" w:name="_Toc104992415"/>
      <w:bookmarkStart w:id="229" w:name="_Toc105055221"/>
      <w:bookmarkStart w:id="230" w:name="_Toc100051487"/>
      <w:bookmarkStart w:id="231" w:name="_Toc100053402"/>
      <w:bookmarkStart w:id="232" w:name="_Toc100070689"/>
      <w:r>
        <w:rPr>
          <w:rStyle w:val="CharPartNo"/>
        </w:rPr>
        <w:t>Part 9</w:t>
      </w:r>
      <w:r>
        <w:rPr>
          <w:rStyle w:val="CharDivNo"/>
        </w:rPr>
        <w:t> </w:t>
      </w:r>
      <w:r>
        <w:t>—</w:t>
      </w:r>
      <w:r>
        <w:rPr>
          <w:rStyle w:val="CharDivText"/>
        </w:rPr>
        <w:t> </w:t>
      </w:r>
      <w:r>
        <w:rPr>
          <w:rStyle w:val="CharPartText"/>
        </w:rPr>
        <w:t>Miscellaneous</w:t>
      </w:r>
      <w:bookmarkEnd w:id="227"/>
      <w:bookmarkEnd w:id="228"/>
      <w:bookmarkEnd w:id="229"/>
      <w:bookmarkEnd w:id="230"/>
      <w:bookmarkEnd w:id="231"/>
      <w:bookmarkEnd w:id="232"/>
    </w:p>
    <w:p>
      <w:pPr>
        <w:pStyle w:val="Heading5"/>
      </w:pPr>
      <w:bookmarkStart w:id="233" w:name="_Toc105055222"/>
      <w:bookmarkStart w:id="234" w:name="_Toc100070690"/>
      <w:r>
        <w:rPr>
          <w:rStyle w:val="CharSectno"/>
        </w:rPr>
        <w:t>56</w:t>
      </w:r>
      <w:r>
        <w:t>.</w:t>
      </w:r>
      <w:r>
        <w:tab/>
        <w:t>Periodic information to be supplied</w:t>
      </w:r>
      <w:bookmarkEnd w:id="233"/>
      <w:bookmarkEnd w:id="234"/>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 </w:t>
      </w:r>
    </w:p>
    <w:p>
      <w:pPr>
        <w:pStyle w:val="Indenta"/>
      </w:pPr>
      <w:r>
        <w:tab/>
        <w:t>(a)</w:t>
      </w:r>
      <w:r>
        <w:tab/>
        <w:t xml:space="preserve">in respect of the whole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p>
    <w:p>
      <w:pPr>
        <w:pStyle w:val="Indenta"/>
      </w:pPr>
      <w:r>
        <w:tab/>
      </w:r>
      <w:r>
        <w:tab/>
        <w:t>and</w:t>
      </w:r>
    </w:p>
    <w:p>
      <w:pPr>
        <w:pStyle w:val="Indenta"/>
      </w:pPr>
      <w:r>
        <w:tab/>
        <w:t>(b)</w:t>
      </w:r>
      <w:r>
        <w:tab/>
        <w:t>as on the last working day of the month — the number of employees of the rail transport operator engaged to undertake rail safety work in respect of a railway over which the operator has effective management and control.</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pPr>
      <w:r>
        <w:tab/>
        <w:t>[(4)</w:t>
      </w:r>
      <w:r>
        <w:tab/>
        <w:t>deleted]</w:t>
      </w:r>
    </w:p>
    <w:p>
      <w:pPr>
        <w:pStyle w:val="Footnotesection"/>
      </w:pPr>
      <w:r>
        <w:tab/>
        <w:t>[Regulation 56 amended: Gazette 26 May 2017 p. 2635</w:t>
      </w:r>
      <w:r>
        <w:noBreakHyphen/>
        <w:t>6.]</w:t>
      </w:r>
    </w:p>
    <w:p>
      <w:pPr>
        <w:pStyle w:val="Heading5"/>
        <w:widowControl w:val="0"/>
      </w:pPr>
      <w:bookmarkStart w:id="235" w:name="_Toc105055223"/>
      <w:bookmarkStart w:id="236" w:name="_Toc100070691"/>
      <w:r>
        <w:rPr>
          <w:rStyle w:val="CharSectno"/>
        </w:rPr>
        <w:t>57</w:t>
      </w:r>
      <w:r>
        <w:t>.</w:t>
      </w:r>
      <w:r>
        <w:tab/>
        <w:t>Reporting of notifiable occurrences</w:t>
      </w:r>
      <w:bookmarkEnd w:id="235"/>
      <w:bookmarkEnd w:id="236"/>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immediately after becoming aware of the occurrence — give an oral report of the occurrence to the Regulator; 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Footnotesection"/>
        <w:rPr>
          <w:caps/>
        </w:rPr>
      </w:pPr>
      <w:r>
        <w:tab/>
        <w:t>[Regulation</w:t>
      </w:r>
      <w:r>
        <w:rPr>
          <w:caps/>
        </w:rPr>
        <w:t xml:space="preserve"> 57 </w:t>
      </w:r>
      <w:r>
        <w:t>amended: SL 2020/75 r. 5.]</w:t>
      </w:r>
    </w:p>
    <w:p>
      <w:pPr>
        <w:pStyle w:val="Heading5"/>
      </w:pPr>
      <w:bookmarkStart w:id="237" w:name="_Toc105055224"/>
      <w:bookmarkStart w:id="238" w:name="_Toc100070692"/>
      <w:r>
        <w:rPr>
          <w:rStyle w:val="CharSectno"/>
        </w:rPr>
        <w:t>58</w:t>
      </w:r>
      <w:r>
        <w:t>.</w:t>
      </w:r>
      <w:r>
        <w:tab/>
        <w:t>Fees</w:t>
      </w:r>
      <w:bookmarkEnd w:id="237"/>
      <w:bookmarkEnd w:id="238"/>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39" w:name="_Toc104992265"/>
      <w:bookmarkStart w:id="240" w:name="_Toc104992419"/>
      <w:bookmarkStart w:id="241" w:name="_Toc105055225"/>
      <w:bookmarkStart w:id="242" w:name="_Toc100051491"/>
      <w:bookmarkStart w:id="243" w:name="_Toc100053406"/>
      <w:bookmarkStart w:id="244" w:name="_Toc100070693"/>
      <w:r>
        <w:rPr>
          <w:rStyle w:val="CharSchNo"/>
        </w:rPr>
        <w:t>Schedule 1</w:t>
      </w:r>
      <w:r>
        <w:rPr>
          <w:rStyle w:val="CharSDivNo"/>
          <w:sz w:val="28"/>
        </w:rPr>
        <w:t> </w:t>
      </w:r>
      <w:r>
        <w:t>—</w:t>
      </w:r>
      <w:r>
        <w:rPr>
          <w:rStyle w:val="CharSDivText"/>
          <w:sz w:val="28"/>
        </w:rPr>
        <w:t> </w:t>
      </w:r>
      <w:r>
        <w:rPr>
          <w:rStyle w:val="CharSchText"/>
        </w:rPr>
        <w:t>Content of safety management system</w:t>
      </w:r>
      <w:bookmarkEnd w:id="239"/>
      <w:bookmarkEnd w:id="240"/>
      <w:bookmarkEnd w:id="241"/>
      <w:bookmarkEnd w:id="242"/>
      <w:bookmarkEnd w:id="243"/>
      <w:bookmarkEnd w:id="244"/>
    </w:p>
    <w:p>
      <w:pPr>
        <w:pStyle w:val="yShoulderClause"/>
      </w:pPr>
      <w:r>
        <w:t>[r. 16]</w:t>
      </w:r>
    </w:p>
    <w:p>
      <w:pPr>
        <w:pStyle w:val="yHeading5"/>
      </w:pPr>
      <w:bookmarkStart w:id="245" w:name="_Toc105055226"/>
      <w:bookmarkStart w:id="246" w:name="_Toc100070694"/>
      <w:r>
        <w:rPr>
          <w:rStyle w:val="CharSClsNo"/>
        </w:rPr>
        <w:t>1</w:t>
      </w:r>
      <w:r>
        <w:t>.</w:t>
      </w:r>
      <w:r>
        <w:tab/>
        <w:t>Interpretation</w:t>
      </w:r>
      <w:bookmarkEnd w:id="245"/>
      <w:bookmarkEnd w:id="246"/>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247" w:name="_Toc105055227"/>
      <w:bookmarkStart w:id="248" w:name="_Toc100070695"/>
      <w:r>
        <w:rPr>
          <w:rStyle w:val="CharSClsNo"/>
        </w:rPr>
        <w:t>2</w:t>
      </w:r>
      <w:r>
        <w:t>.</w:t>
      </w:r>
      <w:r>
        <w:tab/>
        <w:t>Safety policy</w:t>
      </w:r>
      <w:bookmarkEnd w:id="247"/>
      <w:bookmarkEnd w:id="248"/>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249" w:name="_Toc105055228"/>
      <w:bookmarkStart w:id="250" w:name="_Toc100070696"/>
      <w:r>
        <w:rPr>
          <w:rStyle w:val="CharSClsNo"/>
        </w:rPr>
        <w:t>3</w:t>
      </w:r>
      <w:r>
        <w:t>.</w:t>
      </w:r>
      <w:r>
        <w:tab/>
        <w:t>Safety culture</w:t>
      </w:r>
      <w:bookmarkEnd w:id="249"/>
      <w:bookmarkEnd w:id="250"/>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251" w:name="_Toc105055229"/>
      <w:bookmarkStart w:id="252" w:name="_Toc100070697"/>
      <w:r>
        <w:rPr>
          <w:rStyle w:val="CharSClsNo"/>
        </w:rPr>
        <w:t>4</w:t>
      </w:r>
      <w:r>
        <w:t>.</w:t>
      </w:r>
      <w:r>
        <w:tab/>
        <w:t>Governance and internal control arrangements</w:t>
      </w:r>
      <w:bookmarkEnd w:id="251"/>
      <w:bookmarkEnd w:id="252"/>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253" w:name="_Toc105055230"/>
      <w:bookmarkStart w:id="254" w:name="_Toc100070698"/>
      <w:r>
        <w:rPr>
          <w:rStyle w:val="CharSClsNo"/>
        </w:rPr>
        <w:t>5</w:t>
      </w:r>
      <w:r>
        <w:t>.</w:t>
      </w:r>
      <w:r>
        <w:tab/>
        <w:t>Management, responsibilities, accountabilities and authorities</w:t>
      </w:r>
      <w:bookmarkEnd w:id="253"/>
      <w:bookmarkEnd w:id="254"/>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255" w:name="_Toc105055231"/>
      <w:bookmarkStart w:id="256" w:name="_Toc100070699"/>
      <w:r>
        <w:rPr>
          <w:rStyle w:val="CharSClsNo"/>
        </w:rPr>
        <w:t>6</w:t>
      </w:r>
      <w:r>
        <w:t>.</w:t>
      </w:r>
      <w:r>
        <w:tab/>
        <w:t>Regulatory compliance</w:t>
      </w:r>
      <w:bookmarkEnd w:id="255"/>
      <w:bookmarkEnd w:id="256"/>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257" w:name="_Toc105055232"/>
      <w:bookmarkStart w:id="258" w:name="_Toc100070700"/>
      <w:r>
        <w:rPr>
          <w:rStyle w:val="CharSClsNo"/>
        </w:rPr>
        <w:t>7</w:t>
      </w:r>
      <w:r>
        <w:t>.</w:t>
      </w:r>
      <w:r>
        <w:tab/>
        <w:t>Document control arrangements and information management</w:t>
      </w:r>
      <w:bookmarkEnd w:id="257"/>
      <w:bookmarkEnd w:id="258"/>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259" w:name="_Toc105055233"/>
      <w:bookmarkStart w:id="260" w:name="_Toc100070701"/>
      <w:r>
        <w:rPr>
          <w:rStyle w:val="CharSClsNo"/>
        </w:rPr>
        <w:t>8</w:t>
      </w:r>
      <w:r>
        <w:t>.</w:t>
      </w:r>
      <w:r>
        <w:tab/>
        <w:t>Review of the safety management system</w:t>
      </w:r>
      <w:bookmarkEnd w:id="259"/>
      <w:bookmarkEnd w:id="260"/>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261" w:name="_Toc105055234"/>
      <w:bookmarkStart w:id="262" w:name="_Toc100070702"/>
      <w:r>
        <w:rPr>
          <w:rStyle w:val="CharSClsNo"/>
        </w:rPr>
        <w:t>9</w:t>
      </w:r>
      <w:r>
        <w:t>.</w:t>
      </w:r>
      <w:r>
        <w:tab/>
        <w:t>Safety performance measures</w:t>
      </w:r>
      <w:bookmarkEnd w:id="261"/>
      <w:bookmarkEnd w:id="262"/>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263" w:name="_Toc105055235"/>
      <w:bookmarkStart w:id="264" w:name="_Toc100070703"/>
      <w:r>
        <w:rPr>
          <w:rStyle w:val="CharSClsNo"/>
        </w:rPr>
        <w:t>10</w:t>
      </w:r>
      <w:r>
        <w:t>.</w:t>
      </w:r>
      <w:r>
        <w:tab/>
        <w:t>Safety audit arrangements</w:t>
      </w:r>
      <w:bookmarkEnd w:id="263"/>
      <w:bookmarkEnd w:id="264"/>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265" w:name="_Toc105055236"/>
      <w:bookmarkStart w:id="266" w:name="_Toc100070704"/>
      <w:r>
        <w:rPr>
          <w:rStyle w:val="CharSClsNo"/>
        </w:rPr>
        <w:t>11</w:t>
      </w:r>
      <w:r>
        <w:t>.</w:t>
      </w:r>
      <w:r>
        <w:tab/>
        <w:t>Corrective action</w:t>
      </w:r>
      <w:bookmarkEnd w:id="265"/>
      <w:bookmarkEnd w:id="266"/>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267" w:name="_Toc105055237"/>
      <w:bookmarkStart w:id="268" w:name="_Toc100070705"/>
      <w:r>
        <w:rPr>
          <w:rStyle w:val="CharSClsNo"/>
        </w:rPr>
        <w:t>12</w:t>
      </w:r>
      <w:r>
        <w:t>.</w:t>
      </w:r>
      <w:r>
        <w:tab/>
        <w:t>Management of change</w:t>
      </w:r>
      <w:bookmarkEnd w:id="267"/>
      <w:bookmarkEnd w:id="268"/>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269" w:name="_Toc105055238"/>
      <w:bookmarkStart w:id="270" w:name="_Toc100070706"/>
      <w:r>
        <w:rPr>
          <w:rStyle w:val="CharSClsNo"/>
        </w:rPr>
        <w:t>13</w:t>
      </w:r>
      <w:r>
        <w:t>.</w:t>
      </w:r>
      <w:r>
        <w:tab/>
        <w:t>Consultation</w:t>
      </w:r>
      <w:bookmarkEnd w:id="269"/>
      <w:bookmarkEnd w:id="270"/>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271" w:name="_Toc105055239"/>
      <w:bookmarkStart w:id="272" w:name="_Toc100070707"/>
      <w:r>
        <w:rPr>
          <w:rStyle w:val="CharSClsNo"/>
        </w:rPr>
        <w:t>14</w:t>
      </w:r>
      <w:r>
        <w:t>.</w:t>
      </w:r>
      <w:r>
        <w:tab/>
        <w:t>Internal communication</w:t>
      </w:r>
      <w:bookmarkEnd w:id="271"/>
      <w:bookmarkEnd w:id="272"/>
    </w:p>
    <w:p>
      <w:pPr>
        <w:pStyle w:val="ySubsection"/>
        <w:keepNext/>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273" w:name="_Toc105055240"/>
      <w:bookmarkStart w:id="274" w:name="_Toc100070708"/>
      <w:r>
        <w:rPr>
          <w:rStyle w:val="CharSClsNo"/>
        </w:rPr>
        <w:t>15</w:t>
      </w:r>
      <w:r>
        <w:t>.</w:t>
      </w:r>
      <w:r>
        <w:tab/>
        <w:t>Training and instruction</w:t>
      </w:r>
      <w:bookmarkEnd w:id="273"/>
      <w:bookmarkEnd w:id="274"/>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275" w:name="_Toc105055241"/>
      <w:bookmarkStart w:id="276" w:name="_Toc100070709"/>
      <w:r>
        <w:rPr>
          <w:rStyle w:val="CharSClsNo"/>
        </w:rPr>
        <w:t>16</w:t>
      </w:r>
      <w:r>
        <w:t>.</w:t>
      </w:r>
      <w:r>
        <w:tab/>
        <w:t>Risk management</w:t>
      </w:r>
      <w:bookmarkEnd w:id="275"/>
      <w:bookmarkEnd w:id="276"/>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keepNext/>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277" w:name="_Toc105055242"/>
      <w:bookmarkStart w:id="278" w:name="_Toc100070710"/>
      <w:r>
        <w:rPr>
          <w:rStyle w:val="CharSClsNo"/>
        </w:rPr>
        <w:t>17</w:t>
      </w:r>
      <w:r>
        <w:t>.</w:t>
      </w:r>
      <w:r>
        <w:tab/>
        <w:t>Human factors</w:t>
      </w:r>
      <w:bookmarkEnd w:id="277"/>
      <w:bookmarkEnd w:id="278"/>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279" w:name="_Toc105055243"/>
      <w:bookmarkStart w:id="280" w:name="_Toc100070711"/>
      <w:r>
        <w:rPr>
          <w:rStyle w:val="CharSClsNo"/>
        </w:rPr>
        <w:t>18</w:t>
      </w:r>
      <w:r>
        <w:t>.</w:t>
      </w:r>
      <w:r>
        <w:tab/>
        <w:t>Procurement and contract management</w:t>
      </w:r>
      <w:bookmarkEnd w:id="279"/>
      <w:bookmarkEnd w:id="280"/>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281" w:name="_Toc105055244"/>
      <w:bookmarkStart w:id="282" w:name="_Toc100070712"/>
      <w:r>
        <w:rPr>
          <w:rStyle w:val="CharSClsNo"/>
        </w:rPr>
        <w:t>19</w:t>
      </w:r>
      <w:r>
        <w:t>.</w:t>
      </w:r>
      <w:r>
        <w:tab/>
        <w:t>General engineering and operational systems safety requirements</w:t>
      </w:r>
      <w:bookmarkEnd w:id="281"/>
      <w:bookmarkEnd w:id="282"/>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283" w:name="_Toc105055245"/>
      <w:bookmarkStart w:id="284" w:name="_Toc100070713"/>
      <w:r>
        <w:rPr>
          <w:rStyle w:val="CharSClsNo"/>
        </w:rPr>
        <w:t>20</w:t>
      </w:r>
      <w:r>
        <w:t>.</w:t>
      </w:r>
      <w:r>
        <w:tab/>
        <w:t>Process control</w:t>
      </w:r>
      <w:bookmarkEnd w:id="283"/>
      <w:bookmarkEnd w:id="284"/>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285" w:name="_Toc105055246"/>
      <w:bookmarkStart w:id="286" w:name="_Toc100070714"/>
      <w:r>
        <w:rPr>
          <w:rStyle w:val="CharSClsNo"/>
        </w:rPr>
        <w:t>21</w:t>
      </w:r>
      <w:r>
        <w:t>.</w:t>
      </w:r>
      <w:r>
        <w:tab/>
        <w:t>Asset management</w:t>
      </w:r>
      <w:bookmarkEnd w:id="285"/>
      <w:bookmarkEnd w:id="286"/>
    </w:p>
    <w:p>
      <w:pPr>
        <w:pStyle w:val="ySubsection"/>
      </w:pPr>
      <w:r>
        <w:tab/>
      </w:r>
      <w:r>
        <w:tab/>
        <w:t>An asset management policy and processes that address all phases of the asset life cycle of the rail infrastructure or rolling stock operations.</w:t>
      </w:r>
    </w:p>
    <w:p>
      <w:pPr>
        <w:pStyle w:val="yHeading5"/>
      </w:pPr>
      <w:bookmarkStart w:id="287" w:name="_Toc105055247"/>
      <w:bookmarkStart w:id="288" w:name="_Toc100070715"/>
      <w:r>
        <w:rPr>
          <w:rStyle w:val="CharSClsNo"/>
        </w:rPr>
        <w:t>22</w:t>
      </w:r>
      <w:r>
        <w:t>.</w:t>
      </w:r>
      <w:r>
        <w:tab/>
        <w:t>Safety interface coordination</w:t>
      </w:r>
      <w:bookmarkEnd w:id="287"/>
      <w:bookmarkEnd w:id="288"/>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289" w:name="_Toc105055248"/>
      <w:bookmarkStart w:id="290" w:name="_Toc100070716"/>
      <w:r>
        <w:rPr>
          <w:rStyle w:val="CharSClsNo"/>
        </w:rPr>
        <w:t>23</w:t>
      </w:r>
      <w:r>
        <w:t>.</w:t>
      </w:r>
      <w:r>
        <w:tab/>
        <w:t>Management of notifiable occurrences</w:t>
      </w:r>
      <w:bookmarkEnd w:id="289"/>
      <w:bookmarkEnd w:id="290"/>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291" w:name="_Toc105055249"/>
      <w:bookmarkStart w:id="292" w:name="_Toc100070717"/>
      <w:r>
        <w:rPr>
          <w:rStyle w:val="CharSClsNo"/>
        </w:rPr>
        <w:t>24</w:t>
      </w:r>
      <w:r>
        <w:t>.</w:t>
      </w:r>
      <w:r>
        <w:tab/>
        <w:t>Rail safety worker competence</w:t>
      </w:r>
      <w:bookmarkEnd w:id="291"/>
      <w:bookmarkEnd w:id="292"/>
    </w:p>
    <w:p>
      <w:pPr>
        <w:pStyle w:val="ySubsection"/>
      </w:pPr>
      <w:r>
        <w:tab/>
      </w:r>
      <w:r>
        <w:tab/>
        <w:t>Procedures and, where necessary, standards to ensure compliance with section 117 (Assessment of competence) of the Law.</w:t>
      </w:r>
    </w:p>
    <w:p>
      <w:pPr>
        <w:pStyle w:val="yHeading5"/>
      </w:pPr>
      <w:bookmarkStart w:id="293" w:name="_Toc105055250"/>
      <w:bookmarkStart w:id="294" w:name="_Toc100070718"/>
      <w:r>
        <w:rPr>
          <w:rStyle w:val="CharSClsNo"/>
        </w:rPr>
        <w:t>25</w:t>
      </w:r>
      <w:r>
        <w:t>.</w:t>
      </w:r>
      <w:r>
        <w:tab/>
        <w:t>Security management</w:t>
      </w:r>
      <w:bookmarkEnd w:id="293"/>
      <w:bookmarkEnd w:id="294"/>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295" w:name="_Toc105055251"/>
      <w:bookmarkStart w:id="296" w:name="_Toc100070719"/>
      <w:r>
        <w:rPr>
          <w:rStyle w:val="CharSClsNo"/>
        </w:rPr>
        <w:t>26</w:t>
      </w:r>
      <w:r>
        <w:t>.</w:t>
      </w:r>
      <w:r>
        <w:tab/>
        <w:t>Emergency management</w:t>
      </w:r>
      <w:bookmarkEnd w:id="295"/>
      <w:bookmarkEnd w:id="296"/>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297" w:name="_Toc105055252"/>
      <w:bookmarkStart w:id="298" w:name="_Toc100070720"/>
      <w:r>
        <w:rPr>
          <w:rStyle w:val="CharSClsNo"/>
        </w:rPr>
        <w:t>27</w:t>
      </w:r>
      <w:r>
        <w:t>.</w:t>
      </w:r>
      <w:r>
        <w:tab/>
        <w:t>Health and fitness</w:t>
      </w:r>
      <w:bookmarkEnd w:id="297"/>
      <w:bookmarkEnd w:id="298"/>
    </w:p>
    <w:p>
      <w:pPr>
        <w:pStyle w:val="ySubsection"/>
      </w:pPr>
      <w:r>
        <w:tab/>
      </w:r>
      <w:r>
        <w:tab/>
        <w:t>Systems and procedures to ensure compliance with section 114 (Health and fitness management program) of the Law and with regulation 27.</w:t>
      </w:r>
    </w:p>
    <w:p>
      <w:pPr>
        <w:pStyle w:val="yHeading5"/>
      </w:pPr>
      <w:bookmarkStart w:id="299" w:name="_Toc105055253"/>
      <w:bookmarkStart w:id="300" w:name="_Toc100070721"/>
      <w:r>
        <w:rPr>
          <w:rStyle w:val="CharSClsNo"/>
        </w:rPr>
        <w:t>28</w:t>
      </w:r>
      <w:r>
        <w:t>.</w:t>
      </w:r>
      <w:r>
        <w:tab/>
        <w:t>Drugs and alcohol</w:t>
      </w:r>
      <w:bookmarkEnd w:id="299"/>
      <w:bookmarkEnd w:id="300"/>
    </w:p>
    <w:p>
      <w:pPr>
        <w:pStyle w:val="ySubsection"/>
      </w:pPr>
      <w:r>
        <w:tab/>
      </w:r>
      <w:r>
        <w:tab/>
        <w:t>Systems and procedures to ensure compliance with section 115 (Drug and alcohol management program) of the Law and with regulation 28.</w:t>
      </w:r>
    </w:p>
    <w:p>
      <w:pPr>
        <w:pStyle w:val="yHeading5"/>
      </w:pPr>
      <w:bookmarkStart w:id="301" w:name="_Toc105055254"/>
      <w:bookmarkStart w:id="302" w:name="_Toc100070722"/>
      <w:r>
        <w:rPr>
          <w:rStyle w:val="CharSClsNo"/>
        </w:rPr>
        <w:t>29</w:t>
      </w:r>
      <w:r>
        <w:t>.</w:t>
      </w:r>
      <w:r>
        <w:tab/>
        <w:t>Fatigue risk management</w:t>
      </w:r>
      <w:bookmarkEnd w:id="301"/>
      <w:bookmarkEnd w:id="302"/>
    </w:p>
    <w:p>
      <w:pPr>
        <w:pStyle w:val="ySubsection"/>
      </w:pPr>
      <w:r>
        <w:tab/>
      </w:r>
      <w:r>
        <w:tab/>
        <w:t>Systems and procedures to ensure compliance with section 116 (Fatigue risk management program) of the Law and regulation 29.</w:t>
      </w:r>
    </w:p>
    <w:p>
      <w:pPr>
        <w:pStyle w:val="yHeading5"/>
      </w:pPr>
      <w:bookmarkStart w:id="303" w:name="_Toc105055255"/>
      <w:bookmarkStart w:id="304" w:name="_Toc100070723"/>
      <w:r>
        <w:rPr>
          <w:rStyle w:val="CharSClsNo"/>
        </w:rPr>
        <w:t>30</w:t>
      </w:r>
      <w:r>
        <w:t>.</w:t>
      </w:r>
      <w:r>
        <w:tab/>
        <w:t>Resource availability</w:t>
      </w:r>
      <w:bookmarkEnd w:id="303"/>
      <w:bookmarkEnd w:id="304"/>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305" w:name="_Toc104992296"/>
      <w:bookmarkStart w:id="306" w:name="_Toc104992450"/>
      <w:bookmarkStart w:id="307" w:name="_Toc105055256"/>
      <w:bookmarkStart w:id="308" w:name="_Toc100051522"/>
      <w:bookmarkStart w:id="309" w:name="_Toc100053437"/>
      <w:bookmarkStart w:id="310" w:name="_Toc100070724"/>
      <w:r>
        <w:rPr>
          <w:rStyle w:val="CharSchNo"/>
        </w:rPr>
        <w:t>Schedule 3</w:t>
      </w:r>
      <w:r>
        <w:t> — </w:t>
      </w:r>
      <w:r>
        <w:rPr>
          <w:rStyle w:val="CharSchText"/>
        </w:rPr>
        <w:t>Fees</w:t>
      </w:r>
      <w:bookmarkEnd w:id="305"/>
      <w:bookmarkEnd w:id="306"/>
      <w:bookmarkEnd w:id="307"/>
      <w:bookmarkEnd w:id="308"/>
      <w:bookmarkEnd w:id="309"/>
      <w:bookmarkEnd w:id="310"/>
    </w:p>
    <w:p>
      <w:pPr>
        <w:pStyle w:val="yShoulderClause"/>
      </w:pPr>
      <w:r>
        <w:t>[r. 58]</w:t>
      </w:r>
    </w:p>
    <w:p>
      <w:pPr>
        <w:pStyle w:val="yHeading3"/>
        <w:spacing w:after="160"/>
      </w:pPr>
      <w:bookmarkStart w:id="311" w:name="_Toc104992297"/>
      <w:bookmarkStart w:id="312" w:name="_Toc104992451"/>
      <w:bookmarkStart w:id="313" w:name="_Toc105055257"/>
      <w:bookmarkStart w:id="314" w:name="_Toc100051523"/>
      <w:bookmarkStart w:id="315" w:name="_Toc100053438"/>
      <w:bookmarkStart w:id="316" w:name="_Toc100070725"/>
      <w:r>
        <w:rPr>
          <w:rStyle w:val="CharSDivNo"/>
        </w:rPr>
        <w:t>Division 1</w:t>
      </w:r>
      <w:r>
        <w:t> — </w:t>
      </w:r>
      <w:r>
        <w:rPr>
          <w:rStyle w:val="CharSDivText"/>
        </w:rPr>
        <w:t>Application fees</w:t>
      </w:r>
      <w:bookmarkEnd w:id="311"/>
      <w:bookmarkEnd w:id="312"/>
      <w:bookmarkEnd w:id="313"/>
      <w:bookmarkEnd w:id="314"/>
      <w:bookmarkEnd w:id="315"/>
      <w:bookmarkEnd w:id="31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317" w:name="_Toc104992298"/>
      <w:bookmarkStart w:id="318" w:name="_Toc104992452"/>
      <w:bookmarkStart w:id="319" w:name="_Toc105055258"/>
      <w:bookmarkStart w:id="320" w:name="_Toc100051524"/>
      <w:bookmarkStart w:id="321" w:name="_Toc100053439"/>
      <w:bookmarkStart w:id="322" w:name="_Toc100070726"/>
      <w:r>
        <w:rPr>
          <w:rStyle w:val="CharSDivNo"/>
        </w:rPr>
        <w:t>Division 2</w:t>
      </w:r>
      <w:r>
        <w:t> — </w:t>
      </w:r>
      <w:r>
        <w:rPr>
          <w:rStyle w:val="CharSDivText"/>
        </w:rPr>
        <w:t>Annual fees</w:t>
      </w:r>
      <w:bookmarkEnd w:id="317"/>
      <w:bookmarkEnd w:id="318"/>
      <w:bookmarkEnd w:id="319"/>
      <w:bookmarkEnd w:id="320"/>
      <w:bookmarkEnd w:id="321"/>
      <w:bookmarkEnd w:id="322"/>
    </w:p>
    <w:p>
      <w:pPr>
        <w:pStyle w:val="yHeading5"/>
      </w:pPr>
      <w:bookmarkStart w:id="323" w:name="_Toc105055259"/>
      <w:bookmarkStart w:id="324" w:name="_Toc100070727"/>
      <w:r>
        <w:rPr>
          <w:rStyle w:val="CharSClsNo"/>
        </w:rPr>
        <w:t>1</w:t>
      </w:r>
      <w:r>
        <w:t>.</w:t>
      </w:r>
      <w:r>
        <w:tab/>
        <w:t>Annual fees</w:t>
      </w:r>
      <w:bookmarkEnd w:id="323"/>
      <w:bookmarkEnd w:id="324"/>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rPr>
        <w:tc>
          <w:tcPr>
            <w:tcW w:w="4961" w:type="dxa"/>
            <w:noWrap/>
          </w:tcPr>
          <w:p>
            <w:pPr>
              <w:pStyle w:val="yTableNAm"/>
              <w:rPr>
                <w:sz w:val="20"/>
              </w:rPr>
            </w:pPr>
            <w:r>
              <w:rPr>
                <w:sz w:val="20"/>
              </w:rPr>
              <w:t>Rate per kilometre of track managed by a rail infrastructure manager ($/km) (R</w:t>
            </w:r>
            <w:r>
              <w:rPr>
                <w:sz w:val="20"/>
                <w:vertAlign w:val="subscript"/>
              </w:rPr>
              <w:t>T</w:t>
            </w:r>
            <w:r>
              <w:rPr>
                <w:sz w:val="20"/>
              </w:rPr>
              <w:t>)</w:t>
            </w:r>
          </w:p>
        </w:tc>
        <w:tc>
          <w:tcPr>
            <w:tcW w:w="1559" w:type="dxa"/>
            <w:noWrap/>
          </w:tcPr>
          <w:p>
            <w:pPr>
              <w:pStyle w:val="yTableNAm"/>
              <w:jc w:val="center"/>
              <w:rPr>
                <w:sz w:val="20"/>
              </w:rPr>
            </w:pPr>
            <w:r>
              <w:rPr>
                <w:sz w:val="20"/>
              </w:rPr>
              <w:t>82.31</w:t>
            </w:r>
          </w:p>
        </w:tc>
      </w:tr>
      <w:tr>
        <w:tc>
          <w:tcPr>
            <w:tcW w:w="4961" w:type="dxa"/>
            <w:noWrap/>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noWrap/>
          </w:tcPr>
          <w:p>
            <w:pPr>
              <w:pStyle w:val="yTableNAm"/>
              <w:jc w:val="center"/>
              <w:rPr>
                <w:sz w:val="20"/>
              </w:rPr>
            </w:pPr>
            <w:r>
              <w:rPr>
                <w:sz w:val="20"/>
              </w:rPr>
              <w:t>0.050</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Footnotesection"/>
      </w:pPr>
      <w:r>
        <w:tab/>
        <w:t>[Clause 1 amended: Gazette 14 Jun 2016 p. 1992; 26 May 2017 p. 2636; 25 May 2018 p. 1642; 28 Jun 2019 p. 2487; SL 2020/75 r. 6; SL 2021/91 r. 4.]</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326" w:name="_Toc104992300"/>
      <w:bookmarkStart w:id="327" w:name="_Toc104992454"/>
      <w:bookmarkStart w:id="328" w:name="_Toc105055260"/>
      <w:bookmarkStart w:id="329" w:name="_Toc100051526"/>
      <w:bookmarkStart w:id="330" w:name="_Toc100053441"/>
      <w:bookmarkStart w:id="331" w:name="_Toc100070728"/>
      <w:r>
        <w:t>Notes</w:t>
      </w:r>
      <w:bookmarkEnd w:id="326"/>
      <w:bookmarkEnd w:id="327"/>
      <w:bookmarkEnd w:id="328"/>
      <w:bookmarkEnd w:id="329"/>
      <w:bookmarkEnd w:id="330"/>
      <w:bookmarkEnd w:id="331"/>
    </w:p>
    <w:p>
      <w:pPr>
        <w:pStyle w:val="nStatement"/>
      </w:pPr>
      <w:r>
        <w:t xml:space="preserve">This is a compilation of the </w:t>
      </w:r>
      <w:r>
        <w:rPr>
          <w:i/>
          <w:noProof/>
        </w:rPr>
        <w:t>Rail Safety National Law (WA) Regulations 2015</w:t>
      </w:r>
      <w:r>
        <w:t xml:space="preserve"> and includes amendments made by other written laws. For provisions that have come into operation see the compilation table.</w:t>
      </w:r>
      <w:ins w:id="332" w:author="Master Repository Process" w:date="2022-06-03T12:00:00Z">
        <w:r>
          <w:t xml:space="preserve"> For provisions that have not yet come into operation see the uncommenced provisions table.</w:t>
        </w:r>
      </w:ins>
    </w:p>
    <w:p>
      <w:pPr>
        <w:pStyle w:val="nHeading3"/>
      </w:pPr>
      <w:bookmarkStart w:id="333" w:name="_Toc105055261"/>
      <w:bookmarkStart w:id="334" w:name="_Toc100070729"/>
      <w:r>
        <w:t>Compilation table</w:t>
      </w:r>
      <w:bookmarkEnd w:id="333"/>
      <w:bookmarkEnd w:id="334"/>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bCs/>
                <w:snapToGrid w:val="0"/>
                <w:spacing w:val="-2"/>
              </w:rPr>
              <w:t xml:space="preserve">2 Nov 2015 (see r. 2(b) and </w:t>
            </w:r>
            <w:r>
              <w:rPr>
                <w:bCs/>
                <w:i/>
                <w:snapToGrid w:val="0"/>
                <w:spacing w:val="-2"/>
              </w:rPr>
              <w:t xml:space="preserve">Gazette </w:t>
            </w:r>
            <w:r>
              <w:rPr>
                <w:bCs/>
                <w:snapToGrid w:val="0"/>
                <w:spacing w:val="-2"/>
              </w:rPr>
              <w:t>16 Oct 2015 p. 4149)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Transport Regulations Amendment (Fees and Charges) Regulations 2018 </w:t>
            </w:r>
            <w:r>
              <w:t>Pt. 4</w:t>
            </w:r>
          </w:p>
        </w:tc>
        <w:tc>
          <w:tcPr>
            <w:tcW w:w="1276" w:type="dxa"/>
          </w:tcPr>
          <w:p>
            <w:pPr>
              <w:pStyle w:val="nTable"/>
              <w:spacing w:after="40"/>
            </w:pPr>
            <w:r>
              <w:t>25 May 2018 p. 1640</w:t>
            </w:r>
            <w:r>
              <w:noBreakHyphen/>
              <w:t>7</w:t>
            </w:r>
          </w:p>
        </w:tc>
        <w:tc>
          <w:tcPr>
            <w:tcW w:w="2693" w:type="dxa"/>
          </w:tcPr>
          <w:p>
            <w:pPr>
              <w:pStyle w:val="nTable"/>
              <w:spacing w:after="40"/>
              <w:rPr>
                <w:noProof/>
              </w:rPr>
            </w:pPr>
            <w:r>
              <w:t>1 Jul 2018 (see r. 2(b))</w:t>
            </w:r>
          </w:p>
        </w:tc>
      </w:tr>
      <w:tr>
        <w:trPr>
          <w:cantSplit/>
        </w:trPr>
        <w:tc>
          <w:tcPr>
            <w:tcW w:w="3119" w:type="dxa"/>
            <w:tcBorders>
              <w:top w:val="nil"/>
              <w:bottom w:val="nil"/>
            </w:tcBorders>
          </w:tcPr>
          <w:p>
            <w:pPr>
              <w:pStyle w:val="nTable"/>
              <w:spacing w:after="40"/>
              <w:ind w:right="113"/>
            </w:pPr>
            <w:r>
              <w:rPr>
                <w:i/>
              </w:rPr>
              <w:t>Rail Safety National Law (WA) Amendment Regulations 2019</w:t>
            </w:r>
          </w:p>
        </w:tc>
        <w:tc>
          <w:tcPr>
            <w:tcW w:w="1276" w:type="dxa"/>
            <w:tcBorders>
              <w:top w:val="nil"/>
              <w:bottom w:val="nil"/>
            </w:tcBorders>
          </w:tcPr>
          <w:p>
            <w:pPr>
              <w:pStyle w:val="nTable"/>
              <w:spacing w:after="40"/>
            </w:pPr>
            <w:r>
              <w:t>28 Jun 2019 p. 2486</w:t>
            </w:r>
            <w:r>
              <w:noBreakHyphen/>
              <w:t>7</w:t>
            </w:r>
          </w:p>
        </w:tc>
        <w:tc>
          <w:tcPr>
            <w:tcW w:w="2693" w:type="dxa"/>
            <w:tcBorders>
              <w:top w:val="nil"/>
              <w:bottom w:val="nil"/>
            </w:tcBorders>
          </w:tcPr>
          <w:p>
            <w:pPr>
              <w:pStyle w:val="nTable"/>
              <w:spacing w:after="40"/>
            </w:pPr>
            <w:r>
              <w:rPr>
                <w:noProof/>
              </w:rPr>
              <w:t xml:space="preserve">r. 1 and 2: </w:t>
            </w:r>
            <w:r>
              <w:t>28 Jun 2019 (see r. 2(a));</w:t>
            </w:r>
            <w:r>
              <w:br/>
              <w:t>Regulations other than r. 1 and 2: 1 Jul 2019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2020</w:t>
            </w:r>
          </w:p>
        </w:tc>
        <w:tc>
          <w:tcPr>
            <w:tcW w:w="1276" w:type="dxa"/>
            <w:tcBorders>
              <w:top w:val="nil"/>
              <w:bottom w:val="nil"/>
            </w:tcBorders>
          </w:tcPr>
          <w:p>
            <w:pPr>
              <w:pStyle w:val="nTable"/>
              <w:spacing w:after="40"/>
            </w:pPr>
            <w:r>
              <w:t>SL 2020/75 9 Jun 2020</w:t>
            </w:r>
          </w:p>
        </w:tc>
        <w:tc>
          <w:tcPr>
            <w:tcW w:w="2693" w:type="dxa"/>
            <w:tcBorders>
              <w:top w:val="nil"/>
              <w:bottom w:val="nil"/>
            </w:tcBorders>
          </w:tcPr>
          <w:p>
            <w:pPr>
              <w:pStyle w:val="nTable"/>
              <w:spacing w:after="40"/>
              <w:rPr>
                <w:noProof/>
              </w:rPr>
            </w:pPr>
            <w:r>
              <w:rPr>
                <w:noProof/>
              </w:rPr>
              <w:t>r. 1 and 2: 9 Jun 2020 (see r. 2(a));</w:t>
            </w:r>
            <w:r>
              <w:rPr>
                <w:noProof/>
              </w:rPr>
              <w:br/>
              <w:t>Regulations other than r. 1 and 2: 1 Jul 2020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2021</w:t>
            </w:r>
          </w:p>
        </w:tc>
        <w:tc>
          <w:tcPr>
            <w:tcW w:w="1276" w:type="dxa"/>
            <w:tcBorders>
              <w:top w:val="nil"/>
              <w:bottom w:val="nil"/>
            </w:tcBorders>
          </w:tcPr>
          <w:p>
            <w:pPr>
              <w:pStyle w:val="nTable"/>
              <w:spacing w:after="40"/>
            </w:pPr>
            <w:r>
              <w:t>SL 2021/91 18 Jun 2021</w:t>
            </w:r>
          </w:p>
        </w:tc>
        <w:tc>
          <w:tcPr>
            <w:tcW w:w="2693" w:type="dxa"/>
            <w:tcBorders>
              <w:top w:val="nil"/>
              <w:bottom w:val="nil"/>
            </w:tcBorders>
          </w:tcPr>
          <w:p>
            <w:pPr>
              <w:pStyle w:val="nTable"/>
              <w:spacing w:after="40"/>
              <w:rPr>
                <w:noProof/>
              </w:rPr>
            </w:pPr>
            <w:r>
              <w:rPr>
                <w:noProof/>
              </w:rPr>
              <w:t xml:space="preserve">r. 1 and 2: </w:t>
            </w:r>
            <w:r>
              <w:t>18 Jun 2021</w:t>
            </w:r>
            <w:r>
              <w:rPr>
                <w:noProof/>
              </w:rPr>
              <w:t xml:space="preserve"> (see r. 2(a));</w:t>
            </w:r>
            <w:r>
              <w:rPr>
                <w:noProof/>
              </w:rPr>
              <w:br/>
              <w:t xml:space="preserve">Regulations other than r. 1 and 2: </w:t>
            </w:r>
            <w:r>
              <w:t>1 Jul 2021 (see r. 2(b))</w:t>
            </w:r>
          </w:p>
        </w:tc>
      </w:tr>
      <w:tr>
        <w:trPr>
          <w:cantSplit/>
        </w:trPr>
        <w:tc>
          <w:tcPr>
            <w:tcW w:w="3119" w:type="dxa"/>
            <w:tcBorders>
              <w:top w:val="nil"/>
              <w:bottom w:val="nil"/>
            </w:tcBorders>
          </w:tcPr>
          <w:p>
            <w:pPr>
              <w:pStyle w:val="nTable"/>
              <w:spacing w:after="40"/>
              <w:ind w:right="113"/>
              <w:rPr>
                <w:i/>
              </w:rPr>
            </w:pPr>
            <w:r>
              <w:rPr>
                <w:i/>
              </w:rPr>
              <w:t>Transport Regulations Amendment (Work Health and Safety) Regulations 2022</w:t>
            </w:r>
            <w:r>
              <w:t xml:space="preserve"> Pt. 2</w:t>
            </w:r>
          </w:p>
        </w:tc>
        <w:tc>
          <w:tcPr>
            <w:tcW w:w="1276" w:type="dxa"/>
            <w:tcBorders>
              <w:top w:val="nil"/>
              <w:bottom w:val="nil"/>
            </w:tcBorders>
          </w:tcPr>
          <w:p>
            <w:pPr>
              <w:pStyle w:val="nTable"/>
              <w:spacing w:after="40"/>
            </w:pPr>
            <w:r>
              <w:t>SL 2022/23 11 Mar 2022</w:t>
            </w:r>
          </w:p>
        </w:tc>
        <w:tc>
          <w:tcPr>
            <w:tcW w:w="2693" w:type="dxa"/>
            <w:tcBorders>
              <w:top w:val="nil"/>
              <w:bottom w:val="nil"/>
            </w:tcBorders>
          </w:tcPr>
          <w:p>
            <w:pPr>
              <w:pStyle w:val="nTable"/>
              <w:spacing w:after="40"/>
              <w:rPr>
                <w:noProof/>
              </w:rPr>
            </w:pPr>
            <w:r>
              <w:t>31 Mar 2022 (see r. 2(b) and SL 2022/18 cl. 2)</w:t>
            </w:r>
          </w:p>
        </w:tc>
      </w:tr>
      <w:tr>
        <w:trPr>
          <w:cantSplit/>
        </w:trPr>
        <w:tc>
          <w:tcPr>
            <w:tcW w:w="3119" w:type="dxa"/>
            <w:tcBorders>
              <w:top w:val="nil"/>
              <w:bottom w:val="single" w:sz="4" w:space="0" w:color="auto"/>
            </w:tcBorders>
          </w:tcPr>
          <w:p>
            <w:pPr>
              <w:pStyle w:val="nTable"/>
              <w:spacing w:after="40"/>
              <w:ind w:right="113"/>
              <w:rPr>
                <w:i/>
              </w:rPr>
            </w:pPr>
            <w:r>
              <w:rPr>
                <w:i/>
              </w:rPr>
              <w:t xml:space="preserve">Transport Regulations Amendment (Rail Safety National Law) Regulations 2022 </w:t>
            </w:r>
            <w:r>
              <w:t>Pt. 3</w:t>
            </w:r>
          </w:p>
        </w:tc>
        <w:tc>
          <w:tcPr>
            <w:tcW w:w="1276" w:type="dxa"/>
            <w:tcBorders>
              <w:top w:val="nil"/>
              <w:bottom w:val="single" w:sz="4" w:space="0" w:color="auto"/>
            </w:tcBorders>
          </w:tcPr>
          <w:p>
            <w:pPr>
              <w:pStyle w:val="nTable"/>
              <w:spacing w:after="40"/>
            </w:pPr>
            <w:r>
              <w:t>SL 2022/46 8 Apr 2022</w:t>
            </w:r>
          </w:p>
        </w:tc>
        <w:tc>
          <w:tcPr>
            <w:tcW w:w="2693" w:type="dxa"/>
            <w:tcBorders>
              <w:top w:val="nil"/>
              <w:bottom w:val="single" w:sz="4" w:space="0" w:color="auto"/>
            </w:tcBorders>
          </w:tcPr>
          <w:p>
            <w:pPr>
              <w:pStyle w:val="nTable"/>
              <w:spacing w:after="40"/>
            </w:pPr>
            <w:r>
              <w:t>9 Apr 2022 (see r. 2(b))</w:t>
            </w:r>
          </w:p>
        </w:tc>
      </w:tr>
    </w:tbl>
    <w:p>
      <w:pPr>
        <w:pStyle w:val="nHeading3"/>
        <w:rPr>
          <w:ins w:id="335" w:author="Master Repository Process" w:date="2022-06-03T12:00:00Z"/>
        </w:rPr>
      </w:pPr>
      <w:bookmarkStart w:id="336" w:name="_Toc105055262"/>
      <w:ins w:id="337" w:author="Master Repository Process" w:date="2022-06-03T12:00:00Z">
        <w:r>
          <w:t>Uncommenced provisions table</w:t>
        </w:r>
        <w:bookmarkEnd w:id="336"/>
      </w:ins>
    </w:p>
    <w:p>
      <w:pPr>
        <w:pStyle w:val="nStatement"/>
        <w:keepNext/>
        <w:spacing w:after="240"/>
        <w:rPr>
          <w:ins w:id="338" w:author="Master Repository Process" w:date="2022-06-03T12:00:00Z"/>
        </w:rPr>
      </w:pPr>
      <w:ins w:id="339" w:author="Master Repository Process" w:date="2022-06-03T12:00: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40" w:author="Master Repository Process" w:date="2022-06-03T12:00:00Z"/>
        </w:trPr>
        <w:tc>
          <w:tcPr>
            <w:tcW w:w="3118" w:type="dxa"/>
          </w:tcPr>
          <w:p>
            <w:pPr>
              <w:pStyle w:val="nTable"/>
              <w:spacing w:after="40"/>
              <w:rPr>
                <w:ins w:id="341" w:author="Master Repository Process" w:date="2022-06-03T12:00:00Z"/>
                <w:b/>
              </w:rPr>
            </w:pPr>
            <w:ins w:id="342" w:author="Master Repository Process" w:date="2022-06-03T12:00:00Z">
              <w:r>
                <w:rPr>
                  <w:b/>
                </w:rPr>
                <w:t>Citation</w:t>
              </w:r>
            </w:ins>
          </w:p>
        </w:tc>
        <w:tc>
          <w:tcPr>
            <w:tcW w:w="1276" w:type="dxa"/>
          </w:tcPr>
          <w:p>
            <w:pPr>
              <w:pStyle w:val="nTable"/>
              <w:spacing w:after="40"/>
              <w:rPr>
                <w:ins w:id="343" w:author="Master Repository Process" w:date="2022-06-03T12:00:00Z"/>
                <w:b/>
              </w:rPr>
            </w:pPr>
            <w:ins w:id="344" w:author="Master Repository Process" w:date="2022-06-03T12:00:00Z">
              <w:r>
                <w:rPr>
                  <w:b/>
                </w:rPr>
                <w:t>Published</w:t>
              </w:r>
            </w:ins>
          </w:p>
        </w:tc>
        <w:tc>
          <w:tcPr>
            <w:tcW w:w="2693" w:type="dxa"/>
          </w:tcPr>
          <w:p>
            <w:pPr>
              <w:pStyle w:val="nTable"/>
              <w:spacing w:after="40"/>
              <w:rPr>
                <w:ins w:id="345" w:author="Master Repository Process" w:date="2022-06-03T12:00:00Z"/>
                <w:b/>
              </w:rPr>
            </w:pPr>
            <w:ins w:id="346" w:author="Master Repository Process" w:date="2022-06-03T12:00:00Z">
              <w:r>
                <w:rPr>
                  <w:b/>
                </w:rPr>
                <w:t>Commencement</w:t>
              </w:r>
            </w:ins>
          </w:p>
        </w:tc>
      </w:tr>
      <w:tr>
        <w:trPr>
          <w:ins w:id="347" w:author="Master Repository Process" w:date="2022-06-03T12:00:00Z"/>
        </w:trPr>
        <w:tc>
          <w:tcPr>
            <w:tcW w:w="3118" w:type="dxa"/>
          </w:tcPr>
          <w:p>
            <w:pPr>
              <w:pStyle w:val="nTable"/>
              <w:spacing w:after="40"/>
              <w:rPr>
                <w:ins w:id="348" w:author="Master Repository Process" w:date="2022-06-03T12:00:00Z"/>
              </w:rPr>
            </w:pPr>
            <w:ins w:id="349" w:author="Master Repository Process" w:date="2022-06-03T12:00:00Z">
              <w:r>
                <w:rPr>
                  <w:i/>
                </w:rPr>
                <w:t>Rail Safety National Law (WA) Amendment Regulations 2022</w:t>
              </w:r>
              <w:r>
                <w:t xml:space="preserve"> r. 3</w:t>
              </w:r>
              <w:r>
                <w:noBreakHyphen/>
                <w:t>10</w:t>
              </w:r>
            </w:ins>
          </w:p>
        </w:tc>
        <w:tc>
          <w:tcPr>
            <w:tcW w:w="1276" w:type="dxa"/>
          </w:tcPr>
          <w:p>
            <w:pPr>
              <w:pStyle w:val="nTable"/>
              <w:spacing w:after="40"/>
              <w:rPr>
                <w:ins w:id="350" w:author="Master Repository Process" w:date="2022-06-03T12:00:00Z"/>
              </w:rPr>
            </w:pPr>
            <w:ins w:id="351" w:author="Master Repository Process" w:date="2022-06-03T12:00:00Z">
              <w:r>
                <w:t>SL 2022/66 3 Jun 2022</w:t>
              </w:r>
            </w:ins>
          </w:p>
        </w:tc>
        <w:tc>
          <w:tcPr>
            <w:tcW w:w="2693" w:type="dxa"/>
          </w:tcPr>
          <w:p>
            <w:pPr>
              <w:pStyle w:val="nTable"/>
              <w:spacing w:after="40"/>
              <w:rPr>
                <w:ins w:id="352" w:author="Master Repository Process" w:date="2022-06-03T12:00:00Z"/>
              </w:rPr>
            </w:pPr>
            <w:ins w:id="353" w:author="Master Repository Process" w:date="2022-06-03T12:00:00Z">
              <w:r>
                <w:t>1 Jul 2022 (see r. 2(b))</w:t>
              </w:r>
            </w:ins>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00-q0-00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54" w:name="Compilation"/>
    <w:bookmarkEnd w:id="354"/>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55" w:name="Coversheet"/>
    <w:bookmarkEnd w:id="35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bC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325" w:name="Schedule"/>
    <w:bookmarkEnd w:id="32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01160835"/>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 w:name="WAFER_202006081408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8140820_GUID" w:val="fda5599f-2e36-4c94-8150-bfbfd494f84c"/>
    <w:docVar w:name="WAFER_202006171536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53621_GUID" w:val="a52ab1cc-df48-4300-abe5-bd10aa0b1e87"/>
    <w:docVar w:name="WAFER_202106170958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5815_GUID" w:val="f13d3149-6163-420f-92f1-bdace67b67da"/>
    <w:docVar w:name="WAFER_202106251151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5134_GUID" w:val="86b57bbc-9ec8-43b8-a21a-d0539d5d296a"/>
    <w:docVar w:name="WAFER_20220308135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35339_GUID" w:val="2889f62d-fcc3-4b32-9f2d-3715292f1fff"/>
    <w:docVar w:name="WAFER_202203181307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0701_GUID" w:val="0b5780e2-d241-42b3-b751-2c8dca76a0b5"/>
    <w:docVar w:name="WAFER_2022040511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5114206_GUID" w:val="b49dd56d-a6b1-4dc5-a969-51ab26c63f57"/>
    <w:docVar w:name="WAFER_202206011600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160020_GUID" w:val="9bf56df6-93a2-4bab-aaa1-9d488b8a50ba"/>
    <w:docVar w:name="WAFER_202206011608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160835_GUID" w:val="9b3d9857-5905-4beb-85c9-85d59da71fe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19B9466-2B49-40FF-B53A-98BFBEAC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E3638-E825-4B76-89C8-A7ECFF7D3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14589</Words>
  <Characters>76303</Characters>
  <Application>Microsoft Office Word</Application>
  <DocSecurity>0</DocSecurity>
  <Lines>2180</Lines>
  <Paragraphs>1082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00-p0-00 - 00-q0-00</dc:title>
  <dc:subject/>
  <dc:creator/>
  <cp:keywords/>
  <dc:description/>
  <cp:lastModifiedBy>Master Repository Process</cp:lastModifiedBy>
  <cp:revision>2</cp:revision>
  <cp:lastPrinted>2015-09-30T06:40:00Z</cp:lastPrinted>
  <dcterms:created xsi:type="dcterms:W3CDTF">2022-06-03T03:59:00Z</dcterms:created>
  <dcterms:modified xsi:type="dcterms:W3CDTF">2022-06-03T04:00:00Z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CommencementDate">
    <vt:lpwstr>20220603</vt:lpwstr>
  </property>
  <property fmtid="{D5CDD505-2E9C-101B-9397-08002B2CF9AE}" pid="6" name="FromSuffix">
    <vt:lpwstr>00-p0-00</vt:lpwstr>
  </property>
  <property fmtid="{D5CDD505-2E9C-101B-9397-08002B2CF9AE}" pid="7" name="FromAsAtDate">
    <vt:lpwstr>09 Apr 2022</vt:lpwstr>
  </property>
  <property fmtid="{D5CDD505-2E9C-101B-9397-08002B2CF9AE}" pid="8" name="ToSuffix">
    <vt:lpwstr>00-q0-00</vt:lpwstr>
  </property>
  <property fmtid="{D5CDD505-2E9C-101B-9397-08002B2CF9AE}" pid="9" name="ToAsAtDate">
    <vt:lpwstr>03 Jun 2022</vt:lpwstr>
  </property>
</Properties>
</file>