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(Package Labels)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Tobacco Control Act 1990</w:t>
      </w:r>
    </w:p>
    <w:p>
      <w:pPr>
        <w:pStyle w:val="NameofActReg"/>
      </w:pPr>
      <w:r>
        <w:t>Tobacco Control (Package Labels) Regulations 1994</w:t>
      </w:r>
    </w:p>
    <w:p>
      <w:pPr>
        <w:pStyle w:val="Heading2"/>
        <w:pageBreakBefore w:val="0"/>
      </w:pPr>
      <w:bookmarkStart w:id="1" w:name="_Toc379276675"/>
      <w:bookmarkStart w:id="2" w:name="_Toc426543442"/>
      <w:bookmarkStart w:id="3" w:name="_Toc133126501"/>
      <w:bookmarkStart w:id="4" w:name="_Toc133126790"/>
      <w:bookmarkStart w:id="5" w:name="_Toc13313267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379276676"/>
      <w:bookmarkStart w:id="8" w:name="_Toc426543443"/>
      <w:bookmarkStart w:id="9" w:name="_Toc434984599"/>
      <w:bookmarkStart w:id="10" w:name="_Toc59354934"/>
      <w:bookmarkStart w:id="11" w:name="_Toc133132671"/>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(Package Labels) Regulations 1994</w:t>
      </w:r>
      <w:r>
        <w:rPr>
          <w:snapToGrid w:val="0"/>
          <w:vertAlign w:val="superscript"/>
        </w:rPr>
        <w:t> 1</w:t>
      </w:r>
      <w:r>
        <w:rPr>
          <w:snapToGrid w:val="0"/>
        </w:rPr>
        <w:t>.</w:t>
      </w:r>
    </w:p>
    <w:p>
      <w:pPr>
        <w:pStyle w:val="Heading5"/>
        <w:rPr>
          <w:snapToGrid w:val="0"/>
        </w:rPr>
      </w:pPr>
      <w:bookmarkStart w:id="12" w:name="_Toc379276677"/>
      <w:bookmarkStart w:id="13" w:name="_Toc426543444"/>
      <w:bookmarkStart w:id="14" w:name="_Toc434984600"/>
      <w:bookmarkStart w:id="15" w:name="_Toc59354935"/>
      <w:bookmarkStart w:id="16" w:name="_Toc133132672"/>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Subject to this regulation, these regulations come into operation on the day on which they are published in the </w:t>
      </w:r>
      <w:r>
        <w:rPr>
          <w:i/>
          <w:snapToGrid w:val="0"/>
        </w:rPr>
        <w:t>Gazette</w:t>
      </w:r>
      <w:r>
        <w:rPr>
          <w:snapToGrid w:val="0"/>
          <w:vertAlign w:val="superscript"/>
        </w:rPr>
        <w:t> 1</w:t>
      </w:r>
      <w:r>
        <w:rPr>
          <w:snapToGrid w:val="0"/>
        </w:rPr>
        <w:t>.</w:t>
      </w:r>
    </w:p>
    <w:p>
      <w:pPr>
        <w:pStyle w:val="Subsection"/>
        <w:rPr>
          <w:snapToGrid w:val="0"/>
        </w:rPr>
      </w:pPr>
      <w:r>
        <w:rPr>
          <w:snapToGrid w:val="0"/>
        </w:rPr>
        <w:tab/>
        <w:t>(2)</w:t>
      </w:r>
      <w:r>
        <w:rPr>
          <w:snapToGrid w:val="0"/>
        </w:rPr>
        <w:tab/>
        <w:t>Parts 2, 3 and 4 come into operation on 1 April 1995.</w:t>
      </w:r>
    </w:p>
    <w:p>
      <w:pPr>
        <w:pStyle w:val="Heading2"/>
      </w:pPr>
      <w:bookmarkStart w:id="17" w:name="_Toc379276678"/>
      <w:bookmarkStart w:id="18" w:name="_Toc426543445"/>
      <w:bookmarkStart w:id="19" w:name="_Toc133126504"/>
      <w:bookmarkStart w:id="20" w:name="_Toc133126793"/>
      <w:bookmarkStart w:id="21" w:name="_Toc133132673"/>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r>
        <w:rPr>
          <w:rStyle w:val="CharPartText"/>
        </w:rPr>
        <w:t xml:space="preserve"> </w:t>
      </w:r>
    </w:p>
    <w:p>
      <w:pPr>
        <w:pStyle w:val="Heading5"/>
        <w:rPr>
          <w:snapToGrid w:val="0"/>
        </w:rPr>
      </w:pPr>
      <w:bookmarkStart w:id="22" w:name="_Toc379276679"/>
      <w:bookmarkStart w:id="23" w:name="_Toc426543446"/>
      <w:bookmarkStart w:id="24" w:name="_Toc434984601"/>
      <w:bookmarkStart w:id="25" w:name="_Toc59354936"/>
      <w:bookmarkStart w:id="26" w:name="_Toc133132674"/>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cigar</w:t>
      </w:r>
      <w:r>
        <w:rPr>
          <w:b/>
        </w:rPr>
        <w:t>”</w:t>
      </w:r>
      <w:r>
        <w:t xml:space="preserve"> means a roll of cut tobacco for smoking, enclosed in tobacco leaf or the leaf of another plant;</w:t>
      </w:r>
    </w:p>
    <w:p>
      <w:pPr>
        <w:pStyle w:val="Defstart"/>
      </w:pPr>
      <w:r>
        <w:rPr>
          <w:b/>
        </w:rPr>
        <w:tab/>
        <w:t>“</w:t>
      </w:r>
      <w:r>
        <w:rPr>
          <w:rStyle w:val="CharDefText"/>
        </w:rPr>
        <w:t>cigarette</w:t>
      </w:r>
      <w:r>
        <w:rPr>
          <w:b/>
        </w:rPr>
        <w:t>”</w:t>
      </w:r>
      <w:r>
        <w:t xml:space="preserve"> means a roll of cut tobacco for smoking, enclosed in paper;</w:t>
      </w:r>
    </w:p>
    <w:p>
      <w:pPr>
        <w:pStyle w:val="Defstart"/>
      </w:pPr>
      <w:r>
        <w:rPr>
          <w:b/>
        </w:rPr>
        <w:tab/>
        <w:t>“</w:t>
      </w:r>
      <w:r>
        <w:rPr>
          <w:rStyle w:val="CharDefText"/>
        </w:rPr>
        <w:t>corresponding explanatory message</w:t>
      </w:r>
      <w:r>
        <w:rPr>
          <w:b/>
        </w:rPr>
        <w:t>”</w:t>
      </w:r>
      <w:r>
        <w:t>, in relation to a warning message, means the explanatory message that appears in the same item in Schedule 1 as the warning message;</w:t>
      </w:r>
    </w:p>
    <w:p>
      <w:pPr>
        <w:pStyle w:val="Defstart"/>
      </w:pPr>
      <w:r>
        <w:rPr>
          <w:b/>
        </w:rPr>
        <w:tab/>
        <w:t>“</w:t>
      </w:r>
      <w:r>
        <w:rPr>
          <w:rStyle w:val="CharDefText"/>
        </w:rPr>
        <w:t>explanatory message</w:t>
      </w:r>
      <w:r>
        <w:rPr>
          <w:b/>
        </w:rPr>
        <w:t>”</w:t>
      </w:r>
      <w:r>
        <w:t xml:space="preserve"> means a message set out in Column 3 of Schedule 1;</w:t>
      </w:r>
    </w:p>
    <w:p>
      <w:pPr>
        <w:pStyle w:val="Defstart"/>
      </w:pPr>
      <w:r>
        <w:rPr>
          <w:b/>
        </w:rPr>
        <w:tab/>
        <w:t>“</w:t>
      </w:r>
      <w:r>
        <w:rPr>
          <w:rStyle w:val="CharDefText"/>
        </w:rPr>
        <w:t>face</w:t>
      </w:r>
      <w:r>
        <w:rPr>
          <w:b/>
        </w:rPr>
        <w:t>”</w:t>
      </w:r>
      <w:r>
        <w:t>, in relation to a package of which the outer surface includes 2 or more flat areas that are bounded by edges of the package, means any of those flat areas;</w:t>
      </w:r>
    </w:p>
    <w:p>
      <w:pPr>
        <w:pStyle w:val="Defstart"/>
      </w:pPr>
      <w:r>
        <w:rPr>
          <w:b/>
        </w:rPr>
        <w:tab/>
        <w:t>“</w:t>
      </w:r>
      <w:r>
        <w:rPr>
          <w:rStyle w:val="CharDefText"/>
        </w:rPr>
        <w:t>flip</w:t>
      </w:r>
      <w:r>
        <w:rPr>
          <w:rStyle w:val="CharDefText"/>
        </w:rPr>
        <w:noBreakHyphen/>
        <w:t>top pack</w:t>
      </w:r>
      <w:r>
        <w:rPr>
          <w:b/>
        </w:rPr>
        <w:t>”</w:t>
      </w:r>
      <w:r>
        <w:t xml:space="preserve"> means a package of the kind commonly called a flip</w:t>
      </w:r>
      <w:r>
        <w:noBreakHyphen/>
        <w:t>top pack or hinge</w:t>
      </w:r>
      <w:r>
        <w:noBreakHyphen/>
        <w:t>top pack;</w:t>
      </w:r>
    </w:p>
    <w:p>
      <w:pPr>
        <w:pStyle w:val="Defstart"/>
      </w:pPr>
      <w:r>
        <w:rPr>
          <w:b/>
        </w:rPr>
        <w:tab/>
        <w:t>“</w:t>
      </w:r>
      <w:r>
        <w:rPr>
          <w:rStyle w:val="CharDefText"/>
        </w:rPr>
        <w:t>pouch</w:t>
      </w:r>
      <w:r>
        <w:rPr>
          <w:b/>
        </w:rPr>
        <w:t>”</w:t>
      </w:r>
      <w:r>
        <w:t xml:space="preserve"> means a package that — </w:t>
      </w:r>
    </w:p>
    <w:p>
      <w:pPr>
        <w:pStyle w:val="Defpara"/>
      </w:pPr>
      <w:r>
        <w:tab/>
        <w:t>(a)</w:t>
      </w:r>
      <w:r>
        <w:tab/>
        <w:t>is made from flexible material; and</w:t>
      </w:r>
    </w:p>
    <w:p>
      <w:pPr>
        <w:pStyle w:val="Defpara"/>
      </w:pPr>
      <w:r>
        <w:tab/>
        <w:t>(b)</w:t>
      </w:r>
      <w:r>
        <w:tab/>
        <w:t>takes the form of a rectangular pocket with a flap that covers the opening;</w:t>
      </w:r>
    </w:p>
    <w:p>
      <w:pPr>
        <w:pStyle w:val="Defstart"/>
      </w:pPr>
      <w:r>
        <w:rPr>
          <w:b/>
        </w:rPr>
        <w:tab/>
        <w:t>“</w:t>
      </w:r>
      <w:r>
        <w:rPr>
          <w:rStyle w:val="CharDefText"/>
        </w:rPr>
        <w:t>soft pack</w:t>
      </w:r>
      <w:r>
        <w:rPr>
          <w:b/>
        </w:rPr>
        <w:t>”</w:t>
      </w:r>
      <w:r>
        <w:t xml:space="preserve"> means a package of the kind commonly called a soft pack or soft cup;</w:t>
      </w:r>
    </w:p>
    <w:p>
      <w:pPr>
        <w:pStyle w:val="Defstart"/>
      </w:pPr>
      <w:r>
        <w:rPr>
          <w:b/>
        </w:rPr>
        <w:tab/>
        <w:t>“</w:t>
      </w:r>
      <w:r>
        <w:rPr>
          <w:rStyle w:val="CharDefText"/>
        </w:rPr>
        <w:t>warning message</w:t>
      </w:r>
      <w:r>
        <w:rPr>
          <w:b/>
        </w:rPr>
        <w:t>”</w:t>
      </w:r>
      <w:r>
        <w:t xml:space="preserve"> means a message set out in Column 2 of Schedule 1.</w:t>
      </w:r>
    </w:p>
    <w:p>
      <w:pPr>
        <w:pStyle w:val="Subsection"/>
        <w:rPr>
          <w:snapToGrid w:val="0"/>
        </w:rPr>
      </w:pPr>
      <w:r>
        <w:rPr>
          <w:snapToGrid w:val="0"/>
        </w:rPr>
        <w:tab/>
        <w:t>(2)</w:t>
      </w:r>
      <w:r>
        <w:rPr>
          <w:snapToGrid w:val="0"/>
        </w:rPr>
        <w:tab/>
        <w:t>For the purposes of these regulations, unless the contrary intention appears, openings, gaps or edges that are created in a face of a package when the package is opened are to be disregarded.</w:t>
      </w:r>
    </w:p>
    <w:p>
      <w:pPr>
        <w:pStyle w:val="Subsection"/>
        <w:rPr>
          <w:snapToGrid w:val="0"/>
        </w:rPr>
      </w:pPr>
      <w:r>
        <w:rPr>
          <w:snapToGrid w:val="0"/>
        </w:rPr>
        <w:tab/>
        <w:t>(3)</w:t>
      </w:r>
      <w:r>
        <w:rPr>
          <w:snapToGrid w:val="0"/>
        </w:rPr>
        <w:tab/>
        <w:t>Unless the contrary intention appears, an area of a surface that bears decorative ridges, embossing, bulges, or other irregularities, but is otherwise flat, is taken to be a flat area for the purposes of these regulations.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a soft pack is taken to be a solid that has all its faces rectangular and that has edges equal in length to the edges of the smallest rectangular solid inside which the pack will fit when it is not compressed; and</w:t>
      </w:r>
    </w:p>
    <w:p>
      <w:pPr>
        <w:pStyle w:val="Indenta"/>
        <w:rPr>
          <w:snapToGrid w:val="0"/>
        </w:rPr>
      </w:pPr>
      <w:r>
        <w:rPr>
          <w:snapToGrid w:val="0"/>
        </w:rPr>
        <w:tab/>
        <w:t>(b)</w:t>
      </w:r>
      <w:r>
        <w:rPr>
          <w:snapToGrid w:val="0"/>
        </w:rPr>
        <w:tab/>
        <w:t>a face that has rounded corners but is otherwise square or rectangular is taken to be square or rectangular, as the case requires.</w:t>
      </w:r>
    </w:p>
    <w:p>
      <w:pPr>
        <w:pStyle w:val="Subsection"/>
        <w:rPr>
          <w:snapToGrid w:val="0"/>
        </w:rPr>
      </w:pPr>
      <w:r>
        <w:rPr>
          <w:snapToGrid w:val="0"/>
        </w:rPr>
        <w:tab/>
        <w:t>(5)</w:t>
      </w:r>
      <w:r>
        <w:rPr>
          <w:snapToGrid w:val="0"/>
        </w:rPr>
        <w:tab/>
        <w:t>For the purposes of these regulations, the surface area of a package is the area that would be covered by the outer layer of the package if it were opened out and pressed flat.</w:t>
      </w:r>
    </w:p>
    <w:p>
      <w:pPr>
        <w:pStyle w:val="Subsection"/>
        <w:rPr>
          <w:snapToGrid w:val="0"/>
        </w:rPr>
      </w:pPr>
      <w:r>
        <w:rPr>
          <w:snapToGrid w:val="0"/>
        </w:rPr>
        <w:tab/>
        <w:t>(6)</w:t>
      </w:r>
      <w:r>
        <w:rPr>
          <w:snapToGrid w:val="0"/>
        </w:rPr>
        <w:tab/>
        <w:t>To avoid doubt, it is declared that a reference in these regulations to a cylindrical package includes a package that is, in one plane, elliptical, rather than circular, in cross</w:t>
      </w:r>
      <w:r>
        <w:rPr>
          <w:snapToGrid w:val="0"/>
        </w:rPr>
        <w:noBreakHyphen/>
        <w:t>section.</w:t>
      </w:r>
    </w:p>
    <w:p>
      <w:pPr>
        <w:pStyle w:val="Subsection"/>
        <w:rPr>
          <w:snapToGrid w:val="0"/>
        </w:rPr>
      </w:pPr>
      <w:r>
        <w:rPr>
          <w:snapToGrid w:val="0"/>
        </w:rPr>
        <w:tab/>
        <w:t>(7)</w:t>
      </w:r>
      <w:r>
        <w:rPr>
          <w:snapToGrid w:val="0"/>
        </w:rPr>
        <w:tab/>
        <w:t>For the purposes of these regulations, a message that is printed on an adhesive label attached to a package in accordance with regulation 13 is taken to be printed on the package to which the label is attached.</w:t>
      </w:r>
    </w:p>
    <w:p>
      <w:pPr>
        <w:pStyle w:val="Footnotesection"/>
      </w:pPr>
      <w:r>
        <w:tab/>
        <w:t>[Regulation 3 amended in Gazette of 17 Mar 1995 p. 1022.]</w:t>
      </w:r>
    </w:p>
    <w:p>
      <w:pPr>
        <w:pStyle w:val="Heading5"/>
        <w:rPr>
          <w:snapToGrid w:val="0"/>
        </w:rPr>
      </w:pPr>
      <w:bookmarkStart w:id="27" w:name="_Toc379276680"/>
      <w:bookmarkStart w:id="28" w:name="_Toc426543447"/>
      <w:bookmarkStart w:id="29" w:name="_Toc434984602"/>
      <w:bookmarkStart w:id="30" w:name="_Toc59354937"/>
      <w:bookmarkStart w:id="31" w:name="_Toc133132675"/>
      <w:r>
        <w:rPr>
          <w:rStyle w:val="CharSectno"/>
        </w:rPr>
        <w:t>4</w:t>
      </w:r>
      <w:r>
        <w:rPr>
          <w:snapToGrid w:val="0"/>
        </w:rPr>
        <w:t>.</w:t>
      </w:r>
      <w:r>
        <w:rPr>
          <w:snapToGrid w:val="0"/>
        </w:rPr>
        <w:tab/>
        <w:t>Application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the Act a package containing tobacco prepared for smoking is labelled in accordance with these regulations if it bears the messages required by these regulations in accordance with these regulations.</w:t>
      </w:r>
    </w:p>
    <w:p>
      <w:pPr>
        <w:pStyle w:val="Footnotesection"/>
      </w:pPr>
      <w:r>
        <w:tab/>
        <w:t>[Regulation 4 amended in Gazette 17 Mar 1995 p. 1022.]</w:t>
      </w:r>
    </w:p>
    <w:p>
      <w:pPr>
        <w:pStyle w:val="Heading5"/>
        <w:rPr>
          <w:snapToGrid w:val="0"/>
        </w:rPr>
      </w:pPr>
      <w:bookmarkStart w:id="32" w:name="_Toc379276681"/>
      <w:bookmarkStart w:id="33" w:name="_Toc426543448"/>
      <w:bookmarkStart w:id="34" w:name="_Toc434984603"/>
      <w:bookmarkStart w:id="35" w:name="_Toc59354938"/>
      <w:bookmarkStart w:id="36" w:name="_Toc133132676"/>
      <w:r>
        <w:rPr>
          <w:rStyle w:val="CharSectno"/>
        </w:rPr>
        <w:t>5</w:t>
      </w:r>
      <w:r>
        <w:rPr>
          <w:snapToGrid w:val="0"/>
        </w:rPr>
        <w:t>.</w:t>
      </w:r>
      <w:r>
        <w:rPr>
          <w:snapToGrid w:val="0"/>
        </w:rPr>
        <w:tab/>
        <w:t>Regulations do not apply to cigars sold singly</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do not apply to cigars sold singly.</w:t>
      </w:r>
    </w:p>
    <w:p>
      <w:pPr>
        <w:pStyle w:val="Heading5"/>
        <w:rPr>
          <w:snapToGrid w:val="0"/>
        </w:rPr>
      </w:pPr>
      <w:bookmarkStart w:id="37" w:name="_Toc379276682"/>
      <w:bookmarkStart w:id="38" w:name="_Toc426543449"/>
      <w:bookmarkStart w:id="39" w:name="_Toc434984604"/>
      <w:bookmarkStart w:id="40" w:name="_Toc59354939"/>
      <w:bookmarkStart w:id="41" w:name="_Toc133132677"/>
      <w:r>
        <w:rPr>
          <w:rStyle w:val="CharSectno"/>
        </w:rPr>
        <w:t>6</w:t>
      </w:r>
      <w:r>
        <w:rPr>
          <w:snapToGrid w:val="0"/>
        </w:rPr>
        <w:t>.</w:t>
      </w:r>
      <w:r>
        <w:rPr>
          <w:snapToGrid w:val="0"/>
        </w:rPr>
        <w:tab/>
        <w:t>Package must bear warning message and, in certain cases, explanatory message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Subject to this Part, a package must bear — </w:t>
      </w:r>
    </w:p>
    <w:p>
      <w:pPr>
        <w:pStyle w:val="Indenta"/>
        <w:rPr>
          <w:snapToGrid w:val="0"/>
        </w:rPr>
      </w:pPr>
      <w:r>
        <w:rPr>
          <w:snapToGrid w:val="0"/>
        </w:rPr>
        <w:tab/>
        <w:t>(a)</w:t>
      </w:r>
      <w:r>
        <w:rPr>
          <w:snapToGrid w:val="0"/>
        </w:rPr>
        <w:tab/>
        <w:t>a warning message and the corresponding explanatory message; or</w:t>
      </w:r>
    </w:p>
    <w:p>
      <w:pPr>
        <w:pStyle w:val="Indenta"/>
        <w:rPr>
          <w:snapToGrid w:val="0"/>
        </w:rPr>
      </w:pPr>
      <w:r>
        <w:rPr>
          <w:snapToGrid w:val="0"/>
        </w:rPr>
        <w:tab/>
        <w:t>(b)</w:t>
      </w:r>
      <w:r>
        <w:rPr>
          <w:snapToGrid w:val="0"/>
        </w:rPr>
        <w:tab/>
        <w:t>if permitted or required by another provision of these regulations — </w:t>
      </w:r>
    </w:p>
    <w:p>
      <w:pPr>
        <w:pStyle w:val="Indenti"/>
        <w:rPr>
          <w:snapToGrid w:val="0"/>
        </w:rPr>
      </w:pPr>
      <w:r>
        <w:rPr>
          <w:snapToGrid w:val="0"/>
        </w:rPr>
        <w:tab/>
        <w:t>(i)</w:t>
      </w:r>
      <w:r>
        <w:rPr>
          <w:snapToGrid w:val="0"/>
        </w:rPr>
        <w:tab/>
        <w:t>a warning message, the same warning message repeated and the corresponding explanatory message; or</w:t>
      </w:r>
    </w:p>
    <w:p>
      <w:pPr>
        <w:pStyle w:val="Indenti"/>
        <w:rPr>
          <w:snapToGrid w:val="0"/>
        </w:rPr>
      </w:pPr>
      <w:r>
        <w:rPr>
          <w:snapToGrid w:val="0"/>
        </w:rPr>
        <w:tab/>
        <w:t>(ii)</w:t>
      </w:r>
      <w:r>
        <w:rPr>
          <w:snapToGrid w:val="0"/>
        </w:rPr>
        <w:tab/>
        <w:t>a warning message and the same warning message repeated.</w:t>
      </w:r>
    </w:p>
    <w:p>
      <w:pPr>
        <w:pStyle w:val="Heading5"/>
        <w:rPr>
          <w:snapToGrid w:val="0"/>
        </w:rPr>
      </w:pPr>
      <w:bookmarkStart w:id="42" w:name="_Toc379276683"/>
      <w:bookmarkStart w:id="43" w:name="_Toc426543450"/>
      <w:bookmarkStart w:id="44" w:name="_Toc434984605"/>
      <w:bookmarkStart w:id="45" w:name="_Toc59354940"/>
      <w:bookmarkStart w:id="46" w:name="_Toc133132678"/>
      <w:r>
        <w:rPr>
          <w:rStyle w:val="CharSectno"/>
        </w:rPr>
        <w:t>7</w:t>
      </w:r>
      <w:r>
        <w:rPr>
          <w:snapToGrid w:val="0"/>
        </w:rPr>
        <w:t>.</w:t>
      </w:r>
      <w:r>
        <w:rPr>
          <w:snapToGrid w:val="0"/>
        </w:rPr>
        <w:tab/>
        <w:t>Messages on certain smaller packages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If the largest face of a package (other than a package of a kind described in item 8 of Schedule 2) — </w:t>
      </w:r>
    </w:p>
    <w:p>
      <w:pPr>
        <w:pStyle w:val="Indenta"/>
        <w:rPr>
          <w:snapToGrid w:val="0"/>
        </w:rPr>
      </w:pPr>
      <w:r>
        <w:rPr>
          <w:snapToGrid w:val="0"/>
        </w:rPr>
        <w:tab/>
        <w:t>(a)</w:t>
      </w:r>
      <w:r>
        <w:rPr>
          <w:snapToGrid w:val="0"/>
        </w:rPr>
        <w:tab/>
        <w:t>has an area of 40 square centimetres or less; and</w:t>
      </w:r>
    </w:p>
    <w:p>
      <w:pPr>
        <w:pStyle w:val="Indenta"/>
        <w:rPr>
          <w:snapToGrid w:val="0"/>
        </w:rPr>
      </w:pPr>
      <w:r>
        <w:rPr>
          <w:snapToGrid w:val="0"/>
        </w:rPr>
        <w:tab/>
        <w:t>(b)</w:t>
      </w:r>
      <w:r>
        <w:rPr>
          <w:snapToGrid w:val="0"/>
        </w:rPr>
        <w:tab/>
        <w:t>would, but for this subregulation, be required to bear an explanatory message,</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 explanatory message need not be printed on that face; and</w:t>
      </w:r>
    </w:p>
    <w:p>
      <w:pPr>
        <w:pStyle w:val="Indenta"/>
        <w:rPr>
          <w:snapToGrid w:val="0"/>
        </w:rPr>
      </w:pPr>
      <w:r>
        <w:rPr>
          <w:snapToGrid w:val="0"/>
        </w:rPr>
        <w:tab/>
        <w:t>(d)</w:t>
      </w:r>
      <w:r>
        <w:rPr>
          <w:snapToGrid w:val="0"/>
        </w:rPr>
        <w:tab/>
        <w:t>both that face and the face on which the warning message is to be printed must bear the same warning message.</w:t>
      </w:r>
    </w:p>
    <w:p>
      <w:pPr>
        <w:pStyle w:val="Subsection"/>
        <w:rPr>
          <w:snapToGrid w:val="0"/>
        </w:rPr>
      </w:pPr>
      <w:r>
        <w:rPr>
          <w:snapToGrid w:val="0"/>
        </w:rPr>
        <w:tab/>
        <w:t>(2)</w:t>
      </w:r>
      <w:r>
        <w:rPr>
          <w:snapToGrid w:val="0"/>
        </w:rPr>
        <w:tab/>
        <w:t>A package of a kind described in item 8 of Schedule 2 — </w:t>
      </w:r>
    </w:p>
    <w:p>
      <w:pPr>
        <w:pStyle w:val="Indenta"/>
        <w:rPr>
          <w:snapToGrid w:val="0"/>
        </w:rPr>
      </w:pPr>
      <w:r>
        <w:rPr>
          <w:snapToGrid w:val="0"/>
        </w:rPr>
        <w:tab/>
        <w:t>(a)</w:t>
      </w:r>
      <w:r>
        <w:rPr>
          <w:snapToGrid w:val="0"/>
        </w:rPr>
        <w:tab/>
        <w:t>is not required to bear an explanatory message; and</w:t>
      </w:r>
    </w:p>
    <w:p>
      <w:pPr>
        <w:pStyle w:val="Indenta"/>
        <w:rPr>
          <w:snapToGrid w:val="0"/>
        </w:rPr>
      </w:pPr>
      <w:r>
        <w:rPr>
          <w:snapToGrid w:val="0"/>
        </w:rPr>
        <w:tab/>
        <w:t>(b)</w:t>
      </w:r>
      <w:r>
        <w:rPr>
          <w:snapToGrid w:val="0"/>
        </w:rPr>
        <w:tab/>
        <w:t>must bear a warning message printed on the package twice.</w:t>
      </w:r>
    </w:p>
    <w:p>
      <w:pPr>
        <w:pStyle w:val="Footnotesection"/>
      </w:pPr>
      <w:r>
        <w:tab/>
        <w:t xml:space="preserve">[Regulation 7 amended in Gazette 17 Mar 1995 p. 1022.] </w:t>
      </w:r>
    </w:p>
    <w:p>
      <w:pPr>
        <w:pStyle w:val="Heading5"/>
        <w:rPr>
          <w:snapToGrid w:val="0"/>
        </w:rPr>
      </w:pPr>
      <w:bookmarkStart w:id="47" w:name="_Toc379276684"/>
      <w:bookmarkStart w:id="48" w:name="_Toc426543451"/>
      <w:bookmarkStart w:id="49" w:name="_Toc434984606"/>
      <w:bookmarkStart w:id="50" w:name="_Toc59354941"/>
      <w:bookmarkStart w:id="51" w:name="_Toc133132679"/>
      <w:r>
        <w:rPr>
          <w:rStyle w:val="CharSectno"/>
        </w:rPr>
        <w:t>8</w:t>
      </w:r>
      <w:r>
        <w:rPr>
          <w:snapToGrid w:val="0"/>
        </w:rPr>
        <w:t>.</w:t>
      </w:r>
      <w:r>
        <w:rPr>
          <w:snapToGrid w:val="0"/>
        </w:rPr>
        <w:tab/>
        <w:t>Format of warning message and explanatory message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warning message or an explanatory message must be in the following format:</w:t>
      </w:r>
    </w:p>
    <w:p>
      <w:pPr>
        <w:pStyle w:val="Indenta"/>
        <w:rPr>
          <w:snapToGrid w:val="0"/>
        </w:rPr>
      </w:pPr>
      <w:r>
        <w:rPr>
          <w:snapToGrid w:val="0"/>
        </w:rPr>
        <w:tab/>
        <w:t>(a)</w:t>
      </w:r>
      <w:r>
        <w:rPr>
          <w:snapToGrid w:val="0"/>
        </w:rPr>
        <w:tab/>
        <w:t>the text must be printed — </w:t>
      </w:r>
    </w:p>
    <w:p>
      <w:pPr>
        <w:pStyle w:val="Indenti"/>
        <w:rPr>
          <w:snapToGrid w:val="0"/>
        </w:rPr>
      </w:pPr>
      <w:r>
        <w:rPr>
          <w:snapToGrid w:val="0"/>
        </w:rPr>
        <w:tab/>
        <w:t>(i)</w:t>
      </w:r>
      <w:r>
        <w:rPr>
          <w:snapToGrid w:val="0"/>
        </w:rPr>
        <w:tab/>
        <w:t>within a black rectangular or square border of which the lines are no wider than an upper</w:t>
      </w:r>
      <w:r>
        <w:rPr>
          <w:snapToGrid w:val="0"/>
        </w:rPr>
        <w:noBreakHyphen/>
        <w:t>case letter “I” in the type size used for the text of the message; and</w:t>
      </w:r>
    </w:p>
    <w:p>
      <w:pPr>
        <w:pStyle w:val="Indenti"/>
        <w:rPr>
          <w:snapToGrid w:val="0"/>
        </w:rPr>
      </w:pPr>
      <w:r>
        <w:rPr>
          <w:snapToGrid w:val="0"/>
        </w:rPr>
        <w:tab/>
        <w:t>(ii)</w:t>
      </w:r>
      <w:r>
        <w:rPr>
          <w:snapToGrid w:val="0"/>
        </w:rPr>
        <w:tab/>
        <w:t>on a white background within the border referred to in subparagraph (i);</w:t>
      </w:r>
    </w:p>
    <w:p>
      <w:pPr>
        <w:pStyle w:val="Indenta"/>
        <w:rPr>
          <w:snapToGrid w:val="0"/>
        </w:rPr>
      </w:pPr>
      <w:r>
        <w:rPr>
          <w:snapToGrid w:val="0"/>
        </w:rPr>
        <w:tab/>
        <w:t>(b)</w:t>
      </w:r>
      <w:r>
        <w:rPr>
          <w:snapToGrid w:val="0"/>
        </w:rPr>
        <w:tab/>
        <w:t>the text must be printed in the type face known as Helvetica, in upper</w:t>
      </w:r>
      <w:r>
        <w:rPr>
          <w:snapToGrid w:val="0"/>
        </w:rPr>
        <w:noBreakHyphen/>
        <w:t>case and lower</w:t>
      </w:r>
      <w:r>
        <w:rPr>
          <w:snapToGrid w:val="0"/>
        </w:rPr>
        <w:noBreakHyphen/>
        <w:t>case letters as the text of the message is set out in Schedule 1,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subject to paragraph (c), of the same height throughout the message;</w:t>
      </w:r>
    </w:p>
    <w:p>
      <w:pPr>
        <w:pStyle w:val="Indenti"/>
        <w:rPr>
          <w:snapToGrid w:val="0"/>
        </w:rPr>
      </w:pPr>
      <w:r>
        <w:rPr>
          <w:snapToGrid w:val="0"/>
        </w:rPr>
        <w:tab/>
        <w:t>(iii)</w:t>
      </w:r>
      <w:r>
        <w:rPr>
          <w:snapToGrid w:val="0"/>
        </w:rPr>
        <w:tab/>
        <w:t>black;</w:t>
      </w:r>
    </w:p>
    <w:p>
      <w:pPr>
        <w:pStyle w:val="Indenti"/>
        <w:rPr>
          <w:snapToGrid w:val="0"/>
        </w:rPr>
      </w:pPr>
      <w:r>
        <w:rPr>
          <w:snapToGrid w:val="0"/>
        </w:rPr>
        <w:tab/>
        <w:t>(iv)</w:t>
      </w:r>
      <w:r>
        <w:rPr>
          <w:snapToGrid w:val="0"/>
        </w:rPr>
        <w:tab/>
        <w:t>of normal weight; and</w:t>
      </w:r>
    </w:p>
    <w:p>
      <w:pPr>
        <w:pStyle w:val="Indenti"/>
        <w:rPr>
          <w:snapToGrid w:val="0"/>
        </w:rPr>
      </w:pPr>
      <w:r>
        <w:rPr>
          <w:snapToGrid w:val="0"/>
        </w:rPr>
        <w:tab/>
        <w:t>(v)</w:t>
      </w:r>
      <w:r>
        <w:rPr>
          <w:snapToGrid w:val="0"/>
        </w:rPr>
        <w:tab/>
        <w:t>of such a size that the text as nearly as possible fills the background on which it is printed;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words “Government Health Warning” must be in type of a point size not greater than 50% of the point size of the type used for the remainder of the message.</w:t>
      </w:r>
    </w:p>
    <w:p>
      <w:pPr>
        <w:pStyle w:val="Heading5"/>
        <w:rPr>
          <w:snapToGrid w:val="0"/>
        </w:rPr>
      </w:pPr>
      <w:bookmarkStart w:id="52" w:name="_Toc379276685"/>
      <w:bookmarkStart w:id="53" w:name="_Toc426543452"/>
      <w:bookmarkStart w:id="54" w:name="_Toc434984607"/>
      <w:bookmarkStart w:id="55" w:name="_Toc59354942"/>
      <w:bookmarkStart w:id="56" w:name="_Toc133132680"/>
      <w:r>
        <w:rPr>
          <w:rStyle w:val="CharSectno"/>
        </w:rPr>
        <w:t>9</w:t>
      </w:r>
      <w:r>
        <w:rPr>
          <w:snapToGrid w:val="0"/>
        </w:rPr>
        <w:t>.</w:t>
      </w:r>
      <w:r>
        <w:rPr>
          <w:snapToGrid w:val="0"/>
        </w:rPr>
        <w:tab/>
        <w:t>Position of warning message and explanatory message</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a package of a kind described in item 1 or 2 of Schedule 2 — </w:t>
      </w:r>
    </w:p>
    <w:p>
      <w:pPr>
        <w:pStyle w:val="Indenta"/>
        <w:rPr>
          <w:snapToGrid w:val="0"/>
        </w:rPr>
      </w:pPr>
      <w:r>
        <w:rPr>
          <w:snapToGrid w:val="0"/>
        </w:rPr>
        <w:tab/>
        <w:t>(a)</w:t>
      </w:r>
      <w:r>
        <w:rPr>
          <w:snapToGrid w:val="0"/>
        </w:rPr>
        <w:tab/>
        <w:t>the warning message is to be printed — </w:t>
      </w:r>
    </w:p>
    <w:p>
      <w:pPr>
        <w:pStyle w:val="Indenti"/>
        <w:rPr>
          <w:snapToGrid w:val="0"/>
        </w:rPr>
      </w:pPr>
      <w:r>
        <w:rPr>
          <w:snapToGrid w:val="0"/>
        </w:rPr>
        <w:tab/>
        <w:t>(i)</w:t>
      </w:r>
      <w:r>
        <w:rPr>
          <w:snapToGrid w:val="0"/>
        </w:rPr>
        <w:tab/>
        <w:t>on the face of the package specified in the relevant item;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explanatory message is to be printed — </w:t>
      </w:r>
    </w:p>
    <w:p>
      <w:pPr>
        <w:pStyle w:val="Indenti"/>
        <w:rPr>
          <w:snapToGrid w:val="0"/>
        </w:rPr>
      </w:pPr>
      <w:r>
        <w:rPr>
          <w:snapToGrid w:val="0"/>
        </w:rPr>
        <w:tab/>
        <w:t>(i)</w:t>
      </w:r>
      <w:r>
        <w:rPr>
          <w:snapToGrid w:val="0"/>
        </w:rPr>
        <w:tab/>
        <w:t>on the face of the package that is opposite to the face on which the warning message is to be printed;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Subsection"/>
        <w:rPr>
          <w:snapToGrid w:val="0"/>
        </w:rPr>
      </w:pPr>
      <w:r>
        <w:rPr>
          <w:snapToGrid w:val="0"/>
        </w:rPr>
        <w:tab/>
        <w:t>(2)</w:t>
      </w:r>
      <w:r>
        <w:rPr>
          <w:snapToGrid w:val="0"/>
        </w:rPr>
        <w:tab/>
        <w:t>For a package of a kind described in item 3, 5, 6 or 7 of Schedule 2 — </w:t>
      </w:r>
    </w:p>
    <w:p>
      <w:pPr>
        <w:pStyle w:val="Indenta"/>
        <w:rPr>
          <w:snapToGrid w:val="0"/>
        </w:rPr>
      </w:pPr>
      <w:r>
        <w:rPr>
          <w:snapToGrid w:val="0"/>
        </w:rPr>
        <w:tab/>
        <w:t>(a)</w:t>
      </w:r>
      <w:r>
        <w:rPr>
          <w:snapToGrid w:val="0"/>
        </w:rPr>
        <w:tab/>
        <w:t>the warning message is to be printed on the face of the package specified in the relevant item; and</w:t>
      </w:r>
    </w:p>
    <w:p>
      <w:pPr>
        <w:pStyle w:val="Indenta"/>
        <w:rPr>
          <w:snapToGrid w:val="0"/>
        </w:rPr>
      </w:pPr>
      <w:r>
        <w:rPr>
          <w:snapToGrid w:val="0"/>
        </w:rPr>
        <w:tab/>
        <w:t>(b)</w:t>
      </w:r>
      <w:r>
        <w:rPr>
          <w:snapToGrid w:val="0"/>
        </w:rPr>
        <w:tab/>
        <w:t>the explanatory message is to be printed on the face of the package that is opposite to the face on which the warning message is to be printed.</w:t>
      </w:r>
    </w:p>
    <w:p>
      <w:pPr>
        <w:pStyle w:val="Subsection"/>
        <w:rPr>
          <w:snapToGrid w:val="0"/>
        </w:rPr>
      </w:pPr>
      <w:r>
        <w:rPr>
          <w:snapToGrid w:val="0"/>
        </w:rPr>
        <w:tab/>
        <w:t>(3)</w:t>
      </w:r>
      <w:r>
        <w:rPr>
          <w:snapToGrid w:val="0"/>
        </w:rPr>
        <w:tab/>
        <w:t>For a pouch described in item 4 of Schedule 2, the warning message is to be printed on the face of the pouch specified in the item.</w:t>
      </w:r>
    </w:p>
    <w:p>
      <w:pPr>
        <w:pStyle w:val="Subsection"/>
        <w:rPr>
          <w:snapToGrid w:val="0"/>
        </w:rPr>
      </w:pPr>
      <w:r>
        <w:rPr>
          <w:snapToGrid w:val="0"/>
        </w:rPr>
        <w:tab/>
        <w:t>(4)</w:t>
      </w:r>
      <w:r>
        <w:rPr>
          <w:snapToGrid w:val="0"/>
        </w:rPr>
        <w:tab/>
        <w:t>If the flap of a pouch described in item 4 of Schedule 2 is, in area, less than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 </w:t>
      </w:r>
    </w:p>
    <w:p>
      <w:pPr>
        <w:pStyle w:val="Indenta"/>
        <w:rPr>
          <w:snapToGrid w:val="0"/>
        </w:rPr>
      </w:pPr>
      <w:r>
        <w:rPr>
          <w:snapToGrid w:val="0"/>
        </w:rPr>
        <w:tab/>
        <w:t>(a)</w:t>
      </w:r>
      <w:r>
        <w:rPr>
          <w:snapToGrid w:val="0"/>
        </w:rPr>
        <w:tab/>
        <w:t>on the face that is partly covered by the flap when the package is closed; and</w:t>
      </w:r>
    </w:p>
    <w:p>
      <w:pPr>
        <w:pStyle w:val="Indenta"/>
        <w:rPr>
          <w:snapToGrid w:val="0"/>
        </w:rPr>
      </w:pPr>
      <w:r>
        <w:rPr>
          <w:snapToGrid w:val="0"/>
        </w:rPr>
        <w:tab/>
        <w:t>(b)</w:t>
      </w:r>
      <w:r>
        <w:rPr>
          <w:snapToGrid w:val="0"/>
        </w:rPr>
        <w:tab/>
        <w:t>not in the area that is covered by the flap when the package is closed.</w:t>
      </w:r>
    </w:p>
    <w:p>
      <w:pPr>
        <w:pStyle w:val="Subsection"/>
        <w:rPr>
          <w:snapToGrid w:val="0"/>
        </w:rPr>
      </w:pPr>
      <w:r>
        <w:rPr>
          <w:snapToGrid w:val="0"/>
        </w:rPr>
        <w:tab/>
        <w:t>(5)</w:t>
      </w:r>
      <w:r>
        <w:rPr>
          <w:snapToGrid w:val="0"/>
        </w:rPr>
        <w:tab/>
        <w:t>If the flap of a pouch described in item 4 of Schedule 2 is, in area,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on the outside of the flap.</w:t>
      </w:r>
    </w:p>
    <w:p>
      <w:pPr>
        <w:pStyle w:val="Subsection"/>
        <w:rPr>
          <w:snapToGrid w:val="0"/>
        </w:rPr>
      </w:pPr>
      <w:r>
        <w:rPr>
          <w:snapToGrid w:val="0"/>
        </w:rPr>
        <w:tab/>
        <w:t>(6)</w:t>
      </w:r>
      <w:r>
        <w:rPr>
          <w:snapToGrid w:val="0"/>
        </w:rPr>
        <w:tab/>
        <w:t>For a package of a kind described in item 8 of Schedule 2, the 2 warning messages are to be printed on the package as far apart as possible.</w:t>
      </w:r>
    </w:p>
    <w:p>
      <w:pPr>
        <w:pStyle w:val="Subsection"/>
        <w:rPr>
          <w:snapToGrid w:val="0"/>
        </w:rPr>
      </w:pPr>
      <w:r>
        <w:rPr>
          <w:snapToGrid w:val="0"/>
        </w:rPr>
        <w:tab/>
        <w:t>(7)</w:t>
      </w:r>
      <w:r>
        <w:rPr>
          <w:snapToGrid w:val="0"/>
        </w:rPr>
        <w:tab/>
        <w:t>For a package of a kind described in item 9 of Schedule 2 — </w:t>
      </w:r>
    </w:p>
    <w:p>
      <w:pPr>
        <w:pStyle w:val="Indenta"/>
        <w:rPr>
          <w:snapToGrid w:val="0"/>
        </w:rPr>
      </w:pPr>
      <w:r>
        <w:rPr>
          <w:snapToGrid w:val="0"/>
        </w:rPr>
        <w:tab/>
        <w:t>(a)</w:t>
      </w:r>
      <w:r>
        <w:rPr>
          <w:snapToGrid w:val="0"/>
        </w:rPr>
        <w:tab/>
        <w:t>the warning message is to be printed on the face of the package specified in the item; and</w:t>
      </w:r>
    </w:p>
    <w:p>
      <w:pPr>
        <w:pStyle w:val="Indenta"/>
        <w:rPr>
          <w:snapToGrid w:val="0"/>
        </w:rPr>
      </w:pPr>
      <w:r>
        <w:rPr>
          <w:snapToGrid w:val="0"/>
        </w:rPr>
        <w:tab/>
        <w:t>(b)</w:t>
      </w:r>
      <w:r>
        <w:rPr>
          <w:snapToGrid w:val="0"/>
        </w:rPr>
        <w:tab/>
        <w:t>the explanatory message is to be printed as far as possible from the warning message on the package.</w:t>
      </w:r>
    </w:p>
    <w:p>
      <w:pPr>
        <w:pStyle w:val="Footnotesection"/>
      </w:pPr>
      <w:r>
        <w:tab/>
        <w:t xml:space="preserve">[Regulation 9 inserted in Gazette 17 Mar 1995 p. 1023.] </w:t>
      </w:r>
    </w:p>
    <w:p>
      <w:pPr>
        <w:pStyle w:val="Heading5"/>
        <w:rPr>
          <w:snapToGrid w:val="0"/>
        </w:rPr>
      </w:pPr>
      <w:bookmarkStart w:id="57" w:name="_Toc379276686"/>
      <w:bookmarkStart w:id="58" w:name="_Toc426543453"/>
      <w:bookmarkStart w:id="59" w:name="_Toc434984608"/>
      <w:bookmarkStart w:id="60" w:name="_Toc59354943"/>
      <w:bookmarkStart w:id="61" w:name="_Toc133132681"/>
      <w:r>
        <w:rPr>
          <w:rStyle w:val="CharSectno"/>
        </w:rPr>
        <w:t>10</w:t>
      </w:r>
      <w:r>
        <w:rPr>
          <w:snapToGrid w:val="0"/>
        </w:rPr>
        <w:t>.</w:t>
      </w:r>
      <w:r>
        <w:rPr>
          <w:snapToGrid w:val="0"/>
        </w:rPr>
        <w:tab/>
        <w:t>Area to be covered by warning message and explanatory message</w:t>
      </w:r>
      <w:bookmarkEnd w:id="57"/>
      <w:bookmarkEnd w:id="58"/>
      <w:bookmarkEnd w:id="59"/>
      <w:bookmarkEnd w:id="60"/>
      <w:bookmarkEnd w:id="61"/>
    </w:p>
    <w:p>
      <w:pPr>
        <w:pStyle w:val="Subsection"/>
        <w:rPr>
          <w:snapToGrid w:val="0"/>
        </w:rPr>
      </w:pPr>
      <w:r>
        <w:rPr>
          <w:snapToGrid w:val="0"/>
        </w:rPr>
        <w:tab/>
        <w:t>(1)</w:t>
      </w:r>
      <w:r>
        <w:rPr>
          <w:snapToGrid w:val="0"/>
        </w:rPr>
        <w:tab/>
        <w:t>A warning message that is printed on a package of a kind described in items 1 to 7 of Schedule 2 must cover at least 25% of the area of the face on which it is printed.</w:t>
      </w:r>
    </w:p>
    <w:p>
      <w:pPr>
        <w:pStyle w:val="Subsection"/>
        <w:rPr>
          <w:snapToGrid w:val="0"/>
        </w:rPr>
      </w:pPr>
      <w:r>
        <w:rPr>
          <w:snapToGrid w:val="0"/>
        </w:rPr>
        <w:tab/>
        <w:t>(2)</w:t>
      </w:r>
      <w:r>
        <w:rPr>
          <w:snapToGrid w:val="0"/>
        </w:rPr>
        <w:tab/>
        <w:t>An explanatory message that is printed on a package of a kind described in items 1 to 7 of Schedule 2 must cover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it is printed.</w:t>
      </w:r>
    </w:p>
    <w:p>
      <w:pPr>
        <w:pStyle w:val="Subsection"/>
        <w:rPr>
          <w:snapToGrid w:val="0"/>
        </w:rPr>
      </w:pPr>
      <w:r>
        <w:rPr>
          <w:snapToGrid w:val="0"/>
        </w:rPr>
        <w:tab/>
        <w:t>(3)</w:t>
      </w:r>
      <w:r>
        <w:rPr>
          <w:snapToGrid w:val="0"/>
        </w:rPr>
        <w:tab/>
        <w:t>A warning message that is printed on a package of a kind described in item 8 or 9 of Schedule 2 must cover at least 15% of the total surface area of the package.</w:t>
      </w:r>
    </w:p>
    <w:p>
      <w:pPr>
        <w:pStyle w:val="Subsection"/>
        <w:rPr>
          <w:snapToGrid w:val="0"/>
        </w:rPr>
      </w:pPr>
      <w:r>
        <w:rPr>
          <w:snapToGrid w:val="0"/>
        </w:rPr>
        <w:tab/>
        <w:t>(4)</w:t>
      </w:r>
      <w:r>
        <w:rPr>
          <w:snapToGrid w:val="0"/>
        </w:rPr>
        <w:tab/>
        <w:t>An explanatory message that is printed on a package of a kind described in item 9 of Schedule 2 must cover at least 20% of the total surface area of the package.</w:t>
      </w:r>
    </w:p>
    <w:p>
      <w:pPr>
        <w:pStyle w:val="Footnotesection"/>
      </w:pPr>
      <w:r>
        <w:tab/>
        <w:t>[Regulation 10 inserted in Gazette 17 Mar 1995 p. 1024.]</w:t>
      </w:r>
    </w:p>
    <w:p>
      <w:pPr>
        <w:pStyle w:val="Heading5"/>
        <w:rPr>
          <w:snapToGrid w:val="0"/>
        </w:rPr>
      </w:pPr>
      <w:bookmarkStart w:id="62" w:name="_Toc379276687"/>
      <w:bookmarkStart w:id="63" w:name="_Toc426543454"/>
      <w:bookmarkStart w:id="64" w:name="_Toc434984609"/>
      <w:bookmarkStart w:id="65" w:name="_Toc59354944"/>
      <w:bookmarkStart w:id="66" w:name="_Toc133132682"/>
      <w:r>
        <w:rPr>
          <w:rStyle w:val="CharSectno"/>
        </w:rPr>
        <w:t>11</w:t>
      </w:r>
      <w:r>
        <w:rPr>
          <w:snapToGrid w:val="0"/>
        </w:rPr>
        <w:t>.</w:t>
      </w:r>
      <w:r>
        <w:rPr>
          <w:snapToGrid w:val="0"/>
        </w:rPr>
        <w:tab/>
        <w:t>Orientation of a message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text of a warning message or an explanatory message must be oriented as follows:</w:t>
      </w:r>
    </w:p>
    <w:p>
      <w:pPr>
        <w:pStyle w:val="Indenta"/>
        <w:rPr>
          <w:snapToGrid w:val="0"/>
        </w:rPr>
      </w:pPr>
      <w:r>
        <w:rPr>
          <w:snapToGrid w:val="0"/>
        </w:rPr>
        <w:tab/>
        <w:t>(a)</w:t>
      </w:r>
      <w:r>
        <w:rPr>
          <w:snapToGrid w:val="0"/>
        </w:rPr>
        <w:tab/>
        <w:t>if the face on which the message is to be printed has other text printed on it, and all, or the majority of, that other text is oriented in one direction — the text must be oriented in that direction; or</w:t>
      </w:r>
    </w:p>
    <w:p>
      <w:pPr>
        <w:pStyle w:val="Indenta"/>
        <w:rPr>
          <w:snapToGrid w:val="0"/>
        </w:rPr>
      </w:pPr>
      <w:r>
        <w:rPr>
          <w:snapToGrid w:val="0"/>
        </w:rPr>
        <w:tab/>
        <w:t>(b)</w:t>
      </w:r>
      <w:r>
        <w:rPr>
          <w:snapToGrid w:val="0"/>
        </w:rPr>
        <w:tab/>
        <w:t>if paragraph (a) does not apply — the text may be oriented in any direction.</w:t>
      </w:r>
    </w:p>
    <w:p>
      <w:pPr>
        <w:pStyle w:val="Heading5"/>
        <w:rPr>
          <w:snapToGrid w:val="0"/>
        </w:rPr>
      </w:pPr>
      <w:bookmarkStart w:id="67" w:name="_Toc379276688"/>
      <w:bookmarkStart w:id="68" w:name="_Toc426543455"/>
      <w:bookmarkStart w:id="69" w:name="_Toc434984610"/>
      <w:bookmarkStart w:id="70" w:name="_Toc59354945"/>
      <w:bookmarkStart w:id="71" w:name="_Toc133132683"/>
      <w:r>
        <w:rPr>
          <w:rStyle w:val="CharSectno"/>
        </w:rPr>
        <w:t>12</w:t>
      </w:r>
      <w:r>
        <w:rPr>
          <w:snapToGrid w:val="0"/>
        </w:rPr>
        <w:t>.</w:t>
      </w:r>
      <w:r>
        <w:rPr>
          <w:snapToGrid w:val="0"/>
        </w:rPr>
        <w:tab/>
        <w:t>Messages not to be obscured etc.</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 message that is required by these regulations to be printed on a package is likely to be obscured or obliterated by a wrapper on the package, the message must be printed on both the wrapper and the package.</w:t>
      </w:r>
    </w:p>
    <w:p>
      <w:pPr>
        <w:pStyle w:val="Subsection"/>
        <w:rPr>
          <w:snapToGrid w:val="0"/>
        </w:rPr>
      </w:pPr>
      <w:r>
        <w:rPr>
          <w:snapToGrid w:val="0"/>
        </w:rPr>
        <w:tab/>
        <w:t>(2)</w:t>
      </w:r>
      <w:r>
        <w:rPr>
          <w:snapToGrid w:val="0"/>
        </w:rPr>
        <w:tab/>
        <w:t>A message must not be likely to be obliterated, removed or rendered permanently unreadable when the package on which it is printed is opened in the normal way.</w:t>
      </w:r>
    </w:p>
    <w:p>
      <w:pPr>
        <w:pStyle w:val="Heading5"/>
        <w:rPr>
          <w:snapToGrid w:val="0"/>
        </w:rPr>
      </w:pPr>
      <w:bookmarkStart w:id="72" w:name="_Toc379276689"/>
      <w:bookmarkStart w:id="73" w:name="_Toc426543456"/>
      <w:bookmarkStart w:id="74" w:name="_Toc434984611"/>
      <w:bookmarkStart w:id="75" w:name="_Toc59354946"/>
      <w:bookmarkStart w:id="76" w:name="_Toc133132684"/>
      <w:r>
        <w:rPr>
          <w:rStyle w:val="CharSectno"/>
        </w:rPr>
        <w:t>13</w:t>
      </w:r>
      <w:r>
        <w:rPr>
          <w:snapToGrid w:val="0"/>
        </w:rPr>
        <w:t>.</w:t>
      </w:r>
      <w:r>
        <w:rPr>
          <w:snapToGrid w:val="0"/>
        </w:rPr>
        <w:tab/>
        <w:t>Use of adhesive labels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message that is required by these regulations to be printed on a package may be printed on an adhesive label that is affixed to the package.</w:t>
      </w:r>
    </w:p>
    <w:p>
      <w:pPr>
        <w:pStyle w:val="Subsection"/>
        <w:rPr>
          <w:snapToGrid w:val="0"/>
        </w:rPr>
      </w:pPr>
      <w:r>
        <w:rPr>
          <w:snapToGrid w:val="0"/>
        </w:rPr>
        <w:tab/>
        <w:t>(2)</w:t>
      </w:r>
      <w:r>
        <w:rPr>
          <w:snapToGrid w:val="0"/>
        </w:rPr>
        <w:tab/>
        <w:t>Subregulation (1) does not apply to a flip</w:t>
      </w:r>
      <w:r>
        <w:rPr>
          <w:snapToGrid w:val="0"/>
        </w:rPr>
        <w:noBreakHyphen/>
        <w:t>top pack or a soft pack after 30 June 1996.</w:t>
      </w:r>
    </w:p>
    <w:p>
      <w:pPr>
        <w:pStyle w:val="Subsection"/>
        <w:rPr>
          <w:snapToGrid w:val="0"/>
        </w:rPr>
      </w:pPr>
      <w:r>
        <w:rPr>
          <w:snapToGrid w:val="0"/>
        </w:rPr>
        <w:tab/>
        <w:t>(3)</w:t>
      </w:r>
      <w:r>
        <w:rPr>
          <w:snapToGrid w:val="0"/>
        </w:rPr>
        <w:tab/>
        <w:t>An adhesive label referred to in subregulation (1) must — </w:t>
      </w:r>
    </w:p>
    <w:p>
      <w:pPr>
        <w:pStyle w:val="Indenta"/>
        <w:rPr>
          <w:snapToGrid w:val="0"/>
        </w:rPr>
      </w:pPr>
      <w:r>
        <w:rPr>
          <w:snapToGrid w:val="0"/>
        </w:rPr>
        <w:tab/>
        <w:t>(a)</w:t>
      </w:r>
      <w:r>
        <w:rPr>
          <w:snapToGrid w:val="0"/>
        </w:rPr>
        <w:tab/>
        <w:t>comply with these regulations in all respects other than as specifically set out in this regulation;</w:t>
      </w:r>
    </w:p>
    <w:p>
      <w:pPr>
        <w:pStyle w:val="Indenta"/>
        <w:rPr>
          <w:snapToGrid w:val="0"/>
        </w:rPr>
      </w:pPr>
      <w:r>
        <w:rPr>
          <w:snapToGrid w:val="0"/>
        </w:rPr>
        <w:tab/>
        <w:t>(b)</w:t>
      </w:r>
      <w:r>
        <w:rPr>
          <w:snapToGrid w:val="0"/>
        </w:rPr>
        <w:tab/>
        <w:t>be affixed to the face of the package on which the message that it bears is required to be printed, but may be affixed anywhere on that face; and</w:t>
      </w:r>
    </w:p>
    <w:p>
      <w:pPr>
        <w:pStyle w:val="Indenta"/>
        <w:rPr>
          <w:snapToGrid w:val="0"/>
        </w:rPr>
      </w:pPr>
      <w:r>
        <w:rPr>
          <w:snapToGrid w:val="0"/>
        </w:rPr>
        <w:tab/>
        <w:t>(c)</w:t>
      </w:r>
      <w:r>
        <w:rPr>
          <w:snapToGrid w:val="0"/>
        </w:rPr>
        <w:tab/>
        <w:t>be fastened firmly to the package so as not to be easily removable.</w:t>
      </w:r>
    </w:p>
    <w:p>
      <w:pPr>
        <w:pStyle w:val="Subsection"/>
        <w:rPr>
          <w:snapToGrid w:val="0"/>
        </w:rPr>
      </w:pPr>
      <w:r>
        <w:rPr>
          <w:snapToGrid w:val="0"/>
        </w:rPr>
        <w:tab/>
        <w:t>(4)</w:t>
      </w:r>
      <w:r>
        <w:rPr>
          <w:snapToGrid w:val="0"/>
        </w:rPr>
        <w:tab/>
        <w:t>An adhesive label referred to in subregulation (1) may be affixed in any orientation.</w:t>
      </w:r>
    </w:p>
    <w:p>
      <w:pPr>
        <w:pStyle w:val="Heading5"/>
        <w:rPr>
          <w:snapToGrid w:val="0"/>
        </w:rPr>
      </w:pPr>
      <w:bookmarkStart w:id="77" w:name="_Toc379276690"/>
      <w:bookmarkStart w:id="78" w:name="_Toc426543457"/>
      <w:bookmarkStart w:id="79" w:name="_Toc434984612"/>
      <w:bookmarkStart w:id="80" w:name="_Toc59354947"/>
      <w:bookmarkStart w:id="81" w:name="_Toc133132685"/>
      <w:r>
        <w:rPr>
          <w:rStyle w:val="CharSectno"/>
        </w:rPr>
        <w:t>14</w:t>
      </w:r>
      <w:r>
        <w:rPr>
          <w:snapToGrid w:val="0"/>
        </w:rPr>
        <w:t>.</w:t>
      </w:r>
      <w:r>
        <w:rPr>
          <w:snapToGrid w:val="0"/>
        </w:rPr>
        <w:tab/>
        <w:t>Messages to appear in rotation</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Each warning message and (where required by these regulations) the corresponding explanatory message must be printed in rotation on packages so that, during the period of 12 months beginning on 1 January in each year, each message appears as nearly as possible on an equal number of packages of each kind of tobacco product.</w:t>
      </w:r>
    </w:p>
    <w:p>
      <w:pPr>
        <w:pStyle w:val="Subsection"/>
        <w:rPr>
          <w:snapToGrid w:val="0"/>
        </w:rPr>
      </w:pPr>
      <w:r>
        <w:rPr>
          <w:snapToGrid w:val="0"/>
        </w:rPr>
        <w:tab/>
        <w:t>(2)</w:t>
      </w:r>
      <w:r>
        <w:rPr>
          <w:snapToGrid w:val="0"/>
        </w:rPr>
        <w:tab/>
        <w:t>A tobacco product is of different kinds for the purposes of subregulation (1) if — </w:t>
      </w:r>
    </w:p>
    <w:p>
      <w:pPr>
        <w:pStyle w:val="Indenta"/>
        <w:rPr>
          <w:snapToGrid w:val="0"/>
        </w:rPr>
      </w:pPr>
      <w:r>
        <w:rPr>
          <w:snapToGrid w:val="0"/>
        </w:rPr>
        <w:tab/>
        <w:t>(a)</w:t>
      </w:r>
      <w:r>
        <w:rPr>
          <w:snapToGrid w:val="0"/>
        </w:rPr>
        <w:tab/>
        <w:t>it is sold under different brand names; or</w:t>
      </w:r>
    </w:p>
    <w:p>
      <w:pPr>
        <w:pStyle w:val="Indenta"/>
        <w:rPr>
          <w:snapToGrid w:val="0"/>
        </w:rPr>
      </w:pPr>
      <w:r>
        <w:rPr>
          <w:snapToGrid w:val="0"/>
        </w:rPr>
        <w:tab/>
        <w:t>(b)</w:t>
      </w:r>
      <w:r>
        <w:rPr>
          <w:snapToGrid w:val="0"/>
        </w:rPr>
        <w:tab/>
        <w:t>it is sold under one brand name but is distinguished in one or more of the following ways:</w:t>
      </w:r>
    </w:p>
    <w:p>
      <w:pPr>
        <w:pStyle w:val="Indenti"/>
        <w:rPr>
          <w:snapToGrid w:val="0"/>
        </w:rPr>
      </w:pPr>
      <w:r>
        <w:rPr>
          <w:snapToGrid w:val="0"/>
        </w:rPr>
        <w:tab/>
        <w:t>(i)</w:t>
      </w:r>
      <w:r>
        <w:rPr>
          <w:snapToGrid w:val="0"/>
        </w:rPr>
        <w:tab/>
        <w:t>containing or not containing menthol;</w:t>
      </w:r>
    </w:p>
    <w:p>
      <w:pPr>
        <w:pStyle w:val="Indenti"/>
        <w:rPr>
          <w:snapToGrid w:val="0"/>
        </w:rPr>
      </w:pPr>
      <w:r>
        <w:rPr>
          <w:snapToGrid w:val="0"/>
        </w:rPr>
        <w:tab/>
        <w:t>(ii)</w:t>
      </w:r>
      <w:r>
        <w:rPr>
          <w:snapToGrid w:val="0"/>
        </w:rPr>
        <w:tab/>
        <w:t>being otherwise differently flavoured;</w:t>
      </w:r>
    </w:p>
    <w:p>
      <w:pPr>
        <w:pStyle w:val="Indenti"/>
        <w:rPr>
          <w:snapToGrid w:val="0"/>
        </w:rPr>
      </w:pPr>
      <w:r>
        <w:rPr>
          <w:snapToGrid w:val="0"/>
        </w:rPr>
        <w:tab/>
        <w:t>(iii)</w:t>
      </w:r>
      <w:r>
        <w:rPr>
          <w:snapToGrid w:val="0"/>
        </w:rPr>
        <w:tab/>
        <w:t>having different contents of tar;</w:t>
      </w:r>
    </w:p>
    <w:p>
      <w:pPr>
        <w:pStyle w:val="Indenti"/>
        <w:rPr>
          <w:snapToGrid w:val="0"/>
        </w:rPr>
      </w:pPr>
      <w:r>
        <w:rPr>
          <w:snapToGrid w:val="0"/>
        </w:rPr>
        <w:tab/>
        <w:t>(iv)</w:t>
      </w:r>
      <w:r>
        <w:rPr>
          <w:snapToGrid w:val="0"/>
        </w:rPr>
        <w:tab/>
        <w:t>allegedly differing in “mildness”;</w:t>
      </w:r>
    </w:p>
    <w:p>
      <w:pPr>
        <w:pStyle w:val="Indenti"/>
        <w:rPr>
          <w:snapToGrid w:val="0"/>
        </w:rPr>
      </w:pPr>
      <w:r>
        <w:rPr>
          <w:snapToGrid w:val="0"/>
        </w:rPr>
        <w:tab/>
        <w:t>(v)</w:t>
      </w:r>
      <w:r>
        <w:rPr>
          <w:snapToGrid w:val="0"/>
        </w:rPr>
        <w:tab/>
        <w:t>having or not having filter tips or cork tips;</w:t>
      </w:r>
    </w:p>
    <w:p>
      <w:pPr>
        <w:pStyle w:val="Indenti"/>
        <w:rPr>
          <w:snapToGrid w:val="0"/>
        </w:rPr>
      </w:pPr>
      <w:r>
        <w:rPr>
          <w:snapToGrid w:val="0"/>
        </w:rPr>
        <w:tab/>
        <w:t>(vi)</w:t>
      </w:r>
      <w:r>
        <w:rPr>
          <w:snapToGrid w:val="0"/>
        </w:rPr>
        <w:tab/>
        <w:t>being sold in packages containing different numbers of pieces;</w:t>
      </w:r>
    </w:p>
    <w:p>
      <w:pPr>
        <w:pStyle w:val="Indenti"/>
        <w:rPr>
          <w:snapToGrid w:val="0"/>
        </w:rPr>
      </w:pPr>
      <w:r>
        <w:rPr>
          <w:snapToGrid w:val="0"/>
        </w:rPr>
        <w:tab/>
        <w:t>(vii)</w:t>
      </w:r>
      <w:r>
        <w:rPr>
          <w:snapToGrid w:val="0"/>
        </w:rPr>
        <w:tab/>
        <w:t>being of different length or mass.</w:t>
      </w:r>
    </w:p>
    <w:p>
      <w:pPr>
        <w:pStyle w:val="Heading2"/>
      </w:pPr>
      <w:bookmarkStart w:id="82" w:name="_Toc379276691"/>
      <w:bookmarkStart w:id="83" w:name="_Toc426543458"/>
      <w:bookmarkStart w:id="84" w:name="_Toc133126517"/>
      <w:bookmarkStart w:id="85" w:name="_Toc133126806"/>
      <w:bookmarkStart w:id="86" w:name="_Toc133132686"/>
      <w:r>
        <w:rPr>
          <w:rStyle w:val="CharPartNo"/>
        </w:rPr>
        <w:t>Part 3</w:t>
      </w:r>
      <w:r>
        <w:rPr>
          <w:rStyle w:val="CharDivNo"/>
        </w:rPr>
        <w:t> </w:t>
      </w:r>
      <w:r>
        <w:t>—</w:t>
      </w:r>
      <w:r>
        <w:rPr>
          <w:rStyle w:val="CharDivText"/>
        </w:rPr>
        <w:t> </w:t>
      </w:r>
      <w:r>
        <w:rPr>
          <w:rStyle w:val="CharPartText"/>
        </w:rPr>
        <w:t>Packages containing cigarettes</w:t>
      </w:r>
      <w:bookmarkEnd w:id="82"/>
      <w:bookmarkEnd w:id="83"/>
      <w:bookmarkEnd w:id="84"/>
      <w:bookmarkEnd w:id="85"/>
      <w:bookmarkEnd w:id="86"/>
      <w:r>
        <w:rPr>
          <w:rStyle w:val="CharPartText"/>
        </w:rPr>
        <w:t xml:space="preserve"> </w:t>
      </w:r>
    </w:p>
    <w:p>
      <w:pPr>
        <w:pStyle w:val="Heading5"/>
        <w:rPr>
          <w:snapToGrid w:val="0"/>
        </w:rPr>
      </w:pPr>
      <w:bookmarkStart w:id="87" w:name="_Toc379276692"/>
      <w:bookmarkStart w:id="88" w:name="_Toc426543459"/>
      <w:bookmarkStart w:id="89" w:name="_Toc434984613"/>
      <w:bookmarkStart w:id="90" w:name="_Toc59354948"/>
      <w:bookmarkStart w:id="91" w:name="_Toc133132687"/>
      <w:r>
        <w:rPr>
          <w:rStyle w:val="CharSectno"/>
        </w:rPr>
        <w:t>15</w:t>
      </w:r>
      <w:r>
        <w:rPr>
          <w:snapToGrid w:val="0"/>
        </w:rPr>
        <w:t>.</w:t>
      </w:r>
      <w:r>
        <w:rPr>
          <w:snapToGrid w:val="0"/>
        </w:rPr>
        <w:tab/>
        <w:t>Application of Part</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This Part applies to a package containing cigarettes.</w:t>
      </w:r>
    </w:p>
    <w:p>
      <w:pPr>
        <w:pStyle w:val="Heading5"/>
        <w:rPr>
          <w:snapToGrid w:val="0"/>
        </w:rPr>
      </w:pPr>
      <w:bookmarkStart w:id="92" w:name="_Toc379276693"/>
      <w:bookmarkStart w:id="93" w:name="_Toc426543460"/>
      <w:bookmarkStart w:id="94" w:name="_Toc434984614"/>
      <w:bookmarkStart w:id="95" w:name="_Toc59354949"/>
      <w:bookmarkStart w:id="96" w:name="_Toc133132688"/>
      <w:r>
        <w:rPr>
          <w:rStyle w:val="CharSectno"/>
        </w:rPr>
        <w:t>16</w:t>
      </w:r>
      <w:r>
        <w:rPr>
          <w:snapToGrid w:val="0"/>
        </w:rPr>
        <w:t>.</w:t>
      </w:r>
      <w:r>
        <w:rPr>
          <w:snapToGrid w:val="0"/>
        </w:rPr>
        <w:tab/>
        <w:t>Message to be printed on the side of a package of cigarettes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purposes of this regulation, a reference to the sides of a package containing cigarettes is a reference — </w:t>
      </w:r>
    </w:p>
    <w:p>
      <w:pPr>
        <w:pStyle w:val="Indenta"/>
        <w:rPr>
          <w:snapToGrid w:val="0"/>
        </w:rPr>
      </w:pPr>
      <w:r>
        <w:rPr>
          <w:snapToGrid w:val="0"/>
        </w:rPr>
        <w:tab/>
        <w:t>(a)</w:t>
      </w:r>
      <w:r>
        <w:rPr>
          <w:snapToGrid w:val="0"/>
        </w:rPr>
        <w:tab/>
        <w:t>in the case of a cylindrical package — to those parts of the curved surface of the package that, if the vertical centre</w:t>
      </w:r>
      <w:r>
        <w:rPr>
          <w:snapToGrid w:val="0"/>
        </w:rPr>
        <w:noBreakHyphen/>
        <w:t>line of the largest brand</w:t>
      </w:r>
      <w:r>
        <w:rPr>
          <w:snapToGrid w:val="0"/>
        </w:rPr>
        <w:noBreakHyphen/>
        <w:t>name on the curved surface of the package is taken to be 0°, extend — </w:t>
      </w:r>
    </w:p>
    <w:p>
      <w:pPr>
        <w:pStyle w:val="Indenti"/>
        <w:rPr>
          <w:snapToGrid w:val="0"/>
        </w:rPr>
      </w:pPr>
      <w:r>
        <w:rPr>
          <w:snapToGrid w:val="0"/>
        </w:rPr>
        <w:tab/>
        <w:t>(i)</w:t>
      </w:r>
      <w:r>
        <w:rPr>
          <w:snapToGrid w:val="0"/>
        </w:rPr>
        <w:tab/>
        <w:t>from 60° to 120°; and</w:t>
      </w:r>
    </w:p>
    <w:p>
      <w:pPr>
        <w:pStyle w:val="Indenti"/>
        <w:rPr>
          <w:snapToGrid w:val="0"/>
        </w:rPr>
      </w:pPr>
      <w:r>
        <w:rPr>
          <w:snapToGrid w:val="0"/>
        </w:rPr>
        <w:tab/>
        <w:t>(ii)</w:t>
      </w:r>
      <w:r>
        <w:rPr>
          <w:snapToGrid w:val="0"/>
        </w:rPr>
        <w:tab/>
        <w:t>from 240° to 300°,</w:t>
      </w:r>
    </w:p>
    <w:p>
      <w:pPr>
        <w:pStyle w:val="Indenta"/>
        <w:rPr>
          <w:snapToGrid w:val="0"/>
        </w:rPr>
      </w:pPr>
      <w:r>
        <w:rPr>
          <w:snapToGrid w:val="0"/>
        </w:rPr>
        <w:tab/>
      </w:r>
      <w:r>
        <w:rPr>
          <w:snapToGrid w:val="0"/>
        </w:rPr>
        <w:tab/>
        <w:t>around the circumference of a flat face of the package;</w:t>
      </w:r>
    </w:p>
    <w:p>
      <w:pPr>
        <w:pStyle w:val="Indenta"/>
        <w:rPr>
          <w:snapToGrid w:val="0"/>
        </w:rPr>
      </w:pPr>
      <w:r>
        <w:rPr>
          <w:snapToGrid w:val="0"/>
        </w:rPr>
        <w:tab/>
        <w:t>(b)</w:t>
      </w:r>
      <w:r>
        <w:rPr>
          <w:snapToGrid w:val="0"/>
        </w:rPr>
        <w:tab/>
        <w:t>in the case of a package that has 2 faces that are hexagonal or octagonal, and of which all the other faces are square or rectangular — to the square or rectangular faces of the package, other than the front and the back; and</w:t>
      </w:r>
    </w:p>
    <w:p>
      <w:pPr>
        <w:pStyle w:val="Indenta"/>
        <w:rPr>
          <w:snapToGrid w:val="0"/>
        </w:rPr>
      </w:pPr>
      <w:r>
        <w:rPr>
          <w:snapToGrid w:val="0"/>
        </w:rPr>
        <w:tab/>
        <w:t>(c)</w:t>
      </w:r>
      <w:r>
        <w:rPr>
          <w:snapToGrid w:val="0"/>
        </w:rPr>
        <w:tab/>
        <w:t>in any other case — to the surfaces of the package, other than the back and the front, that are vertical when the package is held so that the axis of the cigarettes within it is vertical.</w:t>
      </w:r>
    </w:p>
    <w:p>
      <w:pPr>
        <w:pStyle w:val="Subsection"/>
        <w:rPr>
          <w:snapToGrid w:val="0"/>
        </w:rPr>
      </w:pPr>
      <w:r>
        <w:rPr>
          <w:snapToGrid w:val="0"/>
        </w:rPr>
        <w:tab/>
        <w:t>(2)</w:t>
      </w:r>
      <w:r>
        <w:rPr>
          <w:snapToGrid w:val="0"/>
        </w:rPr>
        <w:tab/>
        <w:t>For the purposes of subregulation (1) — </w:t>
      </w:r>
    </w:p>
    <w:p>
      <w:pPr>
        <w:pStyle w:val="Indenta"/>
        <w:rPr>
          <w:snapToGrid w:val="0"/>
        </w:rPr>
      </w:pPr>
      <w:r>
        <w:rPr>
          <w:snapToGrid w:val="0"/>
        </w:rPr>
        <w:tab/>
        <w:t>(a)</w:t>
      </w:r>
      <w:r>
        <w:rPr>
          <w:snapToGrid w:val="0"/>
        </w:rPr>
        <w:tab/>
        <w:t>the front of a package (other than a package of a kind described in item 8 or 9 of Schedule 2) is that face of the package on which the warning message is required to be printed; and</w:t>
      </w:r>
    </w:p>
    <w:p>
      <w:pPr>
        <w:pStyle w:val="Indenta"/>
        <w:rPr>
          <w:snapToGrid w:val="0"/>
        </w:rPr>
      </w:pPr>
      <w:r>
        <w:rPr>
          <w:snapToGrid w:val="0"/>
        </w:rPr>
        <w:tab/>
        <w:t>(b)</w:t>
      </w:r>
      <w:r>
        <w:rPr>
          <w:snapToGrid w:val="0"/>
        </w:rPr>
        <w:tab/>
        <w:t>the back of a package (other than a package of a kind described in item 8 or 9 of Schedule 2) is the face — </w:t>
      </w:r>
    </w:p>
    <w:p>
      <w:pPr>
        <w:pStyle w:val="Indenti"/>
        <w:rPr>
          <w:snapToGrid w:val="0"/>
        </w:rPr>
      </w:pPr>
      <w:r>
        <w:rPr>
          <w:snapToGrid w:val="0"/>
        </w:rPr>
        <w:tab/>
        <w:t>(i)</w:t>
      </w:r>
      <w:r>
        <w:rPr>
          <w:snapToGrid w:val="0"/>
        </w:rPr>
        <w:tab/>
        <w:t>on which the explanatory message is required to be printed; or</w:t>
      </w:r>
    </w:p>
    <w:p>
      <w:pPr>
        <w:pStyle w:val="Indenti"/>
        <w:rPr>
          <w:snapToGrid w:val="0"/>
        </w:rPr>
      </w:pPr>
      <w:r>
        <w:rPr>
          <w:snapToGrid w:val="0"/>
        </w:rPr>
        <w:tab/>
        <w:t>(ii)</w:t>
      </w:r>
      <w:r>
        <w:rPr>
          <w:snapToGrid w:val="0"/>
        </w:rPr>
        <w:tab/>
        <w:t>on which the explanatory message would, but for regulation 7(1), be required to be printed.</w:t>
      </w:r>
    </w:p>
    <w:p>
      <w:pPr>
        <w:pStyle w:val="Subsection"/>
        <w:rPr>
          <w:snapToGrid w:val="0"/>
        </w:rPr>
      </w:pPr>
      <w:r>
        <w:rPr>
          <w:snapToGrid w:val="0"/>
        </w:rPr>
        <w:tab/>
        <w:t>(3)</w:t>
      </w:r>
      <w:r>
        <w:rPr>
          <w:snapToGrid w:val="0"/>
        </w:rPr>
        <w:tab/>
        <w:t>The following message must be printed on a package of cigarettes — </w:t>
      </w:r>
    </w:p>
    <w:p>
      <w:pPr>
        <w:pStyle w:val="MiscOpen"/>
        <w:rPr>
          <w:snapToGrid w:val="0"/>
        </w:rPr>
      </w:pPr>
      <w:r>
        <w:rPr>
          <w:rFonts w:ascii="Courier New" w:hAnsi="Courier New"/>
          <w:snapToGrid w:val="0"/>
        </w:rPr>
        <w:tab/>
      </w:r>
      <w:r>
        <w:rPr>
          <w:snapToGrid w:val="0"/>
        </w:rPr>
        <w:t>“</w:t>
      </w:r>
    </w:p>
    <w:p>
      <w:pPr>
        <w:pStyle w:val="Subsection"/>
        <w:tabs>
          <w:tab w:val="clear" w:pos="595"/>
          <w:tab w:val="clear" w:pos="879"/>
          <w:tab w:val="right" w:pos="567"/>
          <w:tab w:val="left" w:pos="1276"/>
        </w:tabs>
        <w:ind w:left="1276" w:hanging="1276"/>
        <w:rPr>
          <w:rFonts w:ascii="Courier New" w:hAnsi="Courier New"/>
          <w:snapToGrid w:val="0"/>
        </w:rPr>
      </w:pPr>
      <w:r>
        <w:rPr>
          <w:snapToGrid w:val="0"/>
        </w:rPr>
        <w:tab/>
      </w:r>
      <w:r>
        <w:rPr>
          <w:snapToGrid w:val="0"/>
        </w:rPr>
        <w:tab/>
        <w:t>The smoke from each cigarette contains, on average:</w:t>
      </w:r>
    </w:p>
    <w:p>
      <w:pPr>
        <w:pStyle w:val="Indenti"/>
        <w:tabs>
          <w:tab w:val="clear" w:pos="2041"/>
          <w:tab w:val="clear" w:pos="2325"/>
        </w:tabs>
        <w:ind w:left="1560" w:right="292" w:hanging="1560"/>
        <w:rPr>
          <w:snapToGrid w:val="0"/>
        </w:rPr>
      </w:pPr>
      <w:r>
        <w:rPr>
          <w:snapToGrid w:val="0"/>
        </w:rPr>
        <w:tab/>
        <w:t>[xx] milligrams or less of tar — condensed smoke containing many chemicals, including some that cause cancer;</w:t>
      </w:r>
    </w:p>
    <w:p>
      <w:pPr>
        <w:pStyle w:val="Indenti"/>
        <w:tabs>
          <w:tab w:val="clear" w:pos="2041"/>
          <w:tab w:val="clear" w:pos="2325"/>
        </w:tabs>
        <w:ind w:left="1560" w:right="292" w:hanging="1560"/>
        <w:rPr>
          <w:snapToGrid w:val="0"/>
        </w:rPr>
      </w:pPr>
      <w:r>
        <w:rPr>
          <w:snapToGrid w:val="0"/>
        </w:rPr>
        <w:tab/>
        <w:t>[yy] milligrams or less of nicotine — a poisonous and addictive drug;</w:t>
      </w:r>
    </w:p>
    <w:p>
      <w:pPr>
        <w:pStyle w:val="Indenti"/>
        <w:tabs>
          <w:tab w:val="clear" w:pos="2041"/>
          <w:tab w:val="clear" w:pos="2325"/>
        </w:tabs>
        <w:ind w:left="1560" w:right="292" w:hanging="1560"/>
        <w:rPr>
          <w:snapToGrid w:val="0"/>
        </w:rPr>
      </w:pPr>
      <w:r>
        <w:rPr>
          <w:snapToGrid w:val="0"/>
        </w:rPr>
        <w:tab/>
        <w:t>[zz] milligrams or less of carbon monoxide — a deadly gas which reduces the ability of blood to carry oxygen.</w:t>
      </w:r>
    </w:p>
    <w:p>
      <w:pPr>
        <w:pStyle w:val="MiscClose"/>
        <w:rPr>
          <w:snapToGrid w:val="0"/>
        </w:rPr>
      </w:pPr>
      <w:r>
        <w:rPr>
          <w:snapToGrid w:val="0"/>
        </w:rPr>
        <w:t>”.</w:t>
      </w:r>
    </w:p>
    <w:p>
      <w:pPr>
        <w:pStyle w:val="Subsection"/>
        <w:rPr>
          <w:snapToGrid w:val="0"/>
        </w:rPr>
      </w:pPr>
      <w:r>
        <w:rPr>
          <w:snapToGrid w:val="0"/>
        </w:rPr>
        <w:tab/>
        <w:t>(4)</w:t>
      </w:r>
      <w:r>
        <w:rPr>
          <w:snapToGrid w:val="0"/>
        </w:rPr>
        <w:tab/>
        <w:t>The message required by subregulation (3) must be printed on a package of a kind described in item 1, 2, 3, 5 or 7 of Schedule 2 — </w:t>
      </w:r>
    </w:p>
    <w:p>
      <w:pPr>
        <w:pStyle w:val="Indenta"/>
        <w:rPr>
          <w:snapToGrid w:val="0"/>
        </w:rPr>
      </w:pPr>
      <w:r>
        <w:rPr>
          <w:snapToGrid w:val="0"/>
        </w:rPr>
        <w:tab/>
        <w:t>(a)</w:t>
      </w:r>
      <w:r>
        <w:rPr>
          <w:snapToGrid w:val="0"/>
        </w:rPr>
        <w:tab/>
        <w:t>if both or all the sides of the package are the same in area — on one side of the package;</w:t>
      </w:r>
    </w:p>
    <w:p>
      <w:pPr>
        <w:pStyle w:val="Indenta"/>
        <w:rPr>
          <w:snapToGrid w:val="0"/>
        </w:rPr>
      </w:pPr>
      <w:r>
        <w:rPr>
          <w:snapToGrid w:val="0"/>
        </w:rPr>
        <w:tab/>
        <w:t>(b)</w:t>
      </w:r>
      <w:r>
        <w:rPr>
          <w:snapToGrid w:val="0"/>
        </w:rPr>
        <w:tab/>
        <w:t>if one side of the package is larger than the other or others — on the larger or largest side; or</w:t>
      </w:r>
    </w:p>
    <w:p>
      <w:pPr>
        <w:pStyle w:val="Indenta"/>
        <w:rPr>
          <w:snapToGrid w:val="0"/>
        </w:rPr>
      </w:pPr>
      <w:r>
        <w:rPr>
          <w:snapToGrid w:val="0"/>
        </w:rPr>
        <w:tab/>
        <w:t>(c)</w:t>
      </w:r>
      <w:r>
        <w:rPr>
          <w:snapToGrid w:val="0"/>
        </w:rPr>
        <w:tab/>
        <w:t>if 2 or more sides of the package are larger than the other or others — on one of those larger sides.</w:t>
      </w:r>
    </w:p>
    <w:p>
      <w:pPr>
        <w:pStyle w:val="Subsection"/>
        <w:rPr>
          <w:snapToGrid w:val="0"/>
        </w:rPr>
      </w:pPr>
      <w:r>
        <w:rPr>
          <w:snapToGrid w:val="0"/>
        </w:rPr>
        <w:tab/>
        <w:t>(4a)</w:t>
      </w:r>
      <w:r>
        <w:rPr>
          <w:snapToGrid w:val="0"/>
        </w:rPr>
        <w:tab/>
        <w:t>The message required by subregulation (3) must be printed on a package of a kind described in item 8 or 9 of Schedule 2 anywhere on the package.</w:t>
      </w:r>
    </w:p>
    <w:p>
      <w:pPr>
        <w:pStyle w:val="Subsection"/>
        <w:rPr>
          <w:snapToGrid w:val="0"/>
        </w:rPr>
      </w:pPr>
      <w:r>
        <w:rPr>
          <w:snapToGrid w:val="0"/>
        </w:rPr>
        <w:tab/>
        <w:t>(5)</w:t>
      </w:r>
      <w:r>
        <w:rPr>
          <w:snapToGrid w:val="0"/>
        </w:rPr>
        <w:tab/>
        <w:t>The message required by subregulation (3) must be printed — </w:t>
      </w:r>
    </w:p>
    <w:p>
      <w:pPr>
        <w:pStyle w:val="Indenta"/>
        <w:rPr>
          <w:snapToGrid w:val="0"/>
        </w:rPr>
      </w:pPr>
      <w:r>
        <w:rPr>
          <w:snapToGrid w:val="0"/>
        </w:rPr>
        <w:tab/>
        <w:t>(a)</w:t>
      </w:r>
      <w:r>
        <w:rPr>
          <w:snapToGrid w:val="0"/>
        </w:rPr>
        <w:tab/>
        <w:t>in the type face known as Helvetica,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black;</w:t>
      </w:r>
    </w:p>
    <w:p>
      <w:pPr>
        <w:pStyle w:val="Indenti"/>
        <w:rPr>
          <w:snapToGrid w:val="0"/>
        </w:rPr>
      </w:pPr>
      <w:r>
        <w:rPr>
          <w:snapToGrid w:val="0"/>
        </w:rPr>
        <w:tab/>
        <w:t>(iii)</w:t>
      </w:r>
      <w:r>
        <w:rPr>
          <w:snapToGrid w:val="0"/>
        </w:rPr>
        <w:tab/>
        <w:t>of normal weight; and</w:t>
      </w:r>
    </w:p>
    <w:p>
      <w:pPr>
        <w:pStyle w:val="Indenti"/>
        <w:rPr>
          <w:snapToGrid w:val="0"/>
        </w:rPr>
      </w:pPr>
      <w:r>
        <w:rPr>
          <w:snapToGrid w:val="0"/>
        </w:rPr>
        <w:tab/>
        <w:t>(iv)</w:t>
      </w:r>
      <w:r>
        <w:rPr>
          <w:snapToGrid w:val="0"/>
        </w:rPr>
        <w:tab/>
        <w:t>of such a size that the text as nearly as possible fills the background on which it is printed;</w:t>
      </w:r>
    </w:p>
    <w:p>
      <w:pPr>
        <w:pStyle w:val="Indenta"/>
        <w:rPr>
          <w:snapToGrid w:val="0"/>
        </w:rPr>
      </w:pPr>
      <w:r>
        <w:rPr>
          <w:snapToGrid w:val="0"/>
        </w:rPr>
        <w:tab/>
        <w:t>(b)</w:t>
      </w:r>
      <w:r>
        <w:rPr>
          <w:snapToGrid w:val="0"/>
        </w:rPr>
        <w:tab/>
        <w:t>in upper and lower case, as the text of the message is set out in subregulation (3);</w:t>
      </w:r>
    </w:p>
    <w:p>
      <w:pPr>
        <w:pStyle w:val="Indenta"/>
        <w:rPr>
          <w:snapToGrid w:val="0"/>
        </w:rPr>
      </w:pPr>
      <w:r>
        <w:rPr>
          <w:snapToGrid w:val="0"/>
        </w:rPr>
        <w:tab/>
        <w:t>(c)</w:t>
      </w:r>
      <w:r>
        <w:rPr>
          <w:snapToGrid w:val="0"/>
        </w:rPr>
        <w:tab/>
        <w:t>if the message is required to appear on the side of the package, oriented so that the lines of type making up the message are parallel to the longest edges of the face on which the message is printed; and</w:t>
      </w:r>
    </w:p>
    <w:p>
      <w:pPr>
        <w:pStyle w:val="Indenta"/>
        <w:rPr>
          <w:snapToGrid w:val="0"/>
        </w:rPr>
      </w:pPr>
      <w:r>
        <w:rPr>
          <w:snapToGrid w:val="0"/>
        </w:rPr>
        <w:tab/>
        <w:t>(d)</w:t>
      </w:r>
      <w:r>
        <w:rPr>
          <w:snapToGrid w:val="0"/>
        </w:rPr>
        <w:tab/>
        <w:t>on a rectangular or square background of the kind set out in subregulation (6).</w:t>
      </w:r>
    </w:p>
    <w:p>
      <w:pPr>
        <w:pStyle w:val="Subsection"/>
        <w:rPr>
          <w:snapToGrid w:val="0"/>
        </w:rPr>
      </w:pPr>
      <w:r>
        <w:rPr>
          <w:snapToGrid w:val="0"/>
        </w:rPr>
        <w:tab/>
        <w:t>(6)</w:t>
      </w:r>
      <w:r>
        <w:rPr>
          <w:snapToGrid w:val="0"/>
        </w:rPr>
        <w:tab/>
        <w:t>The background referred to in paragraph (5)(d) — </w:t>
      </w:r>
    </w:p>
    <w:p>
      <w:pPr>
        <w:pStyle w:val="Indenta"/>
        <w:rPr>
          <w:snapToGrid w:val="0"/>
        </w:rPr>
      </w:pPr>
      <w:r>
        <w:rPr>
          <w:snapToGrid w:val="0"/>
        </w:rPr>
        <w:tab/>
        <w:t>(a)</w:t>
      </w:r>
      <w:r>
        <w:rPr>
          <w:snapToGrid w:val="0"/>
        </w:rPr>
        <w:tab/>
        <w:t>must be white; and</w:t>
      </w:r>
    </w:p>
    <w:p>
      <w:pPr>
        <w:pStyle w:val="Indenta"/>
        <w:rPr>
          <w:snapToGrid w:val="0"/>
        </w:rPr>
      </w:pPr>
      <w:r>
        <w:rPr>
          <w:snapToGrid w:val="0"/>
        </w:rPr>
        <w:tab/>
        <w:t>(b)</w:t>
      </w:r>
      <w:r>
        <w:rPr>
          <w:snapToGrid w:val="0"/>
        </w:rPr>
        <w:tab/>
        <w:t>must occupy — </w:t>
      </w:r>
    </w:p>
    <w:p>
      <w:pPr>
        <w:pStyle w:val="Indenti"/>
        <w:rPr>
          <w:snapToGrid w:val="0"/>
        </w:rPr>
      </w:pPr>
      <w:r>
        <w:rPr>
          <w:snapToGrid w:val="0"/>
        </w:rPr>
        <w:tab/>
        <w:t>(i)</w:t>
      </w:r>
      <w:r>
        <w:rPr>
          <w:snapToGrid w:val="0"/>
        </w:rPr>
        <w:tab/>
        <w:t>in the case of a package other than a flip</w:t>
      </w:r>
      <w:r>
        <w:rPr>
          <w:snapToGrid w:val="0"/>
        </w:rPr>
        <w:noBreakHyphen/>
        <w:t>top pack or an irregular package — the whole of one side;</w:t>
      </w:r>
    </w:p>
    <w:p>
      <w:pPr>
        <w:pStyle w:val="Indenti"/>
        <w:rPr>
          <w:snapToGrid w:val="0"/>
        </w:rPr>
      </w:pPr>
      <w:r>
        <w:rPr>
          <w:snapToGrid w:val="0"/>
        </w:rPr>
        <w:tab/>
        <w:t>(ii)</w:t>
      </w:r>
      <w:r>
        <w:rPr>
          <w:snapToGrid w:val="0"/>
        </w:rPr>
        <w:tab/>
        <w:t>in the case of a flip</w:t>
      </w:r>
      <w:r>
        <w:rPr>
          <w:snapToGrid w:val="0"/>
        </w:rPr>
        <w:noBreakHyphen/>
        <w:t>top pack — the whole of one side except the part of that side that forms part of the top;</w:t>
      </w:r>
    </w:p>
    <w:p>
      <w:pPr>
        <w:pStyle w:val="Indenti"/>
        <w:rPr>
          <w:snapToGrid w:val="0"/>
        </w:rPr>
      </w:pPr>
      <w:r>
        <w:rPr>
          <w:snapToGrid w:val="0"/>
        </w:rPr>
        <w:tab/>
        <w:t>(iii)</w:t>
      </w:r>
      <w:r>
        <w:rPr>
          <w:snapToGrid w:val="0"/>
        </w:rPr>
        <w:tab/>
        <w:t>in the case of a package of a kind described in item 8 or 9 of Schedule 2 — at least 9% of the total surface area of the package.</w:t>
      </w:r>
    </w:p>
    <w:p>
      <w:pPr>
        <w:pStyle w:val="Subsection"/>
        <w:rPr>
          <w:snapToGrid w:val="0"/>
        </w:rPr>
      </w:pPr>
      <w:r>
        <w:rPr>
          <w:snapToGrid w:val="0"/>
        </w:rPr>
        <w:tab/>
        <w:t>(7)</w:t>
      </w:r>
      <w:r>
        <w:rPr>
          <w:snapToGrid w:val="0"/>
        </w:rPr>
        <w:tab/>
        <w:t>When the message required by subregulation (3) is printed on a package, “[xx]”, “[yy]” and “[zz]” are to be replaced by — </w:t>
      </w:r>
    </w:p>
    <w:p>
      <w:pPr>
        <w:pStyle w:val="Indenta"/>
        <w:rPr>
          <w:snapToGrid w:val="0"/>
        </w:rPr>
      </w:pPr>
      <w:r>
        <w:rPr>
          <w:snapToGrid w:val="0"/>
        </w:rPr>
        <w:tab/>
        <w:t>(a)</w:t>
      </w:r>
      <w:r>
        <w:rPr>
          <w:snapToGrid w:val="0"/>
        </w:rPr>
        <w:tab/>
        <w:t>the average amount of tar, nicotine or carbon monoxide, respectively, produced by a cigarette of the kind contained in the package, when cigarettes of that kind are tested according to the testing methods specified in regulation 17; or</w:t>
      </w:r>
    </w:p>
    <w:p>
      <w:pPr>
        <w:pStyle w:val="Indenta"/>
        <w:keepNext/>
        <w:keepLines/>
        <w:rPr>
          <w:snapToGrid w:val="0"/>
        </w:rPr>
      </w:pPr>
      <w:r>
        <w:rPr>
          <w:snapToGrid w:val="0"/>
        </w:rPr>
        <w:tab/>
        <w:t>(b)</w:t>
      </w:r>
      <w:r>
        <w:rPr>
          <w:snapToGrid w:val="0"/>
        </w:rPr>
        <w:tab/>
        <w:t>if, when cigarettes of that kind are tested according to those testing methods — </w:t>
      </w:r>
    </w:p>
    <w:p>
      <w:pPr>
        <w:pStyle w:val="Indenti"/>
        <w:rPr>
          <w:snapToGrid w:val="0"/>
        </w:rPr>
      </w:pPr>
      <w:r>
        <w:rPr>
          <w:snapToGrid w:val="0"/>
        </w:rPr>
        <w:tab/>
        <w:t>(i)</w:t>
      </w:r>
      <w:r>
        <w:rPr>
          <w:snapToGrid w:val="0"/>
        </w:rPr>
        <w:tab/>
        <w:t>the average amount of tar produced by a cigarette does not exceed 16 milligrams;</w:t>
      </w:r>
    </w:p>
    <w:p>
      <w:pPr>
        <w:pStyle w:val="Indenti"/>
        <w:rPr>
          <w:snapToGrid w:val="0"/>
        </w:rPr>
      </w:pPr>
      <w:r>
        <w:rPr>
          <w:snapToGrid w:val="0"/>
        </w:rPr>
        <w:tab/>
        <w:t>(ii)</w:t>
      </w:r>
      <w:r>
        <w:rPr>
          <w:snapToGrid w:val="0"/>
        </w:rPr>
        <w:tab/>
        <w:t>the average amount of nicotine produced by a cigarette does not exceed 1.5 milligrams; and</w:t>
      </w:r>
    </w:p>
    <w:p>
      <w:pPr>
        <w:pStyle w:val="Indenti"/>
        <w:rPr>
          <w:snapToGrid w:val="0"/>
        </w:rPr>
      </w:pPr>
      <w:r>
        <w:rPr>
          <w:snapToGrid w:val="0"/>
        </w:rPr>
        <w:tab/>
        <w:t>(iii)</w:t>
      </w:r>
      <w:r>
        <w:rPr>
          <w:snapToGrid w:val="0"/>
        </w:rPr>
        <w:tab/>
        <w:t>the average amount of carbon monoxide produced by a cigarette does not exceed 20 milligrams,</w:t>
      </w:r>
    </w:p>
    <w:p>
      <w:pPr>
        <w:pStyle w:val="Indenta"/>
        <w:rPr>
          <w:snapToGrid w:val="0"/>
        </w:rPr>
      </w:pPr>
      <w:r>
        <w:rPr>
          <w:snapToGrid w:val="0"/>
        </w:rPr>
        <w:tab/>
      </w:r>
      <w:r>
        <w:rPr>
          <w:snapToGrid w:val="0"/>
        </w:rPr>
        <w:tab/>
        <w:t>a figure worked out by taking from the column of Schedule 3 that relates respectively to tar, nicotine, or carbon monoxide the lowest figure that is greater than the average amount of tar, nicotine, or carbon monoxide, respectively, produced by a cigarette of that kind.</w:t>
      </w:r>
    </w:p>
    <w:p>
      <w:pPr>
        <w:pStyle w:val="Footnotesection"/>
      </w:pPr>
      <w:r>
        <w:tab/>
        <w:t xml:space="preserve">[Regulation 16 amended in Gazette 17 Mar 1995 p. 1024.] </w:t>
      </w:r>
    </w:p>
    <w:p>
      <w:pPr>
        <w:pStyle w:val="Heading5"/>
        <w:rPr>
          <w:snapToGrid w:val="0"/>
        </w:rPr>
      </w:pPr>
      <w:bookmarkStart w:id="97" w:name="_Toc379276694"/>
      <w:bookmarkStart w:id="98" w:name="_Toc426543461"/>
      <w:bookmarkStart w:id="99" w:name="_Toc434984615"/>
      <w:bookmarkStart w:id="100" w:name="_Toc59354950"/>
      <w:bookmarkStart w:id="101" w:name="_Toc133132689"/>
      <w:r>
        <w:rPr>
          <w:rStyle w:val="CharSectno"/>
        </w:rPr>
        <w:t>17</w:t>
      </w:r>
      <w:r>
        <w:rPr>
          <w:snapToGrid w:val="0"/>
        </w:rPr>
        <w:t>.</w:t>
      </w:r>
      <w:r>
        <w:rPr>
          <w:snapToGrid w:val="0"/>
        </w:rPr>
        <w:tab/>
        <w:t>Testing methods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testing methods to be used for the purposes of regulation 16(7) to determine the average amount of tar, nicotine and carbon monoxide produced by a cigarette are the following standard methods published by the International Standards Organisation:</w:t>
      </w:r>
    </w:p>
    <w:p>
      <w:pPr>
        <w:pStyle w:val="Indenta"/>
        <w:rPr>
          <w:snapToGrid w:val="0"/>
        </w:rPr>
      </w:pPr>
      <w:r>
        <w:rPr>
          <w:snapToGrid w:val="0"/>
        </w:rPr>
        <w:tab/>
        <w:t>(a)</w:t>
      </w:r>
      <w:r>
        <w:rPr>
          <w:snapToGrid w:val="0"/>
        </w:rPr>
        <w:tab/>
        <w:t>tar — ISO 4387 (Determination of total and nicotine</w:t>
      </w:r>
      <w:r>
        <w:rPr>
          <w:snapToGrid w:val="0"/>
        </w:rPr>
        <w:noBreakHyphen/>
        <w:t>free dry particulate matter using a routine analytical smoking machine);</w:t>
      </w:r>
    </w:p>
    <w:p>
      <w:pPr>
        <w:pStyle w:val="Indenta"/>
        <w:rPr>
          <w:snapToGrid w:val="0"/>
        </w:rPr>
      </w:pPr>
      <w:r>
        <w:rPr>
          <w:snapToGrid w:val="0"/>
        </w:rPr>
        <w:tab/>
        <w:t>(b)</w:t>
      </w:r>
      <w:r>
        <w:rPr>
          <w:snapToGrid w:val="0"/>
        </w:rPr>
        <w:tab/>
        <w:t>nicotine — ISO 10315 (Cigarettes — determination of nicotine in smoke condensates — gas chromatographic method);</w:t>
      </w:r>
    </w:p>
    <w:p>
      <w:pPr>
        <w:pStyle w:val="Indenta"/>
        <w:rPr>
          <w:snapToGrid w:val="0"/>
        </w:rPr>
      </w:pPr>
      <w:r>
        <w:rPr>
          <w:snapToGrid w:val="0"/>
        </w:rPr>
        <w:tab/>
        <w:t>(c)</w:t>
      </w:r>
      <w:r>
        <w:rPr>
          <w:snapToGrid w:val="0"/>
        </w:rPr>
        <w:tab/>
        <w:t>carbon monoxide — ISO 8454 (Cigarettes — determination of carbon monoxide in the vapour phase of smoke (NDIR method)).</w:t>
      </w:r>
    </w:p>
    <w:p>
      <w:pPr>
        <w:pStyle w:val="Subsection"/>
        <w:keepNext/>
        <w:keepLines/>
        <w:rPr>
          <w:snapToGrid w:val="0"/>
        </w:rPr>
      </w:pPr>
      <w:r>
        <w:rPr>
          <w:snapToGrid w:val="0"/>
        </w:rPr>
        <w:tab/>
        <w:t>(2)</w:t>
      </w:r>
      <w:r>
        <w:rPr>
          <w:snapToGrid w:val="0"/>
        </w:rPr>
        <w:tab/>
        <w:t>The testing methods specified in subregulation (1) are to be used in accordance with the following standards published by the International Standards Organisation:</w:t>
      </w:r>
    </w:p>
    <w:p>
      <w:pPr>
        <w:pStyle w:val="Indenta"/>
        <w:rPr>
          <w:snapToGrid w:val="0"/>
        </w:rPr>
      </w:pPr>
      <w:r>
        <w:rPr>
          <w:snapToGrid w:val="0"/>
        </w:rPr>
        <w:tab/>
        <w:t>(a)</w:t>
      </w:r>
      <w:r>
        <w:rPr>
          <w:snapToGrid w:val="0"/>
        </w:rPr>
        <w:tab/>
        <w:t>ISO 3308 (Routine analytical cigarette</w:t>
      </w:r>
      <w:r>
        <w:rPr>
          <w:snapToGrid w:val="0"/>
        </w:rPr>
        <w:noBreakHyphen/>
        <w:t>smoking machine — definitions and standard conditions);</w:t>
      </w:r>
    </w:p>
    <w:p>
      <w:pPr>
        <w:pStyle w:val="Indenta"/>
        <w:rPr>
          <w:snapToGrid w:val="0"/>
        </w:rPr>
      </w:pPr>
      <w:r>
        <w:rPr>
          <w:snapToGrid w:val="0"/>
        </w:rPr>
        <w:tab/>
        <w:t>(b)</w:t>
      </w:r>
      <w:r>
        <w:rPr>
          <w:snapToGrid w:val="0"/>
        </w:rPr>
        <w:tab/>
        <w:t>ISO 8243 (Cigarettes — sampling);</w:t>
      </w:r>
    </w:p>
    <w:p>
      <w:pPr>
        <w:pStyle w:val="Indenta"/>
        <w:rPr>
          <w:snapToGrid w:val="0"/>
        </w:rPr>
      </w:pPr>
      <w:r>
        <w:rPr>
          <w:snapToGrid w:val="0"/>
        </w:rPr>
        <w:tab/>
        <w:t>(c)</w:t>
      </w:r>
      <w:r>
        <w:rPr>
          <w:snapToGrid w:val="0"/>
        </w:rPr>
        <w:tab/>
        <w:t>ISO 3402 (Tobacco and tobacco products — atmosphere for conditioning and testing).</w:t>
      </w:r>
    </w:p>
    <w:p>
      <w:pPr>
        <w:pStyle w:val="Heading2"/>
      </w:pPr>
      <w:bookmarkStart w:id="102" w:name="_Toc379276695"/>
      <w:bookmarkStart w:id="103" w:name="_Toc426543462"/>
      <w:bookmarkStart w:id="104" w:name="_Toc133126521"/>
      <w:bookmarkStart w:id="105" w:name="_Toc133126810"/>
      <w:bookmarkStart w:id="106" w:name="_Toc133132690"/>
      <w:r>
        <w:rPr>
          <w:rStyle w:val="CharPartNo"/>
        </w:rPr>
        <w:t>Part 4</w:t>
      </w:r>
      <w:r>
        <w:rPr>
          <w:rStyle w:val="CharDivNo"/>
        </w:rPr>
        <w:t> </w:t>
      </w:r>
      <w:r>
        <w:t>—</w:t>
      </w:r>
      <w:r>
        <w:rPr>
          <w:rStyle w:val="CharDivText"/>
        </w:rPr>
        <w:t> </w:t>
      </w:r>
      <w:r>
        <w:rPr>
          <w:rStyle w:val="CharPartText"/>
        </w:rPr>
        <w:t>Packages containing cigars</w:t>
      </w:r>
      <w:bookmarkEnd w:id="102"/>
      <w:bookmarkEnd w:id="103"/>
      <w:bookmarkEnd w:id="104"/>
      <w:bookmarkEnd w:id="105"/>
      <w:bookmarkEnd w:id="106"/>
      <w:r>
        <w:rPr>
          <w:rStyle w:val="CharPartText"/>
        </w:rPr>
        <w:t xml:space="preserve"> </w:t>
      </w:r>
    </w:p>
    <w:p>
      <w:pPr>
        <w:pStyle w:val="Heading5"/>
        <w:rPr>
          <w:snapToGrid w:val="0"/>
        </w:rPr>
      </w:pPr>
      <w:bookmarkStart w:id="107" w:name="_Toc379276696"/>
      <w:bookmarkStart w:id="108" w:name="_Toc426543463"/>
      <w:bookmarkStart w:id="109" w:name="_Toc434984616"/>
      <w:bookmarkStart w:id="110" w:name="_Toc59354951"/>
      <w:bookmarkStart w:id="111" w:name="_Toc133132691"/>
      <w:r>
        <w:rPr>
          <w:rStyle w:val="CharSectno"/>
        </w:rPr>
        <w:t>18</w:t>
      </w:r>
      <w:r>
        <w:rPr>
          <w:snapToGrid w:val="0"/>
        </w:rPr>
        <w:t>.</w:t>
      </w:r>
      <w:r>
        <w:rPr>
          <w:snapToGrid w:val="0"/>
        </w:rPr>
        <w:tab/>
        <w:t>Application of Part</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Part applies to a package containing cigars.</w:t>
      </w:r>
    </w:p>
    <w:p>
      <w:pPr>
        <w:pStyle w:val="Heading5"/>
        <w:rPr>
          <w:snapToGrid w:val="0"/>
        </w:rPr>
      </w:pPr>
      <w:bookmarkStart w:id="112" w:name="_Toc379276697"/>
      <w:bookmarkStart w:id="113" w:name="_Toc426543464"/>
      <w:bookmarkStart w:id="114" w:name="_Toc434984617"/>
      <w:bookmarkStart w:id="115" w:name="_Toc59354952"/>
      <w:bookmarkStart w:id="116" w:name="_Toc133132692"/>
      <w:r>
        <w:rPr>
          <w:rStyle w:val="CharSectno"/>
        </w:rPr>
        <w:t>19</w:t>
      </w:r>
      <w:r>
        <w:rPr>
          <w:snapToGrid w:val="0"/>
        </w:rPr>
        <w:t>.</w:t>
      </w:r>
      <w:r>
        <w:rPr>
          <w:snapToGrid w:val="0"/>
        </w:rPr>
        <w:tab/>
        <w:t>Packages of cigars must bear certain messages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package containing cigars must bear — </w:t>
      </w:r>
    </w:p>
    <w:p>
      <w:pPr>
        <w:pStyle w:val="Indenta"/>
        <w:rPr>
          <w:snapToGrid w:val="0"/>
        </w:rPr>
      </w:pPr>
      <w:r>
        <w:rPr>
          <w:snapToGrid w:val="0"/>
        </w:rPr>
        <w:tab/>
        <w:t>(a)</w:t>
      </w:r>
      <w:r>
        <w:rPr>
          <w:snapToGrid w:val="0"/>
        </w:rPr>
        <w:tab/>
        <w:t>a warning message, and the corresponding explanatory message, in accordance with Part 2;</w:t>
      </w:r>
    </w:p>
    <w:p>
      <w:pPr>
        <w:pStyle w:val="Indenta"/>
        <w:rPr>
          <w:snapToGrid w:val="0"/>
        </w:rPr>
      </w:pPr>
      <w:r>
        <w:rPr>
          <w:snapToGrid w:val="0"/>
        </w:rPr>
        <w:tab/>
        <w:t>(b)</w:t>
      </w:r>
      <w:r>
        <w:rPr>
          <w:snapToGrid w:val="0"/>
        </w:rPr>
        <w:tab/>
        <w:t>a warning message, the warning message repeated, and the corresponding explanatory message, in accordance with regulation 20; or</w:t>
      </w:r>
    </w:p>
    <w:p>
      <w:pPr>
        <w:pStyle w:val="Indenta"/>
        <w:rPr>
          <w:snapToGrid w:val="0"/>
        </w:rPr>
      </w:pPr>
      <w:r>
        <w:rPr>
          <w:snapToGrid w:val="0"/>
        </w:rPr>
        <w:tab/>
        <w:t>(c)</w:t>
      </w:r>
      <w:r>
        <w:rPr>
          <w:snapToGrid w:val="0"/>
        </w:rPr>
        <w:tab/>
        <w:t>a warning message, and the corresponding explanatory message, in accordance with regulation 21.</w:t>
      </w:r>
    </w:p>
    <w:p>
      <w:pPr>
        <w:pStyle w:val="Heading5"/>
        <w:rPr>
          <w:snapToGrid w:val="0"/>
        </w:rPr>
      </w:pPr>
      <w:bookmarkStart w:id="117" w:name="_Toc379276698"/>
      <w:bookmarkStart w:id="118" w:name="_Toc426543465"/>
      <w:bookmarkStart w:id="119" w:name="_Toc434984618"/>
      <w:bookmarkStart w:id="120" w:name="_Toc59354953"/>
      <w:bookmarkStart w:id="121" w:name="_Toc133132693"/>
      <w:r>
        <w:rPr>
          <w:rStyle w:val="CharSectno"/>
        </w:rPr>
        <w:t>20</w:t>
      </w:r>
      <w:r>
        <w:rPr>
          <w:snapToGrid w:val="0"/>
        </w:rPr>
        <w:t>.</w:t>
      </w:r>
      <w:r>
        <w:rPr>
          <w:snapToGrid w:val="0"/>
        </w:rPr>
        <w:tab/>
        <w:t>Messages on package with hinged lid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warning message and explanatory message may be printed on a package in accordance with this regulation if and only if the package has a hinged lid formed by one face of the package.</w:t>
      </w:r>
    </w:p>
    <w:p>
      <w:pPr>
        <w:pStyle w:val="Subsection"/>
        <w:rPr>
          <w:snapToGrid w:val="0"/>
        </w:rPr>
      </w:pPr>
      <w:r>
        <w:rPr>
          <w:snapToGrid w:val="0"/>
        </w:rPr>
        <w:tab/>
        <w:t>(2)</w:t>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both the outside of the lid and the base of the package;</w:t>
      </w:r>
    </w:p>
    <w:p>
      <w:pPr>
        <w:pStyle w:val="Indenta"/>
        <w:rPr>
          <w:snapToGrid w:val="0"/>
        </w:rPr>
      </w:pPr>
      <w:r>
        <w:rPr>
          <w:snapToGrid w:val="0"/>
        </w:rPr>
        <w:tab/>
        <w:t>(b)</w:t>
      </w:r>
      <w:r>
        <w:rPr>
          <w:snapToGrid w:val="0"/>
        </w:rPr>
        <w:tab/>
        <w:t>each warning message occupies at least 25% of the area of the face on which it is printed;</w:t>
      </w:r>
    </w:p>
    <w:p>
      <w:pPr>
        <w:pStyle w:val="Indenta"/>
        <w:rPr>
          <w:snapToGrid w:val="0"/>
        </w:rPr>
      </w:pPr>
      <w:r>
        <w:rPr>
          <w:snapToGrid w:val="0"/>
        </w:rPr>
        <w:tab/>
        <w:t>(c)</w:t>
      </w:r>
      <w:r>
        <w:rPr>
          <w:snapToGrid w:val="0"/>
        </w:rPr>
        <w:tab/>
        <w:t>the explanatory message is printed on the inside surface of the lid;</w:t>
      </w:r>
    </w:p>
    <w:p>
      <w:pPr>
        <w:pStyle w:val="Indenta"/>
        <w:rPr>
          <w:snapToGrid w:val="0"/>
        </w:rPr>
      </w:pPr>
      <w:r>
        <w:rPr>
          <w:snapToGrid w:val="0"/>
        </w:rPr>
        <w:tab/>
        <w:t>(d)</w:t>
      </w:r>
      <w:r>
        <w:rPr>
          <w:snapToGrid w:val="0"/>
        </w:rPr>
        <w:tab/>
        <w:t>the explanatory message occupies at least 33% of the area of the inside surface of the lid;</w:t>
      </w:r>
    </w:p>
    <w:p>
      <w:pPr>
        <w:pStyle w:val="Indenta"/>
        <w:rPr>
          <w:snapToGrid w:val="0"/>
        </w:rPr>
      </w:pPr>
      <w:r>
        <w:rPr>
          <w:snapToGrid w:val="0"/>
        </w:rPr>
        <w:tab/>
        <w:t>(e)</w:t>
      </w:r>
      <w:r>
        <w:rPr>
          <w:snapToGrid w:val="0"/>
        </w:rPr>
        <w:tab/>
        <w:t>the warning message and the explanatory message are otherwise in accordance with Part 2.</w:t>
      </w:r>
    </w:p>
    <w:p>
      <w:pPr>
        <w:pStyle w:val="Heading5"/>
        <w:rPr>
          <w:snapToGrid w:val="0"/>
        </w:rPr>
      </w:pPr>
      <w:bookmarkStart w:id="122" w:name="_Toc379276699"/>
      <w:bookmarkStart w:id="123" w:name="_Toc426543466"/>
      <w:bookmarkStart w:id="124" w:name="_Toc434984619"/>
      <w:bookmarkStart w:id="125" w:name="_Toc59354954"/>
      <w:bookmarkStart w:id="126" w:name="_Toc133132694"/>
      <w:r>
        <w:rPr>
          <w:rStyle w:val="CharSectno"/>
        </w:rPr>
        <w:t>21</w:t>
      </w:r>
      <w:r>
        <w:rPr>
          <w:snapToGrid w:val="0"/>
        </w:rPr>
        <w:t>.</w:t>
      </w:r>
      <w:r>
        <w:rPr>
          <w:snapToGrid w:val="0"/>
        </w:rPr>
        <w:tab/>
        <w:t>Messages on other packages of cigars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the face of the package that is specified in Schedule 2 for a package of that kind;</w:t>
      </w:r>
    </w:p>
    <w:p>
      <w:pPr>
        <w:pStyle w:val="Indenta"/>
        <w:rPr>
          <w:snapToGrid w:val="0"/>
        </w:rPr>
      </w:pPr>
      <w:r>
        <w:rPr>
          <w:snapToGrid w:val="0"/>
        </w:rPr>
        <w:tab/>
        <w:t>(b)</w:t>
      </w:r>
      <w:r>
        <w:rPr>
          <w:snapToGrid w:val="0"/>
        </w:rPr>
        <w:tab/>
        <w:t>the corresponding explanatory message is printed on the face of the package that is opposite to the face on which the warning message is, under paragraph (a), to be printed;</w:t>
      </w:r>
    </w:p>
    <w:p>
      <w:pPr>
        <w:pStyle w:val="Indenta"/>
        <w:rPr>
          <w:snapToGrid w:val="0"/>
        </w:rPr>
      </w:pPr>
      <w:r>
        <w:rPr>
          <w:snapToGrid w:val="0"/>
        </w:rPr>
        <w:tab/>
        <w:t>(c)</w:t>
      </w:r>
      <w:r>
        <w:rPr>
          <w:snapToGrid w:val="0"/>
        </w:rPr>
        <w:tab/>
        <w:t>the areas occupied by the warning message and the explanatory message are as set out in the item of Schedule 4 that applies to that package; and</w:t>
      </w:r>
    </w:p>
    <w:p>
      <w:pPr>
        <w:pStyle w:val="Indenta"/>
        <w:rPr>
          <w:snapToGrid w:val="0"/>
        </w:rPr>
      </w:pPr>
      <w:r>
        <w:rPr>
          <w:snapToGrid w:val="0"/>
        </w:rPr>
        <w:tab/>
        <w:t>(d)</w:t>
      </w:r>
      <w:r>
        <w:rPr>
          <w:snapToGrid w:val="0"/>
        </w:rPr>
        <w:tab/>
        <w:t>the warning message and the explanatory message are otherwise in accordance with Part 2.</w:t>
      </w:r>
    </w:p>
    <w:p>
      <w:pPr>
        <w:pStyle w:val="Heading2"/>
      </w:pPr>
      <w:bookmarkStart w:id="127" w:name="_Toc379276700"/>
      <w:bookmarkStart w:id="128" w:name="_Toc426543467"/>
      <w:bookmarkStart w:id="129" w:name="_Toc133126526"/>
      <w:bookmarkStart w:id="130" w:name="_Toc133126815"/>
      <w:bookmarkStart w:id="131" w:name="_Toc133132695"/>
      <w:r>
        <w:rPr>
          <w:rStyle w:val="CharPartNo"/>
        </w:rPr>
        <w:t>Part 5</w:t>
      </w:r>
      <w:r>
        <w:rPr>
          <w:rStyle w:val="CharDivNo"/>
        </w:rPr>
        <w:t> </w:t>
      </w:r>
      <w:r>
        <w:t>—</w:t>
      </w:r>
      <w:r>
        <w:rPr>
          <w:rStyle w:val="CharDivText"/>
        </w:rPr>
        <w:t> </w:t>
      </w:r>
      <w:r>
        <w:rPr>
          <w:rStyle w:val="CharPartText"/>
        </w:rPr>
        <w:t>Miscellaneous</w:t>
      </w:r>
      <w:bookmarkEnd w:id="127"/>
      <w:bookmarkEnd w:id="128"/>
      <w:bookmarkEnd w:id="129"/>
      <w:bookmarkEnd w:id="130"/>
      <w:bookmarkEnd w:id="131"/>
      <w:r>
        <w:rPr>
          <w:rStyle w:val="CharPartText"/>
        </w:rPr>
        <w:t xml:space="preserve"> </w:t>
      </w:r>
    </w:p>
    <w:p>
      <w:pPr>
        <w:pStyle w:val="Heading5"/>
        <w:rPr>
          <w:snapToGrid w:val="0"/>
        </w:rPr>
      </w:pPr>
      <w:bookmarkStart w:id="132" w:name="_Toc379276701"/>
      <w:bookmarkStart w:id="133" w:name="_Toc426543468"/>
      <w:bookmarkStart w:id="134" w:name="_Toc434984620"/>
      <w:bookmarkStart w:id="135" w:name="_Toc59354955"/>
      <w:bookmarkStart w:id="136" w:name="_Toc133132696"/>
      <w:r>
        <w:rPr>
          <w:rStyle w:val="CharSectno"/>
        </w:rPr>
        <w:t>22</w:t>
      </w:r>
      <w:r>
        <w:rPr>
          <w:snapToGrid w:val="0"/>
        </w:rPr>
        <w:t>.</w:t>
      </w:r>
      <w:r>
        <w:rPr>
          <w:snapToGrid w:val="0"/>
        </w:rPr>
        <w:tab/>
        <w:t>Repeals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The </w:t>
      </w:r>
      <w:r>
        <w:rPr>
          <w:i/>
          <w:snapToGrid w:val="0"/>
        </w:rPr>
        <w:t>Tobacco Control (Package Labels) Regulations 1993</w:t>
      </w:r>
      <w:r>
        <w:rPr>
          <w:snapToGrid w:val="0"/>
        </w:rPr>
        <w:t xml:space="preserve"> are repealed.</w:t>
      </w:r>
    </w:p>
    <w:p>
      <w:pPr>
        <w:pStyle w:val="Subsection"/>
        <w:rPr>
          <w:snapToGrid w:val="0"/>
        </w:rPr>
      </w:pPr>
      <w:r>
        <w:rPr>
          <w:snapToGrid w:val="0"/>
        </w:rPr>
        <w:tab/>
        <w:t>(2)</w:t>
      </w:r>
      <w:r>
        <w:rPr>
          <w:snapToGrid w:val="0"/>
        </w:rPr>
        <w:tab/>
        <w:t xml:space="preserve">The </w:t>
      </w:r>
      <w:r>
        <w:rPr>
          <w:i/>
          <w:snapToGrid w:val="0"/>
        </w:rPr>
        <w:t>Tobacco (Warning Labels) Regulations 1987</w:t>
      </w:r>
      <w:r>
        <w:rPr>
          <w:snapToGrid w:val="0"/>
        </w:rPr>
        <w:t xml:space="preserve"> are repealed on 1 April 1995.</w:t>
      </w:r>
    </w:p>
    <w:p>
      <w:pPr>
        <w:pStyle w:val="Subsection"/>
        <w:rPr>
          <w:snapToGrid w:val="0"/>
        </w:rPr>
      </w:pPr>
      <w:r>
        <w:rPr>
          <w:snapToGrid w:val="0"/>
        </w:rPr>
        <w:tab/>
        <w:t>(3)</w:t>
      </w:r>
      <w:r>
        <w:rPr>
          <w:snapToGrid w:val="0"/>
        </w:rPr>
        <w:tab/>
        <w:t xml:space="preserve">It is a defence to a complaint for an offence under the </w:t>
      </w:r>
      <w:r>
        <w:rPr>
          <w:i/>
          <w:snapToGrid w:val="0"/>
        </w:rPr>
        <w:t>Tobacco (Warning Labels) Regulations 1987</w:t>
      </w:r>
      <w:r>
        <w:rPr>
          <w:snapToGrid w:val="0"/>
        </w:rPr>
        <w:t xml:space="preserve"> alleged to have been committed on or after 1 April 1994 and before 1 April 1995 to prove that the labelling on the package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would comply with Parts 2, 3 and 4 of these regulations if they were then in operation.</w:t>
      </w:r>
    </w:p>
    <w:p>
      <w:pPr>
        <w:pStyle w:val="Subsection"/>
        <w:rPr>
          <w:snapToGrid w:val="0"/>
        </w:rPr>
      </w:pPr>
      <w:r>
        <w:rPr>
          <w:snapToGrid w:val="0"/>
        </w:rPr>
        <w:tab/>
        <w:t>(4)</w:t>
      </w:r>
      <w:r>
        <w:rPr>
          <w:snapToGrid w:val="0"/>
        </w:rPr>
        <w:tab/>
        <w:t>It is a defence to a complaint for an offence under section 9 of the Act to prove that the labelling on the package containing tobacco prepared for smoking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 xml:space="preserve">complied with the </w:t>
      </w:r>
      <w:r>
        <w:rPr>
          <w:i/>
          <w:snapToGrid w:val="0"/>
        </w:rPr>
        <w:t>Tobacco (Warning Labels) Regulations 1987</w:t>
      </w:r>
      <w:r>
        <w:rPr>
          <w:snapToGrid w:val="0"/>
        </w:rPr>
        <w:t>, as those regulations were in force immediately before 1 April 1995.</w:t>
      </w:r>
    </w:p>
    <w:p>
      <w:pPr>
        <w:pStyle w:val="Footnotesection"/>
        <w:jc w:val="right"/>
      </w:pPr>
      <w:r>
        <w:tab/>
        <w:t xml:space="preserve">[Regulation 22 amended in Gazette 17 Mar 1995 p. 1025.]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7" w:name="_Toc379276702"/>
      <w:bookmarkStart w:id="138" w:name="_Toc426543469"/>
      <w:bookmarkStart w:id="139" w:name="_Toc59354956"/>
      <w:bookmarkStart w:id="140" w:name="_Toc133126528"/>
      <w:bookmarkStart w:id="141" w:name="_Toc133126817"/>
      <w:bookmarkStart w:id="142" w:name="_Toc133132697"/>
      <w:r>
        <w:rPr>
          <w:rStyle w:val="CharSchNo"/>
        </w:rPr>
        <w:t>Schedule 1</w:t>
      </w:r>
      <w:bookmarkEnd w:id="137"/>
      <w:bookmarkEnd w:id="138"/>
      <w:bookmarkEnd w:id="139"/>
      <w:bookmarkEnd w:id="140"/>
      <w:bookmarkEnd w:id="141"/>
      <w:bookmarkEnd w:id="142"/>
    </w:p>
    <w:p>
      <w:pPr>
        <w:pStyle w:val="yTable"/>
        <w:jc w:val="right"/>
      </w:pPr>
      <w:r>
        <w:t>[reg. 3]</w:t>
      </w:r>
    </w:p>
    <w:p>
      <w:pPr>
        <w:pStyle w:val="yHeading2"/>
        <w:spacing w:after="60"/>
      </w:pPr>
      <w:bookmarkStart w:id="143" w:name="_Toc379276703"/>
      <w:bookmarkStart w:id="144" w:name="_Toc426543470"/>
      <w:bookmarkStart w:id="145" w:name="_Toc59354957"/>
      <w:bookmarkStart w:id="146" w:name="_Toc133126529"/>
      <w:bookmarkStart w:id="147" w:name="_Toc133126818"/>
      <w:bookmarkStart w:id="148" w:name="_Toc133132698"/>
      <w:r>
        <w:rPr>
          <w:rStyle w:val="CharSchText"/>
        </w:rPr>
        <w:t>Warning messages and explanatory messages</w:t>
      </w:r>
      <w:bookmarkEnd w:id="143"/>
      <w:bookmarkEnd w:id="144"/>
      <w:bookmarkEnd w:id="145"/>
      <w:bookmarkEnd w:id="146"/>
      <w:bookmarkEnd w:id="147"/>
      <w:bookmarkEnd w:id="148"/>
    </w:p>
    <w:tbl>
      <w:tblPr>
        <w:tblW w:w="0" w:type="auto"/>
        <w:tblInd w:w="8" w:type="dxa"/>
        <w:tblLayout w:type="fixed"/>
        <w:tblCellMar>
          <w:left w:w="0" w:type="dxa"/>
          <w:right w:w="0" w:type="dxa"/>
        </w:tblCellMar>
        <w:tblLook w:val="0000" w:firstRow="0" w:lastRow="0" w:firstColumn="0" w:lastColumn="0" w:noHBand="0" w:noVBand="0"/>
      </w:tblPr>
      <w:tblGrid>
        <w:gridCol w:w="567"/>
        <w:gridCol w:w="2127"/>
        <w:gridCol w:w="4394"/>
      </w:tblGrid>
      <w:tr>
        <w:trPr>
          <w:tblHeader/>
        </w:trPr>
        <w:tc>
          <w:tcPr>
            <w:tcW w:w="567" w:type="dxa"/>
            <w:tcBorders>
              <w:top w:val="single" w:sz="4" w:space="0" w:color="auto"/>
              <w:bottom w:val="single" w:sz="4" w:space="0" w:color="auto"/>
            </w:tcBorders>
          </w:tcPr>
          <w:p>
            <w:pPr>
              <w:pStyle w:val="yTable"/>
              <w:ind w:left="30"/>
              <w:rPr>
                <w:b/>
                <w:sz w:val="20"/>
              </w:rPr>
            </w:pPr>
            <w:r>
              <w:rPr>
                <w:b/>
                <w:sz w:val="20"/>
              </w:rPr>
              <w:t>Col. 1</w:t>
            </w:r>
          </w:p>
          <w:p>
            <w:pPr>
              <w:pStyle w:val="yTable"/>
              <w:spacing w:after="60"/>
              <w:ind w:left="28"/>
              <w:rPr>
                <w:b/>
                <w:sz w:val="20"/>
              </w:rPr>
            </w:pPr>
            <w:r>
              <w:rPr>
                <w:b/>
                <w:sz w:val="20"/>
              </w:rPr>
              <w:t>Item No.</w:t>
            </w:r>
          </w:p>
        </w:tc>
        <w:tc>
          <w:tcPr>
            <w:tcW w:w="2127"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Warning message</w:t>
            </w:r>
          </w:p>
        </w:tc>
        <w:tc>
          <w:tcPr>
            <w:tcW w:w="4394"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Explanatory message</w:t>
            </w:r>
          </w:p>
        </w:tc>
      </w:tr>
      <w:tr>
        <w:trPr>
          <w:cantSplit/>
        </w:trPr>
        <w:tc>
          <w:tcPr>
            <w:tcW w:w="567" w:type="dxa"/>
          </w:tcPr>
          <w:p>
            <w:pPr>
              <w:pStyle w:val="yTable"/>
              <w:ind w:left="30"/>
              <w:rPr>
                <w:sz w:val="20"/>
              </w:rPr>
            </w:pPr>
            <w:r>
              <w:rPr>
                <w:sz w:val="20"/>
              </w:rPr>
              <w:t>1</w:t>
            </w:r>
          </w:p>
        </w:tc>
        <w:tc>
          <w:tcPr>
            <w:tcW w:w="2127" w:type="dxa"/>
          </w:tcPr>
          <w:p>
            <w:pPr>
              <w:pStyle w:val="yTable"/>
              <w:ind w:left="142" w:right="142"/>
              <w:rPr>
                <w:sz w:val="20"/>
              </w:rPr>
            </w:pPr>
            <w:r>
              <w:rPr>
                <w:sz w:val="20"/>
              </w:rPr>
              <w:t>SMOKING CAUSES LUNG CANCER</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LUNG CANCER.</w:t>
            </w:r>
          </w:p>
          <w:p>
            <w:pPr>
              <w:pStyle w:val="yTable"/>
              <w:spacing w:before="0"/>
              <w:ind w:left="142"/>
              <w:rPr>
                <w:sz w:val="20"/>
              </w:rPr>
            </w:pPr>
            <w:r>
              <w:rPr>
                <w:sz w:val="20"/>
              </w:rPr>
              <w:t>Tobacco smoke contains many cancer</w:t>
            </w:r>
            <w:r>
              <w:rPr>
                <w:sz w:val="20"/>
              </w:rPr>
              <w:noBreakHyphen/>
              <w:t>causing chemicals including tar. When you breathe the smoke in, these chemicals can damage the lungs, and can cause cancer. Lung cancer is the most common cancer caused by smoking. Lung cancer can grow and spread before it is noticed. It can kill rapidly.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30"/>
              <w:rPr>
                <w:sz w:val="20"/>
              </w:rPr>
            </w:pPr>
            <w:r>
              <w:rPr>
                <w:sz w:val="20"/>
              </w:rPr>
              <w:t>2</w:t>
            </w:r>
          </w:p>
        </w:tc>
        <w:tc>
          <w:tcPr>
            <w:tcW w:w="2127" w:type="dxa"/>
          </w:tcPr>
          <w:p>
            <w:pPr>
              <w:pStyle w:val="yTable"/>
              <w:ind w:left="142" w:right="142"/>
              <w:rPr>
                <w:sz w:val="20"/>
              </w:rPr>
            </w:pPr>
            <w:r>
              <w:rPr>
                <w:sz w:val="20"/>
              </w:rPr>
              <w:t>SMOKING IS ADDICTIVE</w:t>
            </w:r>
          </w:p>
          <w:p>
            <w:pPr>
              <w:pStyle w:val="yTable"/>
              <w:spacing w:before="0"/>
              <w:ind w:left="142" w:right="142"/>
              <w:rPr>
                <w:sz w:val="20"/>
              </w:rPr>
            </w:pPr>
            <w:r>
              <w:rPr>
                <w:sz w:val="20"/>
              </w:rPr>
              <w:t xml:space="preserve">Government Health </w:t>
            </w:r>
          </w:p>
          <w:p>
            <w:pPr>
              <w:pStyle w:val="yTable"/>
              <w:spacing w:before="0"/>
              <w:ind w:left="142" w:right="142"/>
              <w:rPr>
                <w:sz w:val="20"/>
              </w:rPr>
            </w:pPr>
            <w:r>
              <w:rPr>
                <w:sz w:val="20"/>
              </w:rPr>
              <w:t>Warning</w:t>
            </w:r>
          </w:p>
        </w:tc>
        <w:tc>
          <w:tcPr>
            <w:tcW w:w="4394" w:type="dxa"/>
          </w:tcPr>
          <w:p>
            <w:pPr>
              <w:pStyle w:val="yTable"/>
              <w:ind w:left="142"/>
              <w:rPr>
                <w:sz w:val="20"/>
              </w:rPr>
            </w:pPr>
            <w:r>
              <w:rPr>
                <w:sz w:val="20"/>
              </w:rPr>
              <w:t>SMOKING IS ADDICTIVE.</w:t>
            </w:r>
          </w:p>
          <w:p>
            <w:pPr>
              <w:pStyle w:val="yTable"/>
              <w:spacing w:before="0"/>
              <w:ind w:left="142"/>
              <w:rPr>
                <w:sz w:val="20"/>
              </w:rPr>
            </w:pPr>
            <w:r>
              <w:rPr>
                <w:sz w:val="20"/>
              </w:rPr>
              <w:t>Nicotine, a drug in tobacco, makes smokers feel they need to smoke. The more you smoke, the more your body will depend on getting nicotine and you may find yourself hooked. It may be difficult to give up smoking once you are hooked on nicotine.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3</w:t>
            </w:r>
          </w:p>
        </w:tc>
        <w:tc>
          <w:tcPr>
            <w:tcW w:w="2127" w:type="dxa"/>
          </w:tcPr>
          <w:p>
            <w:pPr>
              <w:pStyle w:val="yTable"/>
              <w:spacing w:before="0"/>
              <w:ind w:left="142" w:right="142"/>
              <w:rPr>
                <w:sz w:val="20"/>
              </w:rPr>
            </w:pPr>
            <w:r>
              <w:rPr>
                <w:sz w:val="20"/>
              </w:rPr>
              <w:t>SMOKING KILLS</w:t>
            </w:r>
          </w:p>
          <w:p>
            <w:pPr>
              <w:pStyle w:val="yTable"/>
              <w:spacing w:before="0"/>
              <w:ind w:left="142" w:right="142"/>
              <w:rPr>
                <w:sz w:val="20"/>
              </w:rPr>
            </w:pPr>
            <w:r>
              <w:rPr>
                <w:sz w:val="20"/>
              </w:rPr>
              <w:t>Government Health</w:t>
            </w:r>
          </w:p>
          <w:p>
            <w:pPr>
              <w:pStyle w:val="yTable"/>
              <w:spacing w:before="0"/>
              <w:ind w:left="142" w:right="142"/>
              <w:rPr>
                <w:sz w:val="20"/>
              </w:rPr>
            </w:pPr>
            <w:r>
              <w:rPr>
                <w:sz w:val="20"/>
              </w:rPr>
              <w:t>Warning</w:t>
            </w:r>
          </w:p>
        </w:tc>
        <w:tc>
          <w:tcPr>
            <w:tcW w:w="4394" w:type="dxa"/>
          </w:tcPr>
          <w:p>
            <w:pPr>
              <w:pStyle w:val="yTable"/>
              <w:spacing w:before="0"/>
              <w:ind w:left="142"/>
              <w:rPr>
                <w:sz w:val="20"/>
              </w:rPr>
            </w:pPr>
            <w:r>
              <w:rPr>
                <w:sz w:val="20"/>
              </w:rPr>
              <w:t>SMOKING KILLS.</w:t>
            </w:r>
          </w:p>
          <w:p>
            <w:pPr>
              <w:pStyle w:val="yTable"/>
              <w:spacing w:before="0"/>
              <w:ind w:left="142"/>
              <w:rPr>
                <w:sz w:val="20"/>
              </w:rPr>
            </w:pPr>
            <w:r>
              <w:rPr>
                <w:sz w:val="20"/>
              </w:rPr>
              <w:t>In Australia, tobacco smoking causes more illness and early death than using any other drug. Tobacco smoking causes more than 4 times the number of deaths caused by car accidents.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28"/>
              <w:rPr>
                <w:sz w:val="20"/>
              </w:rPr>
            </w:pPr>
            <w:r>
              <w:rPr>
                <w:sz w:val="20"/>
              </w:rPr>
              <w:t>4</w:t>
            </w:r>
          </w:p>
        </w:tc>
        <w:tc>
          <w:tcPr>
            <w:tcW w:w="2127" w:type="dxa"/>
          </w:tcPr>
          <w:p>
            <w:pPr>
              <w:pStyle w:val="yTable"/>
              <w:ind w:left="142" w:right="142"/>
              <w:rPr>
                <w:sz w:val="20"/>
              </w:rPr>
            </w:pPr>
            <w:r>
              <w:rPr>
                <w:sz w:val="20"/>
              </w:rPr>
              <w:t>SMOKING CAUSES</w:t>
            </w:r>
          </w:p>
          <w:p>
            <w:pPr>
              <w:pStyle w:val="yTable"/>
              <w:spacing w:before="0"/>
              <w:ind w:left="142" w:right="142"/>
              <w:rPr>
                <w:sz w:val="20"/>
              </w:rPr>
            </w:pPr>
            <w:r>
              <w:rPr>
                <w:sz w:val="20"/>
              </w:rPr>
              <w:t>HEART DISEASE</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HEART DISEASE.</w:t>
            </w:r>
          </w:p>
          <w:p>
            <w:pPr>
              <w:pStyle w:val="yTable"/>
              <w:spacing w:before="0"/>
              <w:ind w:left="142"/>
              <w:rPr>
                <w:sz w:val="20"/>
              </w:rPr>
            </w:pPr>
            <w:r>
              <w:rPr>
                <w:sz w:val="20"/>
              </w:rPr>
              <w:t>Tobacco smoking is a major cause of heart disease. It can cause blockages in the body’s arteries. These blockages can lead to chest pain and heart attacks. Heart attack is the most common cause of death in Australia. Smokers run a far greater risk of having a heart attack than people who don’t smoke.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5</w:t>
            </w:r>
          </w:p>
        </w:tc>
        <w:tc>
          <w:tcPr>
            <w:tcW w:w="2127" w:type="dxa"/>
          </w:tcPr>
          <w:p>
            <w:pPr>
              <w:pStyle w:val="yTable"/>
              <w:spacing w:before="0"/>
              <w:ind w:left="142"/>
              <w:rPr>
                <w:sz w:val="20"/>
              </w:rPr>
            </w:pPr>
            <w:r>
              <w:rPr>
                <w:sz w:val="20"/>
              </w:rPr>
              <w:t>SMOKING WHEN PREGNANT HARMS YOUR BABY</w:t>
            </w:r>
          </w:p>
          <w:p>
            <w:pPr>
              <w:pStyle w:val="yTable"/>
              <w:spacing w:before="0"/>
              <w:ind w:left="142" w:right="142"/>
              <w:rPr>
                <w:sz w:val="20"/>
              </w:rPr>
            </w:pPr>
            <w:r>
              <w:rPr>
                <w:sz w:val="20"/>
              </w:rPr>
              <w:t>Government Health Warning</w:t>
            </w:r>
          </w:p>
        </w:tc>
        <w:tc>
          <w:tcPr>
            <w:tcW w:w="4394" w:type="dxa"/>
          </w:tcPr>
          <w:p>
            <w:pPr>
              <w:pStyle w:val="yTable"/>
              <w:spacing w:before="0"/>
              <w:ind w:left="142"/>
              <w:rPr>
                <w:sz w:val="20"/>
              </w:rPr>
            </w:pPr>
            <w:r>
              <w:rPr>
                <w:sz w:val="20"/>
              </w:rPr>
              <w:t>SMOKING WHEN PREGNANT HARMS YOUR BABY.</w:t>
            </w:r>
          </w:p>
          <w:p>
            <w:pPr>
              <w:pStyle w:val="yTable"/>
              <w:spacing w:before="0"/>
              <w:ind w:left="142"/>
              <w:rPr>
                <w:sz w:val="20"/>
              </w:rPr>
            </w:pPr>
            <w:r>
              <w:rPr>
                <w:sz w:val="20"/>
              </w:rPr>
              <w:t>Poisons in tobacco smoke reach your baby through the blood stream. If you smoke when you are pregnant, you greatly increase the chance of having a baby of low birth</w:t>
            </w:r>
            <w:r>
              <w:rPr>
                <w:sz w:val="20"/>
              </w:rPr>
              <w:noBreakHyphen/>
              <w:t>weight. Smoking may lead to serious complications which could harm your baby.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Borders>
              <w:bottom w:val="single" w:sz="4" w:space="0" w:color="auto"/>
            </w:tcBorders>
          </w:tcPr>
          <w:p>
            <w:pPr>
              <w:pStyle w:val="yTable"/>
              <w:spacing w:before="0"/>
              <w:ind w:left="28"/>
              <w:rPr>
                <w:sz w:val="20"/>
              </w:rPr>
            </w:pPr>
            <w:r>
              <w:rPr>
                <w:sz w:val="20"/>
              </w:rPr>
              <w:t>6</w:t>
            </w:r>
          </w:p>
        </w:tc>
        <w:tc>
          <w:tcPr>
            <w:tcW w:w="2127" w:type="dxa"/>
            <w:tcBorders>
              <w:bottom w:val="single" w:sz="4" w:space="0" w:color="auto"/>
            </w:tcBorders>
          </w:tcPr>
          <w:p>
            <w:pPr>
              <w:pStyle w:val="yTable"/>
              <w:spacing w:before="0"/>
              <w:ind w:left="142" w:right="142"/>
              <w:rPr>
                <w:sz w:val="20"/>
              </w:rPr>
            </w:pPr>
            <w:r>
              <w:rPr>
                <w:sz w:val="20"/>
              </w:rPr>
              <w:t>YOUR SMOKING</w:t>
            </w:r>
          </w:p>
          <w:p>
            <w:pPr>
              <w:pStyle w:val="yTable"/>
              <w:spacing w:before="0"/>
              <w:ind w:left="142"/>
              <w:rPr>
                <w:sz w:val="20"/>
              </w:rPr>
            </w:pPr>
            <w:r>
              <w:rPr>
                <w:sz w:val="20"/>
              </w:rPr>
              <w:t>CAN HARM OTHERS</w:t>
            </w:r>
          </w:p>
          <w:p>
            <w:pPr>
              <w:pStyle w:val="yTable"/>
              <w:spacing w:before="0"/>
              <w:ind w:left="142" w:right="142"/>
              <w:rPr>
                <w:sz w:val="20"/>
              </w:rPr>
            </w:pPr>
            <w:r>
              <w:rPr>
                <w:sz w:val="20"/>
              </w:rPr>
              <w:t>Government Health Warning</w:t>
            </w:r>
          </w:p>
        </w:tc>
        <w:tc>
          <w:tcPr>
            <w:tcW w:w="4394" w:type="dxa"/>
            <w:tcBorders>
              <w:bottom w:val="single" w:sz="4" w:space="0" w:color="auto"/>
            </w:tcBorders>
          </w:tcPr>
          <w:p>
            <w:pPr>
              <w:pStyle w:val="yTable"/>
              <w:spacing w:before="0"/>
              <w:ind w:left="142"/>
              <w:rPr>
                <w:sz w:val="20"/>
              </w:rPr>
            </w:pPr>
            <w:r>
              <w:rPr>
                <w:sz w:val="20"/>
              </w:rPr>
              <w:t>YOUR SMOKING CAN HARM OTHERS.</w:t>
            </w:r>
          </w:p>
          <w:p>
            <w:pPr>
              <w:pStyle w:val="yTable"/>
              <w:spacing w:before="0"/>
              <w:ind w:left="142"/>
              <w:rPr>
                <w:sz w:val="20"/>
              </w:rPr>
            </w:pPr>
            <w:r>
              <w:rPr>
                <w:sz w:val="20"/>
              </w:rPr>
              <w:t>Tobacco smoke causes cancer and poisons people. People who breathe in your tobacco smoke can be seriously harmed. Your smoking can increase their risk of lung cancer and heart disease. Children who breathe your smoke may suffer asthma attacks and chest illnesses. For more information call 13 2130.</w:t>
            </w:r>
          </w:p>
          <w:p>
            <w:pPr>
              <w:pStyle w:val="yTable"/>
              <w:ind w:left="142"/>
              <w:rPr>
                <w:sz w:val="20"/>
              </w:rPr>
            </w:pPr>
            <w:r>
              <w:rPr>
                <w:sz w:val="20"/>
              </w:rPr>
              <w:t>Government Health Warning</w:t>
            </w:r>
          </w:p>
        </w:tc>
      </w:tr>
    </w:tbl>
    <w:p>
      <w:pPr>
        <w:pStyle w:val="yScheduleHeading"/>
      </w:pPr>
      <w:bookmarkStart w:id="149" w:name="_Toc379276704"/>
      <w:bookmarkStart w:id="150" w:name="_Toc426543471"/>
      <w:bookmarkStart w:id="151" w:name="_Toc59354958"/>
      <w:bookmarkStart w:id="152" w:name="_Toc133126530"/>
      <w:bookmarkStart w:id="153" w:name="_Toc133126819"/>
      <w:bookmarkStart w:id="154" w:name="_Toc133132699"/>
      <w:r>
        <w:rPr>
          <w:rStyle w:val="CharSchNo"/>
        </w:rPr>
        <w:t>Schedule 2</w:t>
      </w:r>
      <w:bookmarkEnd w:id="149"/>
      <w:bookmarkEnd w:id="150"/>
      <w:bookmarkEnd w:id="151"/>
      <w:bookmarkEnd w:id="152"/>
      <w:bookmarkEnd w:id="153"/>
      <w:bookmarkEnd w:id="154"/>
    </w:p>
    <w:p>
      <w:pPr>
        <w:pStyle w:val="yTable"/>
        <w:jc w:val="right"/>
      </w:pPr>
      <w:r>
        <w:t>[reg. 9]</w:t>
      </w:r>
    </w:p>
    <w:p>
      <w:pPr>
        <w:pStyle w:val="yHeading2"/>
        <w:spacing w:after="60"/>
        <w:rPr>
          <w:b w:val="0"/>
        </w:rPr>
      </w:pPr>
      <w:bookmarkStart w:id="155" w:name="_Toc379276705"/>
      <w:bookmarkStart w:id="156" w:name="_Toc426543472"/>
      <w:bookmarkStart w:id="157" w:name="_Toc59354959"/>
      <w:bookmarkStart w:id="158" w:name="_Toc133126531"/>
      <w:bookmarkStart w:id="159" w:name="_Toc133126820"/>
      <w:bookmarkStart w:id="160" w:name="_Toc133132700"/>
      <w:r>
        <w:rPr>
          <w:rStyle w:val="CharSchText"/>
        </w:rPr>
        <w:t>Positions on packages where warning message is to be printed</w:t>
      </w:r>
      <w:bookmarkEnd w:id="155"/>
      <w:bookmarkEnd w:id="156"/>
      <w:bookmarkEnd w:id="157"/>
      <w:bookmarkEnd w:id="158"/>
      <w:bookmarkEnd w:id="159"/>
      <w:bookmarkEnd w:id="160"/>
    </w:p>
    <w:tbl>
      <w:tblPr>
        <w:tblW w:w="0" w:type="auto"/>
        <w:tblInd w:w="8" w:type="dxa"/>
        <w:tblLayout w:type="fixed"/>
        <w:tblCellMar>
          <w:left w:w="0" w:type="dxa"/>
          <w:right w:w="0" w:type="dxa"/>
        </w:tblCellMar>
        <w:tblLook w:val="0000" w:firstRow="0" w:lastRow="0" w:firstColumn="0" w:lastColumn="0" w:noHBand="0" w:noVBand="0"/>
      </w:tblPr>
      <w:tblGrid>
        <w:gridCol w:w="567"/>
        <w:gridCol w:w="2268"/>
        <w:gridCol w:w="4253"/>
      </w:tblGrid>
      <w:tr>
        <w:trPr>
          <w:tblHeader/>
        </w:trPr>
        <w:tc>
          <w:tcPr>
            <w:tcW w:w="567" w:type="dxa"/>
            <w:tcBorders>
              <w:top w:val="single" w:sz="4" w:space="0" w:color="auto"/>
              <w:bottom w:val="single" w:sz="4" w:space="0" w:color="auto"/>
            </w:tcBorders>
          </w:tcPr>
          <w:p>
            <w:pPr>
              <w:pStyle w:val="yTable"/>
              <w:rPr>
                <w:b/>
                <w:sz w:val="20"/>
              </w:rPr>
            </w:pPr>
            <w:r>
              <w:rPr>
                <w:b/>
                <w:sz w:val="20"/>
              </w:rPr>
              <w:t>Col. 1</w:t>
            </w:r>
          </w:p>
          <w:p>
            <w:pPr>
              <w:pStyle w:val="yTable"/>
              <w:spacing w:after="60"/>
              <w:rPr>
                <w:b/>
                <w:sz w:val="20"/>
              </w:rPr>
            </w:pPr>
            <w:r>
              <w:rPr>
                <w:b/>
                <w:sz w:val="20"/>
              </w:rPr>
              <w:t>Item No.</w:t>
            </w:r>
          </w:p>
        </w:tc>
        <w:tc>
          <w:tcPr>
            <w:tcW w:w="2268"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Type of package</w:t>
            </w:r>
          </w:p>
        </w:tc>
        <w:tc>
          <w:tcPr>
            <w:tcW w:w="4253"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Face of the package on which warning message is to be printed</w:t>
            </w:r>
          </w:p>
        </w:tc>
      </w:tr>
      <w:tr>
        <w:trPr>
          <w:cantSplit/>
        </w:trPr>
        <w:tc>
          <w:tcPr>
            <w:tcW w:w="567" w:type="dxa"/>
          </w:tcPr>
          <w:p>
            <w:pPr>
              <w:pStyle w:val="yTable"/>
              <w:rPr>
                <w:sz w:val="20"/>
              </w:rPr>
            </w:pPr>
            <w:r>
              <w:rPr>
                <w:sz w:val="20"/>
              </w:rPr>
              <w:t>1</w:t>
            </w:r>
          </w:p>
        </w:tc>
        <w:tc>
          <w:tcPr>
            <w:tcW w:w="2268" w:type="dxa"/>
          </w:tcPr>
          <w:p>
            <w:pPr>
              <w:pStyle w:val="yTable"/>
              <w:ind w:left="142" w:right="142"/>
              <w:rPr>
                <w:sz w:val="20"/>
              </w:rPr>
            </w:pPr>
            <w:r>
              <w:rPr>
                <w:sz w:val="20"/>
              </w:rPr>
              <w:t>Flip</w:t>
            </w:r>
            <w:r>
              <w:rPr>
                <w:sz w:val="20"/>
              </w:rPr>
              <w:noBreakHyphen/>
              <w:t>top pack</w:t>
            </w:r>
          </w:p>
        </w:tc>
        <w:tc>
          <w:tcPr>
            <w:tcW w:w="4253" w:type="dxa"/>
          </w:tcPr>
          <w:p>
            <w:pPr>
              <w:pStyle w:val="yTable"/>
              <w:ind w:left="142"/>
              <w:rPr>
                <w:sz w:val="20"/>
              </w:rPr>
            </w:pPr>
            <w:r>
              <w:rPr>
                <w:sz w:val="20"/>
              </w:rPr>
              <w:t>That face that includes the front face of the flip</w:t>
            </w:r>
            <w:r>
              <w:rPr>
                <w:sz w:val="20"/>
              </w:rPr>
              <w:noBreakHyphen/>
              <w:t>top.</w:t>
            </w:r>
          </w:p>
        </w:tc>
      </w:tr>
      <w:tr>
        <w:trPr>
          <w:cantSplit/>
        </w:trPr>
        <w:tc>
          <w:tcPr>
            <w:tcW w:w="567" w:type="dxa"/>
          </w:tcPr>
          <w:p>
            <w:pPr>
              <w:pStyle w:val="yTable"/>
              <w:rPr>
                <w:sz w:val="20"/>
              </w:rPr>
            </w:pPr>
            <w:r>
              <w:rPr>
                <w:sz w:val="20"/>
              </w:rPr>
              <w:t>2</w:t>
            </w:r>
          </w:p>
        </w:tc>
        <w:tc>
          <w:tcPr>
            <w:tcW w:w="2268" w:type="dxa"/>
          </w:tcPr>
          <w:p>
            <w:pPr>
              <w:pStyle w:val="yTable"/>
              <w:ind w:left="142" w:right="142"/>
              <w:rPr>
                <w:sz w:val="20"/>
              </w:rPr>
            </w:pPr>
            <w:r>
              <w:rPr>
                <w:sz w:val="20"/>
              </w:rPr>
              <w:t>Soft pack</w:t>
            </w:r>
          </w:p>
        </w:tc>
        <w:tc>
          <w:tcPr>
            <w:tcW w:w="4253" w:type="dxa"/>
          </w:tcPr>
          <w:p>
            <w:pPr>
              <w:pStyle w:val="yTable"/>
              <w:ind w:left="142"/>
              <w:rPr>
                <w:sz w:val="20"/>
              </w:rPr>
            </w:pPr>
            <w:r>
              <w:rPr>
                <w:sz w:val="20"/>
              </w:rPr>
              <w:t>If the brand name is printed on only one of the largest faces, or is printed in larger type on one of those faces, that face; otherwise, either of the largest faces.</w:t>
            </w:r>
          </w:p>
        </w:tc>
      </w:tr>
      <w:tr>
        <w:trPr>
          <w:cantSplit/>
        </w:trPr>
        <w:tc>
          <w:tcPr>
            <w:tcW w:w="567" w:type="dxa"/>
          </w:tcPr>
          <w:p>
            <w:pPr>
              <w:pStyle w:val="yTable"/>
              <w:rPr>
                <w:sz w:val="20"/>
              </w:rPr>
            </w:pPr>
            <w:r>
              <w:rPr>
                <w:sz w:val="20"/>
              </w:rPr>
              <w:t>3</w:t>
            </w:r>
          </w:p>
        </w:tc>
        <w:tc>
          <w:tcPr>
            <w:tcW w:w="2268" w:type="dxa"/>
          </w:tcPr>
          <w:p>
            <w:pPr>
              <w:pStyle w:val="yTable"/>
              <w:ind w:left="142" w:right="142"/>
              <w:rPr>
                <w:sz w:val="20"/>
              </w:rPr>
            </w:pPr>
            <w:r>
              <w:rPr>
                <w:sz w:val="20"/>
              </w:rPr>
              <w:t>Any other package (except a pouch) all the faces of which are rectangular or square</w:t>
            </w:r>
          </w:p>
        </w:tc>
        <w:tc>
          <w:tcPr>
            <w:tcW w:w="4253" w:type="dxa"/>
          </w:tcPr>
          <w:p>
            <w:pPr>
              <w:pStyle w:val="yTable"/>
              <w:tabs>
                <w:tab w:val="left" w:pos="567"/>
              </w:tabs>
              <w:ind w:left="567" w:hanging="425"/>
              <w:rPr>
                <w:sz w:val="20"/>
              </w:rPr>
            </w:pPr>
            <w:r>
              <w:rPr>
                <w:sz w:val="20"/>
              </w:rPr>
              <w:t>(a)</w:t>
            </w:r>
            <w:r>
              <w:rPr>
                <w:sz w:val="20"/>
              </w:rPr>
              <w:tab/>
              <w:t>If one of the largest faces of the package forms, or forms part of, a lid — that face.</w:t>
            </w:r>
          </w:p>
          <w:p>
            <w:pPr>
              <w:pStyle w:val="yTable"/>
              <w:tabs>
                <w:tab w:val="left" w:pos="567"/>
              </w:tabs>
              <w:ind w:left="567" w:hanging="425"/>
              <w:rPr>
                <w:sz w:val="20"/>
              </w:rPr>
            </w:pPr>
            <w:r>
              <w:rPr>
                <w:sz w:val="20"/>
              </w:rPr>
              <w:t>(b)</w:t>
            </w:r>
            <w:r>
              <w:rPr>
                <w:sz w:val="20"/>
              </w:rPr>
              <w:tab/>
              <w:t>In any other case — that one of the largest faces of the package that is towards a person who holds the package correctly for the purpose of removing its contents.</w:t>
            </w:r>
          </w:p>
        </w:tc>
      </w:tr>
      <w:tr>
        <w:trPr>
          <w:cantSplit/>
        </w:trPr>
        <w:tc>
          <w:tcPr>
            <w:tcW w:w="567" w:type="dxa"/>
          </w:tcPr>
          <w:p>
            <w:pPr>
              <w:pStyle w:val="yTable"/>
              <w:rPr>
                <w:sz w:val="20"/>
              </w:rPr>
            </w:pPr>
            <w:r>
              <w:rPr>
                <w:sz w:val="20"/>
              </w:rPr>
              <w:t>4</w:t>
            </w:r>
          </w:p>
        </w:tc>
        <w:tc>
          <w:tcPr>
            <w:tcW w:w="2268" w:type="dxa"/>
          </w:tcPr>
          <w:p>
            <w:pPr>
              <w:pStyle w:val="yTable"/>
              <w:ind w:left="142" w:right="142"/>
              <w:rPr>
                <w:sz w:val="20"/>
              </w:rPr>
            </w:pPr>
            <w:r>
              <w:rPr>
                <w:sz w:val="20"/>
              </w:rPr>
              <w:t>Pouch</w:t>
            </w:r>
          </w:p>
        </w:tc>
        <w:tc>
          <w:tcPr>
            <w:tcW w:w="4253" w:type="dxa"/>
          </w:tcPr>
          <w:p>
            <w:pPr>
              <w:pStyle w:val="yTable"/>
              <w:ind w:left="142"/>
              <w:rPr>
                <w:sz w:val="20"/>
              </w:rPr>
            </w:pPr>
            <w:r>
              <w:rPr>
                <w:sz w:val="20"/>
              </w:rPr>
              <w:t>That one of the largest faces of the folded package that is not overlapped by the flap of the package.</w:t>
            </w:r>
          </w:p>
        </w:tc>
      </w:tr>
      <w:tr>
        <w:trPr>
          <w:cantSplit/>
        </w:trPr>
        <w:tc>
          <w:tcPr>
            <w:tcW w:w="567" w:type="dxa"/>
          </w:tcPr>
          <w:p>
            <w:pPr>
              <w:pStyle w:val="yTable"/>
              <w:rPr>
                <w:sz w:val="20"/>
              </w:rPr>
            </w:pPr>
            <w:r>
              <w:rPr>
                <w:sz w:val="20"/>
              </w:rPr>
              <w:t>5</w:t>
            </w:r>
          </w:p>
        </w:tc>
        <w:tc>
          <w:tcPr>
            <w:tcW w:w="2268" w:type="dxa"/>
          </w:tcPr>
          <w:p>
            <w:pPr>
              <w:pStyle w:val="yTable"/>
              <w:ind w:left="142" w:right="142"/>
              <w:rPr>
                <w:sz w:val="20"/>
              </w:rPr>
            </w:pPr>
            <w:r>
              <w:rPr>
                <w:sz w:val="20"/>
              </w:rPr>
              <w:t>Cylindrical package containing cigarettes or cigars</w:t>
            </w:r>
          </w:p>
        </w:tc>
        <w:tc>
          <w:tcPr>
            <w:tcW w:w="4253" w:type="dxa"/>
          </w:tcPr>
          <w:p>
            <w:pPr>
              <w:pStyle w:val="yTable"/>
              <w:ind w:left="142"/>
              <w:rPr>
                <w:sz w:val="20"/>
              </w:rPr>
            </w:pPr>
            <w:r>
              <w:rPr>
                <w:sz w:val="20"/>
              </w:rPr>
              <w:t>That part of the curved surface of the package that extends one</w:t>
            </w:r>
            <w:r>
              <w:rPr>
                <w:sz w:val="20"/>
              </w:rPr>
              <w:noBreakHyphen/>
              <w:t>twelfth of the circumference of the package each side of the vertical centre line of the brand name label on that surface (or, if that label appears more than once on that surface, the larger or largest of those labels).</w:t>
            </w:r>
          </w:p>
        </w:tc>
      </w:tr>
      <w:tr>
        <w:trPr>
          <w:cantSplit/>
        </w:trPr>
        <w:tc>
          <w:tcPr>
            <w:tcW w:w="567" w:type="dxa"/>
          </w:tcPr>
          <w:p>
            <w:pPr>
              <w:pStyle w:val="yTable"/>
              <w:rPr>
                <w:sz w:val="20"/>
              </w:rPr>
            </w:pPr>
            <w:r>
              <w:rPr>
                <w:sz w:val="20"/>
              </w:rPr>
              <w:t>6</w:t>
            </w:r>
          </w:p>
        </w:tc>
        <w:tc>
          <w:tcPr>
            <w:tcW w:w="2268" w:type="dxa"/>
          </w:tcPr>
          <w:p>
            <w:pPr>
              <w:pStyle w:val="yTable"/>
              <w:ind w:left="142" w:right="142"/>
              <w:rPr>
                <w:sz w:val="20"/>
              </w:rPr>
            </w:pPr>
            <w:r>
              <w:rPr>
                <w:sz w:val="20"/>
              </w:rPr>
              <w:t>Cylindrical package containing tobacco</w:t>
            </w:r>
          </w:p>
        </w:tc>
        <w:tc>
          <w:tcPr>
            <w:tcW w:w="4253" w:type="dxa"/>
          </w:tcPr>
          <w:p>
            <w:pPr>
              <w:pStyle w:val="yTable"/>
              <w:ind w:left="142"/>
              <w:rPr>
                <w:sz w:val="20"/>
              </w:rPr>
            </w:pPr>
            <w:r>
              <w:rPr>
                <w:sz w:val="20"/>
              </w:rPr>
              <w:t>That one of the circular faces that forms, or forms part of, the lid.</w:t>
            </w:r>
          </w:p>
        </w:tc>
      </w:tr>
      <w:tr>
        <w:trPr>
          <w:cantSplit/>
        </w:trPr>
        <w:tc>
          <w:tcPr>
            <w:tcW w:w="567" w:type="dxa"/>
          </w:tcPr>
          <w:p>
            <w:pPr>
              <w:pStyle w:val="yTable"/>
              <w:rPr>
                <w:sz w:val="20"/>
              </w:rPr>
            </w:pPr>
            <w:r>
              <w:rPr>
                <w:sz w:val="20"/>
              </w:rPr>
              <w:t>7</w:t>
            </w:r>
          </w:p>
        </w:tc>
        <w:tc>
          <w:tcPr>
            <w:tcW w:w="2268" w:type="dxa"/>
          </w:tcPr>
          <w:p>
            <w:pPr>
              <w:pStyle w:val="yTable"/>
              <w:ind w:left="142"/>
              <w:rPr>
                <w:sz w:val="20"/>
              </w:rPr>
            </w:pPr>
            <w:r>
              <w:rPr>
                <w:sz w:val="20"/>
              </w:rPr>
              <w:t>Package in the shape of a hexagonal or octagonal prism, containing cigarettes or cigars</w:t>
            </w:r>
          </w:p>
        </w:tc>
        <w:tc>
          <w:tcPr>
            <w:tcW w:w="4253" w:type="dxa"/>
          </w:tcPr>
          <w:p>
            <w:pPr>
              <w:pStyle w:val="yTable"/>
              <w:ind w:left="142"/>
              <w:rPr>
                <w:sz w:val="20"/>
              </w:rPr>
            </w:pPr>
            <w:r>
              <w:rPr>
                <w:sz w:val="20"/>
              </w:rPr>
              <w:t>That one of the rectangular faces of the package that bears the brand name label; or, if that label appears on more than one of those faces, the face on which the larger or largest of those labels appears.</w:t>
            </w:r>
          </w:p>
        </w:tc>
      </w:tr>
      <w:tr>
        <w:trPr>
          <w:cantSplit/>
        </w:trPr>
        <w:tc>
          <w:tcPr>
            <w:tcW w:w="567" w:type="dxa"/>
          </w:tcPr>
          <w:p>
            <w:pPr>
              <w:pStyle w:val="yTable"/>
              <w:rPr>
                <w:sz w:val="20"/>
              </w:rPr>
            </w:pPr>
            <w:r>
              <w:rPr>
                <w:sz w:val="20"/>
              </w:rPr>
              <w:t>8</w:t>
            </w:r>
          </w:p>
        </w:tc>
        <w:tc>
          <w:tcPr>
            <w:tcW w:w="2268" w:type="dxa"/>
          </w:tcPr>
          <w:p>
            <w:pPr>
              <w:pStyle w:val="yTable"/>
              <w:ind w:left="142" w:right="142"/>
              <w:rPr>
                <w:sz w:val="20"/>
              </w:rPr>
            </w:pPr>
            <w:r>
              <w:rPr>
                <w:sz w:val="20"/>
              </w:rPr>
              <w:t>A package — </w:t>
            </w:r>
          </w:p>
          <w:p>
            <w:pPr>
              <w:pStyle w:val="yTable"/>
              <w:ind w:left="567" w:right="142" w:hanging="425"/>
              <w:rPr>
                <w:sz w:val="20"/>
              </w:rPr>
            </w:pPr>
            <w:r>
              <w:rPr>
                <w:sz w:val="20"/>
              </w:rPr>
              <w:t>(a)</w:t>
            </w:r>
            <w:r>
              <w:rPr>
                <w:sz w:val="20"/>
              </w:rPr>
              <w:tab/>
              <w:t>the shape of which is not described in items 1 to 7; and</w:t>
            </w:r>
          </w:p>
          <w:p>
            <w:pPr>
              <w:pStyle w:val="yTable"/>
              <w:ind w:left="567" w:right="142" w:hanging="425"/>
              <w:rPr>
                <w:sz w:val="20"/>
              </w:rPr>
            </w:pPr>
            <w:r>
              <w:rPr>
                <w:sz w:val="20"/>
              </w:rPr>
              <w:t>(b)</w:t>
            </w:r>
            <w:r>
              <w:rPr>
                <w:sz w:val="20"/>
              </w:rPr>
              <w:tab/>
              <w:t xml:space="preserve">the total surface </w:t>
            </w:r>
            <w:r>
              <w:rPr>
                <w:sz w:val="20"/>
              </w:rPr>
              <w:br/>
              <w:t>area of which is less than 145 square centimetres</w:t>
            </w:r>
          </w:p>
        </w:tc>
        <w:tc>
          <w:tcPr>
            <w:tcW w:w="4253" w:type="dxa"/>
          </w:tcPr>
          <w:p>
            <w:pPr>
              <w:pStyle w:val="yTable"/>
              <w:ind w:left="142"/>
              <w:rPr>
                <w:sz w:val="20"/>
              </w:rPr>
            </w:pPr>
            <w:r>
              <w:rPr>
                <w:sz w:val="20"/>
              </w:rPr>
              <w:t>The package must bear 2 warning messages, printed as far apart as possible.</w:t>
            </w:r>
          </w:p>
          <w:p>
            <w:pPr>
              <w:pStyle w:val="yTable"/>
              <w:ind w:left="142"/>
              <w:rPr>
                <w:sz w:val="20"/>
              </w:rPr>
            </w:pPr>
            <w:r>
              <w:rPr>
                <w:sz w:val="20"/>
              </w:rPr>
              <w:t>The messages must be printed on the face, or faces, of the package that allow this result to be achieved.</w:t>
            </w:r>
          </w:p>
        </w:tc>
      </w:tr>
      <w:tr>
        <w:trPr>
          <w:cantSplit/>
        </w:trPr>
        <w:tc>
          <w:tcPr>
            <w:tcW w:w="567" w:type="dxa"/>
          </w:tcPr>
          <w:p>
            <w:pPr>
              <w:pStyle w:val="yTable"/>
              <w:rPr>
                <w:sz w:val="20"/>
              </w:rPr>
            </w:pPr>
            <w:r>
              <w:rPr>
                <w:sz w:val="20"/>
              </w:rPr>
              <w:t>9</w:t>
            </w:r>
          </w:p>
        </w:tc>
        <w:tc>
          <w:tcPr>
            <w:tcW w:w="2268" w:type="dxa"/>
          </w:tcPr>
          <w:p>
            <w:pPr>
              <w:pStyle w:val="yTable"/>
              <w:ind w:left="142" w:right="142"/>
              <w:rPr>
                <w:sz w:val="20"/>
              </w:rPr>
            </w:pPr>
            <w:r>
              <w:rPr>
                <w:sz w:val="20"/>
              </w:rPr>
              <w:t>A package — </w:t>
            </w:r>
          </w:p>
        </w:tc>
        <w:tc>
          <w:tcPr>
            <w:tcW w:w="4253" w:type="dxa"/>
          </w:tcPr>
          <w:p>
            <w:pPr>
              <w:pStyle w:val="yTable"/>
              <w:ind w:left="142"/>
              <w:rPr>
                <w:sz w:val="20"/>
              </w:rPr>
            </w:pPr>
            <w:r>
              <w:rPr>
                <w:sz w:val="20"/>
              </w:rPr>
              <w:t>Any face of the package.</w:t>
            </w:r>
          </w:p>
        </w:tc>
      </w:tr>
      <w:tr>
        <w:trPr>
          <w:cantSplit/>
        </w:trPr>
        <w:tc>
          <w:tcPr>
            <w:tcW w:w="567" w:type="dxa"/>
          </w:tcPr>
          <w:p>
            <w:pPr>
              <w:pStyle w:val="yTable"/>
              <w:rPr>
                <w:sz w:val="20"/>
              </w:rPr>
            </w:pPr>
          </w:p>
        </w:tc>
        <w:tc>
          <w:tcPr>
            <w:tcW w:w="2268" w:type="dxa"/>
          </w:tcPr>
          <w:p>
            <w:pPr>
              <w:pStyle w:val="yTable"/>
              <w:tabs>
                <w:tab w:val="left" w:pos="567"/>
              </w:tabs>
              <w:ind w:left="567" w:right="142" w:hanging="425"/>
              <w:rPr>
                <w:sz w:val="20"/>
              </w:rPr>
            </w:pPr>
            <w:r>
              <w:rPr>
                <w:sz w:val="20"/>
              </w:rPr>
              <w:t>(a)</w:t>
            </w:r>
            <w:r>
              <w:rPr>
                <w:sz w:val="20"/>
              </w:rPr>
              <w:tab/>
              <w:t>the shape of which is not described in items 1 to 7; and</w:t>
            </w:r>
          </w:p>
        </w:tc>
        <w:tc>
          <w:tcPr>
            <w:tcW w:w="4253" w:type="dxa"/>
          </w:tcPr>
          <w:p>
            <w:pPr>
              <w:pStyle w:val="yTable"/>
              <w:ind w:left="142"/>
              <w:rPr>
                <w:sz w:val="20"/>
              </w:rPr>
            </w:pPr>
          </w:p>
        </w:tc>
      </w:tr>
      <w:tr>
        <w:trPr>
          <w:cantSplit/>
        </w:trPr>
        <w:tc>
          <w:tcPr>
            <w:tcW w:w="567" w:type="dxa"/>
            <w:tcBorders>
              <w:bottom w:val="single" w:sz="4" w:space="0" w:color="auto"/>
            </w:tcBorders>
          </w:tcPr>
          <w:p>
            <w:pPr>
              <w:pStyle w:val="yTable"/>
              <w:rPr>
                <w:sz w:val="20"/>
              </w:rPr>
            </w:pPr>
          </w:p>
        </w:tc>
        <w:tc>
          <w:tcPr>
            <w:tcW w:w="2268" w:type="dxa"/>
            <w:tcBorders>
              <w:bottom w:val="single" w:sz="4" w:space="0" w:color="auto"/>
            </w:tcBorders>
          </w:tcPr>
          <w:p>
            <w:pPr>
              <w:pStyle w:val="yTable"/>
              <w:tabs>
                <w:tab w:val="left" w:pos="567"/>
              </w:tabs>
              <w:ind w:left="567" w:right="142" w:hanging="425"/>
              <w:rPr>
                <w:sz w:val="20"/>
              </w:rPr>
            </w:pPr>
            <w:r>
              <w:rPr>
                <w:sz w:val="20"/>
              </w:rPr>
              <w:t>(b)</w:t>
            </w:r>
            <w:r>
              <w:rPr>
                <w:sz w:val="20"/>
              </w:rPr>
              <w:tab/>
              <w:t>the total surface area of which is at least 145 square centimetres</w:t>
            </w:r>
          </w:p>
        </w:tc>
        <w:tc>
          <w:tcPr>
            <w:tcW w:w="4253" w:type="dxa"/>
            <w:tcBorders>
              <w:bottom w:val="single" w:sz="4" w:space="0" w:color="auto"/>
            </w:tcBorders>
          </w:tcPr>
          <w:p>
            <w:pPr>
              <w:pStyle w:val="yTable"/>
              <w:ind w:left="142"/>
              <w:rPr>
                <w:sz w:val="20"/>
              </w:rPr>
            </w:pPr>
          </w:p>
        </w:tc>
      </w:tr>
    </w:tbl>
    <w:p>
      <w:pPr>
        <w:pStyle w:val="yFootnotesection"/>
      </w:pPr>
      <w:r>
        <w:t>[Schedule 2 amended in Gazette 17 Mar 1995 p. 1025</w:t>
      </w:r>
      <w:r>
        <w:noBreakHyphen/>
        <w:t>6.]</w:t>
      </w:r>
    </w:p>
    <w:p>
      <w:pPr>
        <w:pStyle w:val="yScheduleHeading"/>
      </w:pPr>
      <w:bookmarkStart w:id="161" w:name="_Toc379276706"/>
      <w:bookmarkStart w:id="162" w:name="_Toc426543473"/>
      <w:bookmarkStart w:id="163" w:name="_Toc59354960"/>
      <w:bookmarkStart w:id="164" w:name="_Toc133126532"/>
      <w:bookmarkStart w:id="165" w:name="_Toc133126821"/>
      <w:bookmarkStart w:id="166" w:name="_Toc133132701"/>
      <w:r>
        <w:rPr>
          <w:rStyle w:val="CharSchNo"/>
        </w:rPr>
        <w:t>Schedule 3</w:t>
      </w:r>
      <w:bookmarkEnd w:id="161"/>
      <w:bookmarkEnd w:id="162"/>
      <w:bookmarkEnd w:id="163"/>
      <w:bookmarkEnd w:id="164"/>
      <w:bookmarkEnd w:id="165"/>
      <w:bookmarkEnd w:id="166"/>
    </w:p>
    <w:p>
      <w:pPr>
        <w:pStyle w:val="yTable"/>
        <w:jc w:val="right"/>
      </w:pPr>
      <w:r>
        <w:t>[reg. 16(7)]</w:t>
      </w:r>
    </w:p>
    <w:p>
      <w:pPr>
        <w:pStyle w:val="yHeading2"/>
        <w:spacing w:after="60"/>
        <w:rPr>
          <w:b w:val="0"/>
        </w:rPr>
      </w:pPr>
      <w:bookmarkStart w:id="167" w:name="_Toc379276707"/>
      <w:bookmarkStart w:id="168" w:name="_Toc426543474"/>
      <w:bookmarkStart w:id="169" w:name="_Toc59354961"/>
      <w:bookmarkStart w:id="170" w:name="_Toc133126533"/>
      <w:bookmarkStart w:id="171" w:name="_Toc133126822"/>
      <w:bookmarkStart w:id="172" w:name="_Toc133132702"/>
      <w:r>
        <w:rPr>
          <w:rStyle w:val="CharSchText"/>
        </w:rPr>
        <w:t>Figures for describing average amounts of tar, nicotine and carbon monoxide</w:t>
      </w:r>
      <w:bookmarkEnd w:id="167"/>
      <w:bookmarkEnd w:id="168"/>
      <w:bookmarkEnd w:id="169"/>
      <w:bookmarkEnd w:id="170"/>
      <w:bookmarkEnd w:id="171"/>
      <w:bookmarkEnd w:id="172"/>
    </w:p>
    <w:tbl>
      <w:tblPr>
        <w:tblW w:w="0" w:type="auto"/>
        <w:tblInd w:w="142" w:type="dxa"/>
        <w:tblLayout w:type="fixed"/>
        <w:tblCellMar>
          <w:left w:w="142" w:type="dxa"/>
          <w:right w:w="142" w:type="dxa"/>
        </w:tblCellMar>
        <w:tblLook w:val="0000" w:firstRow="0" w:lastRow="0" w:firstColumn="0" w:lastColumn="0" w:noHBand="0" w:noVBand="0"/>
      </w:tblPr>
      <w:tblGrid>
        <w:gridCol w:w="2268"/>
        <w:gridCol w:w="2268"/>
        <w:gridCol w:w="2552"/>
      </w:tblGrid>
      <w:tr>
        <w:trPr>
          <w:tblHeader/>
        </w:trPr>
        <w:tc>
          <w:tcPr>
            <w:tcW w:w="2268" w:type="dxa"/>
            <w:tcBorders>
              <w:top w:val="single" w:sz="4" w:space="0" w:color="auto"/>
              <w:bottom w:val="single" w:sz="4" w:space="0" w:color="auto"/>
            </w:tcBorders>
          </w:tcPr>
          <w:p>
            <w:pPr>
              <w:pStyle w:val="yTable"/>
              <w:spacing w:after="60"/>
              <w:jc w:val="center"/>
              <w:rPr>
                <w:b/>
              </w:rPr>
            </w:pPr>
            <w:r>
              <w:rPr>
                <w:b/>
              </w:rPr>
              <w:t>Tar</w:t>
            </w:r>
            <w:r>
              <w:rPr>
                <w:b/>
              </w:rPr>
              <w:br/>
              <w:t>(milligrams)</w:t>
            </w:r>
          </w:p>
        </w:tc>
        <w:tc>
          <w:tcPr>
            <w:tcW w:w="2268" w:type="dxa"/>
            <w:tcBorders>
              <w:top w:val="single" w:sz="4" w:space="0" w:color="auto"/>
              <w:bottom w:val="single" w:sz="4" w:space="0" w:color="auto"/>
            </w:tcBorders>
          </w:tcPr>
          <w:p>
            <w:pPr>
              <w:pStyle w:val="yTable"/>
              <w:spacing w:after="60"/>
              <w:jc w:val="center"/>
              <w:rPr>
                <w:b/>
              </w:rPr>
            </w:pPr>
            <w:r>
              <w:rPr>
                <w:b/>
              </w:rPr>
              <w:t>Nicotine</w:t>
            </w:r>
            <w:r>
              <w:rPr>
                <w:b/>
              </w:rPr>
              <w:br/>
              <w:t>(milligrams)</w:t>
            </w:r>
          </w:p>
        </w:tc>
        <w:tc>
          <w:tcPr>
            <w:tcW w:w="2552" w:type="dxa"/>
            <w:tcBorders>
              <w:top w:val="single" w:sz="4" w:space="0" w:color="auto"/>
              <w:bottom w:val="single" w:sz="4" w:space="0" w:color="auto"/>
            </w:tcBorders>
          </w:tcPr>
          <w:p>
            <w:pPr>
              <w:pStyle w:val="yTable"/>
              <w:spacing w:after="60"/>
              <w:jc w:val="center"/>
              <w:rPr>
                <w:b/>
              </w:rPr>
            </w:pPr>
            <w:r>
              <w:rPr>
                <w:b/>
              </w:rPr>
              <w:t>Carbon monoxide</w:t>
            </w:r>
            <w:r>
              <w:rPr>
                <w:b/>
              </w:rPr>
              <w:br/>
              <w:t>(milligrams)</w:t>
            </w:r>
          </w:p>
        </w:tc>
      </w:tr>
      <w:tr>
        <w:tc>
          <w:tcPr>
            <w:tcW w:w="2268" w:type="dxa"/>
          </w:tcPr>
          <w:p>
            <w:pPr>
              <w:pStyle w:val="yTable"/>
              <w:jc w:val="center"/>
            </w:pPr>
            <w:r>
              <w:t>1</w:t>
            </w:r>
          </w:p>
        </w:tc>
        <w:tc>
          <w:tcPr>
            <w:tcW w:w="2268" w:type="dxa"/>
          </w:tcPr>
          <w:p>
            <w:pPr>
              <w:pStyle w:val="yTable"/>
              <w:jc w:val="center"/>
            </w:pPr>
            <w:r>
              <w:t>0.2</w:t>
            </w:r>
          </w:p>
        </w:tc>
        <w:tc>
          <w:tcPr>
            <w:tcW w:w="2552" w:type="dxa"/>
          </w:tcPr>
          <w:p>
            <w:pPr>
              <w:pStyle w:val="yTable"/>
              <w:jc w:val="center"/>
            </w:pPr>
            <w:r>
              <w:t>2</w:t>
            </w:r>
          </w:p>
        </w:tc>
      </w:tr>
      <w:tr>
        <w:tc>
          <w:tcPr>
            <w:tcW w:w="2268" w:type="dxa"/>
          </w:tcPr>
          <w:p>
            <w:pPr>
              <w:pStyle w:val="yTable"/>
              <w:spacing w:before="0"/>
              <w:jc w:val="center"/>
            </w:pPr>
            <w:r>
              <w:t>2</w:t>
            </w:r>
          </w:p>
        </w:tc>
        <w:tc>
          <w:tcPr>
            <w:tcW w:w="2268" w:type="dxa"/>
          </w:tcPr>
          <w:p>
            <w:pPr>
              <w:pStyle w:val="yTable"/>
              <w:spacing w:before="0"/>
              <w:jc w:val="center"/>
            </w:pPr>
            <w:r>
              <w:t>0.3</w:t>
            </w:r>
          </w:p>
        </w:tc>
        <w:tc>
          <w:tcPr>
            <w:tcW w:w="2552" w:type="dxa"/>
          </w:tcPr>
          <w:p>
            <w:pPr>
              <w:pStyle w:val="yTable"/>
              <w:spacing w:before="0"/>
              <w:jc w:val="center"/>
            </w:pPr>
            <w:r>
              <w:t>3</w:t>
            </w:r>
          </w:p>
        </w:tc>
      </w:tr>
      <w:tr>
        <w:tc>
          <w:tcPr>
            <w:tcW w:w="2268" w:type="dxa"/>
          </w:tcPr>
          <w:p>
            <w:pPr>
              <w:pStyle w:val="yTable"/>
              <w:spacing w:before="0"/>
              <w:jc w:val="center"/>
            </w:pPr>
            <w:r>
              <w:t>4</w:t>
            </w:r>
          </w:p>
        </w:tc>
        <w:tc>
          <w:tcPr>
            <w:tcW w:w="2268" w:type="dxa"/>
          </w:tcPr>
          <w:p>
            <w:pPr>
              <w:pStyle w:val="yTable"/>
              <w:spacing w:before="0"/>
              <w:jc w:val="center"/>
            </w:pPr>
            <w:r>
              <w:t>0.4</w:t>
            </w:r>
          </w:p>
        </w:tc>
        <w:tc>
          <w:tcPr>
            <w:tcW w:w="2552" w:type="dxa"/>
          </w:tcPr>
          <w:p>
            <w:pPr>
              <w:pStyle w:val="yTable"/>
              <w:spacing w:before="0"/>
              <w:jc w:val="center"/>
            </w:pPr>
            <w:r>
              <w:t>5</w:t>
            </w:r>
          </w:p>
        </w:tc>
      </w:tr>
      <w:tr>
        <w:tc>
          <w:tcPr>
            <w:tcW w:w="2268" w:type="dxa"/>
          </w:tcPr>
          <w:p>
            <w:pPr>
              <w:pStyle w:val="yTable"/>
              <w:spacing w:before="0"/>
              <w:jc w:val="center"/>
            </w:pPr>
            <w:r>
              <w:t>8</w:t>
            </w:r>
          </w:p>
        </w:tc>
        <w:tc>
          <w:tcPr>
            <w:tcW w:w="2268" w:type="dxa"/>
          </w:tcPr>
          <w:p>
            <w:pPr>
              <w:pStyle w:val="yTable"/>
              <w:spacing w:before="0"/>
              <w:jc w:val="center"/>
            </w:pPr>
            <w:r>
              <w:t>0.8</w:t>
            </w:r>
          </w:p>
        </w:tc>
        <w:tc>
          <w:tcPr>
            <w:tcW w:w="2552" w:type="dxa"/>
          </w:tcPr>
          <w:p>
            <w:pPr>
              <w:pStyle w:val="yTable"/>
              <w:spacing w:before="0"/>
              <w:jc w:val="center"/>
            </w:pPr>
            <w:r>
              <w:t>10</w:t>
            </w:r>
          </w:p>
        </w:tc>
      </w:tr>
      <w:tr>
        <w:tc>
          <w:tcPr>
            <w:tcW w:w="2268" w:type="dxa"/>
          </w:tcPr>
          <w:p>
            <w:pPr>
              <w:pStyle w:val="yTable"/>
              <w:spacing w:before="0"/>
              <w:jc w:val="center"/>
            </w:pPr>
            <w:r>
              <w:t>12</w:t>
            </w:r>
          </w:p>
        </w:tc>
        <w:tc>
          <w:tcPr>
            <w:tcW w:w="2268" w:type="dxa"/>
          </w:tcPr>
          <w:p>
            <w:pPr>
              <w:pStyle w:val="yTable"/>
              <w:spacing w:before="0"/>
              <w:jc w:val="center"/>
            </w:pPr>
            <w:r>
              <w:t>1.2</w:t>
            </w:r>
          </w:p>
        </w:tc>
        <w:tc>
          <w:tcPr>
            <w:tcW w:w="2552" w:type="dxa"/>
          </w:tcPr>
          <w:p>
            <w:pPr>
              <w:pStyle w:val="yTable"/>
              <w:spacing w:before="0"/>
              <w:jc w:val="center"/>
            </w:pPr>
            <w:r>
              <w:t>15</w:t>
            </w:r>
          </w:p>
        </w:tc>
      </w:tr>
      <w:tr>
        <w:tc>
          <w:tcPr>
            <w:tcW w:w="2268" w:type="dxa"/>
            <w:tcBorders>
              <w:bottom w:val="single" w:sz="4" w:space="0" w:color="auto"/>
            </w:tcBorders>
          </w:tcPr>
          <w:p>
            <w:pPr>
              <w:pStyle w:val="yTable"/>
              <w:spacing w:before="0" w:after="60"/>
              <w:jc w:val="center"/>
            </w:pPr>
            <w:r>
              <w:t>16</w:t>
            </w:r>
          </w:p>
        </w:tc>
        <w:tc>
          <w:tcPr>
            <w:tcW w:w="2268" w:type="dxa"/>
            <w:tcBorders>
              <w:bottom w:val="single" w:sz="4" w:space="0" w:color="auto"/>
            </w:tcBorders>
          </w:tcPr>
          <w:p>
            <w:pPr>
              <w:pStyle w:val="yTable"/>
              <w:spacing w:before="0" w:after="60"/>
              <w:jc w:val="center"/>
            </w:pPr>
            <w:r>
              <w:t>1.5</w:t>
            </w:r>
          </w:p>
        </w:tc>
        <w:tc>
          <w:tcPr>
            <w:tcW w:w="2552" w:type="dxa"/>
            <w:tcBorders>
              <w:bottom w:val="single" w:sz="4" w:space="0" w:color="auto"/>
            </w:tcBorders>
          </w:tcPr>
          <w:p>
            <w:pPr>
              <w:pStyle w:val="yTable"/>
              <w:spacing w:before="0" w:after="60"/>
              <w:jc w:val="center"/>
            </w:pPr>
            <w:r>
              <w:t>20</w:t>
            </w:r>
          </w:p>
        </w:tc>
      </w:tr>
    </w:tbl>
    <w:p>
      <w:pPr>
        <w:pStyle w:val="yScheduleHeading"/>
      </w:pPr>
      <w:bookmarkStart w:id="173" w:name="_Toc379276708"/>
      <w:bookmarkStart w:id="174" w:name="_Toc426543475"/>
      <w:bookmarkStart w:id="175" w:name="_Toc59354962"/>
      <w:bookmarkStart w:id="176" w:name="_Toc133126534"/>
      <w:bookmarkStart w:id="177" w:name="_Toc133126823"/>
      <w:bookmarkStart w:id="178" w:name="_Toc133132703"/>
      <w:r>
        <w:rPr>
          <w:rStyle w:val="CharSchNo"/>
        </w:rPr>
        <w:t>Schedule 4</w:t>
      </w:r>
      <w:bookmarkEnd w:id="173"/>
      <w:bookmarkEnd w:id="174"/>
      <w:bookmarkEnd w:id="175"/>
      <w:bookmarkEnd w:id="176"/>
      <w:bookmarkEnd w:id="177"/>
      <w:bookmarkEnd w:id="178"/>
    </w:p>
    <w:p>
      <w:pPr>
        <w:pStyle w:val="yTable"/>
        <w:jc w:val="right"/>
      </w:pPr>
      <w:r>
        <w:t>[reg. 21(c)]</w:t>
      </w:r>
    </w:p>
    <w:p>
      <w:pPr>
        <w:pStyle w:val="yHeading2"/>
        <w:spacing w:after="60"/>
        <w:rPr>
          <w:b w:val="0"/>
        </w:rPr>
      </w:pPr>
      <w:bookmarkStart w:id="179" w:name="_Toc379276709"/>
      <w:bookmarkStart w:id="180" w:name="_Toc426543476"/>
      <w:bookmarkStart w:id="181" w:name="_Toc59354963"/>
      <w:bookmarkStart w:id="182" w:name="_Toc133126535"/>
      <w:bookmarkStart w:id="183" w:name="_Toc133126824"/>
      <w:bookmarkStart w:id="184" w:name="_Toc133132704"/>
      <w:r>
        <w:rPr>
          <w:rStyle w:val="CharSchText"/>
        </w:rPr>
        <w:t>Areas to be occupied by messages on certain packages of cigars</w:t>
      </w:r>
      <w:bookmarkEnd w:id="179"/>
      <w:bookmarkEnd w:id="180"/>
      <w:bookmarkEnd w:id="181"/>
      <w:bookmarkEnd w:id="182"/>
      <w:bookmarkEnd w:id="183"/>
      <w:bookmarkEnd w:id="184"/>
    </w:p>
    <w:tbl>
      <w:tblPr>
        <w:tblW w:w="0" w:type="auto"/>
        <w:tblInd w:w="8" w:type="dxa"/>
        <w:tblLayout w:type="fixed"/>
        <w:tblCellMar>
          <w:left w:w="0" w:type="dxa"/>
          <w:right w:w="0" w:type="dxa"/>
        </w:tblCellMar>
        <w:tblLook w:val="0000" w:firstRow="0" w:lastRow="0" w:firstColumn="0" w:lastColumn="0" w:noHBand="0" w:noVBand="0"/>
      </w:tblPr>
      <w:tblGrid>
        <w:gridCol w:w="504"/>
        <w:gridCol w:w="2048"/>
        <w:gridCol w:w="2268"/>
        <w:gridCol w:w="2268"/>
      </w:tblGrid>
      <w:tr>
        <w:tc>
          <w:tcPr>
            <w:tcW w:w="504" w:type="dxa"/>
            <w:tcBorders>
              <w:top w:val="single" w:sz="4" w:space="0" w:color="auto"/>
              <w:bottom w:val="single" w:sz="4" w:space="0" w:color="auto"/>
            </w:tcBorders>
          </w:tcPr>
          <w:p>
            <w:pPr>
              <w:pStyle w:val="yTable"/>
              <w:ind w:right="-63"/>
              <w:jc w:val="center"/>
              <w:rPr>
                <w:b/>
                <w:sz w:val="20"/>
              </w:rPr>
            </w:pPr>
            <w:r>
              <w:rPr>
                <w:b/>
                <w:sz w:val="20"/>
              </w:rPr>
              <w:t>Col. 1</w:t>
            </w:r>
          </w:p>
          <w:p>
            <w:pPr>
              <w:pStyle w:val="yTable"/>
              <w:rPr>
                <w:b/>
                <w:sz w:val="20"/>
              </w:rPr>
            </w:pPr>
            <w:r>
              <w:rPr>
                <w:b/>
                <w:sz w:val="20"/>
              </w:rPr>
              <w:t>Item No.</w:t>
            </w:r>
          </w:p>
        </w:tc>
        <w:tc>
          <w:tcPr>
            <w:tcW w:w="2048"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Area of front and back face of package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Area to be occupied by warning message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4</w:t>
            </w:r>
          </w:p>
          <w:p>
            <w:pPr>
              <w:pStyle w:val="yTable"/>
              <w:spacing w:after="60"/>
              <w:jc w:val="center"/>
              <w:rPr>
                <w:b/>
                <w:sz w:val="20"/>
              </w:rPr>
            </w:pPr>
            <w:r>
              <w:rPr>
                <w:b/>
                <w:sz w:val="20"/>
              </w:rPr>
              <w:t>Area to be occupied by explanatory message (cm</w:t>
            </w:r>
            <w:r>
              <w:rPr>
                <w:b/>
                <w:sz w:val="20"/>
                <w:vertAlign w:val="superscript"/>
              </w:rPr>
              <w:t>2</w:t>
            </w:r>
            <w:r>
              <w:rPr>
                <w:b/>
                <w:sz w:val="20"/>
              </w:rPr>
              <w:t>)</w:t>
            </w:r>
          </w:p>
        </w:tc>
      </w:tr>
      <w:tr>
        <w:tc>
          <w:tcPr>
            <w:tcW w:w="504" w:type="dxa"/>
          </w:tcPr>
          <w:p>
            <w:pPr>
              <w:pStyle w:val="yTable"/>
              <w:rPr>
                <w:sz w:val="20"/>
              </w:rPr>
            </w:pPr>
            <w:r>
              <w:rPr>
                <w:sz w:val="20"/>
              </w:rPr>
              <w:t>1</w:t>
            </w:r>
          </w:p>
        </w:tc>
        <w:tc>
          <w:tcPr>
            <w:tcW w:w="2048" w:type="dxa"/>
          </w:tcPr>
          <w:p>
            <w:pPr>
              <w:pStyle w:val="yTable"/>
              <w:ind w:left="205" w:right="142"/>
              <w:rPr>
                <w:sz w:val="20"/>
              </w:rPr>
            </w:pPr>
            <w:r>
              <w:rPr>
                <w:sz w:val="20"/>
              </w:rPr>
              <w:t>less than 70</w:t>
            </w:r>
          </w:p>
        </w:tc>
        <w:tc>
          <w:tcPr>
            <w:tcW w:w="2268" w:type="dxa"/>
          </w:tcPr>
          <w:p>
            <w:pPr>
              <w:pStyle w:val="yTable"/>
              <w:jc w:val="center"/>
              <w:rPr>
                <w:sz w:val="20"/>
              </w:rPr>
            </w:pPr>
            <w:r>
              <w:rPr>
                <w:sz w:val="20"/>
              </w:rPr>
              <w:t>15</w:t>
            </w:r>
          </w:p>
        </w:tc>
        <w:tc>
          <w:tcPr>
            <w:tcW w:w="2268" w:type="dxa"/>
          </w:tcPr>
          <w:p>
            <w:pPr>
              <w:pStyle w:val="yTable"/>
              <w:jc w:val="center"/>
              <w:rPr>
                <w:sz w:val="20"/>
              </w:rPr>
            </w:pPr>
            <w:r>
              <w:rPr>
                <w:sz w:val="20"/>
              </w:rPr>
              <w:t>20</w:t>
            </w:r>
          </w:p>
        </w:tc>
      </w:tr>
      <w:tr>
        <w:tc>
          <w:tcPr>
            <w:tcW w:w="504" w:type="dxa"/>
          </w:tcPr>
          <w:p>
            <w:pPr>
              <w:pStyle w:val="yTable"/>
              <w:rPr>
                <w:sz w:val="20"/>
              </w:rPr>
            </w:pPr>
            <w:r>
              <w:rPr>
                <w:sz w:val="20"/>
              </w:rPr>
              <w:t>2</w:t>
            </w:r>
          </w:p>
        </w:tc>
        <w:tc>
          <w:tcPr>
            <w:tcW w:w="2048" w:type="dxa"/>
          </w:tcPr>
          <w:p>
            <w:pPr>
              <w:pStyle w:val="yTable"/>
              <w:ind w:left="205" w:right="142"/>
              <w:rPr>
                <w:sz w:val="20"/>
              </w:rPr>
            </w:pPr>
            <w:r>
              <w:rPr>
                <w:sz w:val="20"/>
              </w:rPr>
              <w:t>not less than 70</w:t>
            </w:r>
            <w:r>
              <w:rPr>
                <w:sz w:val="20"/>
              </w:rPr>
              <w:br/>
              <w:t>but less than 90</w:t>
            </w:r>
          </w:p>
        </w:tc>
        <w:tc>
          <w:tcPr>
            <w:tcW w:w="2268" w:type="dxa"/>
          </w:tcPr>
          <w:p>
            <w:pPr>
              <w:pStyle w:val="yTable"/>
              <w:jc w:val="center"/>
              <w:rPr>
                <w:sz w:val="20"/>
              </w:rPr>
            </w:pPr>
            <w:r>
              <w:rPr>
                <w:sz w:val="20"/>
              </w:rPr>
              <w:t>20</w:t>
            </w:r>
          </w:p>
        </w:tc>
        <w:tc>
          <w:tcPr>
            <w:tcW w:w="2268" w:type="dxa"/>
          </w:tcPr>
          <w:p>
            <w:pPr>
              <w:pStyle w:val="yTable"/>
              <w:jc w:val="center"/>
              <w:rPr>
                <w:sz w:val="20"/>
              </w:rPr>
            </w:pPr>
            <w:r>
              <w:rPr>
                <w:sz w:val="20"/>
              </w:rPr>
              <w:t>27</w:t>
            </w:r>
          </w:p>
        </w:tc>
      </w:tr>
      <w:tr>
        <w:tc>
          <w:tcPr>
            <w:tcW w:w="504" w:type="dxa"/>
          </w:tcPr>
          <w:p>
            <w:pPr>
              <w:pStyle w:val="yTable"/>
              <w:rPr>
                <w:sz w:val="20"/>
              </w:rPr>
            </w:pPr>
            <w:r>
              <w:rPr>
                <w:sz w:val="20"/>
              </w:rPr>
              <w:t>3</w:t>
            </w:r>
          </w:p>
        </w:tc>
        <w:tc>
          <w:tcPr>
            <w:tcW w:w="2048" w:type="dxa"/>
          </w:tcPr>
          <w:p>
            <w:pPr>
              <w:pStyle w:val="yTable"/>
              <w:ind w:left="205" w:right="142"/>
              <w:rPr>
                <w:sz w:val="20"/>
              </w:rPr>
            </w:pPr>
            <w:r>
              <w:rPr>
                <w:sz w:val="20"/>
              </w:rPr>
              <w:t>not less than 90</w:t>
            </w:r>
            <w:r>
              <w:rPr>
                <w:sz w:val="20"/>
              </w:rPr>
              <w:br/>
              <w:t>but less than 110</w:t>
            </w:r>
          </w:p>
        </w:tc>
        <w:tc>
          <w:tcPr>
            <w:tcW w:w="2268" w:type="dxa"/>
          </w:tcPr>
          <w:p>
            <w:pPr>
              <w:pStyle w:val="yTable"/>
              <w:jc w:val="center"/>
              <w:rPr>
                <w:sz w:val="20"/>
              </w:rPr>
            </w:pPr>
            <w:r>
              <w:rPr>
                <w:sz w:val="20"/>
              </w:rPr>
              <w:t>25</w:t>
            </w:r>
          </w:p>
        </w:tc>
        <w:tc>
          <w:tcPr>
            <w:tcW w:w="2268" w:type="dxa"/>
          </w:tcPr>
          <w:p>
            <w:pPr>
              <w:pStyle w:val="yTable"/>
              <w:jc w:val="center"/>
              <w:rPr>
                <w:sz w:val="20"/>
              </w:rPr>
            </w:pPr>
            <w:r>
              <w:rPr>
                <w:sz w:val="20"/>
              </w:rPr>
              <w:t>33</w:t>
            </w:r>
          </w:p>
        </w:tc>
      </w:tr>
      <w:tr>
        <w:tc>
          <w:tcPr>
            <w:tcW w:w="504" w:type="dxa"/>
          </w:tcPr>
          <w:p>
            <w:pPr>
              <w:pStyle w:val="yTable"/>
              <w:rPr>
                <w:sz w:val="20"/>
              </w:rPr>
            </w:pPr>
            <w:r>
              <w:rPr>
                <w:sz w:val="20"/>
              </w:rPr>
              <w:t>4</w:t>
            </w:r>
          </w:p>
        </w:tc>
        <w:tc>
          <w:tcPr>
            <w:tcW w:w="2048" w:type="dxa"/>
          </w:tcPr>
          <w:p>
            <w:pPr>
              <w:pStyle w:val="yTable"/>
              <w:ind w:left="205" w:right="142"/>
              <w:rPr>
                <w:sz w:val="20"/>
              </w:rPr>
            </w:pPr>
            <w:r>
              <w:rPr>
                <w:sz w:val="20"/>
              </w:rPr>
              <w:t>not less than 110</w:t>
            </w:r>
            <w:r>
              <w:rPr>
                <w:sz w:val="20"/>
              </w:rPr>
              <w:br/>
              <w:t>but less than 130</w:t>
            </w:r>
          </w:p>
        </w:tc>
        <w:tc>
          <w:tcPr>
            <w:tcW w:w="2268" w:type="dxa"/>
          </w:tcPr>
          <w:p>
            <w:pPr>
              <w:pStyle w:val="yTable"/>
              <w:jc w:val="center"/>
              <w:rPr>
                <w:sz w:val="20"/>
              </w:rPr>
            </w:pPr>
            <w:r>
              <w:rPr>
                <w:sz w:val="20"/>
              </w:rPr>
              <w:t>30</w:t>
            </w:r>
          </w:p>
        </w:tc>
        <w:tc>
          <w:tcPr>
            <w:tcW w:w="2268" w:type="dxa"/>
          </w:tcPr>
          <w:p>
            <w:pPr>
              <w:pStyle w:val="yTable"/>
              <w:jc w:val="center"/>
              <w:rPr>
                <w:sz w:val="20"/>
              </w:rPr>
            </w:pPr>
            <w:r>
              <w:rPr>
                <w:sz w:val="20"/>
              </w:rPr>
              <w:t>40</w:t>
            </w:r>
          </w:p>
        </w:tc>
      </w:tr>
      <w:tr>
        <w:tc>
          <w:tcPr>
            <w:tcW w:w="504" w:type="dxa"/>
          </w:tcPr>
          <w:p>
            <w:pPr>
              <w:pStyle w:val="yTable"/>
              <w:rPr>
                <w:sz w:val="20"/>
              </w:rPr>
            </w:pPr>
            <w:r>
              <w:rPr>
                <w:sz w:val="20"/>
              </w:rPr>
              <w:t>5</w:t>
            </w:r>
          </w:p>
        </w:tc>
        <w:tc>
          <w:tcPr>
            <w:tcW w:w="2048" w:type="dxa"/>
          </w:tcPr>
          <w:p>
            <w:pPr>
              <w:pStyle w:val="yTable"/>
              <w:ind w:left="205" w:right="142"/>
              <w:rPr>
                <w:sz w:val="20"/>
              </w:rPr>
            </w:pPr>
            <w:r>
              <w:rPr>
                <w:sz w:val="20"/>
              </w:rPr>
              <w:t>not less than 130</w:t>
            </w:r>
            <w:r>
              <w:rPr>
                <w:sz w:val="20"/>
              </w:rPr>
              <w:br/>
              <w:t>but less than 150</w:t>
            </w:r>
          </w:p>
        </w:tc>
        <w:tc>
          <w:tcPr>
            <w:tcW w:w="2268" w:type="dxa"/>
          </w:tcPr>
          <w:p>
            <w:pPr>
              <w:pStyle w:val="yTable"/>
              <w:jc w:val="center"/>
              <w:rPr>
                <w:sz w:val="20"/>
              </w:rPr>
            </w:pPr>
            <w:r>
              <w:rPr>
                <w:sz w:val="20"/>
              </w:rPr>
              <w:t>35</w:t>
            </w:r>
          </w:p>
        </w:tc>
        <w:tc>
          <w:tcPr>
            <w:tcW w:w="2268" w:type="dxa"/>
          </w:tcPr>
          <w:p>
            <w:pPr>
              <w:pStyle w:val="yTable"/>
              <w:jc w:val="center"/>
              <w:rPr>
                <w:sz w:val="20"/>
              </w:rPr>
            </w:pPr>
            <w:r>
              <w:rPr>
                <w:sz w:val="20"/>
              </w:rPr>
              <w:t>46</w:t>
            </w:r>
          </w:p>
        </w:tc>
      </w:tr>
      <w:tr>
        <w:tc>
          <w:tcPr>
            <w:tcW w:w="504" w:type="dxa"/>
          </w:tcPr>
          <w:p>
            <w:pPr>
              <w:pStyle w:val="yTable"/>
              <w:rPr>
                <w:sz w:val="20"/>
              </w:rPr>
            </w:pPr>
            <w:r>
              <w:rPr>
                <w:sz w:val="20"/>
              </w:rPr>
              <w:t>6</w:t>
            </w:r>
          </w:p>
        </w:tc>
        <w:tc>
          <w:tcPr>
            <w:tcW w:w="2048" w:type="dxa"/>
          </w:tcPr>
          <w:p>
            <w:pPr>
              <w:pStyle w:val="yTable"/>
              <w:ind w:left="205" w:right="142"/>
              <w:rPr>
                <w:sz w:val="20"/>
              </w:rPr>
            </w:pPr>
            <w:r>
              <w:rPr>
                <w:sz w:val="20"/>
              </w:rPr>
              <w:t>not less than 150</w:t>
            </w:r>
            <w:r>
              <w:rPr>
                <w:sz w:val="20"/>
              </w:rPr>
              <w:br/>
              <w:t>but less than 170</w:t>
            </w:r>
          </w:p>
        </w:tc>
        <w:tc>
          <w:tcPr>
            <w:tcW w:w="2268" w:type="dxa"/>
          </w:tcPr>
          <w:p>
            <w:pPr>
              <w:pStyle w:val="yTable"/>
              <w:jc w:val="center"/>
              <w:rPr>
                <w:sz w:val="20"/>
              </w:rPr>
            </w:pPr>
            <w:r>
              <w:rPr>
                <w:sz w:val="20"/>
              </w:rPr>
              <w:t>40</w:t>
            </w:r>
          </w:p>
        </w:tc>
        <w:tc>
          <w:tcPr>
            <w:tcW w:w="2268" w:type="dxa"/>
          </w:tcPr>
          <w:p>
            <w:pPr>
              <w:pStyle w:val="yTable"/>
              <w:jc w:val="center"/>
              <w:rPr>
                <w:sz w:val="20"/>
              </w:rPr>
            </w:pPr>
            <w:r>
              <w:rPr>
                <w:sz w:val="20"/>
              </w:rPr>
              <w:t>53</w:t>
            </w:r>
          </w:p>
        </w:tc>
      </w:tr>
      <w:tr>
        <w:tc>
          <w:tcPr>
            <w:tcW w:w="504" w:type="dxa"/>
          </w:tcPr>
          <w:p>
            <w:pPr>
              <w:pStyle w:val="yTable"/>
              <w:rPr>
                <w:sz w:val="20"/>
              </w:rPr>
            </w:pPr>
            <w:r>
              <w:rPr>
                <w:sz w:val="20"/>
              </w:rPr>
              <w:t>7</w:t>
            </w:r>
          </w:p>
        </w:tc>
        <w:tc>
          <w:tcPr>
            <w:tcW w:w="2048" w:type="dxa"/>
          </w:tcPr>
          <w:p>
            <w:pPr>
              <w:pStyle w:val="yTable"/>
              <w:ind w:left="205" w:right="142"/>
              <w:rPr>
                <w:sz w:val="20"/>
              </w:rPr>
            </w:pPr>
            <w:r>
              <w:rPr>
                <w:sz w:val="20"/>
              </w:rPr>
              <w:t>not less than 170</w:t>
            </w:r>
            <w:r>
              <w:rPr>
                <w:sz w:val="20"/>
              </w:rPr>
              <w:br/>
              <w:t>but less than 250</w:t>
            </w:r>
          </w:p>
        </w:tc>
        <w:tc>
          <w:tcPr>
            <w:tcW w:w="2268" w:type="dxa"/>
          </w:tcPr>
          <w:p>
            <w:pPr>
              <w:pStyle w:val="yTable"/>
              <w:jc w:val="center"/>
              <w:rPr>
                <w:sz w:val="20"/>
              </w:rPr>
            </w:pPr>
            <w:r>
              <w:rPr>
                <w:sz w:val="20"/>
              </w:rPr>
              <w:t>53</w:t>
            </w:r>
          </w:p>
        </w:tc>
        <w:tc>
          <w:tcPr>
            <w:tcW w:w="2268" w:type="dxa"/>
          </w:tcPr>
          <w:p>
            <w:pPr>
              <w:pStyle w:val="yTable"/>
              <w:jc w:val="center"/>
              <w:rPr>
                <w:sz w:val="20"/>
              </w:rPr>
            </w:pPr>
            <w:r>
              <w:rPr>
                <w:sz w:val="20"/>
              </w:rPr>
              <w:t>70</w:t>
            </w:r>
          </w:p>
        </w:tc>
      </w:tr>
      <w:tr>
        <w:tc>
          <w:tcPr>
            <w:tcW w:w="504" w:type="dxa"/>
          </w:tcPr>
          <w:p>
            <w:pPr>
              <w:pStyle w:val="yTable"/>
              <w:rPr>
                <w:sz w:val="20"/>
              </w:rPr>
            </w:pPr>
            <w:r>
              <w:rPr>
                <w:sz w:val="20"/>
              </w:rPr>
              <w:t>8</w:t>
            </w:r>
          </w:p>
        </w:tc>
        <w:tc>
          <w:tcPr>
            <w:tcW w:w="2048" w:type="dxa"/>
          </w:tcPr>
          <w:p>
            <w:pPr>
              <w:pStyle w:val="yTable"/>
              <w:ind w:left="205" w:right="142"/>
              <w:rPr>
                <w:sz w:val="20"/>
              </w:rPr>
            </w:pPr>
            <w:r>
              <w:rPr>
                <w:sz w:val="20"/>
              </w:rPr>
              <w:t>not less than 250</w:t>
            </w:r>
            <w:r>
              <w:rPr>
                <w:sz w:val="20"/>
              </w:rPr>
              <w:br/>
              <w:t>but less than 330</w:t>
            </w:r>
          </w:p>
        </w:tc>
        <w:tc>
          <w:tcPr>
            <w:tcW w:w="2268" w:type="dxa"/>
          </w:tcPr>
          <w:p>
            <w:pPr>
              <w:pStyle w:val="yTable"/>
              <w:jc w:val="center"/>
              <w:rPr>
                <w:sz w:val="20"/>
              </w:rPr>
            </w:pPr>
            <w:r>
              <w:rPr>
                <w:sz w:val="20"/>
              </w:rPr>
              <w:t>73</w:t>
            </w:r>
          </w:p>
        </w:tc>
        <w:tc>
          <w:tcPr>
            <w:tcW w:w="2268" w:type="dxa"/>
          </w:tcPr>
          <w:p>
            <w:pPr>
              <w:pStyle w:val="yTable"/>
              <w:jc w:val="center"/>
              <w:rPr>
                <w:sz w:val="20"/>
              </w:rPr>
            </w:pPr>
            <w:r>
              <w:rPr>
                <w:sz w:val="20"/>
              </w:rPr>
              <w:t>96</w:t>
            </w:r>
          </w:p>
        </w:tc>
      </w:tr>
      <w:tr>
        <w:tc>
          <w:tcPr>
            <w:tcW w:w="504" w:type="dxa"/>
            <w:tcBorders>
              <w:bottom w:val="single" w:sz="4" w:space="0" w:color="auto"/>
            </w:tcBorders>
          </w:tcPr>
          <w:p>
            <w:pPr>
              <w:pStyle w:val="yTable"/>
              <w:rPr>
                <w:sz w:val="20"/>
              </w:rPr>
            </w:pPr>
            <w:r>
              <w:rPr>
                <w:sz w:val="20"/>
              </w:rPr>
              <w:t>9</w:t>
            </w:r>
          </w:p>
        </w:tc>
        <w:tc>
          <w:tcPr>
            <w:tcW w:w="2048" w:type="dxa"/>
            <w:tcBorders>
              <w:bottom w:val="single" w:sz="4" w:space="0" w:color="auto"/>
            </w:tcBorders>
          </w:tcPr>
          <w:p>
            <w:pPr>
              <w:pStyle w:val="yTable"/>
              <w:spacing w:after="60"/>
              <w:ind w:left="204" w:right="142"/>
              <w:rPr>
                <w:sz w:val="20"/>
              </w:rPr>
            </w:pPr>
            <w:r>
              <w:rPr>
                <w:sz w:val="20"/>
              </w:rPr>
              <w:t>330 or greater</w:t>
            </w:r>
          </w:p>
        </w:tc>
        <w:tc>
          <w:tcPr>
            <w:tcW w:w="2268" w:type="dxa"/>
            <w:tcBorders>
              <w:bottom w:val="single" w:sz="4" w:space="0" w:color="auto"/>
            </w:tcBorders>
          </w:tcPr>
          <w:p>
            <w:pPr>
              <w:pStyle w:val="yTable"/>
              <w:jc w:val="center"/>
              <w:rPr>
                <w:sz w:val="20"/>
              </w:rPr>
            </w:pPr>
            <w:r>
              <w:rPr>
                <w:sz w:val="20"/>
              </w:rPr>
              <w:t>73</w:t>
            </w:r>
          </w:p>
        </w:tc>
        <w:tc>
          <w:tcPr>
            <w:tcW w:w="2268" w:type="dxa"/>
            <w:tcBorders>
              <w:bottom w:val="single" w:sz="4" w:space="0" w:color="auto"/>
            </w:tcBorders>
          </w:tcPr>
          <w:p>
            <w:pPr>
              <w:pStyle w:val="yTable"/>
              <w:jc w:val="center"/>
              <w:rPr>
                <w:sz w:val="20"/>
              </w:rPr>
            </w:pPr>
            <w:r>
              <w:rPr>
                <w:sz w:val="20"/>
              </w:rPr>
              <w:t>96</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86" w:name="_Toc379276710"/>
      <w:bookmarkStart w:id="187" w:name="_Toc426543477"/>
      <w:bookmarkStart w:id="188" w:name="_Toc133126536"/>
      <w:bookmarkStart w:id="189" w:name="_Toc133126825"/>
      <w:bookmarkStart w:id="190" w:name="_Toc133132705"/>
      <w:r>
        <w:t>Notes</w:t>
      </w:r>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(Package Labels)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1" w:name="_Toc379276711"/>
      <w:bookmarkStart w:id="192" w:name="_Toc426543478"/>
      <w:bookmarkStart w:id="193" w:name="_Toc59354964"/>
      <w:bookmarkStart w:id="194" w:name="_Toc133132706"/>
      <w:r>
        <w:rPr>
          <w:snapToGrid w:val="0"/>
        </w:rPr>
        <w:t>Compilation table</w:t>
      </w:r>
      <w:bookmarkEnd w:id="191"/>
      <w:bookmarkEnd w:id="192"/>
      <w:bookmarkEnd w:id="193"/>
      <w:bookmarkEnd w:id="19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Tobacco Control (Package Labels) Regulations 1994</w:t>
            </w:r>
          </w:p>
        </w:tc>
        <w:tc>
          <w:tcPr>
            <w:tcW w:w="1276" w:type="dxa"/>
          </w:tcPr>
          <w:p>
            <w:pPr>
              <w:pStyle w:val="nTable"/>
              <w:spacing w:after="40"/>
            </w:pPr>
            <w:r>
              <w:t>9 Dec 1994 p. 6666</w:t>
            </w:r>
            <w:r>
              <w:noBreakHyphen/>
              <w:t>77</w:t>
            </w:r>
          </w:p>
        </w:tc>
        <w:tc>
          <w:tcPr>
            <w:tcW w:w="2693" w:type="dxa"/>
          </w:tcPr>
          <w:p>
            <w:pPr>
              <w:pStyle w:val="nTable"/>
              <w:spacing w:after="40"/>
            </w:pPr>
            <w:r>
              <w:t>Regulations other than Pt. 2-4: 9 Dec 1994 (see r. 2(1));</w:t>
            </w:r>
            <w:r>
              <w:br/>
              <w:t>Pt. 2-4: 1 Apr 1995 (see r. 2(2))</w:t>
            </w:r>
          </w:p>
        </w:tc>
      </w:tr>
      <w:tr>
        <w:tc>
          <w:tcPr>
            <w:tcW w:w="3118" w:type="dxa"/>
          </w:tcPr>
          <w:p>
            <w:pPr>
              <w:pStyle w:val="nTable"/>
              <w:spacing w:after="40"/>
            </w:pPr>
            <w:r>
              <w:rPr>
                <w:i/>
              </w:rPr>
              <w:t>Tobacco Control (Package Labels) Amendment Regulations 1995</w:t>
            </w:r>
          </w:p>
        </w:tc>
        <w:tc>
          <w:tcPr>
            <w:tcW w:w="1276" w:type="dxa"/>
          </w:tcPr>
          <w:p>
            <w:pPr>
              <w:pStyle w:val="nTable"/>
              <w:spacing w:after="40"/>
            </w:pPr>
            <w:r>
              <w:t>17 Mar 1995 p. 1021</w:t>
            </w:r>
            <w:r>
              <w:noBreakHyphen/>
              <w:t>6</w:t>
            </w:r>
          </w:p>
        </w:tc>
        <w:tc>
          <w:tcPr>
            <w:tcW w:w="2693" w:type="dxa"/>
          </w:tcPr>
          <w:p>
            <w:pPr>
              <w:pStyle w:val="nTable"/>
              <w:spacing w:after="40"/>
            </w:pPr>
            <w:r>
              <w:t>17 Mar 1995</w:t>
            </w:r>
          </w:p>
        </w:tc>
      </w:tr>
      <w:tr>
        <w:trPr>
          <w:cantSplit/>
        </w:trPr>
        <w:tc>
          <w:tcPr>
            <w:tcW w:w="7087" w:type="dxa"/>
            <w:gridSpan w:val="3"/>
          </w:tcPr>
          <w:p>
            <w:pPr>
              <w:pStyle w:val="nTable"/>
              <w:spacing w:after="40"/>
            </w:pPr>
            <w:r>
              <w:rPr>
                <w:b/>
              </w:rPr>
              <w:t xml:space="preserve">Reprint 1: The </w:t>
            </w:r>
            <w:r>
              <w:rPr>
                <w:b/>
                <w:i/>
              </w:rPr>
              <w:t>Tobacco Control (Package Labels) Regulations 1994</w:t>
            </w:r>
            <w:r>
              <w:rPr>
                <w:b/>
              </w:rPr>
              <w:t xml:space="preserve"> as at 12 Dec 2003</w:t>
            </w:r>
            <w:r>
              <w:t xml:space="preserve"> (includes amendments listed above)</w:t>
            </w:r>
          </w:p>
        </w:tc>
      </w:tr>
      <w:tr>
        <w:trPr>
          <w:cantSplit/>
          <w:ins w:id="195" w:author="Master Repository Process" w:date="2021-09-18T08:46:00Z"/>
        </w:trPr>
        <w:tc>
          <w:tcPr>
            <w:tcW w:w="7087" w:type="dxa"/>
            <w:gridSpan w:val="3"/>
            <w:tcBorders>
              <w:bottom w:val="single" w:sz="4" w:space="0" w:color="auto"/>
            </w:tcBorders>
          </w:tcPr>
          <w:p>
            <w:pPr>
              <w:pStyle w:val="nTable"/>
              <w:spacing w:after="40"/>
              <w:rPr>
                <w:ins w:id="196" w:author="Master Repository Process" w:date="2021-09-18T08:46:00Z"/>
                <w:b/>
                <w:color w:val="FF0000"/>
              </w:rPr>
            </w:pPr>
            <w:ins w:id="197" w:author="Master Repository Process" w:date="2021-09-18T08:46:00Z">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8" w:name="_Toc379276712"/>
      <w:bookmarkStart w:id="199" w:name="_Toc426543479"/>
      <w:bookmarkStart w:id="200" w:name="_Toc534778309"/>
      <w:bookmarkStart w:id="201" w:name="_Toc7405063"/>
      <w:bookmarkStart w:id="202" w:name="_Toc133132707"/>
      <w:r>
        <w:rPr>
          <w:snapToGrid w:val="0"/>
        </w:rPr>
        <w:t>Provisions that have not come into operation</w:t>
      </w:r>
      <w:bookmarkEnd w:id="198"/>
      <w:bookmarkEnd w:id="199"/>
      <w:bookmarkEnd w:id="200"/>
      <w:bookmarkEnd w:id="201"/>
      <w:bookmarkEnd w:id="202"/>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c>
          <w:tcPr>
            <w:tcW w:w="2268" w:type="dxa"/>
            <w:tcBorders>
              <w:top w:val="single" w:sz="4" w:space="0" w:color="auto"/>
              <w:bottom w:val="single" w:sz="4" w:space="0" w:color="auto"/>
            </w:tcBorders>
          </w:tcPr>
          <w:p>
            <w:pPr>
              <w:pStyle w:val="nTable"/>
              <w:spacing w:before="100"/>
              <w:rPr>
                <w:b/>
                <w:bCs/>
                <w:iCs/>
              </w:rPr>
            </w:pPr>
            <w:r>
              <w:rPr>
                <w:b/>
                <w:bCs/>
                <w:iCs/>
              </w:rPr>
              <w:t>Short title</w:t>
            </w:r>
          </w:p>
        </w:tc>
        <w:tc>
          <w:tcPr>
            <w:tcW w:w="1092" w:type="dxa"/>
            <w:tcBorders>
              <w:top w:val="single" w:sz="4" w:space="0" w:color="auto"/>
              <w:bottom w:val="single" w:sz="4" w:space="0" w:color="auto"/>
            </w:tcBorders>
          </w:tcPr>
          <w:p>
            <w:pPr>
              <w:pStyle w:val="nTable"/>
              <w:spacing w:before="100"/>
              <w:rPr>
                <w:b/>
                <w:bCs/>
              </w:rPr>
            </w:pPr>
            <w:r>
              <w:rPr>
                <w:b/>
                <w:bCs/>
              </w:rPr>
              <w:t>Number and Year</w:t>
            </w:r>
          </w:p>
        </w:tc>
        <w:tc>
          <w:tcPr>
            <w:tcW w:w="1200" w:type="dxa"/>
            <w:tcBorders>
              <w:top w:val="single" w:sz="4" w:space="0" w:color="auto"/>
              <w:bottom w:val="single" w:sz="4" w:space="0" w:color="auto"/>
            </w:tcBorders>
          </w:tcPr>
          <w:p>
            <w:pPr>
              <w:pStyle w:val="nTable"/>
              <w:spacing w:before="100"/>
              <w:rPr>
                <w:b/>
                <w:bCs/>
              </w:rPr>
            </w:pPr>
            <w:r>
              <w:rPr>
                <w:b/>
                <w:bCs/>
              </w:rPr>
              <w:t>Assent</w:t>
            </w:r>
          </w:p>
        </w:tc>
        <w:tc>
          <w:tcPr>
            <w:tcW w:w="2556" w:type="dxa"/>
            <w:tcBorders>
              <w:top w:val="single" w:sz="4" w:space="0" w:color="auto"/>
              <w:bottom w:val="single" w:sz="4" w:space="0" w:color="auto"/>
            </w:tcBorders>
          </w:tcPr>
          <w:p>
            <w:pPr>
              <w:pStyle w:val="nTable"/>
              <w:spacing w:before="100"/>
              <w:rPr>
                <w:b/>
                <w:bCs/>
              </w:rPr>
            </w:pPr>
            <w:r>
              <w:rPr>
                <w:b/>
                <w:bCs/>
              </w:rPr>
              <w:t>Commencement</w:t>
            </w:r>
          </w:p>
        </w:tc>
      </w:tr>
      <w:tr>
        <w:tc>
          <w:tcPr>
            <w:tcW w:w="2268" w:type="dxa"/>
            <w:tcBorders>
              <w:top w:val="single" w:sz="4" w:space="0" w:color="auto"/>
            </w:tcBorders>
          </w:tcPr>
          <w:p>
            <w:pPr>
              <w:pStyle w:val="nTable"/>
              <w:spacing w:before="100"/>
              <w:rPr>
                <w:iCs/>
              </w:rPr>
            </w:pPr>
            <w:r>
              <w:rPr>
                <w:i/>
              </w:rPr>
              <w:t>Tobacco Products Control Act 2006</w:t>
            </w:r>
            <w:r>
              <w:rPr>
                <w:iCs/>
              </w:rPr>
              <w:t xml:space="preserve"> s. 126 </w:t>
            </w:r>
            <w:r>
              <w:rPr>
                <w:iCs/>
                <w:vertAlign w:val="superscript"/>
              </w:rPr>
              <w:t>2</w:t>
            </w:r>
          </w:p>
        </w:tc>
        <w:tc>
          <w:tcPr>
            <w:tcW w:w="1092" w:type="dxa"/>
            <w:tcBorders>
              <w:top w:val="single" w:sz="4" w:space="0" w:color="auto"/>
            </w:tcBorders>
          </w:tcPr>
          <w:p>
            <w:pPr>
              <w:pStyle w:val="nTable"/>
              <w:spacing w:before="100"/>
            </w:pPr>
            <w:r>
              <w:t>5 of 2006</w:t>
            </w:r>
          </w:p>
        </w:tc>
        <w:tc>
          <w:tcPr>
            <w:tcW w:w="1200" w:type="dxa"/>
            <w:tcBorders>
              <w:top w:val="single" w:sz="4" w:space="0" w:color="auto"/>
            </w:tcBorders>
          </w:tcPr>
          <w:p>
            <w:pPr>
              <w:pStyle w:val="nTable"/>
              <w:spacing w:before="100"/>
            </w:pPr>
            <w:r>
              <w:t>12 Apr 2006</w:t>
            </w:r>
          </w:p>
        </w:tc>
        <w:tc>
          <w:tcPr>
            <w:tcW w:w="2556" w:type="dxa"/>
            <w:tcBorders>
              <w:top w:val="single" w:sz="4" w:space="0" w:color="auto"/>
            </w:tcBorders>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03" w:name="_Toc104888061"/>
      <w:bookmarkStart w:id="204" w:name="_Toc112831141"/>
      <w:bookmarkStart w:id="205" w:name="_Toc132001064"/>
      <w:bookmarkStart w:id="206" w:name="_Toc133116236"/>
      <w:r>
        <w:rPr>
          <w:rStyle w:val="CharSectno"/>
        </w:rPr>
        <w:t>126</w:t>
      </w:r>
      <w:r>
        <w:t>.</w:t>
      </w:r>
      <w:r>
        <w:tab/>
        <w:t>Repeals, transitional provisions, consequential amendments to other Acts</w:t>
      </w:r>
      <w:bookmarkEnd w:id="203"/>
      <w:bookmarkEnd w:id="204"/>
      <w:bookmarkEnd w:id="205"/>
      <w:bookmarkEnd w:id="206"/>
    </w:p>
    <w:p>
      <w:pPr>
        <w:pStyle w:val="nzSubsection"/>
      </w:pPr>
      <w:r>
        <w:tab/>
      </w:r>
      <w:r>
        <w:tab/>
        <w:t>Schedule 2 has effect.</w:t>
      </w:r>
    </w:p>
    <w:p>
      <w:pPr>
        <w:pStyle w:val="MiscClose"/>
      </w:pPr>
      <w:r>
        <w:t>”.</w:t>
      </w:r>
    </w:p>
    <w:p>
      <w:pPr>
        <w:pStyle w:val="nSubsection"/>
      </w:pPr>
      <w:r>
        <w:tab/>
        <w:t>Schedule 2 Division 1 cl. 2(2) reads as follows:</w:t>
      </w:r>
    </w:p>
    <w:p>
      <w:pPr>
        <w:pStyle w:val="MiscOpen"/>
      </w:pPr>
      <w:r>
        <w:t>“</w:t>
      </w:r>
    </w:p>
    <w:p>
      <w:pPr>
        <w:pStyle w:val="nzHeading2"/>
      </w:pPr>
      <w:bookmarkStart w:id="207" w:name="_Toc107644221"/>
      <w:bookmarkStart w:id="208" w:name="_Toc112831167"/>
      <w:bookmarkStart w:id="209" w:name="_Toc112831362"/>
      <w:bookmarkStart w:id="210" w:name="_Toc112833486"/>
      <w:bookmarkStart w:id="211" w:name="_Toc114570035"/>
      <w:bookmarkStart w:id="212" w:name="_Toc130805118"/>
      <w:bookmarkStart w:id="213" w:name="_Toc130806155"/>
      <w:bookmarkStart w:id="214" w:name="_Toc130811866"/>
      <w:bookmarkStart w:id="215" w:name="_Toc131931592"/>
      <w:bookmarkStart w:id="216" w:name="_Toc131931824"/>
      <w:bookmarkStart w:id="217" w:name="_Toc131933107"/>
      <w:bookmarkStart w:id="218" w:name="_Toc132001090"/>
      <w:bookmarkStart w:id="219" w:name="_Toc133116262"/>
      <w:r>
        <w:rPr>
          <w:rStyle w:val="CharSchNo"/>
        </w:rPr>
        <w:t>Schedule 2</w:t>
      </w:r>
      <w:r>
        <w:t> — </w:t>
      </w:r>
      <w:r>
        <w:rPr>
          <w:rStyle w:val="CharSchText"/>
        </w:rPr>
        <w:t>Repeals, transitional provisions, consequential amendments to other Acts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zMiscellaneousBody"/>
        <w:jc w:val="right"/>
      </w:pPr>
      <w:r>
        <w:t>[s. 126]</w:t>
      </w:r>
    </w:p>
    <w:p>
      <w:pPr>
        <w:pStyle w:val="nzHeading3"/>
      </w:pPr>
      <w:bookmarkStart w:id="220" w:name="_Toc112831168"/>
      <w:bookmarkStart w:id="221" w:name="_Toc112831363"/>
      <w:bookmarkStart w:id="222" w:name="_Toc112833487"/>
      <w:bookmarkStart w:id="223" w:name="_Toc114570036"/>
      <w:bookmarkStart w:id="224" w:name="_Toc130805119"/>
      <w:bookmarkStart w:id="225" w:name="_Toc130806156"/>
      <w:bookmarkStart w:id="226" w:name="_Toc130811867"/>
      <w:bookmarkStart w:id="227" w:name="_Toc131931593"/>
      <w:bookmarkStart w:id="228" w:name="_Toc131931825"/>
      <w:bookmarkStart w:id="229" w:name="_Toc131933108"/>
      <w:bookmarkStart w:id="230" w:name="_Toc132001091"/>
      <w:bookmarkStart w:id="231" w:name="_Toc133116263"/>
      <w:bookmarkStart w:id="232" w:name="_Toc104888088"/>
      <w:r>
        <w:rPr>
          <w:rStyle w:val="CharSDivNo"/>
        </w:rPr>
        <w:t>Division 1</w:t>
      </w:r>
      <w:r>
        <w:t> — </w:t>
      </w:r>
      <w:r>
        <w:rPr>
          <w:rStyle w:val="CharSDivText"/>
        </w:rPr>
        <w:t>Repeals</w:t>
      </w:r>
      <w:bookmarkEnd w:id="220"/>
      <w:bookmarkEnd w:id="221"/>
      <w:bookmarkEnd w:id="222"/>
      <w:bookmarkEnd w:id="223"/>
      <w:bookmarkEnd w:id="224"/>
      <w:bookmarkEnd w:id="225"/>
      <w:bookmarkEnd w:id="226"/>
      <w:bookmarkEnd w:id="227"/>
      <w:bookmarkEnd w:id="228"/>
      <w:bookmarkEnd w:id="229"/>
      <w:bookmarkEnd w:id="230"/>
      <w:bookmarkEnd w:id="231"/>
    </w:p>
    <w:p>
      <w:pPr>
        <w:pStyle w:val="nzHeading5"/>
      </w:pPr>
      <w:bookmarkStart w:id="233" w:name="_Toc104888090"/>
      <w:bookmarkStart w:id="234" w:name="_Toc112831170"/>
      <w:bookmarkStart w:id="235" w:name="_Toc132001093"/>
      <w:bookmarkStart w:id="236" w:name="_Toc133116265"/>
      <w:bookmarkEnd w:id="232"/>
      <w:r>
        <w:rPr>
          <w:rStyle w:val="CharSClsNo"/>
        </w:rPr>
        <w:t>2</w:t>
      </w:r>
      <w:r>
        <w:t>.</w:t>
      </w:r>
      <w:r>
        <w:tab/>
        <w:t xml:space="preserve">Regulations under the </w:t>
      </w:r>
      <w:r>
        <w:rPr>
          <w:i/>
          <w:iCs/>
        </w:rPr>
        <w:t>Tobacco Control Act 1990</w:t>
      </w:r>
      <w:r>
        <w:t xml:space="preserve"> repealed</w:t>
      </w:r>
      <w:bookmarkEnd w:id="233"/>
      <w:bookmarkEnd w:id="234"/>
      <w:bookmarkEnd w:id="235"/>
      <w:bookmarkEnd w:id="236"/>
    </w:p>
    <w:p>
      <w:pPr>
        <w:pStyle w:val="nzSubsection"/>
      </w:pPr>
      <w:r>
        <w:tab/>
      </w:r>
      <w:r>
        <w:tab/>
        <w:t>……….</w:t>
      </w:r>
    </w:p>
    <w:p>
      <w:pPr>
        <w:pStyle w:val="nzSubsection"/>
      </w:pPr>
      <w:r>
        <w:tab/>
        <w:t>(2)</w:t>
      </w:r>
      <w:r>
        <w:tab/>
        <w:t xml:space="preserve">The </w:t>
      </w:r>
      <w:r>
        <w:rPr>
          <w:i/>
          <w:iCs/>
        </w:rPr>
        <w:t>Tobacco Control (Package Labels) Regulations 1994</w:t>
      </w:r>
      <w:r>
        <w:t xml:space="preserve"> are repealed.</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A4AF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00C05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C6E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722B6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A0E44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EED0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08C4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618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9CC5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7CB1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93647B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34"/>
    <w:docVar w:name="WAFER_20140204111111" w:val="RemoveTocBookmarks,RemoveUnusedBookmarks,RemoveLanguageTags,UsedStyles,ResetPageSize,UpdateArrangement"/>
    <w:docVar w:name="WAFER_20140204111111_GUID" w:val="2f922d02-3ffa-44f4-bf1f-27e2802c4f81"/>
    <w:docVar w:name="WAFER_20140204112351" w:val="RemoveTocBookmarks,RunningHeaders"/>
    <w:docVar w:name="WAFER_20140204112351_GUID" w:val="3cfe5081-4936-4dd3-941a-61e6dceb0f9e"/>
    <w:docVar w:name="WAFER_20150805130211" w:val="ResetPageSize,UpdateArrangement,UpdateNTable"/>
    <w:docVar w:name="WAFER_20150805130211_GUID" w:val="2e9621e7-c6f6-45b9-905c-5588a35b38ed"/>
    <w:docVar w:name="WAFER_20151117145134" w:val="UpdateStyles,UsedStyles"/>
    <w:docVar w:name="WAFER_20151117145134_GUID" w:val="09740209-4d09-4880-ac37-cb06fb0bf4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6B57C4-7834-4E96-B1DF-7B0410C0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36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5025</Words>
  <Characters>23015</Characters>
  <Application>Microsoft Office Word</Application>
  <DocSecurity>0</DocSecurity>
  <Lines>821</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(Package Labels) Regulations 1994 01-b0-02 - 01-c0-06</dc:title>
  <dc:subject/>
  <dc:creator/>
  <cp:keywords/>
  <dc:description/>
  <cp:lastModifiedBy>Master Repository Process</cp:lastModifiedBy>
  <cp:revision>2</cp:revision>
  <cp:lastPrinted>2003-12-30T05:43:00Z</cp:lastPrinted>
  <dcterms:created xsi:type="dcterms:W3CDTF">2021-09-18T00:46:00Z</dcterms:created>
  <dcterms:modified xsi:type="dcterms:W3CDTF">2021-09-18T00:46:00Z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1994 pp.6666-77</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4812</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12 Apr 2006</vt:lpwstr>
  </property>
  <property fmtid="{D5CDD505-2E9C-101B-9397-08002B2CF9AE}" pid="9" name="ToSuffix">
    <vt:lpwstr>01-c0-06</vt:lpwstr>
  </property>
  <property fmtid="{D5CDD505-2E9C-101B-9397-08002B2CF9AE}" pid="10" name="ToAsAtDate">
    <vt:lpwstr>31 Jul 2006</vt:lpwstr>
  </property>
</Properties>
</file>