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 w:name="_GoBack"/>
      <w:bookmarkEnd w:id="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2" w:name="_Toc141090995"/>
      <w:bookmarkStart w:id="3" w:name="_Toc141091198"/>
      <w:bookmarkStart w:id="4" w:name="_Toc7619842"/>
      <w:bookmarkStart w:id="5" w:name="_Toc12618234"/>
      <w:bookmarkStart w:id="6" w:name="_Toc1261843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pPr>
      <w:bookmarkStart w:id="7" w:name="_Toc141091199"/>
      <w:bookmarkStart w:id="8" w:name="_Toc1261843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Criminal Property Confiscation Act 2000</w:t>
      </w:r>
      <w:del w:id="9" w:author="Master Repository Process" w:date="2023-07-26T09:29:00Z">
        <w:r>
          <w:rPr>
            <w:rFonts w:ascii="Times" w:hAnsi="Times"/>
            <w:iCs/>
            <w:snapToGrid w:val="0"/>
            <w:vertAlign w:val="superscript"/>
          </w:rPr>
          <w:delText> 1</w:delText>
        </w:r>
      </w:del>
      <w:r>
        <w:rPr>
          <w:snapToGrid w:val="0"/>
        </w:rPr>
        <w:t>.</w:t>
      </w:r>
    </w:p>
    <w:p>
      <w:pPr>
        <w:pStyle w:val="Heading5"/>
        <w:rPr>
          <w:snapToGrid w:val="0"/>
        </w:rPr>
      </w:pPr>
      <w:bookmarkStart w:id="10" w:name="_Toc141091200"/>
      <w:bookmarkStart w:id="11" w:name="_Toc12618437"/>
      <w:r>
        <w:rPr>
          <w:rStyle w:val="CharSectno"/>
        </w:rPr>
        <w:t>2</w:t>
      </w:r>
      <w:r>
        <w:rPr>
          <w:snapToGrid w:val="0"/>
        </w:rPr>
        <w:t>.</w:t>
      </w:r>
      <w:r>
        <w:rPr>
          <w:snapToGrid w:val="0"/>
        </w:rPr>
        <w:tab/>
        <w:t>Commencement</w:t>
      </w:r>
      <w:bookmarkEnd w:id="10"/>
      <w:bookmarkEnd w:id="11"/>
    </w:p>
    <w:p>
      <w:pPr>
        <w:pStyle w:val="Subsection"/>
      </w:pPr>
      <w:r>
        <w:tab/>
      </w:r>
      <w:r>
        <w:tab/>
        <w:t>This Act comes into operation on a day fixed by proclamation</w:t>
      </w:r>
      <w:del w:id="12" w:author="Master Repository Process" w:date="2023-07-26T09:29:00Z">
        <w:r>
          <w:rPr>
            <w:rFonts w:ascii="Times" w:hAnsi="Times"/>
            <w:iCs/>
            <w:snapToGrid w:val="0"/>
            <w:vertAlign w:val="superscript"/>
          </w:rPr>
          <w:delText> 1</w:delText>
        </w:r>
      </w:del>
      <w:r>
        <w:t>.</w:t>
      </w:r>
    </w:p>
    <w:p>
      <w:pPr>
        <w:pStyle w:val="Heading5"/>
      </w:pPr>
      <w:bookmarkStart w:id="13" w:name="_Toc141091201"/>
      <w:bookmarkStart w:id="14" w:name="_Toc12618438"/>
      <w:r>
        <w:rPr>
          <w:rStyle w:val="CharSectno"/>
        </w:rPr>
        <w:t>3</w:t>
      </w:r>
      <w:r>
        <w:rPr>
          <w:snapToGrid w:val="0"/>
        </w:rPr>
        <w:t>.</w:t>
      </w:r>
      <w:r>
        <w:rPr>
          <w:snapToGrid w:val="0"/>
        </w:rPr>
        <w:tab/>
        <w:t>Terms used (Glossary)</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141091202"/>
      <w:bookmarkStart w:id="16" w:name="_Toc12618439"/>
      <w:r>
        <w:rPr>
          <w:rStyle w:val="CharSectno"/>
        </w:rPr>
        <w:t>4</w:t>
      </w:r>
      <w:r>
        <w:t>.</w:t>
      </w:r>
      <w:r>
        <w:tab/>
        <w:t>What is confiscable property</w:t>
      </w:r>
      <w:bookmarkEnd w:id="15"/>
      <w:bookmarkEnd w:id="1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7" w:name="_Toc141091203"/>
      <w:bookmarkStart w:id="18" w:name="_Toc12618440"/>
      <w:r>
        <w:rPr>
          <w:rStyle w:val="CharSectno"/>
        </w:rPr>
        <w:t>5</w:t>
      </w:r>
      <w:r>
        <w:t>.</w:t>
      </w:r>
      <w:r>
        <w:tab/>
        <w:t>Application of Act to confiscable property</w:t>
      </w:r>
      <w:bookmarkEnd w:id="17"/>
      <w:bookmarkEnd w:id="18"/>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19" w:name="_Toc141091001"/>
      <w:bookmarkStart w:id="20" w:name="_Toc141091204"/>
      <w:bookmarkStart w:id="21" w:name="_Toc7619848"/>
      <w:bookmarkStart w:id="22" w:name="_Toc12618240"/>
      <w:bookmarkStart w:id="23" w:name="_Toc12618441"/>
      <w:r>
        <w:rPr>
          <w:rStyle w:val="CharPartNo"/>
        </w:rPr>
        <w:t>Part 2</w:t>
      </w:r>
      <w:r>
        <w:t xml:space="preserve"> — </w:t>
      </w:r>
      <w:r>
        <w:rPr>
          <w:rStyle w:val="CharPartText"/>
        </w:rPr>
        <w:t>Confiscation of property</w:t>
      </w:r>
      <w:bookmarkEnd w:id="19"/>
      <w:bookmarkEnd w:id="20"/>
      <w:bookmarkEnd w:id="21"/>
      <w:bookmarkEnd w:id="22"/>
      <w:bookmarkEnd w:id="23"/>
    </w:p>
    <w:p>
      <w:pPr>
        <w:pStyle w:val="Heading5"/>
      </w:pPr>
      <w:bookmarkStart w:id="24" w:name="_Toc141091205"/>
      <w:bookmarkStart w:id="25" w:name="_Toc12618442"/>
      <w:r>
        <w:rPr>
          <w:rStyle w:val="CharSectno"/>
        </w:rPr>
        <w:t>6</w:t>
      </w:r>
      <w:r>
        <w:t>.</w:t>
      </w:r>
      <w:r>
        <w:tab/>
        <w:t>When property is confiscated</w:t>
      </w:r>
      <w:bookmarkEnd w:id="24"/>
      <w:bookmarkEnd w:id="25"/>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26" w:name="_Toc141091206"/>
      <w:bookmarkStart w:id="27" w:name="_Toc12618443"/>
      <w:r>
        <w:rPr>
          <w:rStyle w:val="CharSectno"/>
        </w:rPr>
        <w:t>7</w:t>
      </w:r>
      <w:r>
        <w:t>.</w:t>
      </w:r>
      <w:r>
        <w:tab/>
        <w:t>When frozen property is confiscated automatically</w:t>
      </w:r>
      <w:bookmarkEnd w:id="26"/>
      <w:bookmarkEnd w:id="27"/>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28" w:name="_Toc141091207"/>
      <w:bookmarkStart w:id="29" w:name="_Toc12618444"/>
      <w:r>
        <w:rPr>
          <w:rStyle w:val="CharSectno"/>
        </w:rPr>
        <w:t>8</w:t>
      </w:r>
      <w:r>
        <w:t>.</w:t>
      </w:r>
      <w:r>
        <w:tab/>
        <w:t>Declared drug trafficker, certain property of confiscated</w:t>
      </w:r>
      <w:bookmarkEnd w:id="28"/>
      <w:bookmarkEnd w:id="29"/>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30" w:name="_Toc141091208"/>
      <w:bookmarkStart w:id="31" w:name="_Toc12618445"/>
      <w:r>
        <w:rPr>
          <w:rStyle w:val="CharSectno"/>
        </w:rPr>
        <w:t>9</w:t>
      </w:r>
      <w:r>
        <w:t>.</w:t>
      </w:r>
      <w:r>
        <w:tab/>
        <w:t>Registrable real property, time and effect of confiscation of under s. 6, 7 or 8</w:t>
      </w:r>
      <w:bookmarkEnd w:id="30"/>
      <w:bookmarkEnd w:id="3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32" w:name="_Toc141091209"/>
      <w:bookmarkStart w:id="33" w:name="_Toc12618446"/>
      <w:r>
        <w:rPr>
          <w:rStyle w:val="CharSectno"/>
        </w:rPr>
        <w:t>10</w:t>
      </w:r>
      <w:r>
        <w:t>.</w:t>
      </w:r>
      <w:r>
        <w:tab/>
        <w:t>Other property, time and effect of confiscation of under s. 6, 7 or 8</w:t>
      </w:r>
      <w:bookmarkEnd w:id="32"/>
      <w:bookmarkEnd w:id="33"/>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or the CCC, as the case requires, must notify the relevant registrar of the confiscation.</w:t>
      </w:r>
    </w:p>
    <w:p>
      <w:pPr>
        <w:pStyle w:val="Footnotesection"/>
      </w:pPr>
      <w:r>
        <w:tab/>
        <w:t>[Section 10 amended: No. 42 of 2011 s. 10; No. 10 of 2018 s. 27.]</w:t>
      </w:r>
    </w:p>
    <w:p>
      <w:pPr>
        <w:pStyle w:val="Heading2"/>
      </w:pPr>
      <w:bookmarkStart w:id="34" w:name="_Toc141091007"/>
      <w:bookmarkStart w:id="35" w:name="_Toc141091210"/>
      <w:bookmarkStart w:id="36" w:name="_Toc7619854"/>
      <w:bookmarkStart w:id="37" w:name="_Toc12618246"/>
      <w:bookmarkStart w:id="38" w:name="_Toc12618447"/>
      <w:r>
        <w:rPr>
          <w:rStyle w:val="CharPartNo"/>
        </w:rPr>
        <w:t>Part 3</w:t>
      </w:r>
      <w:r>
        <w:t xml:space="preserve"> — </w:t>
      </w:r>
      <w:r>
        <w:rPr>
          <w:rStyle w:val="CharPartText"/>
        </w:rPr>
        <w:t>Identifying and recovering confiscable property</w:t>
      </w:r>
      <w:bookmarkEnd w:id="34"/>
      <w:bookmarkEnd w:id="35"/>
      <w:bookmarkEnd w:id="36"/>
      <w:bookmarkEnd w:id="37"/>
      <w:bookmarkEnd w:id="38"/>
    </w:p>
    <w:p>
      <w:pPr>
        <w:pStyle w:val="Heading3"/>
      </w:pPr>
      <w:bookmarkStart w:id="39" w:name="_Toc141091008"/>
      <w:bookmarkStart w:id="40" w:name="_Toc141091211"/>
      <w:bookmarkStart w:id="41" w:name="_Toc7619855"/>
      <w:bookmarkStart w:id="42" w:name="_Toc12618247"/>
      <w:bookmarkStart w:id="43" w:name="_Toc12618448"/>
      <w:r>
        <w:rPr>
          <w:rStyle w:val="CharDivNo"/>
        </w:rPr>
        <w:t>Division 1</w:t>
      </w:r>
      <w:r>
        <w:t xml:space="preserve"> — </w:t>
      </w:r>
      <w:r>
        <w:rPr>
          <w:rStyle w:val="CharDivText"/>
        </w:rPr>
        <w:t>Unexplained wealth</w:t>
      </w:r>
      <w:bookmarkEnd w:id="39"/>
      <w:bookmarkEnd w:id="40"/>
      <w:bookmarkEnd w:id="41"/>
      <w:bookmarkEnd w:id="42"/>
      <w:bookmarkEnd w:id="43"/>
    </w:p>
    <w:p>
      <w:pPr>
        <w:pStyle w:val="Heading5"/>
      </w:pPr>
      <w:bookmarkStart w:id="44" w:name="_Toc141091212"/>
      <w:bookmarkStart w:id="45" w:name="_Toc12618449"/>
      <w:r>
        <w:rPr>
          <w:rStyle w:val="CharSectno"/>
        </w:rPr>
        <w:t>11</w:t>
      </w:r>
      <w:r>
        <w:t>.</w:t>
      </w:r>
      <w:r>
        <w:tab/>
        <w:t>Unexplained wealth declarations, applying for</w:t>
      </w:r>
      <w:bookmarkEnd w:id="44"/>
      <w:bookmarkEnd w:id="45"/>
    </w:p>
    <w:p>
      <w:pPr>
        <w:pStyle w:val="Subsection"/>
      </w:pPr>
      <w:r>
        <w:tab/>
        <w:t>(1)</w:t>
      </w:r>
      <w:r>
        <w:tab/>
        <w:t>The DPP or the CCC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11 amended: No. 10 of 2018 s. 28.]</w:t>
      </w:r>
    </w:p>
    <w:p>
      <w:pPr>
        <w:pStyle w:val="Heading5"/>
      </w:pPr>
      <w:bookmarkStart w:id="46" w:name="_Toc141091213"/>
      <w:bookmarkStart w:id="47" w:name="_Toc12618450"/>
      <w:r>
        <w:rPr>
          <w:rStyle w:val="CharSectno"/>
        </w:rPr>
        <w:t>12</w:t>
      </w:r>
      <w:r>
        <w:t>.</w:t>
      </w:r>
      <w:r>
        <w:tab/>
        <w:t>Unexplained wealth declarations, making</w:t>
      </w:r>
      <w:bookmarkEnd w:id="46"/>
      <w:bookmarkEnd w:id="47"/>
    </w:p>
    <w:p>
      <w:pPr>
        <w:pStyle w:val="Subsection"/>
      </w:pPr>
      <w:r>
        <w:tab/>
        <w:t>(1)</w:t>
      </w:r>
      <w:r>
        <w:tab/>
        <w:t>On hearing an application under section 11(1), the court must declare that the respondent has unexplained wealth if it is more likely than not that the total value of the respondent’s wealth is greater than the value of the respondent’s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Footnotesection"/>
      </w:pPr>
      <w:r>
        <w:tab/>
        <w:t>[Section 12 amended: No. 10 of 2018 s. 29.]</w:t>
      </w:r>
    </w:p>
    <w:p>
      <w:pPr>
        <w:pStyle w:val="Heading5"/>
      </w:pPr>
      <w:bookmarkStart w:id="48" w:name="_Toc141091214"/>
      <w:bookmarkStart w:id="49" w:name="_Toc12618451"/>
      <w:r>
        <w:rPr>
          <w:rStyle w:val="CharSectno"/>
        </w:rPr>
        <w:t>13</w:t>
      </w:r>
      <w:r>
        <w:t>.</w:t>
      </w:r>
      <w:r>
        <w:tab/>
        <w:t>Unexplained wealth, assessing value of</w:t>
      </w:r>
      <w:bookmarkEnd w:id="48"/>
      <w:bookmarkEnd w:id="49"/>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50" w:name="_Toc141091215"/>
      <w:bookmarkStart w:id="51" w:name="_Toc12618452"/>
      <w:r>
        <w:rPr>
          <w:rStyle w:val="CharSectno"/>
        </w:rPr>
        <w:t>14</w:t>
      </w:r>
      <w:r>
        <w:t>.</w:t>
      </w:r>
      <w:r>
        <w:tab/>
        <w:t>Unexplained wealth declaration, effect of</w:t>
      </w:r>
      <w:bookmarkEnd w:id="50"/>
      <w:bookmarkEnd w:id="51"/>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52" w:name="_Toc141091013"/>
      <w:bookmarkStart w:id="53" w:name="_Toc141091216"/>
      <w:bookmarkStart w:id="54" w:name="_Toc7619860"/>
      <w:bookmarkStart w:id="55" w:name="_Toc12618252"/>
      <w:bookmarkStart w:id="56" w:name="_Toc12618453"/>
      <w:r>
        <w:rPr>
          <w:rStyle w:val="CharDivNo"/>
        </w:rPr>
        <w:t>Division 2</w:t>
      </w:r>
      <w:r>
        <w:t xml:space="preserve"> — </w:t>
      </w:r>
      <w:r>
        <w:rPr>
          <w:rStyle w:val="CharDivText"/>
        </w:rPr>
        <w:t>Criminal benefits</w:t>
      </w:r>
      <w:bookmarkEnd w:id="52"/>
      <w:bookmarkEnd w:id="53"/>
      <w:bookmarkEnd w:id="54"/>
      <w:bookmarkEnd w:id="55"/>
      <w:bookmarkEnd w:id="56"/>
    </w:p>
    <w:p>
      <w:pPr>
        <w:pStyle w:val="Heading5"/>
      </w:pPr>
      <w:bookmarkStart w:id="57" w:name="_Toc141091217"/>
      <w:bookmarkStart w:id="58" w:name="_Toc12618454"/>
      <w:r>
        <w:rPr>
          <w:rStyle w:val="CharSectno"/>
        </w:rPr>
        <w:t>15</w:t>
      </w:r>
      <w:r>
        <w:t>.</w:t>
      </w:r>
      <w:r>
        <w:tab/>
        <w:t>Criminal benefits declarations, applying for</w:t>
      </w:r>
      <w:bookmarkEnd w:id="57"/>
      <w:bookmarkEnd w:id="58"/>
    </w:p>
    <w:p>
      <w:pPr>
        <w:pStyle w:val="Subsection"/>
      </w:pPr>
      <w:r>
        <w:tab/>
        <w:t>(1)</w:t>
      </w:r>
      <w:r>
        <w:tab/>
        <w:t>The DPP or the CCC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Footnotesection"/>
      </w:pPr>
      <w:r>
        <w:tab/>
        <w:t>[Section 15 amended: No. 10 of 2018 s. 30.]</w:t>
      </w:r>
    </w:p>
    <w:p>
      <w:pPr>
        <w:pStyle w:val="Heading5"/>
      </w:pPr>
      <w:bookmarkStart w:id="59" w:name="_Toc141091218"/>
      <w:bookmarkStart w:id="60" w:name="_Toc12618455"/>
      <w:r>
        <w:rPr>
          <w:rStyle w:val="CharSectno"/>
        </w:rPr>
        <w:t>16</w:t>
      </w:r>
      <w:r>
        <w:t>.</w:t>
      </w:r>
      <w:r>
        <w:tab/>
        <w:t>Criminal benefits declarations for crime</w:t>
      </w:r>
      <w:r>
        <w:noBreakHyphen/>
        <w:t>derived property, making</w:t>
      </w:r>
      <w:bookmarkEnd w:id="59"/>
      <w:bookmarkEnd w:id="60"/>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61" w:name="_Toc141091219"/>
      <w:bookmarkStart w:id="62" w:name="_Toc12618456"/>
      <w:r>
        <w:rPr>
          <w:rStyle w:val="CharSectno"/>
        </w:rPr>
        <w:t>17</w:t>
      </w:r>
      <w:r>
        <w:t>.</w:t>
      </w:r>
      <w:r>
        <w:tab/>
        <w:t>Criminal benefits declarations for unlawfully acquired property, making</w:t>
      </w:r>
      <w:bookmarkEnd w:id="61"/>
      <w:bookmarkEnd w:id="6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63" w:name="_Toc141091220"/>
      <w:bookmarkStart w:id="64" w:name="_Toc12618457"/>
      <w:r>
        <w:rPr>
          <w:rStyle w:val="CharSectno"/>
        </w:rPr>
        <w:t>18</w:t>
      </w:r>
      <w:r>
        <w:t>.</w:t>
      </w:r>
      <w:r>
        <w:tab/>
        <w:t>Criminal benefits declarations, limits on making and ancillary orders for</w:t>
      </w:r>
      <w:bookmarkEnd w:id="63"/>
      <w:bookmarkEnd w:id="64"/>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65" w:name="_Toc141091221"/>
      <w:bookmarkStart w:id="66" w:name="_Toc12618458"/>
      <w:r>
        <w:rPr>
          <w:rStyle w:val="CharSectno"/>
        </w:rPr>
        <w:t>19</w:t>
      </w:r>
      <w:r>
        <w:t>.</w:t>
      </w:r>
      <w:r>
        <w:tab/>
        <w:t>Criminal benefits, assessing value of</w:t>
      </w:r>
      <w:bookmarkEnd w:id="65"/>
      <w:bookmarkEnd w:id="66"/>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67" w:name="_Toc141091222"/>
      <w:bookmarkStart w:id="68" w:name="_Toc12618459"/>
      <w:r>
        <w:rPr>
          <w:rStyle w:val="CharSectno"/>
        </w:rPr>
        <w:t>20</w:t>
      </w:r>
      <w:r>
        <w:t>.</w:t>
      </w:r>
      <w:r>
        <w:tab/>
        <w:t>Criminal benefits declaration, effect of</w:t>
      </w:r>
      <w:bookmarkEnd w:id="67"/>
      <w:bookmarkEnd w:id="6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69" w:name="_Toc141091020"/>
      <w:bookmarkStart w:id="70" w:name="_Toc141091223"/>
      <w:bookmarkStart w:id="71" w:name="_Toc7619867"/>
      <w:bookmarkStart w:id="72" w:name="_Toc12618259"/>
      <w:bookmarkStart w:id="73" w:name="_Toc12618460"/>
      <w:r>
        <w:rPr>
          <w:rStyle w:val="CharDivNo"/>
        </w:rPr>
        <w:t>Division 3</w:t>
      </w:r>
      <w:r>
        <w:t xml:space="preserve"> — </w:t>
      </w:r>
      <w:r>
        <w:rPr>
          <w:rStyle w:val="CharDivText"/>
        </w:rPr>
        <w:t>Crime</w:t>
      </w:r>
      <w:r>
        <w:rPr>
          <w:rStyle w:val="CharDivText"/>
        </w:rPr>
        <w:noBreakHyphen/>
        <w:t>used property substitution</w:t>
      </w:r>
      <w:bookmarkEnd w:id="69"/>
      <w:bookmarkEnd w:id="70"/>
      <w:bookmarkEnd w:id="71"/>
      <w:bookmarkEnd w:id="72"/>
      <w:bookmarkEnd w:id="73"/>
    </w:p>
    <w:p>
      <w:pPr>
        <w:pStyle w:val="Heading5"/>
      </w:pPr>
      <w:bookmarkStart w:id="74" w:name="_Toc141091224"/>
      <w:bookmarkStart w:id="75" w:name="_Toc12618461"/>
      <w:r>
        <w:rPr>
          <w:rStyle w:val="CharSectno"/>
        </w:rPr>
        <w:t>21</w:t>
      </w:r>
      <w:r>
        <w:t>.</w:t>
      </w:r>
      <w:r>
        <w:tab/>
        <w:t>Crime</w:t>
      </w:r>
      <w:r>
        <w:noBreakHyphen/>
        <w:t>used property substitution declaration, applying for</w:t>
      </w:r>
      <w:bookmarkEnd w:id="74"/>
      <w:bookmarkEnd w:id="75"/>
    </w:p>
    <w:p>
      <w:pPr>
        <w:pStyle w:val="Subsection"/>
        <w:keepNext/>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76" w:name="_Toc141091225"/>
      <w:bookmarkStart w:id="77" w:name="_Toc12618462"/>
      <w:r>
        <w:rPr>
          <w:rStyle w:val="CharSectno"/>
        </w:rPr>
        <w:t>22</w:t>
      </w:r>
      <w:r>
        <w:t>.</w:t>
      </w:r>
      <w:r>
        <w:tab/>
        <w:t>Crime</w:t>
      </w:r>
      <w:r>
        <w:noBreakHyphen/>
        <w:t>used property substitution declarations, making</w:t>
      </w:r>
      <w:bookmarkEnd w:id="76"/>
      <w:bookmarkEnd w:id="77"/>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No. 28 of 2003 s. 40.]</w:t>
      </w:r>
    </w:p>
    <w:p>
      <w:pPr>
        <w:pStyle w:val="Heading5"/>
      </w:pPr>
      <w:bookmarkStart w:id="78" w:name="_Toc141091226"/>
      <w:bookmarkStart w:id="79" w:name="_Toc12618463"/>
      <w:r>
        <w:rPr>
          <w:rStyle w:val="CharSectno"/>
        </w:rPr>
        <w:t>23</w:t>
      </w:r>
      <w:r>
        <w:t>.</w:t>
      </w:r>
      <w:r>
        <w:tab/>
        <w:t>Crime</w:t>
      </w:r>
      <w:r>
        <w:noBreakHyphen/>
        <w:t>used property, assessing value of</w:t>
      </w:r>
      <w:bookmarkEnd w:id="78"/>
      <w:bookmarkEnd w:id="7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80" w:name="_Toc141091227"/>
      <w:bookmarkStart w:id="81" w:name="_Toc12618464"/>
      <w:r>
        <w:rPr>
          <w:rStyle w:val="CharSectno"/>
        </w:rPr>
        <w:t>24</w:t>
      </w:r>
      <w:r>
        <w:t>.</w:t>
      </w:r>
      <w:r>
        <w:tab/>
        <w:t>Crime</w:t>
      </w:r>
      <w:r>
        <w:noBreakHyphen/>
        <w:t>used property substitution declaration, effect of</w:t>
      </w:r>
      <w:bookmarkEnd w:id="80"/>
      <w:bookmarkEnd w:id="8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82" w:name="_Toc141091025"/>
      <w:bookmarkStart w:id="83" w:name="_Toc141091228"/>
      <w:bookmarkStart w:id="84" w:name="_Toc7619872"/>
      <w:bookmarkStart w:id="85" w:name="_Toc12618264"/>
      <w:bookmarkStart w:id="86" w:name="_Toc12618465"/>
      <w:r>
        <w:rPr>
          <w:rStyle w:val="CharDivNo"/>
        </w:rPr>
        <w:t>Division 4</w:t>
      </w:r>
      <w:r>
        <w:t xml:space="preserve"> — </w:t>
      </w:r>
      <w:r>
        <w:rPr>
          <w:rStyle w:val="CharDivText"/>
        </w:rPr>
        <w:t>Recovery of confiscable property</w:t>
      </w:r>
      <w:bookmarkEnd w:id="82"/>
      <w:bookmarkEnd w:id="83"/>
      <w:bookmarkEnd w:id="84"/>
      <w:bookmarkEnd w:id="85"/>
      <w:bookmarkEnd w:id="86"/>
    </w:p>
    <w:p>
      <w:pPr>
        <w:pStyle w:val="Heading5"/>
      </w:pPr>
      <w:bookmarkStart w:id="87" w:name="_Toc141091229"/>
      <w:bookmarkStart w:id="88" w:name="_Toc12618466"/>
      <w:r>
        <w:rPr>
          <w:rStyle w:val="CharSectno"/>
        </w:rPr>
        <w:t>25</w:t>
      </w:r>
      <w:r>
        <w:t>.</w:t>
      </w:r>
      <w:r>
        <w:tab/>
        <w:t>Amounts payable under s. 14, 20 and 24, when payable and recovery of</w:t>
      </w:r>
      <w:bookmarkEnd w:id="87"/>
      <w:bookmarkEnd w:id="88"/>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89" w:name="_Toc141091230"/>
      <w:bookmarkStart w:id="90" w:name="_Toc12618467"/>
      <w:r>
        <w:rPr>
          <w:rStyle w:val="CharSectno"/>
        </w:rPr>
        <w:t>26</w:t>
      </w:r>
      <w:r>
        <w:t>.</w:t>
      </w:r>
      <w:r>
        <w:tab/>
        <w:t>Frozen property, use of to meet liability under s. 14, 20 or 24</w:t>
      </w:r>
      <w:bookmarkEnd w:id="89"/>
      <w:bookmarkEnd w:id="90"/>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91" w:name="_Toc141091231"/>
      <w:bookmarkStart w:id="92" w:name="_Toc12618468"/>
      <w:r>
        <w:rPr>
          <w:rStyle w:val="CharSectno"/>
        </w:rPr>
        <w:t>27</w:t>
      </w:r>
      <w:r>
        <w:t>.</w:t>
      </w:r>
      <w:r>
        <w:tab/>
        <w:t>Confiscable property declarations, applying for</w:t>
      </w:r>
      <w:bookmarkEnd w:id="91"/>
      <w:bookmarkEnd w:id="92"/>
    </w:p>
    <w:p>
      <w:pPr>
        <w:pStyle w:val="Subsection"/>
      </w:pPr>
      <w:r>
        <w:tab/>
        <w:t>(1)</w:t>
      </w:r>
      <w:r>
        <w:tab/>
        <w:t>The DPP or the CCC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Footnotesection"/>
      </w:pPr>
      <w:r>
        <w:tab/>
        <w:t>[Section 27 amended: No. 10 of 2018 s. 31.]</w:t>
      </w:r>
    </w:p>
    <w:p>
      <w:pPr>
        <w:pStyle w:val="Heading5"/>
      </w:pPr>
      <w:bookmarkStart w:id="93" w:name="_Toc141091232"/>
      <w:bookmarkStart w:id="94" w:name="_Toc12618469"/>
      <w:r>
        <w:rPr>
          <w:rStyle w:val="CharSectno"/>
        </w:rPr>
        <w:t>28</w:t>
      </w:r>
      <w:r>
        <w:t>.</w:t>
      </w:r>
      <w:r>
        <w:tab/>
        <w:t>Confiscable property declarations, making</w:t>
      </w:r>
      <w:bookmarkEnd w:id="93"/>
      <w:bookmarkEnd w:id="94"/>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95" w:name="_Toc141091233"/>
      <w:bookmarkStart w:id="96" w:name="_Toc12618470"/>
      <w:r>
        <w:rPr>
          <w:rStyle w:val="CharSectno"/>
        </w:rPr>
        <w:t>29</w:t>
      </w:r>
      <w:r>
        <w:t>.</w:t>
      </w:r>
      <w:r>
        <w:tab/>
        <w:t>Property available to meet liability under s. 14, 20 or 24</w:t>
      </w:r>
      <w:bookmarkEnd w:id="95"/>
      <w:bookmarkEnd w:id="96"/>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97" w:name="_Toc141091234"/>
      <w:bookmarkStart w:id="98" w:name="_Toc12618471"/>
      <w:r>
        <w:rPr>
          <w:rStyle w:val="CharSectno"/>
        </w:rPr>
        <w:t>30</w:t>
      </w:r>
      <w:r>
        <w:t>.</w:t>
      </w:r>
      <w:r>
        <w:tab/>
        <w:t>Declarations of confiscation, applying for and making</w:t>
      </w:r>
      <w:bookmarkEnd w:id="97"/>
      <w:bookmarkEnd w:id="98"/>
    </w:p>
    <w:p>
      <w:pPr>
        <w:pStyle w:val="Subsection"/>
      </w:pPr>
      <w:r>
        <w:tab/>
        <w:t>(1)</w:t>
      </w:r>
      <w:r>
        <w:tab/>
        <w:t>The DPP or the CCC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Footnotesection"/>
      </w:pPr>
      <w:r>
        <w:tab/>
        <w:t>[Section 30 amended: No. 10 of 2018 s. 32.]</w:t>
      </w:r>
    </w:p>
    <w:p>
      <w:pPr>
        <w:pStyle w:val="Heading5"/>
      </w:pPr>
      <w:bookmarkStart w:id="99" w:name="_Toc141091235"/>
      <w:bookmarkStart w:id="100" w:name="_Toc12618472"/>
      <w:r>
        <w:rPr>
          <w:rStyle w:val="CharSectno"/>
        </w:rPr>
        <w:t>31</w:t>
      </w:r>
      <w:r>
        <w:t>.</w:t>
      </w:r>
      <w:r>
        <w:tab/>
        <w:t>Applicant’s duty to lodge memorial of confiscation</w:t>
      </w:r>
      <w:bookmarkEnd w:id="99"/>
      <w:bookmarkEnd w:id="100"/>
    </w:p>
    <w:p>
      <w:pPr>
        <w:pStyle w:val="Subsection"/>
      </w:pPr>
      <w:r>
        <w:tab/>
        <w:t>(1)</w:t>
      </w:r>
      <w:r>
        <w:tab/>
        <w:t>When the court declares under section 30 that registrable real property has been confiscated, the applicant for the declaration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applicant for the declaration must lodge with the relevant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No. 42 of 2011 s. 11; No. 10 of 2018 s. 33.]</w:t>
      </w:r>
    </w:p>
    <w:p>
      <w:pPr>
        <w:pStyle w:val="Heading5"/>
      </w:pPr>
      <w:bookmarkStart w:id="101" w:name="_Toc141091236"/>
      <w:bookmarkStart w:id="102" w:name="_Toc12618473"/>
      <w:r>
        <w:rPr>
          <w:rStyle w:val="CharSectno"/>
        </w:rPr>
        <w:t>32</w:t>
      </w:r>
      <w:r>
        <w:t>.</w:t>
      </w:r>
      <w:r>
        <w:tab/>
        <w:t>Varying declarations</w:t>
      </w:r>
      <w:bookmarkEnd w:id="101"/>
      <w:bookmarkEnd w:id="102"/>
    </w:p>
    <w:p>
      <w:pPr>
        <w:pStyle w:val="Subsection"/>
      </w:pPr>
      <w:r>
        <w:tab/>
      </w:r>
      <w:r>
        <w:tab/>
        <w:t>If the court has made a declaration under this Part, the applicant for the declaration may at any time apply to the court for a variation of the declaration, or for a further declaration, to give effect, or better to give effect, to the previous declaration.</w:t>
      </w:r>
    </w:p>
    <w:p>
      <w:pPr>
        <w:pStyle w:val="Footnotesection"/>
      </w:pPr>
      <w:r>
        <w:tab/>
        <w:t>[Section 32 amended: No. 10 of 2018 s. 34.]</w:t>
      </w:r>
    </w:p>
    <w:p>
      <w:pPr>
        <w:pStyle w:val="Heading2"/>
      </w:pPr>
      <w:bookmarkStart w:id="103" w:name="_Toc141091034"/>
      <w:bookmarkStart w:id="104" w:name="_Toc141091237"/>
      <w:bookmarkStart w:id="105" w:name="_Toc7619881"/>
      <w:bookmarkStart w:id="106" w:name="_Toc12618273"/>
      <w:bookmarkStart w:id="107" w:name="_Toc12618474"/>
      <w:r>
        <w:rPr>
          <w:rStyle w:val="CharPartNo"/>
        </w:rPr>
        <w:t>Part 4</w:t>
      </w:r>
      <w:r>
        <w:t xml:space="preserve"> — </w:t>
      </w:r>
      <w:r>
        <w:rPr>
          <w:rStyle w:val="CharPartText"/>
        </w:rPr>
        <w:t>Preventing dealings in confiscable property</w:t>
      </w:r>
      <w:bookmarkEnd w:id="103"/>
      <w:bookmarkEnd w:id="104"/>
      <w:bookmarkEnd w:id="105"/>
      <w:bookmarkEnd w:id="106"/>
      <w:bookmarkEnd w:id="107"/>
    </w:p>
    <w:p>
      <w:pPr>
        <w:pStyle w:val="Heading3"/>
      </w:pPr>
      <w:bookmarkStart w:id="108" w:name="_Toc141091035"/>
      <w:bookmarkStart w:id="109" w:name="_Toc141091238"/>
      <w:bookmarkStart w:id="110" w:name="_Toc7619882"/>
      <w:bookmarkStart w:id="111" w:name="_Toc12618274"/>
      <w:bookmarkStart w:id="112" w:name="_Toc1261847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108"/>
      <w:bookmarkEnd w:id="109"/>
      <w:bookmarkEnd w:id="110"/>
      <w:bookmarkEnd w:id="111"/>
      <w:bookmarkEnd w:id="112"/>
    </w:p>
    <w:p>
      <w:pPr>
        <w:pStyle w:val="Heading5"/>
      </w:pPr>
      <w:bookmarkStart w:id="113" w:name="_Toc141091239"/>
      <w:bookmarkStart w:id="114" w:name="_Toc12618476"/>
      <w:r>
        <w:rPr>
          <w:rStyle w:val="CharSectno"/>
        </w:rPr>
        <w:t>33</w:t>
      </w:r>
      <w:r>
        <w:t>.</w:t>
      </w:r>
      <w:r>
        <w:tab/>
        <w:t>Property, powers to seize etc.</w:t>
      </w:r>
      <w:bookmarkEnd w:id="113"/>
      <w:bookmarkEnd w:id="11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115" w:name="_Toc141091037"/>
      <w:bookmarkStart w:id="116" w:name="_Toc141091240"/>
      <w:bookmarkStart w:id="117" w:name="_Toc7619884"/>
      <w:bookmarkStart w:id="118" w:name="_Toc12618276"/>
      <w:bookmarkStart w:id="119" w:name="_Toc1261847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115"/>
      <w:bookmarkEnd w:id="116"/>
      <w:bookmarkEnd w:id="117"/>
      <w:bookmarkEnd w:id="118"/>
      <w:bookmarkEnd w:id="119"/>
    </w:p>
    <w:p>
      <w:pPr>
        <w:pStyle w:val="Heading5"/>
        <w:spacing w:before="180"/>
      </w:pPr>
      <w:bookmarkStart w:id="120" w:name="_Toc141091241"/>
      <w:bookmarkStart w:id="121" w:name="_Toc12618478"/>
      <w:r>
        <w:rPr>
          <w:rStyle w:val="CharSectno"/>
        </w:rPr>
        <w:t>34</w:t>
      </w:r>
      <w:r>
        <w:t>.</w:t>
      </w:r>
      <w:r>
        <w:tab/>
        <w:t>Freezing notices, application for and issue of</w:t>
      </w:r>
      <w:bookmarkEnd w:id="120"/>
      <w:bookmarkEnd w:id="121"/>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22" w:name="_Toc141091242"/>
      <w:bookmarkStart w:id="123" w:name="_Toc12618479"/>
      <w:r>
        <w:rPr>
          <w:rStyle w:val="CharSectno"/>
        </w:rPr>
        <w:t>35</w:t>
      </w:r>
      <w:r>
        <w:t>.</w:t>
      </w:r>
      <w:r>
        <w:tab/>
        <w:t>Freezing notices, contents of</w:t>
      </w:r>
      <w:bookmarkEnd w:id="122"/>
      <w:bookmarkEnd w:id="123"/>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24" w:name="_Toc141091243"/>
      <w:bookmarkStart w:id="125" w:name="_Toc12618480"/>
      <w:r>
        <w:rPr>
          <w:rStyle w:val="CharSectno"/>
        </w:rPr>
        <w:t>36</w:t>
      </w:r>
      <w:r>
        <w:t>.</w:t>
      </w:r>
      <w:r>
        <w:tab/>
        <w:t>Freezing notices, service, notice and filing of</w:t>
      </w:r>
      <w:bookmarkEnd w:id="124"/>
      <w:bookmarkEnd w:id="125"/>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 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No. 42 of 2011 s. 12; No. 10 of 2018 s. 35.]</w:t>
      </w:r>
    </w:p>
    <w:p>
      <w:pPr>
        <w:pStyle w:val="Heading5"/>
      </w:pPr>
      <w:bookmarkStart w:id="126" w:name="_Toc141091244"/>
      <w:bookmarkStart w:id="127" w:name="_Toc12618481"/>
      <w:r>
        <w:rPr>
          <w:rStyle w:val="CharSectno"/>
        </w:rPr>
        <w:t>37</w:t>
      </w:r>
      <w:r>
        <w:t>.</w:t>
      </w:r>
      <w:r>
        <w:tab/>
        <w:t>Person served with freezing notice to declare any other interested party</w:t>
      </w:r>
      <w:bookmarkEnd w:id="126"/>
      <w:bookmarkEnd w:id="12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28" w:name="_Toc141091245"/>
      <w:bookmarkStart w:id="129" w:name="_Toc12618482"/>
      <w:r>
        <w:rPr>
          <w:rStyle w:val="CharSectno"/>
        </w:rPr>
        <w:t>38</w:t>
      </w:r>
      <w:r>
        <w:t>.</w:t>
      </w:r>
      <w:r>
        <w:tab/>
        <w:t>Freezing notices for registrable real property, duration of and notices about</w:t>
      </w:r>
      <w:bookmarkEnd w:id="128"/>
      <w:bookmarkEnd w:id="12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130" w:name="_Toc141091246"/>
      <w:bookmarkStart w:id="131" w:name="_Toc12618483"/>
      <w:r>
        <w:rPr>
          <w:rStyle w:val="CharSectno"/>
        </w:rPr>
        <w:t>39</w:t>
      </w:r>
      <w:r>
        <w:t>.</w:t>
      </w:r>
      <w:r>
        <w:tab/>
        <w:t>Freezing notices for other property, duration of and notices about</w:t>
      </w:r>
      <w:bookmarkEnd w:id="130"/>
      <w:bookmarkEnd w:id="131"/>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w:t>
      </w:r>
      <w:r>
        <w:t>relevant</w:t>
      </w:r>
      <w:r>
        <w:rPr>
          <w:spacing w:val="-4"/>
        </w:rPr>
        <w:t xml:space="preserve"> registrar to that effect.</w:t>
      </w:r>
    </w:p>
    <w:p>
      <w:pPr>
        <w:pStyle w:val="Footnotesection"/>
        <w:spacing w:before="80"/>
        <w:ind w:left="890" w:hanging="890"/>
      </w:pPr>
      <w:r>
        <w:tab/>
        <w:t>[Section 39 amended: No. 42 of 2011 s. 13; No. 10 of 2018 s. 36.]</w:t>
      </w:r>
    </w:p>
    <w:p>
      <w:pPr>
        <w:pStyle w:val="Heading5"/>
      </w:pPr>
      <w:bookmarkStart w:id="132" w:name="_Toc141091247"/>
      <w:bookmarkStart w:id="133" w:name="_Toc12618484"/>
      <w:r>
        <w:rPr>
          <w:rStyle w:val="CharSectno"/>
        </w:rPr>
        <w:t>40</w:t>
      </w:r>
      <w:r>
        <w:t>.</w:t>
      </w:r>
      <w:r>
        <w:tab/>
        <w:t>Freezing notices, cancelling etc.</w:t>
      </w:r>
      <w:bookmarkEnd w:id="132"/>
      <w:bookmarkEnd w:id="133"/>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34" w:name="_Toc141091045"/>
      <w:bookmarkStart w:id="135" w:name="_Toc141091248"/>
      <w:bookmarkStart w:id="136" w:name="_Toc7619892"/>
      <w:bookmarkStart w:id="137" w:name="_Toc12618284"/>
      <w:bookmarkStart w:id="138" w:name="_Toc12618485"/>
      <w:r>
        <w:rPr>
          <w:rStyle w:val="CharDivNo"/>
        </w:rPr>
        <w:t>Division 3</w:t>
      </w:r>
      <w:r>
        <w:t xml:space="preserve"> — </w:t>
      </w:r>
      <w:r>
        <w:rPr>
          <w:rStyle w:val="CharDivText"/>
        </w:rPr>
        <w:t>Freezing orders for confiscable property</w:t>
      </w:r>
      <w:bookmarkEnd w:id="134"/>
      <w:bookmarkEnd w:id="135"/>
      <w:bookmarkEnd w:id="136"/>
      <w:bookmarkEnd w:id="137"/>
      <w:bookmarkEnd w:id="138"/>
    </w:p>
    <w:p>
      <w:pPr>
        <w:pStyle w:val="Heading5"/>
        <w:spacing w:before="240"/>
      </w:pPr>
      <w:bookmarkStart w:id="139" w:name="_Toc141091249"/>
      <w:bookmarkStart w:id="140" w:name="_Toc12618486"/>
      <w:r>
        <w:rPr>
          <w:rStyle w:val="CharSectno"/>
        </w:rPr>
        <w:t>41</w:t>
      </w:r>
      <w:r>
        <w:t>.</w:t>
      </w:r>
      <w:r>
        <w:tab/>
        <w:t>Freezing orders, applying for</w:t>
      </w:r>
      <w:bookmarkEnd w:id="139"/>
      <w:bookmarkEnd w:id="140"/>
    </w:p>
    <w:p>
      <w:pPr>
        <w:pStyle w:val="Subsection"/>
      </w:pPr>
      <w:r>
        <w:tab/>
        <w:t>(1)</w:t>
      </w:r>
      <w:r>
        <w:tab/>
        <w:t>The DPP or the CCC may apply to the court for a freezing order for property.</w:t>
      </w:r>
    </w:p>
    <w:p>
      <w:pPr>
        <w:pStyle w:val="Subsection"/>
      </w:pPr>
      <w:r>
        <w:tab/>
        <w:t>(2)</w:t>
      </w:r>
      <w:r>
        <w:tab/>
        <w:t>An application may be made ex parte.</w:t>
      </w:r>
    </w:p>
    <w:p>
      <w:pPr>
        <w:pStyle w:val="Footnotesection"/>
      </w:pPr>
      <w:r>
        <w:tab/>
        <w:t>[Section 41 amended: No. 10 of 2018 s. 37.]</w:t>
      </w:r>
    </w:p>
    <w:p>
      <w:pPr>
        <w:pStyle w:val="Heading5"/>
        <w:spacing w:before="240"/>
      </w:pPr>
      <w:bookmarkStart w:id="141" w:name="_Toc141091250"/>
      <w:bookmarkStart w:id="142" w:name="_Toc12618487"/>
      <w:r>
        <w:rPr>
          <w:rStyle w:val="CharSectno"/>
        </w:rPr>
        <w:t>42</w:t>
      </w:r>
      <w:r>
        <w:t>.</w:t>
      </w:r>
      <w:r>
        <w:tab/>
        <w:t>Proceedings for freezing orders, court’s powers in</w:t>
      </w:r>
      <w:bookmarkEnd w:id="141"/>
      <w:bookmarkEnd w:id="142"/>
    </w:p>
    <w:p>
      <w:pPr>
        <w:pStyle w:val="Subsection"/>
        <w:keepNext/>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43" w:name="_Toc141091251"/>
      <w:bookmarkStart w:id="144" w:name="_Toc12618488"/>
      <w:r>
        <w:rPr>
          <w:rStyle w:val="CharSectno"/>
        </w:rPr>
        <w:t>43</w:t>
      </w:r>
      <w:r>
        <w:t>.</w:t>
      </w:r>
      <w:r>
        <w:tab/>
        <w:t>Freezing orders, making</w:t>
      </w:r>
      <w:bookmarkEnd w:id="143"/>
      <w:bookmarkEnd w:id="144"/>
      <w:r>
        <w:t xml:space="preserve"> </w:t>
      </w:r>
    </w:p>
    <w:p>
      <w:pPr>
        <w:pStyle w:val="Subsection"/>
      </w:pPr>
      <w:r>
        <w:tab/>
        <w:t>(1)</w:t>
      </w:r>
      <w:r>
        <w:tab/>
        <w:t xml:space="preserve">The court may make a freezing order for property if — </w:t>
      </w:r>
    </w:p>
    <w:p>
      <w:pPr>
        <w:pStyle w:val="Indenta"/>
      </w:pPr>
      <w:r>
        <w:tab/>
        <w:t>(a)</w:t>
      </w:r>
      <w:r>
        <w:tab/>
        <w:t>an examination order, a monitoring order or a suspension order obtained by the applicant for the freezing order is in force in relation to the property; or</w:t>
      </w:r>
    </w:p>
    <w:p>
      <w:pPr>
        <w:pStyle w:val="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keepNext/>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applicant for the freezing order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Footnotesection"/>
      </w:pPr>
      <w:r>
        <w:tab/>
        <w:t>[Section 43 amended: No. 10 of 2018 s. 38.]</w:t>
      </w:r>
    </w:p>
    <w:p>
      <w:pPr>
        <w:pStyle w:val="Heading5"/>
      </w:pPr>
      <w:bookmarkStart w:id="145" w:name="_Toc141091252"/>
      <w:bookmarkStart w:id="146" w:name="_Toc12618489"/>
      <w:r>
        <w:rPr>
          <w:rStyle w:val="CharSectno"/>
        </w:rPr>
        <w:t>44</w:t>
      </w:r>
      <w:r>
        <w:t>.</w:t>
      </w:r>
      <w:r>
        <w:tab/>
        <w:t>Freezing orders, court’s duties when considering applications for</w:t>
      </w:r>
      <w:bookmarkEnd w:id="145"/>
      <w:bookmarkEnd w:id="146"/>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47" w:name="_Toc141091253"/>
      <w:bookmarkStart w:id="148" w:name="_Toc12618490"/>
      <w:r>
        <w:rPr>
          <w:rStyle w:val="CharSectno"/>
        </w:rPr>
        <w:t>45</w:t>
      </w:r>
      <w:r>
        <w:t>.</w:t>
      </w:r>
      <w:r>
        <w:tab/>
        <w:t>Freezing orders, court’s powers when making</w:t>
      </w:r>
      <w:bookmarkEnd w:id="147"/>
      <w:bookmarkEnd w:id="148"/>
    </w:p>
    <w:p>
      <w:pPr>
        <w:pStyle w:val="Subsection"/>
        <w:rPr>
          <w:spacing w:val="-4"/>
        </w:rPr>
      </w:pPr>
      <w:r>
        <w:tab/>
      </w:r>
      <w:r>
        <w:tab/>
      </w:r>
      <w:r>
        <w:rPr>
          <w:spacing w:val="-4"/>
        </w:rPr>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applicant for the order,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Footnotesection"/>
      </w:pPr>
      <w:r>
        <w:tab/>
        <w:t>[Section 45 amended: No. 10 of 2018 s. 39.]</w:t>
      </w:r>
    </w:p>
    <w:p>
      <w:pPr>
        <w:pStyle w:val="Heading5"/>
      </w:pPr>
      <w:bookmarkStart w:id="149" w:name="_Toc141091254"/>
      <w:bookmarkStart w:id="150" w:name="_Toc12618491"/>
      <w:r>
        <w:rPr>
          <w:rStyle w:val="CharSectno"/>
        </w:rPr>
        <w:t>46</w:t>
      </w:r>
      <w:r>
        <w:t>.</w:t>
      </w:r>
      <w:r>
        <w:tab/>
        <w:t>Freezing orders, service and notice of</w:t>
      </w:r>
      <w:bookmarkEnd w:id="149"/>
      <w:bookmarkEnd w:id="150"/>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relevant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No. 42 of 2011 s. 14; No. 10 of 2018 s. 40.]</w:t>
      </w:r>
    </w:p>
    <w:p>
      <w:pPr>
        <w:pStyle w:val="Heading5"/>
      </w:pPr>
      <w:bookmarkStart w:id="151" w:name="_Toc141091255"/>
      <w:bookmarkStart w:id="152" w:name="_Toc12618492"/>
      <w:r>
        <w:rPr>
          <w:rStyle w:val="CharSectno"/>
        </w:rPr>
        <w:t>47</w:t>
      </w:r>
      <w:r>
        <w:t>.</w:t>
      </w:r>
      <w:r>
        <w:tab/>
        <w:t>Person served with freezing order to declare any other interested party</w:t>
      </w:r>
      <w:bookmarkEnd w:id="151"/>
      <w:bookmarkEnd w:id="152"/>
    </w:p>
    <w:p>
      <w:pPr>
        <w:pStyle w:val="Subsection"/>
        <w:spacing w:before="100"/>
      </w:pPr>
      <w:r>
        <w:tab/>
        <w:t>(1)</w:t>
      </w:r>
      <w:r>
        <w:tab/>
        <w:t>A person who is served under section 46 with a copy of a freezing order and a notice must give a statutory declaration to the applicant for the order.</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Footnotesection"/>
      </w:pPr>
      <w:r>
        <w:tab/>
        <w:t>[Section 47 amended: No. 10 of 2018 s. 41.]</w:t>
      </w:r>
    </w:p>
    <w:p>
      <w:pPr>
        <w:pStyle w:val="Heading5"/>
        <w:spacing w:before="180"/>
      </w:pPr>
      <w:bookmarkStart w:id="153" w:name="_Toc141091256"/>
      <w:bookmarkStart w:id="154" w:name="_Toc12618493"/>
      <w:r>
        <w:rPr>
          <w:rStyle w:val="CharSectno"/>
        </w:rPr>
        <w:t>48</w:t>
      </w:r>
      <w:r>
        <w:t>.</w:t>
      </w:r>
      <w:r>
        <w:tab/>
        <w:t>Freezing orders for registrable real property, duration of and notices about</w:t>
      </w:r>
      <w:bookmarkEnd w:id="153"/>
      <w:bookmarkEnd w:id="154"/>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or that an examination order is likely to be made by the CCC,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Footnotesection"/>
      </w:pPr>
      <w:r>
        <w:tab/>
        <w:t>[Section 48 amended: No. 10 of 2018 s. 42.]</w:t>
      </w:r>
    </w:p>
    <w:p>
      <w:pPr>
        <w:pStyle w:val="Heading5"/>
        <w:spacing w:before="180"/>
      </w:pPr>
      <w:bookmarkStart w:id="155" w:name="_Toc141091257"/>
      <w:bookmarkStart w:id="156" w:name="_Toc12618494"/>
      <w:r>
        <w:rPr>
          <w:rStyle w:val="CharSectno"/>
        </w:rPr>
        <w:t>49</w:t>
      </w:r>
      <w:r>
        <w:t>.</w:t>
      </w:r>
      <w:r>
        <w:tab/>
        <w:t>Freezing orders for other property, duration of and notices about</w:t>
      </w:r>
      <w:bookmarkEnd w:id="155"/>
      <w:bookmarkEnd w:id="156"/>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or that an examination order is likely to be made by the CCC,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Footnotesection"/>
      </w:pPr>
      <w:r>
        <w:tab/>
        <w:t>[Section 49 amended: No. 10 of 2018 s. 43.]</w:t>
      </w:r>
    </w:p>
    <w:p>
      <w:pPr>
        <w:pStyle w:val="Heading3"/>
      </w:pPr>
      <w:bookmarkStart w:id="157" w:name="_Toc141091055"/>
      <w:bookmarkStart w:id="158" w:name="_Toc141091258"/>
      <w:bookmarkStart w:id="159" w:name="_Toc7619902"/>
      <w:bookmarkStart w:id="160" w:name="_Toc12618294"/>
      <w:bookmarkStart w:id="161" w:name="_Toc12618495"/>
      <w:r>
        <w:rPr>
          <w:rStyle w:val="CharDivNo"/>
        </w:rPr>
        <w:t>Division 4</w:t>
      </w:r>
      <w:r>
        <w:t xml:space="preserve"> — </w:t>
      </w:r>
      <w:r>
        <w:rPr>
          <w:rStyle w:val="CharDivText"/>
        </w:rPr>
        <w:t>Dealing with seized or frozen property</w:t>
      </w:r>
      <w:bookmarkEnd w:id="157"/>
      <w:bookmarkEnd w:id="158"/>
      <w:bookmarkEnd w:id="159"/>
      <w:bookmarkEnd w:id="160"/>
      <w:bookmarkEnd w:id="161"/>
    </w:p>
    <w:p>
      <w:pPr>
        <w:pStyle w:val="Heading5"/>
        <w:spacing w:before="240"/>
      </w:pPr>
      <w:bookmarkStart w:id="162" w:name="_Toc141091259"/>
      <w:bookmarkStart w:id="163" w:name="_Toc12618496"/>
      <w:r>
        <w:rPr>
          <w:rStyle w:val="CharSectno"/>
        </w:rPr>
        <w:t>50</w:t>
      </w:r>
      <w:r>
        <w:t>.</w:t>
      </w:r>
      <w:r>
        <w:tab/>
        <w:t>Prohibited dealings</w:t>
      </w:r>
      <w:bookmarkEnd w:id="162"/>
      <w:bookmarkEnd w:id="163"/>
    </w:p>
    <w:p>
      <w:pPr>
        <w:pStyle w:val="Subsection"/>
        <w:keepNext/>
      </w:pPr>
      <w:r>
        <w:tab/>
        <w:t>(1)</w:t>
      </w:r>
      <w:r>
        <w:tab/>
        <w:t>A person must not deal with seized or frozen property in any way.</w:t>
      </w:r>
    </w:p>
    <w:p>
      <w:pPr>
        <w:pStyle w:val="Penstart"/>
      </w:pPr>
      <w:r>
        <w:tab/>
        <w:t>Penalty: $100 000 or the value of the property, whichever is greater, or imprisonment for 5 years, or both.</w:t>
      </w:r>
    </w:p>
    <w:p>
      <w:pPr>
        <w:pStyle w:val="Subsection"/>
        <w:keepNext/>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No. 84 of 2004 s. 82.]</w:t>
      </w:r>
    </w:p>
    <w:p>
      <w:pPr>
        <w:pStyle w:val="Heading5"/>
      </w:pPr>
      <w:bookmarkStart w:id="164" w:name="_Toc141091260"/>
      <w:bookmarkStart w:id="165" w:name="_Toc12618497"/>
      <w:r>
        <w:rPr>
          <w:rStyle w:val="CharSectno"/>
        </w:rPr>
        <w:t>51</w:t>
      </w:r>
      <w:r>
        <w:t>.</w:t>
      </w:r>
      <w:r>
        <w:tab/>
        <w:t>Effect of prohibited dealings in frozen property</w:t>
      </w:r>
      <w:bookmarkEnd w:id="164"/>
      <w:bookmarkEnd w:id="165"/>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66" w:name="_Toc141091261"/>
      <w:bookmarkStart w:id="167" w:name="_Toc12618498"/>
      <w:r>
        <w:rPr>
          <w:rStyle w:val="CharSectno"/>
        </w:rPr>
        <w:t>52</w:t>
      </w:r>
      <w:r>
        <w:t>.</w:t>
      </w:r>
      <w:r>
        <w:tab/>
        <w:t>Permitted dealings in mortgaged property</w:t>
      </w:r>
      <w:bookmarkEnd w:id="166"/>
      <w:bookmarkEnd w:id="167"/>
    </w:p>
    <w:p>
      <w:pPr>
        <w:pStyle w:val="Subsection"/>
        <w:keepNext/>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68" w:name="_Toc141091059"/>
      <w:bookmarkStart w:id="169" w:name="_Toc141091262"/>
      <w:bookmarkStart w:id="170" w:name="_Toc7619906"/>
      <w:bookmarkStart w:id="171" w:name="_Toc12618298"/>
      <w:bookmarkStart w:id="172" w:name="_Toc12618499"/>
      <w:r>
        <w:rPr>
          <w:rStyle w:val="CharPartNo"/>
        </w:rPr>
        <w:t>Part 5</w:t>
      </w:r>
      <w:r>
        <w:t xml:space="preserve"> — </w:t>
      </w:r>
      <w:r>
        <w:rPr>
          <w:rStyle w:val="CharPartText"/>
        </w:rPr>
        <w:t>Investigation and search</w:t>
      </w:r>
      <w:bookmarkEnd w:id="168"/>
      <w:bookmarkEnd w:id="169"/>
      <w:bookmarkEnd w:id="170"/>
      <w:bookmarkEnd w:id="171"/>
      <w:bookmarkEnd w:id="172"/>
    </w:p>
    <w:p>
      <w:pPr>
        <w:pStyle w:val="Heading3"/>
      </w:pPr>
      <w:bookmarkStart w:id="173" w:name="_Toc141091060"/>
      <w:bookmarkStart w:id="174" w:name="_Toc141091263"/>
      <w:bookmarkStart w:id="175" w:name="_Toc7619907"/>
      <w:bookmarkStart w:id="176" w:name="_Toc12618299"/>
      <w:bookmarkStart w:id="177" w:name="_Toc12618500"/>
      <w:r>
        <w:rPr>
          <w:rStyle w:val="CharDivNo"/>
        </w:rPr>
        <w:t>Division 1</w:t>
      </w:r>
      <w:r>
        <w:t xml:space="preserve"> — </w:t>
      </w:r>
      <w:r>
        <w:rPr>
          <w:rStyle w:val="CharDivText"/>
        </w:rPr>
        <w:t>Preliminary inquiries</w:t>
      </w:r>
      <w:bookmarkEnd w:id="173"/>
      <w:bookmarkEnd w:id="174"/>
      <w:bookmarkEnd w:id="175"/>
      <w:bookmarkEnd w:id="176"/>
      <w:bookmarkEnd w:id="177"/>
    </w:p>
    <w:p>
      <w:pPr>
        <w:pStyle w:val="Heading5"/>
      </w:pPr>
      <w:bookmarkStart w:id="178" w:name="_Toc141091264"/>
      <w:bookmarkStart w:id="179" w:name="_Toc12618501"/>
      <w:r>
        <w:rPr>
          <w:rStyle w:val="CharSectno"/>
        </w:rPr>
        <w:t>53</w:t>
      </w:r>
      <w:r>
        <w:t>.</w:t>
      </w:r>
      <w:r>
        <w:tab/>
        <w:t>Financial institutions may volunteer information</w:t>
      </w:r>
      <w:bookmarkEnd w:id="178"/>
      <w:bookmarkEnd w:id="179"/>
    </w:p>
    <w:p>
      <w:pPr>
        <w:pStyle w:val="Subsection"/>
      </w:pPr>
      <w:r>
        <w:tab/>
      </w:r>
      <w:r>
        <w:tab/>
        <w:t>A financial institution that has information about a transaction with the institution may give the information to the DPP, a police officer or an authorised CCC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Footnotesection"/>
      </w:pPr>
      <w:r>
        <w:tab/>
        <w:t>[Section 53 amended: No. 10 of 2018 s. 44.]</w:t>
      </w:r>
    </w:p>
    <w:p>
      <w:pPr>
        <w:pStyle w:val="Heading5"/>
      </w:pPr>
      <w:bookmarkStart w:id="180" w:name="_Toc141091265"/>
      <w:bookmarkStart w:id="181" w:name="_Toc12618502"/>
      <w:r>
        <w:rPr>
          <w:rStyle w:val="CharSectno"/>
        </w:rPr>
        <w:t>54</w:t>
      </w:r>
      <w:r>
        <w:t>.</w:t>
      </w:r>
      <w:r>
        <w:tab/>
        <w:t>Financial institutions may be required to give information</w:t>
      </w:r>
      <w:bookmarkEnd w:id="180"/>
      <w:bookmarkEnd w:id="181"/>
    </w:p>
    <w:p>
      <w:pPr>
        <w:pStyle w:val="Subsection"/>
      </w:pPr>
      <w:r>
        <w:tab/>
        <w:t>(1)</w:t>
      </w:r>
      <w:r>
        <w:tab/>
        <w:t>For the purposes of any proceedings under this Act, or for the purposes of deciding whether to apply for a freezing notice, or for any order, declaration or warrant under this Act, the DPP, a police officer or an authorised CCC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Indenta"/>
      </w:pPr>
      <w:r>
        <w:tab/>
        <w:t>(b)</w:t>
      </w:r>
      <w:r>
        <w:tab/>
        <w:t>assisting the CCC to decide whether to make an examination order under this Act;</w:t>
      </w:r>
    </w:p>
    <w:p>
      <w:pPr>
        <w:pStyle w:val="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Footnotesection"/>
      </w:pPr>
      <w:r>
        <w:tab/>
        <w:t>[Section 54 amended: No. 10 of 2018 s. 45.]</w:t>
      </w:r>
    </w:p>
    <w:p>
      <w:pPr>
        <w:pStyle w:val="Heading5"/>
        <w:pageBreakBefore/>
        <w:spacing w:before="0"/>
      </w:pPr>
      <w:bookmarkStart w:id="182" w:name="_Toc141091266"/>
      <w:bookmarkStart w:id="183" w:name="_Toc12618503"/>
      <w:r>
        <w:rPr>
          <w:rStyle w:val="CharSectno"/>
        </w:rPr>
        <w:t>55</w:t>
      </w:r>
      <w:r>
        <w:t>.</w:t>
      </w:r>
      <w:r>
        <w:tab/>
        <w:t>Financial institution giving information under s. 53 or 54, protection for</w:t>
      </w:r>
      <w:bookmarkEnd w:id="182"/>
      <w:bookmarkEnd w:id="183"/>
    </w:p>
    <w:p>
      <w:pPr>
        <w:pStyle w:val="Subsection"/>
      </w:pPr>
      <w:r>
        <w:tab/>
        <w:t>(1)</w:t>
      </w:r>
      <w:r>
        <w:tab/>
        <w:t>An action, suit or proceeding in relation to the giving of information under section 53 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84" w:name="_Toc141091267"/>
      <w:bookmarkStart w:id="185" w:name="_Toc12618504"/>
      <w:r>
        <w:rPr>
          <w:rStyle w:val="CharSectno"/>
        </w:rPr>
        <w:t>56</w:t>
      </w:r>
      <w:r>
        <w:t>.</w:t>
      </w:r>
      <w:r>
        <w:tab/>
        <w:t>Financial institution giving false or misleading information under s. 53 or 54, offence</w:t>
      </w:r>
      <w:bookmarkEnd w:id="184"/>
      <w:bookmarkEnd w:id="185"/>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86" w:name="_Toc141091065"/>
      <w:bookmarkStart w:id="187" w:name="_Toc141091268"/>
      <w:bookmarkStart w:id="188" w:name="_Toc7619912"/>
      <w:bookmarkStart w:id="189" w:name="_Toc12618304"/>
      <w:bookmarkStart w:id="190" w:name="_Toc12618505"/>
      <w:r>
        <w:rPr>
          <w:rStyle w:val="CharDivNo"/>
        </w:rPr>
        <w:t>Division 2</w:t>
      </w:r>
      <w:r>
        <w:t xml:space="preserve"> — </w:t>
      </w:r>
      <w:r>
        <w:rPr>
          <w:rStyle w:val="CharDivText"/>
        </w:rPr>
        <w:t>Examinations</w:t>
      </w:r>
      <w:bookmarkEnd w:id="186"/>
      <w:bookmarkEnd w:id="187"/>
      <w:bookmarkEnd w:id="188"/>
      <w:bookmarkEnd w:id="189"/>
      <w:bookmarkEnd w:id="190"/>
    </w:p>
    <w:p>
      <w:pPr>
        <w:pStyle w:val="Heading5"/>
      </w:pPr>
      <w:bookmarkStart w:id="191" w:name="_Toc141091269"/>
      <w:bookmarkStart w:id="192" w:name="_Toc12618506"/>
      <w:r>
        <w:rPr>
          <w:rStyle w:val="CharSectno"/>
        </w:rPr>
        <w:t>57</w:t>
      </w:r>
      <w:r>
        <w:t>.</w:t>
      </w:r>
      <w:r>
        <w:tab/>
        <w:t>Examination of person, applying for order for</w:t>
      </w:r>
      <w:bookmarkEnd w:id="191"/>
      <w:bookmarkEnd w:id="19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93" w:name="_Toc141091270"/>
      <w:bookmarkStart w:id="194" w:name="_Toc12618507"/>
      <w:r>
        <w:rPr>
          <w:rStyle w:val="CharSectno"/>
        </w:rPr>
        <w:t>58</w:t>
      </w:r>
      <w:r>
        <w:t>.</w:t>
      </w:r>
      <w:r>
        <w:tab/>
        <w:t>Court and CCC powers when making examination order</w:t>
      </w:r>
      <w:bookmarkEnd w:id="193"/>
      <w:bookmarkEnd w:id="194"/>
    </w:p>
    <w:p>
      <w:pPr>
        <w:pStyle w:val="Subsection"/>
      </w:pPr>
      <w:r>
        <w:tab/>
        <w:t>(1)</w:t>
      </w:r>
      <w:r>
        <w:tab/>
        <w:t>The court or the CCC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or the CCC, as the case requires,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or the CCC, as the case requires,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or the CCC, as the case requires,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or the CCC, as the case requires,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or before the CCC at a place specified in the order, as the case requires,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Footnotesection"/>
      </w:pPr>
      <w:r>
        <w:tab/>
        <w:t>[Section 58 amended: No. 10 of 2018 s. 46.]</w:t>
      </w:r>
    </w:p>
    <w:p>
      <w:pPr>
        <w:pStyle w:val="Heading5"/>
      </w:pPr>
      <w:bookmarkStart w:id="195" w:name="_Toc141091271"/>
      <w:bookmarkStart w:id="196" w:name="_Toc12618508"/>
      <w:r>
        <w:rPr>
          <w:rStyle w:val="CharSectno"/>
        </w:rPr>
        <w:t>59</w:t>
      </w:r>
      <w:r>
        <w:t>.</w:t>
      </w:r>
      <w:r>
        <w:tab/>
        <w:t>Examination orders, service of</w:t>
      </w:r>
      <w:bookmarkEnd w:id="195"/>
      <w:bookmarkEnd w:id="196"/>
    </w:p>
    <w:p>
      <w:pPr>
        <w:pStyle w:val="Subsection"/>
      </w:pPr>
      <w:r>
        <w:tab/>
        <w:t>(1)</w:t>
      </w:r>
      <w:r>
        <w:tab/>
        <w:t>The applicant for an examination order or, if the examination order is made by the CCC, the CCC must arrange for a copy of the order to be served personally on the person to be examined.</w:t>
      </w:r>
    </w:p>
    <w:p>
      <w:pPr>
        <w:pStyle w:val="Subsection"/>
      </w:pPr>
      <w:r>
        <w:tab/>
        <w:t>(2)</w:t>
      </w:r>
      <w:r>
        <w:tab/>
        <w:t>A copy of the order is not to be served on anyone except the person to be examined.</w:t>
      </w:r>
    </w:p>
    <w:p>
      <w:pPr>
        <w:pStyle w:val="Footnotesection"/>
      </w:pPr>
      <w:r>
        <w:tab/>
        <w:t>[Section 59 amended: No. 10 of 2018 s. 47.]</w:t>
      </w:r>
    </w:p>
    <w:p>
      <w:pPr>
        <w:pStyle w:val="Heading5"/>
      </w:pPr>
      <w:bookmarkStart w:id="197" w:name="_Toc141091272"/>
      <w:bookmarkStart w:id="198" w:name="_Toc12618509"/>
      <w:r>
        <w:rPr>
          <w:rStyle w:val="CharSectno"/>
        </w:rPr>
        <w:t>60</w:t>
      </w:r>
      <w:r>
        <w:t>.</w:t>
      </w:r>
      <w:r>
        <w:tab/>
        <w:t>Examinations, conduct of and representation at</w:t>
      </w:r>
      <w:bookmarkEnd w:id="197"/>
      <w:bookmarkEnd w:id="198"/>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pPr>
      <w:bookmarkStart w:id="199" w:name="_Toc141091273"/>
      <w:bookmarkStart w:id="200" w:name="_Toc12618510"/>
      <w:r>
        <w:rPr>
          <w:rStyle w:val="CharSectno"/>
        </w:rPr>
        <w:t>60A</w:t>
      </w:r>
      <w:r>
        <w:t>.</w:t>
      </w:r>
      <w:r>
        <w:tab/>
        <w:t>Examination by CCC</w:t>
      </w:r>
      <w:bookmarkEnd w:id="199"/>
      <w:bookmarkEnd w:id="200"/>
    </w:p>
    <w:p>
      <w:pPr>
        <w:pStyle w:val="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Footnotesection"/>
      </w:pPr>
      <w:r>
        <w:tab/>
        <w:t>[Section 60A inserted: No. 10 of 2018 s. 48.]</w:t>
      </w:r>
    </w:p>
    <w:p>
      <w:pPr>
        <w:pStyle w:val="Heading5"/>
        <w:spacing w:before="260"/>
      </w:pPr>
      <w:bookmarkStart w:id="201" w:name="_Toc141091274"/>
      <w:bookmarkStart w:id="202" w:name="_Toc12618511"/>
      <w:r>
        <w:rPr>
          <w:rStyle w:val="CharSectno"/>
        </w:rPr>
        <w:t>61</w:t>
      </w:r>
      <w:r>
        <w:t>.</w:t>
      </w:r>
      <w:r>
        <w:tab/>
        <w:t>Examination orders, contravening and admissibility of information given under</w:t>
      </w:r>
      <w:bookmarkEnd w:id="201"/>
      <w:bookmarkEnd w:id="202"/>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made by the court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61 amended: No. 10 of 2018 s. 49.]</w:t>
      </w:r>
    </w:p>
    <w:p>
      <w:pPr>
        <w:pStyle w:val="Heading3"/>
      </w:pPr>
      <w:bookmarkStart w:id="203" w:name="_Toc141091072"/>
      <w:bookmarkStart w:id="204" w:name="_Toc141091275"/>
      <w:bookmarkStart w:id="205" w:name="_Toc7619919"/>
      <w:bookmarkStart w:id="206" w:name="_Toc12618311"/>
      <w:bookmarkStart w:id="207" w:name="_Toc12618512"/>
      <w:r>
        <w:rPr>
          <w:rStyle w:val="CharDivNo"/>
        </w:rPr>
        <w:t>Division 3</w:t>
      </w:r>
      <w:r>
        <w:t xml:space="preserve"> — </w:t>
      </w:r>
      <w:r>
        <w:rPr>
          <w:rStyle w:val="CharDivText"/>
        </w:rPr>
        <w:t>Production of documents</w:t>
      </w:r>
      <w:bookmarkEnd w:id="203"/>
      <w:bookmarkEnd w:id="204"/>
      <w:bookmarkEnd w:id="205"/>
      <w:bookmarkEnd w:id="206"/>
      <w:bookmarkEnd w:id="207"/>
    </w:p>
    <w:p>
      <w:pPr>
        <w:pStyle w:val="Heading5"/>
      </w:pPr>
      <w:bookmarkStart w:id="208" w:name="_Toc141091276"/>
      <w:bookmarkStart w:id="209" w:name="_Toc12618513"/>
      <w:r>
        <w:rPr>
          <w:rStyle w:val="CharSectno"/>
        </w:rPr>
        <w:t>62</w:t>
      </w:r>
      <w:r>
        <w:t>.</w:t>
      </w:r>
      <w:r>
        <w:tab/>
        <w:t>Production orders, applying for</w:t>
      </w:r>
      <w:bookmarkEnd w:id="208"/>
      <w:bookmarkEnd w:id="209"/>
    </w:p>
    <w:p>
      <w:pPr>
        <w:pStyle w:val="Subsection"/>
      </w:pPr>
      <w:r>
        <w:tab/>
        <w:t>(1)</w:t>
      </w:r>
      <w:r>
        <w:tab/>
        <w:t>The DPP or the CCC may apply to the District Court for a production order for a property</w:t>
      </w:r>
      <w:r>
        <w:noBreakHyphen/>
        <w:t>tracking document.</w:t>
      </w:r>
    </w:p>
    <w:p>
      <w:pPr>
        <w:pStyle w:val="Subsection"/>
      </w:pPr>
      <w:r>
        <w:tab/>
        <w:t>(2)</w:t>
      </w:r>
      <w:r>
        <w:tab/>
        <w:t>An application may be made ex parte.</w:t>
      </w:r>
    </w:p>
    <w:p>
      <w:pPr>
        <w:pStyle w:val="Footnotesection"/>
      </w:pPr>
      <w:r>
        <w:tab/>
        <w:t>[Section 62 amended: No. 10 of 2018 s. 50.]</w:t>
      </w:r>
    </w:p>
    <w:p>
      <w:pPr>
        <w:pStyle w:val="Heading5"/>
      </w:pPr>
      <w:bookmarkStart w:id="210" w:name="_Toc141091277"/>
      <w:bookmarkStart w:id="211" w:name="_Toc12618514"/>
      <w:r>
        <w:rPr>
          <w:rStyle w:val="CharSectno"/>
        </w:rPr>
        <w:t>63</w:t>
      </w:r>
      <w:r>
        <w:t>.</w:t>
      </w:r>
      <w:r>
        <w:tab/>
        <w:t>Production orders, making</w:t>
      </w:r>
      <w:bookmarkEnd w:id="210"/>
      <w:bookmarkEnd w:id="211"/>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 xml:space="preserve">tracking document to — </w:t>
      </w:r>
    </w:p>
    <w:p>
      <w:pPr>
        <w:pStyle w:val="Indenti"/>
      </w:pPr>
      <w:r>
        <w:tab/>
        <w:t>(i)</w:t>
      </w:r>
      <w:r>
        <w:tab/>
        <w:t>the DPP or a police officer, if the DPP applied for the order; or</w:t>
      </w:r>
    </w:p>
    <w:p>
      <w:pPr>
        <w:pStyle w:val="Indenti"/>
      </w:pPr>
      <w:r>
        <w:tab/>
        <w:t>(ii)</w:t>
      </w:r>
      <w:r>
        <w:tab/>
        <w:t>the CCC or an authorised CCC officer, if the CCC applied for the order;</w:t>
      </w:r>
    </w:p>
    <w:p>
      <w:pPr>
        <w:pStyle w:val="Indenta"/>
      </w:pPr>
      <w:r>
        <w:tab/>
      </w:r>
      <w:r>
        <w:tab/>
        <w:t>or</w:t>
      </w:r>
    </w:p>
    <w:p>
      <w:pPr>
        <w:pStyle w:val="Indenta"/>
        <w:keepNext/>
      </w:pPr>
      <w:r>
        <w:tab/>
        <w:t>(b)</w:t>
      </w:r>
      <w:r>
        <w:tab/>
        <w:t>to make the property</w:t>
      </w:r>
      <w:r>
        <w:noBreakHyphen/>
        <w:t xml:space="preserve">tracking document available to — </w:t>
      </w:r>
    </w:p>
    <w:p>
      <w:pPr>
        <w:pStyle w:val="Indenti"/>
      </w:pPr>
      <w:r>
        <w:tab/>
        <w:t>(i)</w:t>
      </w:r>
      <w:r>
        <w:tab/>
        <w:t>the DPP or a police officer for inspection, if the DPP applied for the order; or</w:t>
      </w:r>
    </w:p>
    <w:p>
      <w:pPr>
        <w:pStyle w:val="Indenti"/>
      </w:pPr>
      <w:r>
        <w:tab/>
        <w:t>(ii)</w:t>
      </w:r>
      <w:r>
        <w:tab/>
        <w:t>the CCC or an authorised CCC officer, if the CCC applied for the order.</w:t>
      </w:r>
    </w:p>
    <w:p>
      <w:pPr>
        <w:pStyle w:val="Subsection"/>
      </w:pPr>
      <w:r>
        <w:tab/>
        <w:t>(3)</w:t>
      </w:r>
      <w:r>
        <w:tab/>
        <w:t>The order must specify the time and place for the document to be given or made available.</w:t>
      </w:r>
    </w:p>
    <w:p>
      <w:pPr>
        <w:pStyle w:val="Footnotesection"/>
      </w:pPr>
      <w:r>
        <w:tab/>
        <w:t>[Section 63 amended: No. 10 of 2018 s. 51.]</w:t>
      </w:r>
    </w:p>
    <w:p>
      <w:pPr>
        <w:pStyle w:val="Heading5"/>
      </w:pPr>
      <w:bookmarkStart w:id="212" w:name="_Toc141091278"/>
      <w:bookmarkStart w:id="213" w:name="_Toc12618515"/>
      <w:r>
        <w:rPr>
          <w:rStyle w:val="CharSectno"/>
        </w:rPr>
        <w:t>64</w:t>
      </w:r>
      <w:r>
        <w:t>.</w:t>
      </w:r>
      <w:r>
        <w:tab/>
        <w:t>Property</w:t>
      </w:r>
      <w:r>
        <w:noBreakHyphen/>
        <w:t>tracking documents, inspection etc. of</w:t>
      </w:r>
      <w:bookmarkEnd w:id="212"/>
      <w:bookmarkEnd w:id="213"/>
    </w:p>
    <w:p>
      <w:pPr>
        <w:pStyle w:val="Subsection"/>
      </w:pPr>
      <w:r>
        <w:tab/>
        <w:t>(1)</w:t>
      </w:r>
      <w:r>
        <w:tab/>
        <w:t>When a property</w:t>
      </w:r>
      <w:r>
        <w:noBreakHyphen/>
        <w:t>tracking document is given to the DPP, a police officer, the CCC or an authorised CCC officer in accordance with a direction under section 63(2)(a), the DPP, police officer, CCC or authorised CCC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police officer, CCC or authorised CCC officer retains the property</w:t>
      </w:r>
      <w:r>
        <w:noBreakHyphen/>
        <w:t>tracking document, the DPP, police officer, CCC or authorised CCC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police officer, CCC or authorised CCC officer in writing to be a true copy of the document.</w:t>
      </w:r>
    </w:p>
    <w:p>
      <w:pPr>
        <w:pStyle w:val="Subsection"/>
      </w:pPr>
      <w:r>
        <w:tab/>
        <w:t>(3)</w:t>
      </w:r>
      <w:r>
        <w:tab/>
        <w:t>When a property</w:t>
      </w:r>
      <w:r>
        <w:noBreakHyphen/>
        <w:t>tracking document is made available to the DPP, a police officer, the CCC or an authorised CCC officer for inspection in accordance with a direction under section 63(2)(b), the DPP, police officer, CCC or authorised CCC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Footnotesection"/>
      </w:pPr>
      <w:r>
        <w:tab/>
        <w:t>[Section 64 amended: No. 10 of 2018 s. 52.]</w:t>
      </w:r>
    </w:p>
    <w:p>
      <w:pPr>
        <w:pStyle w:val="Heading5"/>
      </w:pPr>
      <w:bookmarkStart w:id="214" w:name="_Toc141091279"/>
      <w:bookmarkStart w:id="215" w:name="_Toc12618516"/>
      <w:r>
        <w:rPr>
          <w:rStyle w:val="CharSectno"/>
        </w:rPr>
        <w:t>65</w:t>
      </w:r>
      <w:r>
        <w:t>.</w:t>
      </w:r>
      <w:r>
        <w:tab/>
        <w:t>Production orders, contravening and admissibility of information given under</w:t>
      </w:r>
      <w:bookmarkEnd w:id="214"/>
      <w:bookmarkEnd w:id="215"/>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a police officer, the CCC or an authorised CCC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a police officer, the CCC or an authorised CCC officer that the document is false or misleading; and</w:t>
      </w:r>
    </w:p>
    <w:p>
      <w:pPr>
        <w:pStyle w:val="Indenta"/>
      </w:pPr>
      <w:r>
        <w:tab/>
        <w:t>(b)</w:t>
      </w:r>
      <w:r>
        <w:tab/>
        <w:t>indicates the respects in which it is false or misleading; and</w:t>
      </w:r>
    </w:p>
    <w:p>
      <w:pPr>
        <w:pStyle w:val="Indenta"/>
      </w:pPr>
      <w:r>
        <w:tab/>
        <w:t>(c)</w:t>
      </w:r>
      <w:r>
        <w:tab/>
        <w:t>gives the DPP, a police officer, the CCC or an authorised CCC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Footnotesection"/>
      </w:pPr>
      <w:r>
        <w:tab/>
        <w:t>[Section 65 amended: No. 10 of 2018 s. 53.]</w:t>
      </w:r>
    </w:p>
    <w:p>
      <w:pPr>
        <w:pStyle w:val="Heading5"/>
      </w:pPr>
      <w:bookmarkStart w:id="216" w:name="_Toc141091280"/>
      <w:bookmarkStart w:id="217" w:name="_Toc12618517"/>
      <w:r>
        <w:rPr>
          <w:rStyle w:val="CharSectno"/>
        </w:rPr>
        <w:t>66</w:t>
      </w:r>
      <w:r>
        <w:t>.</w:t>
      </w:r>
      <w:r>
        <w:tab/>
        <w:t>Production orders, varying</w:t>
      </w:r>
      <w:bookmarkEnd w:id="216"/>
      <w:bookmarkEnd w:id="217"/>
    </w:p>
    <w:p>
      <w:pPr>
        <w:pStyle w:val="Subsection"/>
      </w:pPr>
      <w:r>
        <w:tab/>
        <w:t>(1)</w:t>
      </w:r>
      <w:r>
        <w:tab/>
        <w:t>If a production order requires a person to give a property</w:t>
      </w:r>
      <w:r>
        <w:noBreakHyphen/>
        <w:t>tracking document to the DPP, a police officer, the CCC or an authorised CCC officer, the person may apply to the court that made the order to vary it so that it requires the person to make the document available to the DPP, a police officer or the CCC (as the case requires) for inspection.</w:t>
      </w:r>
    </w:p>
    <w:p>
      <w:pPr>
        <w:pStyle w:val="Subsection"/>
      </w:pPr>
      <w:r>
        <w:tab/>
        <w:t>(2)</w:t>
      </w:r>
      <w:r>
        <w:tab/>
        <w:t>The court may vary the order accordingly if it finds that the document is essential to the business activities of the person.</w:t>
      </w:r>
    </w:p>
    <w:p>
      <w:pPr>
        <w:pStyle w:val="Footnotesection"/>
      </w:pPr>
      <w:r>
        <w:tab/>
        <w:t>[Section 66 amended: No. 10 of 2018 s. 54.]</w:t>
      </w:r>
    </w:p>
    <w:p>
      <w:pPr>
        <w:pStyle w:val="Heading3"/>
      </w:pPr>
      <w:bookmarkStart w:id="218" w:name="_Toc141091078"/>
      <w:bookmarkStart w:id="219" w:name="_Toc141091281"/>
      <w:bookmarkStart w:id="220" w:name="_Toc7619925"/>
      <w:bookmarkStart w:id="221" w:name="_Toc12618317"/>
      <w:bookmarkStart w:id="222" w:name="_Toc12618518"/>
      <w:r>
        <w:rPr>
          <w:rStyle w:val="CharDivNo"/>
        </w:rPr>
        <w:t>Division 4</w:t>
      </w:r>
      <w:r>
        <w:t xml:space="preserve"> — </w:t>
      </w:r>
      <w:r>
        <w:rPr>
          <w:rStyle w:val="CharDivText"/>
        </w:rPr>
        <w:t>Monitoring financial transactions</w:t>
      </w:r>
      <w:bookmarkEnd w:id="218"/>
      <w:bookmarkEnd w:id="219"/>
      <w:bookmarkEnd w:id="220"/>
      <w:bookmarkEnd w:id="221"/>
      <w:bookmarkEnd w:id="222"/>
    </w:p>
    <w:p>
      <w:pPr>
        <w:pStyle w:val="Heading5"/>
      </w:pPr>
      <w:bookmarkStart w:id="223" w:name="_Toc141091282"/>
      <w:bookmarkStart w:id="224" w:name="_Toc12618519"/>
      <w:r>
        <w:rPr>
          <w:rStyle w:val="CharSectno"/>
        </w:rPr>
        <w:t>67</w:t>
      </w:r>
      <w:r>
        <w:t>.</w:t>
      </w:r>
      <w:r>
        <w:tab/>
        <w:t>Monitoring orders and suspension orders, applying for</w:t>
      </w:r>
      <w:bookmarkEnd w:id="223"/>
      <w:bookmarkEnd w:id="224"/>
    </w:p>
    <w:p>
      <w:pPr>
        <w:pStyle w:val="Subsection"/>
      </w:pPr>
      <w:r>
        <w:tab/>
        <w:t>(1)</w:t>
      </w:r>
      <w:r>
        <w:tab/>
        <w:t>The DPP or the CCC may apply to the District Court for a monitoring order.</w:t>
      </w:r>
    </w:p>
    <w:p>
      <w:pPr>
        <w:pStyle w:val="Subsection"/>
      </w:pPr>
      <w:r>
        <w:tab/>
        <w:t>(2)</w:t>
      </w:r>
      <w:r>
        <w:tab/>
        <w:t>The DPP or the CCC may apply to the District Court for a suspension order.</w:t>
      </w:r>
    </w:p>
    <w:p>
      <w:pPr>
        <w:pStyle w:val="Subsection"/>
      </w:pPr>
      <w:r>
        <w:tab/>
        <w:t>(3)</w:t>
      </w:r>
      <w:r>
        <w:tab/>
        <w:t>An application may be made ex parte.</w:t>
      </w:r>
    </w:p>
    <w:p>
      <w:pPr>
        <w:pStyle w:val="Footnotesection"/>
      </w:pPr>
      <w:r>
        <w:tab/>
        <w:t>[Section 67 amended: No. 10 of 2018 s. 55.]</w:t>
      </w:r>
    </w:p>
    <w:p>
      <w:pPr>
        <w:pStyle w:val="Heading5"/>
      </w:pPr>
      <w:bookmarkStart w:id="225" w:name="_Toc141091283"/>
      <w:bookmarkStart w:id="226" w:name="_Toc12618520"/>
      <w:r>
        <w:rPr>
          <w:rStyle w:val="CharSectno"/>
        </w:rPr>
        <w:t>68</w:t>
      </w:r>
      <w:r>
        <w:t>.</w:t>
      </w:r>
      <w:r>
        <w:tab/>
        <w:t>Monitoring orders and suspension orders, making</w:t>
      </w:r>
      <w:bookmarkEnd w:id="225"/>
      <w:bookmarkEnd w:id="226"/>
    </w:p>
    <w:p>
      <w:pPr>
        <w:pStyle w:val="Subsection"/>
      </w:pPr>
      <w:r>
        <w:tab/>
        <w:t>(1)</w:t>
      </w:r>
      <w:r>
        <w:tab/>
        <w:t xml:space="preserve">The court may order a financial institution to give information about all transactions carried out through an account held with the institution by a person named in the order to — </w:t>
      </w:r>
    </w:p>
    <w:p>
      <w:pPr>
        <w:pStyle w:val="Indenta"/>
      </w:pPr>
      <w:r>
        <w:tab/>
        <w:t>(a)</w:t>
      </w:r>
      <w:r>
        <w:tab/>
        <w:t>the DPP or a police officer, if the DPP applied for the order; or</w:t>
      </w:r>
    </w:p>
    <w:p>
      <w:pPr>
        <w:pStyle w:val="Indenta"/>
      </w:pPr>
      <w:r>
        <w:tab/>
        <w:t>(b)</w:t>
      </w:r>
      <w:r>
        <w:tab/>
        <w:t>the CCC, if the CCC applied for the order.</w:t>
      </w:r>
    </w:p>
    <w:p>
      <w:pPr>
        <w:pStyle w:val="Subsection"/>
      </w:pPr>
      <w:r>
        <w:tab/>
        <w:t>(2)</w:t>
      </w:r>
      <w:r>
        <w:tab/>
        <w:t>The court may order a financial institution —</w:t>
      </w:r>
    </w:p>
    <w:p>
      <w:pPr>
        <w:pStyle w:val="Indenta"/>
      </w:pPr>
      <w:r>
        <w:tab/>
        <w:t>(a)</w:t>
      </w:r>
      <w:r>
        <w:tab/>
        <w:t xml:space="preserve">to notify the following persons immediately of any transaction that has been initiated in connection with an account held with the institution by a person named in the order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(b)</w:t>
      </w:r>
      <w:r>
        <w:tab/>
        <w:t xml:space="preserve">to notify the following persons immediately if there are reasonable grounds for suspecting that a transaction is about to be initiated in connection with the account — </w:t>
      </w:r>
    </w:p>
    <w:p>
      <w:pPr>
        <w:pStyle w:val="Indenti"/>
      </w:pPr>
      <w:r>
        <w:tab/>
        <w:t>(i)</w:t>
      </w:r>
      <w:r>
        <w:tab/>
        <w:t>the DPP or a police officer, if the DPP applied for the order;</w:t>
      </w:r>
    </w:p>
    <w:p>
      <w:pPr>
        <w:pStyle w:val="Indenti"/>
      </w:pPr>
      <w:r>
        <w:tab/>
        <w:t>(ii)</w:t>
      </w:r>
      <w:r>
        <w:tab/>
        <w:t>the CCC, if the CCC applied for the order;</w:t>
      </w:r>
    </w:p>
    <w:p>
      <w:pPr>
        <w:pStyle w:val="Indenta"/>
      </w:pPr>
      <w:r>
        <w:tab/>
      </w:r>
      <w:r>
        <w:tab/>
        <w:t>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Footnotesection"/>
      </w:pPr>
      <w:r>
        <w:tab/>
        <w:t>[Section 68 amended: No. 10 of 2018 s. 56.]</w:t>
      </w:r>
    </w:p>
    <w:p>
      <w:pPr>
        <w:pStyle w:val="Heading5"/>
      </w:pPr>
      <w:bookmarkStart w:id="227" w:name="_Toc141091284"/>
      <w:bookmarkStart w:id="228" w:name="_Toc12618521"/>
      <w:r>
        <w:rPr>
          <w:rStyle w:val="CharSectno"/>
        </w:rPr>
        <w:t>69</w:t>
      </w:r>
      <w:r>
        <w:t>.</w:t>
      </w:r>
      <w:r>
        <w:tab/>
        <w:t>Contravening monitoring order or suspension order, offence</w:t>
      </w:r>
      <w:bookmarkEnd w:id="227"/>
      <w:bookmarkEnd w:id="228"/>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229" w:name="_Toc141091082"/>
      <w:bookmarkStart w:id="230" w:name="_Toc141091285"/>
      <w:bookmarkStart w:id="231" w:name="_Toc7619929"/>
      <w:bookmarkStart w:id="232" w:name="_Toc12618321"/>
      <w:bookmarkStart w:id="233" w:name="_Toc12618522"/>
      <w:r>
        <w:rPr>
          <w:rStyle w:val="CharDivNo"/>
        </w:rPr>
        <w:t>Division 5</w:t>
      </w:r>
      <w:r>
        <w:t xml:space="preserve"> — </w:t>
      </w:r>
      <w:r>
        <w:rPr>
          <w:rStyle w:val="CharDivText"/>
        </w:rPr>
        <w:t>Secrecy requirements</w:t>
      </w:r>
      <w:bookmarkEnd w:id="229"/>
      <w:bookmarkEnd w:id="230"/>
      <w:bookmarkEnd w:id="231"/>
      <w:bookmarkEnd w:id="232"/>
      <w:bookmarkEnd w:id="233"/>
    </w:p>
    <w:p>
      <w:pPr>
        <w:pStyle w:val="Heading5"/>
      </w:pPr>
      <w:bookmarkStart w:id="234" w:name="_Toc141091286"/>
      <w:bookmarkStart w:id="235" w:name="_Toc12618523"/>
      <w:r>
        <w:rPr>
          <w:rStyle w:val="CharSectno"/>
        </w:rPr>
        <w:t>70</w:t>
      </w:r>
      <w:r>
        <w:t>.</w:t>
      </w:r>
      <w:r>
        <w:tab/>
        <w:t>Disclosure of certain information restricted, offence</w:t>
      </w:r>
      <w:bookmarkEnd w:id="234"/>
      <w:bookmarkEnd w:id="235"/>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a police officer or an authorised CCC officer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Footnotesection"/>
      </w:pPr>
      <w:r>
        <w:tab/>
        <w:t>[Section 70 amended: No. 10 of 2018 s. 57.]</w:t>
      </w:r>
    </w:p>
    <w:p>
      <w:pPr>
        <w:pStyle w:val="Heading5"/>
      </w:pPr>
      <w:bookmarkStart w:id="236" w:name="_Toc141091287"/>
      <w:bookmarkStart w:id="237" w:name="_Toc12618524"/>
      <w:r>
        <w:rPr>
          <w:rStyle w:val="CharSectno"/>
        </w:rPr>
        <w:t>71</w:t>
      </w:r>
      <w:r>
        <w:t>.</w:t>
      </w:r>
      <w:r>
        <w:tab/>
        <w:t>Who restricted disclosures may be made to</w:t>
      </w:r>
      <w:bookmarkEnd w:id="236"/>
      <w:bookmarkEnd w:id="237"/>
    </w:p>
    <w:p>
      <w:pPr>
        <w:pStyle w:val="Subsection"/>
      </w:pPr>
      <w:r>
        <w:tab/>
        <w:t>(1)</w:t>
      </w:r>
      <w:r>
        <w:tab/>
        <w:t>A corporation, or an officer of a corporation, may make a restricted disclosure to any one or more of the following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(aa)</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 xml:space="preserve">An individual who is not acting in the capacity of an officer of a corporation or of a legal practitioner may make a restricted disclosure to any one or more of the following — </w:t>
      </w:r>
    </w:p>
    <w:p>
      <w:pPr>
        <w:pStyle w:val="Indenta"/>
      </w:pPr>
      <w:r>
        <w:tab/>
        <w:t>(a)</w:t>
      </w:r>
      <w:r>
        <w:tab/>
        <w:t xml:space="preserve">the DPP or a police officer, if the restricted disclosure relates to — </w:t>
      </w:r>
    </w:p>
    <w:p>
      <w:pPr>
        <w:pStyle w:val="Indenti"/>
      </w:pPr>
      <w:r>
        <w:tab/>
        <w:t>(i)</w:t>
      </w:r>
      <w:r>
        <w:tab/>
        <w:t>information intended to be given to, or that has been given to, the DPP or a police officer under section 53; or</w:t>
      </w:r>
    </w:p>
    <w:p>
      <w:pPr>
        <w:pStyle w:val="Indenti"/>
      </w:pPr>
      <w:r>
        <w:tab/>
        <w:t>(ii)</w:t>
      </w:r>
      <w:r>
        <w:tab/>
        <w:t>a requirement made by, or response given to, the DPP or a police officer under section 54; or</w:t>
      </w:r>
    </w:p>
    <w:p>
      <w:pPr>
        <w:pStyle w:val="Indenti"/>
      </w:pPr>
      <w:r>
        <w:tab/>
        <w:t>(iii)</w:t>
      </w:r>
      <w:r>
        <w:tab/>
        <w:t>a production order, examination order, monitoring order or suspension order for which the DPP applied;</w:t>
      </w:r>
    </w:p>
    <w:p>
      <w:pPr>
        <w:pStyle w:val="Indenta"/>
      </w:pPr>
      <w:r>
        <w:tab/>
        <w:t>(b)</w:t>
      </w:r>
      <w:r>
        <w:tab/>
        <w:t xml:space="preserve">the CCC or an authorised CCC officer, if the restricted disclosure relates to — </w:t>
      </w:r>
    </w:p>
    <w:p>
      <w:pPr>
        <w:pStyle w:val="Indenti"/>
      </w:pPr>
      <w:r>
        <w:tab/>
        <w:t>(i)</w:t>
      </w:r>
      <w:r>
        <w:tab/>
        <w:t>information intended to be given to, or that has been given to, the CCC or an authorised CCC officer under section 53; or</w:t>
      </w:r>
    </w:p>
    <w:p>
      <w:pPr>
        <w:pStyle w:val="Indenti"/>
      </w:pPr>
      <w:r>
        <w:tab/>
        <w:t>(ii)</w:t>
      </w:r>
      <w:r>
        <w:tab/>
        <w:t>a requirement made by, or response given to, the CCC or an authorised CCC officer under section 54; or</w:t>
      </w:r>
    </w:p>
    <w:p>
      <w:pPr>
        <w:pStyle w:val="Indenti"/>
      </w:pPr>
      <w:r>
        <w:tab/>
        <w:t>(iii)</w:t>
      </w:r>
      <w:r>
        <w:tab/>
        <w:t>an examination order made by the CCC or a monitoring order or suspension order for which the CCC applied;</w:t>
      </w:r>
    </w:p>
    <w:p>
      <w:pPr>
        <w:pStyle w:val="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Footnotesection"/>
      </w:pPr>
      <w:r>
        <w:tab/>
        <w:t>[Section 71 amended: No. 10 of 2018 s. 58.]</w:t>
      </w:r>
    </w:p>
    <w:p>
      <w:pPr>
        <w:pStyle w:val="Heading5"/>
      </w:pPr>
      <w:bookmarkStart w:id="238" w:name="_Toc141091288"/>
      <w:bookmarkStart w:id="239" w:name="_Toc12618525"/>
      <w:r>
        <w:rPr>
          <w:rStyle w:val="CharSectno"/>
        </w:rPr>
        <w:t>72</w:t>
      </w:r>
      <w:r>
        <w:t>.</w:t>
      </w:r>
      <w:r>
        <w:tab/>
        <w:t>Disclosure to court</w:t>
      </w:r>
      <w:bookmarkEnd w:id="238"/>
      <w:bookmarkEnd w:id="239"/>
    </w:p>
    <w:p>
      <w:pPr>
        <w:pStyle w:val="Subsection"/>
      </w:pPr>
      <w:r>
        <w:tab/>
      </w:r>
      <w:r>
        <w:tab/>
        <w:t>A person is not required to make a restricted disclosure to any court for any purpose.</w:t>
      </w:r>
    </w:p>
    <w:p>
      <w:pPr>
        <w:pStyle w:val="Heading3"/>
      </w:pPr>
      <w:bookmarkStart w:id="240" w:name="_Toc141091086"/>
      <w:bookmarkStart w:id="241" w:name="_Toc141091289"/>
      <w:bookmarkStart w:id="242" w:name="_Toc7619933"/>
      <w:bookmarkStart w:id="243" w:name="_Toc12618325"/>
      <w:bookmarkStart w:id="244" w:name="_Toc12618526"/>
      <w:r>
        <w:rPr>
          <w:rStyle w:val="CharDivNo"/>
        </w:rPr>
        <w:t>Division 6</w:t>
      </w:r>
      <w:r>
        <w:t xml:space="preserve"> — </w:t>
      </w:r>
      <w:r>
        <w:rPr>
          <w:rStyle w:val="CharDivText"/>
        </w:rPr>
        <w:t>Detention, search and seizure</w:t>
      </w:r>
      <w:bookmarkEnd w:id="240"/>
      <w:bookmarkEnd w:id="241"/>
      <w:bookmarkEnd w:id="242"/>
      <w:bookmarkEnd w:id="243"/>
      <w:bookmarkEnd w:id="244"/>
    </w:p>
    <w:p>
      <w:pPr>
        <w:pStyle w:val="Heading5"/>
        <w:spacing w:before="180"/>
      </w:pPr>
      <w:bookmarkStart w:id="245" w:name="_Toc141091290"/>
      <w:bookmarkStart w:id="246" w:name="_Toc12618527"/>
      <w:r>
        <w:rPr>
          <w:rStyle w:val="CharSectno"/>
        </w:rPr>
        <w:t>73</w:t>
      </w:r>
      <w:r>
        <w:t>.</w:t>
      </w:r>
      <w:r>
        <w:tab/>
        <w:t>Confiscable property etc., powers to search etc. people for</w:t>
      </w:r>
      <w:bookmarkEnd w:id="245"/>
      <w:bookmarkEnd w:id="246"/>
    </w:p>
    <w:p>
      <w:pPr>
        <w:pStyle w:val="Subsection"/>
      </w:pPr>
      <w:r>
        <w:tab/>
        <w:t>(1)</w:t>
      </w:r>
      <w:r>
        <w:tab/>
        <w:t>A police officer or an authorised CCC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or an authorised CCC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their powers under subsection (1) or (2), a police officer or an authorised CCC officer may stop and detain a vehicle.</w:t>
      </w:r>
    </w:p>
    <w:p>
      <w:pPr>
        <w:pStyle w:val="Subsection"/>
      </w:pPr>
      <w:r>
        <w:tab/>
        <w:t>(4)</w:t>
      </w:r>
      <w:r>
        <w:tab/>
        <w:t>When a police officer or an authorised CCC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their powers under this section, a police officer or an authorised CCC officer may use any necessary force and any assistance the officer thinks necessary.</w:t>
      </w:r>
    </w:p>
    <w:p>
      <w:pPr>
        <w:pStyle w:val="Footnotesection"/>
      </w:pPr>
      <w:r>
        <w:tab/>
        <w:t>[Section 73 amended: No. 10 of 2018 s. 59.]</w:t>
      </w:r>
    </w:p>
    <w:p>
      <w:pPr>
        <w:pStyle w:val="Heading5"/>
        <w:spacing w:before="180"/>
      </w:pPr>
      <w:bookmarkStart w:id="247" w:name="_Toc141091291"/>
      <w:bookmarkStart w:id="248" w:name="_Toc12618528"/>
      <w:r>
        <w:rPr>
          <w:rStyle w:val="CharSectno"/>
        </w:rPr>
        <w:t>74</w:t>
      </w:r>
      <w:r>
        <w:t>.</w:t>
      </w:r>
      <w:r>
        <w:tab/>
        <w:t>Search warrants</w:t>
      </w:r>
      <w:bookmarkEnd w:id="247"/>
      <w:bookmarkEnd w:id="248"/>
    </w:p>
    <w:p>
      <w:pPr>
        <w:pStyle w:val="Subsection"/>
      </w:pPr>
      <w:r>
        <w:tab/>
        <w:t>(1)</w:t>
      </w:r>
      <w:r>
        <w:tab/>
        <w:t>A police officer or an authorised CCC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or an authorised CCC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Footnotesection"/>
      </w:pPr>
      <w:r>
        <w:tab/>
        <w:t>[Section 74 amended: No. 10 of 2018 s. 60.]</w:t>
      </w:r>
    </w:p>
    <w:p>
      <w:pPr>
        <w:pStyle w:val="Heading5"/>
      </w:pPr>
      <w:bookmarkStart w:id="249" w:name="_Toc141091292"/>
      <w:bookmarkStart w:id="250" w:name="_Toc12618529"/>
      <w:r>
        <w:rPr>
          <w:rStyle w:val="CharSectno"/>
        </w:rPr>
        <w:t>75</w:t>
      </w:r>
      <w:r>
        <w:t>.</w:t>
      </w:r>
      <w:r>
        <w:tab/>
        <w:t>Search of person under s. 73 or 74, who may perform</w:t>
      </w:r>
      <w:bookmarkEnd w:id="249"/>
      <w:bookmarkEnd w:id="250"/>
    </w:p>
    <w:p>
      <w:pPr>
        <w:pStyle w:val="Subsection"/>
      </w:pPr>
      <w:r>
        <w:tab/>
        <w:t>(1)</w:t>
      </w:r>
      <w:r>
        <w:tab/>
        <w:t>When a police officer or an authorised CCC officer exercises their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or authorised CCC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Footnotesection"/>
      </w:pPr>
      <w:r>
        <w:tab/>
        <w:t>[Section 75 amended: No. 10 of 2018 s. 61.]</w:t>
      </w:r>
    </w:p>
    <w:p>
      <w:pPr>
        <w:pStyle w:val="Heading5"/>
        <w:keepLines w:val="0"/>
      </w:pPr>
      <w:bookmarkStart w:id="251" w:name="_Toc141091293"/>
      <w:bookmarkStart w:id="252" w:name="_Toc12618530"/>
      <w:r>
        <w:rPr>
          <w:rStyle w:val="CharSectno"/>
        </w:rPr>
        <w:t>76</w:t>
      </w:r>
      <w:r>
        <w:t>.</w:t>
      </w:r>
      <w:r>
        <w:tab/>
        <w:t>Additional powers for powers under s. 73 and 74</w:t>
      </w:r>
      <w:bookmarkEnd w:id="251"/>
      <w:bookmarkEnd w:id="252"/>
    </w:p>
    <w:p>
      <w:pPr>
        <w:pStyle w:val="Subsection"/>
      </w:pPr>
      <w:r>
        <w:tab/>
        <w:t>(1)</w:t>
      </w:r>
      <w:r>
        <w:tab/>
        <w:t>When a police officer or an authorised CCC officer exercises any of their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spacing w:before="60"/>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Footnotesection"/>
        <w:spacing w:before="80"/>
        <w:ind w:left="890" w:hanging="890"/>
      </w:pPr>
      <w:r>
        <w:tab/>
        <w:t>[Section 76 amended: No. 10 of 2018 s. 62.]</w:t>
      </w:r>
    </w:p>
    <w:p>
      <w:pPr>
        <w:pStyle w:val="Heading5"/>
      </w:pPr>
      <w:bookmarkStart w:id="253" w:name="_Toc141091294"/>
      <w:bookmarkStart w:id="254" w:name="_Toc12618531"/>
      <w:r>
        <w:rPr>
          <w:rStyle w:val="CharSectno"/>
        </w:rPr>
        <w:t>77</w:t>
      </w:r>
      <w:r>
        <w:t>.</w:t>
      </w:r>
      <w:r>
        <w:tab/>
        <w:t>Warrant under s. 74 extends to documents produced later</w:t>
      </w:r>
      <w:bookmarkEnd w:id="253"/>
      <w:bookmarkEnd w:id="25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or an authorised CCC officer may take the action when the document becomes available.</w:t>
      </w:r>
    </w:p>
    <w:p>
      <w:pPr>
        <w:pStyle w:val="Footnotesection"/>
      </w:pPr>
      <w:r>
        <w:tab/>
        <w:t>[Section 77 amended: No. 10 of 2018 s. 63.]</w:t>
      </w:r>
    </w:p>
    <w:p>
      <w:pPr>
        <w:pStyle w:val="Heading5"/>
      </w:pPr>
      <w:bookmarkStart w:id="255" w:name="_Toc141091295"/>
      <w:bookmarkStart w:id="256" w:name="_Toc12618532"/>
      <w:r>
        <w:rPr>
          <w:rStyle w:val="CharSectno"/>
        </w:rPr>
        <w:t>78</w:t>
      </w:r>
      <w:r>
        <w:t>.</w:t>
      </w:r>
      <w:r>
        <w:tab/>
        <w:t>Other laws on search warrants not affected</w:t>
      </w:r>
      <w:bookmarkEnd w:id="255"/>
      <w:bookmarkEnd w:id="256"/>
    </w:p>
    <w:p>
      <w:pPr>
        <w:pStyle w:val="Subsection"/>
      </w:pPr>
      <w:r>
        <w:tab/>
      </w:r>
      <w:r>
        <w:tab/>
        <w:t>Nothing in this Act affects the operation of any other enactment requiring or authorising a police officer or an authorised CCC officer to obtain a warrant to enter or search property.</w:t>
      </w:r>
    </w:p>
    <w:p>
      <w:pPr>
        <w:pStyle w:val="Footnotesection"/>
      </w:pPr>
      <w:r>
        <w:tab/>
        <w:t>[Section 78 amended: No. 10 of 2018 s. 64.]</w:t>
      </w:r>
    </w:p>
    <w:p>
      <w:pPr>
        <w:pStyle w:val="Heading2"/>
      </w:pPr>
      <w:bookmarkStart w:id="257" w:name="_Toc141091093"/>
      <w:bookmarkStart w:id="258" w:name="_Toc141091296"/>
      <w:bookmarkStart w:id="259" w:name="_Toc7619940"/>
      <w:bookmarkStart w:id="260" w:name="_Toc12618332"/>
      <w:bookmarkStart w:id="261" w:name="_Toc12618533"/>
      <w:r>
        <w:rPr>
          <w:rStyle w:val="CharPartNo"/>
        </w:rPr>
        <w:t>Part 6</w:t>
      </w:r>
      <w:r>
        <w:rPr>
          <w:rStyle w:val="CharDivNo"/>
        </w:rPr>
        <w:t xml:space="preserve"> </w:t>
      </w:r>
      <w:r>
        <w:t>—</w:t>
      </w:r>
      <w:r>
        <w:rPr>
          <w:rStyle w:val="CharDivText"/>
        </w:rPr>
        <w:t xml:space="preserve"> </w:t>
      </w:r>
      <w:r>
        <w:rPr>
          <w:rStyle w:val="CharPartText"/>
        </w:rPr>
        <w:t>Objections to confiscation</w:t>
      </w:r>
      <w:bookmarkEnd w:id="257"/>
      <w:bookmarkEnd w:id="258"/>
      <w:bookmarkEnd w:id="259"/>
      <w:bookmarkEnd w:id="260"/>
      <w:bookmarkEnd w:id="261"/>
    </w:p>
    <w:p>
      <w:pPr>
        <w:pStyle w:val="Heading5"/>
      </w:pPr>
      <w:bookmarkStart w:id="262" w:name="_Toc141091297"/>
      <w:bookmarkStart w:id="263" w:name="_Toc12618534"/>
      <w:r>
        <w:rPr>
          <w:rStyle w:val="CharSectno"/>
        </w:rPr>
        <w:t>79</w:t>
      </w:r>
      <w:r>
        <w:t>.</w:t>
      </w:r>
      <w:r>
        <w:tab/>
        <w:t>Confiscation of frozen property, objecting to</w:t>
      </w:r>
      <w:bookmarkEnd w:id="262"/>
      <w:bookmarkEnd w:id="263"/>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264" w:name="_Toc141091298"/>
      <w:bookmarkStart w:id="265" w:name="_Toc12618535"/>
      <w:r>
        <w:rPr>
          <w:rStyle w:val="CharSectno"/>
        </w:rPr>
        <w:t>80</w:t>
      </w:r>
      <w:r>
        <w:t>.</w:t>
      </w:r>
      <w:r>
        <w:tab/>
        <w:t>Objection proceedings, State is party to</w:t>
      </w:r>
      <w:bookmarkEnd w:id="264"/>
      <w:bookmarkEnd w:id="265"/>
    </w:p>
    <w:p>
      <w:pPr>
        <w:pStyle w:val="Subsection"/>
      </w:pPr>
      <w:r>
        <w:tab/>
      </w:r>
      <w:r>
        <w:tab/>
        <w:t>The State is a party to proceedings on an objection.</w:t>
      </w:r>
    </w:p>
    <w:p>
      <w:pPr>
        <w:pStyle w:val="Heading5"/>
      </w:pPr>
      <w:bookmarkStart w:id="266" w:name="_Toc141091299"/>
      <w:bookmarkStart w:id="267" w:name="_Toc12618536"/>
      <w:r>
        <w:rPr>
          <w:rStyle w:val="CharSectno"/>
        </w:rPr>
        <w:t>81</w:t>
      </w:r>
      <w:r>
        <w:t>.</w:t>
      </w:r>
      <w:r>
        <w:tab/>
        <w:t>On objection, court may release frozen property under s. 82, 83 or 84</w:t>
      </w:r>
      <w:bookmarkEnd w:id="266"/>
      <w:bookmarkEnd w:id="267"/>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 remaining ground.</w:t>
      </w:r>
    </w:p>
    <w:p>
      <w:pPr>
        <w:pStyle w:val="Heading5"/>
      </w:pPr>
      <w:bookmarkStart w:id="268" w:name="_Toc141091300"/>
      <w:bookmarkStart w:id="269" w:name="_Toc12618537"/>
      <w:r>
        <w:rPr>
          <w:rStyle w:val="CharSectno"/>
        </w:rPr>
        <w:t>82</w:t>
      </w:r>
      <w:r>
        <w:t>.</w:t>
      </w:r>
      <w:r>
        <w:tab/>
        <w:t>Crime</w:t>
      </w:r>
      <w:r>
        <w:noBreakHyphen/>
        <w:t>used property, release of</w:t>
      </w:r>
      <w:bookmarkEnd w:id="268"/>
      <w:bookmarkEnd w:id="269"/>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No. 28 of 2003 s. 41.]</w:t>
      </w:r>
    </w:p>
    <w:p>
      <w:pPr>
        <w:pStyle w:val="Heading5"/>
      </w:pPr>
      <w:bookmarkStart w:id="270" w:name="_Toc141091301"/>
      <w:bookmarkStart w:id="271" w:name="_Toc12618538"/>
      <w:r>
        <w:rPr>
          <w:rStyle w:val="CharSectno"/>
        </w:rPr>
        <w:t>83</w:t>
      </w:r>
      <w:r>
        <w:t>.</w:t>
      </w:r>
      <w:r>
        <w:tab/>
        <w:t>Crime</w:t>
      </w:r>
      <w:r>
        <w:noBreakHyphen/>
        <w:t>derived property, release of</w:t>
      </w:r>
      <w:bookmarkEnd w:id="270"/>
      <w:bookmarkEnd w:id="271"/>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72" w:name="_Toc141091302"/>
      <w:bookmarkStart w:id="273" w:name="_Toc12618539"/>
      <w:r>
        <w:rPr>
          <w:rStyle w:val="CharSectno"/>
        </w:rPr>
        <w:t>84</w:t>
      </w:r>
      <w:r>
        <w:t>.</w:t>
      </w:r>
      <w:r>
        <w:tab/>
        <w:t>Other frozen property, release of</w:t>
      </w:r>
      <w:bookmarkEnd w:id="272"/>
      <w:bookmarkEnd w:id="273"/>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274" w:name="_Toc141091303"/>
      <w:bookmarkStart w:id="275" w:name="_Toc12618540"/>
      <w:r>
        <w:rPr>
          <w:rStyle w:val="CharSectno"/>
        </w:rPr>
        <w:t>85</w:t>
      </w:r>
      <w:r>
        <w:t>.</w:t>
      </w:r>
      <w:r>
        <w:tab/>
        <w:t>Confiscated property, applying for release of</w:t>
      </w:r>
      <w:bookmarkEnd w:id="274"/>
      <w:bookmarkEnd w:id="275"/>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76" w:name="_Toc141091304"/>
      <w:bookmarkStart w:id="277" w:name="_Toc12618541"/>
      <w:r>
        <w:rPr>
          <w:rStyle w:val="CharSectno"/>
        </w:rPr>
        <w:t>86</w:t>
      </w:r>
      <w:r>
        <w:t>.</w:t>
      </w:r>
      <w:r>
        <w:tab/>
        <w:t>Application under s. 85, State is party to</w:t>
      </w:r>
      <w:bookmarkEnd w:id="276"/>
      <w:bookmarkEnd w:id="277"/>
    </w:p>
    <w:p>
      <w:pPr>
        <w:pStyle w:val="Subsection"/>
      </w:pPr>
      <w:r>
        <w:tab/>
      </w:r>
      <w:r>
        <w:tab/>
        <w:t>The State is a party to proceedings on an application under section 85.</w:t>
      </w:r>
    </w:p>
    <w:p>
      <w:pPr>
        <w:pStyle w:val="Heading5"/>
      </w:pPr>
      <w:bookmarkStart w:id="278" w:name="_Toc141091305"/>
      <w:bookmarkStart w:id="279" w:name="_Toc12618542"/>
      <w:r>
        <w:rPr>
          <w:rStyle w:val="CharSectno"/>
        </w:rPr>
        <w:t>87</w:t>
      </w:r>
      <w:r>
        <w:t>.</w:t>
      </w:r>
      <w:r>
        <w:tab/>
        <w:t>Confiscated property, release of</w:t>
      </w:r>
      <w:bookmarkEnd w:id="278"/>
      <w:bookmarkEnd w:id="279"/>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80" w:name="_Toc141091103"/>
      <w:bookmarkStart w:id="281" w:name="_Toc141091306"/>
      <w:bookmarkStart w:id="282" w:name="_Toc7619950"/>
      <w:bookmarkStart w:id="283" w:name="_Toc12618342"/>
      <w:bookmarkStart w:id="284" w:name="_Toc12618543"/>
      <w:r>
        <w:rPr>
          <w:rStyle w:val="CharPartNo"/>
        </w:rPr>
        <w:t>Part 7</w:t>
      </w:r>
      <w:r>
        <w:t xml:space="preserve"> — </w:t>
      </w:r>
      <w:r>
        <w:rPr>
          <w:rStyle w:val="CharPartText"/>
        </w:rPr>
        <w:t>Management of seized, frozen and confiscated property</w:t>
      </w:r>
      <w:bookmarkEnd w:id="280"/>
      <w:bookmarkEnd w:id="281"/>
      <w:bookmarkEnd w:id="282"/>
      <w:bookmarkEnd w:id="283"/>
      <w:bookmarkEnd w:id="284"/>
    </w:p>
    <w:p>
      <w:pPr>
        <w:pStyle w:val="Heading3"/>
      </w:pPr>
      <w:bookmarkStart w:id="285" w:name="_Toc141091104"/>
      <w:bookmarkStart w:id="286" w:name="_Toc141091307"/>
      <w:bookmarkStart w:id="287" w:name="_Toc7619951"/>
      <w:bookmarkStart w:id="288" w:name="_Toc12618343"/>
      <w:bookmarkStart w:id="289" w:name="_Toc12618544"/>
      <w:r>
        <w:rPr>
          <w:rStyle w:val="CharDivNo"/>
        </w:rPr>
        <w:t>Division 1</w:t>
      </w:r>
      <w:r>
        <w:t xml:space="preserve"> — </w:t>
      </w:r>
      <w:r>
        <w:rPr>
          <w:rStyle w:val="CharDivText"/>
        </w:rPr>
        <w:t>Control and management of property</w:t>
      </w:r>
      <w:bookmarkEnd w:id="285"/>
      <w:bookmarkEnd w:id="286"/>
      <w:bookmarkEnd w:id="287"/>
      <w:bookmarkEnd w:id="288"/>
      <w:bookmarkEnd w:id="289"/>
    </w:p>
    <w:p>
      <w:pPr>
        <w:pStyle w:val="Heading5"/>
      </w:pPr>
      <w:bookmarkStart w:id="290" w:name="_Toc141091308"/>
      <w:bookmarkStart w:id="291" w:name="_Toc12618545"/>
      <w:r>
        <w:rPr>
          <w:rStyle w:val="CharSectno"/>
        </w:rPr>
        <w:t>88</w:t>
      </w:r>
      <w:r>
        <w:t>.</w:t>
      </w:r>
      <w:r>
        <w:tab/>
        <w:t>Seized property, control etc. of</w:t>
      </w:r>
      <w:bookmarkEnd w:id="290"/>
      <w:bookmarkEnd w:id="291"/>
    </w:p>
    <w:p>
      <w:pPr>
        <w:pStyle w:val="Subsection"/>
      </w:pPr>
      <w:r>
        <w:tab/>
        <w:t>(1)</w:t>
      </w:r>
      <w:r>
        <w:tab/>
        <w:t>The Commissioner of Police has responsibility for the control and management of property seized by a police officer, whether under section 33(1) or under a warrant under section 74.</w:t>
      </w:r>
    </w:p>
    <w:p>
      <w:pPr>
        <w:pStyle w:val="Subsection"/>
      </w:pPr>
      <w:r>
        <w:tab/>
        <w:t>(1A)</w:t>
      </w:r>
      <w:r>
        <w:tab/>
        <w:t>The CCC has responsibility for the control and management of property seized by an authorised CCC officer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Footnotesection"/>
      </w:pPr>
      <w:r>
        <w:tab/>
        <w:t>[Section 88 amended: No. 10 of 2018 s. 65.]</w:t>
      </w:r>
    </w:p>
    <w:p>
      <w:pPr>
        <w:pStyle w:val="Heading5"/>
      </w:pPr>
      <w:bookmarkStart w:id="292" w:name="_Toc141091309"/>
      <w:bookmarkStart w:id="293" w:name="_Toc12618546"/>
      <w:r>
        <w:rPr>
          <w:rStyle w:val="CharSectno"/>
        </w:rPr>
        <w:t>89</w:t>
      </w:r>
      <w:r>
        <w:t>.</w:t>
      </w:r>
      <w:r>
        <w:tab/>
        <w:t>Frozen and confiscated property, control etc. of</w:t>
      </w:r>
      <w:bookmarkEnd w:id="292"/>
      <w:bookmarkEnd w:id="293"/>
    </w:p>
    <w:p>
      <w:pPr>
        <w:pStyle w:val="Subsection"/>
      </w:pPr>
      <w:r>
        <w:tab/>
        <w:t>(1)</w:t>
      </w:r>
      <w:r>
        <w:tab/>
        <w:t>The DPP has responsibility for the control and management of frozen property (except frozen property to which subsection (1A) relates) unless the court otherwise orders under section 45(c) or 91(2).</w:t>
      </w:r>
    </w:p>
    <w:p>
      <w:pPr>
        <w:pStyle w:val="Subsection"/>
      </w:pPr>
      <w:r>
        <w:tab/>
        <w:t>(1A)</w:t>
      </w:r>
      <w:r>
        <w:tab/>
        <w:t>The CCC has responsibility for the control and management of frozen property that is subject to a freezing order applied for by the CCC unless the court otherwise orders under section 45(c) or 91(2).</w:t>
      </w:r>
    </w:p>
    <w:p>
      <w:pPr>
        <w:pStyle w:val="Subsection"/>
      </w:pPr>
      <w:r>
        <w:tab/>
        <w:t>(2)</w:t>
      </w:r>
      <w:r>
        <w:tab/>
        <w:t>The DPP has responsibility for the control and management of confiscated property (except confiscated property to which subsection (2A) relates) until it is disposed of.</w:t>
      </w:r>
    </w:p>
    <w:p>
      <w:pPr>
        <w:pStyle w:val="Subsection"/>
      </w:pPr>
      <w:r>
        <w:tab/>
        <w:t>(2A)</w:t>
      </w:r>
      <w:r>
        <w:tab/>
        <w:t xml:space="preserve">Until the property is disposed of, the CCC has responsibility for the control and management of confiscated property that is — </w:t>
      </w:r>
    </w:p>
    <w:p>
      <w:pPr>
        <w:pStyle w:val="Indenta"/>
      </w:pPr>
      <w:r>
        <w:tab/>
        <w:t>(a)</w:t>
      </w:r>
      <w:r>
        <w:tab/>
        <w:t>property confiscated under section 6 to pay the amount specified in an unexplained wealth declaration or criminal benefits declaration obtained by the CCC; or</w:t>
      </w:r>
    </w:p>
    <w:p>
      <w:pPr>
        <w:pStyle w:val="Indenta"/>
      </w:pPr>
      <w:r>
        <w:tab/>
        <w:t>(b)</w:t>
      </w:r>
      <w:r>
        <w:tab/>
        <w:t>frozen property confiscated under section 7 that is the subject of a freezing order obtained by the CCC.</w:t>
      </w:r>
    </w:p>
    <w:p>
      <w:pPr>
        <w:pStyle w:val="Subsection"/>
      </w:pPr>
      <w:r>
        <w:tab/>
        <w:t>(3)</w:t>
      </w:r>
      <w:r>
        <w:tab/>
        <w:t>The DPP or the CCC may appoint any of the following persons to manage property for which the DPP or CCC (as the case requires) has responsibility under this section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Footnotesection"/>
      </w:pPr>
      <w:r>
        <w:tab/>
        <w:t>[Section 89 amended: No. 10 of 2018 s. 66.]</w:t>
      </w:r>
    </w:p>
    <w:p>
      <w:pPr>
        <w:pStyle w:val="Heading5"/>
      </w:pPr>
      <w:bookmarkStart w:id="294" w:name="_Toc141091310"/>
      <w:bookmarkStart w:id="295" w:name="_Toc12618547"/>
      <w:r>
        <w:rPr>
          <w:rStyle w:val="CharSectno"/>
        </w:rPr>
        <w:t>90</w:t>
      </w:r>
      <w:r>
        <w:t>.</w:t>
      </w:r>
      <w:r>
        <w:tab/>
        <w:t>Capacity of DPP or CCC to carry out transactions</w:t>
      </w:r>
      <w:bookmarkEnd w:id="294"/>
      <w:bookmarkEnd w:id="295"/>
    </w:p>
    <w:p>
      <w:pPr>
        <w:pStyle w:val="Subsection"/>
      </w:pPr>
      <w:r>
        <w:tab/>
      </w:r>
      <w:r>
        <w:tab/>
        <w:t>To facilitate the destruction, sale or other disposal of property under this Act, the DPP or the CCC may enter into a contract, and may execute a transfer or other instrument.</w:t>
      </w:r>
    </w:p>
    <w:p>
      <w:pPr>
        <w:pStyle w:val="Footnotesection"/>
      </w:pPr>
      <w:r>
        <w:tab/>
        <w:t>[Section 90 amended: No. 10 of 2018 s. 67.]</w:t>
      </w:r>
    </w:p>
    <w:p>
      <w:pPr>
        <w:pStyle w:val="Heading5"/>
      </w:pPr>
      <w:bookmarkStart w:id="296" w:name="_Toc141091311"/>
      <w:bookmarkStart w:id="297" w:name="_Toc12618548"/>
      <w:r>
        <w:rPr>
          <w:rStyle w:val="CharSectno"/>
        </w:rPr>
        <w:t>91</w:t>
      </w:r>
      <w:r>
        <w:t>.</w:t>
      </w:r>
      <w:r>
        <w:tab/>
        <w:t>Control etc. of frozen property by owner, court may order</w:t>
      </w:r>
      <w:bookmarkEnd w:id="296"/>
      <w:bookmarkEnd w:id="297"/>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98" w:name="_Toc141091312"/>
      <w:bookmarkStart w:id="299" w:name="_Toc12618549"/>
      <w:r>
        <w:rPr>
          <w:rStyle w:val="CharSectno"/>
        </w:rPr>
        <w:t>92</w:t>
      </w:r>
      <w:r>
        <w:t>.</w:t>
      </w:r>
      <w:r>
        <w:tab/>
        <w:t>Person controlling etc. property, duties of</w:t>
      </w:r>
      <w:bookmarkEnd w:id="298"/>
      <w:bookmarkEnd w:id="299"/>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300" w:name="_Toc141091110"/>
      <w:bookmarkStart w:id="301" w:name="_Toc141091313"/>
      <w:bookmarkStart w:id="302" w:name="_Toc7619957"/>
      <w:bookmarkStart w:id="303" w:name="_Toc12618349"/>
      <w:bookmarkStart w:id="304" w:name="_Toc12618550"/>
      <w:r>
        <w:rPr>
          <w:rStyle w:val="CharDivNo"/>
        </w:rPr>
        <w:t>Division 2</w:t>
      </w:r>
      <w:r>
        <w:t xml:space="preserve"> — </w:t>
      </w:r>
      <w:r>
        <w:rPr>
          <w:rStyle w:val="CharDivText"/>
        </w:rPr>
        <w:t>Disposal of deteriorating or undesirable property</w:t>
      </w:r>
      <w:bookmarkEnd w:id="300"/>
      <w:bookmarkEnd w:id="301"/>
      <w:bookmarkEnd w:id="302"/>
      <w:bookmarkEnd w:id="303"/>
      <w:bookmarkEnd w:id="304"/>
    </w:p>
    <w:p>
      <w:pPr>
        <w:pStyle w:val="Heading5"/>
      </w:pPr>
      <w:bookmarkStart w:id="305" w:name="_Toc141091314"/>
      <w:bookmarkStart w:id="306" w:name="_Toc12618551"/>
      <w:r>
        <w:rPr>
          <w:rStyle w:val="CharSectno"/>
        </w:rPr>
        <w:t>93</w:t>
      </w:r>
      <w:r>
        <w:t>.</w:t>
      </w:r>
      <w:r>
        <w:tab/>
        <w:t>Destruction of seized etc. property on grounds of public interest, court may order</w:t>
      </w:r>
      <w:bookmarkEnd w:id="305"/>
      <w:bookmarkEnd w:id="30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307" w:name="_Toc141091315"/>
      <w:bookmarkStart w:id="308" w:name="_Toc12618552"/>
      <w:r>
        <w:rPr>
          <w:rStyle w:val="CharSectno"/>
        </w:rPr>
        <w:t>94</w:t>
      </w:r>
      <w:r>
        <w:t>.</w:t>
      </w:r>
      <w:r>
        <w:tab/>
        <w:t>Deteriorating frozen property, sale of</w:t>
      </w:r>
      <w:bookmarkEnd w:id="307"/>
      <w:bookmarkEnd w:id="30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309" w:name="_Toc141091316"/>
      <w:bookmarkStart w:id="310" w:name="_Toc12618553"/>
      <w:r>
        <w:rPr>
          <w:rStyle w:val="CharSectno"/>
        </w:rPr>
        <w:t>95</w:t>
      </w:r>
      <w:r>
        <w:t>.</w:t>
      </w:r>
      <w:r>
        <w:tab/>
        <w:t>Frozen property, valuation and inventory of</w:t>
      </w:r>
      <w:bookmarkEnd w:id="309"/>
      <w:bookmarkEnd w:id="310"/>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311" w:name="_Toc141091114"/>
      <w:bookmarkStart w:id="312" w:name="_Toc141091317"/>
      <w:bookmarkStart w:id="313" w:name="_Toc7619961"/>
      <w:bookmarkStart w:id="314" w:name="_Toc12618353"/>
      <w:bookmarkStart w:id="315" w:name="_Toc12618554"/>
      <w:r>
        <w:rPr>
          <w:rStyle w:val="CharDivNo"/>
        </w:rPr>
        <w:t>Division 3</w:t>
      </w:r>
      <w:r>
        <w:t xml:space="preserve"> — </w:t>
      </w:r>
      <w:r>
        <w:rPr>
          <w:rStyle w:val="CharDivText"/>
        </w:rPr>
        <w:t>Management of property by Public Trustee</w:t>
      </w:r>
      <w:bookmarkEnd w:id="311"/>
      <w:bookmarkEnd w:id="312"/>
      <w:bookmarkEnd w:id="313"/>
      <w:bookmarkEnd w:id="314"/>
      <w:bookmarkEnd w:id="315"/>
    </w:p>
    <w:p>
      <w:pPr>
        <w:pStyle w:val="Heading5"/>
      </w:pPr>
      <w:bookmarkStart w:id="316" w:name="_Toc141091318"/>
      <w:bookmarkStart w:id="317" w:name="_Toc12618555"/>
      <w:r>
        <w:rPr>
          <w:rStyle w:val="CharSectno"/>
        </w:rPr>
        <w:t>96</w:t>
      </w:r>
      <w:r>
        <w:t>.</w:t>
      </w:r>
      <w:r>
        <w:tab/>
        <w:t>Public Trustee may appoint person to control etc. property</w:t>
      </w:r>
      <w:bookmarkEnd w:id="316"/>
      <w:bookmarkEnd w:id="317"/>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318" w:name="_Toc141091319"/>
      <w:bookmarkStart w:id="319" w:name="_Toc12618556"/>
      <w:r>
        <w:rPr>
          <w:rStyle w:val="CharSectno"/>
        </w:rPr>
        <w:t>97</w:t>
      </w:r>
      <w:r>
        <w:t>.</w:t>
      </w:r>
      <w:r>
        <w:tab/>
        <w:t>Taxes etc. on frozen property, Public Trustee’s liability for</w:t>
      </w:r>
      <w:bookmarkEnd w:id="318"/>
      <w:bookmarkEnd w:id="319"/>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320" w:name="_Toc141091320"/>
      <w:bookmarkStart w:id="321" w:name="_Toc12618557"/>
      <w:r>
        <w:rPr>
          <w:rStyle w:val="CharSectno"/>
        </w:rPr>
        <w:t>98</w:t>
      </w:r>
      <w:r>
        <w:t>.</w:t>
      </w:r>
      <w:r>
        <w:tab/>
        <w:t>Interstate property, management of</w:t>
      </w:r>
      <w:bookmarkEnd w:id="320"/>
      <w:bookmarkEnd w:id="321"/>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322" w:name="_Toc141091321"/>
      <w:bookmarkStart w:id="323" w:name="_Toc12618558"/>
      <w:r>
        <w:rPr>
          <w:rStyle w:val="CharSectno"/>
        </w:rPr>
        <w:t>99</w:t>
      </w:r>
      <w:r>
        <w:t>.</w:t>
      </w:r>
      <w:r>
        <w:tab/>
        <w:t>Public Trustee entitled to fees for controlling etc. frozen or confiscated property</w:t>
      </w:r>
      <w:bookmarkEnd w:id="322"/>
      <w:bookmarkEnd w:id="3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324" w:name="_Toc141091322"/>
      <w:bookmarkStart w:id="325" w:name="_Toc12618559"/>
      <w:r>
        <w:rPr>
          <w:rStyle w:val="CharSectno"/>
        </w:rPr>
        <w:t>100</w:t>
      </w:r>
      <w:r>
        <w:t>.</w:t>
      </w:r>
      <w:r>
        <w:tab/>
        <w:t>Obstructing Public Trustee, offence</w:t>
      </w:r>
      <w:bookmarkEnd w:id="324"/>
      <w:bookmarkEnd w:id="32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326" w:name="_Toc141091120"/>
      <w:bookmarkStart w:id="327" w:name="_Toc141091323"/>
      <w:bookmarkStart w:id="328" w:name="_Toc7619967"/>
      <w:bookmarkStart w:id="329" w:name="_Toc12618359"/>
      <w:bookmarkStart w:id="330" w:name="_Toc1261856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326"/>
      <w:bookmarkEnd w:id="327"/>
      <w:bookmarkEnd w:id="328"/>
      <w:bookmarkEnd w:id="329"/>
      <w:bookmarkEnd w:id="330"/>
    </w:p>
    <w:p>
      <w:pPr>
        <w:pStyle w:val="Heading5"/>
      </w:pPr>
      <w:bookmarkStart w:id="331" w:name="_Toc141091324"/>
      <w:bookmarkStart w:id="332" w:name="_Toc12618561"/>
      <w:r>
        <w:rPr>
          <w:rStyle w:val="CharSectno"/>
        </w:rPr>
        <w:t>101</w:t>
      </w:r>
      <w:r>
        <w:t>.</w:t>
      </w:r>
      <w:r>
        <w:tab/>
        <w:t>Courts’ jurisdiction for this Act</w:t>
      </w:r>
      <w:bookmarkEnd w:id="331"/>
      <w:bookmarkEnd w:id="332"/>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No. 59 of 2004 s. 141; No. 2 of 2008 s. 61(2).]</w:t>
      </w:r>
    </w:p>
    <w:p>
      <w:pPr>
        <w:pStyle w:val="Heading5"/>
      </w:pPr>
      <w:bookmarkStart w:id="333" w:name="_Toc141091325"/>
      <w:bookmarkStart w:id="334" w:name="_Toc12618562"/>
      <w:r>
        <w:rPr>
          <w:rStyle w:val="CharSectno"/>
        </w:rPr>
        <w:t>102</w:t>
      </w:r>
      <w:r>
        <w:t>.</w:t>
      </w:r>
      <w:r>
        <w:tab/>
        <w:t>Proceedings, general provisions about</w:t>
      </w:r>
      <w:bookmarkEnd w:id="333"/>
      <w:bookmarkEnd w:id="334"/>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335" w:name="_Toc141091326"/>
      <w:bookmarkStart w:id="336" w:name="_Toc12618563"/>
      <w:r>
        <w:rPr>
          <w:rStyle w:val="CharSectno"/>
        </w:rPr>
        <w:t>103</w:t>
      </w:r>
      <w:r>
        <w:t>.</w:t>
      </w:r>
      <w:r>
        <w:tab/>
        <w:t>Attorney General entitled to appear in proceedings</w:t>
      </w:r>
      <w:bookmarkEnd w:id="335"/>
      <w:bookmarkEnd w:id="336"/>
    </w:p>
    <w:p>
      <w:pPr>
        <w:pStyle w:val="Subsection"/>
      </w:pPr>
      <w:r>
        <w:tab/>
      </w:r>
      <w:r>
        <w:tab/>
        <w:t>The Attorney General may appear in any proceedings under this Act in which the State has an interest, whether or not the DPP or the CCC is also a party to the proceedings.</w:t>
      </w:r>
    </w:p>
    <w:p>
      <w:pPr>
        <w:pStyle w:val="Footnotesection"/>
      </w:pPr>
      <w:r>
        <w:tab/>
        <w:t>[Section 103 amended: No. 10 of 2018 s. 68.]</w:t>
      </w:r>
    </w:p>
    <w:p>
      <w:pPr>
        <w:pStyle w:val="Heading5"/>
      </w:pPr>
      <w:bookmarkStart w:id="337" w:name="_Toc141091327"/>
      <w:bookmarkStart w:id="338" w:name="_Toc12618564"/>
      <w:r>
        <w:rPr>
          <w:rStyle w:val="CharSectno"/>
        </w:rPr>
        <w:t>104</w:t>
      </w:r>
      <w:r>
        <w:t>.</w:t>
      </w:r>
      <w:r>
        <w:tab/>
        <w:t>Stays of proceedings</w:t>
      </w:r>
      <w:bookmarkEnd w:id="337"/>
      <w:bookmarkEnd w:id="338"/>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339" w:name="_Toc141091328"/>
      <w:bookmarkStart w:id="340" w:name="_Toc12618565"/>
      <w:r>
        <w:rPr>
          <w:rStyle w:val="CharSectno"/>
        </w:rPr>
        <w:t>105</w:t>
      </w:r>
      <w:r>
        <w:t>.</w:t>
      </w:r>
      <w:r>
        <w:tab/>
        <w:t>Opinion evidence of some people admissible</w:t>
      </w:r>
      <w:bookmarkEnd w:id="339"/>
      <w:bookmarkEnd w:id="34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341" w:name="_Toc141091329"/>
      <w:bookmarkStart w:id="342" w:name="_Toc12618566"/>
      <w:r>
        <w:rPr>
          <w:rStyle w:val="CharSectno"/>
        </w:rPr>
        <w:t>106</w:t>
      </w:r>
      <w:r>
        <w:t>.</w:t>
      </w:r>
      <w:r>
        <w:tab/>
        <w:t>Findings that property is crime</w:t>
      </w:r>
      <w:r>
        <w:noBreakHyphen/>
        <w:t>used or crime</w:t>
      </w:r>
      <w:r>
        <w:noBreakHyphen/>
        <w:t>derived, making</w:t>
      </w:r>
      <w:bookmarkEnd w:id="341"/>
      <w:bookmarkEnd w:id="342"/>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343" w:name="_Toc141091330"/>
      <w:bookmarkStart w:id="344" w:name="_Toc12618567"/>
      <w:r>
        <w:rPr>
          <w:rStyle w:val="CharSectno"/>
        </w:rPr>
        <w:t>107</w:t>
      </w:r>
      <w:r>
        <w:t>.</w:t>
      </w:r>
      <w:r>
        <w:tab/>
        <w:t>Evidence as to confiscation offence may be used in confiscation proceedings</w:t>
      </w:r>
      <w:bookmarkEnd w:id="343"/>
      <w:bookmarkEnd w:id="344"/>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345" w:name="_Toc141091331"/>
      <w:bookmarkStart w:id="346" w:name="_Toc12618568"/>
      <w:r>
        <w:rPr>
          <w:rStyle w:val="CharSectno"/>
        </w:rPr>
        <w:t>108</w:t>
      </w:r>
      <w:r>
        <w:t>.</w:t>
      </w:r>
      <w:r>
        <w:tab/>
        <w:t>Examination orders, admissibility of transcript of proceedings under</w:t>
      </w:r>
      <w:bookmarkEnd w:id="345"/>
      <w:bookmarkEnd w:id="346"/>
    </w:p>
    <w:p>
      <w:pPr>
        <w:pStyle w:val="Subsection"/>
      </w:pPr>
      <w:r>
        <w:tab/>
        <w:t>(1)</w:t>
      </w:r>
      <w:r>
        <w:tab/>
        <w:t>For the purposes of section 61(7), the transcript of an examination of a person under an examination order made by the court is admissible in any proceedings under this Act or under any other law in force in Western Australia as evidence of a statement or disclosure made by the person in the course of complying with the examination order.</w:t>
      </w:r>
    </w:p>
    <w:p>
      <w:pPr>
        <w:pStyle w:val="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Footnotesection"/>
      </w:pPr>
      <w:r>
        <w:tab/>
        <w:t>[Section 108 amended: No. 10 of 2018 s. 69.]</w:t>
      </w:r>
    </w:p>
    <w:p>
      <w:pPr>
        <w:pStyle w:val="Heading5"/>
        <w:spacing w:before="180"/>
      </w:pPr>
      <w:bookmarkStart w:id="347" w:name="_Toc141091332"/>
      <w:bookmarkStart w:id="348" w:name="_Toc12618569"/>
      <w:r>
        <w:rPr>
          <w:rStyle w:val="CharSectno"/>
        </w:rPr>
        <w:t>109</w:t>
      </w:r>
      <w:r>
        <w:t>.</w:t>
      </w:r>
      <w:r>
        <w:tab/>
        <w:t>Hearsay evidence etc., use of</w:t>
      </w:r>
      <w:bookmarkEnd w:id="347"/>
      <w:bookmarkEnd w:id="348"/>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349" w:name="_Toc141091333"/>
      <w:bookmarkStart w:id="350" w:name="_Toc12618570"/>
      <w:r>
        <w:rPr>
          <w:rStyle w:val="CharSectno"/>
        </w:rPr>
        <w:t>110</w:t>
      </w:r>
      <w:r>
        <w:t>.</w:t>
      </w:r>
      <w:r>
        <w:tab/>
        <w:t>Production orders, admissibility of documents produced etc.</w:t>
      </w:r>
      <w:bookmarkEnd w:id="349"/>
      <w:bookmarkEnd w:id="350"/>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351" w:name="_Toc141091334"/>
      <w:bookmarkStart w:id="352" w:name="_Toc12618571"/>
      <w:r>
        <w:rPr>
          <w:rStyle w:val="CharSectno"/>
        </w:rPr>
        <w:t>111</w:t>
      </w:r>
      <w:r>
        <w:t>.</w:t>
      </w:r>
      <w:r>
        <w:tab/>
      </w:r>
      <w:r>
        <w:rPr>
          <w:i/>
        </w:rPr>
        <w:t>Misuse of Drugs Act 1981</w:t>
      </w:r>
      <w:r>
        <w:t xml:space="preserve"> s. 38(2), effect of certificate under</w:t>
      </w:r>
      <w:bookmarkEnd w:id="351"/>
      <w:bookmarkEnd w:id="352"/>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353" w:name="_Toc141091335"/>
      <w:bookmarkStart w:id="354" w:name="_Toc12618572"/>
      <w:r>
        <w:rPr>
          <w:rStyle w:val="CharSectno"/>
        </w:rPr>
        <w:t>112</w:t>
      </w:r>
      <w:r>
        <w:t>.</w:t>
      </w:r>
      <w:r>
        <w:tab/>
        <w:t>Enforcing compliance with Act or court order</w:t>
      </w:r>
      <w:bookmarkEnd w:id="353"/>
      <w:bookmarkEnd w:id="354"/>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355" w:name="_Toc141091133"/>
      <w:bookmarkStart w:id="356" w:name="_Toc141091336"/>
      <w:bookmarkStart w:id="357" w:name="_Toc7619980"/>
      <w:bookmarkStart w:id="358" w:name="_Toc12618372"/>
      <w:bookmarkStart w:id="359" w:name="_Toc1261857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355"/>
      <w:bookmarkEnd w:id="356"/>
      <w:bookmarkEnd w:id="357"/>
      <w:bookmarkEnd w:id="358"/>
      <w:bookmarkEnd w:id="359"/>
    </w:p>
    <w:p>
      <w:pPr>
        <w:pStyle w:val="Heading5"/>
      </w:pPr>
      <w:bookmarkStart w:id="360" w:name="_Toc141091337"/>
      <w:bookmarkStart w:id="361" w:name="_Toc12618574"/>
      <w:r>
        <w:rPr>
          <w:rStyle w:val="CharSectno"/>
        </w:rPr>
        <w:t>113</w:t>
      </w:r>
      <w:r>
        <w:t>.</w:t>
      </w:r>
      <w:r>
        <w:tab/>
        <w:t>Memorials for land titles, Registrar of Titles’ functions as to and effect of</w:t>
      </w:r>
      <w:bookmarkEnd w:id="360"/>
      <w:bookmarkEnd w:id="361"/>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b w:val="0"/>
        </w:rPr>
      </w:pPr>
      <w:bookmarkStart w:id="362" w:name="_Toc141091338"/>
      <w:bookmarkStart w:id="363" w:name="_Toc12618575"/>
      <w:r>
        <w:rPr>
          <w:rStyle w:val="CharSectno"/>
        </w:rPr>
        <w:t>114</w:t>
      </w:r>
      <w:r>
        <w:t>.</w:t>
      </w:r>
      <w:r>
        <w:tab/>
        <w:t xml:space="preserve">Registrars under Acts other than </w:t>
      </w:r>
      <w:r>
        <w:rPr>
          <w:i/>
        </w:rPr>
        <w:t>Transfer of Land Act 1893</w:t>
      </w:r>
      <w:r>
        <w:t>, duty of</w:t>
      </w:r>
      <w:bookmarkEnd w:id="362"/>
      <w:bookmarkEnd w:id="363"/>
    </w:p>
    <w:p>
      <w:pPr>
        <w:pStyle w:val="Subsection"/>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p>
    <w:p>
      <w:pPr>
        <w:pStyle w:val="Heading5"/>
      </w:pPr>
      <w:bookmarkStart w:id="364" w:name="_Toc141091339"/>
      <w:bookmarkStart w:id="365" w:name="_Toc12618576"/>
      <w:r>
        <w:rPr>
          <w:rStyle w:val="CharSectno"/>
        </w:rPr>
        <w:t>115</w:t>
      </w:r>
      <w:r>
        <w:t>.</w:t>
      </w:r>
      <w:r>
        <w:tab/>
        <w:t>Knowledge that property is frozen, imputation of</w:t>
      </w:r>
      <w:bookmarkEnd w:id="364"/>
      <w:bookmarkEnd w:id="365"/>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 have been noted in the register under section 114, any person who deals with the property while the freezing notice or freezing order is in force is taken to have notice, for all purposes, that it is in force.</w:t>
      </w:r>
    </w:p>
    <w:p>
      <w:pPr>
        <w:pStyle w:val="Heading5"/>
      </w:pPr>
      <w:bookmarkStart w:id="366" w:name="_Toc141091340"/>
      <w:bookmarkStart w:id="367" w:name="_Toc12618577"/>
      <w:r>
        <w:rPr>
          <w:rStyle w:val="CharSectno"/>
        </w:rPr>
        <w:t>116</w:t>
      </w:r>
      <w:r>
        <w:t>.</w:t>
      </w:r>
      <w:r>
        <w:tab/>
        <w:t>Documents lodged with the Registrar of Titles, form of</w:t>
      </w:r>
      <w:bookmarkEnd w:id="366"/>
      <w:bookmarkEnd w:id="367"/>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368" w:name="_Toc141091138"/>
      <w:bookmarkStart w:id="369" w:name="_Toc141091341"/>
      <w:bookmarkStart w:id="370" w:name="_Toc7619985"/>
      <w:bookmarkStart w:id="371" w:name="_Toc12618377"/>
      <w:bookmarkStart w:id="372" w:name="_Toc12618578"/>
      <w:r>
        <w:rPr>
          <w:rStyle w:val="CharPartNo"/>
        </w:rPr>
        <w:t>Part 10</w:t>
      </w:r>
      <w:r>
        <w:t xml:space="preserve"> — </w:t>
      </w:r>
      <w:r>
        <w:rPr>
          <w:rStyle w:val="CharPartText"/>
        </w:rPr>
        <w:t>Mutual recognition of freezing orders and confiscation of property</w:t>
      </w:r>
      <w:bookmarkEnd w:id="368"/>
      <w:bookmarkEnd w:id="369"/>
      <w:bookmarkEnd w:id="370"/>
      <w:bookmarkEnd w:id="371"/>
      <w:bookmarkEnd w:id="372"/>
    </w:p>
    <w:p>
      <w:pPr>
        <w:pStyle w:val="Heading3"/>
      </w:pPr>
      <w:bookmarkStart w:id="373" w:name="_Toc141091139"/>
      <w:bookmarkStart w:id="374" w:name="_Toc141091342"/>
      <w:bookmarkStart w:id="375" w:name="_Toc7619986"/>
      <w:bookmarkStart w:id="376" w:name="_Toc12618378"/>
      <w:bookmarkStart w:id="377" w:name="_Toc12618579"/>
      <w:r>
        <w:rPr>
          <w:rStyle w:val="CharDivNo"/>
        </w:rPr>
        <w:t>Division 1</w:t>
      </w:r>
      <w:r>
        <w:t xml:space="preserve"> — </w:t>
      </w:r>
      <w:r>
        <w:rPr>
          <w:rStyle w:val="CharDivText"/>
        </w:rPr>
        <w:t>Registration of WA orders in other jurisdictions</w:t>
      </w:r>
      <w:bookmarkEnd w:id="373"/>
      <w:bookmarkEnd w:id="374"/>
      <w:bookmarkEnd w:id="375"/>
      <w:bookmarkEnd w:id="376"/>
      <w:bookmarkEnd w:id="377"/>
    </w:p>
    <w:p>
      <w:pPr>
        <w:pStyle w:val="Heading5"/>
      </w:pPr>
      <w:bookmarkStart w:id="378" w:name="_Toc141091343"/>
      <w:bookmarkStart w:id="379" w:name="_Toc12618580"/>
      <w:r>
        <w:rPr>
          <w:rStyle w:val="CharSectno"/>
        </w:rPr>
        <w:t>117</w:t>
      </w:r>
      <w:r>
        <w:t>.</w:t>
      </w:r>
      <w:r>
        <w:tab/>
        <w:t>Freezing notices and orders, content of for interstate registration and effect of interstate</w:t>
      </w:r>
      <w:bookmarkEnd w:id="378"/>
      <w:bookmarkEnd w:id="379"/>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380" w:name="_Toc141091141"/>
      <w:bookmarkStart w:id="381" w:name="_Toc141091344"/>
      <w:bookmarkStart w:id="382" w:name="_Toc7619988"/>
      <w:bookmarkStart w:id="383" w:name="_Toc12618380"/>
      <w:bookmarkStart w:id="384" w:name="_Toc12618581"/>
      <w:r>
        <w:rPr>
          <w:rStyle w:val="CharDivNo"/>
        </w:rPr>
        <w:t>Division 2</w:t>
      </w:r>
      <w:r>
        <w:t xml:space="preserve"> — </w:t>
      </w:r>
      <w:r>
        <w:rPr>
          <w:rStyle w:val="CharDivText"/>
        </w:rPr>
        <w:t>Recognition of orders of other jurisdictions</w:t>
      </w:r>
      <w:bookmarkEnd w:id="380"/>
      <w:bookmarkEnd w:id="381"/>
      <w:bookmarkEnd w:id="382"/>
      <w:bookmarkEnd w:id="383"/>
      <w:bookmarkEnd w:id="384"/>
    </w:p>
    <w:p>
      <w:pPr>
        <w:pStyle w:val="Heading5"/>
      </w:pPr>
      <w:bookmarkStart w:id="385" w:name="_Toc141091345"/>
      <w:bookmarkStart w:id="386" w:name="_Toc12618582"/>
      <w:r>
        <w:rPr>
          <w:rStyle w:val="CharSectno"/>
        </w:rPr>
        <w:t>118</w:t>
      </w:r>
      <w:r>
        <w:t>.</w:t>
      </w:r>
      <w:r>
        <w:tab/>
        <w:t>Interstate orders, registration of</w:t>
      </w:r>
      <w:bookmarkEnd w:id="385"/>
      <w:bookmarkEnd w:id="386"/>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the CCC or by any person affected by the order or amendments.</w:t>
      </w:r>
    </w:p>
    <w:p>
      <w:pPr>
        <w:pStyle w:val="Footnotesection"/>
      </w:pPr>
      <w:r>
        <w:tab/>
        <w:t>[Section 118 amended: No. 10 of 2018 s. 70.]</w:t>
      </w:r>
    </w:p>
    <w:p>
      <w:pPr>
        <w:pStyle w:val="Heading5"/>
      </w:pPr>
      <w:bookmarkStart w:id="387" w:name="_Toc141091346"/>
      <w:bookmarkStart w:id="388" w:name="_Toc12618583"/>
      <w:r>
        <w:rPr>
          <w:rStyle w:val="CharSectno"/>
        </w:rPr>
        <w:t>119</w:t>
      </w:r>
      <w:r>
        <w:t>.</w:t>
      </w:r>
      <w:r>
        <w:tab/>
        <w:t>Registered interstate freezing orders, effect of</w:t>
      </w:r>
      <w:bookmarkEnd w:id="387"/>
      <w:bookmarkEnd w:id="38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389" w:name="_Toc141091347"/>
      <w:bookmarkStart w:id="390" w:name="_Toc12618584"/>
      <w:r>
        <w:rPr>
          <w:rStyle w:val="CharSectno"/>
        </w:rPr>
        <w:t>120</w:t>
      </w:r>
      <w:r>
        <w:t>.</w:t>
      </w:r>
      <w:r>
        <w:tab/>
        <w:t>Registered interstate confiscation declarations, effect of</w:t>
      </w:r>
      <w:bookmarkEnd w:id="389"/>
      <w:bookmarkEnd w:id="390"/>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 entity.</w:t>
      </w:r>
    </w:p>
    <w:p>
      <w:pPr>
        <w:pStyle w:val="Heading5"/>
      </w:pPr>
      <w:bookmarkStart w:id="391" w:name="_Toc141091348"/>
      <w:bookmarkStart w:id="392" w:name="_Toc12618585"/>
      <w:r>
        <w:rPr>
          <w:rStyle w:val="CharSectno"/>
        </w:rPr>
        <w:t>121</w:t>
      </w:r>
      <w:r>
        <w:t>.</w:t>
      </w:r>
      <w:r>
        <w:tab/>
        <w:t>Registered interstate freezing orders etc., duration of</w:t>
      </w:r>
      <w:bookmarkEnd w:id="391"/>
      <w:bookmarkEnd w:id="392"/>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393" w:name="_Toc141091349"/>
      <w:bookmarkStart w:id="394" w:name="_Toc12618586"/>
      <w:r>
        <w:rPr>
          <w:rStyle w:val="CharSectno"/>
        </w:rPr>
        <w:t>122</w:t>
      </w:r>
      <w:r>
        <w:t>.</w:t>
      </w:r>
      <w:r>
        <w:tab/>
        <w:t>Registered interstate freezing orders etc., cancelling</w:t>
      </w:r>
      <w:bookmarkEnd w:id="393"/>
      <w:bookmarkEnd w:id="394"/>
    </w:p>
    <w:p>
      <w:pPr>
        <w:pStyle w:val="Subsection"/>
        <w:keepNext/>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the CCC or by a person affected by the order.</w:t>
      </w:r>
    </w:p>
    <w:p>
      <w:pPr>
        <w:pStyle w:val="Footnotesection"/>
      </w:pPr>
      <w:r>
        <w:tab/>
        <w:t>[Section 122 amended: No. 10 of 2018 s. 71.]</w:t>
      </w:r>
    </w:p>
    <w:p>
      <w:pPr>
        <w:pStyle w:val="Heading3"/>
      </w:pPr>
      <w:bookmarkStart w:id="395" w:name="_Toc141091147"/>
      <w:bookmarkStart w:id="396" w:name="_Toc141091350"/>
      <w:bookmarkStart w:id="397" w:name="_Toc7619994"/>
      <w:bookmarkStart w:id="398" w:name="_Toc12618386"/>
      <w:bookmarkStart w:id="399" w:name="_Toc12618587"/>
      <w:r>
        <w:rPr>
          <w:rStyle w:val="CharDivNo"/>
        </w:rPr>
        <w:t>Division 3</w:t>
      </w:r>
      <w:r>
        <w:t xml:space="preserve"> — </w:t>
      </w:r>
      <w:r>
        <w:rPr>
          <w:rStyle w:val="CharDivText"/>
        </w:rPr>
        <w:t>Charges on interstate property</w:t>
      </w:r>
      <w:bookmarkEnd w:id="395"/>
      <w:bookmarkEnd w:id="396"/>
      <w:bookmarkEnd w:id="397"/>
      <w:bookmarkEnd w:id="398"/>
      <w:bookmarkEnd w:id="399"/>
    </w:p>
    <w:p>
      <w:pPr>
        <w:pStyle w:val="Heading5"/>
      </w:pPr>
      <w:bookmarkStart w:id="400" w:name="_Toc141091351"/>
      <w:bookmarkStart w:id="401" w:name="_Toc12618588"/>
      <w:r>
        <w:rPr>
          <w:rStyle w:val="CharSectno"/>
        </w:rPr>
        <w:t>123</w:t>
      </w:r>
      <w:r>
        <w:t>.</w:t>
      </w:r>
      <w:r>
        <w:tab/>
        <w:t>Creation of charge</w:t>
      </w:r>
      <w:bookmarkEnd w:id="400"/>
      <w:bookmarkEnd w:id="401"/>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402" w:name="_Toc141091352"/>
      <w:bookmarkStart w:id="403" w:name="_Toc12618589"/>
      <w:r>
        <w:rPr>
          <w:rStyle w:val="CharSectno"/>
        </w:rPr>
        <w:t>124</w:t>
      </w:r>
      <w:r>
        <w:t>.</w:t>
      </w:r>
      <w:r>
        <w:tab/>
        <w:t>Cessation of charge</w:t>
      </w:r>
      <w:bookmarkEnd w:id="402"/>
      <w:bookmarkEnd w:id="40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r>
      <w:r>
        <w:rPr>
          <w:spacing w:val="-4"/>
        </w:rPr>
        <w:t>the property is sold to a purchaser in good faith for value who, at the time of purchase, had no notice of the charge</w:t>
      </w:r>
      <w:r>
        <w:t>;</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No. 18 of 2009 s. 27.]</w:t>
      </w:r>
    </w:p>
    <w:p>
      <w:pPr>
        <w:pStyle w:val="Heading5"/>
      </w:pPr>
      <w:bookmarkStart w:id="404" w:name="_Toc141091353"/>
      <w:bookmarkStart w:id="405" w:name="_Toc12618590"/>
      <w:r>
        <w:rPr>
          <w:rStyle w:val="CharSectno"/>
        </w:rPr>
        <w:t>125</w:t>
      </w:r>
      <w:r>
        <w:t>.</w:t>
      </w:r>
      <w:r>
        <w:tab/>
        <w:t>Priority of charge</w:t>
      </w:r>
      <w:bookmarkEnd w:id="404"/>
      <w:bookmarkEnd w:id="405"/>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No. 42 of 2011 s. 15.]</w:t>
      </w:r>
    </w:p>
    <w:p>
      <w:pPr>
        <w:pStyle w:val="Heading5"/>
      </w:pPr>
      <w:bookmarkStart w:id="406" w:name="_Toc141091354"/>
      <w:bookmarkStart w:id="407" w:name="_Toc12618591"/>
      <w:r>
        <w:rPr>
          <w:rStyle w:val="CharSectno"/>
        </w:rPr>
        <w:t>126</w:t>
      </w:r>
      <w:r>
        <w:t>.</w:t>
      </w:r>
      <w:r>
        <w:tab/>
        <w:t>Charge on land, registration of memorial of</w:t>
      </w:r>
      <w:bookmarkEnd w:id="406"/>
      <w:bookmarkEnd w:id="407"/>
    </w:p>
    <w:p>
      <w:pPr>
        <w:pStyle w:val="Subsection"/>
      </w:pPr>
      <w:r>
        <w:tab/>
        <w:t>(1)</w:t>
      </w:r>
      <w:r>
        <w:tab/>
        <w:t xml:space="preserve">If a charge is created on land under section 123, the DPP, the CCC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the CCC or the Public Trustee may withdraw the memorial in accordance with the Act under which it was registered, and the registration may be cancelled in accordance with that Act.</w:t>
      </w:r>
    </w:p>
    <w:p>
      <w:pPr>
        <w:pStyle w:val="Footnotesection"/>
      </w:pPr>
      <w:r>
        <w:tab/>
        <w:t>[Section 126 amended: No. 10 of 2018 s. 72.]</w:t>
      </w:r>
    </w:p>
    <w:p>
      <w:pPr>
        <w:pStyle w:val="Heading5"/>
      </w:pPr>
      <w:bookmarkStart w:id="408" w:name="_Toc141091355"/>
      <w:bookmarkStart w:id="409" w:name="_Toc12618592"/>
      <w:r>
        <w:rPr>
          <w:rStyle w:val="CharSectno"/>
        </w:rPr>
        <w:t>127</w:t>
      </w:r>
      <w:r>
        <w:t>.</w:t>
      </w:r>
      <w:r>
        <w:tab/>
        <w:t>Charge on property other than land, registration of</w:t>
      </w:r>
      <w:bookmarkEnd w:id="408"/>
      <w:bookmarkEnd w:id="409"/>
    </w:p>
    <w:p>
      <w:pPr>
        <w:pStyle w:val="Subsection"/>
      </w:pPr>
      <w:r>
        <w:tab/>
        <w:t>(1)</w:t>
      </w:r>
      <w:r>
        <w:tab/>
        <w:t xml:space="preserve">The DPP, the CCC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the CCC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No. 42 of 2011 s. 16; No. 10 of 2018 s. 73.]</w:t>
      </w:r>
    </w:p>
    <w:p>
      <w:pPr>
        <w:pStyle w:val="Heading2"/>
      </w:pPr>
      <w:bookmarkStart w:id="410" w:name="_Toc141091153"/>
      <w:bookmarkStart w:id="411" w:name="_Toc141091356"/>
      <w:bookmarkStart w:id="412" w:name="_Toc7620000"/>
      <w:bookmarkStart w:id="413" w:name="_Toc12618392"/>
      <w:bookmarkStart w:id="414" w:name="_Toc12618593"/>
      <w:r>
        <w:rPr>
          <w:rStyle w:val="CharPartNo"/>
        </w:rPr>
        <w:t>Part 11</w:t>
      </w:r>
      <w:r>
        <w:rPr>
          <w:rStyle w:val="CharDivNo"/>
        </w:rPr>
        <w:t xml:space="preserve"> </w:t>
      </w:r>
      <w:r>
        <w:t>—</w:t>
      </w:r>
      <w:r>
        <w:rPr>
          <w:rStyle w:val="CharDivText"/>
        </w:rPr>
        <w:t xml:space="preserve"> </w:t>
      </w:r>
      <w:r>
        <w:rPr>
          <w:rStyle w:val="CharPartText"/>
        </w:rPr>
        <w:t>Miscellaneous</w:t>
      </w:r>
      <w:bookmarkEnd w:id="410"/>
      <w:bookmarkEnd w:id="411"/>
      <w:bookmarkEnd w:id="412"/>
      <w:bookmarkEnd w:id="413"/>
      <w:bookmarkEnd w:id="414"/>
    </w:p>
    <w:p>
      <w:pPr>
        <w:pStyle w:val="Heading5"/>
      </w:pPr>
      <w:bookmarkStart w:id="415" w:name="_Toc141091357"/>
      <w:bookmarkStart w:id="416" w:name="_Toc12618594"/>
      <w:r>
        <w:rPr>
          <w:rStyle w:val="CharSectno"/>
        </w:rPr>
        <w:t>128</w:t>
      </w:r>
      <w:r>
        <w:t>.</w:t>
      </w:r>
      <w:r>
        <w:tab/>
        <w:t>Act binds States, Territories and Commonwealth</w:t>
      </w:r>
      <w:bookmarkEnd w:id="415"/>
      <w:bookmarkEnd w:id="416"/>
    </w:p>
    <w:p>
      <w:pPr>
        <w:pStyle w:val="Subsection"/>
        <w:spacing w:before="100"/>
      </w:pPr>
      <w:r>
        <w:tab/>
        <w:t>(1)</w:t>
      </w:r>
      <w:r>
        <w:tab/>
        <w:t>This Act binds this State, the Commonwealth, each other State, the Australian Capital Territory and the Northern Territory,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417" w:name="_Toc141091358"/>
      <w:bookmarkStart w:id="418" w:name="_Toc12618595"/>
      <w:r>
        <w:rPr>
          <w:rStyle w:val="CharSectno"/>
        </w:rPr>
        <w:t>129</w:t>
      </w:r>
      <w:r>
        <w:t>.</w:t>
      </w:r>
      <w:r>
        <w:tab/>
        <w:t>Property protected from seizure and confiscation</w:t>
      </w:r>
      <w:bookmarkEnd w:id="417"/>
      <w:bookmarkEnd w:id="418"/>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419" w:name="_Toc141091359"/>
      <w:bookmarkStart w:id="420" w:name="_Toc12618596"/>
      <w:r>
        <w:rPr>
          <w:rStyle w:val="CharSectno"/>
        </w:rPr>
        <w:t>130</w:t>
      </w:r>
      <w:r>
        <w:t>.</w:t>
      </w:r>
      <w:r>
        <w:tab/>
        <w:t>Confiscation Proceeds Account, creation and administration of</w:t>
      </w:r>
      <w:bookmarkEnd w:id="419"/>
      <w:bookmarkEnd w:id="420"/>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No. 77 of 2006 Sch. 1 cl. 40.]</w:t>
      </w:r>
    </w:p>
    <w:p>
      <w:pPr>
        <w:pStyle w:val="Heading5"/>
      </w:pPr>
      <w:bookmarkStart w:id="421" w:name="_Toc141091360"/>
      <w:bookmarkStart w:id="422" w:name="_Toc12618597"/>
      <w:r>
        <w:rPr>
          <w:rStyle w:val="CharSectno"/>
        </w:rPr>
        <w:t>131</w:t>
      </w:r>
      <w:r>
        <w:t>.</w:t>
      </w:r>
      <w:r>
        <w:tab/>
        <w:t>Confiscation Proceeds Account, funds and purposes of</w:t>
      </w:r>
      <w:bookmarkEnd w:id="421"/>
      <w:bookmarkEnd w:id="422"/>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or the CCC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the CCC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No. 4 of 2007 s. 26; No. 10 of 2018 s. 74.]</w:t>
      </w:r>
    </w:p>
    <w:p>
      <w:pPr>
        <w:pStyle w:val="Heading5"/>
        <w:spacing w:before="180"/>
      </w:pPr>
      <w:bookmarkStart w:id="423" w:name="_Toc141091361"/>
      <w:bookmarkStart w:id="424" w:name="_Toc12618598"/>
      <w:r>
        <w:rPr>
          <w:rStyle w:val="CharSectno"/>
        </w:rPr>
        <w:t>132</w:t>
      </w:r>
      <w:r>
        <w:t>.</w:t>
      </w:r>
      <w:r>
        <w:tab/>
        <w:t>Obstructing police officers or authorised CCC officers</w:t>
      </w:r>
      <w:bookmarkEnd w:id="423"/>
      <w:bookmarkEnd w:id="424"/>
    </w:p>
    <w:p>
      <w:pPr>
        <w:pStyle w:val="Subsection"/>
        <w:spacing w:before="100"/>
      </w:pPr>
      <w:r>
        <w:tab/>
        <w:t>(1)</w:t>
      </w:r>
      <w:r>
        <w:tab/>
        <w:t>A person commits an offence if the person wilfully delays or obstructs a police officer or an authorised CCC officer in the performance of the officer’s functions under this Act, or a person assisting a police officer or an authorised CCC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or an authorised CCC officer in the performance of the officer’s functions under this Act, or a person assisting a police officer or an authorised CCC officer in the performance of those functions.</w:t>
      </w:r>
    </w:p>
    <w:p>
      <w:pPr>
        <w:pStyle w:val="Penstart"/>
      </w:pPr>
      <w:r>
        <w:tab/>
        <w:t>Penalty: $100 000 or imprisonment for 5 years, or both.</w:t>
      </w:r>
    </w:p>
    <w:p>
      <w:pPr>
        <w:pStyle w:val="Footnotesection"/>
      </w:pPr>
      <w:r>
        <w:tab/>
        <w:t>[Section 132 amended: No. 10 of 2018 s. 75.]</w:t>
      </w:r>
    </w:p>
    <w:p>
      <w:pPr>
        <w:pStyle w:val="Heading5"/>
        <w:spacing w:before="120"/>
      </w:pPr>
      <w:bookmarkStart w:id="425" w:name="_Toc141091362"/>
      <w:bookmarkStart w:id="426" w:name="_Toc12618599"/>
      <w:r>
        <w:rPr>
          <w:rStyle w:val="CharSectno"/>
        </w:rPr>
        <w:t>133</w:t>
      </w:r>
      <w:r>
        <w:t>.</w:t>
      </w:r>
      <w:r>
        <w:tab/>
        <w:t>Subsequent applications, notices, orders etc. not prevented</w:t>
      </w:r>
      <w:bookmarkEnd w:id="425"/>
      <w:bookmarkEnd w:id="426"/>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427" w:name="_Toc141091363"/>
      <w:bookmarkStart w:id="428" w:name="_Toc12618600"/>
      <w:r>
        <w:rPr>
          <w:rStyle w:val="CharSectno"/>
        </w:rPr>
        <w:t>134</w:t>
      </w:r>
      <w:r>
        <w:t>.</w:t>
      </w:r>
      <w:r>
        <w:tab/>
        <w:t>Delegation by DPP</w:t>
      </w:r>
      <w:bookmarkEnd w:id="427"/>
      <w:bookmarkEnd w:id="428"/>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429" w:name="_Toc141091364"/>
      <w:bookmarkStart w:id="430" w:name="_Toc12618601"/>
      <w:r>
        <w:rPr>
          <w:rStyle w:val="CharSectno"/>
        </w:rPr>
        <w:t>134A</w:t>
      </w:r>
      <w:r>
        <w:t>.</w:t>
      </w:r>
      <w:r>
        <w:tab/>
        <w:t>CCC’s power to delegate</w:t>
      </w:r>
      <w:bookmarkEnd w:id="429"/>
      <w:bookmarkEnd w:id="430"/>
    </w:p>
    <w:p>
      <w:pPr>
        <w:pStyle w:val="Subsection"/>
      </w:pPr>
      <w:r>
        <w:tab/>
        <w:t>(1)</w:t>
      </w:r>
      <w:r>
        <w:tab/>
        <w:t xml:space="preserve">The CCC may delegate to an officer of the CCC the performance of any of the functions of the CCC under this Act, except the following — </w:t>
      </w:r>
    </w:p>
    <w:p>
      <w:pPr>
        <w:pStyle w:val="Indenta"/>
      </w:pPr>
      <w:r>
        <w:tab/>
        <w:t>(a)</w:t>
      </w:r>
      <w:r>
        <w:tab/>
        <w:t>the power to make an order under section 58(1);</w:t>
      </w:r>
    </w:p>
    <w:p>
      <w:pPr>
        <w:pStyle w:val="Indenta"/>
      </w:pPr>
      <w:r>
        <w:tab/>
        <w:t>(b)</w:t>
      </w:r>
      <w:r>
        <w:tab/>
        <w:t>the power to examine a person under oath;</w:t>
      </w:r>
    </w:p>
    <w:p>
      <w:pPr>
        <w:pStyle w:val="Indenta"/>
      </w:pPr>
      <w:r>
        <w:tab/>
        <w:t>(c)</w:t>
      </w:r>
      <w:r>
        <w:tab/>
        <w:t>this power of delegation.</w:t>
      </w:r>
    </w:p>
    <w:p>
      <w:pPr>
        <w:pStyle w:val="Subsection"/>
      </w:pPr>
      <w:r>
        <w:tab/>
        <w:t>(2)</w:t>
      </w:r>
      <w:r>
        <w:tab/>
        <w:t xml:space="preserve">A delegation — </w:t>
      </w:r>
    </w:p>
    <w:p>
      <w:pPr>
        <w:pStyle w:val="Indenta"/>
      </w:pPr>
      <w:r>
        <w:tab/>
        <w:t>(a)</w:t>
      </w:r>
      <w:r>
        <w:tab/>
        <w:t>must be made by written instrument; and</w:t>
      </w:r>
    </w:p>
    <w:p>
      <w:pPr>
        <w:pStyle w:val="Indenta"/>
      </w:pPr>
      <w:r>
        <w:tab/>
        <w:t>(b)</w:t>
      </w:r>
      <w:r>
        <w:tab/>
        <w:t>is made on behalf of and subject to the direction and control of the CCC; and</w:t>
      </w:r>
    </w:p>
    <w:p>
      <w:pPr>
        <w:pStyle w:val="Indenta"/>
      </w:pPr>
      <w:r>
        <w:tab/>
        <w:t>(c)</w:t>
      </w:r>
      <w:r>
        <w:tab/>
        <w:t>may be made generally or as otherwise provided by the instrument.</w:t>
      </w:r>
    </w:p>
    <w:p>
      <w:pPr>
        <w:pStyle w:val="Footnotesection"/>
      </w:pPr>
      <w:r>
        <w:tab/>
        <w:t>[Section 134A inserted: No. 10 of 2018 s. 76.]</w:t>
      </w:r>
    </w:p>
    <w:p>
      <w:pPr>
        <w:pStyle w:val="Heading5"/>
        <w:spacing w:before="120"/>
      </w:pPr>
      <w:bookmarkStart w:id="431" w:name="_Toc141091365"/>
      <w:bookmarkStart w:id="432" w:name="_Toc12618602"/>
      <w:r>
        <w:rPr>
          <w:rStyle w:val="CharSectno"/>
        </w:rPr>
        <w:t>135</w:t>
      </w:r>
      <w:r>
        <w:t>.</w:t>
      </w:r>
      <w:r>
        <w:tab/>
        <w:t>Sham transactions, orders as to</w:t>
      </w:r>
      <w:bookmarkEnd w:id="431"/>
      <w:bookmarkEnd w:id="432"/>
    </w:p>
    <w:p>
      <w:pPr>
        <w:pStyle w:val="Subsection"/>
        <w:spacing w:before="100"/>
      </w:pPr>
      <w:r>
        <w:tab/>
        <w:t>(1)</w:t>
      </w:r>
      <w:r>
        <w:tab/>
        <w:t>The DPP or the CCC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Footnotesection"/>
      </w:pPr>
      <w:r>
        <w:tab/>
        <w:t>[Section 135 amended: No. 10 of 2018 s. 77.]</w:t>
      </w:r>
    </w:p>
    <w:p>
      <w:pPr>
        <w:pStyle w:val="Heading5"/>
      </w:pPr>
      <w:bookmarkStart w:id="433" w:name="_Toc141091366"/>
      <w:bookmarkStart w:id="434" w:name="_Toc12618603"/>
      <w:r>
        <w:rPr>
          <w:rStyle w:val="CharSectno"/>
        </w:rPr>
        <w:t>136</w:t>
      </w:r>
      <w:r>
        <w:t>.</w:t>
      </w:r>
      <w:r>
        <w:tab/>
        <w:t>Offences by body corporate, liability of officers of in case of etc.</w:t>
      </w:r>
      <w:bookmarkEnd w:id="433"/>
      <w:bookmarkEnd w:id="434"/>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435" w:name="_Toc141091367"/>
      <w:bookmarkStart w:id="436" w:name="_Toc12618604"/>
      <w:r>
        <w:rPr>
          <w:rStyle w:val="CharSectno"/>
        </w:rPr>
        <w:t>137</w:t>
      </w:r>
      <w:r>
        <w:t>.</w:t>
      </w:r>
      <w:r>
        <w:tab/>
        <w:t>Protection from personal liability</w:t>
      </w:r>
      <w:bookmarkEnd w:id="435"/>
      <w:bookmarkEnd w:id="436"/>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437" w:name="_Toc141091368"/>
      <w:bookmarkStart w:id="438" w:name="_Toc12618605"/>
      <w:r>
        <w:rPr>
          <w:rStyle w:val="CharSectno"/>
        </w:rPr>
        <w:t>138</w:t>
      </w:r>
      <w:r>
        <w:t>.</w:t>
      </w:r>
      <w:r>
        <w:tab/>
        <w:t>Death of owner, effect of</w:t>
      </w:r>
      <w:bookmarkEnd w:id="437"/>
      <w:bookmarkEnd w:id="438"/>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 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439" w:name="_Toc141091369"/>
      <w:bookmarkStart w:id="440" w:name="_Toc12618606"/>
      <w:r>
        <w:rPr>
          <w:rStyle w:val="CharSectno"/>
        </w:rPr>
        <w:t>139</w:t>
      </w:r>
      <w:r>
        <w:t>.</w:t>
      </w:r>
      <w:r>
        <w:tab/>
        <w:t>Legal professional privilege withdrawn</w:t>
      </w:r>
      <w:bookmarkEnd w:id="439"/>
      <w:bookmarkEnd w:id="44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441" w:name="_Toc141091370"/>
      <w:bookmarkStart w:id="442" w:name="_Toc12618607"/>
      <w:r>
        <w:rPr>
          <w:rStyle w:val="CharSectno"/>
        </w:rPr>
        <w:t>140</w:t>
      </w:r>
      <w:r>
        <w:t>.</w:t>
      </w:r>
      <w:r>
        <w:tab/>
        <w:t>Regulations</w:t>
      </w:r>
      <w:bookmarkEnd w:id="441"/>
      <w:bookmarkEnd w:id="44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5"/>
      </w:pPr>
      <w:bookmarkStart w:id="443" w:name="_Toc141091371"/>
      <w:bookmarkStart w:id="444" w:name="_Toc12618608"/>
      <w:r>
        <w:rPr>
          <w:rStyle w:val="CharSectno"/>
        </w:rPr>
        <w:t>140A</w:t>
      </w:r>
      <w:r>
        <w:t>.</w:t>
      </w:r>
      <w:r>
        <w:tab/>
        <w:t>Review of 2018 amendments to Act</w:t>
      </w:r>
      <w:bookmarkEnd w:id="443"/>
      <w:bookmarkEnd w:id="444"/>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140A inserted: No. 10 of 2018 s. 78.]</w:t>
      </w:r>
    </w:p>
    <w:p>
      <w:pPr>
        <w:pStyle w:val="Heading2"/>
      </w:pPr>
      <w:bookmarkStart w:id="445" w:name="_Toc141091169"/>
      <w:bookmarkStart w:id="446" w:name="_Toc141091372"/>
      <w:bookmarkStart w:id="447" w:name="_Toc7620016"/>
      <w:bookmarkStart w:id="448" w:name="_Toc12618408"/>
      <w:bookmarkStart w:id="449" w:name="_Toc12618609"/>
      <w:r>
        <w:rPr>
          <w:rStyle w:val="CharPartNo"/>
        </w:rPr>
        <w:t>Part 12</w:t>
      </w:r>
      <w:r>
        <w:rPr>
          <w:rStyle w:val="CharDivNo"/>
        </w:rPr>
        <w:t xml:space="preserve"> </w:t>
      </w:r>
      <w:r>
        <w:t>—</w:t>
      </w:r>
      <w:r>
        <w:rPr>
          <w:rStyle w:val="CharDivText"/>
        </w:rPr>
        <w:t xml:space="preserve"> </w:t>
      </w:r>
      <w:r>
        <w:rPr>
          <w:rStyle w:val="CharPartText"/>
        </w:rPr>
        <w:t>Interpretation</w:t>
      </w:r>
      <w:bookmarkEnd w:id="445"/>
      <w:bookmarkEnd w:id="446"/>
      <w:bookmarkEnd w:id="447"/>
      <w:bookmarkEnd w:id="448"/>
      <w:bookmarkEnd w:id="449"/>
    </w:p>
    <w:p>
      <w:pPr>
        <w:pStyle w:val="Heading5"/>
      </w:pPr>
      <w:bookmarkStart w:id="450" w:name="_Toc141091373"/>
      <w:bookmarkStart w:id="451" w:name="_Toc12618610"/>
      <w:r>
        <w:rPr>
          <w:rStyle w:val="CharSectno"/>
        </w:rPr>
        <w:t>141</w:t>
      </w:r>
      <w:r>
        <w:t>.</w:t>
      </w:r>
      <w:r>
        <w:tab/>
        <w:t>Term used: confiscation offence</w:t>
      </w:r>
      <w:bookmarkEnd w:id="450"/>
      <w:bookmarkEnd w:id="451"/>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No. 49 of 2012 s. 176(2).]</w:t>
      </w:r>
    </w:p>
    <w:p>
      <w:pPr>
        <w:pStyle w:val="Heading5"/>
        <w:pageBreakBefore/>
        <w:spacing w:before="0"/>
      </w:pPr>
      <w:bookmarkStart w:id="452" w:name="_Toc141091374"/>
      <w:bookmarkStart w:id="453" w:name="_Toc12618611"/>
      <w:r>
        <w:rPr>
          <w:rStyle w:val="CharSectno"/>
        </w:rPr>
        <w:t>142</w:t>
      </w:r>
      <w:r>
        <w:t>.</w:t>
      </w:r>
      <w:r>
        <w:tab/>
        <w:t>Term used: confiscable</w:t>
      </w:r>
      <w:bookmarkEnd w:id="452"/>
      <w:bookmarkEnd w:id="453"/>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454" w:name="_Toc141091375"/>
      <w:bookmarkStart w:id="455" w:name="_Toc12618612"/>
      <w:r>
        <w:rPr>
          <w:rStyle w:val="CharSectno"/>
        </w:rPr>
        <w:t>143</w:t>
      </w:r>
      <w:r>
        <w:t>.</w:t>
      </w:r>
      <w:r>
        <w:tab/>
        <w:t>Term used: wealth</w:t>
      </w:r>
      <w:bookmarkEnd w:id="454"/>
      <w:bookmarkEnd w:id="45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456" w:name="_Toc141091376"/>
      <w:bookmarkStart w:id="457" w:name="_Toc12618613"/>
      <w:r>
        <w:rPr>
          <w:rStyle w:val="CharSectno"/>
        </w:rPr>
        <w:t>144</w:t>
      </w:r>
      <w:r>
        <w:t>.</w:t>
      </w:r>
      <w:r>
        <w:tab/>
        <w:t>Term used: unexplained wealth</w:t>
      </w:r>
      <w:bookmarkEnd w:id="456"/>
      <w:bookmarkEnd w:id="457"/>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ageBreakBefore/>
        <w:spacing w:before="0"/>
      </w:pPr>
      <w:bookmarkStart w:id="458" w:name="_Toc141091377"/>
      <w:bookmarkStart w:id="459" w:name="_Toc12618614"/>
      <w:r>
        <w:rPr>
          <w:rStyle w:val="CharSectno"/>
        </w:rPr>
        <w:t>145</w:t>
      </w:r>
      <w:r>
        <w:t>.</w:t>
      </w:r>
      <w:r>
        <w:tab/>
        <w:t>Term used: criminal benefit</w:t>
      </w:r>
      <w:bookmarkEnd w:id="458"/>
      <w:bookmarkEnd w:id="459"/>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460" w:name="_Toc141091378"/>
      <w:bookmarkStart w:id="461" w:name="_Toc12618615"/>
      <w:r>
        <w:rPr>
          <w:rStyle w:val="CharSectno"/>
        </w:rPr>
        <w:t>146</w:t>
      </w:r>
      <w:r>
        <w:t>.</w:t>
      </w:r>
      <w:r>
        <w:tab/>
        <w:t>Term used: crime</w:t>
      </w:r>
      <w:r>
        <w:noBreakHyphen/>
        <w:t>used</w:t>
      </w:r>
      <w:bookmarkEnd w:id="460"/>
      <w:bookmarkEnd w:id="461"/>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462" w:name="_Toc141091379"/>
      <w:bookmarkStart w:id="463" w:name="_Toc12618616"/>
      <w:r>
        <w:rPr>
          <w:rStyle w:val="CharSectno"/>
        </w:rPr>
        <w:t>147</w:t>
      </w:r>
      <w:r>
        <w:t>.</w:t>
      </w:r>
      <w:r>
        <w:tab/>
        <w:t>Term used: criminal use</w:t>
      </w:r>
      <w:bookmarkEnd w:id="462"/>
      <w:bookmarkEnd w:id="463"/>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464" w:name="_Toc141091380"/>
      <w:bookmarkStart w:id="465" w:name="_Toc12618617"/>
      <w:r>
        <w:rPr>
          <w:rStyle w:val="CharSectno"/>
        </w:rPr>
        <w:t>148</w:t>
      </w:r>
      <w:r>
        <w:t>.</w:t>
      </w:r>
      <w:r>
        <w:tab/>
        <w:t>Term used: crime</w:t>
      </w:r>
      <w:r>
        <w:noBreakHyphen/>
        <w:t>derived</w:t>
      </w:r>
      <w:bookmarkEnd w:id="464"/>
      <w:bookmarkEnd w:id="465"/>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No. 49 of 2012 s. 176(3).]</w:t>
      </w:r>
    </w:p>
    <w:p>
      <w:pPr>
        <w:pStyle w:val="Heading5"/>
      </w:pPr>
      <w:bookmarkStart w:id="466" w:name="_Toc141091381"/>
      <w:bookmarkStart w:id="467" w:name="_Toc12618618"/>
      <w:r>
        <w:rPr>
          <w:rStyle w:val="CharSectno"/>
        </w:rPr>
        <w:t>149</w:t>
      </w:r>
      <w:r>
        <w:t>.</w:t>
      </w:r>
      <w:r>
        <w:tab/>
        <w:t>Term used: lawfully acquired</w:t>
      </w:r>
      <w:bookmarkEnd w:id="466"/>
      <w:bookmarkEnd w:id="467"/>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468" w:name="_Toc141091382"/>
      <w:bookmarkStart w:id="469" w:name="_Toc12618619"/>
      <w:r>
        <w:rPr>
          <w:rStyle w:val="CharSectno"/>
        </w:rPr>
        <w:t>150</w:t>
      </w:r>
      <w:r>
        <w:t>.</w:t>
      </w:r>
      <w:r>
        <w:tab/>
        <w:t>Term used: service cut off date</w:t>
      </w:r>
      <w:bookmarkEnd w:id="468"/>
      <w:bookmarkEnd w:id="469"/>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ageBreakBefore/>
        <w:spacing w:before="0"/>
      </w:pPr>
      <w:bookmarkStart w:id="470" w:name="_Toc141091383"/>
      <w:bookmarkStart w:id="471" w:name="_Toc12618620"/>
      <w:r>
        <w:rPr>
          <w:rStyle w:val="CharSectno"/>
        </w:rPr>
        <w:t>151</w:t>
      </w:r>
      <w:r>
        <w:t>.</w:t>
      </w:r>
      <w:r>
        <w:tab/>
        <w:t>Term used: deal (in relation to property)</w:t>
      </w:r>
      <w:bookmarkEnd w:id="470"/>
      <w:bookmarkEnd w:id="471"/>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472" w:name="_Toc141091384"/>
      <w:bookmarkStart w:id="473" w:name="_Toc12618621"/>
      <w:r>
        <w:rPr>
          <w:rStyle w:val="CharSectno"/>
        </w:rPr>
        <w:t>152</w:t>
      </w:r>
      <w:r>
        <w:t>.</w:t>
      </w:r>
      <w:r>
        <w:tab/>
        <w:t>Term used: value (in relation to property sold by or for the State)</w:t>
      </w:r>
      <w:bookmarkEnd w:id="472"/>
      <w:bookmarkEnd w:id="47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ageBreakBefore/>
        <w:spacing w:before="0"/>
      </w:pPr>
      <w:bookmarkStart w:id="474" w:name="_Toc141091385"/>
      <w:bookmarkStart w:id="475" w:name="_Toc12618622"/>
      <w:r>
        <w:rPr>
          <w:rStyle w:val="CharSectno"/>
        </w:rPr>
        <w:t>153</w:t>
      </w:r>
      <w:r>
        <w:t>.</w:t>
      </w:r>
      <w:r>
        <w:tab/>
        <w:t>Term used: innocent party</w:t>
      </w:r>
      <w:bookmarkEnd w:id="474"/>
      <w:bookmarkEnd w:id="47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476" w:name="_Toc141091386"/>
      <w:bookmarkStart w:id="477" w:name="_Toc12618623"/>
      <w:r>
        <w:rPr>
          <w:rStyle w:val="CharSectno"/>
        </w:rPr>
        <w:t>154</w:t>
      </w:r>
      <w:r>
        <w:t>.</w:t>
      </w:r>
      <w:r>
        <w:tab/>
        <w:t>Term used: value (in relation to transfer of property)</w:t>
      </w:r>
      <w:bookmarkEnd w:id="476"/>
      <w:bookmarkEnd w:id="47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478" w:name="_Toc141091387"/>
      <w:bookmarkStart w:id="479" w:name="_Toc12618624"/>
      <w:r>
        <w:rPr>
          <w:rStyle w:val="CharSectno"/>
        </w:rPr>
        <w:t>155</w:t>
      </w:r>
      <w:r>
        <w:t>.</w:t>
      </w:r>
      <w:r>
        <w:tab/>
        <w:t>Term used: property</w:t>
      </w:r>
      <w:r>
        <w:noBreakHyphen/>
        <w:t>tracking document</w:t>
      </w:r>
      <w:bookmarkEnd w:id="478"/>
      <w:bookmarkEnd w:id="479"/>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keepNext/>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480" w:name="_Toc141091388"/>
      <w:bookmarkStart w:id="481" w:name="_Toc12618625"/>
      <w:r>
        <w:rPr>
          <w:rStyle w:val="CharSectno"/>
        </w:rPr>
        <w:t>156</w:t>
      </w:r>
      <w:r>
        <w:t>.</w:t>
      </w:r>
      <w:r>
        <w:tab/>
        <w:t>Term used: effective control (in relation to property)</w:t>
      </w:r>
      <w:bookmarkEnd w:id="480"/>
      <w:bookmarkEnd w:id="481"/>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ageBreakBefore/>
        <w:spacing w:before="0"/>
      </w:pPr>
      <w:bookmarkStart w:id="482" w:name="_Toc141091389"/>
      <w:bookmarkStart w:id="483" w:name="_Toc12618626"/>
      <w:r>
        <w:rPr>
          <w:rStyle w:val="CharSectno"/>
        </w:rPr>
        <w:t>157</w:t>
      </w:r>
      <w:r>
        <w:t>.</w:t>
      </w:r>
      <w:r>
        <w:tab/>
        <w:t>Term used: conviction (in relation to confiscation offence)</w:t>
      </w:r>
      <w:bookmarkEnd w:id="482"/>
      <w:bookmarkEnd w:id="483"/>
    </w:p>
    <w:p>
      <w:pPr>
        <w:pStyle w:val="Subsection"/>
        <w:keepNext/>
        <w:spacing w:before="120"/>
      </w:pPr>
      <w:r>
        <w:tab/>
        <w:t>(1)</w:t>
      </w:r>
      <w:r>
        <w:tab/>
        <w:t>For the purposes of this Act, a person is taken to have been convicted of a confiscation offence if —</w:t>
      </w:r>
    </w:p>
    <w:p>
      <w:pPr>
        <w:pStyle w:val="Indenta"/>
        <w:keepNext/>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w:t>
      </w:r>
      <w:del w:id="484" w:author="Master Repository Process" w:date="2023-07-26T09:29:00Z">
        <w:r>
          <w:rPr>
            <w:iCs/>
            <w:vertAlign w:val="superscript"/>
          </w:rPr>
          <w:delText>2</w:delText>
        </w:r>
      </w:del>
      <w:ins w:id="485" w:author="Master Repository Process" w:date="2023-07-26T09:29:00Z">
        <w:r>
          <w:rPr>
            <w:iCs/>
            <w:vertAlign w:val="superscript"/>
          </w:rPr>
          <w:t>1</w:t>
        </w:r>
      </w:ins>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486" w:name="_Toc141091390"/>
      <w:bookmarkStart w:id="487" w:name="_Toc12618627"/>
      <w:r>
        <w:rPr>
          <w:rStyle w:val="CharSectno"/>
        </w:rPr>
        <w:t>158</w:t>
      </w:r>
      <w:r>
        <w:t>.</w:t>
      </w:r>
      <w:r>
        <w:tab/>
        <w:t>Term used: charge (in relation to an offence)</w:t>
      </w:r>
      <w:bookmarkEnd w:id="486"/>
      <w:bookmarkEnd w:id="487"/>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No. 84 of 2004 s. 80.]</w:t>
      </w:r>
    </w:p>
    <w:p>
      <w:pPr>
        <w:pStyle w:val="Heading5"/>
      </w:pPr>
      <w:bookmarkStart w:id="488" w:name="_Toc141091391"/>
      <w:bookmarkStart w:id="489" w:name="_Toc12618628"/>
      <w:r>
        <w:rPr>
          <w:rStyle w:val="CharSectno"/>
        </w:rPr>
        <w:t>159</w:t>
      </w:r>
      <w:r>
        <w:t>.</w:t>
      </w:r>
      <w:r>
        <w:tab/>
        <w:t>Term used: declared drug trafficker</w:t>
      </w:r>
      <w:bookmarkEnd w:id="488"/>
      <w:bookmarkEnd w:id="489"/>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No. 49 of 2012 s. 176(4).]</w:t>
      </w:r>
    </w:p>
    <w:p>
      <w:pPr>
        <w:pStyle w:val="Heading5"/>
      </w:pPr>
      <w:bookmarkStart w:id="490" w:name="_Toc141091392"/>
      <w:bookmarkStart w:id="491" w:name="_Toc12618629"/>
      <w:r>
        <w:rPr>
          <w:rStyle w:val="CharSectno"/>
        </w:rPr>
        <w:t>160</w:t>
      </w:r>
      <w:r>
        <w:t>.</w:t>
      </w:r>
      <w:r>
        <w:tab/>
        <w:t>Term used: abscond (in relation to an offence)</w:t>
      </w:r>
      <w:bookmarkEnd w:id="490"/>
      <w:bookmarkEnd w:id="49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pageBreakBefore/>
        <w:spacing w:before="0"/>
      </w:pPr>
      <w:bookmarkStart w:id="492" w:name="_Toc141091393"/>
      <w:bookmarkStart w:id="493" w:name="_Toc12618630"/>
      <w:r>
        <w:rPr>
          <w:rStyle w:val="CharSectno"/>
        </w:rPr>
        <w:t>161</w:t>
      </w:r>
      <w:r>
        <w:t>.</w:t>
      </w:r>
      <w:r>
        <w:tab/>
        <w:t>Term used: sham transaction</w:t>
      </w:r>
      <w:bookmarkEnd w:id="492"/>
      <w:bookmarkEnd w:id="493"/>
    </w:p>
    <w:p>
      <w:pPr>
        <w:pStyle w:val="Subsection"/>
        <w:keepNext/>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494" w:name="_Toc141091191"/>
      <w:bookmarkStart w:id="495" w:name="_Toc141091394"/>
      <w:bookmarkStart w:id="496" w:name="_Toc7620038"/>
      <w:bookmarkStart w:id="497" w:name="_Toc12618430"/>
      <w:bookmarkStart w:id="498" w:name="_Toc12618631"/>
      <w:r>
        <w:rPr>
          <w:rStyle w:val="CharSchNo"/>
        </w:rPr>
        <w:t>Glossary</w:t>
      </w:r>
      <w:bookmarkEnd w:id="494"/>
      <w:bookmarkEnd w:id="495"/>
      <w:bookmarkEnd w:id="496"/>
      <w:bookmarkEnd w:id="497"/>
      <w:bookmarkEnd w:id="498"/>
    </w:p>
    <w:p>
      <w:pPr>
        <w:pStyle w:val="yShoulderClause"/>
      </w:pPr>
      <w:r>
        <w:t>[s. 3]</w:t>
      </w:r>
    </w:p>
    <w:p>
      <w:pPr>
        <w:pStyle w:val="yHeading5"/>
        <w:rPr>
          <w:snapToGrid w:val="0"/>
        </w:rPr>
      </w:pPr>
      <w:bookmarkStart w:id="499" w:name="_Toc141091395"/>
      <w:bookmarkStart w:id="500" w:name="_Toc12618632"/>
      <w:r>
        <w:rPr>
          <w:rStyle w:val="CharSClsNo"/>
        </w:rPr>
        <w:t>1</w:t>
      </w:r>
      <w:r>
        <w:rPr>
          <w:snapToGrid w:val="0"/>
        </w:rPr>
        <w:t>.</w:t>
      </w:r>
      <w:r>
        <w:rPr>
          <w:snapToGrid w:val="0"/>
        </w:rPr>
        <w:tab/>
        <w:t>Terms used</w:t>
      </w:r>
      <w:bookmarkEnd w:id="499"/>
      <w:bookmarkEnd w:id="500"/>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y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the Reserve Bank of Australia;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No. 12 of 2001 s. 51; No. 20 of 2003 s. 19; No. 28 of 2003 s. 42; No. 17 of 2005 s. 25; No. 2 of 2008 s. 61(3); No. 22 of 2008 Sch. 3 cl. 17; No. 24 of 2009 s. 508 and 513; No. 19 of 2010 s. 51; No. 35 of 2010 s. 60; No. 10 of 2018 s. 79.]</w:t>
      </w:r>
    </w:p>
    <w:p>
      <w:pPr>
        <w:pStyle w:val="CentredBaseLine"/>
        <w:jc w:val="center"/>
      </w:pPr>
      <w:r>
        <w:rPr>
          <w:noProof/>
        </w:rPr>
        <w:drawing>
          <wp:inline distT="0" distB="0" distL="0" distR="0">
            <wp:extent cx="934085"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502" w:name="_Toc141091193"/>
      <w:bookmarkStart w:id="503" w:name="_Toc141091396"/>
      <w:bookmarkStart w:id="504" w:name="_Toc7620040"/>
      <w:bookmarkStart w:id="505" w:name="_Toc12618432"/>
      <w:bookmarkStart w:id="506" w:name="_Toc12618633"/>
      <w:r>
        <w:t>Notes</w:t>
      </w:r>
      <w:bookmarkEnd w:id="502"/>
      <w:bookmarkEnd w:id="503"/>
      <w:bookmarkEnd w:id="504"/>
      <w:bookmarkEnd w:id="505"/>
      <w:bookmarkEnd w:id="506"/>
    </w:p>
    <w:p>
      <w:pPr>
        <w:pStyle w:val="nStatement"/>
      </w:pPr>
      <w:del w:id="507" w:author="Master Repository Process" w:date="2023-07-26T09:29:00Z">
        <w:r>
          <w:rPr>
            <w:vertAlign w:val="superscript"/>
          </w:rPr>
          <w:delText>1</w:delText>
        </w:r>
        <w:r>
          <w:tab/>
        </w:r>
      </w:del>
      <w:r>
        <w:t xml:space="preserve">This is a compilation of the </w:t>
      </w:r>
      <w:r>
        <w:rPr>
          <w:i/>
          <w:noProof/>
        </w:rPr>
        <w:t>Criminal Property Confiscation Act</w:t>
      </w:r>
      <w:del w:id="508" w:author="Master Repository Process" w:date="2023-07-26T09:29:00Z">
        <w:r>
          <w:rPr>
            <w:i/>
            <w:noProof/>
          </w:rPr>
          <w:delText xml:space="preserve"> </w:delText>
        </w:r>
      </w:del>
      <w:ins w:id="509" w:author="Master Repository Process" w:date="2023-07-26T09:29:00Z">
        <w:r>
          <w:rPr>
            <w:i/>
            <w:noProof/>
          </w:rPr>
          <w:t> </w:t>
        </w:r>
      </w:ins>
      <w:r>
        <w:rPr>
          <w:i/>
          <w:noProof/>
        </w:rPr>
        <w:t>2000</w:t>
      </w:r>
      <w:r>
        <w:t xml:space="preserve"> and includes </w:t>
      </w:r>
      <w:del w:id="510" w:author="Master Repository Process" w:date="2023-07-26T09:29:00Z">
        <w:r>
          <w:delText xml:space="preserve">the </w:delText>
        </w:r>
      </w:del>
      <w:r>
        <w:t xml:space="preserve">amendments made by </w:t>
      </w:r>
      <w:del w:id="511" w:author="Master Repository Process" w:date="2023-07-26T09:29:00Z">
        <w:r>
          <w:delText xml:space="preserve">the </w:delText>
        </w:r>
      </w:del>
      <w:r>
        <w:t>other written laws</w:t>
      </w:r>
      <w:del w:id="512" w:author="Master Repository Process" w:date="2023-07-26T09:29:00Z">
        <w:r>
          <w:delText xml:space="preserve"> referred to in the following table.  The table also contains</w:delText>
        </w:r>
      </w:del>
      <w:ins w:id="513" w:author="Master Repository Process" w:date="2023-07-26T09:29:00Z">
        <w:r>
          <w:t>. For provisions that have come into operation, and for</w:t>
        </w:r>
      </w:ins>
      <w:r>
        <w:t xml:space="preserve"> information about any </w:t>
      </w:r>
      <w:del w:id="514" w:author="Master Repository Process" w:date="2023-07-26T09:29:00Z">
        <w:r>
          <w:delText>reprint</w:delText>
        </w:r>
      </w:del>
      <w:ins w:id="515" w:author="Master Repository Process" w:date="2023-07-26T09:29:00Z">
        <w:r>
          <w:t>reprints, see the compilation table. For provisions that have not yet come into operation see the uncommenced provisions table</w:t>
        </w:r>
      </w:ins>
      <w:r>
        <w:t>.</w:t>
      </w:r>
    </w:p>
    <w:p>
      <w:pPr>
        <w:pStyle w:val="nHeading3"/>
      </w:pPr>
      <w:bookmarkStart w:id="516" w:name="_Toc141091397"/>
      <w:bookmarkStart w:id="517" w:name="_Toc12618634"/>
      <w:r>
        <w:t>Compilation table</w:t>
      </w:r>
      <w:bookmarkEnd w:id="516"/>
      <w:bookmarkEnd w:id="5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60"/>
        <w:gridCol w:w="2492"/>
        <w:gridCol w:w="59"/>
      </w:tblGrid>
      <w:tr>
        <w:trPr>
          <w:gridAfter w:val="1"/>
          <w:wAfter w:w="5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518" w:author="Master Repository Process" w:date="2023-07-26T09:29:00Z">
              <w:r>
                <w:rPr>
                  <w:b/>
                </w:rPr>
                <w:delText xml:space="preserve"> </w:delText>
              </w:r>
            </w:del>
            <w:ins w:id="519" w:author="Master Repository Process" w:date="2023-07-26T09:29: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Borders>
              <w:top w:val="single" w:sz="8" w:space="0" w:color="auto"/>
            </w:tcBorders>
          </w:tcPr>
          <w:p>
            <w:pPr>
              <w:pStyle w:val="nTable"/>
              <w:spacing w:after="40"/>
            </w:pPr>
            <w:r>
              <w:rPr>
                <w:i/>
                <w:snapToGrid w:val="0"/>
              </w:rPr>
              <w:t>Criminal Property Confiscation Act 2000</w:t>
            </w:r>
          </w:p>
        </w:tc>
        <w:tc>
          <w:tcPr>
            <w:tcW w:w="1134" w:type="dxa"/>
            <w:gridSpan w:val="2"/>
            <w:tcBorders>
              <w:top w:val="single" w:sz="8" w:space="0" w:color="auto"/>
            </w:tcBorders>
          </w:tcPr>
          <w:p>
            <w:pPr>
              <w:pStyle w:val="nTable"/>
              <w:spacing w:after="40"/>
            </w:pPr>
            <w:r>
              <w:t>68 of 2000</w:t>
            </w:r>
          </w:p>
        </w:tc>
        <w:tc>
          <w:tcPr>
            <w:tcW w:w="1138" w:type="dxa"/>
            <w:gridSpan w:val="2"/>
            <w:tcBorders>
              <w:top w:val="single" w:sz="8" w:space="0" w:color="auto"/>
            </w:tcBorders>
          </w:tcPr>
          <w:p>
            <w:pPr>
              <w:pStyle w:val="nTable"/>
              <w:spacing w:after="40"/>
            </w:pPr>
            <w:r>
              <w:t>6 Dec 2000</w:t>
            </w:r>
          </w:p>
        </w:tc>
        <w:tc>
          <w:tcPr>
            <w:tcW w:w="2551" w:type="dxa"/>
            <w:gridSpan w:val="2"/>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 xml:space="preserve">Building Societies Amendment Act 2001 </w:t>
            </w:r>
            <w:r>
              <w:rPr>
                <w:snapToGrid w:val="0"/>
              </w:rPr>
              <w:t>s. 51</w:t>
            </w:r>
          </w:p>
        </w:tc>
        <w:tc>
          <w:tcPr>
            <w:tcW w:w="1134" w:type="dxa"/>
            <w:gridSpan w:val="2"/>
          </w:tcPr>
          <w:p>
            <w:pPr>
              <w:pStyle w:val="nTable"/>
              <w:spacing w:after="40"/>
            </w:pPr>
            <w:r>
              <w:t>12 of 2001</w:t>
            </w:r>
          </w:p>
        </w:tc>
        <w:tc>
          <w:tcPr>
            <w:tcW w:w="1138" w:type="dxa"/>
            <w:gridSpan w:val="2"/>
          </w:tcPr>
          <w:p>
            <w:pPr>
              <w:pStyle w:val="nTable"/>
              <w:spacing w:after="40"/>
            </w:pPr>
            <w:r>
              <w:t>13 Jul 2001</w:t>
            </w:r>
          </w:p>
        </w:tc>
        <w:tc>
          <w:tcPr>
            <w:tcW w:w="2551"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gridSpan w:val="2"/>
          </w:tcPr>
          <w:p>
            <w:pPr>
              <w:pStyle w:val="nTable"/>
              <w:spacing w:after="40"/>
            </w:pPr>
            <w:r>
              <w:t>20 of 2003</w:t>
            </w:r>
          </w:p>
        </w:tc>
        <w:tc>
          <w:tcPr>
            <w:tcW w:w="1138"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snapToGrid w:val="0"/>
              </w:rPr>
            </w:pPr>
            <w:r>
              <w:rPr>
                <w:i/>
                <w:snapToGrid w:val="0"/>
              </w:rPr>
              <w:t>Acts Amendment (Equality of Status) Act 2003</w:t>
            </w:r>
            <w:r>
              <w:rPr>
                <w:snapToGrid w:val="0"/>
              </w:rPr>
              <w:t xml:space="preserve"> Pt. 15</w:t>
            </w:r>
          </w:p>
        </w:tc>
        <w:tc>
          <w:tcPr>
            <w:tcW w:w="1134" w:type="dxa"/>
            <w:gridSpan w:val="2"/>
          </w:tcPr>
          <w:p>
            <w:pPr>
              <w:pStyle w:val="nTable"/>
              <w:spacing w:after="40"/>
            </w:pPr>
            <w:r>
              <w:t>28 of 2003</w:t>
            </w:r>
          </w:p>
        </w:tc>
        <w:tc>
          <w:tcPr>
            <w:tcW w:w="1138"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8"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rPr>
                <w:snapToGrid w:val="0"/>
              </w:rPr>
            </w:pPr>
            <w:r>
              <w:rPr>
                <w:snapToGrid w:val="0"/>
              </w:rPr>
              <w:t>84 of 2004</w:t>
            </w:r>
          </w:p>
        </w:tc>
        <w:tc>
          <w:tcPr>
            <w:tcW w:w="1138" w:type="dxa"/>
            <w:gridSpan w:val="2"/>
          </w:tcPr>
          <w:p>
            <w:pPr>
              <w:pStyle w:val="nTable"/>
              <w:spacing w:after="40"/>
              <w:rPr>
                <w:snapToGrid w:val="0"/>
              </w:rPr>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iCs/>
              </w:rPr>
              <w:t>Housing Societies Repeal Act 2005</w:t>
            </w:r>
            <w:r>
              <w:t xml:space="preserve"> s. 25 </w:t>
            </w:r>
          </w:p>
        </w:tc>
        <w:tc>
          <w:tcPr>
            <w:tcW w:w="1134" w:type="dxa"/>
            <w:gridSpan w:val="2"/>
          </w:tcPr>
          <w:p>
            <w:pPr>
              <w:pStyle w:val="nTable"/>
              <w:spacing w:after="40"/>
              <w:rPr>
                <w:snapToGrid w:val="0"/>
              </w:rPr>
            </w:pPr>
            <w:r>
              <w:t>17 of 2005</w:t>
            </w:r>
          </w:p>
        </w:tc>
        <w:tc>
          <w:tcPr>
            <w:tcW w:w="1138" w:type="dxa"/>
            <w:gridSpan w:val="2"/>
          </w:tcPr>
          <w:p>
            <w:pPr>
              <w:pStyle w:val="nTable"/>
              <w:spacing w:after="40"/>
            </w:pPr>
            <w:r>
              <w:t>5 Oct 2005</w:t>
            </w:r>
          </w:p>
        </w:tc>
        <w:tc>
          <w:tcPr>
            <w:tcW w:w="2551" w:type="dxa"/>
            <w:gridSpan w:val="2"/>
          </w:tcPr>
          <w:p>
            <w:pPr>
              <w:pStyle w:val="nTable"/>
              <w:spacing w:after="40"/>
              <w:rPr>
                <w:snapToGrid w:val="0"/>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gridSpan w:val="2"/>
          </w:tcPr>
          <w:p>
            <w:pPr>
              <w:pStyle w:val="nTable"/>
              <w:spacing w:after="40"/>
              <w:rPr>
                <w:snapToGrid w:val="0"/>
              </w:rPr>
            </w:pPr>
            <w:r>
              <w:rPr>
                <w:snapToGrid w:val="0"/>
              </w:rPr>
              <w:t xml:space="preserve">77 of 2006 </w:t>
            </w:r>
          </w:p>
        </w:tc>
        <w:tc>
          <w:tcPr>
            <w:tcW w:w="1138"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snapToGrid w:val="0"/>
              </w:rPr>
            </w:pPr>
            <w:r>
              <w:rPr>
                <w:i/>
                <w:iCs/>
              </w:rPr>
              <w:t>Road Traffic Amendment Act 2007</w:t>
            </w:r>
            <w:r>
              <w:t xml:space="preserve"> s. 26</w:t>
            </w:r>
            <w:r>
              <w:rPr>
                <w:vertAlign w:val="superscript"/>
              </w:rPr>
              <w:t> </w:t>
            </w:r>
          </w:p>
        </w:tc>
        <w:tc>
          <w:tcPr>
            <w:tcW w:w="1134" w:type="dxa"/>
            <w:gridSpan w:val="2"/>
          </w:tcPr>
          <w:p>
            <w:pPr>
              <w:pStyle w:val="nTable"/>
              <w:spacing w:after="40"/>
              <w:rPr>
                <w:snapToGrid w:val="0"/>
              </w:rPr>
            </w:pPr>
            <w:r>
              <w:t>4 of 2007</w:t>
            </w:r>
          </w:p>
        </w:tc>
        <w:tc>
          <w:tcPr>
            <w:tcW w:w="1138" w:type="dxa"/>
            <w:gridSpan w:val="2"/>
          </w:tcPr>
          <w:p>
            <w:pPr>
              <w:pStyle w:val="nTable"/>
              <w:spacing w:after="40"/>
              <w:rPr>
                <w:snapToGrid w:val="0"/>
              </w:rPr>
            </w:pPr>
            <w:r>
              <w:t>11 Apr 2007</w:t>
            </w:r>
          </w:p>
        </w:tc>
        <w:tc>
          <w:tcPr>
            <w:tcW w:w="2551" w:type="dxa"/>
            <w:gridSpan w:val="2"/>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blPrEx>
          <w:tblBorders>
            <w:top w:val="none" w:sz="0" w:space="0" w:color="auto"/>
            <w:bottom w:val="none" w:sz="0" w:space="0" w:color="auto"/>
            <w:insideH w:val="none" w:sz="0" w:space="0" w:color="auto"/>
          </w:tblBorders>
        </w:tblPrEx>
        <w:trPr>
          <w:gridBefore w:val="1"/>
          <w:wBefore w:w="56" w:type="dxa"/>
        </w:trPr>
        <w:tc>
          <w:tcPr>
            <w:tcW w:w="2268" w:type="dxa"/>
            <w:gridSpan w:val="2"/>
          </w:tcPr>
          <w:p>
            <w:pPr>
              <w:pStyle w:val="nTable"/>
              <w:spacing w:after="40"/>
              <w:rPr>
                <w:i/>
                <w:iCs/>
              </w:rPr>
            </w:pPr>
            <w:r>
              <w:rPr>
                <w:i/>
                <w:snapToGrid w:val="0"/>
              </w:rPr>
              <w:t>Criminal Law and Evidence Amendment Act 2008</w:t>
            </w:r>
            <w:r>
              <w:rPr>
                <w:iCs/>
                <w:snapToGrid w:val="0"/>
              </w:rPr>
              <w:t xml:space="preserve"> s. 61</w:t>
            </w:r>
          </w:p>
        </w:tc>
        <w:tc>
          <w:tcPr>
            <w:tcW w:w="1134" w:type="dxa"/>
            <w:gridSpan w:val="2"/>
          </w:tcPr>
          <w:p>
            <w:pPr>
              <w:pStyle w:val="nTable"/>
              <w:spacing w:after="40"/>
            </w:pPr>
            <w:r>
              <w:t>2 of 2008</w:t>
            </w:r>
          </w:p>
        </w:tc>
        <w:tc>
          <w:tcPr>
            <w:tcW w:w="1138"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56" w:type="dxa"/>
          <w:cantSplit/>
        </w:trPr>
        <w:tc>
          <w:tcPr>
            <w:tcW w:w="2268" w:type="dxa"/>
            <w:gridSpan w:val="2"/>
            <w:tcBorders>
              <w:top w:val="nil"/>
              <w:bottom w:val="nil"/>
            </w:tcBorders>
          </w:tcPr>
          <w:p>
            <w:pPr>
              <w:pStyle w:val="nTable"/>
              <w:spacing w:after="40"/>
            </w:pPr>
            <w:r>
              <w:rPr>
                <w:i/>
                <w:snapToGrid w:val="0"/>
              </w:rPr>
              <w:t>Medical Practitioners Act 2008</w:t>
            </w:r>
            <w:r>
              <w:t xml:space="preserve"> Sch. 3 cl. 17</w:t>
            </w:r>
          </w:p>
        </w:tc>
        <w:tc>
          <w:tcPr>
            <w:tcW w:w="1134" w:type="dxa"/>
            <w:gridSpan w:val="2"/>
            <w:tcBorders>
              <w:top w:val="nil"/>
              <w:bottom w:val="nil"/>
            </w:tcBorders>
          </w:tcPr>
          <w:p>
            <w:pPr>
              <w:pStyle w:val="nTable"/>
              <w:spacing w:after="40"/>
            </w:pPr>
            <w:r>
              <w:t>22 of 2008</w:t>
            </w:r>
          </w:p>
        </w:tc>
        <w:tc>
          <w:tcPr>
            <w:tcW w:w="1138"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56" w:type="dxa"/>
          <w:cantSplit/>
        </w:trPr>
        <w:tc>
          <w:tcPr>
            <w:tcW w:w="7091" w:type="dxa"/>
            <w:gridSpan w:val="8"/>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27</w:t>
            </w:r>
          </w:p>
        </w:tc>
        <w:tc>
          <w:tcPr>
            <w:tcW w:w="1134" w:type="dxa"/>
            <w:gridSpan w:val="2"/>
          </w:tcPr>
          <w:p>
            <w:pPr>
              <w:pStyle w:val="nTable"/>
              <w:spacing w:after="40"/>
            </w:pPr>
            <w:r>
              <w:t>18 of 2009</w:t>
            </w:r>
          </w:p>
        </w:tc>
        <w:tc>
          <w:tcPr>
            <w:tcW w:w="1138" w:type="dxa"/>
            <w:gridSpan w:val="2"/>
          </w:tcPr>
          <w:p>
            <w:pPr>
              <w:pStyle w:val="nTable"/>
              <w:spacing w:after="40"/>
            </w:pPr>
            <w:r>
              <w:t>16 Sep 2009</w:t>
            </w:r>
          </w:p>
        </w:tc>
        <w:tc>
          <w:tcPr>
            <w:tcW w:w="2551" w:type="dxa"/>
            <w:gridSpan w:val="2"/>
          </w:tcPr>
          <w:p>
            <w:pPr>
              <w:pStyle w:val="nTable"/>
              <w:spacing w:after="40"/>
            </w:pPr>
            <w:r>
              <w:t>17 Sep 2009 (see s. 2(b))</w:t>
            </w:r>
          </w:p>
        </w:tc>
      </w:tr>
      <w:tr>
        <w:tblPrEx>
          <w:tblBorders>
            <w:top w:val="single" w:sz="4" w:space="0" w:color="auto"/>
            <w:bottom w:val="single" w:sz="4" w:space="0" w:color="auto"/>
            <w:insideH w:val="single" w:sz="4" w:space="0" w:color="auto"/>
          </w:tblBorders>
        </w:tblPrEx>
        <w:trPr>
          <w:gridBefore w:val="1"/>
          <w:wBefore w:w="56" w:type="dxa"/>
        </w:trPr>
        <w:tc>
          <w:tcPr>
            <w:tcW w:w="2268" w:type="dxa"/>
            <w:gridSpan w:val="2"/>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gridSpan w:val="2"/>
            <w:tcBorders>
              <w:top w:val="nil"/>
              <w:bottom w:val="nil"/>
            </w:tcBorders>
          </w:tcPr>
          <w:p>
            <w:pPr>
              <w:pStyle w:val="nTable"/>
              <w:spacing w:after="40"/>
            </w:pPr>
            <w:r>
              <w:t>24 of 2009</w:t>
            </w:r>
          </w:p>
        </w:tc>
        <w:tc>
          <w:tcPr>
            <w:tcW w:w="1138" w:type="dxa"/>
            <w:gridSpan w:val="2"/>
            <w:tcBorders>
              <w:top w:val="nil"/>
              <w:bottom w:val="nil"/>
            </w:tcBorders>
          </w:tcPr>
          <w:p>
            <w:pPr>
              <w:pStyle w:val="nTable"/>
              <w:spacing w:after="40"/>
            </w:pPr>
            <w:r>
              <w:t>22 Oct 2009</w:t>
            </w:r>
          </w:p>
        </w:tc>
        <w:tc>
          <w:tcPr>
            <w:tcW w:w="2551" w:type="dxa"/>
            <w:gridSpan w:val="2"/>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8"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gridSpan w:val="2"/>
          </w:tcPr>
          <w:p>
            <w:pPr>
              <w:pStyle w:val="nTable"/>
              <w:spacing w:after="40"/>
              <w:rPr>
                <w:snapToGrid w:val="0"/>
              </w:rPr>
            </w:pPr>
            <w:r>
              <w:rPr>
                <w:snapToGrid w:val="0"/>
              </w:rPr>
              <w:t>35 of 2010</w:t>
            </w:r>
          </w:p>
        </w:tc>
        <w:tc>
          <w:tcPr>
            <w:tcW w:w="1138"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gridSpan w:val="2"/>
            <w:shd w:val="clear" w:color="auto" w:fill="auto"/>
          </w:tcPr>
          <w:p>
            <w:pPr>
              <w:pStyle w:val="nTable"/>
              <w:spacing w:after="40"/>
              <w:rPr>
                <w:snapToGrid w:val="0"/>
              </w:rPr>
            </w:pPr>
            <w:r>
              <w:rPr>
                <w:snapToGrid w:val="0"/>
              </w:rPr>
              <w:t>42 of 2011</w:t>
            </w:r>
          </w:p>
        </w:tc>
        <w:tc>
          <w:tcPr>
            <w:tcW w:w="1138" w:type="dxa"/>
            <w:gridSpan w:val="2"/>
            <w:shd w:val="clear" w:color="auto" w:fill="auto"/>
          </w:tcPr>
          <w:p>
            <w:pPr>
              <w:pStyle w:val="nTable"/>
              <w:spacing w:after="40"/>
              <w:rPr>
                <w:snapToGrid w:val="0"/>
              </w:rPr>
            </w:pPr>
            <w:r>
              <w:t>4 Oct 2011</w:t>
            </w:r>
          </w:p>
        </w:tc>
        <w:tc>
          <w:tcPr>
            <w:tcW w:w="255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vertAlign w:val="superscript"/>
              </w:rPr>
            </w:pPr>
            <w:r>
              <w:rPr>
                <w:i/>
                <w:snapToGrid w:val="0"/>
              </w:rPr>
              <w:t xml:space="preserve">Criminal Organisations Control Act 2012 </w:t>
            </w:r>
            <w:r>
              <w:rPr>
                <w:snapToGrid w:val="0"/>
              </w:rPr>
              <w:t>s. 176(1)-(4) </w:t>
            </w:r>
            <w:del w:id="520" w:author="Master Repository Process" w:date="2023-07-26T09:29:00Z">
              <w:r>
                <w:rPr>
                  <w:snapToGrid w:val="0"/>
                  <w:vertAlign w:val="superscript"/>
                </w:rPr>
                <w:delText>3</w:delText>
              </w:r>
            </w:del>
            <w:ins w:id="521" w:author="Master Repository Process" w:date="2023-07-26T09:29:00Z">
              <w:r>
                <w:rPr>
                  <w:snapToGrid w:val="0"/>
                  <w:vertAlign w:val="superscript"/>
                </w:rPr>
                <w:t>2</w:t>
              </w:r>
            </w:ins>
          </w:p>
        </w:tc>
        <w:tc>
          <w:tcPr>
            <w:tcW w:w="1134" w:type="dxa"/>
            <w:gridSpan w:val="2"/>
            <w:shd w:val="clear" w:color="auto" w:fill="auto"/>
          </w:tcPr>
          <w:p>
            <w:pPr>
              <w:pStyle w:val="nTable"/>
              <w:spacing w:after="40"/>
              <w:rPr>
                <w:snapToGrid w:val="0"/>
              </w:rPr>
            </w:pPr>
            <w:r>
              <w:rPr>
                <w:snapToGrid w:val="0"/>
              </w:rPr>
              <w:t>49 of 2012</w:t>
            </w:r>
          </w:p>
        </w:tc>
        <w:tc>
          <w:tcPr>
            <w:tcW w:w="1138" w:type="dxa"/>
            <w:gridSpan w:val="2"/>
            <w:shd w:val="clear" w:color="auto" w:fill="auto"/>
          </w:tcPr>
          <w:p>
            <w:pPr>
              <w:pStyle w:val="nTable"/>
              <w:spacing w:after="40"/>
              <w:rPr>
                <w:snapToGrid w:val="0"/>
              </w:rPr>
            </w:pPr>
            <w: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gridBefore w:val="1"/>
          <w:wBefore w:w="56" w:type="dxa"/>
          <w:cantSplit/>
        </w:trPr>
        <w:tc>
          <w:tcPr>
            <w:tcW w:w="2268" w:type="dxa"/>
            <w:gridSpan w:val="2"/>
            <w:shd w:val="clear" w:color="auto" w:fill="auto"/>
          </w:tcPr>
          <w:p>
            <w:pPr>
              <w:pStyle w:val="nTable"/>
              <w:spacing w:after="40"/>
              <w:ind w:right="113"/>
              <w:rPr>
                <w:i/>
                <w:snapToGrid w:val="0"/>
              </w:rPr>
            </w:pPr>
            <w:r>
              <w:rPr>
                <w:i/>
                <w:snapToGrid w:val="0"/>
              </w:rPr>
              <w:t>Corruption, Crime and Misconduct and Criminal Property Confiscation Amendment Act 2018</w:t>
            </w:r>
            <w:r>
              <w:rPr>
                <w:snapToGrid w:val="0"/>
              </w:rPr>
              <w:t xml:space="preserve"> Pt. 3</w:t>
            </w:r>
          </w:p>
        </w:tc>
        <w:tc>
          <w:tcPr>
            <w:tcW w:w="1134" w:type="dxa"/>
            <w:gridSpan w:val="2"/>
            <w:shd w:val="clear" w:color="auto" w:fill="auto"/>
          </w:tcPr>
          <w:p>
            <w:pPr>
              <w:pStyle w:val="nTable"/>
              <w:spacing w:after="40"/>
              <w:rPr>
                <w:snapToGrid w:val="0"/>
              </w:rPr>
            </w:pPr>
            <w:r>
              <w:rPr>
                <w:snapToGrid w:val="0"/>
              </w:rPr>
              <w:t>10 of 2018</w:t>
            </w:r>
          </w:p>
        </w:tc>
        <w:tc>
          <w:tcPr>
            <w:tcW w:w="1138"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r>
        <w:tblPrEx>
          <w:tblBorders>
            <w:top w:val="none" w:sz="0" w:space="0" w:color="auto"/>
            <w:bottom w:val="none" w:sz="0" w:space="0" w:color="auto"/>
            <w:insideH w:val="none" w:sz="0" w:space="0" w:color="auto"/>
          </w:tblBorders>
        </w:tblPrEx>
        <w:trPr>
          <w:gridBefore w:val="1"/>
          <w:wBefore w:w="56" w:type="dxa"/>
          <w:cantSplit/>
        </w:trPr>
        <w:tc>
          <w:tcPr>
            <w:tcW w:w="7091" w:type="dxa"/>
            <w:gridSpan w:val="8"/>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Property Confiscation Act 2000</w:t>
            </w:r>
            <w:r>
              <w:rPr>
                <w:b/>
                <w:snapToGrid w:val="0"/>
              </w:rPr>
              <w:t xml:space="preserve"> as at 21 Jun 2019</w:t>
            </w:r>
            <w:r>
              <w:rPr>
                <w:snapToGrid w:val="0"/>
              </w:rPr>
              <w:t xml:space="preserve"> (includes amendments listed above)</w:t>
            </w:r>
          </w:p>
        </w:tc>
      </w:tr>
    </w:tbl>
    <w:p>
      <w:pPr>
        <w:pStyle w:val="nHeading3"/>
        <w:rPr>
          <w:ins w:id="522" w:author="Master Repository Process" w:date="2023-07-26T09:29:00Z"/>
        </w:rPr>
      </w:pPr>
      <w:bookmarkStart w:id="523" w:name="_Toc141091398"/>
      <w:del w:id="524" w:author="Master Repository Process" w:date="2023-07-26T09:29:00Z">
        <w:r>
          <w:rPr>
            <w:snapToGrid w:val="0"/>
            <w:vertAlign w:val="superscript"/>
          </w:rPr>
          <w:delText>2</w:delText>
        </w:r>
      </w:del>
      <w:ins w:id="525" w:author="Master Repository Process" w:date="2023-07-26T09:29:00Z">
        <w:r>
          <w:t>Uncommenced provisions table</w:t>
        </w:r>
        <w:bookmarkEnd w:id="523"/>
      </w:ins>
    </w:p>
    <w:p>
      <w:pPr>
        <w:pStyle w:val="nStatement"/>
        <w:keepNext/>
        <w:spacing w:after="240"/>
        <w:rPr>
          <w:ins w:id="526" w:author="Master Repository Process" w:date="2023-07-26T09:29:00Z"/>
        </w:rPr>
      </w:pPr>
      <w:ins w:id="527" w:author="Master Repository Process" w:date="2023-07-26T09:2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28" w:author="Master Repository Process" w:date="2023-07-26T09:29:00Z"/>
        </w:trPr>
        <w:tc>
          <w:tcPr>
            <w:tcW w:w="2268" w:type="dxa"/>
          </w:tcPr>
          <w:p>
            <w:pPr>
              <w:pStyle w:val="nTable"/>
              <w:spacing w:after="40"/>
              <w:rPr>
                <w:ins w:id="529" w:author="Master Repository Process" w:date="2023-07-26T09:29:00Z"/>
                <w:b/>
              </w:rPr>
            </w:pPr>
            <w:ins w:id="530" w:author="Master Repository Process" w:date="2023-07-26T09:29:00Z">
              <w:r>
                <w:rPr>
                  <w:b/>
                </w:rPr>
                <w:t>Short title</w:t>
              </w:r>
            </w:ins>
          </w:p>
        </w:tc>
        <w:tc>
          <w:tcPr>
            <w:tcW w:w="1134" w:type="dxa"/>
          </w:tcPr>
          <w:p>
            <w:pPr>
              <w:pStyle w:val="nTable"/>
              <w:spacing w:after="40"/>
              <w:rPr>
                <w:ins w:id="531" w:author="Master Repository Process" w:date="2023-07-26T09:29:00Z"/>
                <w:b/>
              </w:rPr>
            </w:pPr>
            <w:ins w:id="532" w:author="Master Repository Process" w:date="2023-07-26T09:29:00Z">
              <w:r>
                <w:rPr>
                  <w:b/>
                </w:rPr>
                <w:t>Number and year</w:t>
              </w:r>
            </w:ins>
          </w:p>
        </w:tc>
        <w:tc>
          <w:tcPr>
            <w:tcW w:w="1134" w:type="dxa"/>
          </w:tcPr>
          <w:p>
            <w:pPr>
              <w:pStyle w:val="nTable"/>
              <w:spacing w:after="40"/>
              <w:rPr>
                <w:ins w:id="533" w:author="Master Repository Process" w:date="2023-07-26T09:29:00Z"/>
                <w:b/>
              </w:rPr>
            </w:pPr>
            <w:ins w:id="534" w:author="Master Repository Process" w:date="2023-07-26T09:29:00Z">
              <w:r>
                <w:rPr>
                  <w:b/>
                </w:rPr>
                <w:t>Assent</w:t>
              </w:r>
            </w:ins>
          </w:p>
        </w:tc>
        <w:tc>
          <w:tcPr>
            <w:tcW w:w="2552" w:type="dxa"/>
          </w:tcPr>
          <w:p>
            <w:pPr>
              <w:pStyle w:val="nTable"/>
              <w:spacing w:after="40"/>
              <w:rPr>
                <w:ins w:id="535" w:author="Master Repository Process" w:date="2023-07-26T09:29:00Z"/>
                <w:b/>
              </w:rPr>
            </w:pPr>
            <w:ins w:id="536" w:author="Master Repository Process" w:date="2023-07-26T09:29:00Z">
              <w:r>
                <w:rPr>
                  <w:b/>
                </w:rPr>
                <w:t>Commencement</w:t>
              </w:r>
            </w:ins>
          </w:p>
        </w:tc>
      </w:tr>
      <w:tr>
        <w:trPr>
          <w:ins w:id="537" w:author="Master Repository Process" w:date="2023-07-26T09:29:00Z"/>
        </w:trPr>
        <w:tc>
          <w:tcPr>
            <w:tcW w:w="2268" w:type="dxa"/>
          </w:tcPr>
          <w:p>
            <w:pPr>
              <w:pStyle w:val="nTable"/>
              <w:spacing w:after="40"/>
              <w:rPr>
                <w:ins w:id="538" w:author="Master Repository Process" w:date="2023-07-26T09:29:00Z"/>
              </w:rPr>
            </w:pPr>
            <w:ins w:id="539" w:author="Master Repository Process" w:date="2023-07-26T09:29:00Z">
              <w:r>
                <w:rPr>
                  <w:i/>
                </w:rPr>
                <w:t>Transfer of Land Amendment Act 2022</w:t>
              </w:r>
              <w:r>
                <w:t xml:space="preserve"> Pt. 3 Div. 2</w:t>
              </w:r>
            </w:ins>
          </w:p>
        </w:tc>
        <w:tc>
          <w:tcPr>
            <w:tcW w:w="1134" w:type="dxa"/>
          </w:tcPr>
          <w:p>
            <w:pPr>
              <w:pStyle w:val="nTable"/>
              <w:spacing w:after="40"/>
              <w:rPr>
                <w:ins w:id="540" w:author="Master Repository Process" w:date="2023-07-26T09:29:00Z"/>
              </w:rPr>
            </w:pPr>
            <w:ins w:id="541" w:author="Master Repository Process" w:date="2023-07-26T09:29:00Z">
              <w:r>
                <w:t>21 of 2022</w:t>
              </w:r>
            </w:ins>
          </w:p>
        </w:tc>
        <w:tc>
          <w:tcPr>
            <w:tcW w:w="1134" w:type="dxa"/>
          </w:tcPr>
          <w:p>
            <w:pPr>
              <w:pStyle w:val="nTable"/>
              <w:spacing w:after="40"/>
              <w:rPr>
                <w:ins w:id="542" w:author="Master Repository Process" w:date="2023-07-26T09:29:00Z"/>
              </w:rPr>
            </w:pPr>
            <w:ins w:id="543" w:author="Master Repository Process" w:date="2023-07-26T09:29:00Z">
              <w:r>
                <w:t>24 Jun 2022</w:t>
              </w:r>
            </w:ins>
          </w:p>
        </w:tc>
        <w:tc>
          <w:tcPr>
            <w:tcW w:w="2552" w:type="dxa"/>
          </w:tcPr>
          <w:p>
            <w:pPr>
              <w:pStyle w:val="nTable"/>
              <w:spacing w:after="40"/>
              <w:rPr>
                <w:ins w:id="544" w:author="Master Repository Process" w:date="2023-07-26T09:29:00Z"/>
              </w:rPr>
            </w:pPr>
            <w:ins w:id="545" w:author="Master Repository Process" w:date="2023-07-26T09:29:00Z">
              <w:r>
                <w:t>7 Aug 2023 (see s. 2(b) and SL 2023/111 cl. 2)</w:t>
              </w:r>
            </w:ins>
          </w:p>
        </w:tc>
      </w:tr>
    </w:tbl>
    <w:p>
      <w:pPr>
        <w:pStyle w:val="nHeading3"/>
        <w:rPr>
          <w:ins w:id="546" w:author="Master Repository Process" w:date="2023-07-26T09:29:00Z"/>
        </w:rPr>
      </w:pPr>
      <w:bookmarkStart w:id="547" w:name="_Toc141091399"/>
      <w:ins w:id="548" w:author="Master Repository Process" w:date="2023-07-26T09:29:00Z">
        <w:r>
          <w:t>Other notes</w:t>
        </w:r>
        <w:bookmarkEnd w:id="547"/>
      </w:ins>
    </w:p>
    <w:p>
      <w:pPr>
        <w:pStyle w:val="nNote"/>
        <w:rPr>
          <w:snapToGrid w:val="0"/>
        </w:rPr>
      </w:pPr>
      <w:ins w:id="549" w:author="Master Repository Process" w:date="2023-07-26T09:29:00Z">
        <w:r>
          <w:rPr>
            <w:snapToGrid w:val="0"/>
            <w:vertAlign w:val="superscript"/>
          </w:rPr>
          <w:t>1</w:t>
        </w:r>
      </w:ins>
      <w:r>
        <w:rPr>
          <w:snapToGrid w:val="0"/>
        </w:rPr>
        <w:tab/>
        <w:t xml:space="preserve">Repealed by the </w:t>
      </w:r>
      <w:r>
        <w:rPr>
          <w:i/>
          <w:color w:val="000000"/>
        </w:rPr>
        <w:t>Sentencing (Consequential Provisions) Act 1995</w:t>
      </w:r>
      <w:r>
        <w:rPr>
          <w:iCs/>
          <w:color w:val="000000"/>
        </w:rPr>
        <w:t xml:space="preserve"> s. 77</w:t>
      </w:r>
      <w:r>
        <w:rPr>
          <w:snapToGrid w:val="0"/>
        </w:rPr>
        <w:t>.</w:t>
      </w:r>
    </w:p>
    <w:p>
      <w:pPr>
        <w:pStyle w:val="nNote"/>
        <w:keepNext/>
        <w:keepLines/>
        <w:rPr>
          <w:i/>
          <w:snapToGrid w:val="0"/>
        </w:rPr>
      </w:pPr>
      <w:del w:id="550" w:author="Master Repository Process" w:date="2023-07-26T09:29:00Z">
        <w:r>
          <w:rPr>
            <w:snapToGrid w:val="0"/>
            <w:vertAlign w:val="superscript"/>
          </w:rPr>
          <w:delText>3</w:delText>
        </w:r>
      </w:del>
      <w:ins w:id="551" w:author="Master Repository Process" w:date="2023-07-26T09:29:00Z">
        <w:r>
          <w:rPr>
            <w:snapToGrid w:val="0"/>
            <w:vertAlign w:val="superscript"/>
          </w:rPr>
          <w:t>2</w:t>
        </w:r>
      </w:ins>
      <w:r>
        <w:rPr>
          <w:snapToGrid w:val="0"/>
        </w:rPr>
        <w:tab/>
        <w:t xml:space="preserve">The amendments in the </w:t>
      </w:r>
      <w:r>
        <w:rPr>
          <w:i/>
          <w:snapToGrid w:val="0"/>
        </w:rPr>
        <w:t>Criminal Organisations Control Act 2012</w:t>
      </w:r>
      <w:r>
        <w:rPr>
          <w:snapToGrid w:val="0"/>
        </w:rPr>
        <w:t xml:space="preserve"> s. 176(5) had not come into operation when it was deleted by the </w:t>
      </w:r>
      <w:r>
        <w:rPr>
          <w:i/>
          <w:snapToGrid w:val="0"/>
        </w:rPr>
        <w:t xml:space="preserve">Statutes (Minor Amendments) Act 2017 </w:t>
      </w:r>
      <w:r>
        <w:rPr>
          <w:snapToGrid w:val="0"/>
        </w:rPr>
        <w:t>s. 6(3).</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501" w:name="Schedule"/>
    <w:bookmarkEnd w:id="5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96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8C33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ECDC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2600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E24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351"/>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 w:name="WAFER_20190315145407" w:val="RemoveTocBookmarks,RemoveUnusedBookmarks,RemoveLanguageTags,ResetPageSize,RunningHeaders,UpdateStyles,UsedStyles"/>
    <w:docVar w:name="WAFER_20190315145407_GUID" w:val="43745226-0998-4218-920f-858a09022cba"/>
    <w:docVar w:name="WAFER_20190326135820" w:val="RemoveTocBookmarks,RemoveUnusedBookmarks,RemoveLanguageTags,ResetPageSize,RunningHeaders,UpdateStyles,UsedStyles"/>
    <w:docVar w:name="WAFER_20190326135820_GUID" w:val="0375465d-4f20-460f-9039-13e3a1a0157b"/>
    <w:docVar w:name="WAFER_2022062416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05_GUID" w:val="fbfcbf3e-d5b9-418d-96ba-274e0c4f4246"/>
    <w:docVar w:name="WAFER_20230724110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339_GUID" w:val="3584db19-e8fb-4ca3-a752-c0e39cdc33a7"/>
    <w:docVar w:name="WAFER_2023072411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0351_GUID" w:val="ff85f2b3-1caf-4034-9177-bc3f718d1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31046</Words>
  <Characters>149332</Characters>
  <Application>Microsoft Office Word</Application>
  <DocSecurity>0</DocSecurity>
  <Lines>3733</Lines>
  <Paragraphs>1878</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178500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04-a0-00 - 04-b0-01</dc:title>
  <dc:subject/>
  <dc:creator/>
  <cp:keywords/>
  <dc:description/>
  <cp:lastModifiedBy>Master Repository Process</cp:lastModifiedBy>
  <cp:revision>2</cp:revision>
  <cp:lastPrinted>2019-06-28T06:32:00Z</cp:lastPrinted>
  <dcterms:created xsi:type="dcterms:W3CDTF">2023-07-26T01:29:00Z</dcterms:created>
  <dcterms:modified xsi:type="dcterms:W3CDTF">2023-07-26T01:29:00Z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edAsAt">
    <vt:filetime>2019-06-20T16:00:00Z</vt:filetime>
  </property>
  <property fmtid="{D5CDD505-2E9C-101B-9397-08002B2CF9AE}" pid="7" name="ReprintNo">
    <vt:lpwstr>4</vt:lpwstr>
  </property>
  <property fmtid="{D5CDD505-2E9C-101B-9397-08002B2CF9AE}" pid="8" name="CommencementDate">
    <vt:lpwstr>20220624</vt:lpwstr>
  </property>
  <property fmtid="{D5CDD505-2E9C-101B-9397-08002B2CF9AE}" pid="9" name="FromSuffix">
    <vt:lpwstr>04-a0-00</vt:lpwstr>
  </property>
  <property fmtid="{D5CDD505-2E9C-101B-9397-08002B2CF9AE}" pid="10" name="FromAsAtDate">
    <vt:lpwstr>21 Jun 2019</vt:lpwstr>
  </property>
  <property fmtid="{D5CDD505-2E9C-101B-9397-08002B2CF9AE}" pid="11" name="ToSuffix">
    <vt:lpwstr>04-b0-01</vt:lpwstr>
  </property>
  <property fmtid="{D5CDD505-2E9C-101B-9397-08002B2CF9AE}" pid="12" name="ToAsAtDate">
    <vt:lpwstr>24 Jun 2022</vt:lpwstr>
  </property>
</Properties>
</file>