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07-l0-00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Strata Titles Act 1985</w:t>
      </w:r>
    </w:p>
    <w:p>
      <w:pPr>
        <w:pStyle w:val="LongTitle"/>
      </w:pPr>
      <w:r>
        <w:t>A</w:t>
      </w:r>
      <w:bookmarkStart w:id="1" w:name="_GoBack"/>
      <w:bookmarkEnd w:id="1"/>
      <w:r>
        <w:t xml:space="preserve">n Act — </w:t>
      </w:r>
    </w:p>
    <w:p>
      <w:pPr>
        <w:pStyle w:val="LongTitle"/>
        <w:numPr>
          <w:ilvl w:val="0"/>
          <w:numId w:val="21"/>
        </w:numPr>
        <w:suppressLineNumbers/>
        <w:tabs>
          <w:tab w:val="left" w:pos="426"/>
        </w:tabs>
        <w:ind w:left="426" w:hanging="426"/>
      </w:pPr>
      <w:r>
        <w:t>to provide for the subdivision of land by strata titles schemes, the creation of strata titles and the governance and operation of strata titles schemes; and</w:t>
      </w:r>
    </w:p>
    <w:p>
      <w:pPr>
        <w:pStyle w:val="LongTitle"/>
        <w:numPr>
          <w:ilvl w:val="0"/>
          <w:numId w:val="21"/>
        </w:numPr>
        <w:suppressLineNumbers/>
        <w:tabs>
          <w:tab w:val="left" w:pos="426"/>
        </w:tabs>
        <w:ind w:left="426" w:hanging="426"/>
      </w:pPr>
      <w:r>
        <w:t>for related purposes.</w:t>
      </w:r>
    </w:p>
    <w:p>
      <w:pPr>
        <w:pStyle w:val="Footnotelongtitle"/>
      </w:pPr>
      <w:r>
        <w:tab/>
        <w:t>[Long title inserted: No. 30 of 2018 s. 5.]</w:t>
      </w:r>
    </w:p>
    <w:p>
      <w:pPr>
        <w:pStyle w:val="Heading2"/>
      </w:pPr>
      <w:bookmarkStart w:id="2" w:name="_Toc106986155"/>
      <w:bookmarkStart w:id="3" w:name="_Toc106986591"/>
      <w:bookmarkStart w:id="4" w:name="_Toc100308169"/>
      <w:bookmarkStart w:id="5" w:name="_Toc100308605"/>
      <w:bookmarkStart w:id="6" w:name="_Toc100564889"/>
      <w:r>
        <w:rPr>
          <w:rStyle w:val="CharPartNo"/>
        </w:rPr>
        <w:t>Part 1</w:t>
      </w:r>
      <w:r>
        <w:t> — </w:t>
      </w:r>
      <w:r>
        <w:rPr>
          <w:rStyle w:val="CharPartText"/>
        </w:rPr>
        <w:t>Preliminary</w:t>
      </w:r>
      <w:bookmarkEnd w:id="2"/>
      <w:bookmarkEnd w:id="3"/>
      <w:bookmarkEnd w:id="4"/>
      <w:bookmarkEnd w:id="5"/>
      <w:bookmarkEnd w:id="6"/>
    </w:p>
    <w:p>
      <w:pPr>
        <w:pStyle w:val="Footnoteheading"/>
      </w:pPr>
      <w:r>
        <w:tab/>
        <w:t>[Heading inserted: No. 30 of 2018 s. 6.]</w:t>
      </w:r>
    </w:p>
    <w:p>
      <w:pPr>
        <w:pStyle w:val="Heading5"/>
        <w:rPr>
          <w:snapToGrid w:val="0"/>
        </w:rPr>
      </w:pPr>
      <w:bookmarkStart w:id="7" w:name="_Toc106986592"/>
      <w:bookmarkStart w:id="8" w:name="_Toc10056489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w:t>
      </w:r>
    </w:p>
    <w:p>
      <w:pPr>
        <w:pStyle w:val="Heading5"/>
        <w:rPr>
          <w:snapToGrid w:val="0"/>
        </w:rPr>
      </w:pPr>
      <w:bookmarkStart w:id="9" w:name="_Toc106986593"/>
      <w:bookmarkStart w:id="10" w:name="_Toc10056489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106986594"/>
      <w:bookmarkStart w:id="12" w:name="_Toc10056489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Defstart"/>
      </w:pPr>
      <w:r>
        <w:tab/>
      </w:r>
      <w:r>
        <w:rPr>
          <w:rStyle w:val="CharDefText"/>
        </w:rPr>
        <w:t>address for service</w:t>
      </w:r>
      <w:r>
        <w:t> — see section 215;</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100(1)(a);</w:t>
      </w:r>
    </w:p>
    <w:p>
      <w:pPr>
        <w:pStyle w:val="Defstart"/>
      </w:pPr>
      <w:r>
        <w:rPr>
          <w:b/>
        </w:rPr>
        <w:tab/>
      </w:r>
      <w:r>
        <w:rPr>
          <w:rStyle w:val="CharDefText"/>
        </w:rPr>
        <w:t>administrator</w:t>
      </w:r>
      <w:r>
        <w:t xml:space="preserve"> of a strata company means a person appointed by the Tribunal as an administrator of the strata company under section 205;</w:t>
      </w:r>
    </w:p>
    <w:p>
      <w:pPr>
        <w:pStyle w:val="Defstart"/>
      </w:pPr>
      <w:r>
        <w:tab/>
      </w:r>
      <w:r>
        <w:rPr>
          <w:rStyle w:val="CharDefText"/>
        </w:rPr>
        <w:t>amendment</w:t>
      </w:r>
      <w:r>
        <w:t xml:space="preserve"> of a strata titles scheme —see section 12(2);</w:t>
      </w:r>
    </w:p>
    <w:p>
      <w:pPr>
        <w:pStyle w:val="Defstart"/>
      </w:pPr>
      <w:r>
        <w:tab/>
      </w:r>
      <w:r>
        <w:rPr>
          <w:rStyle w:val="CharDefText"/>
        </w:rPr>
        <w:t>amendment</w:t>
      </w:r>
      <w:r>
        <w:t xml:space="preserve"> in relation to common property or a lot in a strata titles scheme — see subsection (7);</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Valuation of Land Act 1978</w:t>
      </w:r>
      <w:r>
        <w:t xml:space="preserve"> section 4(1);</w:t>
      </w:r>
    </w:p>
    <w:p>
      <w:pPr>
        <w:pStyle w:val="Defstart"/>
      </w:pPr>
      <w:r>
        <w:tab/>
      </w:r>
      <w:r>
        <w:rPr>
          <w:rStyle w:val="CharDefText"/>
        </w:rPr>
        <w:t>chairperson</w:t>
      </w:r>
      <w:r>
        <w:t xml:space="preserve"> of a general meeting of a strata company means the person presiding at the meeting;</w:t>
      </w:r>
    </w:p>
    <w:p>
      <w:pPr>
        <w:pStyle w:val="Defstart"/>
      </w:pPr>
      <w:r>
        <w:tab/>
      </w:r>
      <w:r>
        <w:rPr>
          <w:rStyle w:val="CharDefText"/>
        </w:rPr>
        <w:t>chairperson</w:t>
      </w:r>
      <w:r>
        <w:t xml:space="preserve"> of a strata company means the member of the council of the strata company holding office as the chairperson of the strata company;</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 see section 10;</w:t>
      </w:r>
    </w:p>
    <w:p>
      <w:pPr>
        <w:pStyle w:val="Defstart"/>
      </w:pPr>
      <w:r>
        <w:tab/>
      </w:r>
      <w:r>
        <w:rPr>
          <w:rStyle w:val="CharDefText"/>
        </w:rPr>
        <w:t>common property (utility and sustainability infrastructure) easement</w:t>
      </w:r>
      <w:r>
        <w:t xml:space="preserve"> means an easement under section 64;</w:t>
      </w:r>
    </w:p>
    <w:p>
      <w:pPr>
        <w:pStyle w:val="Defstart"/>
      </w:pPr>
      <w:r>
        <w:tab/>
      </w:r>
      <w:r>
        <w:rPr>
          <w:rStyle w:val="CharDefText"/>
        </w:rPr>
        <w:t>conduct by</w:t>
      </w:r>
      <w:r>
        <w:rPr>
          <w:rStyle w:val="CharDefText"/>
        </w:rPr>
        <w:noBreakHyphen/>
        <w:t>laws</w:t>
      </w:r>
      <w:r>
        <w:t xml:space="preserve"> for a strata titles scheme —</w:t>
      </w:r>
    </w:p>
    <w:p>
      <w:pPr>
        <w:pStyle w:val="Defpara"/>
      </w:pPr>
      <w:r>
        <w:tab/>
        <w:t>(a)</w:t>
      </w:r>
      <w:r>
        <w:tab/>
        <w:t>means scheme by</w:t>
      </w:r>
      <w:r>
        <w:noBreakHyphen/>
        <w:t>laws (other than governance by</w:t>
      </w:r>
      <w:r>
        <w:noBreakHyphen/>
        <w:t>laws) dealing with —</w:t>
      </w:r>
    </w:p>
    <w:p>
      <w:pPr>
        <w:pStyle w:val="Defsubpara"/>
      </w:pPr>
      <w:r>
        <w:tab/>
        <w:t>(i)</w:t>
      </w:r>
      <w:r>
        <w:tab/>
        <w:t>the conduct of an owner or occupier of a lot in the scheme or of any other person on the land subdivided by the scheme; or</w:t>
      </w:r>
    </w:p>
    <w:p>
      <w:pPr>
        <w:pStyle w:val="Defsubpara"/>
      </w:pPr>
      <w:r>
        <w:tab/>
        <w:t>(ii)</w:t>
      </w:r>
      <w:r>
        <w:tab/>
        <w:t>the management, control, use or enjoyment of a lot or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2;</w:t>
      </w:r>
    </w:p>
    <w:p>
      <w:pPr>
        <w:pStyle w:val="Defsubpara"/>
      </w:pPr>
      <w:r>
        <w:tab/>
        <w:t>(ii)</w:t>
      </w:r>
      <w:r>
        <w:tab/>
        <w:t>scheme by</w:t>
      </w:r>
      <w:r>
        <w:noBreakHyphen/>
        <w:t>laws that deal with any of the following —</w:t>
      </w:r>
    </w:p>
    <w:p>
      <w:pPr>
        <w:pStyle w:val="Defitem"/>
      </w:pPr>
      <w:r>
        <w:tab/>
        <w:t>(I)</w:t>
      </w:r>
      <w:r>
        <w:tab/>
        <w:t>landscaping requirements to be observed by owners of lots;</w:t>
      </w:r>
    </w:p>
    <w:p>
      <w:pPr>
        <w:pStyle w:val="Defitem"/>
      </w:pPr>
      <w:r>
        <w:tab/>
        <w:t>(II)</w:t>
      </w:r>
      <w:r>
        <w:tab/>
        <w:t>the maintenance of water, sewerage, drainage, gas, electricity, telephone and other services;</w:t>
      </w:r>
    </w:p>
    <w:p>
      <w:pPr>
        <w:pStyle w:val="Defitem"/>
      </w:pPr>
      <w:r>
        <w:tab/>
        <w:t>(III)</w:t>
      </w:r>
      <w:r>
        <w:tab/>
        <w:t>insurance of the common property;</w:t>
      </w:r>
    </w:p>
    <w:p>
      <w:pPr>
        <w:pStyle w:val="Defitem"/>
      </w:pPr>
      <w:r>
        <w:tab/>
        <w:t>(IV)</w:t>
      </w:r>
      <w:r>
        <w:tab/>
        <w:t>safety and security;</w:t>
      </w:r>
    </w:p>
    <w:p>
      <w:pPr>
        <w:pStyle w:val="Defitem"/>
      </w:pPr>
      <w:r>
        <w:tab/>
        <w:t>(V)</w:t>
      </w:r>
      <w:r>
        <w:tab/>
        <w:t>procedures for the resolution of disputes;</w:t>
      </w:r>
    </w:p>
    <w:p>
      <w:pPr>
        <w:pStyle w:val="Defsubpara"/>
      </w:pPr>
      <w:r>
        <w:tab/>
        <w:t>(iii)</w:t>
      </w:r>
      <w:r>
        <w:tab/>
        <w:t>scheme by</w:t>
      </w:r>
      <w:r>
        <w:noBreakHyphen/>
        <w:t>laws classified by the regulations as conduct by</w:t>
      </w:r>
      <w:r>
        <w:noBreakHyphen/>
        <w:t>laws;</w:t>
      </w:r>
    </w:p>
    <w:p>
      <w:pPr>
        <w:pStyle w:val="Defstart"/>
      </w:pPr>
      <w:r>
        <w:rPr>
          <w:b/>
        </w:rPr>
        <w:tab/>
      </w:r>
      <w:r>
        <w:rPr>
          <w:rStyle w:val="CharDefText"/>
        </w:rPr>
        <w:t>contract</w:t>
      </w:r>
      <w:r>
        <w:t xml:space="preserve"> means a contract, agreement or document that legally binds a person, whether conditionally or unconditionally;</w:t>
      </w:r>
    </w:p>
    <w:p>
      <w:pPr>
        <w:pStyle w:val="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Defstart"/>
      </w:pPr>
      <w:r>
        <w:rPr>
          <w:b/>
        </w:rPr>
        <w:tab/>
      </w:r>
      <w:r>
        <w:rPr>
          <w:rStyle w:val="CharDefText"/>
        </w:rPr>
        <w:t>council</w:t>
      </w:r>
      <w:r>
        <w:t xml:space="preserve"> means the governing body of a strata company;</w:t>
      </w:r>
    </w:p>
    <w:p>
      <w:pPr>
        <w:pStyle w:val="Defstart"/>
      </w:pPr>
      <w:r>
        <w:tab/>
      </w:r>
      <w:r>
        <w:rPr>
          <w:rStyle w:val="CharDefText"/>
        </w:rPr>
        <w:t>cubic space</w:t>
      </w:r>
      <w:r>
        <w:t> — see subsection (3);</w:t>
      </w:r>
    </w:p>
    <w:p>
      <w:pPr>
        <w:pStyle w:val="Defstart"/>
        <w:keepNext/>
      </w:pPr>
      <w:r>
        <w:tab/>
      </w:r>
      <w:r>
        <w:rPr>
          <w:rStyle w:val="CharDefText"/>
        </w:rPr>
        <w:t>designated interest</w:t>
      </w:r>
      <w:r>
        <w:t xml:space="preserve"> means —</w:t>
      </w:r>
    </w:p>
    <w:p>
      <w:pPr>
        <w:pStyle w:val="Defpara"/>
      </w:pPr>
      <w:r>
        <w:tab/>
        <w:t>(a)</w:t>
      </w:r>
      <w:r>
        <w:tab/>
        <w:t>a registered mortgage; or</w:t>
      </w:r>
    </w:p>
    <w:p>
      <w:pPr>
        <w:pStyle w:val="Defpara"/>
      </w:pPr>
      <w:r>
        <w:tab/>
        <w:t>(b)</w:t>
      </w:r>
      <w:r>
        <w:tab/>
        <w:t>a registered lease; or</w:t>
      </w:r>
    </w:p>
    <w:p>
      <w:pPr>
        <w:pStyle w:val="Defpara"/>
      </w:pPr>
      <w:r>
        <w:tab/>
        <w:t>(c)</w:t>
      </w:r>
      <w:r>
        <w:tab/>
        <w:t xml:space="preserve">a caveat recorded under the </w:t>
      </w:r>
      <w:r>
        <w:rPr>
          <w:i/>
        </w:rPr>
        <w:t>Transfer of Land Act 1893</w:t>
      </w:r>
      <w:r>
        <w:t>; or</w:t>
      </w:r>
    </w:p>
    <w:p>
      <w:pPr>
        <w:pStyle w:val="Defpara"/>
      </w:pPr>
      <w:r>
        <w:tab/>
        <w:t>(d)</w:t>
      </w:r>
      <w:r>
        <w:tab/>
        <w:t xml:space="preserve">the interest of a judgment creditor named in a property seizure and sale order registered under the </w:t>
      </w:r>
      <w:r>
        <w:rPr>
          <w:i/>
        </w:rPr>
        <w:t>Transfer of Land Act 1893</w:t>
      </w:r>
      <w:r>
        <w:t xml:space="preserve"> section 133; or</w:t>
      </w:r>
    </w:p>
    <w:p>
      <w:pPr>
        <w:pStyle w:val="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Defpara"/>
      </w:pPr>
      <w:r>
        <w:tab/>
        <w:t>(f)</w:t>
      </w:r>
      <w:r>
        <w:tab/>
        <w:t xml:space="preserve">a plantation interest registered under the </w:t>
      </w:r>
      <w:r>
        <w:rPr>
          <w:i/>
        </w:rPr>
        <w:t>Transfer of Land Act 1893</w:t>
      </w:r>
      <w:r>
        <w:t>; or</w:t>
      </w:r>
    </w:p>
    <w:p>
      <w:pPr>
        <w:pStyle w:val="Defpara"/>
      </w:pPr>
      <w:r>
        <w:tab/>
        <w:t>(g)</w:t>
      </w:r>
      <w:r>
        <w:tab/>
        <w:t xml:space="preserve">a carbon covenant registered under the </w:t>
      </w:r>
      <w:r>
        <w:rPr>
          <w:i/>
        </w:rPr>
        <w:t>Transfer of Land Act 1893</w:t>
      </w:r>
      <w:r>
        <w:t>;</w:t>
      </w:r>
    </w:p>
    <w:p>
      <w:pPr>
        <w:pStyle w:val="Defstart"/>
      </w:pPr>
      <w:r>
        <w:rPr>
          <w:b/>
          <w:i/>
        </w:rP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222;</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rPr>
        <w:t>Transfer of Land Act 1893</w:t>
      </w:r>
      <w:r>
        <w:t xml:space="preserve"> section 4(1);</w:t>
      </w:r>
    </w:p>
    <w:p>
      <w:pPr>
        <w:pStyle w:val="Defstart"/>
      </w:pPr>
      <w:r>
        <w:tab/>
      </w:r>
      <w:r>
        <w:rPr>
          <w:rStyle w:val="CharDefText"/>
        </w:rPr>
        <w:t>exclusive use by</w:t>
      </w:r>
      <w:r>
        <w:rPr>
          <w:rStyle w:val="CharDefText"/>
        </w:rPr>
        <w:noBreakHyphen/>
        <w:t>laws</w:t>
      </w:r>
      <w:r>
        <w:t> — see section 43(1);</w:t>
      </w:r>
    </w:p>
    <w:p>
      <w:pPr>
        <w:pStyle w:val="Defstart"/>
      </w:pPr>
      <w:r>
        <w:tab/>
      </w:r>
      <w:r>
        <w:rPr>
          <w:rStyle w:val="CharDefText"/>
        </w:rPr>
        <w:t>expiry day</w:t>
      </w:r>
      <w:r>
        <w:t xml:space="preserve"> for a leasehold scheme — see section 8(3)(c);</w:t>
      </w:r>
    </w:p>
    <w:p>
      <w:pPr>
        <w:pStyle w:val="Defstart"/>
      </w:pPr>
      <w:r>
        <w:tab/>
      </w:r>
      <w:r>
        <w:rPr>
          <w:rStyle w:val="CharDefText"/>
        </w:rPr>
        <w:t>financial year</w:t>
      </w:r>
      <w:r>
        <w:t xml:space="preserve"> for a strata company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rPr>
        <w:t xml:space="preserve">floor area of a cubic space </w:t>
      </w:r>
      <w:r>
        <w:rPr>
          <w:spacing w:val="-4"/>
        </w:rPr>
        <w:t>means the area occupied on a horizontal plane by the base of that cubic space;</w:t>
      </w:r>
    </w:p>
    <w:p>
      <w:pPr>
        <w:pStyle w:val="Defstart"/>
        <w:keepNext/>
        <w:keepLines/>
      </w:pPr>
      <w:r>
        <w:rPr>
          <w:b/>
        </w:rPr>
        <w:tab/>
      </w:r>
      <w:r>
        <w:rPr>
          <w:rStyle w:val="CharDefText"/>
        </w:rPr>
        <w:t>floor plan</w:t>
      </w:r>
      <w:r>
        <w:t xml:space="preserve"> means a plan for a strata scheme, consisting of 1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lot, or the whole of any part of a lot, to which the plan relates; and</w:t>
      </w:r>
    </w:p>
    <w:p>
      <w:pPr>
        <w:pStyle w:val="Defpara"/>
        <w:keepNext/>
      </w:pPr>
      <w:r>
        <w:tab/>
        <w:t>(b)</w:t>
      </w:r>
      <w:r>
        <w:tab/>
        <w:t>shows —</w:t>
      </w:r>
    </w:p>
    <w:p>
      <w:pPr>
        <w:pStyle w:val="Defsubpara"/>
        <w:keepLines w:val="0"/>
      </w:pPr>
      <w:r>
        <w:tab/>
        <w:t>(i)</w:t>
      </w:r>
      <w:r>
        <w:tab/>
        <w:t>the floor area of any such cubic space; and</w:t>
      </w:r>
    </w:p>
    <w:p>
      <w:pPr>
        <w:pStyle w:val="Defsubpara"/>
        <w:keepLines w:val="0"/>
      </w:pPr>
      <w:r>
        <w:tab/>
        <w:t>(ii)</w:t>
      </w:r>
      <w:r>
        <w:tab/>
        <w:t>if any such cubic space forms part only of a lot, the aggregate of the floor areas of every cubic space that forms part of the lot;</w:t>
      </w:r>
    </w:p>
    <w:p>
      <w:pPr>
        <w:pStyle w:val="Defpara"/>
      </w:pPr>
      <w:r>
        <w:tab/>
      </w:r>
      <w:r>
        <w:tab/>
        <w:t>and</w:t>
      </w:r>
    </w:p>
    <w:p>
      <w:pPr>
        <w:pStyle w:val="Defpara"/>
      </w:pPr>
      <w:r>
        <w:tab/>
        <w:t>(c)</w:t>
      </w:r>
      <w:r>
        <w:tab/>
        <w:t>if lots or parts of lots to which the plan relates are superimposed on other lots or parts of lots to which the plan relates —</w:t>
      </w:r>
    </w:p>
    <w:p>
      <w:pPr>
        <w:pStyle w:val="Defsubpara"/>
        <w:keepLines w:val="0"/>
      </w:pPr>
      <w:r>
        <w:tab/>
        <w:t>(i)</w:t>
      </w:r>
      <w:r>
        <w:tab/>
        <w:t>shows the base lines in respect of the lots or parts of lots that are so superimposed separately from those in respect of the other lots or parts of lots on which they are superimposed; and</w:t>
      </w:r>
    </w:p>
    <w:p>
      <w:pPr>
        <w:pStyle w:val="Defsubpara"/>
      </w:pPr>
      <w:r>
        <w:tab/>
        <w:t>(ii)</w:t>
      </w:r>
      <w:r>
        <w:tab/>
        <w:t>specifies, by reference to floors or levels, the order in which that superimposition occurs;</w:t>
      </w:r>
    </w:p>
    <w:p>
      <w:pPr>
        <w:pStyle w:val="PermNoteHeading"/>
      </w:pPr>
      <w:r>
        <w:tab/>
        <w:t>Note for this definition:</w:t>
      </w:r>
    </w:p>
    <w:p>
      <w:pPr>
        <w:pStyle w:val="PermNoteText"/>
      </w:pPr>
      <w:r>
        <w:tab/>
      </w:r>
      <w:r>
        <w:tab/>
        <w:t>Also see subsections (2) to (4).</w:t>
      </w:r>
    </w:p>
    <w:p>
      <w:pPr>
        <w:pStyle w:val="Defstart"/>
        <w:keepNext/>
      </w:pPr>
      <w:r>
        <w:tab/>
      </w:r>
      <w:r>
        <w:rPr>
          <w:rStyle w:val="CharDefText"/>
        </w:rPr>
        <w:t>freehold scheme</w:t>
      </w:r>
      <w:r>
        <w:t> — see section 8(2);</w:t>
      </w:r>
    </w:p>
    <w:p>
      <w:pPr>
        <w:pStyle w:val="PermNoteHeading"/>
      </w:pPr>
      <w:r>
        <w:tab/>
        <w:t>Note for this definition</w:t>
      </w:r>
      <w:r>
        <w:rPr>
          <w:b/>
        </w:rPr>
        <w:t>:</w:t>
      </w:r>
    </w:p>
    <w:p>
      <w:pPr>
        <w:pStyle w:val="PermNoteText"/>
      </w:pPr>
      <w:r>
        <w:tab/>
      </w:r>
      <w:r>
        <w:tab/>
        <w:t>A freehold scheme may be a strata scheme or a survey</w:t>
      </w:r>
      <w:r>
        <w:noBreakHyphen/>
        <w:t>strata scheme depending on how the lots are defined: see section 9.</w:t>
      </w:r>
    </w:p>
    <w:p>
      <w:pPr>
        <w:pStyle w:val="Defstart"/>
      </w:pPr>
      <w:r>
        <w:tab/>
      </w:r>
      <w:r>
        <w:rPr>
          <w:rStyle w:val="CharDefText"/>
        </w:rPr>
        <w:t>fundamental covenant or condition</w:t>
      </w:r>
      <w:r>
        <w:t> — see section 52(1)(b);</w:t>
      </w:r>
    </w:p>
    <w:p>
      <w:pPr>
        <w:pStyle w:val="Defstart"/>
      </w:pPr>
      <w:r>
        <w:tab/>
      </w:r>
      <w:r>
        <w:rPr>
          <w:rStyle w:val="CharDefText"/>
        </w:rPr>
        <w:t>governance by</w:t>
      </w:r>
      <w:r>
        <w:rPr>
          <w:rStyle w:val="CharDefText"/>
        </w:rPr>
        <w:noBreakHyphen/>
        <w:t>laws</w:t>
      </w:r>
      <w:r>
        <w:t xml:space="preserve"> for a strata titles scheme —</w:t>
      </w:r>
    </w:p>
    <w:p>
      <w:pPr>
        <w:pStyle w:val="Defpara"/>
      </w:pPr>
      <w:r>
        <w:tab/>
        <w:t>(a)</w:t>
      </w:r>
      <w:r>
        <w:tab/>
        <w:t>means scheme by</w:t>
      </w:r>
      <w:r>
        <w:noBreakHyphen/>
        <w:t>laws dealing with —</w:t>
      </w:r>
    </w:p>
    <w:p>
      <w:pPr>
        <w:pStyle w:val="Defsubpara"/>
      </w:pPr>
      <w:r>
        <w:tab/>
        <w:t>(i)</w:t>
      </w:r>
      <w:r>
        <w:tab/>
        <w:t>the governance of the scheme; or</w:t>
      </w:r>
    </w:p>
    <w:p>
      <w:pPr>
        <w:pStyle w:val="Defsubpara"/>
      </w:pPr>
      <w:r>
        <w:tab/>
        <w:t>(ii)</w:t>
      </w:r>
      <w:r>
        <w:tab/>
        <w:t>the subdivision or development of the land subdivided by the scheme (other than a matter of landscaping); or</w:t>
      </w:r>
    </w:p>
    <w:p>
      <w:pPr>
        <w:pStyle w:val="Defsubpara"/>
      </w:pPr>
      <w:r>
        <w:tab/>
        <w:t>(iii)</w:t>
      </w:r>
      <w:r>
        <w:tab/>
        <w:t>exclusive use of common property in the scheme;</w:t>
      </w:r>
    </w:p>
    <w:p>
      <w:pPr>
        <w:pStyle w:val="Defpara"/>
      </w:pPr>
      <w:r>
        <w:tab/>
      </w:r>
      <w:r>
        <w:tab/>
        <w:t>and</w:t>
      </w:r>
    </w:p>
    <w:p>
      <w:pPr>
        <w:pStyle w:val="Defpara"/>
      </w:pPr>
      <w:r>
        <w:tab/>
        <w:t>(b)</w:t>
      </w:r>
      <w:r>
        <w:tab/>
        <w:t>includes the following —</w:t>
      </w:r>
    </w:p>
    <w:p>
      <w:pPr>
        <w:pStyle w:val="Defsubpara"/>
      </w:pPr>
      <w:r>
        <w:tab/>
        <w:t>(i)</w:t>
      </w:r>
      <w:r>
        <w:tab/>
        <w:t>scheme by</w:t>
      </w:r>
      <w:r>
        <w:noBreakHyphen/>
        <w:t>laws set out in Schedule 1;</w:t>
      </w:r>
    </w:p>
    <w:p>
      <w:pPr>
        <w:pStyle w:val="Defsubpara"/>
      </w:pPr>
      <w:r>
        <w:tab/>
        <w:t>(ii)</w:t>
      </w:r>
      <w:r>
        <w:tab/>
        <w:t>leasehold by</w:t>
      </w:r>
      <w:r>
        <w:noBreakHyphen/>
        <w:t>laws;</w:t>
      </w:r>
    </w:p>
    <w:p>
      <w:pPr>
        <w:pStyle w:val="Defsubpara"/>
      </w:pPr>
      <w:r>
        <w:tab/>
        <w:t>(iii)</w:t>
      </w:r>
      <w:r>
        <w:tab/>
        <w:t>staged subdivision by</w:t>
      </w:r>
      <w:r>
        <w:noBreakHyphen/>
        <w:t>laws;</w:t>
      </w:r>
    </w:p>
    <w:p>
      <w:pPr>
        <w:pStyle w:val="Defsubpara"/>
      </w:pPr>
      <w:r>
        <w:tab/>
        <w:t>(iv)</w:t>
      </w:r>
      <w:r>
        <w:tab/>
        <w:t>exclusive use by</w:t>
      </w:r>
      <w:r>
        <w:noBreakHyphen/>
        <w:t>laws;</w:t>
      </w:r>
    </w:p>
    <w:p>
      <w:pPr>
        <w:pStyle w:val="Defsubpara"/>
      </w:pPr>
      <w:r>
        <w:tab/>
        <w:t>(v)</w:t>
      </w:r>
      <w:r>
        <w:tab/>
        <w:t>scheme by</w:t>
      </w:r>
      <w:r>
        <w:noBreakHyphen/>
        <w:t>laws made under a planning (scheme by</w:t>
      </w:r>
      <w:r>
        <w:noBreakHyphen/>
        <w:t>laws) condition;</w:t>
      </w:r>
    </w:p>
    <w:p>
      <w:pPr>
        <w:pStyle w:val="Defsubpara"/>
      </w:pPr>
      <w:r>
        <w:tab/>
        <w:t>(vi)</w:t>
      </w:r>
      <w:r>
        <w:tab/>
        <w:t>scheme by</w:t>
      </w:r>
      <w:r>
        <w:noBreakHyphen/>
        <w:t>laws setting out architectural requirements designed to control or preserve the essence or theme of development;</w:t>
      </w:r>
    </w:p>
    <w:p>
      <w:pPr>
        <w:pStyle w:val="Defsubpara"/>
      </w:pPr>
      <w:r>
        <w:tab/>
        <w:t>(vii)</w:t>
      </w:r>
      <w:r>
        <w:tab/>
        <w:t>scheme by</w:t>
      </w:r>
      <w:r>
        <w:noBreakHyphen/>
        <w:t>laws that specify plot ratio restrictions or open space requirements;</w:t>
      </w:r>
    </w:p>
    <w:p>
      <w:pPr>
        <w:pStyle w:val="Defsubpara"/>
      </w:pPr>
      <w:r>
        <w:tab/>
        <w:t>(viii)</w:t>
      </w:r>
      <w:r>
        <w:tab/>
        <w:t>scheme by</w:t>
      </w:r>
      <w:r>
        <w:noBreakHyphen/>
        <w:t>laws affecting the provision of, or payment for —</w:t>
      </w:r>
    </w:p>
    <w:p>
      <w:pPr>
        <w:pStyle w:val="Defitem"/>
      </w:pPr>
      <w:r>
        <w:tab/>
        <w:t>(I)</w:t>
      </w:r>
      <w:r>
        <w:tab/>
        <w:t>internal fencing on the parcel; or</w:t>
      </w:r>
    </w:p>
    <w:p>
      <w:pPr>
        <w:pStyle w:val="Defitem"/>
      </w:pPr>
      <w:r>
        <w:tab/>
        <w:t>(II)</w:t>
      </w:r>
      <w:r>
        <w:tab/>
        <w:t xml:space="preserve">fencing to which the </w:t>
      </w:r>
      <w:r>
        <w:rPr>
          <w:i/>
        </w:rPr>
        <w:t>Dividing Fences Act 1961</w:t>
      </w:r>
      <w:r>
        <w:t xml:space="preserve"> applies;</w:t>
      </w:r>
    </w:p>
    <w:p>
      <w:pPr>
        <w:pStyle w:val="Defsubpara"/>
      </w:pPr>
      <w:r>
        <w:tab/>
        <w:t>(ix)</w:t>
      </w:r>
      <w:r>
        <w:tab/>
        <w:t>scheme by</w:t>
      </w:r>
      <w:r>
        <w:noBreakHyphen/>
        <w:t>laws for a 3, 4 or 5</w:t>
      </w:r>
      <w:r>
        <w:noBreakHyphen/>
        <w:t>lot scheme that exempt the strata company from a designated function under section 140;</w:t>
      </w:r>
    </w:p>
    <w:p>
      <w:pPr>
        <w:pStyle w:val="Defsubpara"/>
      </w:pPr>
      <w:r>
        <w:tab/>
        <w:t>(x)</w:t>
      </w:r>
      <w:r>
        <w:tab/>
        <w:t>scheme by</w:t>
      </w:r>
      <w:r>
        <w:noBreakHyphen/>
        <w:t>laws that deal with —</w:t>
      </w:r>
    </w:p>
    <w:p>
      <w:pPr>
        <w:pStyle w:val="Defitem"/>
      </w:pPr>
      <w:r>
        <w:tab/>
        <w:t>(I)</w:t>
      </w:r>
      <w:r>
        <w:tab/>
        <w:t>the constitution or procedures of the council of the strata company; or</w:t>
      </w:r>
    </w:p>
    <w:p>
      <w:pPr>
        <w:pStyle w:val="Defitem"/>
      </w:pPr>
      <w:r>
        <w:tab/>
        <w:t>(II)</w:t>
      </w:r>
      <w:r>
        <w:tab/>
        <w:t>the officers of the strata company; or</w:t>
      </w:r>
    </w:p>
    <w:p>
      <w:pPr>
        <w:pStyle w:val="Defitem"/>
      </w:pPr>
      <w:r>
        <w:tab/>
        <w:t>(III)</w:t>
      </w:r>
      <w:r>
        <w:tab/>
        <w:t>the procedures of a general meeting of the strata company; or</w:t>
      </w:r>
    </w:p>
    <w:p>
      <w:pPr>
        <w:pStyle w:val="Defitem"/>
      </w:pPr>
      <w:r>
        <w:tab/>
        <w:t>(IV)</w:t>
      </w:r>
      <w:r>
        <w:tab/>
        <w:t>the organisation of the affairs of the strata company; or</w:t>
      </w:r>
    </w:p>
    <w:p>
      <w:pPr>
        <w:pStyle w:val="Defitem"/>
      </w:pPr>
      <w:r>
        <w:tab/>
        <w:t>(V)</w:t>
      </w:r>
      <w:r>
        <w:tab/>
        <w:t>contributions, levies or money payable by the owner of a lot in the scheme to the strata company; or</w:t>
      </w:r>
    </w:p>
    <w:p>
      <w:pPr>
        <w:pStyle w:val="Defitem"/>
      </w:pPr>
      <w:r>
        <w:tab/>
        <w:t>(VI)</w:t>
      </w:r>
      <w:r>
        <w:tab/>
        <w:t>the carrying on of a business or trading activity by the strata company or the method of distributing and sharing any profit or loss;</w:t>
      </w:r>
    </w:p>
    <w:p>
      <w:pPr>
        <w:pStyle w:val="Defsubpara"/>
      </w:pPr>
      <w:r>
        <w:tab/>
        <w:t>(xi)</w:t>
      </w:r>
      <w:r>
        <w:tab/>
        <w:t>scheme by</w:t>
      </w:r>
      <w:r>
        <w:noBreakHyphen/>
        <w:t>laws classified by the regulations as governance by</w:t>
      </w:r>
      <w:r>
        <w:noBreakHyphen/>
        <w:t>laws;</w:t>
      </w:r>
    </w:p>
    <w:p>
      <w:pPr>
        <w:pStyle w:val="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Defstart"/>
      </w:pPr>
      <w:r>
        <w:tab/>
      </w:r>
      <w:r>
        <w:rPr>
          <w:rStyle w:val="CharDefText"/>
        </w:rPr>
        <w:t>infrastructure contract</w:t>
      </w:r>
      <w:r>
        <w:t> — see section 64(1)(a);</w:t>
      </w:r>
    </w:p>
    <w:p>
      <w:pPr>
        <w:pStyle w:val="Defstart"/>
      </w:pPr>
      <w:r>
        <w:tab/>
      </w:r>
      <w:r>
        <w:rPr>
          <w:rStyle w:val="CharDefText"/>
        </w:rPr>
        <w:t>infrastructure owner</w:t>
      </w:r>
      <w:r>
        <w:t> — see section 64(3);</w:t>
      </w:r>
    </w:p>
    <w:p>
      <w:pPr>
        <w:pStyle w:val="Defstart"/>
      </w:pPr>
      <w:r>
        <w:tab/>
      </w:r>
      <w:r>
        <w:rPr>
          <w:rStyle w:val="CharDefText"/>
        </w:rPr>
        <w:t>insurable asset</w:t>
      </w:r>
      <w:r>
        <w:t xml:space="preserve"> of a strata titles scheme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pPr>
      <w:r>
        <w:tab/>
      </w:r>
      <w:r>
        <w:rPr>
          <w:rStyle w:val="CharDefText"/>
        </w:rPr>
        <w:t>interim development order</w:t>
      </w:r>
      <w:r>
        <w:t xml:space="preserve"> has the meaning given in the </w:t>
      </w:r>
      <w:r>
        <w:rPr>
          <w:i/>
        </w:rPr>
        <w:t>Planning and Development Act 2005</w:t>
      </w:r>
      <w:r>
        <w:t xml:space="preserve"> section 4(1);</w:t>
      </w:r>
    </w:p>
    <w:p>
      <w:pPr>
        <w:pStyle w:val="Defstart"/>
      </w:pPr>
      <w:r>
        <w:tab/>
      </w:r>
      <w:r>
        <w:rPr>
          <w:rStyle w:val="CharDefText"/>
        </w:rPr>
        <w:t>item registered or recorded</w:t>
      </w:r>
      <w:r>
        <w:t xml:space="preserve"> for a strata titles scheme — see section 58(5);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tab/>
      </w:r>
      <w:r>
        <w:rPr>
          <w:rStyle w:val="CharDefText"/>
        </w:rPr>
        <w:t>judicial member</w:t>
      </w:r>
      <w:r>
        <w:t xml:space="preserve"> has the meaning given in the </w:t>
      </w:r>
      <w:r>
        <w:rPr>
          <w:i/>
        </w:rPr>
        <w:t>State Administrative Tribunal Act 2004</w:t>
      </w:r>
      <w:r>
        <w:t xml:space="preserve"> section 3(1);</w:t>
      </w:r>
    </w:p>
    <w:p>
      <w:pPr>
        <w:pStyle w:val="Defstart"/>
      </w:pPr>
      <w:r>
        <w:tab/>
      </w:r>
      <w:r>
        <w:rPr>
          <w:rStyle w:val="CharDefText"/>
        </w:rPr>
        <w:t>key document</w:t>
      </w:r>
      <w:r>
        <w:t xml:space="preserve"> in relation to a subdivision of land by a strata titles scheme (including a stage of subdivision)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strata company;</w:t>
      </w:r>
    </w:p>
    <w:p>
      <w:pPr>
        <w:pStyle w:val="Defpara"/>
      </w:pPr>
      <w:r>
        <w:tab/>
        <w:t>(h)</w:t>
      </w:r>
      <w:r>
        <w:tab/>
        <w:t>certificates and schedules relating to the insurance required for, or relating to, the scheme taken out or arranged by the scheme developer of the subdivision;</w:t>
      </w:r>
    </w:p>
    <w:p>
      <w:pPr>
        <w:pStyle w:val="Defpara"/>
      </w:pPr>
      <w:r>
        <w:tab/>
        <w:t>(i)</w:t>
      </w:r>
      <w:r>
        <w:tab/>
        <w:t>any contracts for the provision of services or amenities to the strata company or to members of the strata company entered into or arranged by the scheme developer for the subdivision or by the strata company;</w:t>
      </w:r>
    </w:p>
    <w:p>
      <w:pPr>
        <w:pStyle w:val="Defpara"/>
      </w:pPr>
      <w:r>
        <w:tab/>
        <w:t>(j)</w:t>
      </w:r>
      <w:r>
        <w:tab/>
        <w:t>any leases or licences over the common property of the scheme;</w:t>
      </w:r>
    </w:p>
    <w:p>
      <w:pPr>
        <w:pStyle w:val="Defpara"/>
      </w:pPr>
      <w:r>
        <w:tab/>
        <w:t>(k)</w:t>
      </w:r>
      <w:r>
        <w:tab/>
        <w:t>accounting records and other documents that ought reasonably to be given to the strata company;</w:t>
      </w:r>
    </w:p>
    <w:p>
      <w:pPr>
        <w:pStyle w:val="Defpara"/>
      </w:pPr>
      <w:r>
        <w:tab/>
        <w:t>(l)</w:t>
      </w:r>
      <w:r>
        <w:tab/>
        <w:t>anything included in this definition by the regulations;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keepNext/>
      </w:pPr>
      <w:r>
        <w:tab/>
      </w:r>
      <w:r>
        <w:rPr>
          <w:rStyle w:val="CharDefText"/>
        </w:rPr>
        <w:t>lease</w:t>
      </w:r>
      <w:r>
        <w:t xml:space="preserve"> of a lot includes a sublease of the lot, but does not, in a leasehold scheme, include the strata lease for the lot;</w:t>
      </w:r>
    </w:p>
    <w:p>
      <w:pPr>
        <w:pStyle w:val="Defstart"/>
      </w:pPr>
      <w:r>
        <w:tab/>
      </w:r>
      <w:r>
        <w:rPr>
          <w:rStyle w:val="CharDefText"/>
        </w:rPr>
        <w:t>leasehold by</w:t>
      </w:r>
      <w:r>
        <w:rPr>
          <w:rStyle w:val="CharDefText"/>
        </w:rPr>
        <w:noBreakHyphen/>
        <w:t>laws</w:t>
      </w:r>
      <w:r>
        <w:t> — see section 40;</w:t>
      </w:r>
    </w:p>
    <w:p>
      <w:pPr>
        <w:pStyle w:val="Defstart"/>
      </w:pPr>
      <w:r>
        <w:tab/>
      </w:r>
      <w:r>
        <w:rPr>
          <w:rStyle w:val="CharDefText"/>
        </w:rPr>
        <w:t>leasehold scheme</w:t>
      </w:r>
      <w:r>
        <w:t> — see section 8(3);</w:t>
      </w:r>
    </w:p>
    <w:p>
      <w:pPr>
        <w:pStyle w:val="PermNoteHeading"/>
      </w:pPr>
      <w:r>
        <w:tab/>
        <w:t>Note for this definition</w:t>
      </w:r>
      <w:r>
        <w:rPr>
          <w:b/>
        </w:rPr>
        <w:t>:</w:t>
      </w:r>
    </w:p>
    <w:p>
      <w:pPr>
        <w:pStyle w:val="PermNoteText"/>
      </w:pPr>
      <w:r>
        <w:tab/>
      </w:r>
      <w:r>
        <w:tab/>
        <w:t>A leasehold scheme may be a strata scheme or a survey</w:t>
      </w:r>
      <w:r>
        <w:noBreakHyphen/>
        <w:t>strata scheme depending on how the lots are defined: see section 9.</w:t>
      </w:r>
    </w:p>
    <w:p>
      <w:pPr>
        <w:pStyle w:val="Defstart"/>
      </w:pPr>
      <w:r>
        <w:tab/>
      </w:r>
      <w:r>
        <w:rPr>
          <w:rStyle w:val="CharDefText"/>
        </w:rPr>
        <w:t>legally qualified member</w:t>
      </w:r>
      <w:r>
        <w:t xml:space="preserve"> has the meaning given in the </w:t>
      </w:r>
      <w:r>
        <w:rPr>
          <w:i/>
        </w:rPr>
        <w:t>State Administrative Tribunal Act 2004</w:t>
      </w:r>
      <w:r>
        <w:t xml:space="preserve"> section 3(1);</w:t>
      </w:r>
    </w:p>
    <w:p>
      <w:pPr>
        <w:pStyle w:val="Defstart"/>
      </w:pPr>
      <w:r>
        <w:rPr>
          <w:b/>
        </w:rPr>
        <w:tab/>
      </w:r>
      <w:r>
        <w:rPr>
          <w:rStyle w:val="CharDefText"/>
        </w:rPr>
        <w:t>licensed surveyor</w:t>
      </w:r>
      <w:r>
        <w:t xml:space="preserve"> has the meaning given in the </w:t>
      </w:r>
      <w:r>
        <w:rPr>
          <w:i/>
        </w:rPr>
        <w:t>Licensed Surveyors Act 1909</w:t>
      </w:r>
      <w:r>
        <w:t xml:space="preserve"> section 3;</w:t>
      </w:r>
    </w:p>
    <w:p>
      <w:pPr>
        <w:pStyle w:val="Defstart"/>
      </w:pPr>
      <w:r>
        <w:rPr>
          <w:b/>
        </w:rPr>
        <w:tab/>
      </w:r>
      <w:r>
        <w:rPr>
          <w:rStyle w:val="CharDefText"/>
        </w:rPr>
        <w:t>licensed valuer</w:t>
      </w:r>
      <w:r>
        <w:t xml:space="preserve"> has the meaning given in the </w:t>
      </w:r>
      <w:r>
        <w:rPr>
          <w:i/>
        </w:rPr>
        <w:t>Land Valuers Licensing Act 1978</w:t>
      </w:r>
      <w:r>
        <w:t xml:space="preserve"> section 4;</w:t>
      </w:r>
    </w:p>
    <w:p>
      <w:pPr>
        <w:pStyle w:val="Defstart"/>
      </w:pPr>
      <w:r>
        <w:tab/>
      </w:r>
      <w:r>
        <w:rPr>
          <w:rStyle w:val="CharDefText"/>
        </w:rPr>
        <w:t>local government</w:t>
      </w:r>
      <w:r>
        <w:rPr>
          <w:b/>
        </w:rPr>
        <w:t xml:space="preserve"> </w:t>
      </w:r>
      <w:r>
        <w:t>means a local government, regional local government or regional subsidiary;</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rPr>
          <w:b/>
        </w:rPr>
        <w:tab/>
      </w:r>
      <w:r>
        <w:rPr>
          <w:rStyle w:val="CharDefText"/>
        </w:rPr>
        <w:t>location plan for a strata scheme</w:t>
      </w:r>
      <w:r>
        <w:t xml:space="preserve"> means a plan, consisting of 1 or more sheets, which relates to land and delineates the perimeter of that land and, in relation to that perimeter, the location of any building erected on that land and of any lots or part of lots not within any such building;</w:t>
      </w:r>
    </w:p>
    <w:p>
      <w:pPr>
        <w:pStyle w:val="Defstart"/>
      </w:pPr>
      <w:r>
        <w:rPr>
          <w:b/>
        </w:rPr>
        <w:tab/>
      </w:r>
      <w:r>
        <w:rPr>
          <w:rStyle w:val="CharDefText"/>
        </w:rPr>
        <w:t>lot in a strata scheme</w:t>
      </w:r>
      <w:r>
        <w:t xml:space="preserve"> means 1 or more cubic spaces forming part of the parcel subdivided by the strata scheme, the base of each such cubic space being designated as 1 lot or part of 1 lot on the floor plan forming part of the strata plan or an amendment of the strata plan being, in each case, cubic space the base of whose vertical boundaries is as delineated on a sheet of that floor plan and which has horizontal boundaries as ascertained under subsection (2), but does not include any structural cubic space except if that structural cubic space —</w:t>
      </w:r>
    </w:p>
    <w:p>
      <w:pPr>
        <w:pStyle w:val="Defpara"/>
      </w:pPr>
      <w:r>
        <w:tab/>
        <w:t>(a)</w:t>
      </w:r>
      <w:r>
        <w:tab/>
        <w:t>has boundaries described in accordance with the regulations; and</w:t>
      </w:r>
    </w:p>
    <w:p>
      <w:pPr>
        <w:pStyle w:val="Defpara"/>
        <w:keepNext/>
      </w:pPr>
      <w:r>
        <w:tab/>
        <w:t>(b)</w:t>
      </w:r>
      <w:r>
        <w:tab/>
        <w:t>is shown in that floor plan as part of a lot;</w:t>
      </w:r>
    </w:p>
    <w:p>
      <w:pPr>
        <w:pStyle w:val="PermNoteHeading"/>
      </w:pPr>
      <w:r>
        <w:tab/>
        <w:t>Note for this definition:</w:t>
      </w:r>
    </w:p>
    <w:p>
      <w:pPr>
        <w:pStyle w:val="PermNoteText"/>
      </w:pPr>
      <w:r>
        <w:tab/>
      </w:r>
      <w:r>
        <w:tab/>
        <w:t>Schedule 2A provides for a special rule about the definition of lot in a single tier strata scheme.</w:t>
      </w:r>
    </w:p>
    <w:p>
      <w:pPr>
        <w:pStyle w:val="Defstart"/>
        <w:keepNext/>
      </w:pPr>
      <w:r>
        <w:rPr>
          <w:b/>
        </w:rPr>
        <w:tab/>
      </w:r>
      <w:r>
        <w:rPr>
          <w:rStyle w:val="CharDefText"/>
        </w:rPr>
        <w:t>lot in a survey</w:t>
      </w:r>
      <w:r>
        <w:rPr>
          <w:rStyle w:val="CharDefText"/>
        </w:rPr>
        <w:noBreakHyphen/>
        <w:t>strata scheme</w:t>
      </w:r>
      <w:r>
        <w:t xml:space="preserve"> means land that is shown as a lot consisting of 1 or more parts on the plan for that scheme;</w:t>
      </w:r>
    </w:p>
    <w:p>
      <w:pPr>
        <w:pStyle w:val="Defstart"/>
      </w:pPr>
      <w:r>
        <w:tab/>
      </w:r>
      <w:r>
        <w:rPr>
          <w:rStyle w:val="CharDefText"/>
        </w:rPr>
        <w:t>member</w:t>
      </w:r>
      <w:r>
        <w:t xml:space="preserve"> of a strata company — see section 14(8);</w:t>
      </w:r>
    </w:p>
    <w:p>
      <w:pPr>
        <w:pStyle w:val="Defstart"/>
      </w:pPr>
      <w:r>
        <w:tab/>
      </w:r>
      <w:r>
        <w:rPr>
          <w:rStyle w:val="CharDefText"/>
        </w:rPr>
        <w:t>member</w:t>
      </w:r>
      <w:r>
        <w:t xml:space="preserve"> of the council of a strata company includes a person appointed under scheme by</w:t>
      </w:r>
      <w:r>
        <w:noBreakHyphen/>
        <w:t>laws to act as a member of the council;</w:t>
      </w:r>
    </w:p>
    <w:p>
      <w:pPr>
        <w:pStyle w:val="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Defstart"/>
      </w:pPr>
      <w:r>
        <w:rPr>
          <w:b/>
        </w:rPr>
        <w:tab/>
      </w:r>
      <w:r>
        <w:rPr>
          <w:rStyle w:val="CharDefText"/>
        </w:rPr>
        <w:t>mortgage</w:t>
      </w:r>
      <w:r>
        <w:t xml:space="preserve"> includes a charge for securing money or money’s worth;</w:t>
      </w:r>
    </w:p>
    <w:p>
      <w:pPr>
        <w:pStyle w:val="Defstart"/>
      </w:pPr>
      <w:r>
        <w:tab/>
      </w:r>
      <w:r>
        <w:rPr>
          <w:rStyle w:val="CharDefText"/>
        </w:rPr>
        <w:t>mortgagee</w:t>
      </w:r>
      <w:r>
        <w:t xml:space="preserve"> of a lot in a leasehold scheme includes a mortgagee or chargee of the strata leasehold estate in the lot;</w:t>
      </w:r>
    </w:p>
    <w:p>
      <w:pPr>
        <w:pStyle w:val="Defstar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Defstart"/>
      </w:pPr>
      <w:r>
        <w:tab/>
      </w:r>
      <w:r>
        <w:rPr>
          <w:rStyle w:val="CharDefText"/>
        </w:rPr>
        <w:t>officer</w:t>
      </w:r>
      <w:r>
        <w:t xml:space="preserve"> of a strata company means —</w:t>
      </w:r>
    </w:p>
    <w:p>
      <w:pPr>
        <w:pStyle w:val="Defpara"/>
      </w:pPr>
      <w:r>
        <w:tab/>
        <w:t>(a)</w:t>
      </w:r>
      <w:r>
        <w:tab/>
        <w:t>the chairperson of the strata company; or</w:t>
      </w:r>
    </w:p>
    <w:p>
      <w:pPr>
        <w:pStyle w:val="Defpara"/>
      </w:pPr>
      <w:r>
        <w:tab/>
        <w:t>(b)</w:t>
      </w:r>
      <w:r>
        <w:tab/>
        <w:t>if, under the scheme by</w:t>
      </w:r>
      <w:r>
        <w:noBreakHyphen/>
        <w:t>laws, the strata company has a secretary, the secretary of the strata company; or</w:t>
      </w:r>
    </w:p>
    <w:p>
      <w:pPr>
        <w:pStyle w:val="Defpara"/>
      </w:pPr>
      <w:r>
        <w:tab/>
        <w:t>(c)</w:t>
      </w:r>
      <w:r>
        <w:tab/>
        <w:t>if, under the scheme by</w:t>
      </w:r>
      <w:r>
        <w:noBreakHyphen/>
        <w:t>laws, the strata company has a treasurer, the treasurer of the strata company;</w:t>
      </w:r>
    </w:p>
    <w:p>
      <w:pPr>
        <w:pStyle w:val="Defstart"/>
      </w:pPr>
      <w:r>
        <w:tab/>
      </w:r>
      <w:r>
        <w:rPr>
          <w:rStyle w:val="CharDefText"/>
        </w:rPr>
        <w:t>on common property</w:t>
      </w:r>
      <w:r>
        <w:t xml:space="preserve"> in relation to infrastructure means situated in or on common property;</w:t>
      </w:r>
    </w:p>
    <w:p>
      <w:pPr>
        <w:pStyle w:val="Defstart"/>
      </w:pPr>
      <w:r>
        <w:tab/>
      </w:r>
      <w:r>
        <w:rPr>
          <w:rStyle w:val="CharDefText"/>
        </w:rPr>
        <w:t>open space</w:t>
      </w:r>
      <w:r>
        <w:t xml:space="preserve"> means the area of a lot that is not occupied by a building, calculated in accordance with the regulations;</w:t>
      </w:r>
    </w:p>
    <w:p>
      <w:pPr>
        <w:pStyle w:val="Defstart"/>
        <w:keepNex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pPr>
      <w:r>
        <w:tab/>
      </w:r>
      <w:r>
        <w:rPr>
          <w:rStyle w:val="CharDefText"/>
        </w:rPr>
        <w:t>ordinary resolution</w:t>
      </w:r>
      <w:r>
        <w:t xml:space="preserve"> of a strata company — see section 123;</w:t>
      </w:r>
    </w:p>
    <w:p>
      <w:pPr>
        <w:pStyle w:val="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Defstart"/>
      </w:pPr>
      <w:r>
        <w:tab/>
      </w:r>
      <w:r>
        <w:rPr>
          <w:rStyle w:val="CharDefText"/>
        </w:rPr>
        <w:t>owner</w:t>
      </w:r>
      <w:r>
        <w:t xml:space="preserve"> of a lot means —</w:t>
      </w:r>
    </w:p>
    <w:p>
      <w:pPr>
        <w:pStyle w:val="Defpara"/>
      </w:pPr>
      <w:r>
        <w:tab/>
        <w:t>(a)</w:t>
      </w:r>
      <w:r>
        <w:tab/>
        <w:t>for a lot in a freehold scheme —</w:t>
      </w:r>
    </w:p>
    <w:p>
      <w:pPr>
        <w:pStyle w:val="Defsubpara"/>
      </w:pPr>
      <w:r>
        <w:tab/>
        <w:t>(i)</w:t>
      </w:r>
      <w:r>
        <w:tab/>
        <w:t xml:space="preserve">a person who is registered under the </w:t>
      </w:r>
      <w:r>
        <w:rPr>
          <w:i/>
        </w:rPr>
        <w:t>Transfer of Land Act 1893</w:t>
      </w:r>
      <w:r>
        <w:t xml:space="preserve"> as the proprietor of an estate in fee simple in the lot; or</w:t>
      </w:r>
    </w:p>
    <w:p>
      <w:pPr>
        <w:pStyle w:val="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Defsubpara"/>
      </w:pPr>
      <w:r>
        <w:tab/>
        <w:t>(iii)</w:t>
      </w:r>
      <w:r>
        <w:tab/>
        <w:t>if a mortgagee is in possession of the lot — the mortgagee to the exclusion of the persons referred to in the preceding paragraphs;</w:t>
      </w:r>
    </w:p>
    <w:p>
      <w:pPr>
        <w:pStyle w:val="Defpara"/>
      </w:pPr>
      <w:r>
        <w:tab/>
      </w:r>
      <w:r>
        <w:tab/>
        <w:t>or</w:t>
      </w:r>
    </w:p>
    <w:p>
      <w:pPr>
        <w:pStyle w:val="Defpara"/>
        <w:keepNext/>
      </w:pPr>
      <w:r>
        <w:tab/>
        <w:t>(b)</w:t>
      </w:r>
      <w:r>
        <w:tab/>
        <w:t>for a lot in a leasehold scheme —</w:t>
      </w:r>
    </w:p>
    <w:p>
      <w:pPr>
        <w:pStyle w:val="Defsubpara"/>
      </w:pPr>
      <w:r>
        <w:tab/>
        <w:t>(i)</w:t>
      </w:r>
      <w:r>
        <w:tab/>
        <w:t xml:space="preserve">a person who is registered under the </w:t>
      </w:r>
      <w:r>
        <w:rPr>
          <w:i/>
        </w:rPr>
        <w:t>Transfer of Land Act 1893</w:t>
      </w:r>
      <w:r>
        <w:t xml:space="preserve"> as the proprietor of a strata leasehold estate in the lot; or</w:t>
      </w:r>
    </w:p>
    <w:p>
      <w:pPr>
        <w:pStyle w:val="Defsubpara"/>
      </w:pPr>
      <w:r>
        <w:tab/>
        <w:t>(ii)</w:t>
      </w:r>
      <w:r>
        <w:tab/>
        <w:t>if a mortgagee is in possession of the lot — the mortgagee to the exclusion of a person referred to in the preceding paragraph;</w:t>
      </w:r>
    </w:p>
    <w:p>
      <w:pPr>
        <w:pStyle w:val="Defstart"/>
      </w:pPr>
      <w:r>
        <w:rPr>
          <w:b/>
        </w:rPr>
        <w:tab/>
      </w:r>
      <w:r>
        <w:rPr>
          <w:rStyle w:val="CharDefText"/>
        </w:rPr>
        <w:t>parcel</w:t>
      </w:r>
      <w:r>
        <w:t xml:space="preserve"> means the land subdivided by a strata titles scheme;</w:t>
      </w:r>
    </w:p>
    <w:p>
      <w:pPr>
        <w:pStyle w:val="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tab/>
      </w:r>
      <w:r>
        <w:rPr>
          <w:rStyle w:val="CharDefText"/>
        </w:rPr>
        <w:t>present</w:t>
      </w:r>
      <w:r>
        <w:t xml:space="preserve"> at a meeting of a strata company — see section 131;</w:t>
      </w:r>
    </w:p>
    <w:p>
      <w:pPr>
        <w:pStyle w:val="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173;</w:t>
      </w:r>
    </w:p>
    <w:p>
      <w:pPr>
        <w:pStyle w:val="Defstart"/>
      </w:pPr>
      <w:r>
        <w:rPr>
          <w:b/>
        </w:rP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rPr>
        <w:t>Transfer of Land Act 1893</w:t>
      </w:r>
      <w:r>
        <w:t>;</w:t>
      </w:r>
    </w:p>
    <w:p>
      <w:pPr>
        <w:pStyle w:val="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Defstart"/>
      </w:pPr>
      <w:r>
        <w:tab/>
      </w:r>
      <w:r>
        <w:rPr>
          <w:rStyle w:val="CharDefText"/>
        </w:rPr>
        <w:t>replacement value</w:t>
      </w:r>
      <w:r>
        <w:t xml:space="preserve"> 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100(2)(a);</w:t>
      </w:r>
    </w:p>
    <w:p>
      <w:pPr>
        <w:pStyle w:val="Defstart"/>
      </w:pPr>
      <w:r>
        <w:rPr>
          <w:b/>
        </w:rPr>
        <w:tab/>
      </w:r>
      <w:r>
        <w:rPr>
          <w:rStyle w:val="CharDefText"/>
        </w:rPr>
        <w:t>resolution without dissent</w:t>
      </w:r>
      <w:r>
        <w:t xml:space="preserve"> of a strata company — see section 123;</w:t>
      </w:r>
    </w:p>
    <w:p>
      <w:pPr>
        <w:pStyle w:val="Defstart"/>
      </w:pPr>
      <w:r>
        <w:tab/>
      </w:r>
      <w:r>
        <w:rPr>
          <w:rStyle w:val="CharDefText"/>
        </w:rPr>
        <w:t>restricted use condition</w:t>
      </w:r>
      <w:r>
        <w:t> — see section 32(2)(a);</w:t>
      </w:r>
    </w:p>
    <w:p>
      <w:pPr>
        <w:pStyle w:val="PermNoteHeading"/>
      </w:pPr>
      <w:r>
        <w:tab/>
        <w:t>Note for this definition:</w:t>
      </w:r>
    </w:p>
    <w:p>
      <w:pPr>
        <w:pStyle w:val="PermNoteText"/>
      </w:pPr>
      <w:r>
        <w:tab/>
      </w:r>
      <w:r>
        <w:tab/>
        <w:t>An example of a restricted use is use of a strata titles scheme as a retirement village.</w:t>
      </w:r>
    </w:p>
    <w:p>
      <w:pPr>
        <w:pStyle w:val="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strata plan and by reference to which the boundaries of lots are defined;</w:t>
      </w:r>
    </w:p>
    <w:p>
      <w:pPr>
        <w:pStyle w:val="Defstart"/>
        <w:keepNex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PermNoteHeading"/>
      </w:pPr>
      <w:r>
        <w:tab/>
        <w:t>Note for this definition:</w:t>
      </w:r>
    </w:p>
    <w:p>
      <w:pPr>
        <w:pStyle w:val="PermNoteText"/>
      </w:pPr>
      <w:r>
        <w:tab/>
      </w:r>
      <w:r>
        <w:tab/>
        <w:t>Scheme by</w:t>
      </w:r>
      <w:r>
        <w:noBreakHyphen/>
        <w:t>laws may be governance by</w:t>
      </w:r>
      <w:r>
        <w:noBreakHyphen/>
        <w:t>laws or conduct by</w:t>
      </w:r>
      <w:r>
        <w:noBreakHyphen/>
        <w:t>laws.</w:t>
      </w:r>
    </w:p>
    <w:p>
      <w:pPr>
        <w:pStyle w:val="Defstart"/>
      </w:pPr>
      <w:r>
        <w:tab/>
      </w:r>
      <w:r>
        <w:rPr>
          <w:rStyle w:val="CharDefText"/>
        </w:rPr>
        <w:t>scheme developer</w:t>
      </w:r>
      <w:r>
        <w:t> —</w:t>
      </w:r>
    </w:p>
    <w:p>
      <w:pPr>
        <w:pStyle w:val="Defpara"/>
      </w:pPr>
      <w:r>
        <w:tab/>
        <w:t>(a)</w:t>
      </w:r>
      <w:r>
        <w:tab/>
        <w:t>for the initial subdivision of a parcel by registration of a strata titles scheme, the original proprietor of the scheme is the scheme developer; and</w:t>
      </w:r>
    </w:p>
    <w:p>
      <w:pPr>
        <w:pStyle w:val="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Defstart"/>
      </w:pPr>
      <w:r>
        <w:tab/>
      </w:r>
      <w:r>
        <w:rPr>
          <w:rStyle w:val="CharDefText"/>
        </w:rPr>
        <w:t>scheme dispute</w:t>
      </w:r>
      <w:r>
        <w:t> — see section 197;</w:t>
      </w:r>
    </w:p>
    <w:p>
      <w:pPr>
        <w:pStyle w:val="Defstart"/>
      </w:pPr>
      <w:r>
        <w:tab/>
      </w:r>
      <w:r>
        <w:rPr>
          <w:rStyle w:val="CharDefText"/>
        </w:rPr>
        <w:t>scheme document</w:t>
      </w:r>
      <w:r>
        <w:t> — see section 12;</w:t>
      </w:r>
    </w:p>
    <w:p>
      <w:pPr>
        <w:pStyle w:val="Defstart"/>
      </w:pPr>
      <w:r>
        <w:tab/>
      </w:r>
      <w:r>
        <w:rPr>
          <w:rStyle w:val="CharDefText"/>
        </w:rPr>
        <w:t>scheme function</w:t>
      </w:r>
      <w:r>
        <w:t xml:space="preserve"> for a strata titles scheme means —</w:t>
      </w:r>
    </w:p>
    <w:p>
      <w:pPr>
        <w:pStyle w:val="Defpara"/>
      </w:pPr>
      <w:r>
        <w:tab/>
        <w:t>(a)</w:t>
      </w:r>
      <w:r>
        <w:tab/>
        <w:t>a function of the strata company; or</w:t>
      </w:r>
    </w:p>
    <w:p>
      <w:pPr>
        <w:pStyle w:val="Defpara"/>
      </w:pPr>
      <w:r>
        <w:tab/>
        <w:t>(b)</w:t>
      </w:r>
      <w:r>
        <w:tab/>
        <w:t>a function of the council of the strata company; or</w:t>
      </w:r>
    </w:p>
    <w:p>
      <w:pPr>
        <w:pStyle w:val="Defpara"/>
      </w:pPr>
      <w:r>
        <w:tab/>
        <w:t>(c)</w:t>
      </w:r>
      <w:r>
        <w:tab/>
        <w:t>a function of an officer of the strata company;</w:t>
      </w:r>
    </w:p>
    <w:p>
      <w:pPr>
        <w:pStyle w:val="Defstart"/>
      </w:pPr>
      <w:r>
        <w:tab/>
      </w:r>
      <w:r>
        <w:rPr>
          <w:rStyle w:val="CharDefText"/>
        </w:rPr>
        <w:t>scheme notice</w:t>
      </w:r>
      <w:r>
        <w:t xml:space="preserve"> for a strata titles scheme means the scheme notice registered, or proposed to be registered, for the scheme as a scheme document;</w:t>
      </w:r>
    </w:p>
    <w:p>
      <w:pPr>
        <w:pStyle w:val="Defstart"/>
      </w:pPr>
      <w:r>
        <w:rPr>
          <w:b/>
        </w:rPr>
        <w:tab/>
      </w:r>
      <w:r>
        <w:rPr>
          <w:rStyle w:val="CharDefText"/>
        </w:rPr>
        <w:t>scheme participant</w:t>
      </w:r>
      <w:r>
        <w:t> — see section 197(2);</w:t>
      </w:r>
    </w:p>
    <w:p>
      <w:pPr>
        <w:pStyle w:val="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Defstart"/>
      </w:pPr>
      <w:r>
        <w:rPr>
          <w:i/>
        </w:rPr>
        <w:tab/>
      </w:r>
      <w:r>
        <w:rPr>
          <w:rStyle w:val="CharDefText"/>
        </w:rPr>
        <w:t>settlement date</w:t>
      </w:r>
      <w:r>
        <w:t xml:space="preserve"> for a contract for the purchase and sale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33(1);</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43(1);</w:t>
      </w:r>
    </w:p>
    <w:p>
      <w:pPr>
        <w:pStyle w:val="Defstart"/>
      </w:pPr>
      <w:r>
        <w:tab/>
      </w:r>
      <w:r>
        <w:rPr>
          <w:rStyle w:val="CharDefText"/>
        </w:rPr>
        <w:t>special lot</w:t>
      </w:r>
      <w:r>
        <w:t> — see section 43(1);</w:t>
      </w:r>
    </w:p>
    <w:p>
      <w:pPr>
        <w:pStyle w:val="Defstart"/>
      </w:pPr>
      <w:r>
        <w:rPr>
          <w:b/>
        </w:rPr>
        <w:tab/>
      </w:r>
      <w:r>
        <w:rPr>
          <w:rStyle w:val="CharDefText"/>
        </w:rPr>
        <w:t>special resolution</w:t>
      </w:r>
      <w:r>
        <w:rPr>
          <w:i/>
        </w:rPr>
        <w:t xml:space="preserve"> </w:t>
      </w:r>
      <w:r>
        <w:t>of a strata company — see section 123;</w:t>
      </w:r>
    </w:p>
    <w:p>
      <w:pPr>
        <w:pStyle w:val="Defstart"/>
      </w:pPr>
      <w:r>
        <w:tab/>
      </w:r>
      <w:r>
        <w:rPr>
          <w:rStyle w:val="CharDefText"/>
        </w:rPr>
        <w:t>staged subdivision by</w:t>
      </w:r>
      <w:r>
        <w:rPr>
          <w:rStyle w:val="CharDefText"/>
        </w:rPr>
        <w:noBreakHyphen/>
        <w:t>laws</w:t>
      </w:r>
      <w:r>
        <w:t> — see section 42;</w:t>
      </w:r>
    </w:p>
    <w:p>
      <w:pPr>
        <w:pStyle w:val="Defstart"/>
      </w:pPr>
      <w:r>
        <w:rPr>
          <w:b/>
        </w:rPr>
        <w:tab/>
      </w:r>
      <w:r>
        <w:rPr>
          <w:rStyle w:val="CharDefText"/>
        </w:rPr>
        <w:t>statutory easement</w:t>
      </w:r>
      <w:r>
        <w:t xml:space="preserve"> means an easement under Part 5 Division 3;</w:t>
      </w:r>
    </w:p>
    <w:p>
      <w:pPr>
        <w:pStyle w:val="Defstart"/>
      </w:pPr>
      <w:r>
        <w:tab/>
      </w:r>
      <w:r>
        <w:rPr>
          <w:rStyle w:val="CharDefText"/>
        </w:rPr>
        <w:t>strata company</w:t>
      </w:r>
      <w:r>
        <w:t xml:space="preserve"> means a body corporate established under section 14 on registration of a strata titles scheme;</w:t>
      </w:r>
    </w:p>
    <w:p>
      <w:pPr>
        <w:pStyle w:val="Defstart"/>
      </w:pPr>
      <w:r>
        <w:tab/>
      </w:r>
      <w:r>
        <w:rPr>
          <w:rStyle w:val="CharDefText"/>
        </w:rPr>
        <w:t>strata lease</w:t>
      </w:r>
      <w:r>
        <w:t xml:space="preserve"> for a lot in a leasehold scheme means the lease registered, or proposed to be registered, for the lot as a scheme document;</w:t>
      </w:r>
    </w:p>
    <w:p>
      <w:pPr>
        <w:pStyle w:val="Defstart"/>
      </w:pPr>
      <w:r>
        <w:tab/>
      </w:r>
      <w:r>
        <w:rPr>
          <w:rStyle w:val="CharDefText"/>
        </w:rPr>
        <w:t>strata leasehold estate</w:t>
      </w:r>
      <w:r>
        <w:t xml:space="preserve"> means a leasehold estate held under a strata lease;</w:t>
      </w:r>
    </w:p>
    <w:p>
      <w:pPr>
        <w:pStyle w:val="Defstart"/>
      </w:pPr>
      <w:r>
        <w:tab/>
      </w:r>
      <w:r>
        <w:rPr>
          <w:rStyle w:val="CharDefText"/>
        </w:rPr>
        <w:t>strata management contract</w:t>
      </w:r>
      <w:r>
        <w:t> — see section 144(1)(a);</w:t>
      </w:r>
    </w:p>
    <w:p>
      <w:pPr>
        <w:pStyle w:val="Defstart"/>
      </w:pPr>
      <w:r>
        <w:tab/>
      </w:r>
      <w:r>
        <w:rPr>
          <w:rStyle w:val="CharDefText"/>
        </w:rPr>
        <w:t>strata manager</w:t>
      </w:r>
      <w:r>
        <w:t> — see section 143(1);</w:t>
      </w:r>
    </w:p>
    <w:p>
      <w:pPr>
        <w:pStyle w:val="Defstart"/>
      </w:pPr>
      <w:r>
        <w:tab/>
      </w:r>
      <w:r>
        <w:rPr>
          <w:rStyle w:val="CharDefText"/>
        </w:rPr>
        <w:t>strata plan</w:t>
      </w:r>
      <w:r>
        <w:t xml:space="preserve"> means a scheme plan for a strata scheme;</w:t>
      </w:r>
    </w:p>
    <w:p>
      <w:pPr>
        <w:pStyle w:val="Defstart"/>
      </w:pPr>
      <w:r>
        <w:tab/>
      </w:r>
      <w:r>
        <w:rPr>
          <w:rStyle w:val="CharDefText"/>
        </w:rPr>
        <w:t>strata scheme</w:t>
      </w:r>
      <w:r>
        <w:t> — see section 9;</w:t>
      </w:r>
    </w:p>
    <w:p>
      <w:pPr>
        <w:pStyle w:val="Defstart"/>
      </w:pPr>
      <w:r>
        <w:tab/>
      </w:r>
      <w:r>
        <w:rPr>
          <w:rStyle w:val="CharDefText"/>
        </w:rPr>
        <w:t>strata title</w:t>
      </w:r>
      <w:r>
        <w:t> — see section 13;</w:t>
      </w:r>
    </w:p>
    <w:p>
      <w:pPr>
        <w:pStyle w:val="Defstart"/>
      </w:pPr>
      <w:r>
        <w:tab/>
      </w:r>
      <w:r>
        <w:rPr>
          <w:rStyle w:val="CharDefText"/>
        </w:rPr>
        <w:t>strata titles scheme</w:t>
      </w:r>
      <w:r>
        <w:t xml:space="preserve"> means —</w:t>
      </w:r>
    </w:p>
    <w:p>
      <w:pPr>
        <w:pStyle w:val="Defpara"/>
      </w:pPr>
      <w:r>
        <w:tab/>
        <w:t>(a)</w:t>
      </w:r>
      <w:r>
        <w:tab/>
        <w:t>a strata scheme; or</w:t>
      </w:r>
    </w:p>
    <w:p>
      <w:pPr>
        <w:pStyle w:val="Defpara"/>
      </w:pPr>
      <w:r>
        <w:tab/>
        <w:t>(b)</w:t>
      </w:r>
      <w:r>
        <w:tab/>
        <w:t>a survey</w:t>
      </w:r>
      <w:r>
        <w:noBreakHyphen/>
        <w:t>strata scheme;</w:t>
      </w:r>
    </w:p>
    <w:p>
      <w:pPr>
        <w:pStyle w:val="PermNoteHeading"/>
      </w:pPr>
      <w:r>
        <w:tab/>
        <w:t>Note for this definition:</w:t>
      </w:r>
    </w:p>
    <w:p>
      <w:pPr>
        <w:pStyle w:val="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Defstart"/>
      </w:pPr>
      <w:r>
        <w:tab/>
      </w:r>
      <w:r>
        <w:rPr>
          <w:rStyle w:val="CharDefText"/>
        </w:rPr>
        <w:t>structural cubic space</w:t>
      </w:r>
      <w:r>
        <w:t xml:space="preserve"> means —</w:t>
      </w:r>
    </w:p>
    <w:p>
      <w:pPr>
        <w:pStyle w:val="Defpara"/>
      </w:pPr>
      <w:r>
        <w:tab/>
        <w:t>(a)</w:t>
      </w:r>
      <w:r>
        <w:tab/>
        <w:t>cubic space occupied by a vertical structural member, not being a wall, of a building; or</w:t>
      </w:r>
    </w:p>
    <w:p>
      <w:pPr>
        <w:pStyle w:val="Defpara"/>
      </w:pPr>
      <w:r>
        <w:tab/>
        <w:t>(b)</w:t>
      </w:r>
      <w:r>
        <w:tab/>
        <w:t>utility conduits in a building; or</w:t>
      </w:r>
    </w:p>
    <w:p>
      <w:pPr>
        <w:pStyle w:val="Defpara"/>
      </w:pPr>
      <w:r>
        <w:tab/>
        <w:t>(c)</w:t>
      </w:r>
      <w:r>
        <w:tab/>
        <w:t>cubic space enclosed by a structure enclosing utility conduits,</w:t>
      </w:r>
    </w:p>
    <w:p>
      <w:pPr>
        <w:pStyle w:val="Defstart"/>
      </w:pPr>
      <w:r>
        <w:tab/>
        <w:t>but does not include utility conduits that are for the exclusive use or enjoyment of 1 lot;</w:t>
      </w:r>
    </w:p>
    <w:p>
      <w:pPr>
        <w:pStyle w:val="PermNoteHeading"/>
      </w:pPr>
      <w:r>
        <w:tab/>
        <w:t>Note for this definition:</w:t>
      </w:r>
    </w:p>
    <w:p>
      <w:pPr>
        <w:pStyle w:val="PermNoteText"/>
      </w:pPr>
      <w:r>
        <w:tab/>
      </w:r>
      <w:r>
        <w:tab/>
        <w:t>Schedule 2A provides for a special rule about the definition of structural cubic space for single tier strata schemes.</w:t>
      </w:r>
    </w:p>
    <w:p>
      <w:pPr>
        <w:pStyle w:val="Defstart"/>
      </w:pPr>
      <w:r>
        <w:rPr>
          <w:b/>
        </w:rPr>
        <w:tab/>
      </w:r>
      <w:r>
        <w:rPr>
          <w:rStyle w:val="CharDefText"/>
        </w:rPr>
        <w:t>subdivision</w:t>
      </w:r>
      <w:r>
        <w:t xml:space="preserve"> of land by a strata titles scheme — see section 11;</w:t>
      </w:r>
    </w:p>
    <w:p>
      <w:pPr>
        <w:pStyle w:val="Defstart"/>
      </w:pPr>
      <w:r>
        <w:tab/>
      </w:r>
      <w:r>
        <w:rPr>
          <w:rStyle w:val="CharDefText"/>
        </w:rPr>
        <w:t>survey</w:t>
      </w:r>
      <w:r>
        <w:rPr>
          <w:rStyle w:val="CharDefText"/>
        </w:rPr>
        <w:noBreakHyphen/>
        <w:t>strata plan</w:t>
      </w:r>
      <w:r>
        <w:t xml:space="preserve"> means a scheme plan for a survey</w:t>
      </w:r>
      <w:r>
        <w:noBreakHyphen/>
        <w:t>strata scheme;</w:t>
      </w:r>
    </w:p>
    <w:p>
      <w:pPr>
        <w:pStyle w:val="Defstart"/>
      </w:pPr>
      <w:r>
        <w:tab/>
      </w:r>
      <w:r>
        <w:rPr>
          <w:rStyle w:val="CharDefText"/>
        </w:rPr>
        <w:t>survey</w:t>
      </w:r>
      <w:r>
        <w:rPr>
          <w:rStyle w:val="CharDefText"/>
        </w:rPr>
        <w:noBreakHyphen/>
        <w:t>strata scheme</w:t>
      </w:r>
      <w:r>
        <w:t> — see section 9;</w:t>
      </w:r>
    </w:p>
    <w:p>
      <w:pPr>
        <w:pStyle w:val="Defstart"/>
      </w:pPr>
      <w:r>
        <w:tab/>
      </w:r>
      <w:r>
        <w:rPr>
          <w:rStyle w:val="CharDefText"/>
        </w:rPr>
        <w:t>sustainability infrastructure</w:t>
      </w:r>
      <w:r>
        <w:t xml:space="preserve"> means infrastructure that is designed or is likely to avoid, remedy or mitigate adverse effects on the environment;</w:t>
      </w:r>
    </w:p>
    <w:p>
      <w:pPr>
        <w:pStyle w:val="PermNoteHeading"/>
      </w:pPr>
      <w:r>
        <w:tab/>
        <w:t>Examples for this definition:</w:t>
      </w:r>
    </w:p>
    <w:p>
      <w:pPr>
        <w:pStyle w:val="PermNoteText"/>
      </w:pPr>
      <w:r>
        <w:tab/>
      </w:r>
      <w:r>
        <w:tab/>
        <w:t>Sustainability infrastructure includes solar panels, clothes lines and rainwater tanks.</w:t>
      </w:r>
    </w:p>
    <w:p>
      <w:pPr>
        <w:pStyle w:val="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Defstart"/>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Defstart"/>
      </w:pPr>
      <w:r>
        <w:tab/>
      </w:r>
      <w:r>
        <w:rPr>
          <w:rStyle w:val="CharDefText"/>
        </w:rPr>
        <w:t>termination infrastructure report</w:t>
      </w:r>
      <w:r>
        <w:t> — see section 179(2);</w:t>
      </w:r>
    </w:p>
    <w:p>
      <w:pPr>
        <w:pStyle w:val="Defstart"/>
      </w:pPr>
      <w:r>
        <w:tab/>
      </w:r>
      <w:r>
        <w:rPr>
          <w:rStyle w:val="CharDefText"/>
        </w:rPr>
        <w:t>termination proposal</w:t>
      </w:r>
      <w:r>
        <w:t> — see section 174(1);</w:t>
      </w:r>
    </w:p>
    <w:p>
      <w:pPr>
        <w:pStyle w:val="Defstart"/>
      </w:pPr>
      <w:r>
        <w:tab/>
      </w:r>
      <w:r>
        <w:rPr>
          <w:rStyle w:val="CharDefText"/>
        </w:rPr>
        <w:t>termination resolution</w:t>
      </w:r>
      <w:r>
        <w:t> — see section 182;</w:t>
      </w:r>
    </w:p>
    <w:p>
      <w:pPr>
        <w:pStyle w:val="Defstart"/>
      </w:pPr>
      <w:r>
        <w:tab/>
      </w:r>
      <w:r>
        <w:rPr>
          <w:rStyle w:val="CharDefText"/>
        </w:rPr>
        <w:t>termination valuation report</w:t>
      </w:r>
      <w:r>
        <w:t> — see section 179(3);</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Defpara"/>
      </w:pPr>
      <w:r>
        <w:tab/>
        <w:t>(c)</w:t>
      </w:r>
      <w:r>
        <w:tab/>
        <w:t>anything relating to a proposal for the termination of the strata titles scheme is served on the seller by the strata company;</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Defpara"/>
      </w:pPr>
      <w:r>
        <w:tab/>
        <w:t>(a)</w:t>
      </w:r>
      <w:r>
        <w:tab/>
        <w:t>the scheme plan, or proposed scheme plan or amendment of the scheme plan, for the strata titles scheme is modified in a way that affects the lot or the common property;</w:t>
      </w:r>
    </w:p>
    <w:p>
      <w:pPr>
        <w:pStyle w:val="Defpara"/>
      </w:pPr>
      <w:r>
        <w:tab/>
        <w:t>(b)</w:t>
      </w:r>
      <w:r>
        <w:tab/>
        <w:t>the schedule of unit entitlements, or proposed schedule of unit entitlements or amendment of the schedule of unit entitlements, for the strata titles scheme is modified in a way that affects the lot;</w:t>
      </w:r>
    </w:p>
    <w:p>
      <w:pPr>
        <w:pStyle w:val="Defpara"/>
      </w:pPr>
      <w:r>
        <w:tab/>
        <w:t>(c)</w:t>
      </w:r>
      <w:r>
        <w:tab/>
        <w:t>the scheme by</w:t>
      </w:r>
      <w:r>
        <w:noBreakHyphen/>
        <w:t>laws, or proposed scheme by</w:t>
      </w:r>
      <w:r>
        <w:noBreakHyphen/>
        <w:t>laws, are modified;</w:t>
      </w:r>
    </w:p>
    <w:p>
      <w:pPr>
        <w:pStyle w:val="Defpara"/>
        <w:keepNext/>
      </w:pPr>
      <w:r>
        <w:tab/>
        <w:t>(d)</w:t>
      </w:r>
      <w:r>
        <w:tab/>
        <w:t>the strata company or a scheme developer —</w:t>
      </w:r>
    </w:p>
    <w:p>
      <w:pPr>
        <w:pStyle w:val="Defsubpara"/>
      </w:pPr>
      <w:r>
        <w:tab/>
        <w:t>(i)</w:t>
      </w:r>
      <w:r>
        <w:tab/>
        <w:t>enters into a contract for the provision of services or amenities to the strata company or to members of the strata company or a contract that is otherwise likely to affect the rights of the buyer; or</w:t>
      </w:r>
    </w:p>
    <w:p>
      <w:pPr>
        <w:pStyle w:val="Defsubpara"/>
      </w:pPr>
      <w:r>
        <w:tab/>
        <w:t>(ii)</w:t>
      </w:r>
      <w:r>
        <w:tab/>
        <w:t>varies an existing contract of that kind in a way that is likely to affect the rights of the buyer;</w:t>
      </w:r>
    </w:p>
    <w:p>
      <w:pPr>
        <w:pStyle w:val="Defpara"/>
      </w:pPr>
      <w:r>
        <w:tab/>
        <w:t>(e)</w:t>
      </w:r>
      <w:r>
        <w:tab/>
        <w:t>a lease, licence, right or privilege over the common property in the strata titles scheme is granted or varied;</w:t>
      </w:r>
    </w:p>
    <w:p>
      <w:pPr>
        <w:pStyle w:val="Defpara"/>
      </w:pPr>
      <w:r>
        <w:tab/>
        <w:t>(f)</w:t>
      </w:r>
      <w:r>
        <w:tab/>
        <w:t>any other event classified by the regulations as a type 2 notifiable variation;</w:t>
      </w:r>
    </w:p>
    <w:p>
      <w:pPr>
        <w:pStyle w:val="PermNoteHeading"/>
      </w:pPr>
      <w:r>
        <w:tab/>
        <w:t>Note for this definition:</w:t>
      </w:r>
    </w:p>
    <w:p>
      <w:pPr>
        <w:pStyle w:val="PermNoteText"/>
      </w:pPr>
      <w:r>
        <w:tab/>
      </w:r>
      <w:r>
        <w:tab/>
        <w:t>For when an amendment of a strata titles scheme affects a lot or common property see subsection (7).</w:t>
      </w:r>
    </w:p>
    <w:p>
      <w:pPr>
        <w:pStyle w:val="Defstart"/>
      </w:pPr>
      <w:r>
        <w:tab/>
      </w:r>
      <w:r>
        <w:rPr>
          <w:rStyle w:val="CharDefText"/>
        </w:rPr>
        <w:t>type 1 subdivision</w:t>
      </w:r>
      <w:r>
        <w:t xml:space="preserve"> means —</w:t>
      </w:r>
    </w:p>
    <w:p>
      <w:pPr>
        <w:pStyle w:val="Defpara"/>
      </w:pPr>
      <w:r>
        <w:tab/>
        <w:t>(a)</w:t>
      </w:r>
      <w:r>
        <w:tab/>
        <w:t>the addition of land from outside the parcel of a strata titles scheme to common property in the scheme (but not including temporary common property); or</w:t>
      </w:r>
    </w:p>
    <w:p>
      <w:pPr>
        <w:pStyle w:val="Defpara"/>
      </w:pPr>
      <w:r>
        <w:tab/>
        <w:t>(b)</w:t>
      </w:r>
      <w:r>
        <w:tab/>
        <w:t>the conversion of a lot in a strata titles scheme to common property in the scheme;</w:t>
      </w:r>
    </w:p>
    <w:p>
      <w:pPr>
        <w:pStyle w:val="Defstart"/>
      </w:pPr>
      <w:r>
        <w:tab/>
      </w:r>
      <w:r>
        <w:rPr>
          <w:rStyle w:val="CharDefText"/>
        </w:rPr>
        <w:t>type 2 subdivision</w:t>
      </w:r>
      <w:r>
        <w:t xml:space="preserve"> means the removal from the parcel of a strata titles scheme of land comprised of common property;</w:t>
      </w:r>
    </w:p>
    <w:p>
      <w:pPr>
        <w:pStyle w:val="Defstart"/>
      </w:pPr>
      <w:r>
        <w:tab/>
      </w:r>
      <w:r>
        <w:rPr>
          <w:rStyle w:val="CharDefText"/>
        </w:rPr>
        <w:t>type 3 subdivision</w:t>
      </w:r>
      <w:r>
        <w:t xml:space="preserve"> means a consolidation of 2 or more lots in a strata titles scheme into 1 lot in the scheme (not affecting common property in the scheme);</w:t>
      </w:r>
    </w:p>
    <w:p>
      <w:pPr>
        <w:pStyle w:val="Defstart"/>
      </w:pPr>
      <w:r>
        <w:tab/>
      </w:r>
      <w:r>
        <w:rPr>
          <w:rStyle w:val="CharDefText"/>
        </w:rPr>
        <w:t>type 4 subdivision</w:t>
      </w:r>
      <w:r>
        <w:t xml:space="preserve"> means a subdivision that does not involve the alteration of the boundaries of the parcel and is not a type 1, type 2 or type 3 subdivision;</w:t>
      </w:r>
    </w:p>
    <w:p>
      <w:pPr>
        <w:pStyle w:val="PermNoteHeading"/>
      </w:pPr>
      <w:r>
        <w:tab/>
        <w:t>Note for the definitions of types of subdivision:</w:t>
      </w:r>
    </w:p>
    <w:p>
      <w:pPr>
        <w:pStyle w:val="PermNoteText"/>
      </w:pPr>
      <w:r>
        <w:tab/>
        <w:t>1.</w:t>
      </w:r>
      <w:r>
        <w:tab/>
        <w:t>There are 4 types of amendment of a strata titles scheme that give effect to a subdivision, with varying requirements for resolutions and consents:</w:t>
      </w:r>
    </w:p>
    <w:p>
      <w:pPr>
        <w:pStyle w:val="PermNotePara"/>
        <w:numPr>
          <w:ilvl w:val="0"/>
          <w:numId w:val="2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Para"/>
        <w:numPr>
          <w:ilvl w:val="0"/>
          <w:numId w:val="22"/>
        </w:numPr>
        <w:ind w:left="1701" w:hanging="283"/>
      </w:pPr>
      <w:r>
        <w:t>A type 2 subdivision covers the removal of common property from the parcel of a strata titles scheme.</w:t>
      </w:r>
    </w:p>
    <w:p>
      <w:pPr>
        <w:pStyle w:val="PermNotePara"/>
        <w:numPr>
          <w:ilvl w:val="0"/>
          <w:numId w:val="22"/>
        </w:numPr>
        <w:ind w:left="1701" w:hanging="283"/>
      </w:pPr>
      <w:r>
        <w:t>A type 3 subdivision covers what was formerly referred to as consolidation of lots.</w:t>
      </w:r>
    </w:p>
    <w:p>
      <w:pPr>
        <w:pStyle w:val="PermNotePara"/>
        <w:numPr>
          <w:ilvl w:val="0"/>
          <w:numId w:val="2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Para"/>
        <w:numPr>
          <w:ilvl w:val="0"/>
          <w:numId w:val="22"/>
        </w:numPr>
        <w:ind w:left="1701" w:hanging="283"/>
      </w:pPr>
      <w:r>
        <w:t>1 or more lots so as to create only 2 or more different lots; or</w:t>
      </w:r>
    </w:p>
    <w:p>
      <w:pPr>
        <w:pStyle w:val="PermNotePara"/>
        <w:numPr>
          <w:ilvl w:val="0"/>
          <w:numId w:val="22"/>
        </w:numPr>
        <w:ind w:left="1701" w:hanging="283"/>
      </w:pPr>
      <w:r>
        <w:t>1 or more lots so as to create 1 or more different lots and common property; or</w:t>
      </w:r>
    </w:p>
    <w:p>
      <w:pPr>
        <w:pStyle w:val="PermNotePara"/>
        <w:numPr>
          <w:ilvl w:val="0"/>
          <w:numId w:val="22"/>
        </w:numPr>
        <w:ind w:left="1701" w:hanging="283"/>
      </w:pPr>
      <w:r>
        <w:t>1 or more lots and common property so as to create 1 or more different lots or 1 or more different lots and common property; or</w:t>
      </w:r>
    </w:p>
    <w:p>
      <w:pPr>
        <w:pStyle w:val="PermNotePara"/>
        <w:numPr>
          <w:ilvl w:val="0"/>
          <w:numId w:val="22"/>
        </w:numPr>
        <w:ind w:left="1701" w:hanging="283"/>
      </w:pPr>
      <w:r>
        <w:t>common property so as to create 1 or more lots or 1 or more lots and common property.</w:t>
      </w:r>
    </w:p>
    <w:p>
      <w:pPr>
        <w:pStyle w:val="Defstart"/>
      </w:pPr>
      <w:r>
        <w:tab/>
      </w:r>
      <w:r>
        <w:rPr>
          <w:rStyle w:val="CharDefText"/>
        </w:rPr>
        <w:t>unanimous resolution</w:t>
      </w:r>
      <w:r>
        <w:t xml:space="preserve"> of a strata company — see section 123;</w:t>
      </w:r>
    </w:p>
    <w:p>
      <w:pPr>
        <w:pStyle w:val="Defstart"/>
      </w:pPr>
      <w:r>
        <w:rPr>
          <w:b/>
        </w:rPr>
        <w:tab/>
      </w:r>
      <w:r>
        <w:rPr>
          <w:rStyle w:val="CharDefText"/>
        </w:rPr>
        <w:t>unit entitlement</w:t>
      </w:r>
      <w:r>
        <w:t xml:space="preserve"> of a lot — see section 37(1)(a);</w:t>
      </w:r>
    </w:p>
    <w:p>
      <w:pPr>
        <w:pStyle w:val="Defstart"/>
      </w:pPr>
      <w: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pPr>
      <w:r>
        <w:rPr>
          <w:b/>
        </w:rPr>
        <w:tab/>
      </w:r>
      <w:r>
        <w:rPr>
          <w:rStyle w:val="CharDefText"/>
        </w:rPr>
        <w:t>utility service easement</w:t>
      </w:r>
      <w:r>
        <w:t xml:space="preserve"> means an easement under section 63;</w:t>
      </w:r>
    </w:p>
    <w:p>
      <w:pPr>
        <w:pStyle w:val="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Defstart"/>
      </w:pPr>
      <w:r>
        <w:tab/>
      </w:r>
      <w:r>
        <w:rPr>
          <w:rStyle w:val="CharDefText"/>
        </w:rPr>
        <w:t>volunteer strata manager</w:t>
      </w:r>
      <w:r>
        <w:t xml:space="preserve"> means a strata manager of a strata company who —</w:t>
      </w:r>
    </w:p>
    <w:p>
      <w:pPr>
        <w:pStyle w:val="Defpara"/>
      </w:pPr>
      <w:r>
        <w:tab/>
        <w:t>(a)</w:t>
      </w:r>
      <w:r>
        <w:tab/>
        <w:t>is the owner of a lot in the strata titles scheme; and</w:t>
      </w:r>
    </w:p>
    <w:p>
      <w:pPr>
        <w:pStyle w:val="Defpara"/>
      </w:pPr>
      <w:r>
        <w:tab/>
        <w:t>(b)</w:t>
      </w:r>
      <w:r>
        <w:tab/>
        <w:t>does not receive any fee, reward or benefit for work performed as a strata manager other than an honorary fee or reward not exceeding, if an amount is fixed by the regulations, that amount; and</w:t>
      </w:r>
    </w:p>
    <w:p>
      <w:pPr>
        <w:pStyle w:val="Defpara"/>
      </w:pPr>
      <w:r>
        <w:tab/>
        <w:t>(c)</w:t>
      </w:r>
      <w:r>
        <w:tab/>
        <w:t>personally performs the work of the strata manager;</w:t>
      </w:r>
    </w:p>
    <w:p>
      <w:pPr>
        <w:pStyle w:val="Defstart"/>
      </w:pPr>
      <w:r>
        <w:rPr>
          <w:b/>
        </w:rPr>
        <w:tab/>
      </w:r>
      <w:r>
        <w:rPr>
          <w:rStyle w:val="CharDefText"/>
        </w:rPr>
        <w:t>wall</w:t>
      </w:r>
      <w:r>
        <w:t xml:space="preserve"> includes a door, window or other structure dividing a lot in a strata titles scheme from common property or from another lot in the scheme;</w:t>
      </w:r>
    </w:p>
    <w:p>
      <w:pPr>
        <w:pStyle w:val="Defstart"/>
      </w:pPr>
      <w:r>
        <w:rPr>
          <w:b/>
        </w:rPr>
        <w:tab/>
      </w:r>
      <w:r>
        <w:rPr>
          <w:rStyle w:val="CharDefText"/>
        </w:rPr>
        <w:t>working day</w:t>
      </w:r>
      <w:r>
        <w:t xml:space="preserve"> means a day other than a Saturday, a Sunday or a public holiday throughout the State.</w:t>
      </w:r>
    </w:p>
    <w:p>
      <w:pPr>
        <w:pStyle w:val="Subsection"/>
        <w:keepNext/>
        <w:rPr>
          <w:snapToGrid w:val="0"/>
        </w:rPr>
      </w:pPr>
      <w:r>
        <w:rPr>
          <w:snapToGrid w:val="0"/>
        </w:rPr>
        <w:tab/>
        <w:t>(2)</w:t>
      </w:r>
      <w:r>
        <w:rPr>
          <w:snapToGrid w:val="0"/>
        </w:rPr>
        <w:tab/>
      </w:r>
      <w:r>
        <w:t>The boundaries</w:t>
      </w:r>
      <w:r>
        <w:rPr>
          <w:snapToGrid w:val="0"/>
        </w:rPr>
        <w:t xml:space="preserve"> of a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 xml:space="preserve">are in the case of a vertical boundary, </w:t>
      </w:r>
      <w:r>
        <w:t>if the base of a</w:t>
      </w:r>
      <w:r>
        <w:rPr>
          <w:snapToGrid w:val="0"/>
        </w:rPr>
        <w:t xml:space="preserve"> wall corresponds substantially with </w:t>
      </w:r>
      <w:r>
        <w:t>a</w:t>
      </w:r>
      <w:r>
        <w:rPr>
          <w:snapToGrid w:val="0"/>
        </w:rPr>
        <w:t xml:space="preserve"> line referred to in paragraph (a) of that definition — the inner surface of that wall; and</w:t>
      </w:r>
    </w:p>
    <w:p>
      <w:pPr>
        <w:pStyle w:val="Indenti"/>
        <w:rPr>
          <w:snapToGrid w:val="0"/>
        </w:rPr>
      </w:pPr>
      <w:r>
        <w:rPr>
          <w:snapToGrid w:val="0"/>
        </w:rPr>
        <w:tab/>
        <w:t>(ii)</w:t>
      </w:r>
      <w:r>
        <w:rPr>
          <w:snapToGrid w:val="0"/>
        </w:rPr>
        <w:tab/>
        <w:t xml:space="preserve">are, in the case of a horizontal boundary, </w:t>
      </w:r>
      <w:r>
        <w:t>if a</w:t>
      </w:r>
      <w:r>
        <w:rPr>
          <w:snapToGrid w:val="0"/>
        </w:rPr>
        <w:t xml:space="preserve">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are such boundaries as are described on a sheet of the floor plan relating to that cubic space (those boundaries being described in the </w:t>
      </w:r>
      <w:r>
        <w:t>manner required by the regulations</w:t>
      </w:r>
      <w:r>
        <w:rPr>
          <w:snapToGrid w:val="0"/>
        </w:rPr>
        <w:t xml:space="preserve"> by reference to a wall, floor or ceiling in a building to which that plan relates or to structural cubic space within that building).</w:t>
      </w:r>
    </w:p>
    <w:p>
      <w:pPr>
        <w:pStyle w:val="PermNoteHeading"/>
      </w:pPr>
      <w:r>
        <w:tab/>
        <w:t>Note for this subsection:</w:t>
      </w:r>
    </w:p>
    <w:p>
      <w:pPr>
        <w:pStyle w:val="PermNoteText"/>
      </w:pPr>
      <w:r>
        <w:tab/>
      </w:r>
      <w:r>
        <w:tab/>
        <w:t>Schedule 2A provides for a special rule about lot boundaries for single tier strata schemes.</w:t>
      </w:r>
    </w:p>
    <w:p>
      <w:pPr>
        <w:pStyle w:val="Subsection"/>
        <w:keepNext/>
        <w:rPr>
          <w:snapToGrid w:val="0"/>
        </w:rPr>
      </w:pPr>
      <w:r>
        <w:tab/>
        <w:t>(2A)</w:t>
      </w:r>
      <w:r>
        <w:tab/>
        <w:t>Despite subsection (2), if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 xml:space="preserve">other </w:t>
      </w:r>
      <w:r>
        <w:t>circumstances specified in the regulations</w:t>
      </w:r>
      <w:r>
        <w:rPr>
          <w:snapToGrid w:val="0"/>
        </w:rPr>
        <w:t xml:space="preserve"> apply,</w:t>
      </w:r>
    </w:p>
    <w:p>
      <w:pPr>
        <w:pStyle w:val="Subsection"/>
        <w:spacing w:before="120"/>
        <w:rPr>
          <w:snapToGrid w:val="0"/>
        </w:rPr>
      </w:pPr>
      <w:r>
        <w:rPr>
          <w:snapToGrid w:val="0"/>
        </w:rPr>
        <w:tab/>
      </w:r>
      <w:r>
        <w:rPr>
          <w:snapToGrid w:val="0"/>
        </w:rPr>
        <w:tab/>
        <w:t xml:space="preserve">the floor plan may include dimensions or survey information defining that boundary, in the </w:t>
      </w:r>
      <w:r>
        <w:t>manner required by the regulations,</w:t>
      </w:r>
      <w:r>
        <w:rPr>
          <w:snapToGrid w:val="0"/>
        </w:rPr>
        <w:t xml:space="preserve">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Ednotesubsection"/>
      </w:pPr>
      <w:r>
        <w:tab/>
        <w:t>[(5)</w:t>
      </w:r>
      <w:r>
        <w:tab/>
        <w:t>deleted]</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Subsection"/>
        <w:keepNext/>
      </w:pPr>
      <w:r>
        <w:tab/>
        <w:t>(7)</w:t>
      </w:r>
      <w:r>
        <w:tab/>
        <w:t>An amendment of a strata titles scheme affects the common property or a lot in the scheme as follows —</w:t>
      </w:r>
    </w:p>
    <w:p>
      <w:pPr>
        <w:pStyle w:val="Indenta"/>
      </w:pPr>
      <w:r>
        <w:tab/>
        <w:t>(a)</w:t>
      </w:r>
      <w:r>
        <w:tab/>
        <w:t>an amendment affects the common property to the extent that it involves an amendment of the scheme plan that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pPr>
      <w:r>
        <w:tab/>
        <w:t>(b)</w:t>
      </w:r>
      <w:r>
        <w:tab/>
        <w:t>an amendment affects a lot to the extent that it involves an amendment of the scheme plan that —</w:t>
      </w:r>
    </w:p>
    <w:p>
      <w:pPr>
        <w:pStyle w:val="Indenti"/>
      </w:pPr>
      <w:r>
        <w:tab/>
        <w:t>(i)</w:t>
      </w:r>
      <w:r>
        <w:tab/>
        <w:t>modifies the definition of boundaries of the lot; or</w:t>
      </w:r>
    </w:p>
    <w:p>
      <w:pPr>
        <w:pStyle w:val="Indenti"/>
      </w:pPr>
      <w:r>
        <w:tab/>
        <w:t>(ii)</w:t>
      </w:r>
      <w:r>
        <w:tab/>
        <w:t>creates or discharges an easement or restrictive covenant that benefits or burdens the lot;</w:t>
      </w:r>
    </w:p>
    <w:p>
      <w:pPr>
        <w:pStyle w:val="Indenta"/>
      </w:pPr>
      <w:r>
        <w:tab/>
        <w:t>(c)</w:t>
      </w:r>
      <w:r>
        <w:tab/>
        <w:t>an amendment affects a lot to the extent that it involves an amendment of the schedule of unit entitlements for the scheme that modifies the unit entitlement of the lot.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 No. 30 of 2018 s. 7.]</w:t>
      </w:r>
    </w:p>
    <w:p>
      <w:pPr>
        <w:pStyle w:val="Ednotesection"/>
      </w:pPr>
      <w:r>
        <w:t>[Former sections 3A and 3AB redesignated as clauses 3A and 3AB and relocated to Schedule 2A Part 2: No. 30 of 2018 s. 117.]</w:t>
      </w:r>
    </w:p>
    <w:p>
      <w:pPr>
        <w:pStyle w:val="Ednotesection"/>
      </w:pPr>
      <w:r>
        <w:t>[</w:t>
      </w:r>
      <w:r>
        <w:rPr>
          <w:b/>
        </w:rPr>
        <w:t>3AC-3D.</w:t>
      </w:r>
      <w:r>
        <w:tab/>
        <w:t>Deleted: No. 30 of 2018 s. 82(b).]</w:t>
      </w:r>
    </w:p>
    <w:p>
      <w:pPr>
        <w:pStyle w:val="Heading5"/>
      </w:pPr>
      <w:bookmarkStart w:id="13" w:name="_Toc106986595"/>
      <w:bookmarkStart w:id="14" w:name="_Toc100564893"/>
      <w:r>
        <w:rPr>
          <w:rStyle w:val="CharSectno"/>
        </w:rPr>
        <w:t>4</w:t>
      </w:r>
      <w:r>
        <w:t>.</w:t>
      </w:r>
      <w:r>
        <w:tab/>
        <w:t>Notes and examples not part of Act</w:t>
      </w:r>
      <w:bookmarkEnd w:id="13"/>
      <w:bookmarkEnd w:id="14"/>
    </w:p>
    <w:p>
      <w:pPr>
        <w:pStyle w:val="Subsection"/>
        <w:keepNext/>
      </w:pPr>
      <w:r>
        <w:tab/>
      </w:r>
      <w:r>
        <w:tab/>
        <w:t>A note or example set out at the foot of a provision of this Act is provided to assist understanding and does not form part of this Act.</w:t>
      </w:r>
    </w:p>
    <w:p>
      <w:pPr>
        <w:pStyle w:val="Footnotesection"/>
      </w:pPr>
      <w:r>
        <w:tab/>
        <w:t>[Section 4 inserted: No. 30 of 2018 s. 83.]</w:t>
      </w:r>
    </w:p>
    <w:p>
      <w:pPr>
        <w:pStyle w:val="Heading5"/>
      </w:pPr>
      <w:bookmarkStart w:id="15" w:name="_Toc106986596"/>
      <w:bookmarkStart w:id="16" w:name="_Toc100564894"/>
      <w:r>
        <w:rPr>
          <w:rStyle w:val="CharSectno"/>
        </w:rPr>
        <w:t>5</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Footnotesection"/>
      </w:pPr>
      <w:r>
        <w:tab/>
        <w:t>[Section 5 inserted: No. 30 of 2018 s. 83.]</w:t>
      </w:r>
    </w:p>
    <w:p>
      <w:pPr>
        <w:pStyle w:val="Ednotesection"/>
      </w:pPr>
      <w:r>
        <w:t>[</w:t>
      </w:r>
      <w:r>
        <w:rPr>
          <w:b/>
        </w:rPr>
        <w:t>5A-5H.</w:t>
      </w:r>
      <w:r>
        <w:tab/>
        <w:t>Deleted: No. 30 of 2018 s. 82(b).]</w:t>
      </w:r>
    </w:p>
    <w:p>
      <w:pPr>
        <w:pStyle w:val="Heading2"/>
      </w:pPr>
      <w:bookmarkStart w:id="17" w:name="_Toc106986161"/>
      <w:bookmarkStart w:id="18" w:name="_Toc106986597"/>
      <w:bookmarkStart w:id="19" w:name="_Toc100308175"/>
      <w:bookmarkStart w:id="20" w:name="_Toc100308611"/>
      <w:bookmarkStart w:id="21" w:name="_Toc100564895"/>
      <w:r>
        <w:rPr>
          <w:rStyle w:val="CharPartNo"/>
        </w:rPr>
        <w:t>Part 2</w:t>
      </w:r>
      <w:r>
        <w:t xml:space="preserve"> — </w:t>
      </w:r>
      <w:r>
        <w:rPr>
          <w:rStyle w:val="CharPartText"/>
        </w:rPr>
        <w:t>Strata titles schemes</w:t>
      </w:r>
      <w:bookmarkEnd w:id="17"/>
      <w:bookmarkEnd w:id="18"/>
      <w:bookmarkEnd w:id="19"/>
      <w:bookmarkEnd w:id="20"/>
      <w:bookmarkEnd w:id="21"/>
    </w:p>
    <w:p>
      <w:pPr>
        <w:pStyle w:val="Footnoteheading"/>
      </w:pPr>
      <w:r>
        <w:tab/>
        <w:t>[Heading inserted: No. 30 of 2018 s. 83.]</w:t>
      </w:r>
    </w:p>
    <w:p>
      <w:pPr>
        <w:pStyle w:val="Heading5"/>
      </w:pPr>
      <w:bookmarkStart w:id="22" w:name="_Toc106986598"/>
      <w:bookmarkStart w:id="23" w:name="_Toc100564896"/>
      <w:r>
        <w:rPr>
          <w:rStyle w:val="CharSectno"/>
        </w:rPr>
        <w:t>6</w:t>
      </w:r>
      <w:r>
        <w:t>.</w:t>
      </w:r>
      <w:r>
        <w:tab/>
        <w:t>Legislative framework</w:t>
      </w:r>
      <w:bookmarkEnd w:id="22"/>
      <w:bookmarkEnd w:id="23"/>
    </w:p>
    <w:p>
      <w:pPr>
        <w:pStyle w:val="Subsection"/>
      </w:pPr>
      <w:r>
        <w:tab/>
        <w:t>(1)</w:t>
      </w:r>
      <w:r>
        <w:tab/>
        <w:t>This Act provides for a form of subdivision of land referred to as subdivision by a strata titles scheme, and sets out requirements for that form of subdivision.</w:t>
      </w:r>
    </w:p>
    <w:p>
      <w:pPr>
        <w:pStyle w:val="Subsection"/>
      </w:pPr>
      <w:r>
        <w:tab/>
        <w:t>(2)</w:t>
      </w:r>
      <w:r>
        <w:tab/>
        <w:t xml:space="preserve">Relevant planning approvals must be obtained for the subdivision of land by a strata titles scheme under this Act or the </w:t>
      </w:r>
      <w:r>
        <w:rPr>
          <w:i/>
        </w:rPr>
        <w:t>Planning and Development Act 2005</w:t>
      </w:r>
      <w:r>
        <w:t>.</w:t>
      </w:r>
    </w:p>
    <w:p>
      <w:pPr>
        <w:pStyle w:val="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Subsection"/>
      </w:pPr>
      <w:r>
        <w:tab/>
        <w:t>(5)</w:t>
      </w:r>
      <w:r>
        <w:tab/>
        <w:t>This Act also contains provisions about the governance and operation of strata titles schemes and about strata managers.</w:t>
      </w:r>
    </w:p>
    <w:p>
      <w:pPr>
        <w:pStyle w:val="Footnotesection"/>
      </w:pPr>
      <w:r>
        <w:tab/>
        <w:t>[Section 6 inserted: No. 30 of 2018 s. 83.]</w:t>
      </w:r>
    </w:p>
    <w:p>
      <w:pPr>
        <w:pStyle w:val="Ednotesection"/>
      </w:pPr>
      <w:r>
        <w:t>[</w:t>
      </w:r>
      <w:r>
        <w:rPr>
          <w:b/>
        </w:rPr>
        <w:t>6A.</w:t>
      </w:r>
      <w:r>
        <w:tab/>
        <w:t>Deleted: No. 30 of 2018 s. 82(b).]</w:t>
      </w:r>
    </w:p>
    <w:p>
      <w:pPr>
        <w:pStyle w:val="Heading5"/>
      </w:pPr>
      <w:bookmarkStart w:id="24" w:name="_Toc106986599"/>
      <w:bookmarkStart w:id="25" w:name="_Toc100564897"/>
      <w:r>
        <w:rPr>
          <w:rStyle w:val="CharSectno"/>
        </w:rPr>
        <w:t>7</w:t>
      </w:r>
      <w:r>
        <w:t>.</w:t>
      </w:r>
      <w:r>
        <w:tab/>
        <w:t>Strata titles schemes</w:t>
      </w:r>
      <w:bookmarkEnd w:id="24"/>
      <w:bookmarkEnd w:id="25"/>
    </w:p>
    <w:p>
      <w:pPr>
        <w:pStyle w:val="Subsection"/>
      </w:pPr>
      <w:r>
        <w:tab/>
      </w:r>
      <w:r>
        <w:tab/>
        <w:t>A strata titles scheme is a scheme for the creation of strata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strata company that comes into existence under this Act on registration of the strata titles scheme; and</w:t>
      </w:r>
    </w:p>
    <w:p>
      <w:pPr>
        <w:pStyle w:val="Indenta"/>
      </w:pPr>
      <w:r>
        <w:tab/>
        <w:t>(d)</w:t>
      </w:r>
      <w:r>
        <w:tab/>
        <w:t>limit how the common property may be dealt with.</w:t>
      </w:r>
    </w:p>
    <w:p>
      <w:pPr>
        <w:pStyle w:val="Footnotesection"/>
      </w:pPr>
      <w:r>
        <w:tab/>
        <w:t>[Section 7 inserted: No. 30 of 2018 s. 83.]</w:t>
      </w:r>
    </w:p>
    <w:p>
      <w:pPr>
        <w:pStyle w:val="Footnotesection"/>
      </w:pPr>
      <w:r>
        <w:t>[Former section 7 renumbered as section 87 and relocated to Part 7 Division 2: No. 30 of 2018 s. 84.]</w:t>
      </w:r>
    </w:p>
    <w:p>
      <w:pPr>
        <w:pStyle w:val="Ednotesection"/>
      </w:pPr>
      <w:r>
        <w:t>[</w:t>
      </w:r>
      <w:r>
        <w:rPr>
          <w:b/>
        </w:rPr>
        <w:t>7A.</w:t>
      </w:r>
      <w:r>
        <w:tab/>
        <w:t>Deleted: No. 30 of 2018 s. 82(b).]</w:t>
      </w:r>
    </w:p>
    <w:p>
      <w:pPr>
        <w:pStyle w:val="Ednotesection"/>
      </w:pPr>
      <w:r>
        <w:t>[Former section 7B renumbered as section 89 and relocated to Part 7 Division 2: No. 30 of 2018 s. 84.]</w:t>
      </w:r>
    </w:p>
    <w:p>
      <w:pPr>
        <w:pStyle w:val="Heading5"/>
      </w:pPr>
      <w:bookmarkStart w:id="26" w:name="_Toc106986600"/>
      <w:bookmarkStart w:id="27" w:name="_Toc100564898"/>
      <w:r>
        <w:rPr>
          <w:rStyle w:val="CharSectno"/>
        </w:rPr>
        <w:t>8</w:t>
      </w:r>
      <w:r>
        <w:t>.</w:t>
      </w:r>
      <w:r>
        <w:tab/>
        <w:t>Freehold schemes and leasehold schemes</w:t>
      </w:r>
      <w:bookmarkEnd w:id="26"/>
      <w:bookmarkEnd w:id="27"/>
    </w:p>
    <w:p>
      <w:pPr>
        <w:pStyle w:val="Subsection"/>
      </w:pPr>
      <w:r>
        <w:tab/>
        <w:t>(1)</w:t>
      </w:r>
      <w:r>
        <w:tab/>
        <w:t>A strata titles scheme may be —</w:t>
      </w:r>
    </w:p>
    <w:p>
      <w:pPr>
        <w:pStyle w:val="Indenta"/>
      </w:pPr>
      <w:r>
        <w:tab/>
        <w:t>(a)</w:t>
      </w:r>
      <w:r>
        <w:tab/>
        <w:t>a freehold scheme; or</w:t>
      </w:r>
    </w:p>
    <w:p>
      <w:pPr>
        <w:pStyle w:val="Indenta"/>
      </w:pPr>
      <w:r>
        <w:tab/>
        <w:t>(b)</w:t>
      </w:r>
      <w:r>
        <w:tab/>
        <w:t>a leasehold scheme.</w:t>
      </w:r>
    </w:p>
    <w:p>
      <w:pPr>
        <w:pStyle w:val="PermNoteHeading"/>
      </w:pPr>
      <w:r>
        <w:tab/>
        <w:t>Note for this section:</w:t>
      </w:r>
    </w:p>
    <w:p>
      <w:pPr>
        <w:pStyle w:val="PermNoteText"/>
      </w:pPr>
      <w:r>
        <w:tab/>
      </w:r>
      <w:r>
        <w:tab/>
        <w:t xml:space="preserve">All schemes created under this Act before the commencement of the </w:t>
      </w:r>
      <w:r>
        <w:rPr>
          <w:i/>
        </w:rPr>
        <w:t>Strata Titles Amendment Act 2018</w:t>
      </w:r>
      <w:r>
        <w:t xml:space="preserve"> are freehold schemes.</w:t>
      </w:r>
    </w:p>
    <w:p>
      <w:pPr>
        <w:pStyle w:val="Subsection"/>
      </w:pPr>
      <w:r>
        <w:tab/>
        <w:t>(2)</w:t>
      </w:r>
      <w:r>
        <w:tab/>
        <w:t xml:space="preserve">In a </w:t>
      </w:r>
      <w:r>
        <w:rPr>
          <w:rStyle w:val="CharDefText"/>
        </w:rPr>
        <w:t>freehold scheme</w:t>
      </w:r>
      <w:r>
        <w:t> —</w:t>
      </w:r>
    </w:p>
    <w:p>
      <w:pPr>
        <w:pStyle w:val="Indenta"/>
      </w:pPr>
      <w:r>
        <w:tab/>
        <w:t>(a)</w:t>
      </w:r>
      <w:r>
        <w:tab/>
        <w:t>there is no separate title for the parcel subdivided by the scheme; and</w:t>
      </w:r>
    </w:p>
    <w:p>
      <w:pPr>
        <w:pStyle w:val="Indenta"/>
      </w:pPr>
      <w:r>
        <w:tab/>
        <w:t>(b)</w:t>
      </w:r>
      <w:r>
        <w:tab/>
        <w:t>each lot is a freehold lot; and</w:t>
      </w:r>
    </w:p>
    <w:p>
      <w:pPr>
        <w:pStyle w:val="Indenta"/>
      </w:pPr>
      <w:r>
        <w:tab/>
        <w:t>(c)</w:t>
      </w:r>
      <w:r>
        <w:tab/>
        <w:t xml:space="preserve">the parcel cannot be dealt with (including by registration of a mortgage) or disposed of under the </w:t>
      </w:r>
      <w:r>
        <w:rPr>
          <w:i/>
        </w:rPr>
        <w:t>Transfer of Land Act 1893</w:t>
      </w:r>
      <w:r>
        <w:t>.</w:t>
      </w:r>
    </w:p>
    <w:p>
      <w:pPr>
        <w:pStyle w:val="Subsection"/>
      </w:pPr>
      <w:r>
        <w:tab/>
        <w:t>(3)</w:t>
      </w:r>
      <w:r>
        <w:tab/>
        <w:t xml:space="preserve">In a </w:t>
      </w:r>
      <w:r>
        <w:rPr>
          <w:rStyle w:val="CharDefText"/>
        </w:rPr>
        <w:t>leasehold scheme</w:t>
      </w:r>
      <w:r>
        <w:t> —</w:t>
      </w:r>
    </w:p>
    <w:p>
      <w:pPr>
        <w:pStyle w:val="Indenta"/>
      </w:pPr>
      <w:r>
        <w:tab/>
        <w:t>(a)</w:t>
      </w:r>
      <w:r>
        <w:tab/>
        <w:t>there is a separate title for the parcel subdivided by the scheme; and</w:t>
      </w:r>
    </w:p>
    <w:p>
      <w:pPr>
        <w:pStyle w:val="Indenta"/>
      </w:pPr>
      <w:r>
        <w:tab/>
        <w:t>(b)</w:t>
      </w:r>
      <w:r>
        <w:tab/>
        <w:t>each lot in the scheme is a leasehold lot subject to a strata lease; and</w:t>
      </w:r>
    </w:p>
    <w:p>
      <w:pPr>
        <w:pStyle w:val="Indenta"/>
      </w:pPr>
      <w:r>
        <w:tab/>
        <w:t>(c)</w:t>
      </w:r>
      <w:r>
        <w:tab/>
        <w:t>the scheme expires on a specified day (the expiry day for the scheme); and</w:t>
      </w:r>
    </w:p>
    <w:p>
      <w:pPr>
        <w:pStyle w:val="Indenta"/>
      </w:pPr>
      <w:r>
        <w:tab/>
        <w:t>(d)</w:t>
      </w:r>
      <w:r>
        <w:tab/>
        <w:t>the expiry day must be a day that is —</w:t>
      </w:r>
    </w:p>
    <w:p>
      <w:pPr>
        <w:pStyle w:val="Indenti"/>
      </w:pPr>
      <w:r>
        <w:tab/>
        <w:t>(i)</w:t>
      </w:r>
      <w:r>
        <w:tab/>
        <w:t>at least 20 years (or, if some other period is specified in the regulations, that period) after registration of the scheme; and</w:t>
      </w:r>
    </w:p>
    <w:p>
      <w:pPr>
        <w:pStyle w:val="Indenti"/>
      </w:pPr>
      <w:r>
        <w:tab/>
        <w:t>(ii)</w:t>
      </w:r>
      <w:r>
        <w:tab/>
        <w:t xml:space="preserve">not more than 99 years after registration of the scheme; </w:t>
      </w:r>
    </w:p>
    <w:p>
      <w:pPr>
        <w:pStyle w:val="Indenta"/>
      </w:pPr>
      <w:r>
        <w:tab/>
      </w:r>
      <w:r>
        <w:tab/>
        <w:t>and</w:t>
      </w:r>
    </w:p>
    <w:p>
      <w:pPr>
        <w:pStyle w:val="Indenta"/>
      </w:pPr>
      <w:r>
        <w:tab/>
        <w:t>(e)</w:t>
      </w:r>
      <w:r>
        <w:tab/>
        <w:t>the expiry day will be specified in the scheme notice; and</w:t>
      </w:r>
    </w:p>
    <w:p>
      <w:pPr>
        <w:pStyle w:val="Indenta"/>
      </w:pPr>
      <w:r>
        <w:tab/>
        <w:t>(f)</w:t>
      </w:r>
      <w:r>
        <w:tab/>
        <w:t>within the parameters set out in paragraph (d)(ii), leasehold by</w:t>
      </w:r>
      <w:r>
        <w:noBreakHyphen/>
        <w:t>laws for the scheme may provide for postponement of the expiry day; and</w:t>
      </w:r>
    </w:p>
    <w:p>
      <w:pPr>
        <w:pStyle w:val="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Indenta"/>
      </w:pPr>
      <w:r>
        <w:tab/>
        <w:t>(h)</w:t>
      </w:r>
      <w:r>
        <w:tab/>
        <w:t>the expiry day is postponed when an amendment of the scheme notice is registered giving effect to the postponement; and</w:t>
      </w:r>
    </w:p>
    <w:p>
      <w:pPr>
        <w:pStyle w:val="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Indenta"/>
      </w:pPr>
      <w:r>
        <w:tab/>
        <w:t>(j)</w:t>
      </w:r>
      <w:r>
        <w:tab/>
        <w:t>the existence of the leasehold scheme and its expiry day must be endorsed on the certificate of title for the parcel; and</w:t>
      </w:r>
    </w:p>
    <w:p>
      <w:pPr>
        <w:pStyle w:val="Indenta"/>
      </w:pPr>
      <w:r>
        <w:tab/>
        <w:t>(k)</w:t>
      </w:r>
      <w:r>
        <w:tab/>
        <w:t>the owner of the leasehold scheme is the lessor and the owner of a lot in the scheme is the lessee under the strata lease for the lot; and</w:t>
      </w:r>
    </w:p>
    <w:p>
      <w:pPr>
        <w:pStyle w:val="Indenta"/>
      </w:pPr>
      <w:r>
        <w:tab/>
        <w:t>(l)</w:t>
      </w:r>
      <w:r>
        <w:tab/>
        <w:t>the owner of the leasehold scheme may be the owner of a lot in the scheme despite any law relating to the merger of leasehold and reversionary estates in land; and</w:t>
      </w:r>
    </w:p>
    <w:p>
      <w:pPr>
        <w:pStyle w:val="Indenta"/>
      </w:pPr>
      <w:r>
        <w:tab/>
        <w:t>(m)</w:t>
      </w:r>
      <w:r>
        <w:tab/>
        <w:t>the owner of the leasehold scheme cannot separately deal with or dispose of the reversion in a lot or the common property of the strata titles scheme; and</w:t>
      </w:r>
    </w:p>
    <w:p>
      <w:pPr>
        <w:pStyle w:val="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PermNoteHeading"/>
      </w:pPr>
      <w:r>
        <w:tab/>
        <w:t>Note for this subsection:</w:t>
      </w:r>
    </w:p>
    <w:p>
      <w:pPr>
        <w:pStyle w:val="PermNoteText"/>
      </w:pPr>
      <w:r>
        <w:tab/>
      </w:r>
      <w:r>
        <w:tab/>
        <w:t>For the scheme notice, see section 29. For leasehold by</w:t>
      </w:r>
      <w:r>
        <w:noBreakHyphen/>
        <w:t>laws, see section 40.</w:t>
      </w:r>
    </w:p>
    <w:p>
      <w:pPr>
        <w:pStyle w:val="Footnotesection"/>
      </w:pPr>
      <w:r>
        <w:tab/>
        <w:t>[Section 8 inserted: No. 30 of 2018 s. 83.]</w:t>
      </w:r>
    </w:p>
    <w:p>
      <w:pPr>
        <w:pStyle w:val="Ednotesection"/>
      </w:pPr>
      <w:r>
        <w:t>[</w:t>
      </w:r>
      <w:r>
        <w:rPr>
          <w:b/>
        </w:rPr>
        <w:t>8A-8C.</w:t>
      </w:r>
      <w:r>
        <w:tab/>
        <w:t>Deleted: No. 30 of 2018 s. 82(b).]</w:t>
      </w:r>
    </w:p>
    <w:p>
      <w:pPr>
        <w:pStyle w:val="Heading5"/>
      </w:pPr>
      <w:bookmarkStart w:id="28" w:name="_Toc106986601"/>
      <w:bookmarkStart w:id="29" w:name="_Toc100564899"/>
      <w:r>
        <w:rPr>
          <w:rStyle w:val="CharSectno"/>
        </w:rPr>
        <w:t>9</w:t>
      </w:r>
      <w:r>
        <w:t>.</w:t>
      </w:r>
      <w:r>
        <w:tab/>
        <w:t>Lots — strata schemes and survey</w:t>
      </w:r>
      <w:r>
        <w:noBreakHyphen/>
        <w:t>strata schemes</w:t>
      </w:r>
      <w:bookmarkEnd w:id="28"/>
      <w:bookmarkEnd w:id="29"/>
    </w:p>
    <w:p>
      <w:pPr>
        <w:pStyle w:val="Subsection"/>
      </w:pPr>
      <w:r>
        <w:tab/>
        <w:t>(1)</w:t>
      </w:r>
      <w:r>
        <w:tab/>
        <w:t>The boundaries of lots in a strata titles scheme are defined on the scheme plan for the strata titles scheme.</w:t>
      </w:r>
    </w:p>
    <w:p>
      <w:pPr>
        <w:pStyle w:val="Subsection"/>
      </w:pPr>
      <w:r>
        <w:tab/>
        <w:t>(2)</w:t>
      </w:r>
      <w:r>
        <w:tab/>
        <w:t>A lot can be comprised of non</w:t>
      </w:r>
      <w:r>
        <w:noBreakHyphen/>
        <w:t>contiguous parts defined on the scheme plan for the strata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Subsection"/>
      </w:pPr>
      <w:r>
        <w:tab/>
        <w:t>(4)</w:t>
      </w:r>
      <w:r>
        <w:tab/>
        <w:t>The way in which the boundaries of a lot in a strata scheme are defined on the scheme plan must be as set out in the definition of lot in a strata scheme in section 3(1) and in section 3(2) to (4).</w:t>
      </w:r>
    </w:p>
    <w:p>
      <w:pPr>
        <w:pStyle w:val="PermNoteHeading"/>
      </w:pPr>
      <w:r>
        <w:tab/>
        <w:t>Note for this subsection:</w:t>
      </w:r>
    </w:p>
    <w:p>
      <w:pPr>
        <w:pStyle w:val="PermNoteText"/>
      </w:pPr>
      <w:r>
        <w:tab/>
      </w:r>
      <w:r>
        <w:tab/>
        <w:t>Schedule 2A provides for a special rule for how lots may be defined in a single tier strata scheme.</w:t>
      </w:r>
    </w:p>
    <w:p>
      <w:pPr>
        <w:pStyle w:val="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Subsection"/>
      </w:pPr>
      <w:r>
        <w:tab/>
        <w:t>(6)</w:t>
      </w:r>
      <w:r>
        <w:tab/>
        <w:t>A change in the definition of the boundaries of a lot does not, even if the lot is assigned a new identifying number, of itself affect —</w:t>
      </w:r>
    </w:p>
    <w:p>
      <w:pPr>
        <w:pStyle w:val="Indenta"/>
      </w:pPr>
      <w:r>
        <w:tab/>
        <w:t>(a)</w:t>
      </w:r>
      <w:r>
        <w:tab/>
        <w:t>for a leasehold scheme — the strata lease for the lot; or</w:t>
      </w:r>
    </w:p>
    <w:p>
      <w:pPr>
        <w:pStyle w:val="Indenta"/>
      </w:pPr>
      <w:r>
        <w:tab/>
        <w:t>(b)</w:t>
      </w:r>
      <w:r>
        <w:tab/>
        <w:t>for a leasehold or freehold scheme — any other item registered or recorded for the scheme in the Register.</w:t>
      </w:r>
    </w:p>
    <w:p>
      <w:pPr>
        <w:pStyle w:val="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Footnotesection"/>
      </w:pPr>
      <w:r>
        <w:tab/>
        <w:t>[Section 9 inserted: No. 30 of 2018 s. 83.]</w:t>
      </w:r>
    </w:p>
    <w:p>
      <w:pPr>
        <w:pStyle w:val="Heading5"/>
      </w:pPr>
      <w:bookmarkStart w:id="30" w:name="_Toc106986602"/>
      <w:bookmarkStart w:id="31" w:name="_Toc100564900"/>
      <w:r>
        <w:rPr>
          <w:rStyle w:val="CharSectno"/>
        </w:rPr>
        <w:t>10</w:t>
      </w:r>
      <w:r>
        <w:t>.</w:t>
      </w:r>
      <w:r>
        <w:tab/>
        <w:t>Common property</w:t>
      </w:r>
      <w:bookmarkEnd w:id="30"/>
      <w:bookmarkEnd w:id="31"/>
    </w:p>
    <w:p>
      <w:pPr>
        <w:pStyle w:val="Subsection"/>
      </w:pPr>
      <w:r>
        <w:tab/>
        <w:t>(1)</w:t>
      </w:r>
      <w:r>
        <w:tab/>
        <w:t xml:space="preserve">The </w:t>
      </w:r>
      <w:r>
        <w:rPr>
          <w:rStyle w:val="CharDefText"/>
        </w:rPr>
        <w:t>common property</w:t>
      </w:r>
      <w:r>
        <w:t xml:space="preserve"> in a strata titles scheme is —</w:t>
      </w:r>
    </w:p>
    <w:p>
      <w:pPr>
        <w:pStyle w:val="Indenta"/>
      </w:pPr>
      <w:r>
        <w:tab/>
        <w:t>(a)</w:t>
      </w:r>
      <w:r>
        <w:tab/>
        <w:t>that part of the parcel of land subdivided by the strata titles scheme that does not form part of a lot in the strata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strata scheme, those parts of a scheme building that do not form part of a lot.</w:t>
      </w:r>
    </w:p>
    <w:p>
      <w:pPr>
        <w:pStyle w:val="Subsection"/>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keepNext/>
      </w:pPr>
      <w:r>
        <w:tab/>
        <w:t>(4)</w:t>
      </w:r>
      <w:r>
        <w:tab/>
        <w:t>If a strata plan identifies an encroachment outside the parcel that is to be controlled and managed as common property, the encroachment is to be regarded, for this Act, as if it were common property.</w:t>
      </w:r>
    </w:p>
    <w:p>
      <w:pPr>
        <w:pStyle w:val="Footnotesection"/>
      </w:pPr>
      <w:r>
        <w:tab/>
        <w:t>[Section 10 inserted: No. 30 of 2018 s. 83.]</w:t>
      </w:r>
    </w:p>
    <w:p>
      <w:pPr>
        <w:pStyle w:val="Heading5"/>
      </w:pPr>
      <w:bookmarkStart w:id="32" w:name="_Toc106986603"/>
      <w:bookmarkStart w:id="33" w:name="_Toc100564901"/>
      <w:r>
        <w:rPr>
          <w:rStyle w:val="CharSectno"/>
        </w:rPr>
        <w:t>11</w:t>
      </w:r>
      <w:r>
        <w:t>.</w:t>
      </w:r>
      <w:r>
        <w:tab/>
        <w:t>Subdivision of land by strata titles scheme</w:t>
      </w:r>
      <w:bookmarkEnd w:id="32"/>
      <w:bookmarkEnd w:id="33"/>
    </w:p>
    <w:p>
      <w:pPr>
        <w:pStyle w:val="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Indenta"/>
      </w:pPr>
      <w:r>
        <w:tab/>
        <w:t>(a)</w:t>
      </w:r>
      <w:r>
        <w:tab/>
        <w:t>by registration of the scheme; or</w:t>
      </w:r>
    </w:p>
    <w:p>
      <w:pPr>
        <w:pStyle w:val="Indenta"/>
      </w:pPr>
      <w:r>
        <w:tab/>
        <w:t>(b)</w:t>
      </w:r>
      <w:r>
        <w:tab/>
        <w:t>by registration of an amendment of the scheme.</w:t>
      </w:r>
    </w:p>
    <w:p>
      <w:pPr>
        <w:pStyle w:val="Subsection"/>
      </w:pPr>
      <w:r>
        <w:tab/>
        <w:t>(2)</w:t>
      </w:r>
      <w:r>
        <w:tab/>
        <w:t xml:space="preserve">Registration of an amendment of a strata titles scheme gives effect to a </w:t>
      </w:r>
      <w:r>
        <w:rPr>
          <w:rStyle w:val="CharDefText"/>
        </w:rPr>
        <w:t>subdivision</w:t>
      </w:r>
      <w:r>
        <w:t xml:space="preserve"> if it —</w:t>
      </w:r>
    </w:p>
    <w:p>
      <w:pPr>
        <w:pStyle w:val="Indenta"/>
      </w:pPr>
      <w:r>
        <w:tab/>
        <w:t>(a)</w:t>
      </w:r>
      <w:r>
        <w:tab/>
        <w:t>effects a change to the definition of a lot in the scheme; or</w:t>
      </w:r>
    </w:p>
    <w:p>
      <w:pPr>
        <w:pStyle w:val="Indenta"/>
      </w:pPr>
      <w:r>
        <w:tab/>
        <w:t>(b)</w:t>
      </w:r>
      <w:r>
        <w:tab/>
        <w:t>effects a change to the boundary of the parcel of land subdivided by the scheme.</w:t>
      </w:r>
    </w:p>
    <w:p>
      <w:pPr>
        <w:pStyle w:val="PermNoteHeading"/>
      </w:pPr>
      <w:r>
        <w:tab/>
        <w:t>Note for this section:</w:t>
      </w:r>
    </w:p>
    <w:p>
      <w:pPr>
        <w:pStyle w:val="PermNoteText"/>
      </w:pPr>
      <w:r>
        <w:tab/>
        <w:t>1.</w:t>
      </w:r>
      <w:r>
        <w:tab/>
        <w:t>There are 4 types of amendment of a strata titles scheme that give effect to a subdivision, with varying requirements for resolutions and consents:</w:t>
      </w:r>
    </w:p>
    <w:p>
      <w:pPr>
        <w:pStyle w:val="PermNoteText"/>
        <w:numPr>
          <w:ilvl w:val="0"/>
          <w:numId w:val="32"/>
        </w:numPr>
        <w:ind w:left="1701" w:hanging="283"/>
      </w:pPr>
      <w:r>
        <w:t>A type 1 subdivision covers adding land from outside the parcel to the common property (other than as temporary common property) and what was formerly referred to as conversion of lots into common property.</w:t>
      </w:r>
    </w:p>
    <w:p>
      <w:pPr>
        <w:pStyle w:val="PermNoteText"/>
        <w:numPr>
          <w:ilvl w:val="0"/>
          <w:numId w:val="32"/>
        </w:numPr>
        <w:ind w:left="1701" w:hanging="283"/>
      </w:pPr>
      <w:r>
        <w:t>A type 2 subdivision covers the removal of common property from the parcel of a strata titles scheme.</w:t>
      </w:r>
    </w:p>
    <w:p>
      <w:pPr>
        <w:pStyle w:val="PermNoteText"/>
        <w:numPr>
          <w:ilvl w:val="0"/>
          <w:numId w:val="32"/>
        </w:numPr>
        <w:ind w:left="1701" w:hanging="283"/>
      </w:pPr>
      <w:r>
        <w:t>A type 3 subdivision covers what was formerly referred to as consolidation of lots.</w:t>
      </w:r>
    </w:p>
    <w:p>
      <w:pPr>
        <w:pStyle w:val="PermNoteText"/>
        <w:numPr>
          <w:ilvl w:val="0"/>
          <w:numId w:val="32"/>
        </w:numPr>
        <w:ind w:left="1701" w:hanging="283"/>
      </w:pPr>
      <w:r>
        <w:t>A type 4 subdivision covers what was formerly referred to as re</w:t>
      </w:r>
      <w:r>
        <w:noBreakHyphen/>
        <w:t>subdivision.</w:t>
      </w:r>
    </w:p>
    <w:p>
      <w:pPr>
        <w:pStyle w:val="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PermNoteText"/>
        <w:numPr>
          <w:ilvl w:val="0"/>
          <w:numId w:val="32"/>
        </w:numPr>
        <w:ind w:left="1701" w:hanging="283"/>
      </w:pPr>
      <w:r>
        <w:t>1 or more lots so as to create only 2 or more different lots; or</w:t>
      </w:r>
    </w:p>
    <w:p>
      <w:pPr>
        <w:pStyle w:val="PermNoteText"/>
        <w:numPr>
          <w:ilvl w:val="0"/>
          <w:numId w:val="32"/>
        </w:numPr>
        <w:ind w:left="1701" w:hanging="283"/>
      </w:pPr>
      <w:r>
        <w:t>1 or more lots so as to create 1 or more different lots and common property; or</w:t>
      </w:r>
    </w:p>
    <w:p>
      <w:pPr>
        <w:pStyle w:val="PermNoteText"/>
        <w:numPr>
          <w:ilvl w:val="0"/>
          <w:numId w:val="32"/>
        </w:numPr>
        <w:ind w:left="1701" w:hanging="283"/>
      </w:pPr>
      <w:r>
        <w:t>1 or more lots and common property so as to create 1 or more different lots or 1 or more different lots and common property; or</w:t>
      </w:r>
    </w:p>
    <w:p>
      <w:pPr>
        <w:pStyle w:val="PermNoteText"/>
        <w:numPr>
          <w:ilvl w:val="0"/>
          <w:numId w:val="32"/>
        </w:numPr>
        <w:ind w:left="1701" w:hanging="283"/>
      </w:pPr>
      <w:r>
        <w:t>common property so as to create 1 or more lots or 1 or more lots and common property.</w:t>
      </w:r>
    </w:p>
    <w:p>
      <w:pPr>
        <w:pStyle w:val="PermNoteText"/>
      </w:pPr>
      <w:r>
        <w:tab/>
        <w:t>3.</w:t>
      </w:r>
      <w:r>
        <w:tab/>
        <w:t>Schedule 2A provides special provisions relating to subdivision in a single tier strata scheme.</w:t>
      </w:r>
    </w:p>
    <w:p>
      <w:pPr>
        <w:pStyle w:val="Footnotesection"/>
      </w:pPr>
      <w:r>
        <w:tab/>
        <w:t>[Section 11 inserted: No. 30 of 2018 s. 83.]</w:t>
      </w:r>
    </w:p>
    <w:p>
      <w:pPr>
        <w:pStyle w:val="Heading5"/>
      </w:pPr>
      <w:bookmarkStart w:id="34" w:name="_Toc106986604"/>
      <w:bookmarkStart w:id="35" w:name="_Toc100564902"/>
      <w:r>
        <w:rPr>
          <w:rStyle w:val="CharSectno"/>
        </w:rPr>
        <w:t>12</w:t>
      </w:r>
      <w:r>
        <w:t>.</w:t>
      </w:r>
      <w:r>
        <w:tab/>
        <w:t>Registration of strata titles scheme</w:t>
      </w:r>
      <w:bookmarkEnd w:id="34"/>
      <w:bookmarkEnd w:id="35"/>
    </w:p>
    <w:p>
      <w:pPr>
        <w:pStyle w:val="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Indenta"/>
      </w:pPr>
      <w:r>
        <w:tab/>
        <w:t>(a)</w:t>
      </w:r>
      <w:r>
        <w:tab/>
        <w:t>for a freehold scheme —</w:t>
      </w:r>
    </w:p>
    <w:p>
      <w:pPr>
        <w:pStyle w:val="Indenti"/>
      </w:pPr>
      <w:r>
        <w:tab/>
        <w:t>(i)</w:t>
      </w:r>
      <w:r>
        <w:tab/>
        <w:t>a scheme notice;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a"/>
      </w:pPr>
      <w:r>
        <w:tab/>
        <w:t>(b)</w:t>
      </w:r>
      <w:r>
        <w:tab/>
        <w:t>for a leasehold scheme —</w:t>
      </w:r>
    </w:p>
    <w:p>
      <w:pPr>
        <w:pStyle w:val="Indenti"/>
      </w:pPr>
      <w:r>
        <w:tab/>
        <w:t>(i)</w:t>
      </w:r>
      <w:r>
        <w:tab/>
        <w:t>a scheme notice (which must specify the expiry day for the scheme);</w:t>
      </w:r>
    </w:p>
    <w:p>
      <w:pPr>
        <w:pStyle w:val="Indenti"/>
      </w:pPr>
      <w:r>
        <w:tab/>
        <w:t>(ii)</w:t>
      </w:r>
      <w:r>
        <w:tab/>
        <w:t>a scheme plan;</w:t>
      </w:r>
    </w:p>
    <w:p>
      <w:pPr>
        <w:pStyle w:val="Indenti"/>
      </w:pPr>
      <w:r>
        <w:tab/>
        <w:t>(iii)</w:t>
      </w:r>
      <w:r>
        <w:tab/>
        <w:t>a schedule of unit entitlements;</w:t>
      </w:r>
    </w:p>
    <w:p>
      <w:pPr>
        <w:pStyle w:val="Indenti"/>
      </w:pPr>
      <w:r>
        <w:tab/>
        <w:t>(iv)</w:t>
      </w:r>
      <w:r>
        <w:tab/>
        <w:t>scheme by</w:t>
      </w:r>
      <w:r>
        <w:noBreakHyphen/>
        <w:t>laws;</w:t>
      </w:r>
    </w:p>
    <w:p>
      <w:pPr>
        <w:pStyle w:val="Indenti"/>
      </w:pPr>
      <w:r>
        <w:tab/>
        <w:t>(v)</w:t>
      </w:r>
      <w:r>
        <w:tab/>
        <w:t>a strata lease for each lot.</w:t>
      </w:r>
    </w:p>
    <w:p>
      <w:pPr>
        <w:pStyle w:val="PermNoteHeading"/>
      </w:pPr>
      <w:r>
        <w:tab/>
        <w:t>Note for this subsection:</w:t>
      </w:r>
    </w:p>
    <w:p>
      <w:pPr>
        <w:pStyle w:val="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Subsection"/>
      </w:pPr>
      <w:r>
        <w:tab/>
        <w:t>(2)</w:t>
      </w:r>
      <w:r>
        <w:tab/>
        <w:t>A registered strata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11(2) or it may be unrelated to a subdivision of land, comprising, for example —</w:t>
      </w:r>
    </w:p>
    <w:p>
      <w:pPr>
        <w:pStyle w:val="PermNoteText"/>
        <w:numPr>
          <w:ilvl w:val="0"/>
          <w:numId w:val="32"/>
        </w:numPr>
        <w:ind w:left="1701" w:hanging="283"/>
      </w:pPr>
      <w:r>
        <w:t>the amendment of the scheme notice so as to amend the name or address for service of the strata company; or</w:t>
      </w:r>
    </w:p>
    <w:p>
      <w:pPr>
        <w:pStyle w:val="PermNoteText"/>
        <w:numPr>
          <w:ilvl w:val="0"/>
          <w:numId w:val="32"/>
        </w:numPr>
        <w:ind w:left="1701" w:hanging="283"/>
      </w:pPr>
      <w:r>
        <w:t>the amendment or replacement of the scheme plan for the strata titles scheme for a purpose related to an easement or restrictive covenant or a restricted use condition; or</w:t>
      </w:r>
    </w:p>
    <w:p>
      <w:pPr>
        <w:pStyle w:val="PermNoteText"/>
        <w:numPr>
          <w:ilvl w:val="0"/>
          <w:numId w:val="32"/>
        </w:numPr>
        <w:ind w:left="1701" w:hanging="283"/>
      </w:pPr>
      <w:r>
        <w:t>the amendment or replacement of the schedule of unit entitlements for the strata titles scheme because of a new valuation of lots; or</w:t>
      </w:r>
    </w:p>
    <w:p>
      <w:pPr>
        <w:pStyle w:val="PermNoteText"/>
        <w:numPr>
          <w:ilvl w:val="0"/>
          <w:numId w:val="32"/>
        </w:numPr>
        <w:ind w:left="1701" w:hanging="283"/>
      </w:pPr>
      <w:r>
        <w:t>the amendment or replacement of scheme by</w:t>
      </w:r>
      <w:r>
        <w:noBreakHyphen/>
        <w:t>laws.</w:t>
      </w:r>
    </w:p>
    <w:p>
      <w:pPr>
        <w:pStyle w:val="Subsection"/>
      </w:pPr>
      <w:r>
        <w:tab/>
        <w:t>(3)</w:t>
      </w:r>
      <w:r>
        <w:tab/>
        <w:t>If a registered leasehold scheme is amended to give effect to a subdivision involving the creation of new lots, a strata lease must be registered as a scheme document for each new lot.</w:t>
      </w:r>
    </w:p>
    <w:p>
      <w:pPr>
        <w:pStyle w:val="Footnotesection"/>
      </w:pPr>
      <w:r>
        <w:tab/>
        <w:t>[Section 12 inserted: No. 30 of 2018 s. 83.]</w:t>
      </w:r>
    </w:p>
    <w:p>
      <w:pPr>
        <w:pStyle w:val="Ednotesection"/>
      </w:pPr>
      <w:r>
        <w:t>[Former section 12A redesignated as clause 12A and relocated to Schedule 2A Part 3: No. 30 of 2018 s. 117.]</w:t>
      </w:r>
    </w:p>
    <w:p>
      <w:pPr>
        <w:pStyle w:val="Heading5"/>
      </w:pPr>
      <w:bookmarkStart w:id="36" w:name="_Toc106986605"/>
      <w:bookmarkStart w:id="37" w:name="_Toc100564903"/>
      <w:r>
        <w:rPr>
          <w:rStyle w:val="CharSectno"/>
        </w:rPr>
        <w:t>13</w:t>
      </w:r>
      <w:r>
        <w:t>.</w:t>
      </w:r>
      <w:r>
        <w:tab/>
        <w:t>Strata titles</w:t>
      </w:r>
      <w:bookmarkEnd w:id="36"/>
      <w:bookmarkEnd w:id="37"/>
    </w:p>
    <w:p>
      <w:pPr>
        <w:pStyle w:val="Subsection"/>
      </w:pPr>
      <w:r>
        <w:tab/>
        <w:t>(1)</w:t>
      </w:r>
      <w:r>
        <w:tab/>
        <w:t xml:space="preserve">The title to the land comprised in a lot is referred to as a </w:t>
      </w:r>
      <w:r>
        <w:rPr>
          <w:rStyle w:val="CharDefText"/>
        </w:rPr>
        <w:t>strata title</w:t>
      </w:r>
      <w:r>
        <w:t>.</w:t>
      </w:r>
    </w:p>
    <w:p>
      <w:pPr>
        <w:pStyle w:val="Subsection"/>
      </w:pPr>
      <w:r>
        <w:tab/>
        <w:t>(2)</w:t>
      </w:r>
      <w:r>
        <w:tab/>
        <w:t xml:space="preserve">A certificate of title must be created and registered for each strata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w:t>
      </w:r>
    </w:p>
    <w:p>
      <w:pPr>
        <w:pStyle w:val="Subsection"/>
      </w:pPr>
      <w:r>
        <w:tab/>
        <w:t>(3)</w:t>
      </w:r>
      <w:r>
        <w:tab/>
        <w:t>For a leasehold scheme, the existence of the scheme and its expiry day must be endorsed on the certificate of title for each strata title for a lot in the scheme.</w:t>
      </w:r>
    </w:p>
    <w:p>
      <w:pPr>
        <w:pStyle w:val="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Indenta"/>
      </w:pPr>
      <w:r>
        <w:tab/>
        <w:t>(a)</w:t>
      </w:r>
      <w:r>
        <w:tab/>
        <w:t>there is 1 strata title registered for each lot in the scheme or the scheme as amended; and</w:t>
      </w:r>
    </w:p>
    <w:p>
      <w:pPr>
        <w:pStyle w:val="Indenta"/>
      </w:pPr>
      <w:r>
        <w:tab/>
        <w:t>(b)</w:t>
      </w:r>
      <w:r>
        <w:tab/>
        <w:t>the strata title for a lot confers the rights on the owner of the lot as set out in this section.</w:t>
      </w:r>
    </w:p>
    <w:p>
      <w:pPr>
        <w:pStyle w:val="Subsection"/>
      </w:pPr>
      <w:r>
        <w:tab/>
        <w:t>(5)</w:t>
      </w:r>
      <w:r>
        <w:tab/>
        <w:t>When a new lot is created and a strata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(7)</w:t>
      </w:r>
      <w:r>
        <w:tab/>
        <w:t>When a strata title for a lot in a freehold scheme comes into existence it confers on the owner of the lot —</w:t>
      </w:r>
    </w:p>
    <w:p>
      <w:pPr>
        <w:pStyle w:val="Indenta"/>
      </w:pPr>
      <w:r>
        <w:tab/>
        <w:t>(a)</w:t>
      </w:r>
      <w:r>
        <w:tab/>
        <w:t xml:space="preserve">rights as the proprietor of a fee simple estate in the lot under the </w:t>
      </w:r>
      <w:r>
        <w:rPr>
          <w:i/>
        </w:rPr>
        <w:t>Transfer of Land Act 1893</w:t>
      </w:r>
      <w:r>
        <w:t>; and</w:t>
      </w:r>
    </w:p>
    <w:p>
      <w:pPr>
        <w:pStyle w:val="Indenta"/>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(8)</w:t>
      </w:r>
      <w:r>
        <w:tab/>
        <w:t>When a strata title for a lot in a leasehold scheme comes into existence it confers on the owner of the lot, subject to Part 4 Division 5 —</w:t>
      </w:r>
    </w:p>
    <w:p>
      <w:pPr>
        <w:pStyle w:val="Indenta"/>
      </w:pPr>
      <w:r>
        <w:tab/>
        <w:t>(a)</w:t>
      </w:r>
      <w:r>
        <w:tab/>
        <w:t xml:space="preserve">rights as the proprietor of a strata leasehold estate in the lot under the </w:t>
      </w:r>
      <w:r>
        <w:rPr>
          <w:i/>
        </w:rPr>
        <w:t>Transfer of Land Act 1893</w:t>
      </w:r>
      <w:r>
        <w:t>; and</w:t>
      </w:r>
    </w:p>
    <w:p>
      <w:pPr>
        <w:pStyle w:val="Indenta"/>
      </w:pPr>
      <w:r>
        <w:tab/>
        <w:t>(b)</w:t>
      </w:r>
      <w:r>
        <w:tab/>
        <w:t>an undivided share of the strata leasehold estate in the common property as a tenant in common with the other owners of lots in the scheme, proportional to the unit entitlements of their respective lots; and</w:t>
      </w:r>
    </w:p>
    <w:p>
      <w:pPr>
        <w:pStyle w:val="Indenta"/>
      </w:pPr>
      <w:r>
        <w:tab/>
        <w:t>(c)</w:t>
      </w:r>
      <w:r>
        <w:tab/>
        <w:t>an undivided share of the temporary common property as a tenant in common with the other owners of lots in the scheme, proportional to the unit entitlements of their respective lots.</w:t>
      </w:r>
    </w:p>
    <w:p>
      <w:pPr>
        <w:pStyle w:val="Subsection"/>
      </w:pPr>
      <w:r>
        <w:tab/>
        <w:t>(9)</w:t>
      </w:r>
      <w:r>
        <w:tab/>
        <w:t>The owner of a lot cannot separately deal with or dispose of the owner’s share in the common property of the strata titles scheme.</w:t>
      </w:r>
    </w:p>
    <w:p>
      <w:pPr>
        <w:pStyle w:val="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Subsection"/>
      </w:pPr>
      <w:r>
        <w:tab/>
        <w:t>(12)</w:t>
      </w:r>
      <w:r>
        <w:tab/>
        <w:t>The owner of a lot in a leasehold scheme cannot deal with the strata lease separately from the strata title.</w:t>
      </w:r>
    </w:p>
    <w:p>
      <w:pPr>
        <w:pStyle w:val="Footnotesection"/>
      </w:pPr>
      <w:r>
        <w:tab/>
        <w:t>[Section 13 inserted: No. 30 of 2018 s. 83.]</w:t>
      </w:r>
    </w:p>
    <w:p>
      <w:pPr>
        <w:pStyle w:val="Heading5"/>
        <w:rPr>
          <w:snapToGrid w:val="0"/>
        </w:rPr>
      </w:pPr>
      <w:bookmarkStart w:id="38" w:name="_Toc106986606"/>
      <w:bookmarkStart w:id="39" w:name="_Toc100564904"/>
      <w:r>
        <w:rPr>
          <w:rStyle w:val="CharSectno"/>
        </w:rPr>
        <w:t>14</w:t>
      </w:r>
      <w:r>
        <w:rPr>
          <w:snapToGrid w:val="0"/>
        </w:rPr>
        <w:t>.</w:t>
      </w:r>
      <w:r>
        <w:rPr>
          <w:snapToGrid w:val="0"/>
        </w:rPr>
        <w:tab/>
        <w:t>Strata company</w:t>
      </w:r>
      <w:bookmarkEnd w:id="38"/>
      <w:bookmarkEnd w:id="39"/>
    </w:p>
    <w:p>
      <w:pPr>
        <w:pStyle w:val="Subsection"/>
        <w:keepNext/>
        <w:keepLines/>
        <w:rPr>
          <w:snapToGrid w:val="0"/>
        </w:rPr>
      </w:pPr>
      <w:r>
        <w:rPr>
          <w:snapToGrid w:val="0"/>
        </w:rPr>
        <w:tab/>
        <w:t>(1)</w:t>
      </w:r>
      <w:r>
        <w:rPr>
          <w:snapToGrid w:val="0"/>
        </w:rPr>
        <w:tab/>
        <w:t>On registration of a strata titles scheme, a strata company is established for the strata titles scheme.</w:t>
      </w:r>
    </w:p>
    <w:p>
      <w:pPr>
        <w:pStyle w:val="Subsection"/>
        <w:keepNext/>
        <w:keepLines/>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Subsection"/>
        <w:rPr>
          <w:snapToGrid w:val="0"/>
        </w:rPr>
      </w:pPr>
      <w:r>
        <w:rPr>
          <w:snapToGrid w:val="0"/>
        </w:rPr>
        <w:tab/>
        <w:t>(3)</w:t>
      </w:r>
      <w:r>
        <w:rPr>
          <w:snapToGrid w:val="0"/>
        </w:rPr>
        <w:tab/>
        <w:t>The name of the strata titles scheme is the name stated in the scheme notice.</w:t>
      </w:r>
    </w:p>
    <w:p>
      <w:pPr>
        <w:pStyle w:val="Subsection"/>
        <w:rPr>
          <w:snapToGrid w:val="0"/>
        </w:rPr>
      </w:pPr>
      <w:r>
        <w:rPr>
          <w:snapToGrid w:val="0"/>
        </w:rPr>
        <w:tab/>
        <w:t>(4)</w:t>
      </w:r>
      <w:r>
        <w:rPr>
          <w:snapToGrid w:val="0"/>
        </w:rPr>
        <w:tab/>
        <w:t>The address for service of the strata company is the address for service stated in the scheme notice.</w:t>
      </w:r>
    </w:p>
    <w:p>
      <w:pPr>
        <w:pStyle w:val="Subsection"/>
        <w:rPr>
          <w:snapToGrid w:val="0"/>
        </w:rPr>
      </w:pPr>
      <w:r>
        <w:rPr>
          <w:snapToGrid w:val="0"/>
        </w:rPr>
        <w:tab/>
        <w:t>(5)</w:t>
      </w:r>
      <w:r>
        <w:rPr>
          <w:snapToGrid w:val="0"/>
        </w:rPr>
        <w:tab/>
        <w:t>A strata company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rPr>
          <w:snapToGrid w:val="0"/>
        </w:rPr>
      </w:pPr>
      <w:r>
        <w:rPr>
          <w:snapToGrid w:val="0"/>
        </w:rPr>
        <w:tab/>
        <w:t>(6)</w:t>
      </w:r>
      <w:r>
        <w:rPr>
          <w:snapToGrid w:val="0"/>
        </w:rPr>
        <w:tab/>
        <w:t>The governing body of a strata company is the council of the strata company.</w:t>
      </w:r>
    </w:p>
    <w:p>
      <w:pPr>
        <w:pStyle w:val="Subsection"/>
        <w:rPr>
          <w:snapToGrid w:val="0"/>
        </w:rPr>
      </w:pPr>
      <w:r>
        <w:rPr>
          <w:snapToGrid w:val="0"/>
        </w:rPr>
        <w:tab/>
        <w:t>(7)</w:t>
      </w:r>
      <w:r>
        <w:rPr>
          <w:snapToGrid w:val="0"/>
        </w:rPr>
        <w:tab/>
        <w:t>A strata company may have a common seal, but it does not have to do so.</w:t>
      </w:r>
    </w:p>
    <w:p>
      <w:pPr>
        <w:pStyle w:val="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Footnotesection"/>
      </w:pPr>
      <w:r>
        <w:tab/>
        <w:t>[Section 14 inserted: No. 30 of 2018 s. 83.]</w:t>
      </w:r>
    </w:p>
    <w:p>
      <w:pPr>
        <w:pStyle w:val="Heading2"/>
      </w:pPr>
      <w:bookmarkStart w:id="40" w:name="_Toc106986171"/>
      <w:bookmarkStart w:id="41" w:name="_Toc106986607"/>
      <w:bookmarkStart w:id="42" w:name="_Toc100308185"/>
      <w:bookmarkStart w:id="43" w:name="_Toc100308621"/>
      <w:bookmarkStart w:id="44" w:name="_Toc100564905"/>
      <w:r>
        <w:rPr>
          <w:rStyle w:val="CharPartNo"/>
        </w:rPr>
        <w:t>Part 3</w:t>
      </w:r>
      <w:r>
        <w:rPr>
          <w:b w:val="0"/>
        </w:rPr>
        <w:t> </w:t>
      </w:r>
      <w:r>
        <w:t>—</w:t>
      </w:r>
      <w:r>
        <w:rPr>
          <w:b w:val="0"/>
        </w:rPr>
        <w:t> </w:t>
      </w:r>
      <w:r>
        <w:rPr>
          <w:rStyle w:val="CharPartText"/>
        </w:rPr>
        <w:t>Planning and development</w:t>
      </w:r>
      <w:bookmarkEnd w:id="40"/>
      <w:bookmarkEnd w:id="41"/>
      <w:bookmarkEnd w:id="42"/>
      <w:bookmarkEnd w:id="43"/>
      <w:bookmarkEnd w:id="44"/>
    </w:p>
    <w:p>
      <w:pPr>
        <w:pStyle w:val="Footnoteheading"/>
      </w:pPr>
      <w:r>
        <w:tab/>
        <w:t>[Heading inserted: No. 30 of 2018 s. 83.]</w:t>
      </w:r>
    </w:p>
    <w:p>
      <w:pPr>
        <w:pStyle w:val="Heading3"/>
      </w:pPr>
      <w:bookmarkStart w:id="45" w:name="_Toc106986172"/>
      <w:bookmarkStart w:id="46" w:name="_Toc106986608"/>
      <w:bookmarkStart w:id="47" w:name="_Toc100308186"/>
      <w:bookmarkStart w:id="48" w:name="_Toc100308622"/>
      <w:bookmarkStart w:id="49" w:name="_Toc100564906"/>
      <w:r>
        <w:rPr>
          <w:rStyle w:val="CharDivNo"/>
        </w:rPr>
        <w:t>Division 1</w:t>
      </w:r>
      <w:r>
        <w:t> — </w:t>
      </w:r>
      <w:r>
        <w:rPr>
          <w:rStyle w:val="CharDivText"/>
        </w:rPr>
        <w:t>Planning approvals</w:t>
      </w:r>
      <w:bookmarkEnd w:id="45"/>
      <w:bookmarkEnd w:id="46"/>
      <w:bookmarkEnd w:id="47"/>
      <w:bookmarkEnd w:id="48"/>
      <w:bookmarkEnd w:id="49"/>
    </w:p>
    <w:p>
      <w:pPr>
        <w:pStyle w:val="Footnoteheading"/>
      </w:pPr>
      <w:r>
        <w:tab/>
        <w:t>[Heading inserted: No. 30 of 2018 s. 83.]</w:t>
      </w:r>
    </w:p>
    <w:p>
      <w:pPr>
        <w:pStyle w:val="Heading4"/>
      </w:pPr>
      <w:bookmarkStart w:id="50" w:name="_Toc106986173"/>
      <w:bookmarkStart w:id="51" w:name="_Toc106986609"/>
      <w:bookmarkStart w:id="52" w:name="_Toc100308187"/>
      <w:bookmarkStart w:id="53" w:name="_Toc100308623"/>
      <w:bookmarkStart w:id="54" w:name="_Toc100564907"/>
      <w:r>
        <w:t>Subdivision 1  — Strata schemes</w:t>
      </w:r>
      <w:bookmarkEnd w:id="50"/>
      <w:bookmarkEnd w:id="51"/>
      <w:bookmarkEnd w:id="52"/>
      <w:bookmarkEnd w:id="53"/>
      <w:bookmarkEnd w:id="54"/>
    </w:p>
    <w:p>
      <w:pPr>
        <w:pStyle w:val="Footnoteheading"/>
      </w:pPr>
      <w:r>
        <w:tab/>
        <w:t>[Heading inserted: No. 30 of 2018 s. 83.]</w:t>
      </w:r>
    </w:p>
    <w:p>
      <w:pPr>
        <w:pStyle w:val="Heading5"/>
      </w:pPr>
      <w:bookmarkStart w:id="55" w:name="_Toc106986610"/>
      <w:bookmarkStart w:id="56" w:name="_Toc100564908"/>
      <w:r>
        <w:rPr>
          <w:rStyle w:val="CharSectno"/>
        </w:rPr>
        <w:t>15</w:t>
      </w:r>
      <w:r>
        <w:t>.</w:t>
      </w:r>
      <w:r>
        <w:tab/>
        <w:t>Subdivision approval of strata scheme</w:t>
      </w:r>
      <w:bookmarkEnd w:id="55"/>
      <w:bookmarkEnd w:id="56"/>
    </w:p>
    <w:p>
      <w:pPr>
        <w:pStyle w:val="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Subsection"/>
        <w:rPr>
          <w:snapToGrid w:val="0"/>
        </w:rPr>
      </w:pPr>
      <w:r>
        <w:rPr>
          <w:snapToGrid w:val="0"/>
        </w:rPr>
        <w:tab/>
        <w:t>(5)</w:t>
      </w:r>
      <w:r>
        <w:rPr>
          <w:snapToGrid w:val="0"/>
        </w:rPr>
        <w:tab/>
        <w:t>An application under this section must —</w:t>
      </w:r>
    </w:p>
    <w:p>
      <w:pPr>
        <w:pStyle w:val="Indenta"/>
      </w:pPr>
      <w:r>
        <w:tab/>
        <w:t>(a)</w:t>
      </w:r>
      <w:r>
        <w:tab/>
        <w:t>be in the approved form; and</w:t>
      </w:r>
    </w:p>
    <w:p>
      <w:pPr>
        <w:pStyle w:val="Indenta"/>
      </w:pPr>
      <w:r>
        <w:tab/>
        <w:t>(b)</w:t>
      </w:r>
      <w:r>
        <w:tab/>
        <w:t>be accompanied by the fee fixed by the regulations.</w:t>
      </w:r>
    </w:p>
    <w:p>
      <w:pPr>
        <w:pStyle w:val="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Footnotesection"/>
      </w:pPr>
      <w:r>
        <w:tab/>
        <w:t>[Section 15 inserted: No. 30 of 2018 s. 83.]</w:t>
      </w:r>
    </w:p>
    <w:p>
      <w:pPr>
        <w:pStyle w:val="Heading5"/>
        <w:rPr>
          <w:snapToGrid w:val="0"/>
        </w:rPr>
      </w:pPr>
      <w:bookmarkStart w:id="57" w:name="_Toc106986611"/>
      <w:bookmarkStart w:id="58" w:name="_Toc100564909"/>
      <w:r>
        <w:rPr>
          <w:rStyle w:val="CharSectno"/>
        </w:rPr>
        <w:t>16</w:t>
      </w:r>
      <w:r>
        <w:rPr>
          <w:snapToGrid w:val="0"/>
        </w:rPr>
        <w:t>.</w:t>
      </w:r>
      <w:r>
        <w:rPr>
          <w:snapToGrid w:val="0"/>
        </w:rPr>
        <w:tab/>
        <w:t>Application of Planning and Development Act</w:t>
      </w:r>
      <w:bookmarkEnd w:id="57"/>
      <w:bookmarkEnd w:id="58"/>
    </w:p>
    <w:p>
      <w:pPr>
        <w:pStyle w:val="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Footnotesection"/>
      </w:pPr>
      <w:r>
        <w:tab/>
        <w:t>[Section 16 inserted: No. 30 of 2018 s. 83.]</w:t>
      </w:r>
    </w:p>
    <w:p>
      <w:pPr>
        <w:pStyle w:val="Heading4"/>
      </w:pPr>
      <w:bookmarkStart w:id="59" w:name="_Toc106986176"/>
      <w:bookmarkStart w:id="60" w:name="_Toc106986612"/>
      <w:bookmarkStart w:id="61" w:name="_Toc100308190"/>
      <w:bookmarkStart w:id="62" w:name="_Toc100308626"/>
      <w:bookmarkStart w:id="63" w:name="_Toc100564910"/>
      <w:r>
        <w:t>Subdivision 2 — Survey</w:t>
      </w:r>
      <w:r>
        <w:noBreakHyphen/>
        <w:t>strata schemes</w:t>
      </w:r>
      <w:bookmarkEnd w:id="59"/>
      <w:bookmarkEnd w:id="60"/>
      <w:bookmarkEnd w:id="61"/>
      <w:bookmarkEnd w:id="62"/>
      <w:bookmarkEnd w:id="63"/>
    </w:p>
    <w:p>
      <w:pPr>
        <w:pStyle w:val="Footnoteheading"/>
      </w:pPr>
      <w:r>
        <w:tab/>
        <w:t>[Heading inserted: No. 30 of 2018 s. 83.]</w:t>
      </w:r>
    </w:p>
    <w:p>
      <w:pPr>
        <w:pStyle w:val="Heading5"/>
        <w:rPr>
          <w:snapToGrid w:val="0"/>
        </w:rPr>
      </w:pPr>
      <w:bookmarkStart w:id="64" w:name="_Toc106986613"/>
      <w:bookmarkStart w:id="65" w:name="_Toc100564911"/>
      <w:r>
        <w:rPr>
          <w:rStyle w:val="CharSectno"/>
        </w:rPr>
        <w:t>17</w:t>
      </w:r>
      <w:r>
        <w:rPr>
          <w:snapToGrid w:val="0"/>
        </w:rPr>
        <w:t>.</w:t>
      </w:r>
      <w:r>
        <w:rPr>
          <w:snapToGrid w:val="0"/>
        </w:rPr>
        <w:tab/>
        <w:t>Subdivision approval of survey</w:t>
      </w:r>
      <w:r>
        <w:rPr>
          <w:snapToGrid w:val="0"/>
        </w:rPr>
        <w:noBreakHyphen/>
        <w:t>strata scheme</w:t>
      </w:r>
      <w:bookmarkEnd w:id="64"/>
      <w:bookmarkEnd w:id="65"/>
    </w:p>
    <w:p>
      <w:pPr>
        <w:pStyle w:val="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Footnotesection"/>
      </w:pPr>
      <w:r>
        <w:tab/>
        <w:t>[Section 17 inserted: No. 30 of 2018 s. 83.]</w:t>
      </w:r>
    </w:p>
    <w:p>
      <w:pPr>
        <w:pStyle w:val="Heading4"/>
      </w:pPr>
      <w:bookmarkStart w:id="66" w:name="_Toc106986178"/>
      <w:bookmarkStart w:id="67" w:name="_Toc106986614"/>
      <w:bookmarkStart w:id="68" w:name="_Toc100308192"/>
      <w:bookmarkStart w:id="69" w:name="_Toc100308628"/>
      <w:bookmarkStart w:id="70" w:name="_Toc100564912"/>
      <w:r>
        <w:t>Subdivision 3 — General provisions</w:t>
      </w:r>
      <w:bookmarkEnd w:id="66"/>
      <w:bookmarkEnd w:id="67"/>
      <w:bookmarkEnd w:id="68"/>
      <w:bookmarkEnd w:id="69"/>
      <w:bookmarkEnd w:id="70"/>
    </w:p>
    <w:p>
      <w:pPr>
        <w:pStyle w:val="Footnoteheading"/>
        <w:keepNext/>
      </w:pPr>
      <w:r>
        <w:tab/>
        <w:t>[Heading inserted: No. 30 of 2018 s. 83.]</w:t>
      </w:r>
    </w:p>
    <w:p>
      <w:pPr>
        <w:pStyle w:val="Heading5"/>
        <w:rPr>
          <w:snapToGrid w:val="0"/>
        </w:rPr>
      </w:pPr>
      <w:bookmarkStart w:id="71" w:name="_Toc106986615"/>
      <w:bookmarkStart w:id="72" w:name="_Toc100564913"/>
      <w:r>
        <w:rPr>
          <w:rStyle w:val="CharSectno"/>
        </w:rPr>
        <w:t>18</w:t>
      </w:r>
      <w:r>
        <w:t>.</w:t>
      </w:r>
      <w:r>
        <w:tab/>
        <w:t>Planning (scheme by</w:t>
      </w:r>
      <w:r>
        <w:noBreakHyphen/>
        <w:t>laws) condition</w:t>
      </w:r>
      <w:bookmarkEnd w:id="71"/>
      <w:bookmarkEnd w:id="72"/>
    </w:p>
    <w:p>
      <w:pPr>
        <w:pStyle w:val="Subsection"/>
      </w:pPr>
      <w:r>
        <w:rPr>
          <w:snapToGrid w:val="0"/>
        </w:rPr>
        <w:tab/>
      </w:r>
      <w:r>
        <w:rPr>
          <w:snapToGrid w:val="0"/>
        </w:rPr>
        <w:tab/>
      </w:r>
      <w:r>
        <w:t>The conditions of a planning approval applying to a strata titles scheme may include a planning (scheme by</w:t>
      </w:r>
      <w:r>
        <w:noBreakHyphen/>
        <w:t>laws) condition.</w:t>
      </w:r>
    </w:p>
    <w:p>
      <w:pPr>
        <w:pStyle w:val="Footnotesection"/>
      </w:pPr>
      <w:r>
        <w:tab/>
        <w:t>[Section 18 inserted: No. 30 of 2018 s. 83.]</w:t>
      </w:r>
    </w:p>
    <w:p>
      <w:pPr>
        <w:pStyle w:val="Heading5"/>
      </w:pPr>
      <w:bookmarkStart w:id="73" w:name="_Toc106986616"/>
      <w:bookmarkStart w:id="74" w:name="_Toc100564914"/>
      <w:r>
        <w:rPr>
          <w:rStyle w:val="CharSectno"/>
        </w:rPr>
        <w:t>19</w:t>
      </w:r>
      <w:r>
        <w:t>.</w:t>
      </w:r>
      <w:r>
        <w:tab/>
        <w:t>Planning approval of scheme plan or amendment of scheme plan</w:t>
      </w:r>
      <w:bookmarkEnd w:id="73"/>
      <w:bookmarkEnd w:id="74"/>
    </w:p>
    <w:p>
      <w:pPr>
        <w:pStyle w:val="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Indenta"/>
      </w:pPr>
      <w:r>
        <w:tab/>
        <w:t>(a)</w:t>
      </w:r>
      <w:r>
        <w:tab/>
        <w:t>the scheme notice or any amendment of the scheme notice proposed to be submitted for registration with the scheme plan or amendment of the scheme plan; and</w:t>
      </w:r>
    </w:p>
    <w:p>
      <w:pPr>
        <w:pStyle w:val="Indenta"/>
      </w:pPr>
      <w:r>
        <w:tab/>
        <w:t>(b)</w:t>
      </w:r>
      <w:r>
        <w:tab/>
        <w:t>any existing scheme by</w:t>
      </w:r>
      <w:r>
        <w:noBreakHyphen/>
        <w:t>laws made under a planning (scheme by</w:t>
      </w:r>
      <w:r>
        <w:noBreakHyphen/>
        <w:t>laws) condition; and</w:t>
      </w:r>
    </w:p>
    <w:p>
      <w:pPr>
        <w:pStyle w:val="Indenta"/>
      </w:pPr>
      <w:r>
        <w:tab/>
        <w:t>(c)</w:t>
      </w:r>
      <w:r>
        <w:tab/>
        <w:t>for a leasehold scheme, any existing or proposed leasehold by</w:t>
      </w:r>
      <w:r>
        <w:noBreakHyphen/>
        <w:t>laws providing for postponement of the expiry day for the scheme; and</w:t>
      </w:r>
    </w:p>
    <w:p>
      <w:pPr>
        <w:pStyle w:val="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Subsection"/>
        <w:keepNext/>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Indenta"/>
      </w:pPr>
      <w:r>
        <w:tab/>
        <w:t>(b)</w:t>
      </w:r>
      <w:r>
        <w:tab/>
        <w:t>the subdivision and development has been undertaken consistently with —</w:t>
      </w:r>
    </w:p>
    <w:p>
      <w:pPr>
        <w:pStyle w:val="Indenti"/>
      </w:pPr>
      <w:r>
        <w:tab/>
        <w:t>(i)</w:t>
      </w:r>
      <w:r>
        <w:tab/>
        <w:t xml:space="preserve">the approval of the Planning Commission under this Act or the </w:t>
      </w:r>
      <w:r>
        <w:rPr>
          <w:i/>
        </w:rPr>
        <w:t>Planning and Development Act 2005</w:t>
      </w:r>
      <w:r>
        <w:t xml:space="preserve"> (including the conditions of approval); and</w:t>
      </w:r>
    </w:p>
    <w:p>
      <w:pPr>
        <w:pStyle w:val="Indenti"/>
      </w:pPr>
      <w:r>
        <w:tab/>
        <w:t>(ii)</w:t>
      </w:r>
      <w:r>
        <w:tab/>
        <w:t xml:space="preserve">any relevant approval of development under the </w:t>
      </w:r>
      <w:r>
        <w:rPr>
          <w:i/>
        </w:rPr>
        <w:t>Planning and Development Act 2005</w:t>
      </w:r>
      <w:r>
        <w:t xml:space="preserve"> (including the conditions of approval);</w:t>
      </w:r>
    </w:p>
    <w:p>
      <w:pPr>
        <w:pStyle w:val="Indenta"/>
      </w:pPr>
      <w:r>
        <w:tab/>
      </w:r>
      <w:r>
        <w:tab/>
        <w:t>and</w:t>
      </w:r>
    </w:p>
    <w:p>
      <w:pPr>
        <w:pStyle w:val="Indenta"/>
      </w:pPr>
      <w:r>
        <w:tab/>
        <w:t>(c)</w:t>
      </w:r>
      <w:r>
        <w:tab/>
        <w:t xml:space="preserve">the requirements of the </w:t>
      </w:r>
      <w:r>
        <w:rPr>
          <w:i/>
        </w:rPr>
        <w:t>Building Act 2011</w:t>
      </w:r>
      <w:r>
        <w:t xml:space="preserve"> have been complied with for the development; and</w:t>
      </w:r>
    </w:p>
    <w:p>
      <w:pPr>
        <w:pStyle w:val="Indenta"/>
      </w:pPr>
      <w:r>
        <w:tab/>
        <w:t>(d)</w:t>
      </w:r>
      <w:r>
        <w:tab/>
        <w:t>any restricted use condition proposed to be imposed by the scheme plan or amendment of the scheme plan is suitable for the scheme; and</w:t>
      </w:r>
    </w:p>
    <w:p>
      <w:pPr>
        <w:pStyle w:val="Indenta"/>
      </w:pPr>
      <w:r>
        <w:tab/>
        <w:t>(e)</w:t>
      </w:r>
      <w:r>
        <w:tab/>
        <w:t>scheme by</w:t>
      </w:r>
      <w:r>
        <w:noBreakHyphen/>
        <w:t>laws have been or are proposed to be made in accordance with any planning (scheme by</w:t>
      </w:r>
      <w:r>
        <w:noBreakHyphen/>
        <w:t>laws) condition.</w:t>
      </w:r>
    </w:p>
    <w:p>
      <w:pPr>
        <w:pStyle w:val="Footnotesection"/>
      </w:pPr>
      <w:r>
        <w:tab/>
        <w:t>[Section 19 inserted: No. 30 of 2018 s. 83.]</w:t>
      </w:r>
    </w:p>
    <w:p>
      <w:pPr>
        <w:pStyle w:val="Heading5"/>
        <w:rPr>
          <w:snapToGrid w:val="0"/>
        </w:rPr>
      </w:pPr>
      <w:bookmarkStart w:id="75" w:name="_Toc106986617"/>
      <w:bookmarkStart w:id="76" w:name="_Toc100564915"/>
      <w:r>
        <w:rPr>
          <w:rStyle w:val="CharSectno"/>
        </w:rPr>
        <w:t>20</w:t>
      </w:r>
      <w:r>
        <w:rPr>
          <w:snapToGrid w:val="0"/>
        </w:rPr>
        <w:t>.</w:t>
      </w:r>
      <w:r>
        <w:rPr>
          <w:snapToGrid w:val="0"/>
        </w:rPr>
        <w:tab/>
        <w:t>Approval for postponement of expiry day for leasehold scheme</w:t>
      </w:r>
      <w:bookmarkEnd w:id="75"/>
      <w:bookmarkEnd w:id="76"/>
    </w:p>
    <w:p>
      <w:pPr>
        <w:pStyle w:val="Subsection"/>
        <w:keepNext/>
        <w:keepLines/>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PermNoteHeading"/>
      </w:pPr>
      <w:r>
        <w:tab/>
        <w:t>Note for this section:</w:t>
      </w:r>
    </w:p>
    <w:p>
      <w:pPr>
        <w:pStyle w:val="PermNoteText"/>
      </w:pPr>
      <w:r>
        <w:tab/>
      </w:r>
      <w:r>
        <w:tab/>
        <w:t>See section 8(3) and sections 40 and 41.</w:t>
      </w:r>
    </w:p>
    <w:p>
      <w:pPr>
        <w:pStyle w:val="Footnotesection"/>
      </w:pPr>
      <w:r>
        <w:tab/>
        <w:t>[Section 20 inserted: No. 30 of 2018 s. 83.]</w:t>
      </w:r>
    </w:p>
    <w:p>
      <w:pPr>
        <w:pStyle w:val="Heading5"/>
      </w:pPr>
      <w:bookmarkStart w:id="77" w:name="_Toc106986618"/>
      <w:bookmarkStart w:id="78" w:name="_Toc100564916"/>
      <w:r>
        <w:rPr>
          <w:rStyle w:val="CharSectno"/>
        </w:rPr>
        <w:t>21</w:t>
      </w:r>
      <w:r>
        <w:t>.</w:t>
      </w:r>
      <w:r>
        <w:tab/>
        <w:t>Approval for modification of restricted use condition</w:t>
      </w:r>
      <w:bookmarkEnd w:id="77"/>
      <w:bookmarkEnd w:id="78"/>
    </w:p>
    <w:p>
      <w:pPr>
        <w:pStyle w:val="Subsection"/>
        <w:rPr>
          <w:snapToGrid w:val="0"/>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Subsection"/>
        <w:rPr>
          <w:snapToGrid w:val="0"/>
        </w:rPr>
      </w:pPr>
      <w:r>
        <w:rPr>
          <w:snapToGrid w:val="0"/>
        </w:rPr>
        <w:tab/>
        <w:t>(2)</w:t>
      </w:r>
      <w:r>
        <w:rPr>
          <w:snapToGrid w:val="0"/>
        </w:rPr>
        <w:tab/>
        <w:t>The approval may be applied for and given in conjunction with an approval of a plan of subdivision.</w:t>
      </w:r>
    </w:p>
    <w:p>
      <w:pPr>
        <w:pStyle w:val="Subsection"/>
        <w:rPr>
          <w:snapToGrid w:val="0"/>
        </w:rPr>
      </w:pPr>
      <w:r>
        <w:rPr>
          <w:snapToGrid w:val="0"/>
        </w:rPr>
        <w:tab/>
        <w:t>(3)</w:t>
      </w:r>
      <w:r>
        <w:rPr>
          <w:snapToGrid w:val="0"/>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21 inserted: No. 30 of 2018 s. 83.]</w:t>
      </w:r>
    </w:p>
    <w:p>
      <w:pPr>
        <w:pStyle w:val="Ednotesection"/>
        <w:keepNext/>
      </w:pPr>
      <w:r>
        <w:t>[Former sections 21A-21D redesignated as clauses 21A-21D and relocated to Schedule 2A Part 4 Division 1 Subdivision 1: No. 30 of 2018 s. 117.]</w:t>
      </w:r>
    </w:p>
    <w:p>
      <w:pPr>
        <w:pStyle w:val="Ednotesection"/>
      </w:pPr>
      <w:r>
        <w:t>[Former sections 21E-21J redesignated as clauses 21E-21J and relocated to Schedule 2A Part 4 Division 1 Subdivision 2: No. 30 of 2018 s. 117.]</w:t>
      </w:r>
    </w:p>
    <w:p>
      <w:pPr>
        <w:pStyle w:val="Ednotesection"/>
      </w:pPr>
      <w:r>
        <w:t>[</w:t>
      </w:r>
      <w:r>
        <w:rPr>
          <w:b/>
        </w:rPr>
        <w:t>21K-21O.</w:t>
      </w:r>
      <w:r>
        <w:tab/>
        <w:t>Deleted: No. 30 of 2018 s. 82(b).]</w:t>
      </w:r>
    </w:p>
    <w:p>
      <w:pPr>
        <w:pStyle w:val="Ednotesection"/>
      </w:pPr>
      <w:r>
        <w:t>[Former sections 21P-21Z redesignated as clauses 21P-21Z and relocated to Schedule 2A Part 4 Division 1 Subdivision 3: No. 30 of 2018 s. 117.]</w:t>
      </w:r>
    </w:p>
    <w:p>
      <w:pPr>
        <w:pStyle w:val="Heading5"/>
      </w:pPr>
      <w:bookmarkStart w:id="79" w:name="_Toc106986619"/>
      <w:bookmarkStart w:id="80" w:name="_Toc100564917"/>
      <w:r>
        <w:rPr>
          <w:rStyle w:val="CharSectno"/>
        </w:rPr>
        <w:t>22</w:t>
      </w:r>
      <w:r>
        <w:t>.</w:t>
      </w:r>
      <w:r>
        <w:tab/>
        <w:t>Approval under planning (scheme by</w:t>
      </w:r>
      <w:r>
        <w:noBreakHyphen/>
        <w:t>laws) condition</w:t>
      </w:r>
      <w:bookmarkEnd w:id="79"/>
      <w:bookmarkEnd w:id="80"/>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Indenta"/>
        <w:rPr>
          <w:snapToGrid w:val="0"/>
        </w:rPr>
      </w:pPr>
      <w:r>
        <w:rPr>
          <w:snapToGrid w:val="0"/>
          <w:spacing w:val="-4"/>
        </w:rPr>
        <w:tab/>
        <w:t>(a)</w:t>
      </w:r>
      <w:r>
        <w:rPr>
          <w:snapToGrid w:val="0"/>
          <w:spacing w:val="-4"/>
        </w:rPr>
        <w:tab/>
        <w:t>be in the approved form; and</w:t>
      </w:r>
    </w:p>
    <w:p>
      <w:pPr>
        <w:pStyle w:val="Indenta"/>
        <w:rPr>
          <w:snapToGrid w:val="0"/>
        </w:rPr>
      </w:pPr>
      <w:r>
        <w:rPr>
          <w:snapToGrid w:val="0"/>
        </w:rPr>
        <w:tab/>
        <w:t>(b)</w:t>
      </w:r>
      <w:r>
        <w:rPr>
          <w:snapToGrid w:val="0"/>
        </w:rPr>
        <w:tab/>
        <w:t>be accompanied by the fee fixed by the regulations.</w:t>
      </w:r>
    </w:p>
    <w:p>
      <w:pPr>
        <w:pStyle w:val="Footnotesection"/>
      </w:pPr>
      <w:r>
        <w:tab/>
        <w:t>[Section 22 inserted: No. 30 of 2018 s. 83.]</w:t>
      </w:r>
    </w:p>
    <w:p>
      <w:pPr>
        <w:pStyle w:val="Heading5"/>
      </w:pPr>
      <w:bookmarkStart w:id="81" w:name="_Toc106986620"/>
      <w:bookmarkStart w:id="82" w:name="_Toc100564918"/>
      <w:r>
        <w:rPr>
          <w:rStyle w:val="CharSectno"/>
        </w:rPr>
        <w:t>23</w:t>
      </w:r>
      <w:r>
        <w:t>.</w:t>
      </w:r>
      <w:r>
        <w:tab/>
        <w:t>Requirement for local government approval</w:t>
      </w:r>
      <w:bookmarkEnd w:id="81"/>
      <w:bookmarkEnd w:id="82"/>
    </w:p>
    <w:p>
      <w:pPr>
        <w:pStyle w:val="Subsection"/>
      </w:pPr>
      <w:r>
        <w:tab/>
        <w:t>(1)</w:t>
      </w:r>
      <w:r>
        <w:tab/>
        <w:t>In addition to approval of the Planning Commission, a subdivision must be approved by each local government in whose district the parcel is situated if the subdivision involves —</w:t>
      </w:r>
    </w:p>
    <w:p>
      <w:pPr>
        <w:pStyle w:val="Indenta"/>
        <w:rPr>
          <w:snapToGrid w:val="0"/>
        </w:rPr>
      </w:pPr>
      <w:r>
        <w:rPr>
          <w:snapToGrid w:val="0"/>
          <w:spacing w:val="-4"/>
        </w:rPr>
        <w:tab/>
        <w:t>(a)</w:t>
      </w:r>
      <w:r>
        <w:rPr>
          <w:snapToGrid w:val="0"/>
          <w:spacing w:val="-4"/>
        </w:rPr>
        <w:tab/>
        <w:t>2 or more lots being consolidated into 1 lot; or</w:t>
      </w:r>
    </w:p>
    <w:p>
      <w:pPr>
        <w:pStyle w:val="Indenta"/>
        <w:rPr>
          <w:snapToGrid w:val="0"/>
        </w:rPr>
      </w:pPr>
      <w:r>
        <w:rPr>
          <w:snapToGrid w:val="0"/>
        </w:rPr>
        <w:tab/>
        <w:t>(b)</w:t>
      </w:r>
      <w:r>
        <w:rPr>
          <w:snapToGrid w:val="0"/>
        </w:rPr>
        <w:tab/>
        <w:t>1 or more lots being converted into common property; or</w:t>
      </w:r>
    </w:p>
    <w:p>
      <w:pPr>
        <w:pStyle w:val="Indenta"/>
        <w:rPr>
          <w:snapToGrid w:val="0"/>
        </w:rPr>
      </w:pPr>
      <w:r>
        <w:rPr>
          <w:snapToGrid w:val="0"/>
        </w:rPr>
        <w:tab/>
        <w:t>(c)</w:t>
      </w:r>
      <w:r>
        <w:rPr>
          <w:snapToGrid w:val="0"/>
        </w:rPr>
        <w:tab/>
        <w:t>the removal, from the parcel, of land comprised of common property.</w:t>
      </w:r>
    </w:p>
    <w:p>
      <w:pPr>
        <w:pStyle w:val="Subsection"/>
      </w:pPr>
      <w:r>
        <w:tab/>
        <w:t>(2)</w:t>
      </w:r>
      <w:r>
        <w:tab/>
        <w:t>If the subdivision is approved, it is subject to any planning (scheme by</w:t>
      </w:r>
      <w:r>
        <w:noBreakHyphen/>
        <w:t>laws) condition attached to the local government approval.</w:t>
      </w:r>
    </w:p>
    <w:p>
      <w:pPr>
        <w:pStyle w:val="Footnotesection"/>
      </w:pPr>
      <w:r>
        <w:tab/>
        <w:t>[Section 23 inserted: No. 30 of 2018 s. 83.]</w:t>
      </w:r>
    </w:p>
    <w:p>
      <w:pPr>
        <w:pStyle w:val="Heading3"/>
        <w:keepLines/>
      </w:pPr>
      <w:bookmarkStart w:id="83" w:name="_Toc106986185"/>
      <w:bookmarkStart w:id="84" w:name="_Toc106986621"/>
      <w:bookmarkStart w:id="85" w:name="_Toc100308199"/>
      <w:bookmarkStart w:id="86" w:name="_Toc100308635"/>
      <w:bookmarkStart w:id="87" w:name="_Toc100564919"/>
      <w:r>
        <w:rPr>
          <w:rStyle w:val="CharDivNo"/>
        </w:rPr>
        <w:t>Division 2</w:t>
      </w:r>
      <w:r>
        <w:t> — </w:t>
      </w:r>
      <w:r>
        <w:rPr>
          <w:rStyle w:val="CharDivText"/>
        </w:rPr>
        <w:t>Preliminary determinations</w:t>
      </w:r>
      <w:bookmarkEnd w:id="83"/>
      <w:bookmarkEnd w:id="84"/>
      <w:bookmarkEnd w:id="85"/>
      <w:bookmarkEnd w:id="86"/>
      <w:bookmarkEnd w:id="87"/>
    </w:p>
    <w:p>
      <w:pPr>
        <w:pStyle w:val="Footnoteheading"/>
        <w:keepNext/>
        <w:keepLines/>
      </w:pPr>
      <w:r>
        <w:tab/>
        <w:t>[Heading inserted: No. 30 of 2018 s. 83.]</w:t>
      </w:r>
    </w:p>
    <w:p>
      <w:pPr>
        <w:pStyle w:val="Heading5"/>
        <w:rPr>
          <w:snapToGrid w:val="0"/>
        </w:rPr>
      </w:pPr>
      <w:bookmarkStart w:id="88" w:name="_Toc106986622"/>
      <w:bookmarkStart w:id="89" w:name="_Toc100564920"/>
      <w:r>
        <w:rPr>
          <w:rStyle w:val="CharSectno"/>
        </w:rPr>
        <w:t>24</w:t>
      </w:r>
      <w:r>
        <w:rPr>
          <w:snapToGrid w:val="0"/>
        </w:rPr>
        <w:t>.</w:t>
      </w:r>
      <w:r>
        <w:rPr>
          <w:snapToGrid w:val="0"/>
        </w:rPr>
        <w:tab/>
        <w:t>Preliminary determinations by local government</w:t>
      </w:r>
      <w:bookmarkEnd w:id="88"/>
      <w:bookmarkEnd w:id="89"/>
    </w:p>
    <w:p>
      <w:pPr>
        <w:pStyle w:val="Ednotesubsection"/>
        <w:keepNext/>
        <w:keepLines/>
      </w:pPr>
      <w:r>
        <w:tab/>
        <w:t>[(1)</w:t>
      </w:r>
      <w:r>
        <w:tab/>
        <w:t>deleted]</w:t>
      </w:r>
    </w:p>
    <w:p>
      <w:pPr>
        <w:pStyle w:val="Subsection"/>
      </w:pPr>
      <w:r>
        <w:rPr>
          <w:snapToGrid w:val="0"/>
        </w:rPr>
        <w:tab/>
        <w:t>(2)</w:t>
      </w:r>
      <w:r>
        <w:rPr>
          <w:snapToGrid w:val="0"/>
        </w:rPr>
        <w:tab/>
      </w:r>
      <w:r>
        <w:t xml:space="preserve">On, </w:t>
      </w:r>
      <w:r>
        <w:rPr>
          <w:snapToGrid w:val="0"/>
        </w:rPr>
        <w:t xml:space="preserve">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or interim development order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keepNext/>
        <w:keepLines/>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 xml:space="preserve">An applicant for a determination under this section </w:t>
      </w:r>
      <w:r>
        <w:t>must</w:t>
      </w:r>
      <w:r>
        <w:rPr>
          <w:snapToGrid w:val="0"/>
          <w:spacing w:val="-4"/>
        </w:rPr>
        <w:t xml:space="preserve">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 xml:space="preserve">A determination made by a local government under this section </w:t>
      </w:r>
      <w:r>
        <w:t>must</w:t>
      </w:r>
      <w:r>
        <w:rPr>
          <w:snapToGrid w:val="0"/>
        </w:rPr>
        <w:t xml:space="preserve">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 xml:space="preserve">A determination under this section </w:t>
      </w:r>
      <w:r>
        <w:t>is</w:t>
      </w:r>
      <w:r>
        <w:rPr>
          <w:snapToGrid w:val="0"/>
        </w:rPr>
        <w:t xml:space="preserve"> valid and binding on the local government for a period of 2 years after it is made unless the local government, at the time of the determination, declares in writing that the determination </w:t>
      </w:r>
      <w:r>
        <w:t>is</w:t>
      </w:r>
      <w:r>
        <w:rPr>
          <w:snapToGrid w:val="0"/>
        </w:rPr>
        <w:t xml:space="preserv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 amended and relocated: No. 30 of 2018 s. 29 and 84.]</w:t>
      </w:r>
    </w:p>
    <w:p>
      <w:pPr>
        <w:pStyle w:val="Heading3"/>
      </w:pPr>
      <w:bookmarkStart w:id="90" w:name="_Toc106986187"/>
      <w:bookmarkStart w:id="91" w:name="_Toc106986623"/>
      <w:bookmarkStart w:id="92" w:name="_Toc100308201"/>
      <w:bookmarkStart w:id="93" w:name="_Toc100308637"/>
      <w:bookmarkStart w:id="94" w:name="_Toc100564921"/>
      <w:r>
        <w:rPr>
          <w:rStyle w:val="CharDivNo"/>
        </w:rPr>
        <w:t>Division 3</w:t>
      </w:r>
      <w:r>
        <w:t> — </w:t>
      </w:r>
      <w:r>
        <w:rPr>
          <w:rStyle w:val="CharDivText"/>
        </w:rPr>
        <w:t>Common property</w:t>
      </w:r>
      <w:bookmarkEnd w:id="90"/>
      <w:bookmarkEnd w:id="91"/>
      <w:bookmarkEnd w:id="92"/>
      <w:bookmarkEnd w:id="93"/>
      <w:bookmarkEnd w:id="94"/>
    </w:p>
    <w:p>
      <w:pPr>
        <w:pStyle w:val="Footnoteheading"/>
      </w:pPr>
      <w:r>
        <w:tab/>
        <w:t>[Heading inserted: No. 30 of 2018 s. 83.]</w:t>
      </w:r>
    </w:p>
    <w:p>
      <w:pPr>
        <w:pStyle w:val="Heading5"/>
      </w:pPr>
      <w:bookmarkStart w:id="95" w:name="_Toc106986624"/>
      <w:bookmarkStart w:id="96" w:name="_Toc100564922"/>
      <w:r>
        <w:rPr>
          <w:rStyle w:val="CharSectno"/>
        </w:rPr>
        <w:t>25</w:t>
      </w:r>
      <w:r>
        <w:t>.</w:t>
      </w:r>
      <w:r>
        <w:tab/>
        <w:t>Long term lease of temporary common property</w:t>
      </w:r>
      <w:bookmarkEnd w:id="95"/>
      <w:bookmarkEnd w:id="96"/>
    </w:p>
    <w:p>
      <w:pPr>
        <w:pStyle w:val="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Footnotesection"/>
      </w:pPr>
      <w:r>
        <w:tab/>
        <w:t>[Section 25 inserted: No. 30 of 2018 s. 83.]</w:t>
      </w:r>
    </w:p>
    <w:p>
      <w:pPr>
        <w:pStyle w:val="Ednotesection"/>
      </w:pPr>
      <w:r>
        <w:t>[</w:t>
      </w:r>
      <w:r>
        <w:rPr>
          <w:b/>
        </w:rPr>
        <w:t>25A, 25B.</w:t>
      </w:r>
      <w:r>
        <w:rPr>
          <w:b/>
        </w:rPr>
        <w:tab/>
      </w:r>
      <w:r>
        <w:t>Deleted: No. 30 of 2018 s. 82(b).]</w:t>
      </w:r>
    </w:p>
    <w:p>
      <w:pPr>
        <w:pStyle w:val="Heading5"/>
        <w:rPr>
          <w:snapToGrid w:val="0"/>
        </w:rPr>
      </w:pPr>
      <w:bookmarkStart w:id="97" w:name="_Toc106986625"/>
      <w:bookmarkStart w:id="98" w:name="_Toc100564923"/>
      <w:r>
        <w:rPr>
          <w:rStyle w:val="CharSectno"/>
        </w:rPr>
        <w:t>26</w:t>
      </w:r>
      <w:r>
        <w:rPr>
          <w:snapToGrid w:val="0"/>
        </w:rPr>
        <w:t>.</w:t>
      </w:r>
      <w:r>
        <w:rPr>
          <w:snapToGrid w:val="0"/>
        </w:rPr>
        <w:tab/>
        <w:t>Long term lease or licence over common property</w:t>
      </w:r>
      <w:bookmarkEnd w:id="97"/>
      <w:bookmarkEnd w:id="98"/>
    </w:p>
    <w:p>
      <w:pPr>
        <w:pStyle w:val="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Footnotesection"/>
      </w:pPr>
      <w:r>
        <w:tab/>
        <w:t>[Section 26 inserted: No. 30 of 2018 s. 83.]</w:t>
      </w:r>
    </w:p>
    <w:p>
      <w:pPr>
        <w:pStyle w:val="Ednotesection"/>
      </w:pPr>
      <w:r>
        <w:t>[Former section 26 renumbered as section 28 and relocated to Part 3 Division 4: No. 30 of 2018 s. 84.]</w:t>
      </w:r>
    </w:p>
    <w:p>
      <w:pPr>
        <w:pStyle w:val="Heading3"/>
      </w:pPr>
      <w:bookmarkStart w:id="99" w:name="_Toc106986190"/>
      <w:bookmarkStart w:id="100" w:name="_Toc106986626"/>
      <w:bookmarkStart w:id="101" w:name="_Toc100308204"/>
      <w:bookmarkStart w:id="102" w:name="_Toc100308640"/>
      <w:bookmarkStart w:id="103" w:name="_Toc100564924"/>
      <w:r>
        <w:rPr>
          <w:rStyle w:val="CharDivNo"/>
        </w:rPr>
        <w:t>Division 4</w:t>
      </w:r>
      <w:r>
        <w:t> — </w:t>
      </w:r>
      <w:r>
        <w:rPr>
          <w:rStyle w:val="CharDivText"/>
        </w:rPr>
        <w:t>Review of decisions</w:t>
      </w:r>
      <w:bookmarkEnd w:id="99"/>
      <w:bookmarkEnd w:id="100"/>
      <w:bookmarkEnd w:id="101"/>
      <w:bookmarkEnd w:id="102"/>
      <w:bookmarkEnd w:id="103"/>
    </w:p>
    <w:p>
      <w:pPr>
        <w:pStyle w:val="Footnoteheading"/>
      </w:pPr>
      <w:r>
        <w:tab/>
        <w:t>[Heading inserted: No. 30 of 2018 s. 83.]</w:t>
      </w:r>
    </w:p>
    <w:p>
      <w:pPr>
        <w:pStyle w:val="Heading5"/>
        <w:rPr>
          <w:snapToGrid w:val="0"/>
        </w:rPr>
      </w:pPr>
      <w:bookmarkStart w:id="104" w:name="_Toc106986627"/>
      <w:bookmarkStart w:id="105" w:name="_Toc100564925"/>
      <w:r>
        <w:rPr>
          <w:rStyle w:val="CharSectno"/>
        </w:rPr>
        <w:t>27</w:t>
      </w:r>
      <w:r>
        <w:rPr>
          <w:snapToGrid w:val="0"/>
        </w:rPr>
        <w:t>.</w:t>
      </w:r>
      <w:r>
        <w:rPr>
          <w:snapToGrid w:val="0"/>
        </w:rPr>
        <w:tab/>
        <w:t>Review of Planning Commission decision</w:t>
      </w:r>
      <w:bookmarkEnd w:id="104"/>
      <w:bookmarkEnd w:id="105"/>
    </w:p>
    <w:p>
      <w:pPr>
        <w:pStyle w:val="Subsection"/>
        <w:rPr>
          <w:snapToGrid w:val="0"/>
        </w:rPr>
      </w:pPr>
      <w:r>
        <w:rPr>
          <w:snapToGrid w:val="0"/>
          <w:spacing w:val="-4"/>
        </w:rPr>
        <w:tab/>
        <w:t>(1)</w:t>
      </w:r>
      <w:r>
        <w:rPr>
          <w:snapToGrid w:val="0"/>
          <w:spacing w:val="-4"/>
        </w:rPr>
        <w:tab/>
        <w:t>The Planning Commission must give written notice of its decision on an application made to it under this Part to the applicant.</w:t>
      </w:r>
    </w:p>
    <w:p>
      <w:pPr>
        <w:pStyle w:val="Subsection"/>
        <w:rPr>
          <w:snapToGrid w:val="0"/>
        </w:rPr>
      </w:pPr>
      <w:r>
        <w:rPr>
          <w:snapToGrid w:val="0"/>
        </w:rPr>
        <w:tab/>
        <w:t>(2)</w:t>
      </w:r>
      <w:r>
        <w:rPr>
          <w:snapToGrid w:val="0"/>
        </w:rPr>
        <w:tab/>
        <w:t>A person who has made an application under this Part may apply to the Tribunal for a review of a decision of the Planning Commission —</w:t>
      </w:r>
    </w:p>
    <w:p>
      <w:pPr>
        <w:pStyle w:val="Indenta"/>
        <w:rPr>
          <w:snapToGrid w:val="0"/>
        </w:rPr>
      </w:pPr>
      <w:r>
        <w:rPr>
          <w:snapToGrid w:val="0"/>
          <w:spacing w:val="-4"/>
        </w:rPr>
        <w:tab/>
        <w:t>(a)</w:t>
      </w:r>
      <w:r>
        <w:rPr>
          <w:snapToGrid w:val="0"/>
          <w:spacing w:val="-4"/>
        </w:rPr>
        <w:tab/>
        <w:t>to refuse to approve an application under section 15; or</w:t>
      </w:r>
    </w:p>
    <w:p>
      <w:pPr>
        <w:pStyle w:val="Indenta"/>
        <w:rPr>
          <w:snapToGrid w:val="0"/>
        </w:rPr>
      </w:pPr>
      <w:r>
        <w:rPr>
          <w:snapToGrid w:val="0"/>
        </w:rPr>
        <w:tab/>
        <w:t>(b)</w:t>
      </w:r>
      <w:r>
        <w:rPr>
          <w:snapToGrid w:val="0"/>
        </w:rPr>
        <w:tab/>
        <w:t>to impose a condition of an approval under section 15; or</w:t>
      </w:r>
    </w:p>
    <w:p>
      <w:pPr>
        <w:pStyle w:val="Indenta"/>
        <w:rPr>
          <w:snapToGrid w:val="0"/>
        </w:rPr>
      </w:pPr>
      <w:r>
        <w:rPr>
          <w:snapToGrid w:val="0"/>
        </w:rPr>
        <w:tab/>
        <w:t>(c)</w:t>
      </w:r>
      <w:r>
        <w:rPr>
          <w:snapToGrid w:val="0"/>
        </w:rPr>
        <w:tab/>
        <w:t>to refuse to vary or revoke a condition of an approval under section 15; or</w:t>
      </w:r>
    </w:p>
    <w:p>
      <w:pPr>
        <w:pStyle w:val="Indenta"/>
        <w:rPr>
          <w:snapToGrid w:val="0"/>
        </w:rPr>
      </w:pPr>
      <w:r>
        <w:rPr>
          <w:snapToGrid w:val="0"/>
        </w:rPr>
        <w:tab/>
        <w:t>(d)</w:t>
      </w:r>
      <w:r>
        <w:rPr>
          <w:snapToGrid w:val="0"/>
        </w:rPr>
        <w:tab/>
        <w:t>to refuse to approve an application for approval of the making, amendment or repeal of leasehold by</w:t>
      </w:r>
      <w:r>
        <w:rPr>
          <w:snapToGrid w:val="0"/>
        </w:rPr>
        <w:noBreakHyphen/>
        <w:t>laws under section 20; or</w:t>
      </w:r>
    </w:p>
    <w:p>
      <w:pPr>
        <w:pStyle w:val="Indenta"/>
        <w:rPr>
          <w:snapToGrid w:val="0"/>
        </w:rPr>
      </w:pPr>
      <w:r>
        <w:rPr>
          <w:snapToGrid w:val="0"/>
        </w:rPr>
        <w:tab/>
        <w:t>(e)</w:t>
      </w:r>
      <w:r>
        <w:rPr>
          <w:snapToGrid w:val="0"/>
        </w:rPr>
        <w:tab/>
        <w:t>to refuse to approve an amendment of a scheme plan under section 21;</w:t>
      </w:r>
    </w:p>
    <w:p>
      <w:pPr>
        <w:pStyle w:val="Indenta"/>
        <w:rPr>
          <w:snapToGrid w:val="0"/>
        </w:rPr>
      </w:pPr>
      <w:r>
        <w:rPr>
          <w:snapToGrid w:val="0"/>
        </w:rPr>
        <w:tab/>
        <w:t>(f)</w:t>
      </w:r>
      <w:r>
        <w:rPr>
          <w:snapToGrid w:val="0"/>
        </w:rPr>
        <w:tab/>
        <w:t>to refuse to approve an amendment or repeal of scheme by</w:t>
      </w:r>
      <w:r>
        <w:rPr>
          <w:snapToGrid w:val="0"/>
        </w:rPr>
        <w:noBreakHyphen/>
        <w:t>laws under section 22.</w:t>
      </w:r>
    </w:p>
    <w:p>
      <w:pPr>
        <w:pStyle w:val="Subsection"/>
      </w:pPr>
      <w:r>
        <w:tab/>
        <w:t>(3)</w:t>
      </w:r>
      <w:r>
        <w:tab/>
        <w:t xml:space="preserve">The Tribunal has jurisdiction to carry out the review in accordance with the </w:t>
      </w:r>
      <w:r>
        <w:rPr>
          <w:i/>
        </w:rPr>
        <w:t>Planning and Development Act 2005</w:t>
      </w:r>
      <w:r>
        <w:t xml:space="preserve"> Part 14.</w:t>
      </w:r>
    </w:p>
    <w:p>
      <w:pPr>
        <w:pStyle w:val="Subsection"/>
      </w:pPr>
      <w:r>
        <w:tab/>
        <w:t>(4)</w:t>
      </w:r>
      <w:r>
        <w:tab/>
        <w:t>Part 13 does not apply to a proceeding under this section (which is a proceeding within the Tribunal’s review jurisdiction).</w:t>
      </w:r>
    </w:p>
    <w:p>
      <w:pPr>
        <w:pStyle w:val="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Subsection"/>
        <w:rPr>
          <w:snapToGrid w:val="0"/>
        </w:rPr>
      </w:pPr>
      <w:r>
        <w:rPr>
          <w:snapToGrid w:val="0"/>
        </w:rPr>
        <w:tab/>
        <w:t>(7)</w:t>
      </w:r>
      <w:r>
        <w:rPr>
          <w:snapToGrid w:val="0"/>
        </w:rPr>
        <w:tab/>
        <w:t>In this section —</w:t>
      </w:r>
    </w:p>
    <w:p>
      <w:pPr>
        <w:pStyle w:val="Defstart"/>
      </w:pPr>
      <w:r>
        <w:tab/>
      </w:r>
      <w:r>
        <w:rPr>
          <w:rStyle w:val="CharDefText"/>
        </w:rPr>
        <w:t>prescribed period</w:t>
      </w:r>
      <w:r>
        <w:t xml:space="preserve"> means 40 days or, if some other period is specified in the regulations, that period.</w:t>
      </w:r>
    </w:p>
    <w:p>
      <w:pPr>
        <w:pStyle w:val="Footnotesection"/>
      </w:pPr>
      <w:r>
        <w:tab/>
        <w:t>[Section 27 inserted: No. 30 of 2018 s. 83.]</w:t>
      </w:r>
    </w:p>
    <w:p>
      <w:pPr>
        <w:pStyle w:val="Heading5"/>
        <w:rPr>
          <w:snapToGrid w:val="0"/>
        </w:rPr>
      </w:pPr>
      <w:bookmarkStart w:id="106" w:name="_Toc106986628"/>
      <w:bookmarkStart w:id="107" w:name="_Toc100564926"/>
      <w:r>
        <w:rPr>
          <w:rStyle w:val="CharSectno"/>
        </w:rPr>
        <w:t>28</w:t>
      </w:r>
      <w:r>
        <w:rPr>
          <w:snapToGrid w:val="0"/>
        </w:rPr>
        <w:t>.</w:t>
      </w:r>
      <w:r>
        <w:rPr>
          <w:snapToGrid w:val="0"/>
        </w:rPr>
        <w:tab/>
        <w:t>Review of local government decision</w:t>
      </w:r>
      <w:bookmarkEnd w:id="106"/>
      <w:bookmarkEnd w:id="107"/>
    </w:p>
    <w:p>
      <w:pPr>
        <w:pStyle w:val="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Ednotesubsection"/>
      </w:pPr>
      <w:r>
        <w:tab/>
        <w:t>[(2)</w:t>
      </w:r>
      <w:r>
        <w:tab/>
        <w:t>deleted]</w:t>
      </w:r>
    </w:p>
    <w:p>
      <w:pPr>
        <w:pStyle w:val="Subsection"/>
        <w:keepNext/>
        <w:rPr>
          <w:snapToGrid w:val="0"/>
        </w:rPr>
      </w:pPr>
      <w:r>
        <w:rPr>
          <w:snapToGrid w:val="0"/>
        </w:rPr>
        <w:tab/>
        <w:t>(3)</w:t>
      </w:r>
      <w:r>
        <w:rPr>
          <w:snapToGrid w:val="0"/>
        </w:rPr>
        <w:tab/>
        <w:t xml:space="preserve">A notice of refusal by a local government to approve an application </w:t>
      </w:r>
      <w:r>
        <w:t>made to it under this Part must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Indenta"/>
        <w:rPr>
          <w:snapToGrid w:val="0"/>
        </w:rPr>
      </w:pPr>
      <w:r>
        <w:rPr>
          <w:snapToGrid w:val="0"/>
        </w:rPr>
        <w:tab/>
        <w:t>(b)</w:t>
      </w:r>
      <w:r>
        <w:rPr>
          <w:snapToGrid w:val="0"/>
        </w:rPr>
        <w:tab/>
        <w:t>a refusal by a local government to approve an application under section 23 or 24; or</w:t>
      </w:r>
    </w:p>
    <w:p>
      <w:pPr>
        <w:pStyle w:val="Indenta"/>
        <w:rPr>
          <w:snapToGrid w:val="0"/>
        </w:rPr>
      </w:pPr>
      <w:r>
        <w:rPr>
          <w:snapToGrid w:val="0"/>
        </w:rPr>
        <w:tab/>
        <w:t>(c)</w:t>
      </w:r>
      <w:r>
        <w:rPr>
          <w:snapToGrid w:val="0"/>
        </w:rPr>
        <w:tab/>
        <w:t>the attachment of a condition to the approval of an application under section 23 or 24; or</w:t>
      </w:r>
    </w:p>
    <w:p>
      <w:pPr>
        <w:pStyle w:val="Indenta"/>
        <w:rPr>
          <w:snapToGrid w:val="0"/>
        </w:rPr>
      </w:pPr>
      <w:r>
        <w:rPr>
          <w:snapToGrid w:val="0"/>
        </w:rPr>
        <w:tab/>
        <w:t>(d)</w:t>
      </w:r>
      <w:r>
        <w:rPr>
          <w:snapToGrid w:val="0"/>
        </w:rPr>
        <w:tab/>
        <w:t>to refuse to approve acceptance of a lease under section 25; or</w:t>
      </w:r>
    </w:p>
    <w:p>
      <w:pPr>
        <w:pStyle w:val="Indenta"/>
        <w:rPr>
          <w:snapToGrid w:val="0"/>
        </w:rPr>
      </w:pPr>
      <w:r>
        <w:rPr>
          <w:snapToGrid w:val="0"/>
        </w:rPr>
        <w:tab/>
        <w:t>(e)</w:t>
      </w:r>
      <w:r>
        <w:rPr>
          <w:snapToGrid w:val="0"/>
        </w:rPr>
        <w:tab/>
        <w:t>a decision to refuse to approve a lease or licence under section 26.</w:t>
      </w:r>
    </w:p>
    <w:p>
      <w:pPr>
        <w:pStyle w:val="Subsection"/>
      </w:pPr>
      <w:r>
        <w:tab/>
        <w:t>(5)</w:t>
      </w:r>
      <w:r>
        <w:tab/>
        <w:t xml:space="preserve">Part 13 does not apply to a proceeding under this section (which is a </w:t>
      </w:r>
      <w:r>
        <w:rPr>
          <w:snapToGrid w:val="0"/>
        </w:rPr>
        <w:t>proceeding</w:t>
      </w:r>
      <w:r>
        <w:t xml:space="preserve"> within the Tribunal’s review jurisdiction).</w:t>
      </w:r>
    </w:p>
    <w:p>
      <w:pPr>
        <w:pStyle w:val="Subsection"/>
      </w:pPr>
      <w:r>
        <w:tab/>
        <w:t>(6)</w:t>
      </w:r>
      <w:r>
        <w:tab/>
        <w:t xml:space="preserve">For the purposes of subsection (4), if </w:t>
      </w:r>
      <w:r>
        <w:rPr>
          <w:snapToGrid w:val="0"/>
        </w:rPr>
        <w:t xml:space="preserve">a local government fails to notify its approval of an application </w:t>
      </w:r>
      <w:r>
        <w:t>under this Part</w:t>
      </w:r>
      <w:r>
        <w:rPr>
          <w:snapToGrid w:val="0"/>
        </w:rPr>
        <w:t xml:space="preserve"> to the applicant within </w:t>
      </w:r>
      <w:r>
        <w:t>the prescribed period after being given</w:t>
      </w:r>
      <w:r>
        <w:rPr>
          <w:snapToGrid w:val="0"/>
        </w:rPr>
        <w:t xml:space="preserve">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w:t>
      </w:r>
      <w:r>
        <w:t>after the day on which the applicant is given</w:t>
      </w:r>
      <w:r>
        <w:rPr>
          <w:snapToGrid w:val="0"/>
        </w:rPr>
        <w:t xml:space="preserve"> notice of the refusal or attachment of a condition or within 30 days </w:t>
      </w:r>
      <w:r>
        <w:t>after</w:t>
      </w:r>
      <w:r>
        <w:rPr>
          <w:snapToGrid w:val="0"/>
        </w:rPr>
        <w:t xml:space="preserve"> the expiration of the </w:t>
      </w:r>
      <w:r>
        <w:t xml:space="preserve">prescribed </w:t>
      </w:r>
      <w:r>
        <w:rPr>
          <w:snapToGrid w:val="0"/>
        </w:rPr>
        <w:t xml:space="preserve">period referred to in </w:t>
      </w:r>
      <w:r>
        <w:t>subsection (6), as the case may be.</w:t>
      </w:r>
    </w:p>
    <w:p>
      <w:pPr>
        <w:pStyle w:val="Subsection"/>
        <w:keepNext/>
      </w:pPr>
      <w:r>
        <w:tab/>
        <w:t>(8)</w:t>
      </w:r>
      <w:r>
        <w:tab/>
        <w:t>In this section —</w:t>
      </w:r>
    </w:p>
    <w:p>
      <w:pPr>
        <w:pStyle w:val="Subsection"/>
      </w:pPr>
      <w:r>
        <w:tab/>
      </w:r>
      <w:r>
        <w:tab/>
      </w:r>
      <w:r>
        <w:rPr>
          <w:rStyle w:val="CharDefText"/>
        </w:rPr>
        <w:t>prescribed period</w:t>
      </w:r>
      <w:r>
        <w:t xml:space="preserve"> means 40 days or, if some other period is specified in the regulations, that period.</w:t>
      </w:r>
    </w:p>
    <w:p>
      <w:pPr>
        <w:pStyle w:val="Footnotesection"/>
      </w:pPr>
      <w:r>
        <w:tab/>
        <w:t>[Section 28, formerly section 26, amended: No. 84 of 1994 s. 46; No. 58 of 1995 s. 28, 95 and 96; No. 14 of 1996 s. 4; No. 24 of 2002 s. 28(3)</w:t>
      </w:r>
      <w:r>
        <w:noBreakHyphen/>
        <w:t>(9); No. 55 of 2004 s. 1117; No. 38 of 2005 s. 15; No. 24 of 2011 s. 174(10) and (11); amended, renumbered as section 28 and relocated: No. 30 of 2018 s. 30 and 84.]</w:t>
      </w:r>
    </w:p>
    <w:p>
      <w:pPr>
        <w:pStyle w:val="Ednotesection"/>
      </w:pPr>
      <w:r>
        <w:t>[Former section 28 renumbered as section 166 and relocated to Part 11 Division 1: No. 30 of 2018 s. 84.]</w:t>
      </w:r>
    </w:p>
    <w:p>
      <w:pPr>
        <w:pStyle w:val="Heading2"/>
      </w:pPr>
      <w:bookmarkStart w:id="108" w:name="_Toc106986193"/>
      <w:bookmarkStart w:id="109" w:name="_Toc106986629"/>
      <w:bookmarkStart w:id="110" w:name="_Toc100308207"/>
      <w:bookmarkStart w:id="111" w:name="_Toc100308643"/>
      <w:bookmarkStart w:id="112" w:name="_Toc100564927"/>
      <w:r>
        <w:rPr>
          <w:rStyle w:val="CharPartNo"/>
        </w:rPr>
        <w:t>Part 4</w:t>
      </w:r>
      <w:r>
        <w:rPr>
          <w:b w:val="0"/>
        </w:rPr>
        <w:t> </w:t>
      </w:r>
      <w:r>
        <w:t>—</w:t>
      </w:r>
      <w:r>
        <w:rPr>
          <w:b w:val="0"/>
        </w:rPr>
        <w:t> </w:t>
      </w:r>
      <w:r>
        <w:rPr>
          <w:rStyle w:val="CharPartText"/>
        </w:rPr>
        <w:t>Scheme documents</w:t>
      </w:r>
      <w:bookmarkEnd w:id="108"/>
      <w:bookmarkEnd w:id="109"/>
      <w:bookmarkEnd w:id="110"/>
      <w:bookmarkEnd w:id="111"/>
      <w:bookmarkEnd w:id="112"/>
    </w:p>
    <w:p>
      <w:pPr>
        <w:pStyle w:val="Footnoteheading"/>
      </w:pPr>
      <w:r>
        <w:tab/>
        <w:t>[Heading inserted: No. 30 of 2018 s. 83.]</w:t>
      </w:r>
    </w:p>
    <w:p>
      <w:pPr>
        <w:pStyle w:val="Heading3"/>
      </w:pPr>
      <w:bookmarkStart w:id="113" w:name="_Toc106986194"/>
      <w:bookmarkStart w:id="114" w:name="_Toc106986630"/>
      <w:bookmarkStart w:id="115" w:name="_Toc100308208"/>
      <w:bookmarkStart w:id="116" w:name="_Toc100308644"/>
      <w:bookmarkStart w:id="117" w:name="_Toc100564928"/>
      <w:r>
        <w:rPr>
          <w:rStyle w:val="CharDivNo"/>
        </w:rPr>
        <w:t>Division 1</w:t>
      </w:r>
      <w:r>
        <w:t> — </w:t>
      </w:r>
      <w:r>
        <w:rPr>
          <w:rStyle w:val="CharDivText"/>
        </w:rPr>
        <w:t>Scheme notice</w:t>
      </w:r>
      <w:bookmarkEnd w:id="113"/>
      <w:bookmarkEnd w:id="114"/>
      <w:bookmarkEnd w:id="115"/>
      <w:bookmarkEnd w:id="116"/>
      <w:bookmarkEnd w:id="117"/>
    </w:p>
    <w:p>
      <w:pPr>
        <w:pStyle w:val="Footnoteheading"/>
      </w:pPr>
      <w:r>
        <w:tab/>
        <w:t>[Heading inserted: No. 30 of 2018 s. 83.]</w:t>
      </w:r>
    </w:p>
    <w:p>
      <w:pPr>
        <w:pStyle w:val="Heading5"/>
      </w:pPr>
      <w:bookmarkStart w:id="118" w:name="_Toc106986631"/>
      <w:bookmarkStart w:id="119" w:name="_Toc100564929"/>
      <w:r>
        <w:rPr>
          <w:rStyle w:val="CharSectno"/>
        </w:rPr>
        <w:t>29</w:t>
      </w:r>
      <w:r>
        <w:t>.</w:t>
      </w:r>
      <w:r>
        <w:tab/>
        <w:t>Scheme notice</w:t>
      </w:r>
      <w:bookmarkEnd w:id="118"/>
      <w:bookmarkEnd w:id="119"/>
    </w:p>
    <w:p>
      <w:pPr>
        <w:pStyle w:val="Subsection"/>
      </w:pPr>
      <w:r>
        <w:tab/>
        <w:t>(1)</w:t>
      </w:r>
      <w:r>
        <w:tab/>
        <w:t>A scheme notice for a strata titles scheme must —</w:t>
      </w:r>
    </w:p>
    <w:p>
      <w:pPr>
        <w:pStyle w:val="Indenta"/>
        <w:rPr>
          <w:snapToGrid w:val="0"/>
        </w:rPr>
      </w:pPr>
      <w:r>
        <w:rPr>
          <w:snapToGrid w:val="0"/>
          <w:spacing w:val="-4"/>
        </w:rPr>
        <w:tab/>
        <w:t>(a)</w:t>
      </w:r>
      <w:r>
        <w:rPr>
          <w:snapToGrid w:val="0"/>
          <w:spacing w:val="-4"/>
        </w:rPr>
        <w:tab/>
        <w:t>specify the name of the scheme; and</w:t>
      </w:r>
    </w:p>
    <w:p>
      <w:pPr>
        <w:pStyle w:val="Indenta"/>
        <w:rPr>
          <w:snapToGrid w:val="0"/>
        </w:rPr>
      </w:pPr>
      <w:r>
        <w:rPr>
          <w:snapToGrid w:val="0"/>
        </w:rPr>
        <w:tab/>
        <w:t>(b)</w:t>
      </w:r>
      <w:r>
        <w:rPr>
          <w:snapToGrid w:val="0"/>
        </w:rPr>
        <w:tab/>
        <w:t>specify the address for service of the strata company; and</w:t>
      </w:r>
    </w:p>
    <w:p>
      <w:pPr>
        <w:pStyle w:val="Indenta"/>
        <w:rPr>
          <w:snapToGrid w:val="0"/>
        </w:rPr>
      </w:pPr>
      <w:r>
        <w:rPr>
          <w:snapToGrid w:val="0"/>
        </w:rPr>
        <w:tab/>
        <w:t>(c)</w:t>
      </w:r>
      <w:r>
        <w:rPr>
          <w:snapToGrid w:val="0"/>
        </w:rPr>
        <w:tab/>
        <w:t>if it is a leasehold scheme —</w:t>
      </w:r>
    </w:p>
    <w:p>
      <w:pPr>
        <w:pStyle w:val="Indenti"/>
        <w:rPr>
          <w:snapToGrid w:val="0"/>
        </w:rPr>
      </w:pPr>
      <w:r>
        <w:rPr>
          <w:snapToGrid w:val="0"/>
        </w:rPr>
        <w:tab/>
        <w:t>(i)</w:t>
      </w:r>
      <w:r>
        <w:rPr>
          <w:snapToGrid w:val="0"/>
        </w:rPr>
        <w:tab/>
        <w:t>identify the scheme as a leasehold scheme; and</w:t>
      </w:r>
    </w:p>
    <w:p>
      <w:pPr>
        <w:pStyle w:val="Indenti"/>
        <w:rPr>
          <w:snapToGrid w:val="0"/>
        </w:rPr>
      </w:pPr>
      <w:r>
        <w:rPr>
          <w:snapToGrid w:val="0"/>
        </w:rPr>
        <w:tab/>
        <w:t>(ii)</w:t>
      </w:r>
      <w:r>
        <w:rPr>
          <w:snapToGrid w:val="0"/>
        </w:rPr>
        <w:tab/>
        <w:t>specify the expiry day for the scheme.</w:t>
      </w:r>
    </w:p>
    <w:p>
      <w:pPr>
        <w:pStyle w:val="Subsection"/>
      </w:pPr>
      <w:r>
        <w:tab/>
        <w:t>(2)</w:t>
      </w:r>
      <w:r>
        <w:tab/>
        <w:t>A scheme notice, or an amendment of a scheme notice, for a strata titles scheme must be in the approved form.</w:t>
      </w:r>
    </w:p>
    <w:p>
      <w:pPr>
        <w:pStyle w:val="Footnotesection"/>
      </w:pPr>
      <w:r>
        <w:tab/>
        <w:t>[Section 29 inserted: No. 30 of 2018 s. 83.]</w:t>
      </w:r>
    </w:p>
    <w:p>
      <w:pPr>
        <w:pStyle w:val="Footnotesection"/>
      </w:pPr>
      <w:r>
        <w:t>[Former section 29 r renumbered as section 167 and relocated to Part 11 Division 2: No. 30 of 2018 s. 84.]</w:t>
      </w:r>
    </w:p>
    <w:p>
      <w:pPr>
        <w:pStyle w:val="Ednotesection"/>
      </w:pPr>
      <w:r>
        <w:t>[Former sections 29A and 29B renumbered as sections 168 and 169 and relocated to Part 11 Division 2: No. 30 of 2018 s. 84.]</w:t>
      </w:r>
    </w:p>
    <w:p>
      <w:pPr>
        <w:pStyle w:val="Ednotesection"/>
      </w:pPr>
      <w:r>
        <w:t>[Former section 29C renumbered as section 196 and relocated to Part 12 Division 7: No. 30 of 2018 s. 84.]</w:t>
      </w:r>
    </w:p>
    <w:p>
      <w:pPr>
        <w:pStyle w:val="Heading5"/>
      </w:pPr>
      <w:bookmarkStart w:id="120" w:name="_Toc106986632"/>
      <w:bookmarkStart w:id="121" w:name="_Toc100564930"/>
      <w:r>
        <w:rPr>
          <w:rStyle w:val="CharSectno"/>
        </w:rPr>
        <w:t>30</w:t>
      </w:r>
      <w:r>
        <w:t>.</w:t>
      </w:r>
      <w:r>
        <w:tab/>
        <w:t>Scheme name and address for service of strata company</w:t>
      </w:r>
      <w:bookmarkEnd w:id="120"/>
      <w:bookmarkEnd w:id="121"/>
    </w:p>
    <w:p>
      <w:pPr>
        <w:pStyle w:val="Subsection"/>
      </w:pPr>
      <w:r>
        <w:tab/>
        <w:t>(1)</w:t>
      </w:r>
      <w:r>
        <w:tab/>
        <w:t>A scheme notice, or an amendment of a scheme notice to alter the name of the scheme, must not be registered if the Registrar of Titles is satisfied that the name of the scheme is undesirable.</w:t>
      </w:r>
    </w:p>
    <w:p>
      <w:pPr>
        <w:pStyle w:val="Subsection"/>
      </w:pPr>
      <w:r>
        <w:tab/>
        <w:t>(2)</w:t>
      </w:r>
      <w:r>
        <w:tab/>
        <w:t>An amendment of a scheme notice to alter the name of the scheme must not be registered unless the amendment is authorised by special resolution of the strata company.</w:t>
      </w:r>
    </w:p>
    <w:p>
      <w:pPr>
        <w:pStyle w:val="Subsection"/>
      </w:pPr>
      <w:r>
        <w:tab/>
        <w:t>(3)</w:t>
      </w:r>
      <w:r>
        <w:tab/>
        <w:t>An amendment of a scheme notice to alter the address for service of the strata company must not be registered unless the amendment is authorised by ordinary resolution of the strata company.</w:t>
      </w:r>
    </w:p>
    <w:p>
      <w:pPr>
        <w:pStyle w:val="Footnotesection"/>
      </w:pPr>
      <w:r>
        <w:tab/>
        <w:t>[Section 30 inserted: No. 30 of 2018 s. 83.]</w:t>
      </w:r>
    </w:p>
    <w:p>
      <w:pPr>
        <w:pStyle w:val="Ednotesection"/>
      </w:pPr>
      <w:r>
        <w:t>[</w:t>
      </w:r>
      <w:r>
        <w:rPr>
          <w:b/>
        </w:rPr>
        <w:t>30A.</w:t>
      </w:r>
      <w:r>
        <w:tab/>
        <w:t>Deleted: No. 30 of 2018 s. 82(b).]</w:t>
      </w:r>
    </w:p>
    <w:p>
      <w:pPr>
        <w:pStyle w:val="Heading5"/>
      </w:pPr>
      <w:bookmarkStart w:id="122" w:name="_Toc106986633"/>
      <w:bookmarkStart w:id="123" w:name="_Toc100564931"/>
      <w:r>
        <w:rPr>
          <w:rStyle w:val="CharSectno"/>
        </w:rPr>
        <w:t>31</w:t>
      </w:r>
      <w:r>
        <w:t>.</w:t>
      </w:r>
      <w:r>
        <w:tab/>
        <w:t>Postponement of expiry day for leasehold scheme</w:t>
      </w:r>
      <w:bookmarkEnd w:id="122"/>
      <w:bookmarkEnd w:id="123"/>
    </w:p>
    <w:p>
      <w:pPr>
        <w:pStyle w:val="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Footnotesection"/>
      </w:pPr>
      <w:r>
        <w:tab/>
        <w:t>[Section 31 inserted: No. 30 of 2018 s. 83.]</w:t>
      </w:r>
    </w:p>
    <w:p>
      <w:pPr>
        <w:pStyle w:val="Ednotesection"/>
      </w:pPr>
      <w:r>
        <w:t>[Former sections 31A-31K redesignated as clauses 31A-31K and relocated to Schedule 2A Part 4 Division 2: No. 30 of 2018 s. 117.]</w:t>
      </w:r>
    </w:p>
    <w:p>
      <w:pPr>
        <w:pStyle w:val="Heading3"/>
      </w:pPr>
      <w:bookmarkStart w:id="124" w:name="_Toc106986198"/>
      <w:bookmarkStart w:id="125" w:name="_Toc106986634"/>
      <w:bookmarkStart w:id="126" w:name="_Toc100308212"/>
      <w:bookmarkStart w:id="127" w:name="_Toc100308648"/>
      <w:bookmarkStart w:id="128" w:name="_Toc100564932"/>
      <w:r>
        <w:rPr>
          <w:rStyle w:val="CharDivNo"/>
        </w:rPr>
        <w:t>Division 2</w:t>
      </w:r>
      <w:r>
        <w:t> — </w:t>
      </w:r>
      <w:r>
        <w:rPr>
          <w:rStyle w:val="CharDivText"/>
        </w:rPr>
        <w:t>Scheme plans</w:t>
      </w:r>
      <w:bookmarkEnd w:id="124"/>
      <w:bookmarkEnd w:id="125"/>
      <w:bookmarkEnd w:id="126"/>
      <w:bookmarkEnd w:id="127"/>
      <w:bookmarkEnd w:id="128"/>
    </w:p>
    <w:p>
      <w:pPr>
        <w:pStyle w:val="Footnoteheading"/>
      </w:pPr>
      <w:r>
        <w:tab/>
        <w:t>[Heading inserted: No. 30 of 2018 s. 83.]</w:t>
      </w:r>
    </w:p>
    <w:p>
      <w:pPr>
        <w:pStyle w:val="Heading5"/>
      </w:pPr>
      <w:bookmarkStart w:id="129" w:name="_Toc106986635"/>
      <w:bookmarkStart w:id="130" w:name="_Toc100564933"/>
      <w:r>
        <w:rPr>
          <w:rStyle w:val="CharSectno"/>
        </w:rPr>
        <w:t>32</w:t>
      </w:r>
      <w:r>
        <w:t>.</w:t>
      </w:r>
      <w:r>
        <w:tab/>
        <w:t>Scheme plan</w:t>
      </w:r>
      <w:bookmarkEnd w:id="129"/>
      <w:bookmarkEnd w:id="130"/>
    </w:p>
    <w:p>
      <w:pPr>
        <w:pStyle w:val="Subsection"/>
      </w:pPr>
      <w:r>
        <w:tab/>
        <w:t>(1)</w:t>
      </w:r>
      <w:r>
        <w:tab/>
        <w:t>A scheme plan for a strata titles scheme must —</w:t>
      </w:r>
    </w:p>
    <w:p>
      <w:pPr>
        <w:pStyle w:val="Indenta"/>
        <w:rPr>
          <w:snapToGrid w:val="0"/>
        </w:rPr>
      </w:pPr>
      <w:r>
        <w:rPr>
          <w:snapToGrid w:val="0"/>
          <w:spacing w:val="-4"/>
        </w:rPr>
        <w:tab/>
        <w:t>(a)</w:t>
      </w:r>
      <w:r>
        <w:rPr>
          <w:snapToGrid w:val="0"/>
          <w:spacing w:val="-4"/>
        </w:rPr>
        <w:tab/>
        <w:t>specify the address of the land subdivided by the scheme; and</w:t>
      </w:r>
    </w:p>
    <w:p>
      <w:pPr>
        <w:pStyle w:val="Indenta"/>
        <w:rPr>
          <w:snapToGrid w:val="0"/>
        </w:rPr>
      </w:pPr>
      <w:r>
        <w:rPr>
          <w:snapToGrid w:val="0"/>
        </w:rPr>
        <w:tab/>
        <w:t>(b)</w:t>
      </w:r>
      <w:r>
        <w:rPr>
          <w:snapToGrid w:val="0"/>
        </w:rPr>
        <w:tab/>
        <w:t>identify the title to the land subdivided by the scheme; and</w:t>
      </w:r>
    </w:p>
    <w:p>
      <w:pPr>
        <w:pStyle w:val="Indenta"/>
        <w:rPr>
          <w:snapToGrid w:val="0"/>
        </w:rPr>
      </w:pPr>
      <w:r>
        <w:rPr>
          <w:snapToGrid w:val="0"/>
        </w:rPr>
        <w:tab/>
        <w:t>(c)</w:t>
      </w:r>
      <w:r>
        <w:rPr>
          <w:snapToGrid w:val="0"/>
        </w:rPr>
        <w:tab/>
        <w:t>specify whether the scheme is a strata scheme or a survey</w:t>
      </w:r>
      <w:r>
        <w:rPr>
          <w:snapToGrid w:val="0"/>
        </w:rPr>
        <w:noBreakHyphen/>
        <w:t>strata scheme; and</w:t>
      </w:r>
    </w:p>
    <w:p>
      <w:pPr>
        <w:pStyle w:val="Indenta"/>
        <w:rPr>
          <w:snapToGrid w:val="0"/>
        </w:rPr>
      </w:pPr>
      <w:r>
        <w:rPr>
          <w:snapToGrid w:val="0"/>
        </w:rPr>
        <w:tab/>
        <w:t>(d)</w:t>
      </w:r>
      <w:r>
        <w:rPr>
          <w:snapToGrid w:val="0"/>
        </w:rPr>
        <w:tab/>
        <w:t>if it is a strata scheme — consist of a floor plan and a location plan; and</w:t>
      </w:r>
    </w:p>
    <w:p>
      <w:pPr>
        <w:pStyle w:val="Indenta"/>
        <w:rPr>
          <w:snapToGrid w:val="0"/>
        </w:rPr>
      </w:pPr>
      <w:r>
        <w:rPr>
          <w:snapToGrid w:val="0"/>
        </w:rPr>
        <w:tab/>
        <w:t>(e)</w:t>
      </w:r>
      <w:r>
        <w:rPr>
          <w:snapToGrid w:val="0"/>
        </w:rPr>
        <w:tab/>
        <w:t>if it is a survey</w:t>
      </w:r>
      <w:r>
        <w:rPr>
          <w:snapToGrid w:val="0"/>
        </w:rPr>
        <w:noBreakHyphen/>
        <w:t>strata scheme — consist of a survey plan of the land subdivided by the scheme prepared in accordance with the regulations; and</w:t>
      </w:r>
    </w:p>
    <w:p>
      <w:pPr>
        <w:pStyle w:val="Indenta"/>
        <w:rPr>
          <w:snapToGrid w:val="0"/>
        </w:rPr>
      </w:pPr>
      <w:r>
        <w:rPr>
          <w:snapToGrid w:val="0"/>
        </w:rPr>
        <w:tab/>
        <w:t>(f)</w:t>
      </w:r>
      <w:r>
        <w:rPr>
          <w:snapToGrid w:val="0"/>
        </w:rPr>
        <w:tab/>
        <w:t>enable each lot in the scheme to be separately identified and located; and</w:t>
      </w:r>
    </w:p>
    <w:p>
      <w:pPr>
        <w:pStyle w:val="Indenta"/>
        <w:rPr>
          <w:snapToGrid w:val="0"/>
        </w:rPr>
      </w:pPr>
      <w:r>
        <w:rPr>
          <w:snapToGrid w:val="0"/>
        </w:rPr>
        <w:tab/>
        <w:t>(g)</w:t>
      </w:r>
      <w:r>
        <w:rPr>
          <w:snapToGrid w:val="0"/>
        </w:rPr>
        <w:tab/>
        <w:t>define the boundaries of each lot in the manner required under section 9 depending on whether the scheme is a strata scheme or survey</w:t>
      </w:r>
      <w:r>
        <w:rPr>
          <w:snapToGrid w:val="0"/>
        </w:rPr>
        <w:noBreakHyphen/>
        <w:t>strata scheme; and</w:t>
      </w:r>
    </w:p>
    <w:p>
      <w:pPr>
        <w:pStyle w:val="Indenta"/>
      </w:pPr>
      <w:r>
        <w:tab/>
        <w:t>(h)</w:t>
      </w:r>
      <w:r>
        <w:tab/>
        <w:t xml:space="preserve">if land is or is to be vested in the Crown under the </w:t>
      </w:r>
      <w:r>
        <w:rPr>
          <w:i/>
        </w:rPr>
        <w:t>Planning and Development Act 2005</w:t>
      </w:r>
      <w:r>
        <w:t xml:space="preserve"> section 152, delineate that land; and</w:t>
      </w:r>
    </w:p>
    <w:p>
      <w:pPr>
        <w:pStyle w:val="Indenta"/>
      </w:pPr>
      <w:r>
        <w:tab/>
        <w:t>(i)</w:t>
      </w:r>
      <w:r>
        <w:tab/>
        <w:t>delineate areas that are roads, or are to be new roads, for the</w:t>
      </w:r>
      <w:r>
        <w:rPr>
          <w:i/>
        </w:rPr>
        <w:t xml:space="preserve"> Planning and Development Act 2005</w:t>
      </w:r>
      <w:r>
        <w:t xml:space="preserve"> section 168; and</w:t>
      </w:r>
    </w:p>
    <w:p>
      <w:pPr>
        <w:pStyle w:val="Indenta"/>
      </w:pPr>
      <w:r>
        <w:tab/>
        <w:t>(j)</w:t>
      </w:r>
      <w:r>
        <w:tab/>
        <w:t>if it is a strata scheme, identify the nature and extent of any part of a wall or building or material attached to a wall or building that encroaches on land outside the parcel and —</w:t>
      </w:r>
    </w:p>
    <w:p>
      <w:pPr>
        <w:pStyle w:val="Indenti"/>
        <w:rPr>
          <w:snapToGrid w:val="0"/>
        </w:rPr>
      </w:pPr>
      <w:r>
        <w:rPr>
          <w:snapToGrid w:val="0"/>
        </w:rPr>
        <w:tab/>
        <w:t>(i)</w:t>
      </w:r>
      <w:r>
        <w:rPr>
          <w:snapToGrid w:val="0"/>
        </w:rPr>
        <w:tab/>
        <w:t>if an encroachment is to be controlled and managed as if it were common property, specify that fact; and</w:t>
      </w:r>
    </w:p>
    <w:p>
      <w:pPr>
        <w:pStyle w:val="Indenti"/>
        <w:rPr>
          <w:snapToGrid w:val="0"/>
        </w:rPr>
      </w:pPr>
      <w:r>
        <w:rPr>
          <w:snapToGrid w:val="0"/>
        </w:rPr>
        <w:tab/>
        <w:t>(ii)</w:t>
      </w:r>
      <w:r>
        <w:rPr>
          <w:snapToGrid w:val="0"/>
        </w:rPr>
        <w:tab/>
        <w:t>if an encroachment is to be subject to an easement, specify that easement.</w:t>
      </w:r>
    </w:p>
    <w:p>
      <w:pPr>
        <w:pStyle w:val="Subsection"/>
      </w:pPr>
      <w:r>
        <w:tab/>
        <w:t>(2)</w:t>
      </w:r>
      <w:r>
        <w:tab/>
        <w:t>A scheme plan, or an amendment of a scheme plan, for a strata titles scheme may also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Indenti"/>
        <w:keepNext/>
        <w:keepLines/>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Indenta"/>
      </w:pPr>
      <w:r>
        <w:tab/>
      </w:r>
      <w:r>
        <w:tab/>
        <w:t>and</w:t>
      </w:r>
    </w:p>
    <w:p>
      <w:pPr>
        <w:pStyle w:val="Indenta"/>
      </w:pPr>
      <w:r>
        <w:tab/>
        <w:t>(c)</w:t>
      </w:r>
      <w:r>
        <w:tab/>
        <w:t>delineate or record easements (other than statutory easements) and restrictive covenants over the land subdivided by the scheme, including —</w:t>
      </w:r>
    </w:p>
    <w:p>
      <w:pPr>
        <w:pStyle w:val="Indenti"/>
      </w:pPr>
      <w:r>
        <w:tab/>
        <w:t>(i)</w:t>
      </w:r>
      <w:r>
        <w:tab/>
        <w:t>short form easements or restrictive covenants; and</w:t>
      </w:r>
    </w:p>
    <w:p>
      <w:pPr>
        <w:pStyle w:val="Indenti"/>
      </w:pPr>
      <w:r>
        <w:tab/>
        <w:t>(ii)</w:t>
      </w:r>
      <w:r>
        <w:tab/>
      </w:r>
      <w:r>
        <w:rPr>
          <w:snapToGrid w:val="0"/>
        </w:rPr>
        <w:t>easements</w:t>
      </w:r>
      <w:r>
        <w:t xml:space="preserve"> created under the </w:t>
      </w:r>
      <w:r>
        <w:rPr>
          <w:i/>
        </w:rPr>
        <w:t>Planning and Development Act 2005</w:t>
      </w:r>
      <w:r>
        <w:t xml:space="preserve"> section 167; and</w:t>
      </w:r>
    </w:p>
    <w:p>
      <w:pPr>
        <w:pStyle w:val="Indenti"/>
      </w:pPr>
      <w:r>
        <w:tab/>
        <w:t>(iii)</w:t>
      </w:r>
      <w:r>
        <w:tab/>
      </w:r>
      <w:r>
        <w:rPr>
          <w:snapToGrid w:val="0"/>
        </w:rPr>
        <w:t>easements</w:t>
      </w:r>
      <w:r>
        <w:t xml:space="preserve"> and restrictive covenants created under the </w:t>
      </w:r>
      <w:r>
        <w:rPr>
          <w:i/>
        </w:rPr>
        <w:t>Transfer of Land Act 1893</w:t>
      </w:r>
      <w:r>
        <w:t xml:space="preserve"> Part IVA;</w:t>
      </w:r>
    </w:p>
    <w:p>
      <w:pPr>
        <w:pStyle w:val="Indenta"/>
      </w:pPr>
      <w:r>
        <w:rPr>
          <w:snapToGrid w:val="0"/>
        </w:rPr>
        <w:tab/>
      </w:r>
      <w:r>
        <w:rPr>
          <w:snapToGrid w:val="0"/>
        </w:rPr>
        <w:tab/>
        <w:t>and</w:t>
      </w:r>
    </w:p>
    <w:p>
      <w:pPr>
        <w:pStyle w:val="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strata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or an amendment of a scheme plan, for a strata titles scheme.</w:t>
      </w:r>
    </w:p>
    <w:p>
      <w:pPr>
        <w:pStyle w:val="Footnotesection"/>
      </w:pPr>
      <w:r>
        <w:tab/>
        <w:t>[Section 32 inserted: No. 30 of 2018 s. 83.]</w:t>
      </w:r>
    </w:p>
    <w:p>
      <w:pPr>
        <w:pStyle w:val="Heading5"/>
      </w:pPr>
      <w:bookmarkStart w:id="131" w:name="_Toc106986636"/>
      <w:bookmarkStart w:id="132" w:name="_Toc100564934"/>
      <w:r>
        <w:rPr>
          <w:rStyle w:val="CharSectno"/>
        </w:rPr>
        <w:t>33</w:t>
      </w:r>
      <w:r>
        <w:t>.</w:t>
      </w:r>
      <w:r>
        <w:tab/>
        <w:t>Short form easements or restrictive covenants</w:t>
      </w:r>
      <w:bookmarkEnd w:id="131"/>
      <w:bookmarkEnd w:id="132"/>
    </w:p>
    <w:p>
      <w:pPr>
        <w:pStyle w:val="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on the owners, from time to time, of lots in the strata titles scheme.</w:t>
      </w:r>
    </w:p>
    <w:p>
      <w:pPr>
        <w:pStyle w:val="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strata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pPr>
      <w:r>
        <w:tab/>
        <w:t>(9)</w:t>
      </w:r>
      <w:r>
        <w:tab/>
        <w:t>This section does not derogate from</w:t>
      </w:r>
      <w:r>
        <w:rPr>
          <w:snapToGrid w:val="0"/>
        </w:rPr>
        <w:t xml:space="preserve"> any other method by which an easement or restrictive covenant may be created over a parcel.</w:t>
      </w:r>
    </w:p>
    <w:p>
      <w:pPr>
        <w:pStyle w:val="Footnotesection"/>
      </w:pPr>
      <w:r>
        <w:tab/>
        <w:t>[Section 33 inserted: No. 30 of 2018 s. 83.]</w:t>
      </w:r>
    </w:p>
    <w:p>
      <w:pPr>
        <w:pStyle w:val="Footnotesection"/>
      </w:pPr>
      <w:r>
        <w:t>[Former section 33 renumbered as section 103 and relocated to Part 8 Division 1 Subdivision 4: No. 30 of 2018 s. 84.]</w:t>
      </w:r>
    </w:p>
    <w:p>
      <w:pPr>
        <w:pStyle w:val="Heading5"/>
      </w:pPr>
      <w:bookmarkStart w:id="133" w:name="_Toc106986637"/>
      <w:bookmarkStart w:id="134" w:name="_Toc100564935"/>
      <w:r>
        <w:rPr>
          <w:rStyle w:val="CharSectno"/>
        </w:rPr>
        <w:t>34</w:t>
      </w:r>
      <w:r>
        <w:t>.</w:t>
      </w:r>
      <w:r>
        <w:tab/>
        <w:t>Requirements for registration of scheme plan</w:t>
      </w:r>
      <w:bookmarkEnd w:id="133"/>
      <w:bookmarkEnd w:id="134"/>
    </w:p>
    <w:p>
      <w:pPr>
        <w:pStyle w:val="Subsection"/>
      </w:pPr>
      <w:r>
        <w:tab/>
      </w:r>
      <w:r>
        <w:tab/>
        <w:t>A scheme plan for a strata titles scheme must not be registered unless —</w:t>
      </w:r>
    </w:p>
    <w:p>
      <w:pPr>
        <w:pStyle w:val="Indenta"/>
      </w:pPr>
      <w:r>
        <w:tab/>
        <w:t>(a)</w:t>
      </w:r>
      <w:r>
        <w:tab/>
        <w:t>the owner of the parcel is the applicant for registration or has given written consent to the subdivision of the parcel by the strata titles scheme; and</w:t>
      </w:r>
    </w:p>
    <w:p>
      <w:pPr>
        <w:pStyle w:val="Indenta"/>
      </w:pPr>
      <w:r>
        <w:tab/>
        <w:t>(b)</w:t>
      </w:r>
      <w:r>
        <w:tab/>
        <w:t>the holder of each designated interest over the whole or a part of the parcel to be subdivided by registration of the scheme —</w:t>
      </w:r>
    </w:p>
    <w:p>
      <w:pPr>
        <w:pStyle w:val="Indenti"/>
      </w:pPr>
      <w:r>
        <w:tab/>
        <w:t>(i)</w:t>
      </w:r>
      <w:r>
        <w:tab/>
        <w:t>has been given notice in the approved form of the subdivision and the schedule of unit entitlements; and</w:t>
      </w:r>
    </w:p>
    <w:p>
      <w:pPr>
        <w:pStyle w:val="Indenti"/>
      </w:pPr>
      <w:r>
        <w:tab/>
        <w:t>(ii)</w:t>
      </w:r>
      <w:r>
        <w:tab/>
        <w:t>has given written consent to the subdivision;</w:t>
      </w:r>
    </w:p>
    <w:p>
      <w:pPr>
        <w:pStyle w:val="Indenta"/>
      </w:pPr>
      <w:r>
        <w:tab/>
      </w:r>
      <w:r>
        <w:tab/>
        <w:t>and</w:t>
      </w:r>
    </w:p>
    <w:p>
      <w:pPr>
        <w:pStyle w:val="Indenta"/>
      </w:pPr>
      <w:r>
        <w:tab/>
        <w:t>(c)</w:t>
      </w:r>
      <w:r>
        <w:tab/>
        <w:t>the scheme plan is approved by the Planning Commission (subject to any exemption in regulations under section 15(6)); and</w:t>
      </w:r>
    </w:p>
    <w:p>
      <w:pPr>
        <w:pStyle w:val="Indenta"/>
      </w:pPr>
      <w:r>
        <w:tab/>
        <w:t>(d)</w:t>
      </w:r>
      <w:r>
        <w:tab/>
        <w:t>for a strata scheme —</w:t>
      </w:r>
    </w:p>
    <w:p>
      <w:pPr>
        <w:pStyle w:val="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Footnotesection"/>
      </w:pPr>
      <w:r>
        <w:tab/>
        <w:t>[Section 34 inserted: No. 30 of 2018 s. 83.]</w:t>
      </w:r>
    </w:p>
    <w:p>
      <w:pPr>
        <w:pStyle w:val="Footnotesection"/>
      </w:pPr>
      <w:r>
        <w:t>[Former section 34 renumbered as section 139 and relocated to Part 8 Division 5: No. 30 of 2018 s. 84.]</w:t>
      </w:r>
    </w:p>
    <w:p>
      <w:pPr>
        <w:pStyle w:val="Heading5"/>
      </w:pPr>
      <w:bookmarkStart w:id="135" w:name="_Toc106986638"/>
      <w:bookmarkStart w:id="136" w:name="_Toc100564936"/>
      <w:r>
        <w:rPr>
          <w:rStyle w:val="CharSectno"/>
        </w:rPr>
        <w:t>35</w:t>
      </w:r>
      <w:r>
        <w:t>.</w:t>
      </w:r>
      <w:r>
        <w:tab/>
        <w:t>Requirements for registration of amendment of scheme plan</w:t>
      </w:r>
      <w:bookmarkEnd w:id="135"/>
      <w:bookmarkEnd w:id="136"/>
    </w:p>
    <w:p>
      <w:pPr>
        <w:pStyle w:val="Subsection"/>
      </w:pPr>
      <w:r>
        <w:tab/>
        <w:t>(1)</w:t>
      </w:r>
      <w:r>
        <w:tab/>
        <w:t>An amendment of a scheme plan for a strata titles scheme must not be registered unless —</w:t>
      </w:r>
    </w:p>
    <w:p>
      <w:pPr>
        <w:pStyle w:val="Indenta"/>
      </w:pPr>
      <w:r>
        <w:tab/>
        <w:t>(a)</w:t>
      </w:r>
      <w:r>
        <w:tab/>
        <w:t>for a leasehold scheme, the owner of the leasehold scheme is the applicant for registration or has given written consent to the amendment; and</w:t>
      </w:r>
    </w:p>
    <w:p>
      <w:pPr>
        <w:pStyle w:val="Indenta"/>
      </w:pPr>
      <w:r>
        <w:tab/>
        <w:t>(b)</w:t>
      </w:r>
      <w:r>
        <w:tab/>
        <w:t>to the extent that the amendment gives effect to a type 1 subdivision —</w:t>
      </w:r>
    </w:p>
    <w:p>
      <w:pPr>
        <w:pStyle w:val="Indenti"/>
      </w:pPr>
      <w:r>
        <w:tab/>
        <w:t>(i)</w:t>
      </w:r>
      <w:r>
        <w:tab/>
        <w:t>the subdivision is authorised by resolution without dissent of the strata company; and</w:t>
      </w:r>
    </w:p>
    <w:p>
      <w:pPr>
        <w:pStyle w:val="Indenti"/>
      </w:pPr>
      <w:r>
        <w:tab/>
        <w:t>(ii)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(iv)</w:t>
      </w:r>
      <w:r>
        <w:tab/>
        <w:t>each designated interest in land that is to become common property has been discharged, surrendered, withdrawn or otherwise extinguished;</w:t>
      </w:r>
    </w:p>
    <w:p>
      <w:pPr>
        <w:pStyle w:val="Indenta"/>
      </w:pPr>
      <w:r>
        <w:tab/>
      </w:r>
      <w:r>
        <w:tab/>
        <w:t>and</w:t>
      </w:r>
    </w:p>
    <w:p>
      <w:pPr>
        <w:pStyle w:val="Indenta"/>
      </w:pPr>
      <w:r>
        <w:tab/>
        <w:t>(c)</w:t>
      </w:r>
      <w:r>
        <w:tab/>
        <w:t>to the extent that the amendment gives effect to a type 2 subdivision —</w:t>
      </w:r>
    </w:p>
    <w:p>
      <w:pPr>
        <w:pStyle w:val="Indenti"/>
      </w:pPr>
      <w:r>
        <w:tab/>
        <w:t>(i)</w:t>
      </w:r>
      <w:r>
        <w:tab/>
        <w:t>the subdivision is authorised by resolution without dissent of the strata company; and</w:t>
      </w:r>
    </w:p>
    <w:p>
      <w:pPr>
        <w:pStyle w:val="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keepNext/>
      </w:pPr>
      <w:r>
        <w:tab/>
        <w:t>(d)</w:t>
      </w:r>
      <w:r>
        <w:tab/>
        <w:t>to the extent that the amendment gives effect to a type 3 subdivision —</w:t>
      </w:r>
    </w:p>
    <w:p>
      <w:pPr>
        <w:pStyle w:val="Indenti"/>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if the owner of a lot affected by the amendment holds a life estate in the land, the person who holds the remainder or reversionary interest in the land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IndentI0"/>
      </w:pPr>
      <w:r>
        <w:tab/>
        <w:t>(I)</w:t>
      </w:r>
      <w:r>
        <w:tab/>
        <w:t>has given written consent to the amendment; or</w:t>
      </w:r>
    </w:p>
    <w:p>
      <w:pPr>
        <w:pStyle w:val="IndentI0"/>
      </w:pPr>
      <w:r>
        <w:tab/>
        <w:t>(II)</w:t>
      </w:r>
      <w:r>
        <w:tab/>
        <w:t>has not, at the end of 60 days after being given notice, made a written objection to the amendment setting out the reasons for the objection;</w:t>
      </w:r>
    </w:p>
    <w:p>
      <w:pPr>
        <w:pStyle w:val="Indenta"/>
      </w:pPr>
      <w:r>
        <w:tab/>
      </w:r>
      <w:r>
        <w:tab/>
        <w:t>and</w:t>
      </w:r>
    </w:p>
    <w:p>
      <w:pPr>
        <w:pStyle w:val="Indenta"/>
      </w:pPr>
      <w:r>
        <w:tab/>
        <w:t>(e)</w:t>
      </w:r>
      <w:r>
        <w:tab/>
        <w:t>to the extent that the amendment gives effect to a type 4 subdivision —</w:t>
      </w:r>
    </w:p>
    <w:p>
      <w:pPr>
        <w:pStyle w:val="Indenti"/>
      </w:pPr>
      <w:r>
        <w:tab/>
        <w:t>(i)</w:t>
      </w:r>
      <w:r>
        <w:tab/>
        <w:t>the amendment is authorised by unanimous resolution of the strata company; and</w:t>
      </w:r>
    </w:p>
    <w:p>
      <w:pPr>
        <w:pStyle w:val="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IndentI0"/>
      </w:pPr>
      <w:r>
        <w:tab/>
        <w:t>(I)</w:t>
      </w:r>
      <w:r>
        <w:tab/>
        <w:t>has given written consent to the subdivision; or</w:t>
      </w:r>
    </w:p>
    <w:p>
      <w:pPr>
        <w:pStyle w:val="IndentI0"/>
      </w:pPr>
      <w:r>
        <w:tab/>
        <w:t>(II)</w:t>
      </w:r>
      <w:r>
        <w:tab/>
        <w:t>has not, at the end of 60 days after being given notice, made a written objection to the subdivision setting out the reasons for the objection;</w:t>
      </w:r>
    </w:p>
    <w:p>
      <w:pPr>
        <w:pStyle w:val="Indenta"/>
      </w:pPr>
      <w:r>
        <w:tab/>
      </w:r>
      <w:r>
        <w:tab/>
        <w:t>and</w:t>
      </w:r>
    </w:p>
    <w:p>
      <w:pPr>
        <w:pStyle w:val="Indenta"/>
      </w:pPr>
      <w:r>
        <w:tab/>
        <w:t>(f)</w:t>
      </w:r>
      <w:r>
        <w:tab/>
        <w:t>to the extent that the amendment gives effect to any type of subdivision — the amendment is approved by the Planning Commission (subject to any exemption in regulations under section 15(6)); and</w:t>
      </w:r>
    </w:p>
    <w:p>
      <w:pPr>
        <w:pStyle w:val="Indenta"/>
      </w:pPr>
      <w:r>
        <w:tab/>
        <w:t>(g)</w:t>
      </w:r>
      <w:r>
        <w:tab/>
        <w:t>to the extent that the amendment imposes, varies or revokes a restricted use condition, the imposition, variation or revocation —</w:t>
      </w:r>
    </w:p>
    <w:p>
      <w:pPr>
        <w:pStyle w:val="Indenti"/>
      </w:pPr>
      <w:r>
        <w:tab/>
        <w:t>(i)</w:t>
      </w:r>
      <w:r>
        <w:tab/>
        <w:t>has been approved by the Planning Commission under section 21; and</w:t>
      </w:r>
    </w:p>
    <w:p>
      <w:pPr>
        <w:pStyle w:val="Indenti"/>
      </w:pPr>
      <w:r>
        <w:tab/>
        <w:t>(ii)</w:t>
      </w:r>
      <w:r>
        <w:tab/>
        <w:t>is authorised by resolution without dissent of the strata company;</w:t>
      </w:r>
    </w:p>
    <w:p>
      <w:pPr>
        <w:pStyle w:val="Indenta"/>
      </w:pPr>
      <w:r>
        <w:tab/>
      </w:r>
      <w:r>
        <w:tab/>
        <w:t>and</w:t>
      </w:r>
    </w:p>
    <w:p>
      <w:pPr>
        <w:pStyle w:val="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Indenta"/>
      </w:pPr>
      <w:r>
        <w:tab/>
        <w:t>(i)</w:t>
      </w:r>
      <w:r>
        <w:tab/>
        <w:t>to the extent that the amendment creates or discharges an easement or restrictive covenant —</w:t>
      </w:r>
    </w:p>
    <w:p>
      <w:pPr>
        <w:pStyle w:val="Indenti"/>
      </w:pPr>
      <w:r>
        <w:tab/>
        <w:t>(i)</w:t>
      </w:r>
      <w:r>
        <w:tab/>
        <w:t>for a short form easement or restrictive covenant — the amendment of the scheme plan is approved by the Planning Commission;</w:t>
      </w:r>
    </w:p>
    <w:p>
      <w:pPr>
        <w:pStyle w:val="Indenti"/>
      </w:pPr>
      <w:r>
        <w:tab/>
        <w:t>(ii)</w:t>
      </w:r>
      <w:r>
        <w:tab/>
        <w:t>in the case of an amendment affecting the common property — the amendment is authorised by resolution without dissent of the strata company; and</w:t>
      </w:r>
    </w:p>
    <w:p>
      <w:pPr>
        <w:pStyle w:val="Indenti"/>
      </w:pPr>
      <w:r>
        <w:tab/>
        <w:t>(iii)</w:t>
      </w:r>
      <w:r>
        <w:tab/>
        <w:t>in the case of an amendment affecting a lot — the owner of the lot has given written consent to the amendment; and</w:t>
      </w:r>
    </w:p>
    <w:p>
      <w:pPr>
        <w:pStyle w:val="Indenti"/>
      </w:pPr>
      <w:r>
        <w:tab/>
        <w:t>(iv)</w:t>
      </w:r>
      <w:r>
        <w:tab/>
        <w:t>in any case — the holder of each designated interest over the common property or a lot affected by the amendment has been given notice in the approved form of the amendment and —</w:t>
      </w:r>
    </w:p>
    <w:p>
      <w:pPr>
        <w:pStyle w:val="IndentI0"/>
      </w:pPr>
      <w:r>
        <w:tab/>
        <w:t>(I)</w:t>
      </w:r>
      <w:r>
        <w:tab/>
        <w:t>has given written consent to the subdivision; or</w:t>
      </w:r>
    </w:p>
    <w:p>
      <w:pPr>
        <w:pStyle w:val="IndentI0"/>
      </w:pPr>
      <w:r>
        <w:tab/>
        <w:t>(II)</w:t>
      </w:r>
      <w:r>
        <w:tab/>
        <w:t>has not, at the end of 60 days after being given notice, made a written objection to the creation or discharge setting out the reasons for the objection;</w:t>
      </w:r>
    </w:p>
    <w:p>
      <w:pPr>
        <w:pStyle w:val="Indenta"/>
      </w:pPr>
      <w:r>
        <w:tab/>
      </w:r>
      <w:r>
        <w:tab/>
        <w:t>and</w:t>
      </w:r>
    </w:p>
    <w:p>
      <w:pPr>
        <w:pStyle w:val="Indenta"/>
      </w:pPr>
      <w:r>
        <w:tab/>
        <w:t>(j)</w:t>
      </w:r>
      <w:r>
        <w:tab/>
        <w:t>for a strata scheme —</w:t>
      </w:r>
    </w:p>
    <w:p>
      <w:pPr>
        <w:pStyle w:val="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resolution for an amendment of a scheme plan must include details of the proposed amendment, and any associated amendment of the schedule of unit entitlements, in the approved form.</w:t>
      </w:r>
    </w:p>
    <w:p>
      <w:pPr>
        <w:pStyle w:val="PermNoteHeading"/>
      </w:pPr>
      <w:r>
        <w:tab/>
        <w:t>Note for this section:</w:t>
      </w:r>
    </w:p>
    <w:p>
      <w:pPr>
        <w:pStyle w:val="PermNoteText"/>
      </w:pPr>
      <w:r>
        <w:tab/>
      </w:r>
      <w:r>
        <w:tab/>
        <w:t>For when an amendment of a scheme plan affects the common property or a lot, see section 3(7).</w:t>
      </w:r>
    </w:p>
    <w:p>
      <w:pPr>
        <w:pStyle w:val="Footnotesection"/>
      </w:pPr>
      <w:r>
        <w:tab/>
        <w:t>[Section 35 inserted: No. 30 of 2018 s. 83.]</w:t>
      </w:r>
    </w:p>
    <w:p>
      <w:pPr>
        <w:pStyle w:val="Footnotesection"/>
        <w:keepNext/>
      </w:pPr>
      <w:r>
        <w:t>[Former section 35 renumbered as section 91 and relocated to Part 8 Division 1 Subdivision 1: No. 30 of 2018 s. 84.]</w:t>
      </w:r>
    </w:p>
    <w:p>
      <w:pPr>
        <w:pStyle w:val="Ednotesection"/>
      </w:pPr>
      <w:r>
        <w:t>[Former section 35A renumbered as section 105 and relocated to Part 8 Division 1 Subdivision 5: No. 30 of 2018 s. 84.]</w:t>
      </w:r>
    </w:p>
    <w:p>
      <w:pPr>
        <w:pStyle w:val="Heading5"/>
      </w:pPr>
      <w:bookmarkStart w:id="137" w:name="_Toc106986639"/>
      <w:bookmarkStart w:id="138" w:name="_Toc100564937"/>
      <w:r>
        <w:rPr>
          <w:rStyle w:val="CharSectno"/>
        </w:rPr>
        <w:t>36</w:t>
      </w:r>
      <w:r>
        <w:t>.</w:t>
      </w:r>
      <w:r>
        <w:tab/>
        <w:t>Exemption for staged subdivision</w:t>
      </w:r>
      <w:bookmarkEnd w:id="137"/>
      <w:bookmarkEnd w:id="138"/>
    </w:p>
    <w:p>
      <w:pPr>
        <w:pStyle w:val="Subsection"/>
        <w:keepNext/>
        <w:keepLines/>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Indenta"/>
      </w:pPr>
      <w:r>
        <w:tab/>
        <w:t>(a)</w:t>
      </w:r>
      <w:r>
        <w:tab/>
        <w:t>section 35(1)(a) to (e) do not apply; and</w:t>
      </w:r>
    </w:p>
    <w:p>
      <w:pPr>
        <w:pStyle w:val="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PermNoteHeading"/>
      </w:pPr>
      <w:r>
        <w:tab/>
        <w:t>Note for this section:</w:t>
      </w:r>
    </w:p>
    <w:p>
      <w:pPr>
        <w:pStyle w:val="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Footnotesection"/>
      </w:pPr>
      <w:r>
        <w:tab/>
        <w:t>[Section 36 inserted: No. 30 of 2018 s. 83.]</w:t>
      </w:r>
    </w:p>
    <w:p>
      <w:pPr>
        <w:pStyle w:val="Footnoteheading"/>
      </w:pPr>
      <w:r>
        <w:t>[Former section 36 renumbered as section 100 and relocated to Part 8 Division 1 Subdivision 3: No. 30 of 2018 s. 84.]</w:t>
      </w:r>
    </w:p>
    <w:p>
      <w:pPr>
        <w:pStyle w:val="Ednotesection"/>
      </w:pPr>
      <w:r>
        <w:t>[</w:t>
      </w:r>
      <w:r>
        <w:rPr>
          <w:b/>
        </w:rPr>
        <w:t>36A, 36B.</w:t>
      </w:r>
      <w:r>
        <w:tab/>
        <w:t>Deleted: No. 30 of 2018 s. 82(b).]</w:t>
      </w:r>
    </w:p>
    <w:p>
      <w:pPr>
        <w:pStyle w:val="Heading3"/>
      </w:pPr>
      <w:bookmarkStart w:id="139" w:name="_Toc106986204"/>
      <w:bookmarkStart w:id="140" w:name="_Toc106986640"/>
      <w:bookmarkStart w:id="141" w:name="_Toc100308218"/>
      <w:bookmarkStart w:id="142" w:name="_Toc100308654"/>
      <w:bookmarkStart w:id="143" w:name="_Toc100564938"/>
      <w:r>
        <w:rPr>
          <w:rStyle w:val="CharDivNo"/>
        </w:rPr>
        <w:t>Division 3</w:t>
      </w:r>
      <w:r>
        <w:t> — </w:t>
      </w:r>
      <w:r>
        <w:rPr>
          <w:rStyle w:val="CharDivText"/>
        </w:rPr>
        <w:t>Schedule of unit entitlements</w:t>
      </w:r>
      <w:bookmarkEnd w:id="139"/>
      <w:bookmarkEnd w:id="140"/>
      <w:bookmarkEnd w:id="141"/>
      <w:bookmarkEnd w:id="142"/>
      <w:bookmarkEnd w:id="143"/>
    </w:p>
    <w:p>
      <w:pPr>
        <w:pStyle w:val="Footnoteheading"/>
        <w:keepNext/>
      </w:pPr>
      <w:r>
        <w:tab/>
        <w:t>[Heading inserted: No. 30 of 2018 s. 83.]</w:t>
      </w:r>
    </w:p>
    <w:p>
      <w:pPr>
        <w:pStyle w:val="Heading5"/>
      </w:pPr>
      <w:bookmarkStart w:id="144" w:name="_Toc106986641"/>
      <w:bookmarkStart w:id="145" w:name="_Toc100564939"/>
      <w:r>
        <w:rPr>
          <w:rStyle w:val="CharSectno"/>
        </w:rPr>
        <w:t>37</w:t>
      </w:r>
      <w:r>
        <w:t>.</w:t>
      </w:r>
      <w:r>
        <w:tab/>
        <w:t>Schedule of unit entitlements</w:t>
      </w:r>
      <w:bookmarkEnd w:id="144"/>
      <w:bookmarkEnd w:id="145"/>
    </w:p>
    <w:p>
      <w:pPr>
        <w:pStyle w:val="Subsection"/>
        <w:keepNext/>
      </w:pPr>
      <w:r>
        <w:tab/>
        <w:t>(1)</w:t>
      </w:r>
      <w:r>
        <w:tab/>
        <w:t>The schedule of unit entitlements for a strata titles scheme must —</w:t>
      </w:r>
    </w:p>
    <w:p>
      <w:pPr>
        <w:pStyle w:val="Indenta"/>
      </w:pPr>
      <w:r>
        <w:tab/>
        <w:t>(a)</w:t>
      </w:r>
      <w:r>
        <w:tab/>
        <w:t xml:space="preserve">allocate a whole number (a </w:t>
      </w:r>
      <w:r>
        <w:rPr>
          <w:rStyle w:val="CharDefText"/>
        </w:rPr>
        <w:t>unit entitlement</w:t>
      </w:r>
      <w:r>
        <w:t>) to each lot in the strata titles scheme; and</w:t>
      </w:r>
    </w:p>
    <w:p>
      <w:pPr>
        <w:pStyle w:val="Indenta"/>
      </w:pPr>
      <w:r>
        <w:tab/>
        <w:t>(b)</w:t>
      </w:r>
      <w:r>
        <w:tab/>
        <w:t>state the number that is the sum of the unit entitlements of all the lots in the strata titles scheme.</w:t>
      </w:r>
    </w:p>
    <w:p>
      <w:pPr>
        <w:pStyle w:val="PermNoteHeading"/>
      </w:pPr>
      <w:r>
        <w:tab/>
        <w:t>Note for this subsection:</w:t>
      </w:r>
    </w:p>
    <w:p>
      <w:pPr>
        <w:pStyle w:val="PermNoteText"/>
      </w:pPr>
      <w:r>
        <w:tab/>
      </w:r>
      <w:r>
        <w:tab/>
        <w:t>The unit entitlement of a lot determines —</w:t>
      </w:r>
    </w:p>
    <w:p>
      <w:pPr>
        <w:pStyle w:val="PermNoteText"/>
        <w:numPr>
          <w:ilvl w:val="0"/>
          <w:numId w:val="33"/>
        </w:numPr>
        <w:ind w:left="1701" w:hanging="283"/>
      </w:pPr>
      <w:r>
        <w:t>the interest of the owner of the lot in the common property in the strata titles scheme: see section 13; and</w:t>
      </w:r>
    </w:p>
    <w:p>
      <w:pPr>
        <w:pStyle w:val="PermNoteText"/>
        <w:numPr>
          <w:ilvl w:val="0"/>
          <w:numId w:val="33"/>
        </w:numPr>
        <w:ind w:left="1701" w:hanging="283"/>
      </w:pPr>
      <w:r>
        <w:t>subject to the scheme by</w:t>
      </w:r>
      <w:r>
        <w:noBreakHyphen/>
        <w:t>laws, the contributions payable by the owner of a lot in the scheme: see section 100; and</w:t>
      </w:r>
    </w:p>
    <w:p>
      <w:pPr>
        <w:pStyle w:val="PermNoteText"/>
        <w:numPr>
          <w:ilvl w:val="0"/>
          <w:numId w:val="33"/>
        </w:numPr>
        <w:ind w:left="1701" w:hanging="283"/>
      </w:pPr>
      <w:r>
        <w:t>the voting rights that attach to the lot: see section 120.</w:t>
      </w:r>
    </w:p>
    <w:p>
      <w:pPr>
        <w:pStyle w:val="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Subsection"/>
      </w:pPr>
      <w:r>
        <w:tab/>
        <w:t>(3)</w:t>
      </w:r>
      <w:r>
        <w:tab/>
        <w:t>The value of a lot is —</w:t>
      </w:r>
    </w:p>
    <w:p>
      <w:pPr>
        <w:pStyle w:val="Indenta"/>
      </w:pPr>
      <w:r>
        <w:tab/>
        <w:t>(a)</w:t>
      </w:r>
      <w:r>
        <w:tab/>
        <w:t>in a strata scheme — the capital value; and</w:t>
      </w:r>
    </w:p>
    <w:p>
      <w:pPr>
        <w:pStyle w:val="Indenta"/>
      </w:pPr>
      <w:r>
        <w:tab/>
        <w:t>(b)</w:t>
      </w:r>
      <w:r>
        <w:tab/>
        <w:t>in a survey</w:t>
      </w:r>
      <w:r>
        <w:noBreakHyphen/>
        <w:t>strata scheme — the site value.</w:t>
      </w:r>
    </w:p>
    <w:p>
      <w:pPr>
        <w:pStyle w:val="Subsection"/>
      </w:pPr>
      <w:r>
        <w:tab/>
        <w:t>(4)</w:t>
      </w:r>
      <w:r>
        <w:tab/>
        <w:t>Without limitation, the regulations may prescribe matters relating to the determination of the value of a lot.</w:t>
      </w:r>
    </w:p>
    <w:p>
      <w:pPr>
        <w:pStyle w:val="Subsection"/>
      </w:pPr>
      <w:r>
        <w:tab/>
        <w:t>(5)</w:t>
      </w:r>
      <w:r>
        <w:tab/>
        <w:t>A schedule of unit entitlements, or an amendment of a schedule of unit entitlements, for a strata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Footnotesection"/>
      </w:pPr>
      <w:r>
        <w:tab/>
        <w:t>[Section 37 inserted: No. 30 of 2018 s. 83.]</w:t>
      </w:r>
    </w:p>
    <w:p>
      <w:pPr>
        <w:pStyle w:val="Footnotesection"/>
      </w:pPr>
      <w:r>
        <w:t>[Former section 37 renumbered as section 116 and relocated to Part 8 Division 1 Subdivision 7: No. 30 of 2018 s. 84.]</w:t>
      </w:r>
    </w:p>
    <w:p>
      <w:pPr>
        <w:pStyle w:val="Heading5"/>
      </w:pPr>
      <w:bookmarkStart w:id="146" w:name="_Toc106986642"/>
      <w:bookmarkStart w:id="147" w:name="_Toc100564940"/>
      <w:r>
        <w:rPr>
          <w:rStyle w:val="CharSectno"/>
        </w:rPr>
        <w:t>38</w:t>
      </w:r>
      <w:r>
        <w:t>.</w:t>
      </w:r>
      <w:r>
        <w:tab/>
        <w:t>Requirements for registration of amendment of schedule of unit entitlements</w:t>
      </w:r>
      <w:bookmarkEnd w:id="146"/>
      <w:bookmarkEnd w:id="147"/>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resolution without dissent of the strata company; or</w:t>
      </w:r>
    </w:p>
    <w:p>
      <w:pPr>
        <w:pStyle w:val="Indenta"/>
      </w:pPr>
      <w:r>
        <w:tab/>
        <w:t>(c)</w:t>
      </w:r>
      <w:r>
        <w:tab/>
        <w:t>if the amendment is authorised by order of the Tribunal.</w:t>
      </w:r>
    </w:p>
    <w:p>
      <w:pPr>
        <w:pStyle w:val="Subsection"/>
      </w:pPr>
      <w:r>
        <w:tab/>
        <w:t>(2)</w:t>
      </w:r>
      <w:r>
        <w:tab/>
        <w:t>An amendment under subsection (1)(b) must not be registered unless the holder of each designated interest over the whole or a part of the parcel —</w:t>
      </w:r>
    </w:p>
    <w:p>
      <w:pPr>
        <w:pStyle w:val="Indenta"/>
      </w:pPr>
      <w:r>
        <w:tab/>
        <w:t>(a)</w:t>
      </w:r>
      <w:r>
        <w:tab/>
        <w:t>has been given notice in the approved form of the amendment; and</w:t>
      </w:r>
    </w:p>
    <w:p>
      <w:pPr>
        <w:pStyle w:val="Indenta"/>
      </w:pPr>
      <w:r>
        <w:tab/>
        <w:t>(b)</w:t>
      </w:r>
      <w:r>
        <w:tab/>
        <w:t>either —</w:t>
      </w:r>
    </w:p>
    <w:p>
      <w:pPr>
        <w:pStyle w:val="Indenti"/>
      </w:pPr>
      <w:r>
        <w:tab/>
        <w:t>(i)</w:t>
      </w:r>
      <w:r>
        <w:tab/>
        <w:t>has given written consent to the amendment; or</w:t>
      </w:r>
    </w:p>
    <w:p>
      <w:pPr>
        <w:pStyle w:val="Indenti"/>
      </w:pPr>
      <w:r>
        <w:tab/>
        <w:t>(ii)</w:t>
      </w:r>
      <w:r>
        <w:tab/>
        <w:t>has not, at the end of 60 days after being given notice, made a written objection to the amendment.</w:t>
      </w:r>
    </w:p>
    <w:p>
      <w:pPr>
        <w:pStyle w:val="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Subsection"/>
      </w:pPr>
      <w:r>
        <w:tab/>
        <w:t>(4)</w:t>
      </w:r>
      <w:r>
        <w:tab/>
        <w:t>In considering whether an objection is unreasonable, the Tribunal may consider —</w:t>
      </w:r>
    </w:p>
    <w:p>
      <w:pPr>
        <w:pStyle w:val="Indenta"/>
      </w:pPr>
      <w:r>
        <w:tab/>
        <w:t>(a)</w:t>
      </w:r>
      <w:r>
        <w:tab/>
        <w:t>the merits of the proposed amendment of the strata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Footnotesection"/>
      </w:pPr>
      <w:r>
        <w:tab/>
        <w:t>[Section 38 inserted: No. 30 of 2018 s. 83.]</w:t>
      </w:r>
    </w:p>
    <w:p>
      <w:pPr>
        <w:pStyle w:val="Footnotesection"/>
      </w:pPr>
      <w:r>
        <w:t>[Former section 38 renumbered as section 94 and relocated to Part 8 Division 1 Subdivision 1: No. 30 of 2018 s. 84.]</w:t>
      </w:r>
    </w:p>
    <w:p>
      <w:pPr>
        <w:pStyle w:val="Heading3"/>
      </w:pPr>
      <w:bookmarkStart w:id="148" w:name="_Toc106986207"/>
      <w:bookmarkStart w:id="149" w:name="_Toc106986643"/>
      <w:bookmarkStart w:id="150" w:name="_Toc100308221"/>
      <w:bookmarkStart w:id="151" w:name="_Toc100308657"/>
      <w:bookmarkStart w:id="152" w:name="_Toc100564941"/>
      <w:r>
        <w:rPr>
          <w:rStyle w:val="CharDivNo"/>
        </w:rPr>
        <w:t>Division 4</w:t>
      </w:r>
      <w:r>
        <w:t> — </w:t>
      </w:r>
      <w:r>
        <w:rPr>
          <w:rStyle w:val="CharDivText"/>
        </w:rPr>
        <w:t>Scheme by</w:t>
      </w:r>
      <w:r>
        <w:rPr>
          <w:rStyle w:val="CharDivText"/>
        </w:rPr>
        <w:noBreakHyphen/>
        <w:t>laws</w:t>
      </w:r>
      <w:bookmarkEnd w:id="148"/>
      <w:bookmarkEnd w:id="149"/>
      <w:bookmarkEnd w:id="150"/>
      <w:bookmarkEnd w:id="151"/>
      <w:bookmarkEnd w:id="152"/>
    </w:p>
    <w:p>
      <w:pPr>
        <w:pStyle w:val="Footnoteheading"/>
        <w:keepNext/>
      </w:pPr>
      <w:r>
        <w:tab/>
        <w:t>[Heading inserted: No. 30 of 2018 s. 83.]</w:t>
      </w:r>
    </w:p>
    <w:p>
      <w:pPr>
        <w:pStyle w:val="Heading5"/>
      </w:pPr>
      <w:bookmarkStart w:id="153" w:name="_Toc106986644"/>
      <w:bookmarkStart w:id="154" w:name="_Toc100564942"/>
      <w:r>
        <w:rPr>
          <w:rStyle w:val="CharSectno"/>
        </w:rPr>
        <w:t>39</w:t>
      </w:r>
      <w:r>
        <w:t>.</w:t>
      </w:r>
      <w:r>
        <w:tab/>
        <w:t>Scheme by</w:t>
      </w:r>
      <w:r>
        <w:noBreakHyphen/>
        <w:t>laws on registration</w:t>
      </w:r>
      <w:bookmarkEnd w:id="153"/>
      <w:bookmarkEnd w:id="154"/>
    </w:p>
    <w:p>
      <w:pPr>
        <w:pStyle w:val="Subsection"/>
        <w:keepNext/>
        <w:rPr>
          <w:snapToGrid w:val="0"/>
        </w:rPr>
      </w:pPr>
      <w:r>
        <w:rPr>
          <w:snapToGrid w:val="0"/>
        </w:rPr>
        <w:tab/>
      </w:r>
      <w:r>
        <w:rPr>
          <w:snapToGrid w:val="0"/>
        </w:rPr>
        <w:tab/>
        <w:t xml:space="preserve">On </w:t>
      </w:r>
      <w:r>
        <w:t>registration</w:t>
      </w:r>
      <w:r>
        <w:rPr>
          <w:snapToGrid w:val="0"/>
        </w:rPr>
        <w:t xml:space="preserve"> of a strata titles scheme —</w:t>
      </w:r>
    </w:p>
    <w:p>
      <w:pPr>
        <w:pStyle w:val="Indenta"/>
        <w:keepNext/>
      </w:pPr>
      <w:r>
        <w:tab/>
        <w:t>(a)</w:t>
      </w:r>
      <w:r>
        <w:tab/>
        <w:t>subject to paragraph (b), the governance by</w:t>
      </w:r>
      <w:r>
        <w:noBreakHyphen/>
        <w:t>laws set out in Schedule 1 and the conduct by</w:t>
      </w:r>
      <w:r>
        <w:noBreakHyphen/>
        <w:t>laws set out in Schedule 2 are taken to be registered for the scheme; and</w:t>
      </w:r>
    </w:p>
    <w:p>
      <w:pPr>
        <w:pStyle w:val="Indenta"/>
        <w:keepNext/>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Footnotesection"/>
      </w:pPr>
      <w:r>
        <w:tab/>
        <w:t>[Section 39 inserted: No. 30 of 2018 s. 83.]</w:t>
      </w:r>
    </w:p>
    <w:p>
      <w:pPr>
        <w:pStyle w:val="Ednotesection"/>
      </w:pPr>
      <w:r>
        <w:t>[Former section 39A renumbered as section 115 and relocated to Part 8 Division 1 Subdivision 7: No. 30 of 2018 s. 84.]</w:t>
      </w:r>
    </w:p>
    <w:p>
      <w:pPr>
        <w:pStyle w:val="Heading5"/>
      </w:pPr>
      <w:bookmarkStart w:id="155" w:name="_Toc106986645"/>
      <w:bookmarkStart w:id="156" w:name="_Toc100564943"/>
      <w:r>
        <w:rPr>
          <w:rStyle w:val="CharSectno"/>
        </w:rPr>
        <w:t>40</w:t>
      </w:r>
      <w:r>
        <w:t>.</w:t>
      </w:r>
      <w:r>
        <w:tab/>
        <w:t>Leasehold by</w:t>
      </w:r>
      <w:r>
        <w:noBreakHyphen/>
        <w:t>laws</w:t>
      </w:r>
      <w:bookmarkEnd w:id="155"/>
      <w:bookmarkEnd w:id="156"/>
    </w:p>
    <w:p>
      <w:pPr>
        <w:pStyle w:val="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Indenta"/>
      </w:pPr>
      <w:r>
        <w:tab/>
        <w:t>(a)</w:t>
      </w:r>
      <w:r>
        <w:tab/>
        <w:t>for postponement of the expiry day for the scheme; or</w:t>
      </w:r>
    </w:p>
    <w:p>
      <w:pPr>
        <w:pStyle w:val="Indenta"/>
      </w:pPr>
      <w:r>
        <w:tab/>
        <w:t>(b)</w:t>
      </w:r>
      <w:r>
        <w:tab/>
        <w:t>for compensation payable on the expiry of the scheme.</w:t>
      </w:r>
    </w:p>
    <w:p>
      <w:pPr>
        <w:pStyle w:val="Subsection"/>
      </w:pPr>
      <w:r>
        <w:tab/>
        <w:t>(2)</w:t>
      </w:r>
      <w:r>
        <w:tab/>
        <w:t>If a leasehold scheme does not have leasehold by</w:t>
      </w:r>
      <w:r>
        <w:noBreakHyphen/>
        <w:t>laws, the expiry day for the scheme cannot be postponed.</w:t>
      </w:r>
    </w:p>
    <w:p>
      <w:pPr>
        <w:pStyle w:val="Subsection"/>
      </w:pPr>
      <w:r>
        <w:tab/>
        <w:t>(3)</w:t>
      </w:r>
      <w:r>
        <w:tab/>
        <w:t>The expiry day for a leasehold scheme —</w:t>
      </w:r>
    </w:p>
    <w:p>
      <w:pPr>
        <w:pStyle w:val="Indenta"/>
      </w:pPr>
      <w:r>
        <w:tab/>
        <w:t>(a)</w:t>
      </w:r>
      <w:r>
        <w:tab/>
        <w:t>cannot be postponed to a day that is more than 99 years after registration of the scheme; and</w:t>
      </w:r>
    </w:p>
    <w:p>
      <w:pPr>
        <w:pStyle w:val="Indenta"/>
      </w:pPr>
      <w:r>
        <w:tab/>
        <w:t>(b)</w:t>
      </w:r>
      <w:r>
        <w:tab/>
        <w:t>cannot be postponed unless the postponement is supported by resolution of the strata company as set out in section 41.</w:t>
      </w:r>
    </w:p>
    <w:p>
      <w:pPr>
        <w:pStyle w:val="Subsection"/>
        <w:keepNext/>
      </w:pPr>
      <w:r>
        <w:tab/>
        <w:t>(4)</w:t>
      </w:r>
      <w:r>
        <w:tab/>
        <w:t>Leasehold by</w:t>
      </w:r>
      <w:r>
        <w:noBreakHyphen/>
        <w:t>laws —</w:t>
      </w:r>
    </w:p>
    <w:p>
      <w:pPr>
        <w:pStyle w:val="Indenta"/>
      </w:pPr>
      <w:r>
        <w:tab/>
        <w:t>(a)</w:t>
      </w:r>
      <w:r>
        <w:tab/>
        <w:t>may provide that the owner of the leasehold scheme is to be paid an amount for the postponement of the expiry day for the scheme by the owner of each lot in the scheme and, if they do so —</w:t>
      </w:r>
    </w:p>
    <w:p>
      <w:pPr>
        <w:pStyle w:val="Indenti"/>
      </w:pPr>
      <w:r>
        <w:tab/>
        <w:t>(i)</w:t>
      </w:r>
      <w:r>
        <w:tab/>
        <w:t>the amount paid by the owners of the lots must be proportional to the unit entitlements of their respective lots; and</w:t>
      </w:r>
    </w:p>
    <w:p>
      <w:pPr>
        <w:pStyle w:val="Indenti"/>
      </w:pPr>
      <w:r>
        <w:tab/>
        <w:t>(ii)</w:t>
      </w:r>
      <w:r>
        <w:tab/>
        <w:t>the by</w:t>
      </w:r>
      <w:r>
        <w:noBreakHyphen/>
        <w:t>laws —</w:t>
      </w:r>
    </w:p>
    <w:p>
      <w:pPr>
        <w:pStyle w:val="IndentI0"/>
      </w:pPr>
      <w:r>
        <w:tab/>
        <w:t>(I)</w:t>
      </w:r>
      <w:r>
        <w:tab/>
        <w:t>must set out how the amount is to be calculated; and</w:t>
      </w:r>
    </w:p>
    <w:p>
      <w:pPr>
        <w:pStyle w:val="IndentI0"/>
      </w:pPr>
      <w:r>
        <w:tab/>
        <w:t>(II)</w:t>
      </w:r>
      <w:r>
        <w:tab/>
        <w:t>must set out when and how the amount is to be paid (which must be at least 4 months before the expiry day); and</w:t>
      </w:r>
    </w:p>
    <w:p>
      <w:pPr>
        <w:pStyle w:val="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Indenta"/>
        <w:rPr>
          <w:snapToGrid w:val="0"/>
        </w:rPr>
      </w:pPr>
      <w:r>
        <w:rPr>
          <w:snapToGrid w:val="0"/>
        </w:rPr>
        <w:tab/>
      </w:r>
      <w:r>
        <w:rPr>
          <w:snapToGrid w:val="0"/>
        </w:rPr>
        <w:tab/>
        <w:t>and</w:t>
      </w:r>
    </w:p>
    <w:p>
      <w:pPr>
        <w:pStyle w:val="Indenta"/>
      </w:pPr>
      <w:r>
        <w:tab/>
        <w:t>(b)</w:t>
      </w:r>
      <w:r>
        <w:tab/>
        <w:t>may provide for compensation to be payable to the owner of a lot on the expiry of the scheme for improvements to the lot effected by the owner or a former owner of the lot; and</w:t>
      </w:r>
    </w:p>
    <w:p>
      <w:pPr>
        <w:pStyle w:val="Indenta"/>
      </w:pPr>
      <w:r>
        <w:tab/>
        <w:t>(c)</w:t>
      </w:r>
      <w:r>
        <w:tab/>
        <w:t>must comply with requirements set out in the regulations.</w:t>
      </w:r>
    </w:p>
    <w:p>
      <w:pPr>
        <w:pStyle w:val="Subsection"/>
        <w:keepNext/>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PermNoteHeading"/>
      </w:pPr>
      <w:r>
        <w:tab/>
        <w:t>Note for this section:</w:t>
      </w:r>
    </w:p>
    <w:p>
      <w:pPr>
        <w:pStyle w:val="PermNoteText"/>
        <w:keepNext/>
      </w:pPr>
      <w:r>
        <w:tab/>
      </w:r>
      <w:r>
        <w:tab/>
        <w:t>Leasehold by</w:t>
      </w:r>
      <w:r>
        <w:noBreakHyphen/>
        <w:t>laws providing for postponement of the expiry day for the scheme can only be made, amended or repealed with the approval of the Planning Commission as set out in section 20.</w:t>
      </w:r>
    </w:p>
    <w:p>
      <w:pPr>
        <w:pStyle w:val="Footnotesection"/>
        <w:keepLines w:val="0"/>
      </w:pPr>
      <w:r>
        <w:tab/>
        <w:t>[Section 40 inserted: No. 30 of 2018 s. 83.]</w:t>
      </w:r>
    </w:p>
    <w:p>
      <w:pPr>
        <w:pStyle w:val="Heading5"/>
      </w:pPr>
      <w:bookmarkStart w:id="157" w:name="_Toc106986646"/>
      <w:bookmarkStart w:id="158" w:name="_Toc100564944"/>
      <w:r>
        <w:rPr>
          <w:rStyle w:val="CharSectno"/>
        </w:rPr>
        <w:t>41</w:t>
      </w:r>
      <w:r>
        <w:t>.</w:t>
      </w:r>
      <w:r>
        <w:tab/>
        <w:t>Resolution for postponement of expiry day under leasehold by</w:t>
      </w:r>
      <w:r>
        <w:noBreakHyphen/>
        <w:t>laws</w:t>
      </w:r>
      <w:bookmarkEnd w:id="157"/>
      <w:bookmarkEnd w:id="158"/>
    </w:p>
    <w:p>
      <w:pPr>
        <w:pStyle w:val="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Indenta"/>
      </w:pPr>
      <w:r>
        <w:tab/>
        <w:t>(a)</w:t>
      </w:r>
      <w:r>
        <w:tab/>
        <w:t>14 days’ notice of the terms of the proposed resolution must be given to each member of the strata company before voting on the resolution opens;</w:t>
      </w:r>
    </w:p>
    <w:p>
      <w:pPr>
        <w:pStyle w:val="Indenta"/>
      </w:pPr>
      <w:r>
        <w:tab/>
        <w:t>(b)</w:t>
      </w:r>
      <w:r>
        <w:tab/>
        <w:t>the resolution must specify a proposed new expiry day (in accordance with the leasehold by</w:t>
      </w:r>
      <w:r>
        <w:noBreakHyphen/>
        <w:t>laws) that is a day that is not more than 99 years after registration of the scheme;</w:t>
      </w:r>
    </w:p>
    <w:p>
      <w:pPr>
        <w:pStyle w:val="Indenta"/>
      </w:pPr>
      <w:r>
        <w:tab/>
        <w:t>(c)</w:t>
      </w:r>
      <w:r>
        <w:tab/>
        <w:t>the votes in favour of the resolution must equal not less than 75% of the number of lots in the scheme;</w:t>
      </w:r>
    </w:p>
    <w:p>
      <w:pPr>
        <w:pStyle w:val="Indenta"/>
      </w:pPr>
      <w:r>
        <w:tab/>
        <w:t>(d)</w:t>
      </w:r>
      <w:r>
        <w:tab/>
        <w:t>the resolution must be passed not later than 6 months before the expiry day.</w:t>
      </w:r>
    </w:p>
    <w:p>
      <w:pPr>
        <w:pStyle w:val="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Subsection"/>
        <w:rPr>
          <w:snapToGrid w:val="0"/>
        </w:rPr>
      </w:pPr>
      <w:r>
        <w:rPr>
          <w:snapToGrid w:val="0"/>
        </w:rPr>
        <w:tab/>
        <w:t>(3)</w:t>
      </w:r>
      <w:r>
        <w:rPr>
          <w:snapToGrid w:val="0"/>
        </w:rPr>
        <w:tab/>
        <w:t>Section 126(a) does not apply to a vote on a resolution for postponing the expiry day for a leasehold scheme.</w:t>
      </w:r>
    </w:p>
    <w:p>
      <w:pPr>
        <w:pStyle w:val="Subsection"/>
        <w:keepNext/>
        <w:rPr>
          <w:snapToGrid w:val="0"/>
        </w:rPr>
      </w:pPr>
      <w:r>
        <w:rPr>
          <w:snapToGrid w:val="0"/>
        </w:rPr>
        <w:tab/>
        <w:t>(4)</w:t>
      </w:r>
      <w:r>
        <w:rPr>
          <w:snapToGrid w:val="0"/>
        </w:rPr>
        <w:tab/>
        <w:t>The strata company must, as soon as reasonably practicable after the passing of a resolution under this section —</w:t>
      </w:r>
    </w:p>
    <w:p>
      <w:pPr>
        <w:pStyle w:val="Indenta"/>
      </w:pPr>
      <w:r>
        <w:tab/>
        <w:t>(a)</w:t>
      </w:r>
      <w:r>
        <w:tab/>
        <w:t>serve notice of the resolution, in the approved form, on the owner of the leasehold scheme; and</w:t>
      </w:r>
    </w:p>
    <w:p>
      <w:pPr>
        <w:pStyle w:val="Indenta"/>
      </w:pPr>
      <w:r>
        <w:tab/>
        <w:t>(b)</w:t>
      </w:r>
      <w:r>
        <w:tab/>
        <w:t>apply for registration of an amendment of the scheme notice to give effect to the postponement of the expiry day.</w:t>
      </w:r>
    </w:p>
    <w:p>
      <w:pPr>
        <w:pStyle w:val="Footnotesection"/>
      </w:pPr>
      <w:r>
        <w:tab/>
        <w:t>[Section 41 inserted: No. 30 of 2018 s. 83.]</w:t>
      </w:r>
    </w:p>
    <w:p>
      <w:pPr>
        <w:pStyle w:val="Heading5"/>
      </w:pPr>
      <w:bookmarkStart w:id="159" w:name="_Toc106986647"/>
      <w:bookmarkStart w:id="160" w:name="_Toc100564945"/>
      <w:r>
        <w:rPr>
          <w:rStyle w:val="CharSectno"/>
        </w:rPr>
        <w:t>42</w:t>
      </w:r>
      <w:r>
        <w:t>.</w:t>
      </w:r>
      <w:r>
        <w:tab/>
        <w:t>Staged subdivision by</w:t>
      </w:r>
      <w:r>
        <w:noBreakHyphen/>
        <w:t>laws</w:t>
      </w:r>
      <w:bookmarkEnd w:id="159"/>
      <w:bookmarkEnd w:id="160"/>
    </w:p>
    <w:p>
      <w:pPr>
        <w:pStyle w:val="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PermNoteHeading"/>
      </w:pPr>
      <w:r>
        <w:tab/>
        <w:t>Note for this subsection:</w:t>
      </w:r>
    </w:p>
    <w:p>
      <w:pPr>
        <w:pStyle w:val="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Subsection"/>
      </w:pPr>
      <w:r>
        <w:tab/>
        <w:t>(2)</w:t>
      </w:r>
      <w:r>
        <w:tab/>
        <w:t>Staged subdivision by</w:t>
      </w:r>
      <w:r>
        <w:noBreakHyphen/>
        <w:t>laws must—</w:t>
      </w:r>
    </w:p>
    <w:p>
      <w:pPr>
        <w:pStyle w:val="Indenta"/>
      </w:pPr>
      <w:r>
        <w:tab/>
        <w:t>(a)</w:t>
      </w:r>
      <w:r>
        <w:tab/>
        <w:t>describe in detail —</w:t>
      </w:r>
    </w:p>
    <w:p>
      <w:pPr>
        <w:pStyle w:val="Indenti"/>
      </w:pPr>
      <w:r>
        <w:tab/>
        <w:t>(i)</w:t>
      </w:r>
      <w:r>
        <w:tab/>
        <w:t>the stages of subdivision that are agreed; and</w:t>
      </w:r>
    </w:p>
    <w:p>
      <w:pPr>
        <w:pStyle w:val="Indenti"/>
      </w:pPr>
      <w:r>
        <w:tab/>
        <w:t>(ii)</w:t>
      </w:r>
      <w:r>
        <w:tab/>
        <w:t>any amendments to the scheme plan and schedule of unit entitlements that will be made on completion of each stage of subdivision;</w:t>
      </w:r>
    </w:p>
    <w:p>
      <w:pPr>
        <w:pStyle w:val="Indenta"/>
      </w:pPr>
      <w:r>
        <w:tab/>
      </w:r>
      <w:r>
        <w:tab/>
        <w:t>and</w:t>
      </w:r>
    </w:p>
    <w:p>
      <w:pPr>
        <w:pStyle w:val="Indenta"/>
      </w:pPr>
      <w:r>
        <w:tab/>
        <w:t>(b)</w:t>
      </w:r>
      <w:r>
        <w:tab/>
        <w:t>identify the lots or common property affected by each stage of subdivision; and</w:t>
      </w:r>
    </w:p>
    <w:p>
      <w:pPr>
        <w:pStyle w:val="Indenta"/>
      </w:pPr>
      <w:r>
        <w:tab/>
        <w:t>(c)</w:t>
      </w:r>
      <w:r>
        <w:tab/>
        <w:t>comply with requirements set out in the regulations.</w:t>
      </w:r>
    </w:p>
    <w:p>
      <w:pPr>
        <w:pStyle w:val="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Subsection"/>
        <w:rPr>
          <w:snapToGrid w:val="0"/>
        </w:rPr>
      </w:pPr>
      <w:r>
        <w:rPr>
          <w:snapToGrid w:val="0"/>
        </w:rPr>
        <w:tab/>
        <w:t>(6)</w:t>
      </w:r>
      <w:r>
        <w:rPr>
          <w:snapToGrid w:val="0"/>
        </w:rPr>
        <w:tab/>
        <w:t>Staged subdivision by</w:t>
      </w:r>
      <w:r>
        <w:rPr>
          <w:snapToGrid w:val="0"/>
        </w:rPr>
        <w:noBreakHyphen/>
        <w:t>laws can only be made, amended or repealed if —</w:t>
      </w:r>
    </w:p>
    <w:p>
      <w:pPr>
        <w:pStyle w:val="Indenta"/>
      </w:pPr>
      <w:r>
        <w:tab/>
        <w:t>(a)</w:t>
      </w:r>
      <w:r>
        <w:tab/>
        <w:t>for a leasehold scheme, the owner of the leasehold scheme —</w:t>
      </w:r>
    </w:p>
    <w:p>
      <w:pPr>
        <w:pStyle w:val="Indenti"/>
      </w:pPr>
      <w:r>
        <w:tab/>
        <w:t>(i)</w:t>
      </w:r>
      <w:r>
        <w:tab/>
        <w:t>has been given notice in the approved form of the by</w:t>
      </w:r>
      <w:r>
        <w:noBreakHyphen/>
        <w:t>laws; and</w:t>
      </w:r>
    </w:p>
    <w:p>
      <w:pPr>
        <w:pStyle w:val="Indenti"/>
      </w:pPr>
      <w:r>
        <w:tab/>
        <w:t>(ii)</w:t>
      </w:r>
      <w:r>
        <w:tab/>
        <w:t>has given written consent to the by</w:t>
      </w:r>
      <w:r>
        <w:noBreakHyphen/>
        <w:t>laws;</w:t>
      </w:r>
    </w:p>
    <w:p>
      <w:pPr>
        <w:pStyle w:val="Indenta"/>
      </w:pPr>
      <w:r>
        <w:tab/>
      </w:r>
      <w:r>
        <w:tab/>
        <w:t>and</w:t>
      </w:r>
    </w:p>
    <w:p>
      <w:pPr>
        <w:pStyle w:val="Indenta"/>
      </w:pPr>
      <w:r>
        <w:tab/>
        <w:t>(b)</w:t>
      </w:r>
      <w:r>
        <w:tab/>
        <w:t>in any case, the holder of each designated interest over the whole or a part of the parcel —</w:t>
      </w:r>
    </w:p>
    <w:p>
      <w:pPr>
        <w:pStyle w:val="Indenti"/>
      </w:pPr>
      <w:r>
        <w:tab/>
        <w:t>(i)</w:t>
      </w:r>
      <w:r>
        <w:tab/>
        <w:t>has been given notice in the approved form of the by</w:t>
      </w:r>
      <w:r>
        <w:noBreakHyphen/>
        <w:t>laws; and</w:t>
      </w:r>
    </w:p>
    <w:p>
      <w:pPr>
        <w:pStyle w:val="Indenti"/>
      </w:pPr>
      <w:r>
        <w:tab/>
        <w:t>(ii)</w:t>
      </w:r>
      <w:r>
        <w:tab/>
        <w:t>either —</w:t>
      </w:r>
    </w:p>
    <w:p>
      <w:pPr>
        <w:pStyle w:val="IndentI0"/>
      </w:pPr>
      <w:r>
        <w:tab/>
        <w:t>(I)</w:t>
      </w:r>
      <w:r>
        <w:tab/>
        <w:t>has given written consent to the application; or</w:t>
      </w:r>
    </w:p>
    <w:p>
      <w:pPr>
        <w:pStyle w:val="IndentI0"/>
      </w:pPr>
      <w:r>
        <w:tab/>
        <w:t>(II)</w:t>
      </w:r>
      <w:r>
        <w:tab/>
        <w:t>has not, at the end of 60 days after being given notice, made a written objection to the proposed by</w:t>
      </w:r>
      <w:r>
        <w:noBreakHyphen/>
        <w:t>laws.</w:t>
      </w:r>
    </w:p>
    <w:p>
      <w:pPr>
        <w:pStyle w:val="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Subsection"/>
        <w:rPr>
          <w:snapToGrid w:val="0"/>
        </w:rPr>
      </w:pPr>
      <w:r>
        <w:rPr>
          <w:snapToGrid w:val="0"/>
        </w:rPr>
        <w:tab/>
        <w:t>(8)</w:t>
      </w:r>
      <w:r>
        <w:rPr>
          <w:snapToGrid w:val="0"/>
        </w:rPr>
        <w:tab/>
        <w:t>In considering whether an objection is unreasonable, the Tribunal may consider —</w:t>
      </w:r>
    </w:p>
    <w:p>
      <w:pPr>
        <w:pStyle w:val="Indenta"/>
      </w:pPr>
      <w:r>
        <w:tab/>
        <w:t>(a)</w:t>
      </w:r>
      <w:r>
        <w:tab/>
        <w:t>the merits of the proposed by</w:t>
      </w:r>
      <w:r>
        <w:noBreakHyphen/>
        <w:t>laws; and</w:t>
      </w:r>
    </w:p>
    <w:p>
      <w:pPr>
        <w:pStyle w:val="Indenta"/>
      </w:pPr>
      <w:r>
        <w:tab/>
        <w:t>(b)</w:t>
      </w:r>
      <w:r>
        <w:tab/>
        <w:t>the grounds for the objection; and</w:t>
      </w:r>
    </w:p>
    <w:p>
      <w:pPr>
        <w:pStyle w:val="Indenta"/>
      </w:pPr>
      <w:r>
        <w:tab/>
        <w:t>(c)</w:t>
      </w:r>
      <w:r>
        <w:tab/>
        <w:t>any other factor the Tribunal considers relevant.</w:t>
      </w:r>
    </w:p>
    <w:p>
      <w:pPr>
        <w:pStyle w:val="Subsection"/>
      </w:pPr>
      <w:r>
        <w:tab/>
        <w:t>(9)</w:t>
      </w:r>
      <w:r>
        <w:tab/>
        <w:t>If the Tribunal makes such an order, the applicant must lodge a copy of the order certified by the Tribunal with the Registrar of Titles.</w:t>
      </w:r>
    </w:p>
    <w:p>
      <w:pPr>
        <w:pStyle w:val="Footnotesection"/>
      </w:pPr>
      <w:r>
        <w:tab/>
        <w:t>[Section 42 inserted: No. 30 of 2018 s. 83.]</w:t>
      </w:r>
    </w:p>
    <w:p>
      <w:pPr>
        <w:pStyle w:val="Ednotesection"/>
      </w:pPr>
      <w:r>
        <w:t>[</w:t>
      </w:r>
      <w:r>
        <w:rPr>
          <w:b/>
        </w:rPr>
        <w:t>42A-42C.</w:t>
      </w:r>
      <w:r>
        <w:tab/>
        <w:t>Deleted: No. 30 of 2018 s. 82(b).]</w:t>
      </w:r>
    </w:p>
    <w:p>
      <w:pPr>
        <w:pStyle w:val="Heading5"/>
      </w:pPr>
      <w:bookmarkStart w:id="161" w:name="_Toc106986648"/>
      <w:bookmarkStart w:id="162" w:name="_Toc100564946"/>
      <w:r>
        <w:rPr>
          <w:rStyle w:val="CharSectno"/>
        </w:rPr>
        <w:t>43</w:t>
      </w:r>
      <w:r>
        <w:t>.</w:t>
      </w:r>
      <w:r>
        <w:tab/>
        <w:t>Exclusive use by</w:t>
      </w:r>
      <w:r>
        <w:noBreakHyphen/>
        <w:t>laws</w:t>
      </w:r>
      <w:bookmarkEnd w:id="161"/>
      <w:bookmarkEnd w:id="162"/>
    </w:p>
    <w:p>
      <w:pPr>
        <w:pStyle w:val="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w:t>
      </w:r>
    </w:p>
    <w:p>
      <w:pPr>
        <w:pStyle w:val="Indenta"/>
      </w:pPr>
      <w:r>
        <w:tab/>
        <w:t>(f)</w:t>
      </w:r>
      <w:r>
        <w:tab/>
        <w:t>matters relating to the determination of amounts payable to the strata company by the owners of special lots and the imposition and collection of the amounts.</w:t>
      </w:r>
    </w:p>
    <w:p>
      <w:pPr>
        <w:pStyle w:val="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Footnotesection"/>
      </w:pPr>
      <w:r>
        <w:tab/>
        <w:t>[Section 43 inserted: No. 30 of 2018 s. 83.]</w:t>
      </w:r>
    </w:p>
    <w:p>
      <w:pPr>
        <w:pStyle w:val="Heading5"/>
      </w:pPr>
      <w:bookmarkStart w:id="163" w:name="_Toc106986649"/>
      <w:bookmarkStart w:id="164" w:name="_Toc100564947"/>
      <w:r>
        <w:rPr>
          <w:rStyle w:val="CharSectno"/>
        </w:rPr>
        <w:t>44</w:t>
      </w:r>
      <w:r>
        <w:t>.</w:t>
      </w:r>
      <w:r>
        <w:tab/>
        <w:t>Making of scheme by</w:t>
      </w:r>
      <w:r>
        <w:noBreakHyphen/>
        <w:t>laws</w:t>
      </w:r>
      <w:bookmarkEnd w:id="163"/>
      <w:bookmarkEnd w:id="164"/>
    </w:p>
    <w:p>
      <w:pPr>
        <w:pStyle w:val="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Subsection"/>
        <w:rPr>
          <w:snapToGrid w:val="0"/>
        </w:rPr>
      </w:pPr>
      <w:r>
        <w:rPr>
          <w:snapToGrid w:val="0"/>
        </w:rPr>
        <w:tab/>
        <w:t>(2)</w:t>
      </w:r>
      <w:r>
        <w:rPr>
          <w:snapToGrid w:val="0"/>
        </w:rPr>
        <w:tab/>
        <w:t>The resolution to make by</w:t>
      </w:r>
      <w:r>
        <w:rPr>
          <w:snapToGrid w:val="0"/>
        </w:rPr>
        <w:noBreakHyphen/>
        <w:t>laws must be —</w:t>
      </w:r>
    </w:p>
    <w:p>
      <w:pPr>
        <w:pStyle w:val="Indenta"/>
      </w:pPr>
      <w:r>
        <w:tab/>
        <w:t>(a)</w:t>
      </w:r>
      <w:r>
        <w:tab/>
        <w:t>for governance by</w:t>
      </w:r>
      <w:r>
        <w:noBreakHyphen/>
        <w:t>laws — a resolution without dissent; and</w:t>
      </w:r>
    </w:p>
    <w:p>
      <w:pPr>
        <w:pStyle w:val="Indenta"/>
      </w:pPr>
      <w:r>
        <w:tab/>
        <w:t>(b)</w:t>
      </w:r>
      <w:r>
        <w:tab/>
        <w:t>for conduct by</w:t>
      </w:r>
      <w:r>
        <w:noBreakHyphen/>
        <w:t>laws — a special resolution.</w:t>
      </w:r>
    </w:p>
    <w:p>
      <w:pPr>
        <w:pStyle w:val="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Subsection"/>
        <w:rPr>
          <w:snapToGrid w:val="0"/>
        </w:rPr>
      </w:pPr>
      <w:r>
        <w:rPr>
          <w:snapToGrid w:val="0"/>
        </w:rPr>
        <w:tab/>
        <w:t>(5)</w:t>
      </w:r>
      <w:r>
        <w:rPr>
          <w:snapToGrid w:val="0"/>
        </w:rPr>
        <w:tab/>
        <w:t>Scheme by</w:t>
      </w:r>
      <w:r>
        <w:rPr>
          <w:snapToGrid w:val="0"/>
        </w:rPr>
        <w:noBreakHyphen/>
        <w:t>laws must be in the approved form.</w:t>
      </w:r>
    </w:p>
    <w:p>
      <w:pPr>
        <w:pStyle w:val="Footnotesection"/>
      </w:pPr>
      <w:r>
        <w:tab/>
        <w:t>[Section 44 inserted: No. 30 of 2018 s. 83.]</w:t>
      </w:r>
    </w:p>
    <w:p>
      <w:pPr>
        <w:pStyle w:val="Footnotesection"/>
      </w:pPr>
      <w:r>
        <w:t>[Former section 44 renumbered as section 135 and relocated to Part 8 Division 4: No. 30 of 2018 s. 84.]</w:t>
      </w:r>
    </w:p>
    <w:p>
      <w:pPr>
        <w:pStyle w:val="Heading5"/>
      </w:pPr>
      <w:bookmarkStart w:id="165" w:name="_Toc106986650"/>
      <w:bookmarkStart w:id="166" w:name="_Toc100564948"/>
      <w:r>
        <w:rPr>
          <w:rStyle w:val="CharSectno"/>
        </w:rPr>
        <w:t>45</w:t>
      </w:r>
      <w:r>
        <w:t>.</w:t>
      </w:r>
      <w:r>
        <w:tab/>
        <w:t>Application of scheme by</w:t>
      </w:r>
      <w:r>
        <w:noBreakHyphen/>
        <w:t>laws</w:t>
      </w:r>
      <w:bookmarkEnd w:id="165"/>
      <w:bookmarkEnd w:id="166"/>
    </w:p>
    <w:p>
      <w:pPr>
        <w:pStyle w:val="Subsection"/>
      </w:pPr>
      <w:r>
        <w:tab/>
        <w:t>(1)</w:t>
      </w:r>
      <w:r>
        <w:tab/>
        <w:t>Scheme by</w:t>
      </w:r>
      <w:r>
        <w:noBreakHyphen/>
        <w:t>laws may apply to the following —</w:t>
      </w:r>
    </w:p>
    <w:p>
      <w:pPr>
        <w:pStyle w:val="Indenta"/>
      </w:pPr>
      <w:r>
        <w:tab/>
        <w:t>(a)</w:t>
      </w:r>
      <w:r>
        <w:tab/>
        <w:t>the strata company for the strata titles scheme;</w:t>
      </w:r>
    </w:p>
    <w:p>
      <w:pPr>
        <w:pStyle w:val="Indenta"/>
      </w:pPr>
      <w:r>
        <w:tab/>
        <w:t>(b)</w:t>
      </w:r>
      <w:r>
        <w:tab/>
        <w:t>a member, for the time being, of the strata company for the strata titles scheme;</w:t>
      </w:r>
    </w:p>
    <w:p>
      <w:pPr>
        <w:pStyle w:val="Indenta"/>
      </w:pPr>
      <w:r>
        <w:tab/>
        <w:t>(c)</w:t>
      </w:r>
      <w:r>
        <w:tab/>
        <w:t>an occupier or lessee, for the time being, of a lot, or the common property, in the strata titles scheme;</w:t>
      </w:r>
    </w:p>
    <w:p>
      <w:pPr>
        <w:pStyle w:val="Indenta"/>
      </w:pPr>
      <w:r>
        <w:tab/>
        <w:t>(d)</w:t>
      </w:r>
      <w:r>
        <w:tab/>
        <w:t>in the case of leasehold by</w:t>
      </w:r>
      <w:r>
        <w:noBreakHyphen/>
        <w:t>laws — the owner of the leasehold scheme;</w:t>
      </w:r>
    </w:p>
    <w:p>
      <w:pPr>
        <w:pStyle w:val="Indenta"/>
      </w:pPr>
      <w:r>
        <w:tab/>
        <w:t>(e)</w:t>
      </w:r>
      <w:r>
        <w:tab/>
        <w:t>in the case of exclusive use by</w:t>
      </w:r>
      <w:r>
        <w:noBreakHyphen/>
        <w:t>laws — the owners and occupiers, for the time being, of special lots.</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t>A lease of a lot or common property in a strata titles scheme is taken to contain an agreement by the lessee that the lessee will comply with the scheme by</w:t>
      </w:r>
      <w:r>
        <w:noBreakHyphen/>
        <w:t>laws.</w:t>
      </w:r>
    </w:p>
    <w:p>
      <w:pPr>
        <w:pStyle w:val="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Subsection"/>
      </w:pPr>
      <w:r>
        <w:tab/>
        <w:t>(7)</w:t>
      </w:r>
      <w:r>
        <w:tab/>
        <w:t>Nothing in subsection (6) derogates from the operation of leasehold by</w:t>
      </w:r>
      <w:r>
        <w:noBreakHyphen/>
        <w:t>laws.</w:t>
      </w:r>
    </w:p>
    <w:p>
      <w:pPr>
        <w:pStyle w:val="Footnotesection"/>
      </w:pPr>
      <w:r>
        <w:tab/>
        <w:t>[Section 45 inserted: No. 30 of 2018 s. 83.]</w:t>
      </w:r>
    </w:p>
    <w:p>
      <w:pPr>
        <w:pStyle w:val="Footnotesection"/>
      </w:pPr>
      <w:r>
        <w:t>[Former section 45 renumbered as section 136 and relocated to Part 8 Division 4: No. 30 of 2018 s. 84.]</w:t>
      </w:r>
    </w:p>
    <w:p>
      <w:pPr>
        <w:pStyle w:val="Heading5"/>
      </w:pPr>
      <w:bookmarkStart w:id="167" w:name="_Toc106986651"/>
      <w:bookmarkStart w:id="168" w:name="_Toc100564949"/>
      <w:r>
        <w:rPr>
          <w:rStyle w:val="CharSectno"/>
        </w:rPr>
        <w:t>46</w:t>
      </w:r>
      <w:r>
        <w:t>.</w:t>
      </w:r>
      <w:r>
        <w:tab/>
        <w:t>Invalidity of scheme by</w:t>
      </w:r>
      <w:r>
        <w:noBreakHyphen/>
        <w:t>laws</w:t>
      </w:r>
      <w:bookmarkEnd w:id="167"/>
      <w:bookmarkEnd w:id="168"/>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a restricted use condition;</w:t>
      </w:r>
    </w:p>
    <w:p>
      <w:pPr>
        <w:pStyle w:val="Indenta"/>
      </w:pPr>
      <w:r>
        <w:tab/>
        <w:t>(d)</w:t>
      </w:r>
      <w:r>
        <w:tab/>
        <w:t>for a leasehold scheme — to the extent that they are inconsistent with the covenants or conditions of a strata lease over a lot in the scheme;</w:t>
      </w:r>
    </w:p>
    <w:p>
      <w:pPr>
        <w:pStyle w:val="Indenta"/>
      </w:pPr>
      <w:r>
        <w:tab/>
        <w:t>(e)</w:t>
      </w:r>
      <w:r>
        <w:tab/>
        <w:t>to the extent that they purport to deny or limit the right of a member of the strata company to vote on a proposed resolution of the strata company (except as set out in this Act);</w:t>
      </w:r>
    </w:p>
    <w:p>
      <w:pPr>
        <w:pStyle w:val="Indenta"/>
      </w:pPr>
      <w:r>
        <w:tab/>
        <w:t>(f)</w:t>
      </w:r>
      <w:r>
        <w:tab/>
        <w:t>to the extent that they prohibit or restrict the devolution of a lot or a transfer, lease, mortgage or other dealing with a lot;</w:t>
      </w:r>
    </w:p>
    <w:p>
      <w:pPr>
        <w:pStyle w:val="Indenta"/>
      </w:pPr>
      <w:r>
        <w:tab/>
        <w:t>(g)</w:t>
      </w:r>
      <w:r>
        <w:tab/>
        <w:t>to the extent that they purport to discharge or modify an easement or restrictive covenant;</w:t>
      </w:r>
    </w:p>
    <w:p>
      <w:pPr>
        <w:pStyle w:val="Indenta"/>
      </w:pPr>
      <w:r>
        <w:tab/>
        <w:t>(h)</w:t>
      </w:r>
      <w:r>
        <w:tab/>
        <w:t>to the extent that they prohibit or restrict the keeping on a lot of an animal that is used as an assistance animal by a person with a disability who is an owner or occupier of a lot;</w:t>
      </w:r>
    </w:p>
    <w:p>
      <w:pPr>
        <w:pStyle w:val="Indenta"/>
      </w:pPr>
      <w:r>
        <w:tab/>
        <w:t>(i)</w:t>
      </w:r>
      <w:r>
        <w:tab/>
        <w:t>to the extent that they prohibit or restrict the use on the parcel of an assistance animal by a person with a disability;</w:t>
      </w:r>
    </w:p>
    <w:p>
      <w:pPr>
        <w:pStyle w:val="Indenta"/>
      </w:pPr>
      <w:r>
        <w:tab/>
        <w:t>(j)</w:t>
      </w:r>
      <w:r>
        <w:tab/>
        <w:t>to the extent that, having regard to the interests of all of the owners of lots in the strata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Footnotesection"/>
      </w:pPr>
      <w:r>
        <w:tab/>
        <w:t>[Section 46 inserted: No. 30 of 2018 s. 83.]</w:t>
      </w:r>
    </w:p>
    <w:p>
      <w:pPr>
        <w:pStyle w:val="Heading5"/>
      </w:pPr>
      <w:bookmarkStart w:id="169" w:name="_Toc106986652"/>
      <w:bookmarkStart w:id="170" w:name="_Toc100564950"/>
      <w:r>
        <w:rPr>
          <w:rStyle w:val="CharSectno"/>
        </w:rPr>
        <w:t>47</w:t>
      </w:r>
      <w:r>
        <w:t>.</w:t>
      </w:r>
      <w:r>
        <w:tab/>
        <w:t>Enforcement of scheme by</w:t>
      </w:r>
      <w:r>
        <w:noBreakHyphen/>
        <w:t>laws</w:t>
      </w:r>
      <w:bookmarkEnd w:id="169"/>
      <w:bookmarkEnd w:id="170"/>
    </w:p>
    <w:p>
      <w:pPr>
        <w:pStyle w:val="Subsection"/>
      </w:pPr>
      <w:r>
        <w:tab/>
        <w:t>(1)</w:t>
      </w:r>
      <w:r>
        <w:tab/>
        <w:t>A strata company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scheme by</w:t>
      </w:r>
      <w:r>
        <w:noBreakHyphen/>
        <w:t>laws if —</w:t>
      </w:r>
    </w:p>
    <w:p>
      <w:pPr>
        <w:pStyle w:val="Indenti"/>
      </w:pPr>
      <w:r>
        <w:tab/>
        <w:t>(i)</w:t>
      </w:r>
      <w:r>
        <w:tab/>
        <w:t>the contravention has had serious adverse consequences for a person other than the person alleged to have contravened the scheme by</w:t>
      </w:r>
      <w:r>
        <w:noBreakHyphen/>
        <w:t>laws; or</w:t>
      </w:r>
    </w:p>
    <w:p>
      <w:pPr>
        <w:pStyle w:val="Indenti"/>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pPr>
      <w:r>
        <w:tab/>
        <w:t>(2)</w:t>
      </w:r>
      <w:r>
        <w:tab/>
        <w:t>A written notice given by a strata company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the owner of a lot in the strata titles scheme; or</w:t>
      </w:r>
    </w:p>
    <w:p>
      <w:pPr>
        <w:pStyle w:val="Indenta"/>
      </w:pPr>
      <w:r>
        <w:tab/>
        <w:t>(b)</w:t>
      </w:r>
      <w:r>
        <w:tab/>
        <w:t>if the scheme is a leasehold scheme — the owner of the leasehold scheme; or</w:t>
      </w:r>
    </w:p>
    <w:p>
      <w:pPr>
        <w:pStyle w:val="Indenta"/>
      </w:pPr>
      <w:r>
        <w:tab/>
        <w:t>(c)</w:t>
      </w:r>
      <w:r>
        <w:tab/>
        <w:t>a mortgagee of a lot in the strata titles scheme; or</w:t>
      </w:r>
    </w:p>
    <w:p>
      <w:pPr>
        <w:pStyle w:val="Indenta"/>
      </w:pPr>
      <w:r>
        <w:tab/>
        <w:t>(d)</w:t>
      </w:r>
      <w:r>
        <w:tab/>
        <w:t>an occupier of a lot in the strata titles scheme.</w:t>
      </w:r>
    </w:p>
    <w:p>
      <w:pPr>
        <w:pStyle w:val="Subsection"/>
      </w:pPr>
      <w:r>
        <w:tab/>
        <w:t>(4)</w:t>
      </w:r>
      <w:r>
        <w:tab/>
        <w:t>An application can only be made under subsection (3) on the grounds that —</w:t>
      </w:r>
    </w:p>
    <w:p>
      <w:pPr>
        <w:pStyle w:val="Indenta"/>
      </w:pPr>
      <w:r>
        <w:tab/>
        <w:t>(a)</w:t>
      </w:r>
      <w:r>
        <w:tab/>
        <w:t>if a person other than the strata company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strata company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keepNext/>
      </w:pPr>
      <w:r>
        <w:tab/>
        <w:t>(6)</w:t>
      </w:r>
      <w:r>
        <w:tab/>
        <w:t>The Tribunal’s power to impose a penalty is subject to the following limitations —</w:t>
      </w:r>
    </w:p>
    <w:p>
      <w:pPr>
        <w:pStyle w:val="Indenta"/>
      </w:pPr>
      <w:r>
        <w:tab/>
        <w:t>(a)</w:t>
      </w:r>
      <w:r>
        <w:tab/>
        <w:t>a penalty must not be imposed on the strata company;</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Subsection"/>
      </w:pPr>
      <w:r>
        <w:tab/>
        <w:t>(9)</w:t>
      </w:r>
      <w:r>
        <w:tab/>
        <w:t>An amount otherwise ordered to be paid by way of penalty under this section is recoverable as a debt in a court of competent jurisdiction.</w:t>
      </w:r>
    </w:p>
    <w:p>
      <w:pPr>
        <w:pStyle w:val="Footnotesection"/>
      </w:pPr>
      <w:r>
        <w:tab/>
        <w:t>[Section 47 inserted: No. 30 of 2018 s. 83.]</w:t>
      </w:r>
    </w:p>
    <w:p>
      <w:pPr>
        <w:pStyle w:val="Heading5"/>
      </w:pPr>
      <w:bookmarkStart w:id="171" w:name="_Toc106986653"/>
      <w:bookmarkStart w:id="172" w:name="_Toc100564951"/>
      <w:r>
        <w:rPr>
          <w:rStyle w:val="CharSectno"/>
        </w:rPr>
        <w:t>48</w:t>
      </w:r>
      <w:r>
        <w:t>.</w:t>
      </w:r>
      <w:r>
        <w:tab/>
        <w:t>Requirements for registration of amendment to give effect to scheme by</w:t>
      </w:r>
      <w:r>
        <w:noBreakHyphen/>
        <w:t>laws</w:t>
      </w:r>
      <w:bookmarkEnd w:id="171"/>
      <w:bookmarkEnd w:id="172"/>
    </w:p>
    <w:p>
      <w:pPr>
        <w:pStyle w:val="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Footnotesection"/>
      </w:pPr>
      <w:r>
        <w:tab/>
        <w:t>[Section 48 inserted: No. 30 of 2018 s. 83.]</w:t>
      </w:r>
    </w:p>
    <w:p>
      <w:pPr>
        <w:pStyle w:val="Heading3"/>
      </w:pPr>
      <w:bookmarkStart w:id="173" w:name="_Toc106986218"/>
      <w:bookmarkStart w:id="174" w:name="_Toc106986654"/>
      <w:bookmarkStart w:id="175" w:name="_Toc100308232"/>
      <w:bookmarkStart w:id="176" w:name="_Toc100308668"/>
      <w:bookmarkStart w:id="177" w:name="_Toc100564952"/>
      <w:r>
        <w:rPr>
          <w:rStyle w:val="CharDivNo"/>
        </w:rPr>
        <w:t>Division 5</w:t>
      </w:r>
      <w:r>
        <w:t> — </w:t>
      </w:r>
      <w:r>
        <w:rPr>
          <w:rStyle w:val="CharDivText"/>
        </w:rPr>
        <w:t>Strata leases</w:t>
      </w:r>
      <w:bookmarkEnd w:id="173"/>
      <w:bookmarkEnd w:id="174"/>
      <w:bookmarkEnd w:id="175"/>
      <w:bookmarkEnd w:id="176"/>
      <w:bookmarkEnd w:id="177"/>
    </w:p>
    <w:p>
      <w:pPr>
        <w:pStyle w:val="Footnoteheading"/>
      </w:pPr>
      <w:r>
        <w:tab/>
        <w:t>[Heading inserted: No. 30 of 2018 s. 83.]</w:t>
      </w:r>
    </w:p>
    <w:p>
      <w:pPr>
        <w:pStyle w:val="Heading5"/>
      </w:pPr>
      <w:bookmarkStart w:id="178" w:name="_Toc106986655"/>
      <w:bookmarkStart w:id="179" w:name="_Toc100564953"/>
      <w:r>
        <w:rPr>
          <w:rStyle w:val="CharSectno"/>
        </w:rPr>
        <w:t>49</w:t>
      </w:r>
      <w:r>
        <w:t>.</w:t>
      </w:r>
      <w:r>
        <w:tab/>
        <w:t>Relationship with other laws</w:t>
      </w:r>
      <w:bookmarkEnd w:id="178"/>
      <w:bookmarkEnd w:id="179"/>
    </w:p>
    <w:p>
      <w:pPr>
        <w:pStyle w:val="Subsection"/>
      </w:pPr>
      <w:r>
        <w:tab/>
        <w:t>(1)</w:t>
      </w:r>
      <w:r>
        <w:tab/>
        <w:t xml:space="preserve">When a strata lease is registered as a scheme document, the lease is taken to be a registered lease under the </w:t>
      </w:r>
      <w:r>
        <w:rPr>
          <w:i/>
          <w:snapToGrid w:val="0"/>
        </w:rPr>
        <w:t>Transfer of Land Act 1893</w:t>
      </w:r>
      <w:r>
        <w:t>.</w:t>
      </w:r>
    </w:p>
    <w:p>
      <w:pPr>
        <w:pStyle w:val="Subsection"/>
      </w:pPr>
      <w:r>
        <w:tab/>
        <w:t>(2)</w:t>
      </w:r>
      <w:r>
        <w:tab/>
        <w:t>The following provisions do not apply to or in relation to a strata lease —</w:t>
      </w:r>
    </w:p>
    <w:p>
      <w:pPr>
        <w:pStyle w:val="Indenta"/>
      </w:pPr>
      <w:r>
        <w:tab/>
        <w:t>(a)</w:t>
      </w:r>
      <w:r>
        <w:tab/>
        <w:t xml:space="preserve">the </w:t>
      </w:r>
      <w:r>
        <w:rPr>
          <w:i/>
        </w:rPr>
        <w:t xml:space="preserve">Transfer of Land Act 1893 </w:t>
      </w:r>
      <w:r>
        <w:t>Part IV Division 2;</w:t>
      </w:r>
    </w:p>
    <w:p>
      <w:pPr>
        <w:pStyle w:val="Indenta"/>
      </w:pPr>
      <w:r>
        <w:tab/>
        <w:t>(b)</w:t>
      </w:r>
      <w:r>
        <w:tab/>
        <w:t xml:space="preserve">the </w:t>
      </w:r>
      <w:r>
        <w:rPr>
          <w:i/>
        </w:rPr>
        <w:t xml:space="preserve">Property Law Act 1969 </w:t>
      </w:r>
      <w:r>
        <w:t>sections 72, 73, 74, 75, 76, 79, 80, 81 and 83 and Part VII Division 2;</w:t>
      </w:r>
    </w:p>
    <w:p>
      <w:pPr>
        <w:pStyle w:val="Indenta"/>
      </w:pPr>
      <w:r>
        <w:tab/>
        <w:t>(c)</w:t>
      </w:r>
      <w:r>
        <w:tab/>
        <w:t>other provisions of those or other Acts specified in the regulations.</w:t>
      </w:r>
    </w:p>
    <w:p>
      <w:pPr>
        <w:pStyle w:val="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Footnotesection"/>
      </w:pPr>
      <w:r>
        <w:tab/>
        <w:t>[Section 49 inserted: No. 30 of 2018 s. 83.]</w:t>
      </w:r>
    </w:p>
    <w:p>
      <w:pPr>
        <w:pStyle w:val="Heading5"/>
      </w:pPr>
      <w:bookmarkStart w:id="180" w:name="_Toc106986656"/>
      <w:bookmarkStart w:id="181" w:name="_Toc100564954"/>
      <w:r>
        <w:rPr>
          <w:rStyle w:val="CharSectno"/>
        </w:rPr>
        <w:t>50</w:t>
      </w:r>
      <w:r>
        <w:t>.</w:t>
      </w:r>
      <w:r>
        <w:tab/>
        <w:t>Term of strata lease</w:t>
      </w:r>
      <w:bookmarkEnd w:id="180"/>
      <w:bookmarkEnd w:id="181"/>
    </w:p>
    <w:p>
      <w:pPr>
        <w:pStyle w:val="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Subsection"/>
      </w:pPr>
      <w:r>
        <w:tab/>
        <w:t>(2)</w:t>
      </w:r>
      <w:r>
        <w:tab/>
        <w:t>A strata lease is of no effect to the extent that it purports to extend beyond the expiry day for the scheme.</w:t>
      </w:r>
    </w:p>
    <w:p>
      <w:pPr>
        <w:pStyle w:val="Subsection"/>
      </w:pPr>
      <w:r>
        <w:tab/>
        <w:t>(3)</w:t>
      </w:r>
      <w:r>
        <w:tab/>
        <w:t>A strata lease is not subject to renewal, but its term is extended by postponement of the expiry day for the scheme.</w:t>
      </w:r>
    </w:p>
    <w:p>
      <w:pPr>
        <w:pStyle w:val="Subsection"/>
      </w:pPr>
      <w:r>
        <w:tab/>
        <w:t>(4)</w:t>
      </w:r>
      <w:r>
        <w:tab/>
        <w:t>The fact that the expiry day may be postponed does not render a strata lease invalid for being of uncertain duration or for any other reason.</w:t>
      </w:r>
    </w:p>
    <w:p>
      <w:pPr>
        <w:pStyle w:val="Subsection"/>
      </w:pPr>
      <w:r>
        <w:tab/>
        <w:t>(5)</w:t>
      </w:r>
      <w:r>
        <w:tab/>
        <w:t>A strata lease is not subject to forfeiture.</w:t>
      </w:r>
    </w:p>
    <w:p>
      <w:pPr>
        <w:pStyle w:val="Footnotesection"/>
      </w:pPr>
      <w:r>
        <w:tab/>
        <w:t>[Section 50 inserted: No. 30 of 2018 s. 83.]</w:t>
      </w:r>
    </w:p>
    <w:p>
      <w:pPr>
        <w:pStyle w:val="Ednotesection"/>
      </w:pPr>
      <w:r>
        <w:t>[</w:t>
      </w:r>
      <w:r>
        <w:rPr>
          <w:b/>
        </w:rPr>
        <w:t>50A, 50B.</w:t>
      </w:r>
      <w:r>
        <w:tab/>
        <w:t>Deleted: No. 30 of 2018 s. 82(b).]</w:t>
      </w:r>
    </w:p>
    <w:p>
      <w:pPr>
        <w:pStyle w:val="Heading5"/>
      </w:pPr>
      <w:bookmarkStart w:id="182" w:name="_Toc106986657"/>
      <w:bookmarkStart w:id="183" w:name="_Toc100564955"/>
      <w:r>
        <w:rPr>
          <w:rStyle w:val="CharSectno"/>
        </w:rPr>
        <w:t>51</w:t>
      </w:r>
      <w:r>
        <w:t>.</w:t>
      </w:r>
      <w:r>
        <w:tab/>
        <w:t>Limitations on powers of owner of leasehold scheme</w:t>
      </w:r>
      <w:bookmarkEnd w:id="182"/>
      <w:bookmarkEnd w:id="183"/>
    </w:p>
    <w:p>
      <w:pPr>
        <w:pStyle w:val="Subsection"/>
      </w:pPr>
      <w:r>
        <w:tab/>
        <w:t>(1)</w:t>
      </w:r>
      <w:r>
        <w:tab/>
        <w:t>The owner of a leasehold scheme must not interfere with the use and enjoyment of a lot or common property in the leasehold scheme by the owner of a lot in the scheme.</w:t>
      </w:r>
    </w:p>
    <w:p>
      <w:pPr>
        <w:pStyle w:val="Subsection"/>
      </w:pPr>
      <w:r>
        <w:tab/>
        <w:t>(2)</w:t>
      </w:r>
      <w:r>
        <w:tab/>
        <w:t>Subject to subsection (3), the consent of the owner of the leasehold scheme is not required by the owner of a lot in the scheme to deal with or dispose of the strata title for the lot.</w:t>
      </w:r>
    </w:p>
    <w:p>
      <w:pPr>
        <w:pStyle w:val="Subsection"/>
      </w:pPr>
      <w:r>
        <w:tab/>
        <w:t>(3)</w:t>
      </w:r>
      <w:r>
        <w:tab/>
        <w:t>The regulations may specify circumstances in which the consent of the owner of the leasehold scheme may be required despite subsection (2).</w:t>
      </w:r>
    </w:p>
    <w:p>
      <w:pPr>
        <w:pStyle w:val="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Footnotesection"/>
      </w:pPr>
      <w:r>
        <w:tab/>
        <w:t>[Section 51 inserted: No. 30 of 2018 s. 83.]</w:t>
      </w:r>
    </w:p>
    <w:p>
      <w:pPr>
        <w:pStyle w:val="Ednotesection"/>
      </w:pPr>
      <w:r>
        <w:t>[</w:t>
      </w:r>
      <w:r>
        <w:rPr>
          <w:b/>
        </w:rPr>
        <w:t>51A.</w:t>
      </w:r>
      <w:r>
        <w:tab/>
        <w:t>Deleted: No. 30 of 2018 s. 82(b).]</w:t>
      </w:r>
    </w:p>
    <w:p>
      <w:pPr>
        <w:pStyle w:val="Heading5"/>
      </w:pPr>
      <w:bookmarkStart w:id="184" w:name="_Toc106986658"/>
      <w:bookmarkStart w:id="185" w:name="_Toc100564956"/>
      <w:r>
        <w:rPr>
          <w:rStyle w:val="CharSectno"/>
        </w:rPr>
        <w:t>52</w:t>
      </w:r>
      <w:r>
        <w:t>.</w:t>
      </w:r>
      <w:r>
        <w:tab/>
        <w:t>Content and form of strata lease</w:t>
      </w:r>
      <w:bookmarkEnd w:id="184"/>
      <w:bookmarkEnd w:id="185"/>
    </w:p>
    <w:p>
      <w:pPr>
        <w:pStyle w:val="Subsection"/>
        <w:keepNext/>
      </w:pPr>
      <w:r>
        <w:tab/>
        <w:t>(1)</w:t>
      </w:r>
      <w:r>
        <w:tab/>
        <w:t>A strata lease —</w:t>
      </w:r>
    </w:p>
    <w:p>
      <w:pPr>
        <w:pStyle w:val="Indenta"/>
      </w:pPr>
      <w:r>
        <w:tab/>
        <w:t>(a)</w:t>
      </w:r>
      <w:r>
        <w:tab/>
        <w:t>can only contain covenants or conditions allowed by the regulations; and</w:t>
      </w:r>
    </w:p>
    <w:p>
      <w:pPr>
        <w:pStyle w:val="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Indenta"/>
      </w:pPr>
      <w:r>
        <w:tab/>
        <w:t>(c)</w:t>
      </w:r>
      <w:r>
        <w:tab/>
        <w:t>cannot grant the owner of the leasehold scheme a right of re</w:t>
      </w:r>
      <w:r>
        <w:noBreakHyphen/>
        <w:t>entry of the lot for breach of a covenant or condition (express or implied); and</w:t>
      </w:r>
    </w:p>
    <w:p>
      <w:pPr>
        <w:pStyle w:val="Indenta"/>
      </w:pPr>
      <w:r>
        <w:tab/>
        <w:t>(d)</w:t>
      </w:r>
      <w:r>
        <w:tab/>
        <w:t>must be in the approved form.</w:t>
      </w:r>
    </w:p>
    <w:p>
      <w:pPr>
        <w:pStyle w:val="Subsection"/>
      </w:pPr>
      <w:r>
        <w:tab/>
        <w:t>(2)</w:t>
      </w:r>
      <w:r>
        <w:tab/>
        <w:t>The covenants or conditions allowed by the regulations cannot include covenants or conditions for the following —</w:t>
      </w:r>
    </w:p>
    <w:p>
      <w:pPr>
        <w:pStyle w:val="Indenta"/>
      </w:pPr>
      <w:r>
        <w:tab/>
        <w:t>(a)</w:t>
      </w:r>
      <w:r>
        <w:tab/>
        <w:t>a matter that could be included in leasehold by</w:t>
      </w:r>
      <w:r>
        <w:noBreakHyphen/>
        <w:t>laws;</w:t>
      </w:r>
    </w:p>
    <w:p>
      <w:pPr>
        <w:pStyle w:val="Indenta"/>
      </w:pPr>
      <w:r>
        <w:tab/>
        <w:t>(b)</w:t>
      </w:r>
      <w:r>
        <w:tab/>
        <w:t>refurbishment of the lot or improvements on the lot;</w:t>
      </w:r>
    </w:p>
    <w:p>
      <w:pPr>
        <w:pStyle w:val="Indenta"/>
      </w:pPr>
      <w:r>
        <w:tab/>
        <w:t>(c)</w:t>
      </w:r>
      <w:r>
        <w:tab/>
        <w:t>a matter that is dealt with under this Act including —</w:t>
      </w:r>
    </w:p>
    <w:p>
      <w:pPr>
        <w:pStyle w:val="Indenti"/>
      </w:pPr>
      <w:r>
        <w:tab/>
        <w:t>(i)</w:t>
      </w:r>
      <w:r>
        <w:tab/>
        <w:t>financial contributions towards the maintenance, repair, renewal or replacement of common property in the leasehold scheme or property of the strata company; and</w:t>
      </w:r>
    </w:p>
    <w:p>
      <w:pPr>
        <w:pStyle w:val="Indenti"/>
      </w:pPr>
      <w:r>
        <w:tab/>
        <w:t>(ii)</w:t>
      </w:r>
      <w:r>
        <w:tab/>
        <w:t>the insurance required for the leasehold scheme;</w:t>
      </w:r>
    </w:p>
    <w:p>
      <w:pPr>
        <w:pStyle w:val="Indenta"/>
      </w:pPr>
      <w:r>
        <w:tab/>
        <w:t>(d)</w:t>
      </w:r>
      <w:r>
        <w:tab/>
        <w:t>the acquisition of the owner of a leasehold scheme’s freehold reversion in the lot and the common property appurtenant to the lot;</w:t>
      </w:r>
    </w:p>
    <w:p>
      <w:pPr>
        <w:pStyle w:val="Indenta"/>
      </w:pPr>
      <w:r>
        <w:tab/>
        <w:t>(e)</w:t>
      </w:r>
      <w:r>
        <w:tab/>
        <w:t>compensation for the value of improvements to the lot;</w:t>
      </w:r>
    </w:p>
    <w:p>
      <w:pPr>
        <w:pStyle w:val="Indenta"/>
      </w:pPr>
      <w:r>
        <w:tab/>
        <w:t>(f)</w:t>
      </w:r>
      <w:r>
        <w:tab/>
        <w:t>any other matter specified in the regulations.</w:t>
      </w:r>
    </w:p>
    <w:p>
      <w:pPr>
        <w:pStyle w:val="Subsection"/>
        <w:keepNext/>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PermNoteHeading"/>
      </w:pPr>
      <w:r>
        <w:tab/>
        <w:t>Note for this subsection:</w:t>
      </w:r>
    </w:p>
    <w:p>
      <w:pPr>
        <w:pStyle w:val="PermNoteText"/>
      </w:pPr>
      <w:r>
        <w:tab/>
      </w:r>
      <w:r>
        <w:tab/>
        <w:t>For example, the thing cannot be made the subject of a lease, contract or deed.</w:t>
      </w:r>
    </w:p>
    <w:p>
      <w:pPr>
        <w:pStyle w:val="Footnotesection"/>
      </w:pPr>
      <w:r>
        <w:tab/>
        <w:t>[Section 52 inserted: No. 30 of 2018 s. 83.]</w:t>
      </w:r>
    </w:p>
    <w:p>
      <w:pPr>
        <w:pStyle w:val="Heading5"/>
      </w:pPr>
      <w:bookmarkStart w:id="186" w:name="_Toc106986659"/>
      <w:bookmarkStart w:id="187" w:name="_Toc100564957"/>
      <w:r>
        <w:rPr>
          <w:rStyle w:val="CharSectno"/>
        </w:rPr>
        <w:t>53</w:t>
      </w:r>
      <w:r>
        <w:t>.</w:t>
      </w:r>
      <w:r>
        <w:tab/>
        <w:t>Amendment of strata lease</w:t>
      </w:r>
      <w:bookmarkEnd w:id="186"/>
      <w:bookmarkEnd w:id="187"/>
    </w:p>
    <w:p>
      <w:pPr>
        <w:pStyle w:val="Subsection"/>
      </w:pPr>
      <w:r>
        <w:tab/>
        <w:t>(1)</w:t>
      </w:r>
      <w:r>
        <w:tab/>
        <w:t>A strata lease can only be amended by written agreement between the owner of the leasehold scheme and the owner of the lot to which the strata lease relates.</w:t>
      </w:r>
    </w:p>
    <w:p>
      <w:pPr>
        <w:pStyle w:val="Subsection"/>
      </w:pPr>
      <w:r>
        <w:tab/>
        <w:t>(2)</w:t>
      </w:r>
      <w:r>
        <w:tab/>
        <w:t>The regulations may impose additional requirements for the amendment of a strata lease.</w:t>
      </w:r>
    </w:p>
    <w:p>
      <w:pPr>
        <w:pStyle w:val="Subsection"/>
      </w:pPr>
      <w:r>
        <w:tab/>
        <w:t>(3)</w:t>
      </w:r>
      <w:r>
        <w:tab/>
        <w:t>The amendment of a strata lease cannot take effect until registration of the amendment.</w:t>
      </w:r>
    </w:p>
    <w:p>
      <w:pPr>
        <w:pStyle w:val="Subsection"/>
      </w:pPr>
      <w:r>
        <w:tab/>
        <w:t>(4)</w:t>
      </w:r>
      <w:r>
        <w:tab/>
        <w:t>An amendment of a strata lease must not be registered unless —</w:t>
      </w:r>
    </w:p>
    <w:p>
      <w:pPr>
        <w:pStyle w:val="Indenta"/>
      </w:pPr>
      <w:r>
        <w:tab/>
        <w:t>(a)</w:t>
      </w:r>
      <w:r>
        <w:tab/>
        <w:t>if the owner of the leasehold scheme or the owner of the lot is not an applicant, that owner has given written consent to the amendment; and</w:t>
      </w:r>
    </w:p>
    <w:p>
      <w:pPr>
        <w:pStyle w:val="Indenta"/>
      </w:pPr>
      <w:r>
        <w:tab/>
        <w:t>(b)</w:t>
      </w:r>
      <w:r>
        <w:tab/>
        <w:t>the strata lease as amended is lodged with the Registrar of Titles.</w:t>
      </w:r>
    </w:p>
    <w:p>
      <w:pPr>
        <w:pStyle w:val="Footnotesection"/>
      </w:pPr>
      <w:r>
        <w:tab/>
        <w:t>[Section 53 inserted: No. 30 of 2018 s. 83.]</w:t>
      </w:r>
    </w:p>
    <w:p>
      <w:pPr>
        <w:pStyle w:val="Ednotesection"/>
      </w:pPr>
      <w:r>
        <w:t>[Former sections 53A-53D redesignated as clauses 53A-53E and relocated to Schedule 2A Part 5: No. 30 of 2018 s. 117.]</w:t>
      </w:r>
    </w:p>
    <w:p>
      <w:pPr>
        <w:pStyle w:val="Heading5"/>
      </w:pPr>
      <w:bookmarkStart w:id="188" w:name="_Toc106986660"/>
      <w:bookmarkStart w:id="189" w:name="_Toc100564958"/>
      <w:r>
        <w:rPr>
          <w:rStyle w:val="CharSectno"/>
        </w:rPr>
        <w:t>54</w:t>
      </w:r>
      <w:r>
        <w:t>.</w:t>
      </w:r>
      <w:r>
        <w:tab/>
        <w:t>Enforcement of strata lease</w:t>
      </w:r>
      <w:bookmarkEnd w:id="188"/>
      <w:bookmarkEnd w:id="189"/>
    </w:p>
    <w:p>
      <w:pPr>
        <w:pStyle w:val="Subsection"/>
      </w:pPr>
      <w:r>
        <w:tab/>
        <w:t>(1)</w:t>
      </w:r>
      <w:r>
        <w:tab/>
        <w:t>The owner of a leasehold scheme or the owner of a lot in the leasehold scheme may apply to the Tribunal for enforcement of a covenant or condition in the strata lease or an obligation under this Division.</w:t>
      </w:r>
    </w:p>
    <w:p>
      <w:pPr>
        <w:pStyle w:val="Subsection"/>
        <w:keepNext/>
      </w:pPr>
      <w:r>
        <w:tab/>
        <w:t>(2)</w:t>
      </w:r>
      <w:r>
        <w:tab/>
        <w:t>However, an application can only be made by the owner of the leasehold scheme if —</w:t>
      </w:r>
    </w:p>
    <w:p>
      <w:pPr>
        <w:pStyle w:val="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Subsection"/>
      </w:pPr>
      <w:r>
        <w:tab/>
        <w:t>(3)</w:t>
      </w:r>
      <w:r>
        <w:tab/>
        <w:t>The Tribunal may, if satisfied that the owner of a lot in a leasehold scheme has breached a covenant or condition in the strata lease, by order do 1 or more of the following —</w:t>
      </w:r>
    </w:p>
    <w:p>
      <w:pPr>
        <w:pStyle w:val="Indenta"/>
      </w:pPr>
      <w:r>
        <w:tab/>
        <w:t>(a)</w:t>
      </w:r>
      <w:r>
        <w:tab/>
        <w:t>require the owner of the lot to pay compensation to the owner of the leasehold scheme for any pecuniary loss or damage caused by the breach of the strata lease;</w:t>
      </w:r>
    </w:p>
    <w:p>
      <w:pPr>
        <w:pStyle w:val="Indenta"/>
      </w:pPr>
      <w:r>
        <w:tab/>
        <w:t>(b)</w:t>
      </w:r>
      <w:r>
        <w:tab/>
        <w:t>require the owner of the lot to do, or refrain from doing, a specified act to remedy the breach;</w:t>
      </w:r>
    </w:p>
    <w:p>
      <w:pPr>
        <w:pStyle w:val="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Indenti"/>
      </w:pPr>
      <w:r>
        <w:tab/>
        <w:t>(i)</w:t>
      </w:r>
      <w:r>
        <w:tab/>
        <w:t>the execution of a dealing or other document; or</w:t>
      </w:r>
    </w:p>
    <w:p>
      <w:pPr>
        <w:pStyle w:val="Indenti"/>
      </w:pPr>
      <w:r>
        <w:tab/>
        <w:t>(ii)</w:t>
      </w:r>
      <w:r>
        <w:tab/>
        <w:t>the payment of costs, expenses, damages or compensation; or</w:t>
      </w:r>
    </w:p>
    <w:p>
      <w:pPr>
        <w:pStyle w:val="Indenti"/>
      </w:pPr>
      <w:r>
        <w:tab/>
        <w:t>(iii)</w:t>
      </w:r>
      <w:r>
        <w:tab/>
        <w:t>the giving of security;</w:t>
      </w:r>
    </w:p>
    <w:p>
      <w:pPr>
        <w:pStyle w:val="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Subsection"/>
      </w:pPr>
      <w:r>
        <w:tab/>
        <w:t>(4)</w:t>
      </w:r>
      <w:r>
        <w:tab/>
        <w:t>The Tribunal may, if satisfied that the owner of a leasehold scheme has breached a covenant or condition in the strata lease or has contravened this Act, by order do 1 or more of the following —</w:t>
      </w:r>
    </w:p>
    <w:p>
      <w:pPr>
        <w:pStyle w:val="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Indenta"/>
      </w:pPr>
      <w:r>
        <w:tab/>
        <w:t>(b)</w:t>
      </w:r>
      <w:r>
        <w:tab/>
        <w:t>require the owner of the leasehold scheme to return possession of a lot in the scheme to the owner of the lot.</w:t>
      </w:r>
    </w:p>
    <w:p>
      <w:pPr>
        <w:pStyle w:val="Footnotesection"/>
      </w:pPr>
      <w:r>
        <w:tab/>
        <w:t>[Section 54 inserted: No. 30 of 2018 s. 83.]</w:t>
      </w:r>
    </w:p>
    <w:p>
      <w:pPr>
        <w:pStyle w:val="Ednotesection"/>
      </w:pPr>
      <w:r>
        <w:t>[</w:t>
      </w:r>
      <w:r>
        <w:rPr>
          <w:b/>
        </w:rPr>
        <w:t>54A.</w:t>
      </w:r>
      <w:r>
        <w:tab/>
        <w:t>Deleted: No. 30 of 2018 s. 82(b).]</w:t>
      </w:r>
    </w:p>
    <w:p>
      <w:pPr>
        <w:pStyle w:val="Heading5"/>
      </w:pPr>
      <w:bookmarkStart w:id="190" w:name="_Toc106986661"/>
      <w:bookmarkStart w:id="191" w:name="_Toc100564959"/>
      <w:r>
        <w:rPr>
          <w:rStyle w:val="CharSectno"/>
        </w:rPr>
        <w:t>55</w:t>
      </w:r>
      <w:r>
        <w:t>.</w:t>
      </w:r>
      <w:r>
        <w:tab/>
        <w:t>Contracting out prohibited</w:t>
      </w:r>
      <w:bookmarkEnd w:id="190"/>
      <w:bookmarkEnd w:id="191"/>
    </w:p>
    <w:p>
      <w:pPr>
        <w:pStyle w:val="Subsection"/>
      </w:pPr>
      <w:r>
        <w:tab/>
        <w:t>(1)</w:t>
      </w:r>
      <w:r>
        <w:tab/>
        <w:t>A contract or any other agreement or arrangement is of no effect to the extent that it purports to exclude or restrict the operation of this Division.</w:t>
      </w:r>
    </w:p>
    <w:p>
      <w:pPr>
        <w:pStyle w:val="Subsection"/>
      </w:pPr>
      <w:r>
        <w:tab/>
        <w:t>(2)</w:t>
      </w:r>
      <w:r>
        <w:tab/>
        <w:t>A purported waiver of a right, remedy or benefit conferred on a person under this Division is of no effect.</w:t>
      </w:r>
    </w:p>
    <w:p>
      <w:pPr>
        <w:pStyle w:val="Footnotesection"/>
      </w:pPr>
      <w:r>
        <w:tab/>
        <w:t>[Section 55 inserted: No. 30 of 2018 s. 83.]</w:t>
      </w:r>
    </w:p>
    <w:p>
      <w:pPr>
        <w:pStyle w:val="Ednotesection"/>
      </w:pPr>
      <w:r>
        <w:t>[</w:t>
      </w:r>
      <w:r>
        <w:rPr>
          <w:b/>
        </w:rPr>
        <w:t>55A.</w:t>
      </w:r>
      <w:r>
        <w:tab/>
        <w:t>Deleted: No. 30 of 2018 s. 82(b).]</w:t>
      </w:r>
    </w:p>
    <w:p>
      <w:pPr>
        <w:pStyle w:val="Heading2"/>
      </w:pPr>
      <w:bookmarkStart w:id="192" w:name="_Toc106986226"/>
      <w:bookmarkStart w:id="193" w:name="_Toc106986662"/>
      <w:bookmarkStart w:id="194" w:name="_Toc100308240"/>
      <w:bookmarkStart w:id="195" w:name="_Toc100308676"/>
      <w:bookmarkStart w:id="196" w:name="_Toc100564960"/>
      <w:r>
        <w:rPr>
          <w:rStyle w:val="CharPartNo"/>
        </w:rPr>
        <w:t>Part 5</w:t>
      </w:r>
      <w:r>
        <w:rPr>
          <w:b w:val="0"/>
        </w:rPr>
        <w:t> </w:t>
      </w:r>
      <w:r>
        <w:t>—</w:t>
      </w:r>
      <w:r>
        <w:rPr>
          <w:b w:val="0"/>
        </w:rPr>
        <w:t> </w:t>
      </w:r>
      <w:r>
        <w:rPr>
          <w:rStyle w:val="CharPartText"/>
        </w:rPr>
        <w:t>Registration and land titles</w:t>
      </w:r>
      <w:bookmarkEnd w:id="192"/>
      <w:bookmarkEnd w:id="193"/>
      <w:bookmarkEnd w:id="194"/>
      <w:bookmarkEnd w:id="195"/>
      <w:bookmarkEnd w:id="196"/>
    </w:p>
    <w:p>
      <w:pPr>
        <w:pStyle w:val="Footnoteheading"/>
      </w:pPr>
      <w:r>
        <w:tab/>
        <w:t>[Heading inserted: No. 30 of 2018 s. 83.]</w:t>
      </w:r>
    </w:p>
    <w:p>
      <w:pPr>
        <w:pStyle w:val="Heading3"/>
      </w:pPr>
      <w:bookmarkStart w:id="197" w:name="_Toc106986227"/>
      <w:bookmarkStart w:id="198" w:name="_Toc106986663"/>
      <w:bookmarkStart w:id="199" w:name="_Toc100308241"/>
      <w:bookmarkStart w:id="200" w:name="_Toc100308677"/>
      <w:bookmarkStart w:id="201" w:name="_Toc100564961"/>
      <w:r>
        <w:rPr>
          <w:rStyle w:val="CharDivNo"/>
        </w:rPr>
        <w:t>Division 1</w:t>
      </w:r>
      <w:r>
        <w:t> — </w:t>
      </w:r>
      <w:r>
        <w:rPr>
          <w:rStyle w:val="CharDivText"/>
        </w:rPr>
        <w:t>Schemes and amendment of schemes</w:t>
      </w:r>
      <w:bookmarkEnd w:id="197"/>
      <w:bookmarkEnd w:id="198"/>
      <w:bookmarkEnd w:id="199"/>
      <w:bookmarkEnd w:id="200"/>
      <w:bookmarkEnd w:id="201"/>
    </w:p>
    <w:p>
      <w:pPr>
        <w:pStyle w:val="Footnoteheading"/>
      </w:pPr>
      <w:r>
        <w:tab/>
        <w:t>[Heading inserted: No. 30 of 2018 s. 83.]</w:t>
      </w:r>
    </w:p>
    <w:p>
      <w:pPr>
        <w:pStyle w:val="Heading5"/>
      </w:pPr>
      <w:bookmarkStart w:id="202" w:name="_Toc106986664"/>
      <w:bookmarkStart w:id="203" w:name="_Toc100564962"/>
      <w:r>
        <w:rPr>
          <w:rStyle w:val="CharSectno"/>
        </w:rPr>
        <w:t>56</w:t>
      </w:r>
      <w:r>
        <w:rPr>
          <w:snapToGrid w:val="0"/>
        </w:rPr>
        <w:t>.</w:t>
      </w:r>
      <w:r>
        <w:rPr>
          <w:snapToGrid w:val="0"/>
        </w:rPr>
        <w:tab/>
        <w:t>Application for registration</w:t>
      </w:r>
      <w:bookmarkEnd w:id="202"/>
      <w:bookmarkEnd w:id="203"/>
    </w:p>
    <w:p>
      <w:pPr>
        <w:pStyle w:val="Subsection"/>
        <w:rPr>
          <w:snapToGrid w:val="0"/>
        </w:rPr>
      </w:pPr>
      <w:r>
        <w:rPr>
          <w:snapToGrid w:val="0"/>
        </w:rPr>
        <w:tab/>
        <w:t>(1)</w:t>
      </w:r>
      <w:r>
        <w:rPr>
          <w:snapToGrid w:val="0"/>
        </w:rPr>
        <w:tab/>
        <w:t>An application for registration of a strata titles scheme or an amendment of a strata titles scheme can be made —</w:t>
      </w:r>
    </w:p>
    <w:p>
      <w:pPr>
        <w:pStyle w:val="Indenta"/>
      </w:pPr>
      <w:r>
        <w:tab/>
        <w:t>(a)</w:t>
      </w:r>
      <w:r>
        <w:tab/>
        <w:t>for registration to give effect to a subdivision, by the scheme developer for the subdivision; or</w:t>
      </w:r>
    </w:p>
    <w:p>
      <w:pPr>
        <w:pStyle w:val="Indenta"/>
      </w:pPr>
      <w:r>
        <w:tab/>
        <w:t>(b)</w:t>
      </w:r>
      <w:r>
        <w:tab/>
        <w:t>for registration of an amendment of a strata titles scheme, by —</w:t>
      </w:r>
    </w:p>
    <w:p>
      <w:pPr>
        <w:pStyle w:val="Indenti"/>
      </w:pPr>
      <w:r>
        <w:tab/>
        <w:t>(i)</w:t>
      </w:r>
      <w:r>
        <w:tab/>
        <w:t>the strata company for the scheme; or</w:t>
      </w:r>
    </w:p>
    <w:p>
      <w:pPr>
        <w:pStyle w:val="Indenti"/>
      </w:pPr>
      <w:r>
        <w:tab/>
        <w:t>(ii)</w:t>
      </w:r>
      <w:r>
        <w:tab/>
        <w:t>an owner of a lot in the scheme; or</w:t>
      </w:r>
    </w:p>
    <w:p>
      <w:pPr>
        <w:pStyle w:val="Indenti"/>
      </w:pPr>
      <w:r>
        <w:tab/>
        <w:t>(iii)</w:t>
      </w:r>
      <w:r>
        <w:tab/>
        <w:t>if the scheme is a leasehold scheme, the owner of the leasehold scheme.</w:t>
      </w:r>
    </w:p>
    <w:p>
      <w:pPr>
        <w:pStyle w:val="Subsection"/>
      </w:pPr>
      <w:r>
        <w:tab/>
        <w:t>(2)</w:t>
      </w:r>
      <w:r>
        <w:tab/>
        <w:t>An application for registration of a strata titles scheme or an amendment of a strata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w:t>
      </w:r>
    </w:p>
    <w:p>
      <w:pPr>
        <w:pStyle w:val="Indenta"/>
      </w:pPr>
      <w:r>
        <w:tab/>
      </w:r>
      <w:r>
        <w:tab/>
        <w:t>and</w:t>
      </w:r>
    </w:p>
    <w:p>
      <w:pPr>
        <w:pStyle w:val="Indenta"/>
      </w:pPr>
      <w:r>
        <w:tab/>
        <w:t>(d)</w:t>
      </w:r>
      <w:r>
        <w:tab/>
        <w:t>be accompanied by evidence, in the approved form, that the requirements of this Act for the making and registration of the scheme documents or amendments of the scheme documents have been complied with; and</w:t>
      </w:r>
    </w:p>
    <w:p>
      <w:pPr>
        <w:pStyle w:val="PermNoteHeading"/>
      </w:pPr>
      <w:r>
        <w:tab/>
        <w:t>Note for this paragraph:</w:t>
      </w:r>
    </w:p>
    <w:p>
      <w:pPr>
        <w:pStyle w:val="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Indenta"/>
      </w:pPr>
      <w:r>
        <w:tab/>
        <w:t>(e)</w:t>
      </w:r>
      <w:r>
        <w:tab/>
        <w:t>must 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Subsection"/>
      </w:pPr>
      <w:r>
        <w:tab/>
        <w:t>(4)</w:t>
      </w:r>
      <w:r>
        <w:tab/>
        <w:t>The regulations may impose time limits within which an application for registration must be made.</w:t>
      </w:r>
    </w:p>
    <w:p>
      <w:pPr>
        <w:pStyle w:val="PermNoteHeading"/>
      </w:pPr>
      <w:r>
        <w:tab/>
        <w:t>Note for this subsection:</w:t>
      </w:r>
    </w:p>
    <w:p>
      <w:pPr>
        <w:pStyle w:val="PermNoteText"/>
      </w:pPr>
      <w:r>
        <w:tab/>
      </w:r>
      <w:r>
        <w:tab/>
        <w:t>For example, an application involving an amendment of a scheme plan may be required to be made within a specified period after endorsement of the scheme plan by the Planning Commission.</w:t>
      </w:r>
    </w:p>
    <w:p>
      <w:pPr>
        <w:pStyle w:val="Footnotesection"/>
      </w:pPr>
      <w:r>
        <w:tab/>
        <w:t>[Section 56 inserted: No. 30 of 2018 s. 83.]</w:t>
      </w:r>
    </w:p>
    <w:p>
      <w:pPr>
        <w:pStyle w:val="Ednotesection"/>
      </w:pPr>
      <w:r>
        <w:t>[</w:t>
      </w:r>
      <w:r>
        <w:rPr>
          <w:b/>
        </w:rPr>
        <w:t>56A.</w:t>
      </w:r>
      <w:r>
        <w:tab/>
        <w:t>Deleted: No. 30 of 2018 s. 82(b).]</w:t>
      </w:r>
    </w:p>
    <w:p>
      <w:pPr>
        <w:pStyle w:val="Heading5"/>
      </w:pPr>
      <w:bookmarkStart w:id="204" w:name="_Toc106986665"/>
      <w:bookmarkStart w:id="205" w:name="_Toc100564963"/>
      <w:r>
        <w:rPr>
          <w:rStyle w:val="CharSectno"/>
        </w:rPr>
        <w:t>57</w:t>
      </w:r>
      <w:r>
        <w:t>.</w:t>
      </w:r>
      <w:r>
        <w:tab/>
        <w:t>Effect of registration</w:t>
      </w:r>
      <w:bookmarkEnd w:id="204"/>
      <w:bookmarkEnd w:id="205"/>
    </w:p>
    <w:p>
      <w:pPr>
        <w:pStyle w:val="Subsection"/>
        <w:keepNext/>
      </w:pPr>
      <w:r>
        <w:tab/>
        <w:t>(1)</w:t>
      </w:r>
      <w:r>
        <w:tab/>
        <w:t>On registration of a freehold scheme —</w:t>
      </w:r>
    </w:p>
    <w:p>
      <w:pPr>
        <w:pStyle w:val="Indenta"/>
      </w:pPr>
      <w:r>
        <w:tab/>
        <w:t>(a)</w:t>
      </w:r>
      <w:r>
        <w:tab/>
        <w:t>the title to the parcel of land that existed immediately before registration of the scheme ceases to exist; and</w:t>
      </w:r>
    </w:p>
    <w:p>
      <w:pPr>
        <w:pStyle w:val="Indenta"/>
      </w:pPr>
      <w:r>
        <w:tab/>
        <w:t>(b)</w:t>
      </w:r>
      <w:r>
        <w:tab/>
        <w:t xml:space="preserve">the certificate of title for the parcel must be cancelled under the </w:t>
      </w:r>
      <w:r>
        <w:rPr>
          <w:i/>
        </w:rPr>
        <w:t>Transfer of Land Act 1893</w:t>
      </w:r>
      <w:r>
        <w:t>.</w:t>
      </w:r>
    </w:p>
    <w:p>
      <w:pPr>
        <w:pStyle w:val="Subsection"/>
      </w:pPr>
      <w:r>
        <w:tab/>
        <w:t>(2)</w:t>
      </w:r>
      <w:r>
        <w:tab/>
        <w:t>On registration of a leasehold scheme —</w:t>
      </w:r>
    </w:p>
    <w:p>
      <w:pPr>
        <w:pStyle w:val="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Indenta"/>
      </w:pPr>
      <w:r>
        <w:tab/>
        <w:t>(b)</w:t>
      </w:r>
      <w:r>
        <w:tab/>
        <w:t xml:space="preserve">the certificate of title for the parcel must be endorsed accordingly under the </w:t>
      </w:r>
      <w:r>
        <w:rPr>
          <w:i/>
        </w:rPr>
        <w:t>Transfer of Land Act 1893</w:t>
      </w:r>
      <w:r>
        <w:t>.</w:t>
      </w:r>
    </w:p>
    <w:p>
      <w:pPr>
        <w:pStyle w:val="Subsection"/>
      </w:pPr>
      <w:r>
        <w:tab/>
        <w:t>(3)</w:t>
      </w:r>
      <w:r>
        <w:tab/>
        <w:t>On registration of a strata titles scheme or an amendment of a strata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if a lot in a leasehold scheme ceases to exist, the strata lease for the lot is extinguished; and</w:t>
      </w:r>
    </w:p>
    <w:p>
      <w:pPr>
        <w:pStyle w:val="Indenta"/>
      </w:pPr>
      <w:r>
        <w:tab/>
        <w:t>(c)</w:t>
      </w:r>
      <w:r>
        <w:tab/>
        <w:t>the relevant common property (if any) comes into existence, ceases to exist or is varied as required by the subdivision.</w:t>
      </w:r>
    </w:p>
    <w:p>
      <w:pPr>
        <w:pStyle w:val="Subsection"/>
      </w:pPr>
      <w:r>
        <w:tab/>
        <w:t>(4)</w:t>
      </w:r>
      <w:r>
        <w:tab/>
        <w:t>A scheme document, or an amendment of a scheme document, has effect from when it is registered or recorded by the Registrar of Titles.</w:t>
      </w:r>
    </w:p>
    <w:p>
      <w:pPr>
        <w:pStyle w:val="Footnotesection"/>
      </w:pPr>
      <w:r>
        <w:tab/>
        <w:t>[Section 57 inserted: No. 30 of 2018 s. 83.]</w:t>
      </w:r>
    </w:p>
    <w:p>
      <w:pPr>
        <w:pStyle w:val="Ednotesection"/>
      </w:pPr>
      <w:r>
        <w:t>[Former section 57 renumbered as section 84 and relocated to Part 5 Division 4: No. 30 of 2018 s. 84.]</w:t>
      </w:r>
    </w:p>
    <w:p>
      <w:pPr>
        <w:pStyle w:val="Heading5"/>
      </w:pPr>
      <w:bookmarkStart w:id="206" w:name="_Toc106986666"/>
      <w:bookmarkStart w:id="207" w:name="_Toc100564964"/>
      <w:r>
        <w:rPr>
          <w:rStyle w:val="CharSectno"/>
        </w:rPr>
        <w:t>58</w:t>
      </w:r>
      <w:r>
        <w:t>.</w:t>
      </w:r>
      <w:r>
        <w:tab/>
        <w:t>Registration process</w:t>
      </w:r>
      <w:bookmarkEnd w:id="206"/>
      <w:bookmarkEnd w:id="207"/>
    </w:p>
    <w:p>
      <w:pPr>
        <w:pStyle w:val="Subsection"/>
        <w:rPr>
          <w:snapToGrid w:val="0"/>
        </w:rPr>
      </w:pPr>
      <w:r>
        <w:tab/>
        <w:t>(1)</w:t>
      </w:r>
      <w:r>
        <w:tab/>
      </w:r>
      <w:r>
        <w:rPr>
          <w:snapToGrid w:val="0"/>
        </w:rPr>
        <w:t>To register a strata titles scheme or an amendment of a strata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strata titles scheme or an amendment of a strata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Indenti"/>
        <w:rPr>
          <w:snapToGrid w:val="0"/>
        </w:rPr>
      </w:pPr>
      <w:r>
        <w:rPr>
          <w:snapToGrid w:val="0"/>
        </w:rPr>
        <w:tab/>
        <w:t>(ii)</w:t>
      </w:r>
      <w:r>
        <w:rPr>
          <w:snapToGrid w:val="0"/>
        </w:rPr>
        <w:tab/>
        <w:t>for a leasehold scheme, ensure that there is —</w:t>
      </w:r>
    </w:p>
    <w:p>
      <w:pPr>
        <w:pStyle w:val="IndentI0"/>
      </w:pPr>
      <w:r>
        <w:rPr>
          <w:snapToGrid w:val="0"/>
        </w:rPr>
        <w:tab/>
        <w:t>(I)</w:t>
      </w:r>
      <w:r>
        <w:rPr>
          <w:snapToGrid w:val="0"/>
        </w:rPr>
        <w:tab/>
      </w:r>
      <w:r>
        <w:t>a strata lease registered for each lot in the scheme; and</w:t>
      </w:r>
    </w:p>
    <w:p>
      <w:pPr>
        <w:pStyle w:val="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Indenti"/>
        <w:rPr>
          <w:snapToGrid w:val="0"/>
        </w:rPr>
      </w:pPr>
      <w:r>
        <w:rPr>
          <w:snapToGrid w:val="0"/>
        </w:rPr>
        <w:tab/>
      </w:r>
      <w:r>
        <w:rPr>
          <w:snapToGrid w:val="0"/>
        </w:rPr>
        <w:tab/>
        <w:t>and</w:t>
      </w:r>
    </w:p>
    <w:p>
      <w:pPr>
        <w:pStyle w:val="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Subsection"/>
      </w:pPr>
      <w:r>
        <w:tab/>
        <w:t>(2)</w:t>
      </w:r>
      <w:r>
        <w:tab/>
        <w:t>A separate certificate of title is not to be created for common property or for a parcel subdivided by a freehold scheme.</w:t>
      </w:r>
    </w:p>
    <w:p>
      <w:pPr>
        <w:pStyle w:val="Subsection"/>
      </w:pPr>
      <w:r>
        <w:tab/>
        <w:t>(3)</w:t>
      </w:r>
      <w:r>
        <w:tab/>
        <w:t xml:space="preserve">The </w:t>
      </w:r>
      <w:r>
        <w:rPr>
          <w:i/>
        </w:rPr>
        <w:t>Transfer of Land Act 1893</w:t>
      </w:r>
      <w:r>
        <w:t xml:space="preserve"> section 48B does not apply to a certificate of title for a lot in a leasehold scheme.</w:t>
      </w:r>
    </w:p>
    <w:p>
      <w:pPr>
        <w:pStyle w:val="Subsection"/>
      </w:pPr>
      <w:r>
        <w:tab/>
        <w:t>(4)</w:t>
      </w:r>
      <w:r>
        <w:tab/>
        <w:t xml:space="preserve">The </w:t>
      </w:r>
      <w:r>
        <w:rPr>
          <w:i/>
        </w:rPr>
        <w:t>Transfer of Land Act 1893</w:t>
      </w:r>
      <w:r>
        <w:t xml:space="preserve"> section 166 does not apply to a subdivision of land by a strata titles scheme.</w:t>
      </w:r>
    </w:p>
    <w:p>
      <w:pPr>
        <w:pStyle w:val="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PermNoteHeading"/>
      </w:pPr>
      <w:r>
        <w:tab/>
        <w:t>Note for this subsection:</w:t>
      </w:r>
    </w:p>
    <w:p>
      <w:pPr>
        <w:pStyle w:val="PermNoteText"/>
      </w:pPr>
      <w:r>
        <w:tab/>
      </w:r>
      <w:r>
        <w:tab/>
        <w:t>For example, an item may comprise an estate, interest, right, encumbrance, notification, memorial or caveat.</w:t>
      </w:r>
    </w:p>
    <w:p>
      <w:pPr>
        <w:pStyle w:val="Footnotesection"/>
      </w:pPr>
      <w:r>
        <w:tab/>
        <w:t>[Section 58 inserted: No. 30 of 2018 s. 83.]</w:t>
      </w:r>
    </w:p>
    <w:p>
      <w:pPr>
        <w:pStyle w:val="Heading5"/>
      </w:pPr>
      <w:bookmarkStart w:id="208" w:name="_Toc106986667"/>
      <w:bookmarkStart w:id="209" w:name="_Toc100564965"/>
      <w:r>
        <w:rPr>
          <w:rStyle w:val="CharSectno"/>
        </w:rPr>
        <w:t>59</w:t>
      </w:r>
      <w:r>
        <w:t>.</w:t>
      </w:r>
      <w:r>
        <w:tab/>
        <w:t>No presumption of validity of scheme by</w:t>
      </w:r>
      <w:r>
        <w:noBreakHyphen/>
        <w:t>laws</w:t>
      </w:r>
      <w:bookmarkEnd w:id="208"/>
      <w:bookmarkEnd w:id="209"/>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Footnotesection"/>
      </w:pPr>
      <w:r>
        <w:tab/>
        <w:t>[Section 59 inserted: No. 30 of 2018 s. 83.]</w:t>
      </w:r>
    </w:p>
    <w:p>
      <w:pPr>
        <w:pStyle w:val="Heading3"/>
      </w:pPr>
      <w:bookmarkStart w:id="210" w:name="_Toc106986232"/>
      <w:bookmarkStart w:id="211" w:name="_Toc106986668"/>
      <w:bookmarkStart w:id="212" w:name="_Toc100308246"/>
      <w:bookmarkStart w:id="213" w:name="_Toc100308682"/>
      <w:bookmarkStart w:id="214" w:name="_Toc100564966"/>
      <w:r>
        <w:rPr>
          <w:rStyle w:val="CharDivNo"/>
        </w:rPr>
        <w:t>Division 2</w:t>
      </w:r>
      <w:r>
        <w:t> — </w:t>
      </w:r>
      <w:r>
        <w:rPr>
          <w:rStyle w:val="CharDivText"/>
        </w:rPr>
        <w:t>Re</w:t>
      </w:r>
      <w:r>
        <w:rPr>
          <w:rStyle w:val="CharDivText"/>
        </w:rPr>
        <w:noBreakHyphen/>
        <w:t>entry or surrender of strata leases</w:t>
      </w:r>
      <w:bookmarkEnd w:id="210"/>
      <w:bookmarkEnd w:id="211"/>
      <w:bookmarkEnd w:id="212"/>
      <w:bookmarkEnd w:id="213"/>
      <w:bookmarkEnd w:id="214"/>
    </w:p>
    <w:p>
      <w:pPr>
        <w:pStyle w:val="Footnoteheading"/>
      </w:pPr>
      <w:r>
        <w:tab/>
        <w:t>[Heading inserted: No. 30 of 2018 s. 83.]</w:t>
      </w:r>
    </w:p>
    <w:p>
      <w:pPr>
        <w:pStyle w:val="Heading5"/>
      </w:pPr>
      <w:bookmarkStart w:id="215" w:name="_Toc106986669"/>
      <w:bookmarkStart w:id="216" w:name="_Toc100564967"/>
      <w:r>
        <w:rPr>
          <w:rStyle w:val="CharSectno"/>
        </w:rPr>
        <w:t>60</w:t>
      </w:r>
      <w:r>
        <w:t>.</w:t>
      </w:r>
      <w:r>
        <w:tab/>
        <w:t>Notice and registration</w:t>
      </w:r>
      <w:bookmarkEnd w:id="215"/>
      <w:bookmarkEnd w:id="216"/>
    </w:p>
    <w:p>
      <w:pPr>
        <w:pStyle w:val="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Indenta"/>
      </w:pPr>
      <w:r>
        <w:tab/>
        <w:t>(b)</w:t>
      </w:r>
      <w:r>
        <w:tab/>
        <w:t>the Registrar of Titles must register the notice; and</w:t>
      </w:r>
    </w:p>
    <w:p>
      <w:pPr>
        <w:pStyle w:val="Indenta"/>
      </w:pPr>
      <w:r>
        <w:tab/>
        <w:t>(c)</w:t>
      </w:r>
      <w:r>
        <w:tab/>
        <w:t>on registration of the notice —</w:t>
      </w:r>
    </w:p>
    <w:p>
      <w:pPr>
        <w:pStyle w:val="Indenti"/>
      </w:pPr>
      <w:r>
        <w:tab/>
        <w:t>(i)</w:t>
      </w:r>
      <w:r>
        <w:tab/>
        <w:t>the Registrar must register the owner of the leasehold scheme as the owner of the lot; and</w:t>
      </w:r>
    </w:p>
    <w:p>
      <w:pPr>
        <w:pStyle w:val="Indenti"/>
      </w:pPr>
      <w:r>
        <w:tab/>
        <w:t>(ii)</w:t>
      </w:r>
      <w:r>
        <w:tab/>
        <w:t>the owner of the leasehold scheme is entitled to vacant possession of the lot; and</w:t>
      </w:r>
    </w:p>
    <w:p>
      <w:pPr>
        <w:pStyle w:val="Indenti"/>
      </w:pPr>
      <w:r>
        <w:tab/>
        <w:t>(iii)</w:t>
      </w:r>
      <w:r>
        <w:tab/>
        <w:t>the strata lease is otherwise unaffected.</w:t>
      </w:r>
    </w:p>
    <w:p>
      <w:pPr>
        <w:pStyle w:val="Footnotesection"/>
      </w:pPr>
      <w:r>
        <w:tab/>
        <w:t>[Section 60 inserted: No. 30 of 2018 s. 83.]</w:t>
      </w:r>
    </w:p>
    <w:p>
      <w:pPr>
        <w:pStyle w:val="Footnotesection"/>
      </w:pPr>
      <w:r>
        <w:t>[Former section 60 renumbered as section 67 and relocated to Part 5 Division 4: No. 30 of 2018 s. 84.]</w:t>
      </w:r>
    </w:p>
    <w:p>
      <w:pPr>
        <w:pStyle w:val="Heading3"/>
      </w:pPr>
      <w:bookmarkStart w:id="217" w:name="_Toc106986234"/>
      <w:bookmarkStart w:id="218" w:name="_Toc106986670"/>
      <w:bookmarkStart w:id="219" w:name="_Toc100308248"/>
      <w:bookmarkStart w:id="220" w:name="_Toc100308684"/>
      <w:bookmarkStart w:id="221" w:name="_Toc100564968"/>
      <w:r>
        <w:rPr>
          <w:rStyle w:val="CharDivNo"/>
        </w:rPr>
        <w:t>Division 3</w:t>
      </w:r>
      <w:r>
        <w:t> — </w:t>
      </w:r>
      <w:r>
        <w:rPr>
          <w:rStyle w:val="CharDivText"/>
        </w:rPr>
        <w:t>Statutory easements</w:t>
      </w:r>
      <w:bookmarkEnd w:id="217"/>
      <w:bookmarkEnd w:id="218"/>
      <w:bookmarkEnd w:id="219"/>
      <w:bookmarkEnd w:id="220"/>
      <w:bookmarkEnd w:id="221"/>
    </w:p>
    <w:p>
      <w:pPr>
        <w:pStyle w:val="Footnoteheading"/>
        <w:keepNext/>
      </w:pPr>
      <w:r>
        <w:tab/>
        <w:t>[Heading inserted: No. 30 of 2018 s. 83.]</w:t>
      </w:r>
    </w:p>
    <w:p>
      <w:pPr>
        <w:pStyle w:val="Heading5"/>
      </w:pPr>
      <w:bookmarkStart w:id="222" w:name="_Toc106986671"/>
      <w:bookmarkStart w:id="223" w:name="_Toc100564969"/>
      <w:r>
        <w:rPr>
          <w:rStyle w:val="CharSectno"/>
        </w:rPr>
        <w:t>61</w:t>
      </w:r>
      <w:r>
        <w:t>.</w:t>
      </w:r>
      <w:r>
        <w:tab/>
        <w:t>Easement for support, shelter and projections — lot</w:t>
      </w:r>
      <w:bookmarkEnd w:id="222"/>
      <w:bookmarkEnd w:id="223"/>
    </w:p>
    <w:p>
      <w:pPr>
        <w:pStyle w:val="Subsection"/>
        <w:keepNext/>
        <w:rPr>
          <w:snapToGrid w:val="0"/>
        </w:rPr>
      </w:pPr>
      <w:r>
        <w:tab/>
        <w:t>(1)</w:t>
      </w:r>
      <w:r>
        <w:tab/>
      </w:r>
      <w:r>
        <w:rPr>
          <w:snapToGrid w:val="0"/>
        </w:rPr>
        <w:t>For each lot in a strata titles scheme there is an easement</w:t>
      </w:r>
      <w:r>
        <w:rPr>
          <w:snapToGrid w:val="0"/>
          <w:spacing w:val="-4"/>
        </w:rPr>
        <w:t xml:space="preserve"> benefiting the lot —</w:t>
      </w:r>
    </w:p>
    <w:p>
      <w:pPr>
        <w:pStyle w:val="Indenta"/>
        <w:keepNext/>
      </w:pPr>
      <w:r>
        <w:rPr>
          <w:snapToGrid w:val="0"/>
        </w:rPr>
        <w:tab/>
        <w:t>(a)</w:t>
      </w:r>
      <w:r>
        <w:rPr>
          <w:snapToGrid w:val="0"/>
        </w:rPr>
        <w:tab/>
        <w:t>for the subjacent and lateral support of the lot —</w:t>
      </w:r>
    </w:p>
    <w:p>
      <w:pPr>
        <w:pStyle w:val="Indenti"/>
      </w:pPr>
      <w:r>
        <w:tab/>
        <w:t>(i)</w:t>
      </w:r>
      <w:r>
        <w:tab/>
        <w:t>by every other lot in the scheme capable of affording support; and</w:t>
      </w:r>
    </w:p>
    <w:p>
      <w:pPr>
        <w:pStyle w:val="Indenti"/>
      </w:pPr>
      <w:r>
        <w:tab/>
        <w:t>(ii)</w:t>
      </w:r>
      <w:r>
        <w:tab/>
        <w:t>by all the 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each lot in a strata titles scheme there is an easement burdening the lot —</w:t>
      </w:r>
    </w:p>
    <w:p>
      <w:pPr>
        <w:pStyle w:val="Indenta"/>
      </w:pPr>
      <w:r>
        <w:rPr>
          <w:snapToGrid w:val="0"/>
        </w:rPr>
        <w:tab/>
        <w:t>(a)</w:t>
      </w:r>
      <w:r>
        <w:rPr>
          <w:snapToGrid w:val="0"/>
        </w:rPr>
        <w:tab/>
        <w:t>for the subjacent and lateral support of —</w:t>
      </w:r>
    </w:p>
    <w:p>
      <w:pPr>
        <w:pStyle w:val="Indenti"/>
      </w:pPr>
      <w:r>
        <w:tab/>
        <w:t>(i)</w:t>
      </w:r>
      <w:r>
        <w:tab/>
        <w:t>every other lot in the scheme capable of enjoying support; and</w:t>
      </w:r>
    </w:p>
    <w:p>
      <w:pPr>
        <w:pStyle w:val="Indenti"/>
      </w:pPr>
      <w:r>
        <w:tab/>
        <w:t>(ii)</w:t>
      </w:r>
      <w:r>
        <w:tab/>
        <w:t>all the 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scheme is a strata scheme —</w:t>
      </w:r>
    </w:p>
    <w:p>
      <w:pPr>
        <w:pStyle w:val="Indenti"/>
      </w:pPr>
      <w:r>
        <w:tab/>
        <w:t>(i)</w:t>
      </w:r>
      <w: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pPr>
      <w:r>
        <w:tab/>
        <w:t>(5)</w:t>
      </w:r>
      <w:r>
        <w:tab/>
        <w:t>An owner or occupier of a lot must not do anything or permit anything to be done that would interfere with rights under the easement burdening the lot under this section.</w:t>
      </w:r>
    </w:p>
    <w:p>
      <w:pPr>
        <w:pStyle w:val="Subsection"/>
      </w:pPr>
      <w:r>
        <w:tab/>
        <w:t>(6)</w:t>
      </w:r>
      <w:r>
        <w:tab/>
        <w:t>An easement under this section has effect even if the lot benefited and the lot burdened have the same owner.</w:t>
      </w:r>
    </w:p>
    <w:p>
      <w:pPr>
        <w:pStyle w:val="Footnotesection"/>
      </w:pPr>
      <w:r>
        <w:tab/>
        <w:t>[Section 61 inserted: No. 30 of 2018 s. 83.]</w:t>
      </w:r>
    </w:p>
    <w:p>
      <w:pPr>
        <w:pStyle w:val="Footnotesection"/>
      </w:pPr>
      <w:r>
        <w:t>[Former section 61 renumbered as section 68 and relocated to Part 5 Division 4: No. 30 of 2018 s. 84.]</w:t>
      </w:r>
    </w:p>
    <w:p>
      <w:pPr>
        <w:pStyle w:val="Heading5"/>
      </w:pPr>
      <w:bookmarkStart w:id="224" w:name="_Toc106986672"/>
      <w:bookmarkStart w:id="225" w:name="_Toc100564970"/>
      <w:r>
        <w:rPr>
          <w:rStyle w:val="CharSectno"/>
        </w:rPr>
        <w:t>62</w:t>
      </w:r>
      <w:r>
        <w:t>.</w:t>
      </w:r>
      <w:r>
        <w:tab/>
        <w:t>Easement for support, shelter and projections — common property</w:t>
      </w:r>
      <w:bookmarkEnd w:id="224"/>
      <w:bookmarkEnd w:id="225"/>
    </w:p>
    <w:p>
      <w:pPr>
        <w:pStyle w:val="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the strata company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strata titles scheme.</w:t>
      </w:r>
    </w:p>
    <w:p>
      <w:pPr>
        <w:pStyle w:val="Subsection"/>
      </w:pPr>
      <w:r>
        <w:tab/>
        <w:t>(4)</w:t>
      </w:r>
      <w:r>
        <w:tab/>
        <w:t>For common property in a strata titles scheme there is an easement burdening the common property —</w:t>
      </w:r>
    </w:p>
    <w:p>
      <w:pPr>
        <w:pStyle w:val="Indenta"/>
        <w:rPr>
          <w:snapToGrid w:val="0"/>
        </w:rPr>
      </w:pPr>
      <w:r>
        <w:rPr>
          <w:snapToGrid w:val="0"/>
        </w:rPr>
        <w:tab/>
        <w:t>(a)</w:t>
      </w:r>
      <w:r>
        <w:rPr>
          <w:snapToGrid w:val="0"/>
        </w:rPr>
        <w:tab/>
        <w:t>for the subjacent and lateral support of every lot in the strata titles scheme capable of enjoying support; and</w:t>
      </w:r>
    </w:p>
    <w:p>
      <w:pPr>
        <w:pStyle w:val="Indenta"/>
        <w:rPr>
          <w:snapToGrid w:val="0"/>
        </w:rPr>
      </w:pPr>
      <w:r>
        <w:rPr>
          <w:snapToGrid w:val="0"/>
        </w:rPr>
        <w:tab/>
        <w:t>(b)</w:t>
      </w:r>
      <w:r>
        <w:rPr>
          <w:snapToGrid w:val="0"/>
        </w:rPr>
        <w:tab/>
        <w:t>if the scheme is a strata scheme —</w:t>
      </w:r>
    </w:p>
    <w:p>
      <w:pPr>
        <w:pStyle w:val="Indenti"/>
      </w:pPr>
      <w:r>
        <w:tab/>
        <w:t>(i)</w:t>
      </w:r>
      <w: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Footnotesection"/>
      </w:pPr>
      <w:r>
        <w:tab/>
        <w:t>[Section 62 inserted: No. 30 of 2018 s. 83.]</w:t>
      </w:r>
    </w:p>
    <w:p>
      <w:pPr>
        <w:pStyle w:val="Footnotesection"/>
      </w:pPr>
      <w:r>
        <w:t>[Former section 62 renumbered as section 69 and relocated to Part 5 Division 4: No. 30 of 2018 s. 84.]</w:t>
      </w:r>
    </w:p>
    <w:p>
      <w:pPr>
        <w:pStyle w:val="Ednotesection"/>
      </w:pPr>
      <w:r>
        <w:t>[Former section 62A renumbered as section 70 and relocated to Part 5 Division 4: No. 30 of 2018 s. 84.]</w:t>
      </w:r>
    </w:p>
    <w:p>
      <w:pPr>
        <w:pStyle w:val="Heading5"/>
      </w:pPr>
      <w:bookmarkStart w:id="226" w:name="_Toc106986673"/>
      <w:bookmarkStart w:id="227" w:name="_Toc100564971"/>
      <w:r>
        <w:rPr>
          <w:rStyle w:val="CharSectno"/>
        </w:rPr>
        <w:t>63</w:t>
      </w:r>
      <w:r>
        <w:t>.</w:t>
      </w:r>
      <w:r>
        <w:tab/>
        <w:t>Utility service easement</w:t>
      </w:r>
      <w:bookmarkEnd w:id="226"/>
      <w:bookmarkEnd w:id="227"/>
    </w:p>
    <w:p>
      <w:pPr>
        <w:pStyle w:val="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Subsection"/>
      </w:pPr>
      <w:r>
        <w:tab/>
        <w:t>(2)</w:t>
      </w:r>
      <w:r>
        <w:tab/>
        <w:t>A utility service easement entitles the strata company, and the owner of a lot, in the strata titles scheme —</w:t>
      </w:r>
    </w:p>
    <w:p>
      <w:pPr>
        <w:pStyle w:val="Indenta"/>
        <w:rPr>
          <w:snapToGrid w:val="0"/>
        </w:rPr>
      </w:pPr>
      <w:r>
        <w:rPr>
          <w:snapToGrid w:val="0"/>
        </w:rPr>
        <w:tab/>
        <w:t>(a)</w:t>
      </w:r>
      <w:r>
        <w:rPr>
          <w:snapToGrid w:val="0"/>
        </w:rPr>
        <w:tab/>
        <w:t>to install and remove utility conduits; and</w:t>
      </w:r>
    </w:p>
    <w:p>
      <w:pPr>
        <w:pStyle w:val="Indenta"/>
        <w:rPr>
          <w:snapToGrid w:val="0"/>
        </w:rPr>
      </w:pPr>
      <w:r>
        <w:rPr>
          <w:snapToGrid w:val="0"/>
        </w:rPr>
        <w:tab/>
        <w:t>(b)</w:t>
      </w:r>
      <w:r>
        <w:rPr>
          <w:snapToGrid w:val="0"/>
        </w:rP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Indenta"/>
        <w:rPr>
          <w:snapToGrid w:val="0"/>
        </w:rPr>
      </w:pPr>
      <w:r>
        <w:rPr>
          <w:snapToGrid w:val="0"/>
        </w:rPr>
        <w:tab/>
        <w:t>(a)</w:t>
      </w:r>
      <w:r>
        <w:rPr>
          <w:snapToGrid w:val="0"/>
        </w:rPr>
        <w:tab/>
        <w:t>in the reasonable exercise of rights under a utility service easement of which it has the benefit; or</w:t>
      </w:r>
    </w:p>
    <w:p>
      <w:pPr>
        <w:pStyle w:val="Indenta"/>
        <w:rPr>
          <w:snapToGrid w:val="0"/>
        </w:rPr>
      </w:pPr>
      <w:r>
        <w:rPr>
          <w:snapToGrid w:val="0"/>
        </w:rPr>
        <w:tab/>
        <w:t>(b)</w:t>
      </w:r>
      <w:r>
        <w:rPr>
          <w:snapToGrid w:val="0"/>
        </w:rPr>
        <w:tab/>
        <w:t>in the performance of its function of controlling and managing common property in the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Footnotesection"/>
      </w:pPr>
      <w:r>
        <w:tab/>
        <w:t>[Section 63 inserted: No. 30 of 2018 s. 83.]</w:t>
      </w:r>
    </w:p>
    <w:p>
      <w:pPr>
        <w:pStyle w:val="Footnotesection"/>
      </w:pPr>
      <w:r>
        <w:t>[Former section 63 renumbered as section 71 and relocated to Part 5 Division 4: No. 30 of 2018 s. 84.]</w:t>
      </w:r>
    </w:p>
    <w:p>
      <w:pPr>
        <w:pStyle w:val="Heading5"/>
      </w:pPr>
      <w:bookmarkStart w:id="228" w:name="_Toc106986674"/>
      <w:bookmarkStart w:id="229" w:name="_Toc100564972"/>
      <w:r>
        <w:rPr>
          <w:rStyle w:val="CharSectno"/>
        </w:rPr>
        <w:t>64</w:t>
      </w:r>
      <w:r>
        <w:t>.</w:t>
      </w:r>
      <w:r>
        <w:tab/>
        <w:t>Common property (utility and sustainability infrastructure) easement</w:t>
      </w:r>
      <w:bookmarkEnd w:id="228"/>
      <w:bookmarkEnd w:id="229"/>
    </w:p>
    <w:p>
      <w:pPr>
        <w:pStyle w:val="Subsection"/>
      </w:pPr>
      <w:r>
        <w:tab/>
        <w:t>(1)</w:t>
      </w:r>
      <w:r>
        <w:tab/>
        <w:t>This section applies if —</w:t>
      </w:r>
    </w:p>
    <w:p>
      <w:pPr>
        <w:pStyle w:val="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Indenta"/>
      </w:pPr>
      <w:r>
        <w:tab/>
        <w:t>(b)</w:t>
      </w:r>
      <w:r>
        <w:tab/>
        <w:t>this section is applied to the infrastructure contract by ordinary resolution of the strata company.</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pPr>
      <w:r>
        <w:tab/>
        <w:t>(4)</w:t>
      </w:r>
      <w:r>
        <w:tab/>
        <w:t>The easement is subject to any conditions set out in the infrastructure contract (as in force from time to time).</w:t>
      </w:r>
    </w:p>
    <w:p>
      <w:pPr>
        <w:pStyle w:val="Subsection"/>
      </w:pPr>
      <w:r>
        <w:tab/>
        <w:t>(5)</w:t>
      </w:r>
      <w:r>
        <w:tab/>
        <w:t>The infrastructure contract may be varied by agreement between the strata company and the person who is the infrastructure owner from time to time.</w:t>
      </w:r>
    </w:p>
    <w:p>
      <w:pPr>
        <w:pStyle w:val="Subsection"/>
      </w:pPr>
      <w:r>
        <w:tab/>
        <w:t>(6)</w:t>
      </w:r>
      <w:r>
        <w:tab/>
        <w:t>The easement ceases to exist if the infrastructure contract is terminated or otherwise ceases to have effect.</w:t>
      </w:r>
    </w:p>
    <w:p>
      <w:pPr>
        <w:pStyle w:val="Subsection"/>
      </w:pPr>
      <w:r>
        <w:tab/>
        <w:t>(7)</w:t>
      </w:r>
      <w:r>
        <w:tab/>
        <w:t>The rights conferred by the easement must be exercised so as to minimise, as far as reasonably practicable, interference with the enjoyment and use of the common property.</w:t>
      </w:r>
    </w:p>
    <w:p>
      <w:pPr>
        <w:pStyle w:val="Subsection"/>
      </w:pPr>
      <w:r>
        <w:tab/>
        <w:t>(8)</w:t>
      </w:r>
      <w:r>
        <w:tab/>
        <w:t>The regulations may —</w:t>
      </w:r>
    </w:p>
    <w:p>
      <w:pPr>
        <w:pStyle w:val="Indenta"/>
      </w:pPr>
      <w:r>
        <w:tab/>
        <w:t>(a)</w:t>
      </w:r>
      <w:r>
        <w:tab/>
        <w:t>specify special procedures for notice or voting on the resolution required for the application of this section; and</w:t>
      </w:r>
    </w:p>
    <w:p>
      <w:pPr>
        <w:pStyle w:val="Indenta"/>
      </w:pPr>
      <w:r>
        <w:tab/>
        <w:t>(b)</w:t>
      </w:r>
      <w:r>
        <w:tab/>
        <w:t>set out terms and conditions that are to be taken to be implied in an infrastructure contract; and</w:t>
      </w:r>
    </w:p>
    <w:p>
      <w:pPr>
        <w:pStyle w:val="Indenta"/>
      </w:pPr>
      <w:r>
        <w:tab/>
        <w:t>(c)</w:t>
      </w:r>
      <w:r>
        <w:tab/>
        <w:t>otherwise regulate the rights and obligations of the strata company and the infrastructure owner.</w:t>
      </w:r>
    </w:p>
    <w:p>
      <w:pPr>
        <w:pStyle w:val="Footnotesection"/>
      </w:pPr>
      <w:r>
        <w:tab/>
        <w:t>[Section 64 inserted: No. 30 of 2018 s. 83.]</w:t>
      </w:r>
    </w:p>
    <w:p>
      <w:pPr>
        <w:pStyle w:val="Footnotesection"/>
      </w:pPr>
      <w:r>
        <w:t>[Former section 64 renumbered as section 72 and relocated to Part 5 Division 4: No. 30 of 2018 s. 84.]</w:t>
      </w:r>
    </w:p>
    <w:p>
      <w:pPr>
        <w:pStyle w:val="Heading5"/>
      </w:pPr>
      <w:bookmarkStart w:id="230" w:name="_Toc106986675"/>
      <w:bookmarkStart w:id="231" w:name="_Toc100564973"/>
      <w:r>
        <w:rPr>
          <w:rStyle w:val="CharSectno"/>
        </w:rPr>
        <w:t>65</w:t>
      </w:r>
      <w:r>
        <w:t>.</w:t>
      </w:r>
      <w:r>
        <w:tab/>
        <w:t>Entry under statutory easement</w:t>
      </w:r>
      <w:bookmarkEnd w:id="230"/>
      <w:bookmarkEnd w:id="231"/>
    </w:p>
    <w:p>
      <w:pPr>
        <w:pStyle w:val="Subsection"/>
      </w:pPr>
      <w:r>
        <w:tab/>
        <w:t>(1)</w:t>
      </w:r>
      <w:r>
        <w:tab/>
        <w:t>A strata company has a right to enter the common property of its strata titles scheme to exercise its rights under a statutory easement without notice to any person.</w:t>
      </w:r>
    </w:p>
    <w:p>
      <w:pPr>
        <w:pStyle w:val="Subsection"/>
      </w:pPr>
      <w:r>
        <w:tab/>
        <w:t>(2)</w:t>
      </w:r>
      <w: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strata company for the strata titles scheme; and</w:t>
      </w:r>
    </w:p>
    <w:p>
      <w:pPr>
        <w:pStyle w:val="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Subsection"/>
      </w:pPr>
      <w:r>
        <w:tab/>
        <w:t>(3)</w:t>
      </w:r>
      <w:r>
        <w:tab/>
        <w:t>Notice is unnecessary—</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strata company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strata company — 7 days unless a shorter period is agreed to by the occupier of the lot; and</w:t>
      </w:r>
    </w:p>
    <w:p>
      <w:pPr>
        <w:pStyle w:val="Indenta"/>
      </w:pPr>
      <w:r>
        <w:tab/>
        <w:t>(b)</w:t>
      </w:r>
      <w:r>
        <w:tab/>
        <w:t>in any other case — 28 days unless a shorter period is agreed to by the occupier of the lot or strata company,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Footnotesection"/>
      </w:pPr>
      <w:r>
        <w:tab/>
        <w:t>[Section 65 inserted: No. 30 of 2018 s. 83.]</w:t>
      </w:r>
    </w:p>
    <w:p>
      <w:pPr>
        <w:pStyle w:val="Footnotesection"/>
      </w:pPr>
      <w:r>
        <w:t>[Former section 65 renumbered as section 73 and relocated to Part 5 Division 4: No. 30 of 2018 s. 84.]</w:t>
      </w:r>
    </w:p>
    <w:p>
      <w:pPr>
        <w:pStyle w:val="Ednotesection"/>
      </w:pPr>
      <w:r>
        <w:t>[Former section 65A renumbered as section 74 and relocated to Part 5 Division 4: No. 30 of 2018 s. 84.]</w:t>
      </w:r>
    </w:p>
    <w:p>
      <w:pPr>
        <w:pStyle w:val="Heading5"/>
      </w:pPr>
      <w:bookmarkStart w:id="232" w:name="_Toc106986676"/>
      <w:bookmarkStart w:id="233" w:name="_Toc100564974"/>
      <w:r>
        <w:rPr>
          <w:rStyle w:val="CharSectno"/>
        </w:rPr>
        <w:t>66</w:t>
      </w:r>
      <w:r>
        <w:t>.</w:t>
      </w:r>
      <w:r>
        <w:tab/>
        <w:t>Rectification of damage</w:t>
      </w:r>
      <w:bookmarkEnd w:id="232"/>
      <w:bookmarkEnd w:id="233"/>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keepNext/>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PermNoteHeading"/>
      </w:pPr>
      <w:r>
        <w:tab/>
        <w:t>Note for this Division:</w:t>
      </w:r>
    </w:p>
    <w:p>
      <w:pPr>
        <w:pStyle w:val="PermNoteText"/>
      </w:pPr>
      <w:r>
        <w:tab/>
      </w:r>
      <w:r>
        <w:tab/>
        <w:t>Schedule 2A sets out an additional statutory easement for single tier strata schemes.</w:t>
      </w:r>
    </w:p>
    <w:p>
      <w:pPr>
        <w:pStyle w:val="Footnotesection"/>
      </w:pPr>
      <w:r>
        <w:tab/>
        <w:t>[Section 66 inserted: No. 30 of 2018 s. 83.]</w:t>
      </w:r>
    </w:p>
    <w:p>
      <w:pPr>
        <w:pStyle w:val="Footnotesection"/>
      </w:pPr>
      <w:r>
        <w:t>[Former section 66 renumbered as section 75 and relocated to Part 5 Division 4: No. 30 of 2018 s. 84.]</w:t>
      </w:r>
    </w:p>
    <w:p>
      <w:pPr>
        <w:pStyle w:val="Heading3"/>
      </w:pPr>
      <w:bookmarkStart w:id="234" w:name="_Toc106986241"/>
      <w:bookmarkStart w:id="235" w:name="_Toc106986677"/>
      <w:bookmarkStart w:id="236" w:name="_Toc100308255"/>
      <w:bookmarkStart w:id="237" w:name="_Toc100308691"/>
      <w:bookmarkStart w:id="238" w:name="_Toc100564975"/>
      <w:r>
        <w:rPr>
          <w:rStyle w:val="CharDivNo"/>
        </w:rPr>
        <w:t>Division 4</w:t>
      </w:r>
      <w:r>
        <w:t> — </w:t>
      </w:r>
      <w:r>
        <w:rPr>
          <w:rStyle w:val="CharDivText"/>
        </w:rPr>
        <w:t>Rates, taxes and charges</w:t>
      </w:r>
      <w:bookmarkEnd w:id="234"/>
      <w:bookmarkEnd w:id="235"/>
      <w:bookmarkEnd w:id="236"/>
      <w:bookmarkEnd w:id="237"/>
      <w:bookmarkEnd w:id="238"/>
    </w:p>
    <w:p>
      <w:pPr>
        <w:pStyle w:val="Footnoteheading"/>
      </w:pPr>
      <w:r>
        <w:tab/>
        <w:t>[Heading inserted: No. 30 of 2018 s. 83.]</w:t>
      </w:r>
    </w:p>
    <w:p>
      <w:pPr>
        <w:pStyle w:val="Heading5"/>
        <w:rPr>
          <w:snapToGrid w:val="0"/>
        </w:rPr>
      </w:pPr>
      <w:bookmarkStart w:id="239" w:name="_Toc106986678"/>
      <w:bookmarkStart w:id="240" w:name="_Toc100564976"/>
      <w:r>
        <w:rPr>
          <w:rStyle w:val="CharSectno"/>
        </w:rPr>
        <w:t>67</w:t>
      </w:r>
      <w:r>
        <w:rPr>
          <w:snapToGrid w:val="0"/>
        </w:rPr>
        <w:t>.</w:t>
      </w:r>
      <w:r>
        <w:rPr>
          <w:snapToGrid w:val="0"/>
        </w:rPr>
        <w:tab/>
        <w:t>Registrar of Titles to deliver copies of plans</w:t>
      </w:r>
      <w:bookmarkEnd w:id="239"/>
      <w:bookmarkEnd w:id="240"/>
    </w:p>
    <w:p>
      <w:pPr>
        <w:pStyle w:val="Subsection"/>
        <w:keepNext/>
        <w:rPr>
          <w:snapToGrid w:val="0"/>
        </w:rPr>
      </w:pPr>
      <w:r>
        <w:rPr>
          <w:snapToGrid w:val="0"/>
        </w:rPr>
        <w:tab/>
        <w:t>(1)</w:t>
      </w:r>
      <w:r>
        <w:rPr>
          <w:snapToGrid w:val="0"/>
        </w:rPr>
        <w:tab/>
        <w:t xml:space="preserve">Within 28 days after the registration of </w:t>
      </w:r>
      <w:r>
        <w:t>a scheme plan or an amendment of a scheme plan</w:t>
      </w:r>
      <w:r>
        <w:rPr>
          <w:snapToGrid w:val="0"/>
        </w:rPr>
        <w:t xml:space="preserve"> under this Act the Registrar of Titles </w:t>
      </w:r>
      <w:r>
        <w:t>must</w:t>
      </w:r>
      <w:r>
        <w:rPr>
          <w:snapToGrid w:val="0"/>
        </w:rPr>
        <w:t xml:space="preserve">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Ednotesubsection"/>
      </w:pPr>
      <w:r>
        <w:tab/>
        <w:t>[(2)</w:t>
      </w:r>
      <w:r>
        <w:tab/>
        <w:t>deleted]</w:t>
      </w:r>
    </w:p>
    <w:p>
      <w:pPr>
        <w:pStyle w:val="Subsection"/>
        <w:rPr>
          <w:snapToGrid w:val="0"/>
        </w:rPr>
      </w:pPr>
      <w:r>
        <w:rPr>
          <w:snapToGrid w:val="0"/>
        </w:rPr>
        <w:tab/>
        <w:t>(3)</w:t>
      </w:r>
      <w:r>
        <w:rPr>
          <w:snapToGrid w:val="0"/>
        </w:rPr>
        <w:tab/>
        <w:t xml:space="preserve">A copy of a plan </w:t>
      </w:r>
      <w:r>
        <w:t>or amended plan</w:t>
      </w:r>
      <w:r>
        <w:rPr>
          <w:snapToGrid w:val="0"/>
        </w:rPr>
        <w:t xml:space="preserve"> delivered under this section </w:t>
      </w:r>
      <w:r>
        <w:t>must</w:t>
      </w:r>
      <w:r>
        <w:rPr>
          <w:snapToGrid w:val="0"/>
        </w:rPr>
        <w:t xml:space="preserve"> be in such form as the Registrar considers appropriate.</w:t>
      </w:r>
    </w:p>
    <w:p>
      <w:pPr>
        <w:pStyle w:val="Ednotesubsection"/>
      </w:pPr>
      <w:r>
        <w:tab/>
        <w:t>[(4)</w:t>
      </w:r>
      <w:r>
        <w:tab/>
        <w:t>deleted]</w:t>
      </w:r>
    </w:p>
    <w:p>
      <w:pPr>
        <w:pStyle w:val="Footnotesection"/>
      </w:pPr>
      <w:r>
        <w:tab/>
        <w:t>[Section 67, formerly section 60, inserted: No. 58 of 1995 s. 57(1)</w:t>
      </w:r>
      <w:r>
        <w:rPr>
          <w:vertAlign w:val="superscript"/>
        </w:rPr>
        <w:t xml:space="preserve"> </w:t>
      </w:r>
      <w:r>
        <w:rPr>
          <w:i w:val="0"/>
          <w:vertAlign w:val="superscript"/>
        </w:rPr>
        <w:t>7</w:t>
      </w:r>
      <w:r>
        <w:t>; amended: No. 14 of 1996 s. 4; No. 25 of 2012 s. 232(2); amended, renumbered as section 67 and relocated: No. 30 of 2018 s. 61 and 84.]</w:t>
      </w:r>
    </w:p>
    <w:p>
      <w:pPr>
        <w:pStyle w:val="Footnotesection"/>
      </w:pPr>
      <w:r>
        <w:t>[Former section 67 renumbered as section 76 and relocated to Part 5 Division 4: No. 30 of 2018 s. 84.]</w:t>
      </w:r>
    </w:p>
    <w:p>
      <w:pPr>
        <w:pStyle w:val="Heading5"/>
        <w:rPr>
          <w:snapToGrid w:val="0"/>
        </w:rPr>
      </w:pPr>
      <w:bookmarkStart w:id="241" w:name="_Toc106986679"/>
      <w:bookmarkStart w:id="242" w:name="_Toc100564977"/>
      <w:r>
        <w:rPr>
          <w:rStyle w:val="CharSectno"/>
        </w:rPr>
        <w:t>68</w:t>
      </w:r>
      <w:r>
        <w:rPr>
          <w:snapToGrid w:val="0"/>
        </w:rPr>
        <w:t>.</w:t>
      </w:r>
      <w:r>
        <w:rPr>
          <w:snapToGrid w:val="0"/>
        </w:rPr>
        <w:tab/>
        <w:t>Particulars on plan to be conclusive for rating and taxing purposes</w:t>
      </w:r>
      <w:bookmarkEnd w:id="241"/>
      <w:bookmarkEnd w:id="242"/>
    </w:p>
    <w:p>
      <w:pPr>
        <w:pStyle w:val="Subsection"/>
        <w:keepNext/>
        <w:rPr>
          <w:snapToGrid w:val="0"/>
        </w:rPr>
      </w:pPr>
      <w:r>
        <w:rPr>
          <w:snapToGrid w:val="0"/>
        </w:rPr>
        <w:tab/>
      </w:r>
      <w:r>
        <w:rPr>
          <w:snapToGrid w:val="0"/>
        </w:rPr>
        <w:tab/>
        <w:t>For the making, levying, imposing, assessing or recovery of rates, charges or taxes in respect of a parcel or part of a parcel —</w:t>
      </w:r>
    </w:p>
    <w:p>
      <w:pPr>
        <w:pStyle w:val="Indenta"/>
        <w:rPr>
          <w:snapToGrid w:val="0"/>
        </w:rPr>
      </w:pPr>
      <w:r>
        <w:rPr>
          <w:snapToGrid w:val="0"/>
        </w:rPr>
        <w:tab/>
        <w:t>(a)</w:t>
      </w:r>
      <w:r>
        <w:rPr>
          <w:snapToGrid w:val="0"/>
        </w:rPr>
        <w:tab/>
        <w:t xml:space="preserve">the particulars shown in the </w:t>
      </w:r>
      <w:r>
        <w:t>copy of the scheme plan or amended plan</w:t>
      </w:r>
      <w:r>
        <w:rPr>
          <w:snapToGrid w:val="0"/>
        </w:rPr>
        <w:t xml:space="preserve"> delivered as required by </w:t>
      </w:r>
      <w:r>
        <w:t xml:space="preserve">section 67, </w:t>
      </w:r>
      <w:r>
        <w:rPr>
          <w:snapToGrid w:val="0"/>
        </w:rPr>
        <w:t>is conclusive evidence of those particulars; and</w:t>
      </w:r>
    </w:p>
    <w:p>
      <w:pPr>
        <w:pStyle w:val="Indenta"/>
        <w:rPr>
          <w:snapToGrid w:val="0"/>
        </w:rPr>
      </w:pPr>
      <w:r>
        <w:rPr>
          <w:snapToGrid w:val="0"/>
        </w:rPr>
        <w:tab/>
        <w:t>(b)</w:t>
      </w:r>
      <w:r>
        <w:rPr>
          <w:snapToGrid w:val="0"/>
        </w:rPr>
        <w:tab/>
        <w:t xml:space="preserve">the production by a local government or any other authority authorised to levy rates and taxes in relation to the parcel or any part of the parcel of what purports to be the copy of the plan or </w:t>
      </w:r>
      <w:r>
        <w:t>amended plan</w:t>
      </w:r>
      <w:r>
        <w:rPr>
          <w:snapToGrid w:val="0"/>
        </w:rPr>
        <w:t xml:space="preserve"> so delivered is evidence that it is the copy so delivered.</w:t>
      </w:r>
    </w:p>
    <w:p>
      <w:pPr>
        <w:pStyle w:val="Footnotesection"/>
      </w:pPr>
      <w:r>
        <w:tab/>
        <w:t>[Section 68, formerly section 61, amended: No. 58 of 1995 s. 58; No. 14 of 1996 s. 4; amended, renumbered as section 68 and relocated: No. 30 of 2018 s. 62 and 84.]</w:t>
      </w:r>
    </w:p>
    <w:p>
      <w:pPr>
        <w:pStyle w:val="Heading5"/>
        <w:rPr>
          <w:snapToGrid w:val="0"/>
        </w:rPr>
      </w:pPr>
      <w:bookmarkStart w:id="243" w:name="_Toc106986680"/>
      <w:bookmarkStart w:id="244" w:name="_Toc100564978"/>
      <w:r>
        <w:rPr>
          <w:rStyle w:val="CharSectno"/>
        </w:rPr>
        <w:t>69</w:t>
      </w:r>
      <w:r>
        <w:rPr>
          <w:snapToGrid w:val="0"/>
        </w:rPr>
        <w:t>.</w:t>
      </w:r>
      <w:r>
        <w:rPr>
          <w:snapToGrid w:val="0"/>
        </w:rPr>
        <w:tab/>
        <w:t>Rating for strata schemes</w:t>
      </w:r>
      <w:bookmarkEnd w:id="243"/>
      <w:bookmarkEnd w:id="244"/>
    </w:p>
    <w:p>
      <w:pPr>
        <w:pStyle w:val="Subsection"/>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unimproved value of a parcel </w:t>
      </w:r>
      <w:r>
        <w:t>subdivided by a strata scheme</w:t>
      </w:r>
      <w:r>
        <w:rPr>
          <w:snapToGrid w:val="0"/>
        </w:rPr>
        <w:t xml:space="preserve"> under the </w:t>
      </w:r>
      <w:r>
        <w:rPr>
          <w:i/>
          <w:snapToGrid w:val="0"/>
        </w:rPr>
        <w:t>Valuation of Land Act 1978</w:t>
      </w:r>
      <w:r>
        <w:rPr>
          <w:snapToGrid w:val="0"/>
        </w:rPr>
        <w:t xml:space="preserve"> for rating and taxing purposes, the parcel </w:t>
      </w:r>
      <w:r>
        <w:t>must, despite</w:t>
      </w:r>
      <w:r>
        <w:rPr>
          <w:snapToGrid w:val="0"/>
        </w:rPr>
        <w:t xml:space="preserve"> that or any other Act, be valued as a single parcel of land and as if it were owned by a single owner.</w:t>
      </w:r>
    </w:p>
    <w:p>
      <w:pPr>
        <w:pStyle w:val="Subsection"/>
        <w:rPr>
          <w:snapToGrid w:val="0"/>
        </w:rPr>
      </w:pPr>
      <w:r>
        <w:rPr>
          <w:snapToGrid w:val="0"/>
        </w:rPr>
        <w:tab/>
        <w:t>(2)</w:t>
      </w:r>
      <w:r>
        <w:rPr>
          <w:snapToGrid w:val="0"/>
        </w:rPr>
        <w:tab/>
        <w:t xml:space="preserve">For the purposes of any such valuation as is referred to in subsection (1) and all purposes incidental </w:t>
      </w:r>
      <w:r>
        <w:t>to the valuation,</w:t>
      </w:r>
      <w:r>
        <w:rPr>
          <w:snapToGrid w:val="0"/>
        </w:rPr>
        <w:t xml:space="preserve"> including objection to and review of the valuation, but not otherwise, the parcel and improvements </w:t>
      </w:r>
      <w:r>
        <w:t>on the parcel are taken</w:t>
      </w:r>
      <w:r>
        <w:rPr>
          <w:snapToGrid w:val="0"/>
        </w:rPr>
        <w:t xml:space="preserve"> to be owned by the strata company only.</w:t>
      </w:r>
    </w:p>
    <w:p>
      <w:pPr>
        <w:pStyle w:val="Subsection"/>
        <w:rPr>
          <w:snapToGrid w:val="0"/>
        </w:rPr>
      </w:pPr>
      <w:r>
        <w:rPr>
          <w:snapToGrid w:val="0"/>
        </w:rPr>
        <w:tab/>
        <w:t>(3)</w:t>
      </w:r>
      <w:r>
        <w:rPr>
          <w:snapToGrid w:val="0"/>
        </w:rPr>
        <w:tab/>
        <w:t xml:space="preserve">During the period from the registration of the </w:t>
      </w:r>
      <w:r>
        <w:t>strata scheme</w:t>
      </w:r>
      <w:r>
        <w:rPr>
          <w:snapToGrid w:val="0"/>
        </w:rPr>
        <w:t xml:space="preserve"> and until a valuation of the parcel on the basis that the strata company is owner comes into force under the </w:t>
      </w:r>
      <w:r>
        <w:rPr>
          <w:i/>
          <w:snapToGrid w:val="0"/>
        </w:rPr>
        <w:t>Valuation of Land Act 1978</w:t>
      </w:r>
      <w:r>
        <w:rPr>
          <w:snapToGrid w:val="0"/>
        </w:rPr>
        <w:t xml:space="preserve">, the valuation then in force </w:t>
      </w:r>
      <w:r>
        <w:t xml:space="preserve">is taken, for the purposes of this section, </w:t>
      </w:r>
      <w:r>
        <w:rPr>
          <w:snapToGrid w:val="0"/>
        </w:rPr>
        <w:t>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 xml:space="preserve">Subject to subsection (5), </w:t>
      </w:r>
      <w:r>
        <w:t>if</w:t>
      </w:r>
      <w:r>
        <w:rPr>
          <w:snapToGrid w:val="0"/>
        </w:rPr>
        <w:t xml:space="preserve"> a local government or other authority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 local government or the rating authority, as the case may be, between the lots comprised in the parcel in proportion to the unit entitlements of the respective lots </w:t>
      </w:r>
      <w:r>
        <w:t>in the strata scheme;</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 xml:space="preserve">the </w:t>
      </w:r>
      <w:r>
        <w:t>owner</w:t>
      </w:r>
      <w:r>
        <w:rPr>
          <w:snapToGrid w:val="0"/>
        </w:rPr>
        <w:t xml:space="preserve"> of each lot comprised in the parcel is </w:t>
      </w:r>
      <w:r>
        <w:t>taken</w:t>
      </w:r>
      <w:r>
        <w:rPr>
          <w:snapToGrid w:val="0"/>
        </w:rPr>
        <w:t xml:space="preserve">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r>
      <w:r>
        <w:t>If —</w:t>
      </w:r>
    </w:p>
    <w:p>
      <w:pPr>
        <w:pStyle w:val="Indenta"/>
        <w:rPr>
          <w:snapToGrid w:val="0"/>
        </w:rPr>
      </w:pPr>
      <w:r>
        <w:rPr>
          <w:snapToGrid w:val="0"/>
        </w:rPr>
        <w:tab/>
        <w:t>(a)</w:t>
      </w:r>
      <w:r>
        <w:rPr>
          <w:snapToGrid w:val="0"/>
        </w:rPr>
        <w:tab/>
        <w:t xml:space="preserve">part only of a lot is liable to any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 xml:space="preserve">part of a parcel is rateable in respect of water, sewerage or drainage services, then the rateable value of that part </w:t>
      </w:r>
      <w:r>
        <w:t>is to</w:t>
      </w:r>
      <w:r>
        <w:rPr>
          <w:snapToGrid w:val="0"/>
        </w:rPr>
        <w:t xml:space="preserve"> be the value of the parcel after deducting the value of any lot assessed and rated separately and in which the water, sewerage or drainage service, as the case may be, is exclusively for the use and benefit of </w:t>
      </w:r>
      <w:r>
        <w:t>the</w:t>
      </w:r>
      <w:r>
        <w:rPr>
          <w:snapToGrid w:val="0"/>
        </w:rPr>
        <w:t xml:space="preserve"> lot.</w:t>
      </w:r>
    </w:p>
    <w:p>
      <w:pPr>
        <w:pStyle w:val="Footnotesection"/>
      </w:pPr>
      <w:r>
        <w:tab/>
        <w:t>[Section 69, formerly section 62, amended: No. 58 of 1995 s. 59 and 95; No. 14 of 1996 s. 4; No. 55 of 2004 s. 1123; amended, renumbered as section 69 and relocated: No. 30 of 2018 s. 63 and 84.]</w:t>
      </w:r>
    </w:p>
    <w:p>
      <w:pPr>
        <w:pStyle w:val="Ednotesection"/>
      </w:pPr>
      <w:r>
        <w:t>[</w:t>
      </w:r>
      <w:r>
        <w:rPr>
          <w:b/>
        </w:rPr>
        <w:t>69A-69E.</w:t>
      </w:r>
      <w:r>
        <w:tab/>
        <w:t>Deleted: No. 30 of 2018 s. 82(b).]</w:t>
      </w:r>
    </w:p>
    <w:p>
      <w:pPr>
        <w:pStyle w:val="Heading5"/>
        <w:rPr>
          <w:snapToGrid w:val="0"/>
        </w:rPr>
      </w:pPr>
      <w:bookmarkStart w:id="245" w:name="_Toc106986681"/>
      <w:bookmarkStart w:id="246" w:name="_Toc100564979"/>
      <w:r>
        <w:rPr>
          <w:rStyle w:val="CharSectno"/>
        </w:rPr>
        <w:t>70</w:t>
      </w:r>
      <w:r>
        <w:rPr>
          <w:snapToGrid w:val="0"/>
        </w:rPr>
        <w:t>.</w:t>
      </w:r>
      <w:r>
        <w:rPr>
          <w:snapToGrid w:val="0"/>
        </w:rPr>
        <w:tab/>
        <w:t>Rating for survey</w:t>
      </w:r>
      <w:r>
        <w:rPr>
          <w:snapToGrid w:val="0"/>
        </w:rPr>
        <w:noBreakHyphen/>
        <w:t>strata schemes</w:t>
      </w:r>
      <w:bookmarkEnd w:id="245"/>
      <w:bookmarkEnd w:id="246"/>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 xml:space="preserve">strata scheme </w:t>
      </w:r>
      <w:r>
        <w:t>must</w:t>
      </w:r>
      <w:r>
        <w:rPr>
          <w:snapToGrid w:val="0"/>
        </w:rPr>
        <w:t xml:space="preserve"> be valued as a separate parcel of land and the strata company is not liable for </w:t>
      </w:r>
      <w:r>
        <w:t>a</w:t>
      </w:r>
      <w:r>
        <w:rPr>
          <w:snapToGrid w:val="0"/>
        </w:rPr>
        <w:t xml:space="preserve">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 xml:space="preserve">General </w:t>
      </w:r>
      <w:r>
        <w:t>must</w:t>
      </w:r>
      <w:r>
        <w:rPr>
          <w:snapToGrid w:val="0"/>
        </w:rPr>
        <w:t xml:space="preserve"> take into account benefits and disadvantages applicable to the lot as part of a survey</w:t>
      </w:r>
      <w:r>
        <w:rPr>
          <w:snapToGrid w:val="0"/>
        </w:rPr>
        <w:noBreakHyphen/>
        <w:t>strata scheme.</w:t>
      </w:r>
    </w:p>
    <w:p>
      <w:pPr>
        <w:pStyle w:val="Subsection"/>
        <w:keepNext/>
        <w:spacing w:before="140"/>
        <w:rPr>
          <w:snapToGrid w:val="0"/>
        </w:rPr>
      </w:pPr>
      <w:r>
        <w:rPr>
          <w:snapToGrid w:val="0"/>
        </w:rPr>
        <w:tab/>
        <w:t>(4)</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pPr>
      <w:r>
        <w:tab/>
        <w:t>[Section 70, formerly section 62A, inserted: No. 58 of 1995 s. 60; amended: No. 57 of 1997 s. 115(4); amended, renumbered as section 70 and relocated: No. 30 of 2018 s. 64 and 84.]</w:t>
      </w:r>
    </w:p>
    <w:p>
      <w:pPr>
        <w:pStyle w:val="Ednotesection"/>
      </w:pPr>
      <w:r>
        <w:t>[</w:t>
      </w:r>
      <w:r>
        <w:rPr>
          <w:b/>
        </w:rPr>
        <w:t>70A, 70B.</w:t>
      </w:r>
      <w:r>
        <w:tab/>
        <w:t>Deleted: No. 30 of 2018 s. 82(b).]</w:t>
      </w:r>
    </w:p>
    <w:p>
      <w:pPr>
        <w:pStyle w:val="Heading5"/>
        <w:rPr>
          <w:snapToGrid w:val="0"/>
        </w:rPr>
      </w:pPr>
      <w:bookmarkStart w:id="247" w:name="_Toc106986682"/>
      <w:bookmarkStart w:id="248" w:name="_Toc100564980"/>
      <w:r>
        <w:rPr>
          <w:rStyle w:val="CharSectno"/>
        </w:rPr>
        <w:t>71</w:t>
      </w:r>
      <w:r>
        <w:rPr>
          <w:snapToGrid w:val="0"/>
        </w:rPr>
        <w:t>.</w:t>
      </w:r>
      <w:r>
        <w:rPr>
          <w:snapToGrid w:val="0"/>
        </w:rPr>
        <w:tab/>
        <w:t>Rating on gross rental value</w:t>
      </w:r>
      <w:bookmarkEnd w:id="247"/>
      <w:bookmarkEnd w:id="248"/>
    </w:p>
    <w:p>
      <w:pPr>
        <w:pStyle w:val="Subsection"/>
        <w:spacing w:before="140"/>
        <w:rPr>
          <w:snapToGrid w:val="0"/>
        </w:rPr>
      </w:pPr>
      <w:r>
        <w:rPr>
          <w:snapToGrid w:val="0"/>
        </w:rPr>
        <w:tab/>
        <w:t>(1)</w:t>
      </w:r>
      <w:r>
        <w:rPr>
          <w:snapToGrid w:val="0"/>
        </w:rPr>
        <w:tab/>
      </w:r>
      <w:r>
        <w:t>If</w:t>
      </w:r>
      <w:r>
        <w:rPr>
          <w:snapToGrid w:val="0"/>
        </w:rPr>
        <w:t xml:space="preserv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w:t>
      </w:r>
      <w:r>
        <w:t>must, despite</w:t>
      </w:r>
      <w:r>
        <w:rPr>
          <w:snapToGrid w:val="0"/>
        </w:rPr>
        <w:t xml:space="preserve"> that or any other Act, be valued separately as a single lot.</w:t>
      </w:r>
    </w:p>
    <w:p>
      <w:pPr>
        <w:pStyle w:val="Subsection"/>
        <w:spacing w:before="140"/>
        <w:rPr>
          <w:snapToGrid w:val="0"/>
        </w:rPr>
      </w:pPr>
      <w:r>
        <w:rPr>
          <w:snapToGrid w:val="0"/>
        </w:rPr>
        <w:tab/>
        <w:t>(2)</w:t>
      </w:r>
      <w:r>
        <w:rPr>
          <w:snapToGrid w:val="0"/>
        </w:rPr>
        <w:tab/>
        <w:t xml:space="preserve">Subject to subsection (3), </w:t>
      </w:r>
      <w:r>
        <w:t>if</w:t>
      </w:r>
      <w:r>
        <w:rPr>
          <w:snapToGrid w:val="0"/>
        </w:rPr>
        <w:t xml:space="preserve"> a local government or other authority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 xml:space="preserve">the strata company is not liable in relation to the parcel or any lot </w:t>
      </w:r>
      <w:r>
        <w:t>for a</w:t>
      </w:r>
      <w:r>
        <w:rPr>
          <w:snapToGrid w:val="0"/>
        </w:rPr>
        <w:t xml:space="preserve"> rate made and levied by the local government or the rating authority, as the case may be; and</w:t>
      </w:r>
    </w:p>
    <w:p>
      <w:pPr>
        <w:pStyle w:val="Indenta"/>
        <w:spacing w:before="60"/>
        <w:rPr>
          <w:snapToGrid w:val="0"/>
        </w:rPr>
      </w:pPr>
      <w:r>
        <w:rPr>
          <w:snapToGrid w:val="0"/>
        </w:rPr>
        <w:tab/>
        <w:t>(b)</w:t>
      </w:r>
      <w:r>
        <w:rPr>
          <w:snapToGrid w:val="0"/>
        </w:rPr>
        <w:tab/>
        <w:t xml:space="preserve">the </w:t>
      </w:r>
      <w:r>
        <w:t>owner</w:t>
      </w:r>
      <w:r>
        <w:rPr>
          <w:snapToGrid w:val="0"/>
        </w:rPr>
        <w:t xml:space="preserve"> of each lot comprised in the parcel is, subject to any exemptions or concession that may be applicable, liable for </w:t>
      </w:r>
      <w:r>
        <w:t>a rate</w:t>
      </w:r>
      <w:r>
        <w:rPr>
          <w:snapToGrid w:val="0"/>
        </w:rPr>
        <w:t xml:space="preserve"> made and levied by the rating authority.</w:t>
      </w:r>
    </w:p>
    <w:p>
      <w:pPr>
        <w:pStyle w:val="Subsection"/>
        <w:keepNext/>
        <w:spacing w:before="140"/>
        <w:rPr>
          <w:snapToGrid w:val="0"/>
        </w:rPr>
      </w:pPr>
      <w:r>
        <w:rPr>
          <w:snapToGrid w:val="0"/>
        </w:rPr>
        <w:tab/>
        <w:t>(3)</w:t>
      </w:r>
      <w:r>
        <w:rPr>
          <w:snapToGrid w:val="0"/>
        </w:rPr>
        <w:tab/>
      </w:r>
      <w:r>
        <w:t>If</w:t>
      </w:r>
      <w:r>
        <w:rPr>
          <w:snapToGrid w:val="0"/>
        </w:rPr>
        <w:t xml:space="preserve"> part only of a lot is liable to </w:t>
      </w:r>
      <w:r>
        <w:t>a</w:t>
      </w:r>
      <w:r>
        <w:rPr>
          <w:snapToGrid w:val="0"/>
        </w:rPr>
        <w:t xml:space="preserve"> rate, that rate </w:t>
      </w:r>
      <w:r>
        <w:t>must</w:t>
      </w:r>
      <w:r>
        <w:rPr>
          <w:snapToGrid w:val="0"/>
        </w:rPr>
        <w:t xml:space="preserve"> be made and levied </w:t>
      </w:r>
      <w:r>
        <w:t>on</w:t>
      </w:r>
      <w:r>
        <w:rPr>
          <w:snapToGrid w:val="0"/>
        </w:rPr>
        <w:t xml:space="preserve"> an amount that bears the same proportion to the value of the lot as the rental value of the part so liable bears to the rental value of the lot.</w:t>
      </w:r>
    </w:p>
    <w:p>
      <w:pPr>
        <w:pStyle w:val="Footnotesection"/>
        <w:spacing w:before="100"/>
        <w:ind w:left="890" w:hanging="890"/>
      </w:pPr>
      <w:r>
        <w:tab/>
        <w:t>[Section 71, formerly section 63 amended: No. 14 of 1996 s. 4; amended, renumbered as section 71 and relocated: No. 30 of 2018 s. 65 and 84.]</w:t>
      </w:r>
    </w:p>
    <w:p>
      <w:pPr>
        <w:pStyle w:val="Heading5"/>
        <w:rPr>
          <w:snapToGrid w:val="0"/>
        </w:rPr>
      </w:pPr>
      <w:bookmarkStart w:id="249" w:name="_Toc106986683"/>
      <w:bookmarkStart w:id="250" w:name="_Toc100564981"/>
      <w:r>
        <w:rPr>
          <w:rStyle w:val="CharSectno"/>
        </w:rPr>
        <w:t>72</w:t>
      </w:r>
      <w:r>
        <w:rPr>
          <w:snapToGrid w:val="0"/>
        </w:rPr>
        <w:t>.</w:t>
      </w:r>
      <w:r>
        <w:rPr>
          <w:snapToGrid w:val="0"/>
        </w:rPr>
        <w:tab/>
        <w:t>Owner may seek a review of unimproved value of parcel</w:t>
      </w:r>
      <w:bookmarkEnd w:id="249"/>
      <w:bookmarkEnd w:id="250"/>
    </w:p>
    <w:p>
      <w:pPr>
        <w:pStyle w:val="Subsection"/>
        <w:rPr>
          <w:snapToGrid w:val="0"/>
        </w:rPr>
      </w:pPr>
      <w:r>
        <w:rPr>
          <w:snapToGrid w:val="0"/>
        </w:rPr>
        <w:tab/>
        <w:t>(1)</w:t>
      </w:r>
      <w:r>
        <w:rPr>
          <w:snapToGrid w:val="0"/>
        </w:rPr>
        <w:tab/>
      </w:r>
      <w:r>
        <w:t xml:space="preserve">Despite section 69(2) </w:t>
      </w:r>
      <w:r>
        <w:rPr>
          <w:snapToGrid w:val="0"/>
        </w:rPr>
        <w:t xml:space="preserve">and without prejudice to the rights of objection and review conferred on the strata company, </w:t>
      </w:r>
      <w:r>
        <w:t>if</w:t>
      </w:r>
      <w:r>
        <w:rPr>
          <w:snapToGrid w:val="0"/>
        </w:rPr>
        <w:t xml:space="preserv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w:t>
      </w:r>
      <w:r>
        <w:t>owner</w:t>
      </w:r>
      <w:r>
        <w:rPr>
          <w:snapToGrid w:val="0"/>
        </w:rPr>
        <w:t xml:space="preserve"> of a lot within the parcel </w:t>
      </w:r>
      <w:r>
        <w:t>is</w:t>
      </w:r>
      <w:r>
        <w:rPr>
          <w:snapToGrid w:val="0"/>
        </w:rPr>
        <w:t xml:space="preserve"> entitled to object to and seek a review of the valuation of the parcel in accordance with Part IV of the </w:t>
      </w:r>
      <w:r>
        <w:rPr>
          <w:i/>
          <w:snapToGrid w:val="0"/>
        </w:rPr>
        <w:t>Valuation of Land Act 1978</w:t>
      </w:r>
      <w:r>
        <w:rPr>
          <w:snapToGrid w:val="0"/>
        </w:rPr>
        <w:t xml:space="preserve"> as if that </w:t>
      </w:r>
      <w:r>
        <w:t>owner</w:t>
      </w:r>
      <w:r>
        <w:rPr>
          <w:snapToGrid w:val="0"/>
        </w:rPr>
        <w:t xml:space="preserve"> were a person liable to pay a rate or tax assessed in respect of the parcel.</w:t>
      </w:r>
    </w:p>
    <w:p>
      <w:pPr>
        <w:pStyle w:val="Subsection"/>
        <w:rPr>
          <w:snapToGrid w:val="0"/>
        </w:rPr>
      </w:pPr>
      <w:r>
        <w:rPr>
          <w:snapToGrid w:val="0"/>
        </w:rPr>
        <w:tab/>
        <w:t>(2)</w:t>
      </w:r>
      <w:r>
        <w:rPr>
          <w:snapToGrid w:val="0"/>
        </w:rPr>
        <w:tab/>
      </w:r>
      <w:r>
        <w:t>On</w:t>
      </w:r>
      <w:r>
        <w:rPr>
          <w:snapToGrid w:val="0"/>
        </w:rPr>
        <w:t xml:space="preserve"> receiving an objection to the valuation of a parcel made by </w:t>
      </w:r>
      <w:r>
        <w:t>the owner</w:t>
      </w:r>
      <w:r>
        <w:rPr>
          <w:snapToGrid w:val="0"/>
        </w:rPr>
        <w:t xml:space="preserve"> of a lot within the parcel </w:t>
      </w:r>
      <w:r>
        <w:t>under</w:t>
      </w:r>
      <w:r>
        <w:rPr>
          <w:snapToGrid w:val="0"/>
        </w:rPr>
        <w:t xml:space="preserve"> subsection (1), the Valuer</w:t>
      </w:r>
      <w:r>
        <w:rPr>
          <w:snapToGrid w:val="0"/>
        </w:rPr>
        <w:noBreakHyphen/>
        <w:t>General —</w:t>
      </w:r>
    </w:p>
    <w:p>
      <w:pPr>
        <w:pStyle w:val="Indenta"/>
        <w:rPr>
          <w:snapToGrid w:val="0"/>
        </w:rPr>
      </w:pPr>
      <w:r>
        <w:rPr>
          <w:snapToGrid w:val="0"/>
        </w:rPr>
        <w:tab/>
        <w:t>(a)</w:t>
      </w:r>
      <w:r>
        <w:rPr>
          <w:snapToGrid w:val="0"/>
        </w:rPr>
        <w:tab/>
      </w:r>
      <w:r>
        <w:t>must</w:t>
      </w:r>
      <w:r>
        <w:rPr>
          <w:snapToGrid w:val="0"/>
        </w:rPr>
        <w:t xml:space="preserve"> inform the strata company of the objection and the grounds </w:t>
      </w:r>
      <w:r>
        <w:t>on</w:t>
      </w:r>
      <w:r>
        <w:rPr>
          <w:snapToGrid w:val="0"/>
        </w:rPr>
        <w:t xml:space="preserve"> which it has been made; and</w:t>
      </w:r>
    </w:p>
    <w:p>
      <w:pPr>
        <w:pStyle w:val="Indenta"/>
        <w:rPr>
          <w:snapToGrid w:val="0"/>
        </w:rPr>
      </w:pPr>
      <w:r>
        <w:rPr>
          <w:snapToGrid w:val="0"/>
        </w:rPr>
        <w:tab/>
        <w:t>(b)</w:t>
      </w:r>
      <w:r>
        <w:rPr>
          <w:snapToGrid w:val="0"/>
        </w:rPr>
        <w:tab/>
        <w:t xml:space="preserve">may consolidate the objection with any other objection made in respect of the same valuation of that parcel and may deal with </w:t>
      </w:r>
      <w:r>
        <w:t>the</w:t>
      </w:r>
      <w:r>
        <w:rPr>
          <w:snapToGrid w:val="0"/>
        </w:rPr>
        <w:t xml:space="preserve"> objections together.</w:t>
      </w:r>
    </w:p>
    <w:p>
      <w:pPr>
        <w:pStyle w:val="Footnotesection"/>
      </w:pPr>
      <w:r>
        <w:tab/>
        <w:t>[Section 72, formerly section 64, amended: No. 55 of 2004 s. 1124; amended, renumbered as section 72 and relocated: No. 30 of 2018 s. 66 and 84.]</w:t>
      </w:r>
    </w:p>
    <w:p>
      <w:pPr>
        <w:pStyle w:val="Heading5"/>
        <w:rPr>
          <w:snapToGrid w:val="0"/>
        </w:rPr>
      </w:pPr>
      <w:bookmarkStart w:id="251" w:name="_Toc106986684"/>
      <w:bookmarkStart w:id="252" w:name="_Toc100564982"/>
      <w:r>
        <w:rPr>
          <w:rStyle w:val="CharSectno"/>
        </w:rPr>
        <w:t>73</w:t>
      </w:r>
      <w:r>
        <w:rPr>
          <w:snapToGrid w:val="0"/>
        </w:rPr>
        <w:t>.</w:t>
      </w:r>
      <w:r>
        <w:rPr>
          <w:snapToGrid w:val="0"/>
        </w:rPr>
        <w:tab/>
        <w:t>Land tax and metropolitan region improvement tax: strata schemes</w:t>
      </w:r>
      <w:bookmarkEnd w:id="251"/>
      <w:bookmarkEnd w:id="252"/>
    </w:p>
    <w:p>
      <w:pPr>
        <w:pStyle w:val="Subsection"/>
        <w:rPr>
          <w:snapToGrid w:val="0"/>
        </w:rPr>
      </w:pPr>
      <w:r>
        <w:rPr>
          <w:snapToGrid w:val="0"/>
        </w:rPr>
        <w:tab/>
      </w:r>
      <w:r>
        <w:rPr>
          <w:snapToGrid w:val="0"/>
        </w:rPr>
        <w:tab/>
      </w:r>
      <w:r>
        <w:t>For all</w:t>
      </w:r>
      <w:r>
        <w:rPr>
          <w:snapToGrid w:val="0"/>
        </w:rPr>
        <w:t xml:space="preserve"> purposes in relation to the imposition, assessment or recovery of land tax or metropolitan region improvement tax in respect of </w:t>
      </w:r>
      <w:r>
        <w:t xml:space="preserve">a parcel subdivided by a strata scheme, </w:t>
      </w:r>
      <w:r>
        <w:rPr>
          <w:snapToGrid w:val="0"/>
        </w:rPr>
        <w:t>the following provisions have effect —</w:t>
      </w:r>
    </w:p>
    <w:p>
      <w:pPr>
        <w:pStyle w:val="Indenta"/>
        <w:rPr>
          <w:snapToGrid w:val="0"/>
        </w:rPr>
      </w:pPr>
      <w:r>
        <w:rPr>
          <w:snapToGrid w:val="0"/>
        </w:rPr>
        <w:tab/>
        <w:t>(a)</w:t>
      </w:r>
      <w:r>
        <w:rPr>
          <w:snapToGrid w:val="0"/>
        </w:rPr>
        <w:tab/>
        <w:t xml:space="preserve">the unimproved value of the parcel shown in the valuation </w:t>
      </w:r>
      <w:r>
        <w:t>must</w:t>
      </w:r>
      <w:r>
        <w:rPr>
          <w:snapToGrid w:val="0"/>
        </w:rPr>
        <w:t xml:space="preserve"> be apportioned by the</w:t>
      </w:r>
      <w:r>
        <w:t xml:space="preserve"> Commissioner of State Revenue</w:t>
      </w:r>
      <w:r>
        <w:rPr>
          <w:snapToGrid w:val="0"/>
        </w:rPr>
        <w:t xml:space="preserve"> between the lots comprised in the parcel in proportion to the unit entitlements of the respective </w:t>
      </w:r>
      <w:r>
        <w:t>lots;</w:t>
      </w:r>
    </w:p>
    <w:p>
      <w:pPr>
        <w:pStyle w:val="Indenta"/>
        <w:rPr>
          <w:snapToGrid w:val="0"/>
        </w:rPr>
      </w:pPr>
      <w:r>
        <w:rPr>
          <w:snapToGrid w:val="0"/>
        </w:rPr>
        <w:tab/>
        <w:t>(b)</w:t>
      </w:r>
      <w:r>
        <w:rPr>
          <w:snapToGrid w:val="0"/>
        </w:rPr>
        <w:tab/>
        <w:t xml:space="preserve">the strata company is not liable in respect of the parcel for land tax or metropolitan region </w:t>
      </w:r>
      <w:r>
        <w:t>improvement tax;</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xml:space="preserve">, and subject to any concessions or exemptions that may be applicable, each lot </w:t>
      </w:r>
      <w:r>
        <w:t>is taken</w:t>
      </w:r>
      <w:r>
        <w:rPr>
          <w:snapToGrid w:val="0"/>
        </w:rPr>
        <w:t xml:space="preserve"> to be a separate parcel of land with an unimproved value equal to that apportioned to it under paragraph (a).</w:t>
      </w:r>
    </w:p>
    <w:p>
      <w:pPr>
        <w:pStyle w:val="Ednotesubsection"/>
        <w:keepNext/>
      </w:pPr>
      <w:r>
        <w:tab/>
        <w:t>[(2)</w:t>
      </w:r>
      <w:r>
        <w:tab/>
        <w:t>deleted]</w:t>
      </w:r>
    </w:p>
    <w:p>
      <w:pPr>
        <w:pStyle w:val="Footnotesection"/>
      </w:pPr>
      <w:r>
        <w:tab/>
        <w:t>[Section 73, formerly section 65, amended: No. 58 of 1995 s. 61; No. 45 of 2002 s. 23(2) and (3); No. 38 of 2005 s. 15; amended, renumbered as section 72 and relocated: No. 30 of 2018 s. 67 and 84.]</w:t>
      </w:r>
    </w:p>
    <w:p>
      <w:pPr>
        <w:pStyle w:val="Heading5"/>
        <w:rPr>
          <w:snapToGrid w:val="0"/>
        </w:rPr>
      </w:pPr>
      <w:bookmarkStart w:id="253" w:name="_Toc106986685"/>
      <w:bookmarkStart w:id="254" w:name="_Toc100564983"/>
      <w:r>
        <w:rPr>
          <w:rStyle w:val="CharSectno"/>
        </w:rPr>
        <w:t>74</w:t>
      </w:r>
      <w:r>
        <w:rPr>
          <w:snapToGrid w:val="0"/>
        </w:rPr>
        <w:t>.</w:t>
      </w:r>
      <w:r>
        <w:rPr>
          <w:snapToGrid w:val="0"/>
        </w:rPr>
        <w:tab/>
        <w:t>Land tax and metropolitan region improvement tax: survey-strata schemes</w:t>
      </w:r>
      <w:bookmarkEnd w:id="253"/>
      <w:bookmarkEnd w:id="254"/>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 xml:space="preserve">each lot </w:t>
      </w:r>
      <w:r>
        <w:t>must</w:t>
      </w:r>
      <w:r>
        <w:rPr>
          <w:snapToGrid w:val="0"/>
        </w:rPr>
        <w:t xml:space="preserve"> be treated as a separate parcel of land, with an unimproved value as determined under </w:t>
      </w:r>
      <w:r>
        <w:t xml:space="preserve">section 70, </w:t>
      </w:r>
      <w:r>
        <w:rPr>
          <w:snapToGrid w:val="0"/>
        </w:rPr>
        <w:t>but subject to any concessions or exemptions that may be applicable; and</w:t>
      </w:r>
    </w:p>
    <w:p>
      <w:pPr>
        <w:pStyle w:val="Indenta"/>
        <w:rPr>
          <w:snapToGrid w:val="0"/>
        </w:rPr>
      </w:pPr>
      <w:r>
        <w:rPr>
          <w:snapToGrid w:val="0"/>
        </w:rPr>
        <w:tab/>
        <w:t>(b)</w:t>
      </w:r>
      <w:r>
        <w:rPr>
          <w:snapToGrid w:val="0"/>
        </w:rPr>
        <w:tab/>
        <w:t xml:space="preserve">the strata company is not liable for land tax or metropolitan region improvement tax in respect of the </w:t>
      </w:r>
      <w:r>
        <w:t>lot.</w:t>
      </w:r>
    </w:p>
    <w:p>
      <w:pPr>
        <w:pStyle w:val="Ednotepara"/>
        <w:rPr>
          <w:snapToGrid w:val="0"/>
        </w:rPr>
      </w:pPr>
      <w:r>
        <w:rPr>
          <w:snapToGrid w:val="0"/>
        </w:rPr>
        <w:tab/>
        <w:t>[(c)</w:t>
      </w:r>
      <w:r>
        <w:rPr>
          <w:snapToGrid w:val="0"/>
        </w:rPr>
        <w:tab/>
        <w:t>deleted]</w:t>
      </w:r>
    </w:p>
    <w:p>
      <w:pPr>
        <w:pStyle w:val="Footnotesection"/>
      </w:pPr>
      <w:r>
        <w:tab/>
        <w:t>[Section 74, formerly section 65A, inserted: No. 58 of 1995 s. 62; amended: No. 45 of 2002 s. 23(4); No. 38 of 2005 s. 15; amended, renumbered as section 74 and relocated: No. 30 of 2018 s. 68 and 84.]</w:t>
      </w:r>
    </w:p>
    <w:p>
      <w:pPr>
        <w:pStyle w:val="Heading5"/>
        <w:keepLines w:val="0"/>
        <w:rPr>
          <w:snapToGrid w:val="0"/>
        </w:rPr>
      </w:pPr>
      <w:bookmarkStart w:id="255" w:name="_Toc106986686"/>
      <w:bookmarkStart w:id="256" w:name="_Toc100564984"/>
      <w:r>
        <w:rPr>
          <w:rStyle w:val="CharSectno"/>
        </w:rPr>
        <w:t>75</w:t>
      </w:r>
      <w:r>
        <w:rPr>
          <w:snapToGrid w:val="0"/>
        </w:rPr>
        <w:t>.</w:t>
      </w:r>
      <w:r>
        <w:rPr>
          <w:snapToGrid w:val="0"/>
        </w:rPr>
        <w:tab/>
        <w:t>Charges for water supplied</w:t>
      </w:r>
      <w:bookmarkEnd w:id="255"/>
      <w:bookmarkEnd w:id="256"/>
    </w:p>
    <w:p>
      <w:pPr>
        <w:pStyle w:val="Subsection"/>
        <w:keepNext/>
        <w:rPr>
          <w:snapToGrid w:val="0"/>
        </w:rPr>
      </w:pPr>
      <w:r>
        <w:rPr>
          <w:snapToGrid w:val="0"/>
        </w:rPr>
        <w:tab/>
      </w:r>
      <w:r>
        <w:rPr>
          <w:snapToGrid w:val="0"/>
        </w:rPr>
        <w:tab/>
      </w:r>
      <w:r>
        <w:t xml:space="preserve">If, </w:t>
      </w:r>
      <w:r>
        <w:rPr>
          <w:snapToGrid w:val="0"/>
        </w:rPr>
        <w:t xml:space="preserve">in relation to a strata titles scheme, an authority </w:t>
      </w:r>
      <w:r>
        <w:t xml:space="preserve">(including a licensee within the meaning given in the </w:t>
      </w:r>
      <w:r>
        <w:rPr>
          <w:i/>
          <w:iCs/>
        </w:rPr>
        <w:t>Water Services Act 2012</w:t>
      </w:r>
      <w:r>
        <w:t xml:space="preserve"> section 3(1)) </w:t>
      </w:r>
      <w:r>
        <w:rPr>
          <w:snapToGrid w:val="0"/>
        </w:rPr>
        <w:t xml:space="preserve">provides </w:t>
      </w:r>
      <w:r>
        <w:t xml:space="preserve">1 </w:t>
      </w:r>
      <w:r>
        <w:rPr>
          <w:snapToGrid w:val="0"/>
        </w:rPr>
        <w:t xml:space="preserve">water supply connection to </w:t>
      </w:r>
      <w:r>
        <w:t>the parcel</w:t>
      </w:r>
      <w:r>
        <w:rPr>
          <w:snapToGrid w:val="0"/>
        </w:rPr>
        <w:t xml:space="preserve"> and the quantity of water used by each </w:t>
      </w:r>
      <w:r>
        <w:t>lot</w:t>
      </w:r>
      <w:r>
        <w:rPr>
          <w:snapToGrid w:val="0"/>
        </w:rPr>
        <w:t xml:space="preserve"> is not measured, </w:t>
      </w:r>
      <w:r>
        <w:t>the</w:t>
      </w:r>
      <w:r>
        <w:rPr>
          <w:snapToGrid w:val="0"/>
        </w:rPr>
        <w:t xml:space="preserve"> charges that may become payable according to the quantity of water used </w:t>
      </w:r>
      <w:r>
        <w:t>are</w:t>
      </w:r>
      <w:r>
        <w:rPr>
          <w:snapToGrid w:val="0"/>
        </w:rPr>
        <w:t xml:space="preserve"> payable by and may be recovered by the authority from the strata company.</w:t>
      </w:r>
    </w:p>
    <w:p>
      <w:pPr>
        <w:pStyle w:val="Footnotesection"/>
      </w:pPr>
      <w:r>
        <w:tab/>
        <w:t>[Section 75, formerly section 66, amended: No. 24 of 1987 s. 166; No. 58 of 1995 s. 96; No. 25 of 2012 s. 232(3); amended, renumbered as section 75 and relocated: No. 30 of 2018 s. 69 and 84.]</w:t>
      </w:r>
    </w:p>
    <w:p>
      <w:pPr>
        <w:pStyle w:val="Heading5"/>
      </w:pPr>
      <w:bookmarkStart w:id="257" w:name="_Toc106986687"/>
      <w:bookmarkStart w:id="258" w:name="_Toc100564985"/>
      <w:r>
        <w:rPr>
          <w:rStyle w:val="CharSectno"/>
        </w:rPr>
        <w:t>76</w:t>
      </w:r>
      <w:r>
        <w:t>.</w:t>
      </w:r>
      <w:r>
        <w:tab/>
        <w:t xml:space="preserve">Water service charges under the </w:t>
      </w:r>
      <w:r>
        <w:rPr>
          <w:i/>
          <w:iCs/>
        </w:rPr>
        <w:t>Water Services Act 2012</w:t>
      </w:r>
      <w:bookmarkEnd w:id="257"/>
      <w:bookmarkEnd w:id="258"/>
    </w:p>
    <w:p>
      <w:pPr>
        <w:pStyle w:val="Subsection"/>
        <w:keepNext/>
      </w:pPr>
      <w:r>
        <w:tab/>
      </w:r>
      <w:r>
        <w:tab/>
        <w:t xml:space="preserve">For the purposes of this Division — </w:t>
      </w:r>
    </w:p>
    <w:p>
      <w:pPr>
        <w:pStyle w:val="Indenta"/>
      </w:pPr>
      <w:r>
        <w:tab/>
        <w:t>(a)</w:t>
      </w:r>
      <w:r>
        <w:tab/>
        <w:t xml:space="preserve">a statutory water service charge (within the meaning given in the </w:t>
      </w:r>
      <w:r>
        <w:rPr>
          <w:i/>
          <w:iCs/>
        </w:rPr>
        <w:t>Water Services Act 2012</w:t>
      </w:r>
      <w:r>
        <w:t xml:space="preserve"> section 71(1)) that applies in respect of land is taken to be a rate made and levied by an authority (that is, the licensee to whom the charge is payable); and</w:t>
      </w:r>
    </w:p>
    <w:p>
      <w:pPr>
        <w:pStyle w:val="Indenta"/>
      </w:pPr>
      <w:r>
        <w:tab/>
        <w:t>(b)</w:t>
      </w:r>
      <w:r>
        <w:tab/>
        <w:t>the licensee is taken to be an authority authorised to make and levy the rate on the land.</w:t>
      </w:r>
    </w:p>
    <w:p>
      <w:pPr>
        <w:pStyle w:val="Footnotesection"/>
      </w:pPr>
      <w:r>
        <w:tab/>
        <w:t>[Section 76, formerly section 67, inserted: No. 25 of 2012 s. 232(4); amended and renumbered as section 76: No. 30 of 2018 s. 70 and 84.]</w:t>
      </w:r>
    </w:p>
    <w:p>
      <w:pPr>
        <w:pStyle w:val="Heading2"/>
      </w:pPr>
      <w:bookmarkStart w:id="259" w:name="_Toc106986252"/>
      <w:bookmarkStart w:id="260" w:name="_Toc106986688"/>
      <w:bookmarkStart w:id="261" w:name="_Toc100308266"/>
      <w:bookmarkStart w:id="262" w:name="_Toc100308702"/>
      <w:bookmarkStart w:id="263" w:name="_Toc100564986"/>
      <w:r>
        <w:rPr>
          <w:rStyle w:val="CharPartNo"/>
        </w:rPr>
        <w:t>Part 6</w:t>
      </w:r>
      <w:r>
        <w:rPr>
          <w:rStyle w:val="CharDivNo"/>
        </w:rPr>
        <w:t> </w:t>
      </w:r>
      <w:r>
        <w:t>—</w:t>
      </w:r>
      <w:r>
        <w:rPr>
          <w:rStyle w:val="CharDivText"/>
        </w:rPr>
        <w:t> </w:t>
      </w:r>
      <w:r>
        <w:rPr>
          <w:rStyle w:val="CharPartText"/>
        </w:rPr>
        <w:t>Scheme developer</w:t>
      </w:r>
      <w:bookmarkEnd w:id="259"/>
      <w:bookmarkEnd w:id="260"/>
      <w:bookmarkEnd w:id="261"/>
      <w:bookmarkEnd w:id="262"/>
      <w:bookmarkEnd w:id="263"/>
    </w:p>
    <w:p>
      <w:pPr>
        <w:pStyle w:val="Footnoteheading"/>
      </w:pPr>
      <w:r>
        <w:tab/>
        <w:t>[Heading inserted: No. 30 of 2018 s. 83.]</w:t>
      </w:r>
    </w:p>
    <w:p>
      <w:pPr>
        <w:pStyle w:val="Heading5"/>
      </w:pPr>
      <w:bookmarkStart w:id="264" w:name="_Toc106986689"/>
      <w:bookmarkStart w:id="265" w:name="_Toc100564987"/>
      <w:r>
        <w:rPr>
          <w:rStyle w:val="CharSectno"/>
        </w:rPr>
        <w:t>77</w:t>
      </w:r>
      <w:r>
        <w:t>.</w:t>
      </w:r>
      <w:r>
        <w:tab/>
        <w:t>First statutory general meeting</w:t>
      </w:r>
      <w:bookmarkEnd w:id="264"/>
      <w:bookmarkEnd w:id="265"/>
    </w:p>
    <w:p>
      <w:pPr>
        <w:pStyle w:val="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Subsection"/>
      </w:pPr>
      <w:r>
        <w:tab/>
        <w:t>(2)</w:t>
      </w:r>
      <w:r>
        <w:tab/>
        <w:t>The scheme developer must do so even if the scheme developer is no longer a member of the strata company and even if there are no other members of the strata company.</w:t>
      </w:r>
    </w:p>
    <w:p>
      <w:pPr>
        <w:pStyle w:val="Subsection"/>
      </w:pPr>
      <w:r>
        <w:tab/>
        <w:t>(3)</w:t>
      </w:r>
      <w:r>
        <w:tab/>
        <w:t>If there is another member of the strata company, a member of the strata company may convene the meeting if the scheme developer fails to do so.</w:t>
      </w:r>
    </w:p>
    <w:p>
      <w:pPr>
        <w:pStyle w:val="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Subsection"/>
      </w:pPr>
      <w:r>
        <w:tab/>
        <w:t>(5)</w:t>
      </w:r>
      <w:r>
        <w:tab/>
        <w:t>The person who convenes the meeting is to preside at the meeting or nominate someone to preside at the meeting.</w:t>
      </w:r>
    </w:p>
    <w:p>
      <w:pPr>
        <w:pStyle w:val="Footnotesection"/>
      </w:pPr>
      <w:r>
        <w:tab/>
        <w:t>[Section 77 inserted: No. 30 of 2018 s. 83.]</w:t>
      </w:r>
    </w:p>
    <w:p>
      <w:pPr>
        <w:pStyle w:val="Ednotesection"/>
      </w:pPr>
      <w:r>
        <w:t>[</w:t>
      </w:r>
      <w:r>
        <w:rPr>
          <w:b/>
          <w:bCs/>
        </w:rPr>
        <w:t>77A.</w:t>
      </w:r>
      <w:r>
        <w:rPr>
          <w:b/>
          <w:bCs/>
        </w:rPr>
        <w:tab/>
      </w:r>
      <w:r>
        <w:t>Deleted: No. 55 of 2004 s. 1127.]</w:t>
      </w:r>
    </w:p>
    <w:p>
      <w:pPr>
        <w:pStyle w:val="Ednotesection"/>
      </w:pPr>
      <w:r>
        <w:t>[</w:t>
      </w:r>
      <w:r>
        <w:rPr>
          <w:b/>
        </w:rPr>
        <w:t>77B.</w:t>
      </w:r>
      <w:r>
        <w:rPr>
          <w:b/>
        </w:rPr>
        <w:tab/>
      </w:r>
      <w:r>
        <w:t>Deleted: No. 30 of 2018 s. 82(b).]</w:t>
      </w:r>
    </w:p>
    <w:p>
      <w:pPr>
        <w:pStyle w:val="Heading5"/>
      </w:pPr>
      <w:bookmarkStart w:id="266" w:name="_Toc106986690"/>
      <w:bookmarkStart w:id="267" w:name="_Toc100564988"/>
      <w:r>
        <w:rPr>
          <w:rStyle w:val="CharSectno"/>
        </w:rPr>
        <w:t>78</w:t>
      </w:r>
      <w:r>
        <w:t>.</w:t>
      </w:r>
      <w:r>
        <w:tab/>
        <w:t>Key documents</w:t>
      </w:r>
      <w:bookmarkEnd w:id="266"/>
      <w:bookmarkEnd w:id="267"/>
    </w:p>
    <w:p>
      <w:pPr>
        <w:pStyle w:val="Subsection"/>
        <w:rPr>
          <w:snapToGrid w:val="0"/>
        </w:rPr>
      </w:pPr>
      <w:r>
        <w:tab/>
        <w:t>(1)</w:t>
      </w:r>
      <w:r>
        <w:tab/>
      </w:r>
      <w:r>
        <w:rPr>
          <w:snapToGrid w:val="0"/>
        </w:rPr>
        <w:t>The scheme developer of a subdivision of land by a strata titles scheme must ensure that —</w:t>
      </w:r>
    </w:p>
    <w:p>
      <w:pPr>
        <w:pStyle w:val="Indenta"/>
      </w:pPr>
      <w:r>
        <w:tab/>
        <w:t>(a)</w:t>
      </w:r>
      <w:r>
        <w:tab/>
        <w:t>all the key documents for the subdivision that come into the possession or control of the scheme developer are retained; and</w:t>
      </w:r>
    </w:p>
    <w:p>
      <w:pPr>
        <w:pStyle w:val="Indenta"/>
      </w:pPr>
      <w:r>
        <w:tab/>
        <w:t>(b)</w:t>
      </w:r>
      <w:r>
        <w:tab/>
        <w:t>all the key documents for the subdivision that the scheme developer possesses or controls are given to the strata company —</w:t>
      </w:r>
    </w:p>
    <w:p>
      <w:pPr>
        <w:pStyle w:val="Indenti"/>
        <w:rPr>
          <w:snapToGrid w:val="0"/>
        </w:rPr>
      </w:pPr>
      <w:r>
        <w:rPr>
          <w:snapToGrid w:val="0"/>
        </w:rPr>
        <w:tab/>
        <w:t>(i)</w:t>
      </w:r>
      <w:r>
        <w:rPr>
          <w:snapToGrid w:val="0"/>
        </w:rPr>
        <w:tab/>
        <w:t>at the first general meeting of the strata company following the subdivision; or</w:t>
      </w:r>
    </w:p>
    <w:p>
      <w:pPr>
        <w:pStyle w:val="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Footnotesection"/>
      </w:pPr>
      <w:r>
        <w:tab/>
        <w:t>[Section 78 inserted: No. 30 of 2018 s. 83.]</w:t>
      </w:r>
    </w:p>
    <w:p>
      <w:pPr>
        <w:pStyle w:val="Heading5"/>
      </w:pPr>
      <w:bookmarkStart w:id="268" w:name="_Toc106986691"/>
      <w:bookmarkStart w:id="269" w:name="_Toc100564989"/>
      <w:r>
        <w:rPr>
          <w:rStyle w:val="CharSectno"/>
        </w:rPr>
        <w:t>79</w:t>
      </w:r>
      <w:r>
        <w:t>.</w:t>
      </w:r>
      <w:r>
        <w:tab/>
        <w:t>Disclosure of remuneration and other benefits</w:t>
      </w:r>
      <w:bookmarkEnd w:id="268"/>
      <w:bookmarkEnd w:id="269"/>
    </w:p>
    <w:p>
      <w:pPr>
        <w:pStyle w:val="Subsection"/>
        <w:rPr>
          <w:snapToGrid w:val="0"/>
        </w:rPr>
      </w:pPr>
      <w:r>
        <w:rPr>
          <w:snapToGrid w:val="0"/>
        </w:rPr>
        <w:tab/>
        <w:t>(1)</w:t>
      </w:r>
      <w:r>
        <w:rPr>
          <w:snapToGrid w:val="0"/>
        </w:rPr>
        <w:tab/>
        <w:t>This section applies to the following —</w:t>
      </w:r>
    </w:p>
    <w:p>
      <w:pPr>
        <w:pStyle w:val="Indenta"/>
      </w:pPr>
      <w:r>
        <w:tab/>
        <w:t>(a)</w:t>
      </w:r>
      <w:r>
        <w:tab/>
        <w:t>a contract for the provision of services or amenities to the strata company or to members of the strata company entered into or arranged by a scheme developer for the subdivision or by the strata company;</w:t>
      </w:r>
    </w:p>
    <w:p>
      <w:pPr>
        <w:pStyle w:val="Indenta"/>
      </w:pPr>
      <w:r>
        <w:tab/>
        <w:t>(b)</w:t>
      </w:r>
      <w:r>
        <w:tab/>
        <w:t>any other contract that binds the strata company;</w:t>
      </w:r>
    </w:p>
    <w:p>
      <w:pPr>
        <w:pStyle w:val="Indenta"/>
      </w:pPr>
      <w:r>
        <w:tab/>
        <w:t>(c)</w:t>
      </w:r>
      <w:r>
        <w:tab/>
        <w:t>a lease or licence of the common property of the strata titles scheme.</w:t>
      </w:r>
    </w:p>
    <w:p>
      <w:pPr>
        <w:pStyle w:val="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Indenta"/>
      </w:pPr>
      <w:r>
        <w:tab/>
        <w:t>(b)</w:t>
      </w:r>
      <w:r>
        <w:tab/>
        <w:t>details of any other direct or indirect pecuniary interest that the scheme developer or an associate of the scheme developer has in the contract, lease or licence, other than as a member of the strata company.</w:t>
      </w:r>
    </w:p>
    <w:p>
      <w:pPr>
        <w:pStyle w:val="Subsection"/>
      </w:pPr>
      <w:r>
        <w:tab/>
        <w:t>(3)</w:t>
      </w:r>
      <w:r>
        <w:tab/>
        <w:t>The disclosure —</w:t>
      </w:r>
    </w:p>
    <w:p>
      <w:pPr>
        <w:pStyle w:val="Indenta"/>
      </w:pPr>
      <w:r>
        <w:tab/>
        <w:t>(a)</w:t>
      </w:r>
      <w:r>
        <w:tab/>
        <w:t>must be made as soon as reasonably practicable after the scheme developer becomes aware of the facts giving rise to the requirement to disclose; and</w:t>
      </w:r>
    </w:p>
    <w:p>
      <w:pPr>
        <w:pStyle w:val="Indenta"/>
      </w:pPr>
      <w:r>
        <w:tab/>
        <w:t>(b)</w:t>
      </w:r>
      <w:r>
        <w:tab/>
        <w:t>must include information as to the value of the remuneration or other benefit.</w:t>
      </w:r>
    </w:p>
    <w:p>
      <w:pPr>
        <w:pStyle w:val="Footnotesection"/>
      </w:pPr>
      <w:r>
        <w:tab/>
        <w:t>[Section 79 inserted: No. 30 of 2018 s. 83.]</w:t>
      </w:r>
    </w:p>
    <w:p>
      <w:pPr>
        <w:pStyle w:val="Heading5"/>
      </w:pPr>
      <w:bookmarkStart w:id="270" w:name="_Toc106986692"/>
      <w:bookmarkStart w:id="271" w:name="_Toc100564990"/>
      <w:r>
        <w:rPr>
          <w:rStyle w:val="CharSectno"/>
        </w:rPr>
        <w:t>80</w:t>
      </w:r>
      <w:r>
        <w:t>.</w:t>
      </w:r>
      <w:r>
        <w:tab/>
        <w:t>Defects in scheme buildings or infrastructure</w:t>
      </w:r>
      <w:bookmarkEnd w:id="270"/>
      <w:bookmarkEnd w:id="271"/>
    </w:p>
    <w:p>
      <w:pPr>
        <w:pStyle w:val="Subsection"/>
      </w:pPr>
      <w:r>
        <w:tab/>
        <w:t>(1)</w:t>
      </w:r>
      <w:r>
        <w:tab/>
        <w:t>On establishment of a strata company for a strata scheme, the strata company is subrogated to all the rights and remedies of the scheme developer in respect of —</w:t>
      </w:r>
    </w:p>
    <w:p>
      <w:pPr>
        <w:pStyle w:val="Indenta"/>
      </w:pPr>
      <w:r>
        <w:tab/>
        <w:t>(a)</w:t>
      </w:r>
      <w:r>
        <w:tab/>
        <w:t>in a strata scheme — each scheme building; and</w:t>
      </w:r>
    </w:p>
    <w:p>
      <w:pPr>
        <w:pStyle w:val="Indenta"/>
      </w:pPr>
      <w:r>
        <w:tab/>
        <w:t>(b)</w:t>
      </w:r>
      <w:r>
        <w:tab/>
        <w:t>in a strata scheme or survey</w:t>
      </w:r>
      <w:r>
        <w:noBreakHyphen/>
        <w:t>strata scheme — infrastructure comprising common property of the scheme.</w:t>
      </w:r>
    </w:p>
    <w:p>
      <w:pPr>
        <w:pStyle w:val="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Indenta"/>
      </w:pPr>
      <w:r>
        <w:tab/>
        <w:t>(a)</w:t>
      </w:r>
      <w:r>
        <w:tab/>
        <w:t>the scheme developer of a subdivision of land by the strata titles scheme in which the building was constructed or modified;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Footnotesection"/>
      </w:pPr>
      <w:r>
        <w:tab/>
        <w:t>[Section 80 inserted: No. 30 of 2018 s. 83.]</w:t>
      </w:r>
    </w:p>
    <w:p>
      <w:pPr>
        <w:pStyle w:val="Ednotedivision"/>
      </w:pPr>
      <w:r>
        <w:t>[Former Division 2A (s. 80A</w:t>
      </w:r>
      <w:r>
        <w:noBreakHyphen/>
        <w:t>80E) deleted: No. 55 of 2004 s. 1129.]</w:t>
      </w:r>
    </w:p>
    <w:p>
      <w:pPr>
        <w:pStyle w:val="Heading5"/>
      </w:pPr>
      <w:bookmarkStart w:id="272" w:name="_Toc106986693"/>
      <w:bookmarkStart w:id="273" w:name="_Toc100564991"/>
      <w:r>
        <w:rPr>
          <w:rStyle w:val="CharSectno"/>
        </w:rPr>
        <w:t>81</w:t>
      </w:r>
      <w:r>
        <w:t>.</w:t>
      </w:r>
      <w:r>
        <w:tab/>
        <w:t>Contracting out prohibited</w:t>
      </w:r>
      <w:bookmarkEnd w:id="272"/>
      <w:bookmarkEnd w:id="273"/>
    </w:p>
    <w:p>
      <w:pPr>
        <w:pStyle w:val="Subsection"/>
        <w:rPr>
          <w:snapToGrid w:val="0"/>
        </w:rPr>
      </w:pPr>
      <w:r>
        <w:tab/>
        <w:t>(1)</w:t>
      </w:r>
      <w:r>
        <w:tab/>
      </w:r>
      <w:r>
        <w:rPr>
          <w:snapToGrid w:val="0"/>
        </w:rPr>
        <w:t>A contract or any other agreement or arrangement is of no effect to the extent that it purports to exclude or restrict the operation of this Part.</w:t>
      </w:r>
    </w:p>
    <w:p>
      <w:pPr>
        <w:pStyle w:val="Subsection"/>
        <w:rPr>
          <w:snapToGrid w:val="0"/>
        </w:rPr>
      </w:pPr>
      <w:r>
        <w:rPr>
          <w:snapToGrid w:val="0"/>
        </w:rPr>
        <w:tab/>
        <w:t>(2)</w:t>
      </w:r>
      <w:r>
        <w:rPr>
          <w:snapToGrid w:val="0"/>
        </w:rPr>
        <w:tab/>
        <w:t>A purported waiver of a right, remedy or benefit conferred on a person under this Part is of no effect.</w:t>
      </w:r>
    </w:p>
    <w:p>
      <w:pPr>
        <w:pStyle w:val="Footnotesection"/>
      </w:pPr>
      <w:r>
        <w:tab/>
        <w:t>[Section 81 inserted: No. 30 of 2018 s. 83.]</w:t>
      </w:r>
    </w:p>
    <w:p>
      <w:pPr>
        <w:pStyle w:val="Heading2"/>
      </w:pPr>
      <w:bookmarkStart w:id="274" w:name="_Toc106986258"/>
      <w:bookmarkStart w:id="275" w:name="_Toc106986694"/>
      <w:bookmarkStart w:id="276" w:name="_Toc100308272"/>
      <w:bookmarkStart w:id="277" w:name="_Toc100308708"/>
      <w:bookmarkStart w:id="278" w:name="_Toc100564992"/>
      <w:r>
        <w:rPr>
          <w:rStyle w:val="CharPartNo"/>
        </w:rPr>
        <w:t>Part 7</w:t>
      </w:r>
      <w:r>
        <w:rPr>
          <w:b w:val="0"/>
        </w:rPr>
        <w:t> </w:t>
      </w:r>
      <w:r>
        <w:t>—</w:t>
      </w:r>
      <w:r>
        <w:rPr>
          <w:b w:val="0"/>
        </w:rPr>
        <w:t> </w:t>
      </w:r>
      <w:r>
        <w:rPr>
          <w:rStyle w:val="CharPartText"/>
        </w:rPr>
        <w:t>Lot owners and occupiers</w:t>
      </w:r>
      <w:bookmarkEnd w:id="274"/>
      <w:bookmarkEnd w:id="275"/>
      <w:bookmarkEnd w:id="276"/>
      <w:bookmarkEnd w:id="277"/>
      <w:bookmarkEnd w:id="278"/>
    </w:p>
    <w:p>
      <w:pPr>
        <w:pStyle w:val="Footnoteheading"/>
      </w:pPr>
      <w:r>
        <w:tab/>
        <w:t>[Heading inserted: No. 30 of 2018 s. 83.]</w:t>
      </w:r>
    </w:p>
    <w:p>
      <w:pPr>
        <w:pStyle w:val="Heading3"/>
      </w:pPr>
      <w:bookmarkStart w:id="279" w:name="_Toc106986259"/>
      <w:bookmarkStart w:id="280" w:name="_Toc106986695"/>
      <w:bookmarkStart w:id="281" w:name="_Toc100308273"/>
      <w:bookmarkStart w:id="282" w:name="_Toc100308709"/>
      <w:bookmarkStart w:id="283" w:name="_Toc100564993"/>
      <w:r>
        <w:rPr>
          <w:rStyle w:val="CharDivNo"/>
        </w:rPr>
        <w:t>Division 1</w:t>
      </w:r>
      <w:r>
        <w:t> — </w:t>
      </w:r>
      <w:r>
        <w:rPr>
          <w:rStyle w:val="CharDivText"/>
        </w:rPr>
        <w:t>General</w:t>
      </w:r>
      <w:bookmarkEnd w:id="279"/>
      <w:bookmarkEnd w:id="280"/>
      <w:bookmarkEnd w:id="281"/>
      <w:bookmarkEnd w:id="282"/>
      <w:bookmarkEnd w:id="283"/>
    </w:p>
    <w:p>
      <w:pPr>
        <w:pStyle w:val="Footnoteheading"/>
      </w:pPr>
      <w:r>
        <w:tab/>
        <w:t>[Heading inserted: No. 30 of 2018 s. 83.]</w:t>
      </w:r>
    </w:p>
    <w:p>
      <w:pPr>
        <w:pStyle w:val="Heading5"/>
      </w:pPr>
      <w:bookmarkStart w:id="284" w:name="_Toc106986696"/>
      <w:bookmarkStart w:id="285" w:name="_Toc100564994"/>
      <w:r>
        <w:rPr>
          <w:rStyle w:val="CharSectno"/>
        </w:rPr>
        <w:t>82</w:t>
      </w:r>
      <w:r>
        <w:t>.</w:t>
      </w:r>
      <w:r>
        <w:tab/>
        <w:t>Offence to contravene restricted use condition</w:t>
      </w:r>
      <w:bookmarkEnd w:id="284"/>
      <w:bookmarkEnd w:id="285"/>
    </w:p>
    <w:p>
      <w:pPr>
        <w:pStyle w:val="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Penstart"/>
        <w:rPr>
          <w:snapToGrid w:val="0"/>
        </w:rPr>
      </w:pPr>
      <w:r>
        <w:rPr>
          <w:snapToGrid w:val="0"/>
        </w:rPr>
        <w:tab/>
        <w:t>Penalty for this subsection:</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Footnotesection"/>
      </w:pPr>
      <w:r>
        <w:tab/>
        <w:t>[Section 82 inserted: No. 30 of 2018 s. 83.]</w:t>
      </w:r>
    </w:p>
    <w:p>
      <w:pPr>
        <w:pStyle w:val="Heading5"/>
      </w:pPr>
      <w:bookmarkStart w:id="286" w:name="_Toc106986697"/>
      <w:bookmarkStart w:id="287" w:name="_Toc100564995"/>
      <w:r>
        <w:rPr>
          <w:rStyle w:val="CharSectno"/>
        </w:rPr>
        <w:t>83</w:t>
      </w:r>
      <w:r>
        <w:t>.</w:t>
      </w:r>
      <w:r>
        <w:tab/>
        <w:t>Use and enjoyment</w:t>
      </w:r>
      <w:bookmarkEnd w:id="286"/>
      <w:bookmarkEnd w:id="287"/>
    </w:p>
    <w:p>
      <w:pPr>
        <w:pStyle w:val="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Footnotesection"/>
      </w:pPr>
      <w:r>
        <w:tab/>
        <w:t>[Section 83 inserted: No. 30 of 2018 s. 83.]</w:t>
      </w:r>
    </w:p>
    <w:p>
      <w:pPr>
        <w:pStyle w:val="Heading5"/>
        <w:rPr>
          <w:snapToGrid w:val="0"/>
        </w:rPr>
      </w:pPr>
      <w:bookmarkStart w:id="288" w:name="_Toc106986698"/>
      <w:bookmarkStart w:id="289" w:name="_Toc100564996"/>
      <w:r>
        <w:rPr>
          <w:rStyle w:val="CharSectno"/>
        </w:rPr>
        <w:t>84</w:t>
      </w:r>
      <w:r>
        <w:rPr>
          <w:snapToGrid w:val="0"/>
        </w:rPr>
        <w:t>.</w:t>
      </w:r>
      <w:r>
        <w:rPr>
          <w:snapToGrid w:val="0"/>
        </w:rPr>
        <w:tab/>
        <w:t>Insurance for lot</w:t>
      </w:r>
      <w:bookmarkEnd w:id="288"/>
      <w:bookmarkEnd w:id="289"/>
    </w:p>
    <w:p>
      <w:pPr>
        <w:pStyle w:val="Subsection"/>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rPr>
          <w:snapToGrid w:val="0"/>
        </w:rPr>
        <w:tab/>
        <w:t>(2)</w:t>
      </w:r>
      <w:r>
        <w:rPr>
          <w:snapToGrid w:val="0"/>
        </w:rPr>
        <w:tab/>
      </w:r>
      <w:r>
        <w:t xml:space="preserve">If a </w:t>
      </w:r>
      <w:r>
        <w:rPr>
          <w:snapToGrid w:val="0"/>
        </w:rPr>
        <w:t>contract of mortgage insurance is in force —</w:t>
      </w:r>
    </w:p>
    <w:p>
      <w:pPr>
        <w:pStyle w:val="Indenta"/>
        <w:spacing w:before="120"/>
        <w:rPr>
          <w:snapToGrid w:val="0"/>
        </w:rPr>
      </w:pPr>
      <w:r>
        <w:rPr>
          <w:snapToGrid w:val="0"/>
        </w:rPr>
        <w:tab/>
        <w:t>(a)</w:t>
      </w:r>
      <w:r>
        <w:rPr>
          <w:snapToGrid w:val="0"/>
        </w:rPr>
        <w:tab/>
        <w:t xml:space="preserve">payment </w:t>
      </w:r>
      <w:r>
        <w:t>must</w:t>
      </w:r>
      <w:r>
        <w:rPr>
          <w:snapToGrid w:val="0"/>
        </w:rPr>
        <w:t xml:space="preserve"> be made by the insurer under the contract to the mortgagees whose interests are noted </w:t>
      </w:r>
      <w:r>
        <w:t>in the contract</w:t>
      </w:r>
      <w:r>
        <w:rPr>
          <w:snapToGrid w:val="0"/>
        </w:rPr>
        <w:t xml:space="preserve"> in order of their respective priorities, subject to the terms and conditions of the contract; </w:t>
      </w:r>
      <w:r>
        <w:t>and</w:t>
      </w:r>
    </w:p>
    <w:p>
      <w:pPr>
        <w:pStyle w:val="Indenta"/>
        <w:keepNext/>
        <w:spacing w:before="120"/>
        <w:rPr>
          <w:snapToGrid w:val="0"/>
        </w:rPr>
      </w:pPr>
      <w:r>
        <w:rPr>
          <w:snapToGrid w:val="0"/>
        </w:rPr>
        <w:tab/>
        <w:t>(b)</w:t>
      </w:r>
      <w:r>
        <w:rPr>
          <w:snapToGrid w:val="0"/>
        </w:rPr>
        <w:tab/>
        <w:t xml:space="preserve">subject to the terms and conditions of the contract, the insurer is liable to pay </w:t>
      </w:r>
      <w:r>
        <w:t>the lesser of the following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 xml:space="preserve">the amount sufficient, at the date of the loss, to discharge mortgages </w:t>
      </w:r>
      <w:r>
        <w:t>of the lot;</w:t>
      </w:r>
    </w:p>
    <w:p>
      <w:pPr>
        <w:pStyle w:val="Indenta"/>
        <w:spacing w:before="120"/>
        <w:rPr>
          <w:snapToGrid w:val="0"/>
        </w:rPr>
      </w:pPr>
      <w:r>
        <w:tab/>
      </w:r>
      <w:r>
        <w:tab/>
        <w:t>and</w:t>
      </w:r>
    </w:p>
    <w:p>
      <w:pPr>
        <w:pStyle w:val="Indenta"/>
        <w:spacing w:before="120"/>
        <w:rPr>
          <w:snapToGrid w:val="0"/>
        </w:rPr>
      </w:pPr>
      <w:r>
        <w:rPr>
          <w:snapToGrid w:val="0"/>
        </w:rPr>
        <w:tab/>
        <w:t>(c)</w:t>
      </w:r>
      <w:r>
        <w:rPr>
          <w:snapToGrid w:val="0"/>
        </w:rPr>
        <w:tab/>
      </w:r>
      <w:r>
        <w:t>if</w:t>
      </w:r>
      <w:r>
        <w:rPr>
          <w:snapToGrid w:val="0"/>
        </w:rPr>
        <w:t xml:space="preserve"> the amount so paid by the insurer equals the amount necessary to discharge a mortgage </w:t>
      </w:r>
      <w:r>
        <w:t>of</w:t>
      </w:r>
      <w:r>
        <w:rPr>
          <w:snapToGrid w:val="0"/>
        </w:rPr>
        <w:t xml:space="preserve"> the lot, the insurer is entitled to an assignment of that mortgage; </w:t>
      </w:r>
      <w:r>
        <w:t>and</w:t>
      </w:r>
    </w:p>
    <w:p>
      <w:pPr>
        <w:pStyle w:val="Indenta"/>
        <w:spacing w:before="120"/>
        <w:rPr>
          <w:snapToGrid w:val="0"/>
        </w:rPr>
      </w:pPr>
      <w:r>
        <w:rPr>
          <w:snapToGrid w:val="0"/>
        </w:rPr>
        <w:tab/>
        <w:t>(d)</w:t>
      </w:r>
      <w:r>
        <w:rPr>
          <w:snapToGrid w:val="0"/>
        </w:rPr>
        <w:tab/>
      </w:r>
      <w:r>
        <w:t>if</w:t>
      </w:r>
      <w:r>
        <w:rPr>
          <w:snapToGrid w:val="0"/>
        </w:rPr>
        <w:t xml:space="preserve"> the amount so paid by the insurer is less than the amount necessary to discharge a mortgage of the lot, the insurer </w:t>
      </w:r>
      <w:r>
        <w:t>is</w:t>
      </w:r>
      <w:r>
        <w:rPr>
          <w:snapToGrid w:val="0"/>
        </w:rPr>
        <w:t xml:space="preserv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pPr>
      <w:r>
        <w:tab/>
        <w:t>(3)</w:t>
      </w:r>
      <w:r>
        <w:tab/>
        <w:t>A contract of mortgage insurance is not liable to be brought into contribution with any other such contract of mortgage insurance unless both contracts cover the same lot and relate to the same mortgage debt.</w:t>
      </w:r>
    </w:p>
    <w:p>
      <w:pPr>
        <w:pStyle w:val="Subsection"/>
      </w:pPr>
      <w:r>
        <w:tab/>
        <w:t>(4)</w:t>
      </w:r>
      <w:r>
        <w:tab/>
        <w:t>Nothing in this Act limits the right of the owner of a lot to effect insurance for the lot.</w:t>
      </w:r>
    </w:p>
    <w:p>
      <w:pPr>
        <w:pStyle w:val="Ednotesubsection"/>
      </w:pPr>
      <w:r>
        <w:tab/>
        <w:t>[(5)</w:t>
      </w:r>
      <w:r>
        <w:tab/>
        <w:t>deleted]</w:t>
      </w:r>
    </w:p>
    <w:p>
      <w:pPr>
        <w:pStyle w:val="Footnotesection"/>
      </w:pPr>
      <w:r>
        <w:tab/>
        <w:t>[Section 84, formerly section 57, amended, renumbered as section 84 and relocated: No. 30 of 2018 s. 60 and 84.]</w:t>
      </w:r>
    </w:p>
    <w:p>
      <w:pPr>
        <w:pStyle w:val="Heading5"/>
        <w:rPr>
          <w:snapToGrid w:val="0"/>
        </w:rPr>
      </w:pPr>
      <w:bookmarkStart w:id="290" w:name="_Toc106986699"/>
      <w:bookmarkStart w:id="291" w:name="_Toc100564997"/>
      <w:r>
        <w:rPr>
          <w:rStyle w:val="CharSectno"/>
        </w:rPr>
        <w:t>85</w:t>
      </w:r>
      <w:r>
        <w:t>.</w:t>
      </w:r>
      <w:r>
        <w:tab/>
        <w:t>Person to act for lot owner in certain circumstances</w:t>
      </w:r>
      <w:bookmarkEnd w:id="290"/>
      <w:bookmarkEnd w:id="291"/>
    </w:p>
    <w:p>
      <w:pPr>
        <w:pStyle w:val="Subsection"/>
        <w:keepNext/>
        <w:keepLines/>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Subsection"/>
      </w:pPr>
      <w:r>
        <w:tab/>
        <w:t>(2)</w:t>
      </w:r>
      <w:r>
        <w:tab/>
        <w:t>The Tribunal may, on an application under this section, by order —</w:t>
      </w:r>
    </w:p>
    <w:p>
      <w:pPr>
        <w:pStyle w:val="Indenta"/>
      </w:pPr>
      <w:r>
        <w:tab/>
        <w:t>(a)</w:t>
      </w:r>
      <w:r>
        <w:tab/>
        <w:t>dispense with the requirement for the owner to vote or consent on a particular matter; or</w:t>
      </w:r>
    </w:p>
    <w:p>
      <w:pPr>
        <w:pStyle w:val="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Footnotesection"/>
      </w:pPr>
      <w:r>
        <w:tab/>
        <w:t>[Section 85 inserted: No. 30 of 2018 s. 83.]</w:t>
      </w:r>
    </w:p>
    <w:p>
      <w:pPr>
        <w:pStyle w:val="yHeading3"/>
      </w:pPr>
      <w:bookmarkStart w:id="292" w:name="_Toc106986264"/>
      <w:bookmarkStart w:id="293" w:name="_Toc106986700"/>
      <w:bookmarkStart w:id="294" w:name="_Toc100308278"/>
      <w:bookmarkStart w:id="295" w:name="_Toc100308714"/>
      <w:bookmarkStart w:id="296" w:name="_Toc100564998"/>
      <w:r>
        <w:rPr>
          <w:rStyle w:val="CharDivNo"/>
        </w:rPr>
        <w:t>Division 2</w:t>
      </w:r>
      <w:r>
        <w:t> — </w:t>
      </w:r>
      <w:r>
        <w:rPr>
          <w:rStyle w:val="CharDivText"/>
        </w:rPr>
        <w:t>Structural alteration of lots</w:t>
      </w:r>
      <w:bookmarkEnd w:id="292"/>
      <w:bookmarkEnd w:id="293"/>
      <w:bookmarkEnd w:id="294"/>
      <w:bookmarkEnd w:id="295"/>
      <w:bookmarkEnd w:id="296"/>
    </w:p>
    <w:p>
      <w:pPr>
        <w:pStyle w:val="PermNoteHeading"/>
      </w:pPr>
      <w:r>
        <w:tab/>
        <w:t>Note for this Division:</w:t>
      </w:r>
    </w:p>
    <w:p>
      <w:pPr>
        <w:pStyle w:val="PermNoteText"/>
      </w:pPr>
      <w:r>
        <w:tab/>
      </w:r>
      <w:r>
        <w:tab/>
        <w:t>This Division does not derogate from the requirement for subdivision approval if the definition of a lot is modified.</w:t>
      </w:r>
    </w:p>
    <w:p>
      <w:pPr>
        <w:pStyle w:val="Footnoteheading"/>
      </w:pPr>
      <w:r>
        <w:tab/>
        <w:t>[Heading and Note inserted: No. 30 of 2018 s. 83.]</w:t>
      </w:r>
    </w:p>
    <w:p>
      <w:pPr>
        <w:pStyle w:val="Heading5"/>
        <w:rPr>
          <w:snapToGrid w:val="0"/>
        </w:rPr>
      </w:pPr>
      <w:bookmarkStart w:id="297" w:name="_Toc106986701"/>
      <w:bookmarkStart w:id="298" w:name="_Toc100564999"/>
      <w:r>
        <w:rPr>
          <w:rStyle w:val="CharSectno"/>
        </w:rPr>
        <w:t>86</w:t>
      </w:r>
      <w:r>
        <w:t>.</w:t>
      </w:r>
      <w:r>
        <w:tab/>
        <w:t>Terms used in this Division</w:t>
      </w:r>
      <w:bookmarkEnd w:id="297"/>
      <w:bookmarkEnd w:id="298"/>
    </w:p>
    <w:p>
      <w:pPr>
        <w:pStyle w:val="Subsection"/>
        <w:rPr>
          <w:snapToGrid w:val="0"/>
        </w:rPr>
      </w:pPr>
      <w:r>
        <w:rPr>
          <w:snapToGrid w:val="0"/>
        </w:rPr>
        <w:tab/>
      </w:r>
      <w:r>
        <w:rPr>
          <w:snapToGrid w:val="0"/>
        </w:rPr>
        <w:tab/>
        <w:t xml:space="preserve">In </w:t>
      </w:r>
      <w:r>
        <w:t>this</w:t>
      </w:r>
      <w:r>
        <w:rPr>
          <w:snapToGrid w:val="0"/>
        </w:rPr>
        <w:t xml:space="preserve"> Division —</w:t>
      </w:r>
    </w:p>
    <w:p>
      <w:pPr>
        <w:pStyle w:val="Defstart"/>
      </w:pPr>
      <w:r>
        <w:tab/>
      </w:r>
      <w:r>
        <w:rPr>
          <w:rStyle w:val="CharDefText"/>
        </w:rPr>
        <w:t>structural alteration of a lot</w:t>
      </w:r>
      <w:r>
        <w:t xml:space="preserve"> means —</w:t>
      </w:r>
    </w:p>
    <w:p>
      <w:pPr>
        <w:pStyle w:val="Defpara"/>
      </w:pPr>
      <w:r>
        <w:tab/>
        <w:t>(a)</w:t>
      </w:r>
      <w:r>
        <w:tab/>
        <w:t>the erection of a structure within the lot; or</w:t>
      </w:r>
    </w:p>
    <w:p>
      <w:pPr>
        <w:pStyle w:val="Defpara"/>
      </w:pPr>
      <w:r>
        <w:tab/>
        <w:t>(b)</w:t>
      </w:r>
      <w:r>
        <w:tab/>
        <w:t>an alteration of a structural kind to, or extension of, a structure within the lot;</w:t>
      </w:r>
    </w:p>
    <w:p>
      <w:pPr>
        <w:pStyle w:val="Defstart"/>
      </w:pPr>
      <w:r>
        <w:tab/>
      </w:r>
      <w:r>
        <w:rPr>
          <w:rStyle w:val="CharDefText"/>
        </w:rPr>
        <w:t>structure</w:t>
      </w:r>
      <w:r>
        <w:t xml:space="preserve"> includes anything classified as a structure by the regulations.</w:t>
      </w:r>
    </w:p>
    <w:p>
      <w:pPr>
        <w:pStyle w:val="Footnotesection"/>
      </w:pPr>
      <w:r>
        <w:tab/>
        <w:t>[Section 86 inserted: No. 30 of 2018 s. 83.]</w:t>
      </w:r>
    </w:p>
    <w:p>
      <w:pPr>
        <w:pStyle w:val="Heading5"/>
        <w:rPr>
          <w:snapToGrid w:val="0"/>
        </w:rPr>
      </w:pPr>
      <w:bookmarkStart w:id="299" w:name="_Toc106986702"/>
      <w:bookmarkStart w:id="300" w:name="_Toc100565000"/>
      <w:r>
        <w:rPr>
          <w:rStyle w:val="CharSectno"/>
        </w:rPr>
        <w:t>87</w:t>
      </w:r>
      <w:r>
        <w:rPr>
          <w:snapToGrid w:val="0"/>
        </w:rPr>
        <w:t>.</w:t>
      </w:r>
      <w:r>
        <w:rPr>
          <w:snapToGrid w:val="0"/>
        </w:rPr>
        <w:tab/>
        <w:t>Structural alteration of lot in strata scheme</w:t>
      </w:r>
      <w:bookmarkEnd w:id="299"/>
      <w:bookmarkEnd w:id="300"/>
    </w:p>
    <w:p>
      <w:pPr>
        <w:pStyle w:val="Subsection"/>
      </w:pPr>
      <w:r>
        <w:tab/>
        <w:t>(1)</w:t>
      </w:r>
      <w:r>
        <w:tab/>
        <w:t>The owner of a lot in a 2</w:t>
      </w:r>
      <w:r>
        <w:noBreakHyphen/>
        <w:t>lot scheme that is a strata scheme must not cause or permit the structural alteration of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pPr>
      <w:r>
        <w:tab/>
        <w:t>(2)</w:t>
      </w:r>
      <w:r>
        <w:tab/>
        <w:t>The owner of a lot in a strata scheme, other than a 2</w:t>
      </w:r>
      <w:r>
        <w:noBreakHyphen/>
        <w:t>lot scheme, must not cause or permit the structural alteration of the lot except —</w:t>
      </w:r>
    </w:p>
    <w:p>
      <w:pPr>
        <w:pStyle w:val="Indenta"/>
      </w:pPr>
      <w:r>
        <w:tab/>
        <w:t>(a)</w:t>
      </w:r>
      <w:r>
        <w:tab/>
        <w:t>with the prior approval, expressed by resolution without dissent, of the strata company and, for a leasehold scheme, the prior written approval of the owner of the leasehold scheme; or</w:t>
      </w:r>
    </w:p>
    <w:p>
      <w:pPr>
        <w:pStyle w:val="Indenta"/>
      </w:pPr>
      <w:r>
        <w:tab/>
        <w:t>(b)</w:t>
      </w:r>
      <w:r>
        <w:tab/>
        <w:t>if —</w:t>
      </w:r>
    </w:p>
    <w:p>
      <w:pPr>
        <w:pStyle w:val="Indenti"/>
      </w:pPr>
      <w:r>
        <w:tab/>
        <w:t>(i)</w:t>
      </w:r>
      <w:r>
        <w:tab/>
        <w:t>the prior written approval to the structural alteration has been given by the owner of each lot in the scheme, and, for a leasehold scheme, the owner of the leasehold scheme; and</w:t>
      </w:r>
    </w:p>
    <w:p>
      <w:pPr>
        <w:pStyle w:val="Indenti"/>
      </w:pPr>
      <w:r>
        <w:tab/>
        <w:t>(ii)</w:t>
      </w:r>
      <w:r>
        <w:tab/>
        <w:t>all approvals are either unconditional or are subject to the same conditions; and</w:t>
      </w:r>
    </w:p>
    <w:p>
      <w:pPr>
        <w:pStyle w:val="Indenti"/>
      </w:pPr>
      <w:r>
        <w:tab/>
        <w:t>(iii)</w:t>
      </w:r>
      <w:r>
        <w:tab/>
        <w:t>a copy of each approval is served on the strata company.</w:t>
      </w:r>
    </w:p>
    <w:p>
      <w:pPr>
        <w:pStyle w:val="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Subsection"/>
        <w:keepNext/>
        <w:rPr>
          <w:snapToGrid w:val="0"/>
        </w:rPr>
      </w:pPr>
      <w:r>
        <w:rPr>
          <w:snapToGrid w:val="0"/>
        </w:rPr>
        <w:tab/>
        <w:t>(4)</w:t>
      </w:r>
      <w:r>
        <w:rPr>
          <w:snapToGrid w:val="0"/>
        </w:rPr>
        <w:tab/>
      </w:r>
      <w:r>
        <w:t>If an application is made to a strata company under this section —</w:t>
      </w:r>
    </w:p>
    <w:p>
      <w:pPr>
        <w:pStyle w:val="Indenta"/>
      </w:pPr>
      <w:r>
        <w:tab/>
        <w:t>(a)</w:t>
      </w:r>
      <w:r>
        <w:tab/>
        <w:t>notice of the proposed resolution on the application must contain or be accompanied by a statement, in the approved form, of the effect of paragraphs (c) and (d); and</w:t>
      </w:r>
    </w:p>
    <w:p>
      <w:pPr>
        <w:pStyle w:val="Indenta"/>
      </w:pPr>
      <w:r>
        <w:tab/>
        <w:t>(b)</w:t>
      </w:r>
      <w:r>
        <w:tab/>
        <w:t>if a vote on the resolution is taken at a general meeting, the chairperson must, before the vote is taken, read out the statement referred to in paragraph (a); and</w:t>
      </w:r>
    </w:p>
    <w:p>
      <w:pPr>
        <w:pStyle w:val="Indenta"/>
        <w:keepNext/>
        <w:spacing w:before="60"/>
        <w:rPr>
          <w:snapToGrid w:val="0"/>
        </w:rPr>
      </w:pPr>
      <w:r>
        <w:rPr>
          <w:snapToGrid w:val="0"/>
        </w:rPr>
        <w:tab/>
        <w:t>(c)</w:t>
      </w:r>
      <w:r>
        <w:rPr>
          <w:snapToGrid w:val="0"/>
        </w:rPr>
        <w:tab/>
      </w:r>
      <w:r>
        <w:t>the vote for a lot may be cast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 xml:space="preserve">on </w:t>
      </w:r>
      <w:r>
        <w:t>a ground</w:t>
      </w:r>
      <w:r>
        <w:rPr>
          <w:snapToGrid w:val="0"/>
        </w:rPr>
        <w:t xml:space="preserve"> permitted by subsection (5), but not otherwise; and</w:t>
      </w:r>
    </w:p>
    <w:p>
      <w:pPr>
        <w:pStyle w:val="Indenta"/>
        <w:rPr>
          <w:snapToGrid w:val="0"/>
        </w:rPr>
      </w:pPr>
      <w:r>
        <w:rPr>
          <w:snapToGrid w:val="0"/>
        </w:rPr>
        <w:tab/>
        <w:t>(d)</w:t>
      </w:r>
      <w:r>
        <w:rPr>
          <w:snapToGrid w:val="0"/>
        </w:rPr>
        <w:tab/>
        <w:t xml:space="preserve">a vote referred to in paragraph (c) is of no effect unless the person casting the vote discloses as a ground for </w:t>
      </w:r>
      <w:r>
        <w:t xml:space="preserve">the person’s vote 1 </w:t>
      </w:r>
      <w:r>
        <w:rPr>
          <w:snapToGrid w:val="0"/>
        </w:rPr>
        <w:t>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 xml:space="preserve">that the carrying out of the proposal will breach the plot ratio restrictions or open space requirements for the </w:t>
      </w:r>
      <w:r>
        <w:t>lot;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 xml:space="preserve">may interfere with </w:t>
      </w:r>
      <w:r>
        <w:t>a statutory easement;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any other ground </w:t>
      </w:r>
      <w:r>
        <w:t>specified in the regulations.</w:t>
      </w:r>
    </w:p>
    <w:p>
      <w:pPr>
        <w:pStyle w:val="Ednotesubsection"/>
        <w:keepNext/>
      </w:pPr>
      <w:r>
        <w:tab/>
        <w:t>[(6)</w:t>
      </w:r>
      <w:r>
        <w:tab/>
        <w:t>deleted]</w:t>
      </w:r>
    </w:p>
    <w:p>
      <w:pPr>
        <w:pStyle w:val="Footnotesection"/>
        <w:rPr>
          <w:szCs w:val="24"/>
        </w:rPr>
      </w:pPr>
      <w:r>
        <w:rPr>
          <w:szCs w:val="24"/>
        </w:rPr>
        <w:tab/>
        <w:t>[Section 87, formerly section 7, inserted: No. 58 of 1995 s. 13; amended, renumbered as section 87 and relocated: No. 30 of 2018 s. 10 and 84.]</w:t>
      </w:r>
    </w:p>
    <w:p>
      <w:pPr>
        <w:pStyle w:val="Heading5"/>
        <w:rPr>
          <w:snapToGrid w:val="0"/>
        </w:rPr>
      </w:pPr>
      <w:bookmarkStart w:id="301" w:name="_Toc106986703"/>
      <w:bookmarkStart w:id="302" w:name="_Toc100565001"/>
      <w:r>
        <w:rPr>
          <w:rStyle w:val="CharSectno"/>
        </w:rPr>
        <w:t>88</w:t>
      </w:r>
      <w:r>
        <w:rPr>
          <w:snapToGrid w:val="0"/>
        </w:rPr>
        <w:t>.</w:t>
      </w:r>
      <w:r>
        <w:rPr>
          <w:snapToGrid w:val="0"/>
        </w:rPr>
        <w:tab/>
        <w:t>Structural alteration of lot in survey</w:t>
      </w:r>
      <w:r>
        <w:rPr>
          <w:snapToGrid w:val="0"/>
        </w:rPr>
        <w:noBreakHyphen/>
        <w:t>strata scheme</w:t>
      </w:r>
      <w:bookmarkEnd w:id="301"/>
      <w:bookmarkEnd w:id="302"/>
    </w:p>
    <w:p>
      <w:pPr>
        <w:pStyle w:val="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Indenta"/>
      </w:pPr>
      <w:r>
        <w:tab/>
        <w:t>(a)</w:t>
      </w:r>
      <w:r>
        <w:tab/>
        <w:t>the owner of the other lot; and</w:t>
      </w:r>
    </w:p>
    <w:p>
      <w:pPr>
        <w:pStyle w:val="Indenta"/>
      </w:pPr>
      <w:r>
        <w:tab/>
        <w:t>(b)</w:t>
      </w:r>
      <w:r>
        <w:tab/>
        <w:t>for a leasehold scheme, the owner of the leasehold scheme.</w:t>
      </w:r>
    </w:p>
    <w:p>
      <w:pPr>
        <w:pStyle w:val="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Indenta"/>
      </w:pPr>
      <w:r>
        <w:tab/>
        <w:t>(a)</w:t>
      </w:r>
      <w:r>
        <w:tab/>
        <w:t>the prior approval of the strata company, expressed by resolution without dissent; and</w:t>
      </w:r>
    </w:p>
    <w:p>
      <w:pPr>
        <w:pStyle w:val="Indenta"/>
      </w:pPr>
      <w:r>
        <w:tab/>
        <w:t>(b)</w:t>
      </w:r>
      <w:r>
        <w:tab/>
        <w:t>for a leasehold scheme, the prior written approval of the owner of the leasehold scheme.</w:t>
      </w:r>
    </w:p>
    <w:p>
      <w:pPr>
        <w:pStyle w:val="Footnotesection"/>
      </w:pPr>
      <w:r>
        <w:tab/>
        <w:t>[Section 88 inserted: No. 30 of 2018 s. 83.]</w:t>
      </w:r>
    </w:p>
    <w:p>
      <w:pPr>
        <w:pStyle w:val="Heading5"/>
        <w:rPr>
          <w:snapToGrid w:val="0"/>
        </w:rPr>
      </w:pPr>
      <w:bookmarkStart w:id="303" w:name="_Toc106986704"/>
      <w:bookmarkStart w:id="304" w:name="_Toc100565002"/>
      <w:r>
        <w:rPr>
          <w:rStyle w:val="CharSectno"/>
        </w:rPr>
        <w:t>89</w:t>
      </w:r>
      <w:r>
        <w:rPr>
          <w:snapToGrid w:val="0"/>
        </w:rPr>
        <w:t>.</w:t>
      </w:r>
      <w:r>
        <w:rPr>
          <w:snapToGrid w:val="0"/>
        </w:rPr>
        <w:tab/>
        <w:t>Approvals and objections to structural alterations</w:t>
      </w:r>
      <w:bookmarkEnd w:id="303"/>
      <w:bookmarkEnd w:id="304"/>
    </w:p>
    <w:p>
      <w:pPr>
        <w:pStyle w:val="Subsection"/>
      </w:pPr>
      <w:r>
        <w:tab/>
        <w:t>(1)</w:t>
      </w:r>
      <w:r>
        <w:tab/>
        <w:t>An application for the approval of the structural alteration of a lot must set out details of the proposal and such other information as may be prescribed.</w:t>
      </w:r>
    </w:p>
    <w:p>
      <w:pPr>
        <w:pStyle w:val="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Indenta"/>
        <w:rPr>
          <w:snapToGrid w:val="0"/>
        </w:rPr>
      </w:pPr>
      <w:r>
        <w:rPr>
          <w:snapToGrid w:val="0"/>
        </w:rPr>
        <w:tab/>
        <w:t>(b)</w:t>
      </w:r>
      <w:r>
        <w:rPr>
          <w:snapToGrid w:val="0"/>
        </w:rPr>
        <w:tab/>
        <w:t>the owner has not, at the end of 42 days after being given the application, made a written objection to the alteration; or</w:t>
      </w:r>
    </w:p>
    <w:p>
      <w:pPr>
        <w:pStyle w:val="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Indenta"/>
        <w:rPr>
          <w:snapToGrid w:val="0"/>
        </w:rPr>
      </w:pPr>
      <w:r>
        <w:rPr>
          <w:snapToGrid w:val="0"/>
        </w:rPr>
        <w:tab/>
        <w:t>(b)</w:t>
      </w:r>
      <w:r>
        <w:rPr>
          <w:snapToGrid w:val="0"/>
        </w:rPr>
        <w:tab/>
        <w:t>despite section 87(2) —</w:t>
      </w:r>
    </w:p>
    <w:p>
      <w:pPr>
        <w:pStyle w:val="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Indenti"/>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Ednotesubsection"/>
        <w:keepNext/>
        <w:keepLines/>
      </w:pPr>
      <w:r>
        <w:tab/>
        <w:t>[(7)</w:t>
      </w:r>
      <w:r>
        <w:tab/>
        <w:t>deleted]</w:t>
      </w:r>
    </w:p>
    <w:p>
      <w:pPr>
        <w:pStyle w:val="Footnotesection"/>
      </w:pPr>
      <w:r>
        <w:tab/>
        <w:t>[Section 89, formerly section 7B, inserted: No. 58 of 1995 s. 13; amended, renumbered as section 89 and relocated: No. 30 of 2018 s. 11 and 84.]</w:t>
      </w:r>
    </w:p>
    <w:p>
      <w:pPr>
        <w:pStyle w:val="Heading5"/>
      </w:pPr>
      <w:bookmarkStart w:id="305" w:name="_Toc106986705"/>
      <w:bookmarkStart w:id="306" w:name="_Toc100565003"/>
      <w:r>
        <w:rPr>
          <w:rStyle w:val="CharSectno"/>
        </w:rPr>
        <w:t>90</w:t>
      </w:r>
      <w:r>
        <w:t>.</w:t>
      </w:r>
      <w:r>
        <w:tab/>
        <w:t>Order dispensing with approval for structural alteration of lot</w:t>
      </w:r>
      <w:bookmarkEnd w:id="305"/>
      <w:bookmarkEnd w:id="306"/>
    </w:p>
    <w:p>
      <w:pPr>
        <w:pStyle w:val="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Subsection"/>
        <w:rPr>
          <w:snapToGrid w:val="0"/>
        </w:rPr>
      </w:pPr>
      <w:r>
        <w:rPr>
          <w:snapToGrid w:val="0"/>
        </w:rPr>
        <w:tab/>
        <w:t>(2)</w:t>
      </w:r>
      <w:r>
        <w:rPr>
          <w:snapToGrid w:val="0"/>
        </w:rPr>
        <w:tab/>
        <w:t>An order may be made under this section —</w:t>
      </w:r>
    </w:p>
    <w:p>
      <w:pPr>
        <w:pStyle w:val="Indenta"/>
      </w:pPr>
      <w:r>
        <w:tab/>
        <w:t>(a)</w:t>
      </w:r>
      <w:r>
        <w:tab/>
        <w:t>whether or not the necessary approval for the alteration has been sought; and</w:t>
      </w:r>
    </w:p>
    <w:p>
      <w:pPr>
        <w:pStyle w:val="Indenta"/>
      </w:pPr>
      <w:r>
        <w:tab/>
        <w:t>(b)</w:t>
      </w:r>
      <w:r>
        <w:tab/>
        <w:t>even if there has been a valid refusal to give the necessary approval.</w:t>
      </w:r>
    </w:p>
    <w:p>
      <w:pPr>
        <w:pStyle w:val="Subsection"/>
        <w:rPr>
          <w:snapToGrid w:val="0"/>
        </w:rPr>
      </w:pPr>
      <w:r>
        <w:rPr>
          <w:snapToGrid w:val="0"/>
        </w:rPr>
        <w:tab/>
        <w:t>(3)</w:t>
      </w:r>
      <w:r>
        <w:rPr>
          <w:snapToGrid w:val="0"/>
        </w:rPr>
        <w:tab/>
        <w:t>An order can only be made under this section if the Tribunal is satisfied —</w:t>
      </w:r>
    </w:p>
    <w:p>
      <w:pPr>
        <w:pStyle w:val="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Indenta"/>
      </w:pPr>
      <w:r>
        <w:tab/>
        <w:t>(b)</w:t>
      </w:r>
      <w:r>
        <w:tab/>
        <w:t>to the extent that the structural alteration has already been carried out, it will not cause any significant inconvenience or detriment to the owners of other lots.</w:t>
      </w:r>
    </w:p>
    <w:p>
      <w:pPr>
        <w:pStyle w:val="Footnotesection"/>
      </w:pPr>
      <w:r>
        <w:tab/>
        <w:t>[Section 90 inserted: No. 30 of 2018 s. 83.]</w:t>
      </w:r>
    </w:p>
    <w:p>
      <w:pPr>
        <w:pStyle w:val="Heading2"/>
      </w:pPr>
      <w:bookmarkStart w:id="307" w:name="_Toc106986270"/>
      <w:bookmarkStart w:id="308" w:name="_Toc106986706"/>
      <w:bookmarkStart w:id="309" w:name="_Toc100308284"/>
      <w:bookmarkStart w:id="310" w:name="_Toc100308720"/>
      <w:bookmarkStart w:id="311" w:name="_Toc100565004"/>
      <w:r>
        <w:rPr>
          <w:rStyle w:val="CharPartNo"/>
        </w:rPr>
        <w:t>Part 8</w:t>
      </w:r>
      <w:r>
        <w:rPr>
          <w:b w:val="0"/>
        </w:rPr>
        <w:t> </w:t>
      </w:r>
      <w:r>
        <w:t>—</w:t>
      </w:r>
      <w:r>
        <w:rPr>
          <w:b w:val="0"/>
        </w:rPr>
        <w:t> </w:t>
      </w:r>
      <w:r>
        <w:rPr>
          <w:rStyle w:val="CharPartText"/>
        </w:rPr>
        <w:t>Strata company</w:t>
      </w:r>
      <w:bookmarkEnd w:id="307"/>
      <w:bookmarkEnd w:id="308"/>
      <w:bookmarkEnd w:id="309"/>
      <w:bookmarkEnd w:id="310"/>
      <w:bookmarkEnd w:id="311"/>
    </w:p>
    <w:p>
      <w:pPr>
        <w:pStyle w:val="Footnoteheading"/>
      </w:pPr>
      <w:r>
        <w:tab/>
        <w:t>[Heading inserted: No. 30 of 2018 s. 83.]</w:t>
      </w:r>
    </w:p>
    <w:p>
      <w:pPr>
        <w:pStyle w:val="Heading3"/>
      </w:pPr>
      <w:bookmarkStart w:id="312" w:name="_Toc106986271"/>
      <w:bookmarkStart w:id="313" w:name="_Toc106986707"/>
      <w:bookmarkStart w:id="314" w:name="_Toc100308285"/>
      <w:bookmarkStart w:id="315" w:name="_Toc100308721"/>
      <w:bookmarkStart w:id="316" w:name="_Toc100565005"/>
      <w:r>
        <w:rPr>
          <w:rStyle w:val="CharDivNo"/>
        </w:rPr>
        <w:t>Division 1</w:t>
      </w:r>
      <w:r>
        <w:t> — </w:t>
      </w:r>
      <w:r>
        <w:rPr>
          <w:rStyle w:val="CharDivText"/>
        </w:rPr>
        <w:t>Functions</w:t>
      </w:r>
      <w:bookmarkEnd w:id="312"/>
      <w:bookmarkEnd w:id="313"/>
      <w:bookmarkEnd w:id="314"/>
      <w:bookmarkEnd w:id="315"/>
      <w:bookmarkEnd w:id="316"/>
    </w:p>
    <w:p>
      <w:pPr>
        <w:pStyle w:val="Footnoteheading"/>
      </w:pPr>
      <w:r>
        <w:tab/>
        <w:t>[Heading inserted: No. 30 of 2018 s. 83.]</w:t>
      </w:r>
    </w:p>
    <w:p>
      <w:pPr>
        <w:pStyle w:val="Heading4"/>
        <w:rPr>
          <w:snapToGrid w:val="0"/>
        </w:rPr>
      </w:pPr>
      <w:bookmarkStart w:id="317" w:name="_Toc106986272"/>
      <w:bookmarkStart w:id="318" w:name="_Toc106986708"/>
      <w:bookmarkStart w:id="319" w:name="_Toc100308286"/>
      <w:bookmarkStart w:id="320" w:name="_Toc100308722"/>
      <w:bookmarkStart w:id="321" w:name="_Toc100565006"/>
      <w:r>
        <w:t>Subdivision 1 —</w:t>
      </w:r>
      <w:r>
        <w:rPr>
          <w:snapToGrid w:val="0"/>
        </w:rPr>
        <w:t> Property</w:t>
      </w:r>
      <w:bookmarkEnd w:id="317"/>
      <w:bookmarkEnd w:id="318"/>
      <w:bookmarkEnd w:id="319"/>
      <w:bookmarkEnd w:id="320"/>
      <w:bookmarkEnd w:id="321"/>
    </w:p>
    <w:p>
      <w:pPr>
        <w:pStyle w:val="Footnoteheading"/>
      </w:pPr>
      <w:r>
        <w:tab/>
        <w:t>[Heading inserted: No. 30 of 2018 s. 83.]</w:t>
      </w:r>
    </w:p>
    <w:p>
      <w:pPr>
        <w:pStyle w:val="Heading5"/>
        <w:rPr>
          <w:snapToGrid w:val="0"/>
        </w:rPr>
      </w:pPr>
      <w:bookmarkStart w:id="322" w:name="_Toc106986709"/>
      <w:bookmarkStart w:id="323" w:name="_Toc100565007"/>
      <w:r>
        <w:rPr>
          <w:rStyle w:val="CharSectno"/>
        </w:rPr>
        <w:t>91</w:t>
      </w:r>
      <w:r>
        <w:rPr>
          <w:snapToGrid w:val="0"/>
        </w:rPr>
        <w:t>.</w:t>
      </w:r>
      <w:r>
        <w:rPr>
          <w:snapToGrid w:val="0"/>
        </w:rPr>
        <w:tab/>
        <w:t>General duty</w:t>
      </w:r>
      <w:bookmarkEnd w:id="322"/>
      <w:bookmarkEnd w:id="323"/>
    </w:p>
    <w:p>
      <w:pPr>
        <w:pStyle w:val="Subsection"/>
        <w:keepNext/>
      </w:pPr>
      <w:r>
        <w:tab/>
        <w:t>(1)</w:t>
      </w:r>
      <w:r>
        <w:tab/>
        <w:t xml:space="preserve">A strata </w:t>
      </w:r>
      <w:r>
        <w:rPr>
          <w:snapToGrid w:val="0"/>
        </w:rPr>
        <w:t>company</w:t>
      </w:r>
      <w:r>
        <w:t xml:space="preserve"> must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control and manage the common property for the benefit of all the </w:t>
      </w:r>
      <w:r>
        <w:t>owners of lots; and</w:t>
      </w:r>
    </w:p>
    <w:p>
      <w:pPr>
        <w:pStyle w:val="Indenta"/>
        <w:keepNext/>
        <w:rPr>
          <w:snapToGrid w:val="0"/>
        </w:rPr>
      </w:pPr>
      <w:r>
        <w:rPr>
          <w:snapToGrid w:val="0"/>
        </w:rPr>
        <w:tab/>
        <w:t>(c)</w:t>
      </w:r>
      <w:r>
        <w:rPr>
          <w:snapToGrid w:val="0"/>
        </w:rPr>
        <w:tab/>
        <w:t xml:space="preserve">keep in good and serviceable repair, properly maintain and, </w:t>
      </w:r>
      <w:r>
        <w:t>if</w:t>
      </w:r>
      <w:r>
        <w:rPr>
          <w:snapToGrid w:val="0"/>
        </w:rPr>
        <w:t xml:space="preserv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 xml:space="preserve">any personal property </w:t>
      </w:r>
      <w:r>
        <w:t>owned by</w:t>
      </w:r>
      <w:r>
        <w:rPr>
          <w:snapToGrid w:val="0"/>
          <w:spacing w:val="-4"/>
        </w:rPr>
        <w:t xml:space="preserve"> the strata company,</w:t>
      </w:r>
    </w:p>
    <w:p>
      <w:pPr>
        <w:pStyle w:val="Indenta"/>
        <w:rPr>
          <w:snapToGrid w:val="0"/>
          <w:spacing w:val="-4"/>
        </w:rPr>
      </w:pPr>
      <w:r>
        <w:rPr>
          <w:snapToGrid w:val="0"/>
          <w:spacing w:val="-4"/>
        </w:rPr>
        <w:tab/>
      </w:r>
      <w:r>
        <w:rPr>
          <w:snapToGrid w:val="0"/>
          <w:spacing w:val="-4"/>
        </w:rPr>
        <w:tab/>
        <w:t xml:space="preserve">and to do so whether damage or deterioration arises from fair wear and tear, inherent defect or any other </w:t>
      </w:r>
      <w:r>
        <w:t>cause.</w:t>
      </w:r>
    </w:p>
    <w:p>
      <w:pPr>
        <w:pStyle w:val="Ednotepara"/>
        <w:spacing w:before="80"/>
        <w:rPr>
          <w:snapToGrid w:val="0"/>
        </w:rPr>
      </w:pPr>
      <w:r>
        <w:rPr>
          <w:snapToGrid w:val="0"/>
        </w:rPr>
        <w:tab/>
        <w:t>[(d)-(k)</w:t>
      </w:r>
      <w:r>
        <w:rPr>
          <w:snapToGrid w:val="0"/>
        </w:rPr>
        <w:tab/>
        <w:t>deleted]</w:t>
      </w:r>
    </w:p>
    <w:p>
      <w:pPr>
        <w:pStyle w:val="Subsection"/>
      </w:pPr>
      <w:r>
        <w:tab/>
        <w:t>(2)</w:t>
      </w:r>
      <w:r>
        <w:tab/>
        <w:t>A strata company may improve or alter the common property in a manner that goes beyond what is required under subsection (1).</w:t>
      </w:r>
    </w:p>
    <w:p>
      <w:pPr>
        <w:pStyle w:val="PermNoteHeading"/>
      </w:pPr>
      <w:r>
        <w:tab/>
        <w:t>Note for this subsection:</w:t>
      </w:r>
    </w:p>
    <w:p>
      <w:pPr>
        <w:pStyle w:val="PermNoteText"/>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Subsection"/>
      </w:pPr>
      <w:r>
        <w:tab/>
        <w:t>(3)</w:t>
      </w:r>
      <w:r>
        <w:tab/>
        <w:t>A strata company may sue and be sued for rights and liabilities related to the common property in the strata titles scheme as if it were the owner and occupier of the common property.</w:t>
      </w:r>
    </w:p>
    <w:p>
      <w:pPr>
        <w:pStyle w:val="Footnotesection"/>
      </w:pPr>
      <w:r>
        <w:tab/>
        <w:t>[Section 91, formerly section 35, amended: No. 58 of 1995 s. 37, 94 and 95; No. 14 of 1996 s. 4; amended, renumbered as section 91 and relocated: No. 30 of 2018 s. 47 and 84.]</w:t>
      </w:r>
    </w:p>
    <w:p>
      <w:pPr>
        <w:pStyle w:val="Heading5"/>
        <w:rPr>
          <w:snapToGrid w:val="0"/>
        </w:rPr>
      </w:pPr>
      <w:bookmarkStart w:id="324" w:name="_Toc106986710"/>
      <w:bookmarkStart w:id="325" w:name="_Toc100565008"/>
      <w:r>
        <w:rPr>
          <w:rStyle w:val="CharSectno"/>
        </w:rPr>
        <w:t>92</w:t>
      </w:r>
      <w:r>
        <w:t>.</w:t>
      </w:r>
      <w:r>
        <w:rPr>
          <w:snapToGrid w:val="0"/>
        </w:rPr>
        <w:tab/>
        <w:t>Temporary common property</w:t>
      </w:r>
      <w:bookmarkEnd w:id="324"/>
      <w:bookmarkEnd w:id="325"/>
    </w:p>
    <w:p>
      <w:pPr>
        <w:pStyle w:val="Subsection"/>
        <w:rPr>
          <w:snapToGrid w:val="0"/>
        </w:rPr>
      </w:pPr>
      <w:r>
        <w:rPr>
          <w:snapToGrid w:val="0"/>
        </w:rPr>
        <w:tab/>
        <w:t>(1)</w:t>
      </w:r>
      <w:r>
        <w:rPr>
          <w:snapToGrid w:val="0"/>
        </w:rPr>
        <w:tab/>
        <w:t>A strata company may, by resolution without dissent, for the purpose of creating temporary common property —</w:t>
      </w:r>
    </w:p>
    <w:p>
      <w:pPr>
        <w:pStyle w:val="Indenta"/>
      </w:pPr>
      <w:r>
        <w:tab/>
        <w:t>(a)</w:t>
      </w:r>
      <w:r>
        <w:tab/>
        <w:t>for a freehold scheme — accept a lease of a lot in the scheme or of land that is contiguous to the parcel or separated only by a road, railway or waterway; and</w:t>
      </w:r>
    </w:p>
    <w:p>
      <w:pPr>
        <w:pStyle w:val="Indenta"/>
      </w:pPr>
      <w:r>
        <w:tab/>
        <w:t>(b)</w:t>
      </w:r>
      <w:r>
        <w:tab/>
        <w:t>for a leasehold scheme — accept a lease (that expires on or before the expiry day for the scheme) of a lot in the scheme or of land that is contiguous to the parcel or separated only by a road, railway or waterway.</w:t>
      </w:r>
    </w:p>
    <w:p>
      <w:pPr>
        <w:pStyle w:val="Subsection"/>
        <w:rPr>
          <w:snapToGrid w:val="0"/>
        </w:rPr>
      </w:pPr>
      <w:r>
        <w:rPr>
          <w:snapToGrid w:val="0"/>
        </w:rPr>
        <w:tab/>
        <w:t>(2)</w:t>
      </w:r>
      <w:r>
        <w:rPr>
          <w:snapToGrid w:val="0"/>
        </w:rPr>
        <w:tab/>
        <w:t>Except as provided in the regulations, the land that is leased must not be subject to a designated interest.</w:t>
      </w:r>
    </w:p>
    <w:p>
      <w:pPr>
        <w:pStyle w:val="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Subsection"/>
        <w:rPr>
          <w:snapToGrid w:val="0"/>
        </w:rPr>
      </w:pPr>
      <w:r>
        <w:rPr>
          <w:snapToGrid w:val="0"/>
        </w:rPr>
        <w:tab/>
        <w:t>(4)</w:t>
      </w:r>
      <w:r>
        <w:rPr>
          <w:snapToGrid w:val="0"/>
        </w:rPr>
        <w:tab/>
        <w:t>If a resolution is passed under this section, the strata company may enter into the necessary transaction in its own name.</w:t>
      </w:r>
    </w:p>
    <w:p>
      <w:pPr>
        <w:pStyle w:val="Footnotesection"/>
      </w:pPr>
      <w:r>
        <w:tab/>
        <w:t>[Section 92 inserted: No. 30 of 2018 s. 83.]</w:t>
      </w:r>
    </w:p>
    <w:p>
      <w:pPr>
        <w:pStyle w:val="Heading5"/>
      </w:pPr>
      <w:bookmarkStart w:id="326" w:name="_Toc106986711"/>
      <w:bookmarkStart w:id="327" w:name="_Toc100565009"/>
      <w:r>
        <w:rPr>
          <w:rStyle w:val="CharSectno"/>
        </w:rPr>
        <w:t>93</w:t>
      </w:r>
      <w:r>
        <w:t>.</w:t>
      </w:r>
      <w:r>
        <w:tab/>
        <w:t>Transactions affecting common property or parcel</w:t>
      </w:r>
      <w:bookmarkEnd w:id="326"/>
      <w:bookmarkEnd w:id="327"/>
    </w:p>
    <w:p>
      <w:pPr>
        <w:pStyle w:val="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Indenta"/>
      </w:pPr>
      <w:r>
        <w:tab/>
        <w:t>(a)</w:t>
      </w:r>
      <w:r>
        <w:tab/>
        <w:t>for a freehold scheme — it were the owner of an estate in fee simple in the land; or</w:t>
      </w:r>
    </w:p>
    <w:p>
      <w:pPr>
        <w:pStyle w:val="Indenta"/>
      </w:pPr>
      <w:r>
        <w:tab/>
        <w:t>(b)</w:t>
      </w:r>
      <w:r>
        <w:tab/>
        <w:t>for a leasehold scheme — it were the owner of a leasehold estate in the land under a registered lease that expires on the expiry day for the scheme.</w:t>
      </w:r>
    </w:p>
    <w:p>
      <w:pPr>
        <w:pStyle w:val="Subsection"/>
        <w:keepNext/>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Indenta"/>
        <w:keepNext/>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mortgage or other encumbrance; and</w:t>
      </w:r>
    </w:p>
    <w:p>
      <w:pPr>
        <w:pStyle w:val="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Indenta"/>
      </w:pPr>
      <w:r>
        <w:tab/>
        <w:t>(b)</w:t>
      </w:r>
      <w:r>
        <w:tab/>
        <w:t>the disposal of land comprising common property (other than temporary common property) in the scheme in connection with a subdivision that is to be given effect by registration of an amendment of the scheme;</w:t>
      </w:r>
    </w:p>
    <w:p>
      <w:pPr>
        <w:pStyle w:val="Indenta"/>
      </w:pPr>
      <w:r>
        <w:tab/>
        <w:t>(c)</w:t>
      </w:r>
      <w:r>
        <w:tab/>
        <w:t>a lease of common property in the scheme;</w:t>
      </w:r>
    </w:p>
    <w:p>
      <w:pPr>
        <w:pStyle w:val="Indenta"/>
      </w:pPr>
      <w:r>
        <w:tab/>
        <w:t>(d)</w:t>
      </w:r>
      <w:r>
        <w:tab/>
        <w:t>the surrender of or re</w:t>
      </w:r>
      <w:r>
        <w:noBreakHyphen/>
        <w:t>entry under a lease of common property in the scheme;</w:t>
      </w:r>
    </w:p>
    <w:p>
      <w:pPr>
        <w:pStyle w:val="Indenta"/>
      </w:pPr>
      <w:r>
        <w:tab/>
        <w:t>(e)</w:t>
      </w:r>
      <w:r>
        <w:tab/>
        <w:t>the execution, acceptance, discharge or surrender of an easement or restrictive covenant burdening or benefiting the parcel.</w:t>
      </w:r>
    </w:p>
    <w:p>
      <w:pPr>
        <w:pStyle w:val="Subsection"/>
        <w:rPr>
          <w:snapToGrid w:val="0"/>
        </w:rPr>
      </w:pPr>
      <w:r>
        <w:rPr>
          <w:snapToGrid w:val="0"/>
        </w:rPr>
        <w:tab/>
        <w:t>(3)</w:t>
      </w:r>
      <w:r>
        <w:rPr>
          <w:snapToGrid w:val="0"/>
        </w:rPr>
        <w:tab/>
        <w:t>The strata company may enter into a transaction to which this section applies if —</w:t>
      </w:r>
    </w:p>
    <w:p>
      <w:pPr>
        <w:pStyle w:val="Indenta"/>
      </w:pPr>
      <w:r>
        <w:tab/>
        <w:t>(a)</w:t>
      </w:r>
      <w:r>
        <w:tab/>
        <w:t>the transaction is authorised by a resolution without dissent; or</w:t>
      </w:r>
    </w:p>
    <w:p>
      <w:pPr>
        <w:pStyle w:val="Indenta"/>
        <w:keepNext/>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PermNoteHeading"/>
      </w:pPr>
      <w:r>
        <w:tab/>
        <w:t>Note for this subsection:</w:t>
      </w:r>
    </w:p>
    <w:p>
      <w:pPr>
        <w:pStyle w:val="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Footnotesection"/>
      </w:pPr>
      <w:r>
        <w:tab/>
        <w:t>[Section 93 inserted: No. 30 of 2018 s. 83.]</w:t>
      </w:r>
    </w:p>
    <w:p>
      <w:pPr>
        <w:pStyle w:val="Heading5"/>
        <w:rPr>
          <w:snapToGrid w:val="0"/>
        </w:rPr>
      </w:pPr>
      <w:bookmarkStart w:id="328" w:name="_Toc106986712"/>
      <w:bookmarkStart w:id="329" w:name="_Toc100565010"/>
      <w:r>
        <w:rPr>
          <w:rStyle w:val="CharSectno"/>
        </w:rPr>
        <w:t>94</w:t>
      </w:r>
      <w:r>
        <w:rPr>
          <w:snapToGrid w:val="0"/>
        </w:rPr>
        <w:t>.</w:t>
      </w:r>
      <w:r>
        <w:rPr>
          <w:snapToGrid w:val="0"/>
        </w:rPr>
        <w:tab/>
        <w:t>Power of strata company to carry out work</w:t>
      </w:r>
      <w:bookmarkEnd w:id="328"/>
      <w:bookmarkEnd w:id="329"/>
    </w:p>
    <w:p>
      <w:pPr>
        <w:pStyle w:val="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Subsection"/>
      </w:pPr>
      <w:r>
        <w:tab/>
        <w:t>(2)</w:t>
      </w:r>
      <w:r>
        <w:tab/>
        <w:t>A strata company may carry out work that an owner or occupier of a lot fails or neglects to carry out if the work is —</w:t>
      </w:r>
    </w:p>
    <w:p>
      <w:pPr>
        <w:pStyle w:val="Indenta"/>
      </w:pPr>
      <w:r>
        <w:tab/>
        <w:t>(a)</w:t>
      </w:r>
      <w:r>
        <w:tab/>
        <w:t>required to be carried out by that person under a term or condition of exclusive use by</w:t>
      </w:r>
      <w:r>
        <w:noBreakHyphen/>
        <w:t>laws; or</w:t>
      </w:r>
    </w:p>
    <w:p>
      <w:pPr>
        <w:pStyle w:val="Indenta"/>
      </w:pPr>
      <w:r>
        <w:tab/>
        <w:t>(b)</w:t>
      </w:r>
      <w:r>
        <w:tab/>
        <w:t>necessary to remedy a contravention of a duty that the person has under a statutory easement.</w:t>
      </w:r>
    </w:p>
    <w:p>
      <w:pPr>
        <w:pStyle w:val="Subsection"/>
        <w:rPr>
          <w:snapToGrid w:val="0"/>
          <w:spacing w:val="-4"/>
        </w:rPr>
      </w:pPr>
      <w:r>
        <w:rPr>
          <w:snapToGrid w:val="0"/>
          <w:spacing w:val="-4"/>
        </w:rPr>
        <w:tab/>
        <w:t>(3)</w:t>
      </w:r>
      <w:r>
        <w:rPr>
          <w:snapToGrid w:val="0"/>
          <w:spacing w:val="-4"/>
        </w:rPr>
        <w:tab/>
      </w:r>
      <w:r>
        <w:t>If an owner</w:t>
      </w:r>
      <w:r>
        <w:rPr>
          <w:snapToGrid w:val="0"/>
          <w:spacing w:val="-4"/>
        </w:rPr>
        <w:t xml:space="preserve"> or occupier of a lot fails or neglects to carry out work on or in relation to that lot required to be carried out by order of a court or tribunal, the strata company may carry out the work specified in the order.</w:t>
      </w:r>
    </w:p>
    <w:p>
      <w:pPr>
        <w:pStyle w:val="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Indenta"/>
      </w:pPr>
      <w:r>
        <w:tab/>
        <w:t>(a)</w:t>
      </w:r>
      <w:r>
        <w:tab/>
        <w:t>from the owner or occupier referred to in subsection (1) or (2); or</w:t>
      </w:r>
    </w:p>
    <w:p>
      <w:pPr>
        <w:pStyle w:val="Indenta"/>
      </w:pPr>
      <w:r>
        <w:tab/>
        <w:t>(b)</w:t>
      </w:r>
      <w:r>
        <w:tab/>
        <w:t>if the work is carried out under —</w:t>
      </w:r>
    </w:p>
    <w:p>
      <w:pPr>
        <w:pStyle w:val="Indenti"/>
      </w:pPr>
      <w:r>
        <w:tab/>
        <w:t>(i)</w:t>
      </w:r>
      <w:r>
        <w:tab/>
        <w:t>subsection (1), from a person who, after the work is carried out, becomes the owner of the lot on or in relation to which the work was carried out; or</w:t>
      </w:r>
    </w:p>
    <w:p>
      <w:pPr>
        <w:pStyle w:val="Indenti"/>
      </w:pPr>
      <w:r>
        <w:tab/>
        <w:t>(ii)</w:t>
      </w:r>
      <w:r>
        <w:tab/>
        <w:t>subsection (2), from a person who, after the work is carried out, becomes the owner of the lot referred to in subsection (2).</w:t>
      </w:r>
    </w:p>
    <w:p>
      <w:pPr>
        <w:pStyle w:val="Subsection"/>
        <w:rPr>
          <w:snapToGrid w:val="0"/>
        </w:rPr>
      </w:pPr>
      <w:r>
        <w:rPr>
          <w:snapToGrid w:val="0"/>
        </w:rPr>
        <w:tab/>
        <w:t>(5)</w:t>
      </w:r>
      <w:r>
        <w:rPr>
          <w:snapToGrid w:val="0"/>
        </w:rPr>
        <w:tab/>
      </w:r>
      <w:r>
        <w:t>If</w:t>
      </w:r>
      <w:r>
        <w:rPr>
          <w:snapToGrid w:val="0"/>
        </w:rPr>
        <w:t xml:space="preserv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Footnotesection"/>
      </w:pPr>
      <w:r>
        <w:tab/>
        <w:t>[Section 94, formerly section 38, amended: No. 14 of 1996 s. 4; No. 55 of 2004 s. 1119; amended, renumbered as section 94 and relocated: No. 30 of 2018 s. 51 and 84.]</w:t>
      </w:r>
    </w:p>
    <w:p>
      <w:pPr>
        <w:pStyle w:val="Heading5"/>
        <w:rPr>
          <w:snapToGrid w:val="0"/>
        </w:rPr>
      </w:pPr>
      <w:bookmarkStart w:id="330" w:name="_Toc106986713"/>
      <w:bookmarkStart w:id="331" w:name="_Toc100565011"/>
      <w:r>
        <w:rPr>
          <w:rStyle w:val="CharSectno"/>
        </w:rPr>
        <w:t>95</w:t>
      </w:r>
      <w:r>
        <w:t>.</w:t>
      </w:r>
      <w:r>
        <w:rPr>
          <w:snapToGrid w:val="0"/>
        </w:rPr>
        <w:tab/>
        <w:t>Power of strata company to enter any part of parcel</w:t>
      </w:r>
      <w:bookmarkEnd w:id="330"/>
      <w:bookmarkEnd w:id="331"/>
    </w:p>
    <w:p>
      <w:pPr>
        <w:pStyle w:val="Subsection"/>
        <w:keepNext/>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Indenta"/>
      </w:pPr>
      <w:r>
        <w:tab/>
        <w:t>(a)</w:t>
      </w:r>
      <w:r>
        <w:tab/>
        <w:t>carrying out work that the strata company is required or permitted to carry out under this Act; or</w:t>
      </w:r>
    </w:p>
    <w:p>
      <w:pPr>
        <w:pStyle w:val="Indenta"/>
      </w:pPr>
      <w:r>
        <w:tab/>
        <w:t>(b)</w:t>
      </w:r>
      <w:r>
        <w:tab/>
        <w:t>carrying out work that the strata company is required to carry out under an order of a court or tribunal; or</w:t>
      </w:r>
    </w:p>
    <w:p>
      <w:pPr>
        <w:pStyle w:val="Indenta"/>
      </w:pPr>
      <w:r>
        <w:tab/>
        <w:t>(c)</w:t>
      </w:r>
      <w:r>
        <w:tab/>
        <w:t>carrying out work that the strata company is required to carry out under a notice issued, or other order made, under any other written law; or</w:t>
      </w:r>
    </w:p>
    <w:p>
      <w:pPr>
        <w:pStyle w:val="Indenta"/>
      </w:pPr>
      <w:r>
        <w:tab/>
        <w:t>(d)</w:t>
      </w:r>
      <w:r>
        <w:tab/>
        <w:t>inspecting that part or any other part of the parcel; or</w:t>
      </w:r>
    </w:p>
    <w:p>
      <w:pPr>
        <w:pStyle w:val="Indenta"/>
      </w:pPr>
      <w:r>
        <w:tab/>
        <w:t>(e)</w:t>
      </w:r>
      <w:r>
        <w:tab/>
        <w:t>ascertaining whether scheme by</w:t>
      </w:r>
      <w:r>
        <w:noBreakHyphen/>
        <w:t>laws or this Act has been, or is being, complied with.</w:t>
      </w:r>
    </w:p>
    <w:p>
      <w:pPr>
        <w:pStyle w:val="Subsection"/>
      </w:pPr>
      <w:r>
        <w:tab/>
        <w:t>(2)</w:t>
      </w:r>
      <w:r>
        <w:tab/>
        <w:t>Sections 65 and 66 apply to entry to common property or a lot by a strata company under this section as if the strata company were exercising rights under a statutory easement.</w:t>
      </w:r>
    </w:p>
    <w:p>
      <w:pPr>
        <w:pStyle w:val="Subsection"/>
      </w:pPr>
      <w:r>
        <w:tab/>
        <w:t>(3)</w:t>
      </w:r>
      <w:r>
        <w:tab/>
        <w:t>A person must not obstruct or hinder a person exercising a power under this section.</w:t>
      </w:r>
    </w:p>
    <w:p>
      <w:pPr>
        <w:pStyle w:val="Footnotesection"/>
      </w:pPr>
      <w:r>
        <w:tab/>
        <w:t>[Section 95 inserted: No. 30 of 2018 s. 83.]</w:t>
      </w:r>
    </w:p>
    <w:p>
      <w:pPr>
        <w:pStyle w:val="Heading5"/>
      </w:pPr>
      <w:bookmarkStart w:id="332" w:name="_Toc106986714"/>
      <w:bookmarkStart w:id="333" w:name="_Toc100565012"/>
      <w:r>
        <w:rPr>
          <w:rStyle w:val="CharSectno"/>
        </w:rPr>
        <w:t>96</w:t>
      </w:r>
      <w:r>
        <w:t>.</w:t>
      </w:r>
      <w:r>
        <w:tab/>
        <w:t>Recovery of records, keys and property</w:t>
      </w:r>
      <w:bookmarkEnd w:id="332"/>
      <w:bookmarkEnd w:id="333"/>
    </w:p>
    <w:p>
      <w:pPr>
        <w:pStyle w:val="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Subsection"/>
      </w:pPr>
      <w:r>
        <w:tab/>
        <w:t>(2)</w:t>
      </w:r>
      <w:r>
        <w:tab/>
        <w:t>A person commits an offence if the person fails, without reasonable excuse to deliver property in the person’s possession or control as required by the notice.</w:t>
      </w:r>
    </w:p>
    <w:p>
      <w:pPr>
        <w:pStyle w:val="Penstart"/>
        <w:rPr>
          <w:snapToGrid w:val="0"/>
        </w:rPr>
      </w:pPr>
      <w:r>
        <w:rPr>
          <w:snapToGrid w:val="0"/>
        </w:rPr>
        <w:tab/>
        <w:t>Penalty for this subsection: a fine of $3 000.</w:t>
      </w:r>
    </w:p>
    <w:p>
      <w:pPr>
        <w:pStyle w:val="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Footnotesection"/>
      </w:pPr>
      <w:r>
        <w:tab/>
        <w:t>[Section 96 inserted: No. 30 of 2018 s. 83.]</w:t>
      </w:r>
    </w:p>
    <w:p>
      <w:pPr>
        <w:pStyle w:val="Heading4"/>
      </w:pPr>
      <w:bookmarkStart w:id="334" w:name="_Toc106986279"/>
      <w:bookmarkStart w:id="335" w:name="_Toc106986715"/>
      <w:bookmarkStart w:id="336" w:name="_Toc100308293"/>
      <w:bookmarkStart w:id="337" w:name="_Toc100308729"/>
      <w:bookmarkStart w:id="338" w:name="_Toc100565013"/>
      <w:r>
        <w:t>Subdivision 2 — Insurance</w:t>
      </w:r>
      <w:bookmarkEnd w:id="334"/>
      <w:bookmarkEnd w:id="335"/>
      <w:bookmarkEnd w:id="336"/>
      <w:bookmarkEnd w:id="337"/>
      <w:bookmarkEnd w:id="338"/>
    </w:p>
    <w:p>
      <w:pPr>
        <w:pStyle w:val="Footnoteheading"/>
        <w:keepNext/>
      </w:pPr>
      <w:r>
        <w:tab/>
        <w:t>[Heading inserted: No. 30 of 2018 s. 83.]</w:t>
      </w:r>
    </w:p>
    <w:p>
      <w:pPr>
        <w:pStyle w:val="Heading5"/>
      </w:pPr>
      <w:bookmarkStart w:id="339" w:name="_Toc106986716"/>
      <w:bookmarkStart w:id="340" w:name="_Toc100565014"/>
      <w:r>
        <w:rPr>
          <w:rStyle w:val="CharSectno"/>
        </w:rPr>
        <w:t>97</w:t>
      </w:r>
      <w:r>
        <w:t>.</w:t>
      </w:r>
      <w:r>
        <w:tab/>
        <w:t>Required insurance</w:t>
      </w:r>
      <w:bookmarkEnd w:id="339"/>
      <w:bookmarkEnd w:id="340"/>
    </w:p>
    <w:p>
      <w:pPr>
        <w:pStyle w:val="Subsection"/>
      </w:pPr>
      <w:r>
        <w:tab/>
        <w:t>(1)</w:t>
      </w:r>
      <w:r>
        <w:tab/>
        <w:t>A strata company must ensure that the following insurance is in place for the strata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PermNoteHeading"/>
      </w:pPr>
      <w:r>
        <w:tab/>
        <w:t>Note for this subsection:</w:t>
      </w:r>
    </w:p>
    <w:p>
      <w:pPr>
        <w:pStyle w:val="PermNoteText"/>
      </w:pPr>
      <w:r>
        <w:tab/>
        <w:t>1.</w:t>
      </w:r>
      <w:r>
        <w:tab/>
        <w:t>The owner of a lot in a survey</w:t>
      </w:r>
      <w:r>
        <w:noBreakHyphen/>
        <w:t>strata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Subsection"/>
      </w:pPr>
      <w:r>
        <w:tab/>
        <w:t>(3)</w:t>
      </w:r>
      <w:r>
        <w:tab/>
        <w:t>The Tribunal may, on application by a strata company, exempt it from compliance with this section subject to conditions specified in the exemption.</w:t>
      </w:r>
    </w:p>
    <w:p>
      <w:pPr>
        <w:pStyle w:val="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Subsection"/>
      </w:pPr>
      <w:r>
        <w:tab/>
        <w:t>(6)</w:t>
      </w:r>
      <w:r>
        <w:tab/>
        <w:t>Subsection (5) does not apply if —</w:t>
      </w:r>
    </w:p>
    <w:p>
      <w:pPr>
        <w:pStyle w:val="Indenta"/>
        <w:rPr>
          <w:snapToGrid w:val="0"/>
        </w:rPr>
      </w:pPr>
      <w:r>
        <w:tab/>
      </w:r>
      <w:r>
        <w:rPr>
          <w:snapToGrid w:val="0"/>
        </w:rPr>
        <w:t>(a)</w:t>
      </w:r>
      <w:r>
        <w:rPr>
          <w:snapToGrid w:val="0"/>
        </w:rPr>
        <w:tab/>
        <w:t>the strata titles scheme is a survey</w:t>
      </w:r>
      <w:r>
        <w:rPr>
          <w:snapToGrid w:val="0"/>
        </w:rPr>
        <w:noBreakHyphen/>
        <w:t>strata scheme; and</w:t>
      </w:r>
    </w:p>
    <w:p>
      <w:pPr>
        <w:pStyle w:val="Indenta"/>
        <w:rPr>
          <w:snapToGrid w:val="0"/>
        </w:rPr>
      </w:pPr>
      <w:r>
        <w:rPr>
          <w:snapToGrid w:val="0"/>
        </w:rPr>
        <w:tab/>
        <w:t>(b)</w:t>
      </w:r>
      <w:r>
        <w:rPr>
          <w:snapToGrid w:val="0"/>
        </w:rPr>
        <w:tab/>
        <w:t>the strata company passes a resolution without dissent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Indenti"/>
      </w:pPr>
      <w:r>
        <w:tab/>
        <w:t>(ii)</w:t>
      </w:r>
      <w:r>
        <w:tab/>
        <w:t xml:space="preserve">specifying how that money is to be distributed amongst members of the </w:t>
      </w:r>
      <w:r>
        <w:rPr>
          <w:snapToGrid w:val="0"/>
        </w:rPr>
        <w:t xml:space="preserve">strata company </w:t>
      </w:r>
      <w:r>
        <w:t>or used;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Subsection"/>
      </w:pPr>
      <w:r>
        <w:tab/>
        <w:t>(7)</w:t>
      </w:r>
      <w:r>
        <w:tab/>
        <w:t>Nothing in this section derogates from —</w:t>
      </w:r>
    </w:p>
    <w:p>
      <w:pPr>
        <w:pStyle w:val="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Indenta"/>
        <w:rPr>
          <w:snapToGrid w:val="0"/>
        </w:rPr>
      </w:pPr>
      <w:r>
        <w:rPr>
          <w:snapToGrid w:val="0"/>
        </w:rPr>
        <w:tab/>
        <w:t>(b)</w:t>
      </w:r>
      <w:r>
        <w:rPr>
          <w:snapToGrid w:val="0"/>
        </w:rPr>
        <w:tab/>
        <w:t>the power of the strata company to obtain other insurance in its capacity as a body corporate.</w:t>
      </w:r>
    </w:p>
    <w:p>
      <w:pPr>
        <w:pStyle w:val="PermNoteHeading"/>
      </w:pPr>
      <w:r>
        <w:tab/>
        <w:t>Note for this section:</w:t>
      </w:r>
    </w:p>
    <w:p>
      <w:pPr>
        <w:pStyle w:val="PermNoteText"/>
      </w:pPr>
      <w:r>
        <w:tab/>
      </w:r>
      <w:r>
        <w:tab/>
        <w:t>Schedule 2A contains special provisions for a single tier strata scheme for the required insurance.</w:t>
      </w:r>
    </w:p>
    <w:p>
      <w:pPr>
        <w:pStyle w:val="Footnotesection"/>
      </w:pPr>
      <w:r>
        <w:tab/>
        <w:t>[Section 97 inserted: No. 30 of 2018 s. 83.]</w:t>
      </w:r>
    </w:p>
    <w:p>
      <w:pPr>
        <w:pStyle w:val="Heading5"/>
        <w:rPr>
          <w:snapToGrid w:val="0"/>
        </w:rPr>
      </w:pPr>
      <w:bookmarkStart w:id="341" w:name="_Toc106986717"/>
      <w:bookmarkStart w:id="342" w:name="_Toc100565015"/>
      <w:r>
        <w:rPr>
          <w:rStyle w:val="CharSectno"/>
        </w:rPr>
        <w:t>98</w:t>
      </w:r>
      <w:r>
        <w:t>.</w:t>
      </w:r>
      <w:r>
        <w:tab/>
        <w:t xml:space="preserve">Notice to member of </w:t>
      </w:r>
      <w:r>
        <w:rPr>
          <w:snapToGrid w:val="0"/>
        </w:rPr>
        <w:t>strata company</w:t>
      </w:r>
      <w:bookmarkEnd w:id="341"/>
      <w:bookmarkEnd w:id="342"/>
    </w:p>
    <w:p>
      <w:pPr>
        <w:pStyle w:val="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Indenta"/>
        <w:rPr>
          <w:snapToGrid w:val="0"/>
        </w:rPr>
      </w:pPr>
      <w:r>
        <w:rPr>
          <w:snapToGrid w:val="0"/>
        </w:rPr>
        <w:tab/>
        <w:t>(a)</w:t>
      </w:r>
      <w:r>
        <w:rPr>
          <w:snapToGrid w:val="0"/>
        </w:rPr>
        <w:tab/>
        <w:t>to take specified action within a specified period;</w:t>
      </w:r>
    </w:p>
    <w:p>
      <w:pPr>
        <w:pStyle w:val="Indenta"/>
        <w:rPr>
          <w:snapToGrid w:val="0"/>
        </w:rPr>
      </w:pPr>
      <w:r>
        <w:rPr>
          <w:snapToGrid w:val="0"/>
        </w:rPr>
        <w:tab/>
        <w:t>(b)</w:t>
      </w:r>
      <w:r>
        <w:rPr>
          <w:snapToGrid w:val="0"/>
        </w:rPr>
        <w:tab/>
        <w:t>to refrain from taking specified action;</w:t>
      </w:r>
    </w:p>
    <w:p>
      <w:pPr>
        <w:pStyle w:val="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Subsection"/>
      </w:pPr>
      <w:r>
        <w:tab/>
        <w:t>(3)</w:t>
      </w:r>
      <w:r>
        <w:tab/>
        <w:t>The strata company must negotiate with the member with a view to achieving a fair and reasonable outcome.</w:t>
      </w:r>
    </w:p>
    <w:p>
      <w:pPr>
        <w:pStyle w:val="Footnotesection"/>
      </w:pPr>
      <w:r>
        <w:tab/>
        <w:t>[Section 98 inserted: No. 30 of 2018 s. 83.]</w:t>
      </w:r>
    </w:p>
    <w:p>
      <w:pPr>
        <w:pStyle w:val="Heading5"/>
        <w:rPr>
          <w:snapToGrid w:val="0"/>
        </w:rPr>
      </w:pPr>
      <w:bookmarkStart w:id="343" w:name="_Toc106986718"/>
      <w:bookmarkStart w:id="344" w:name="_Toc100565016"/>
      <w:r>
        <w:rPr>
          <w:rStyle w:val="CharSectno"/>
        </w:rPr>
        <w:t>99</w:t>
      </w:r>
      <w:r>
        <w:t>.</w:t>
      </w:r>
      <w:r>
        <w:tab/>
        <w:t>Member may obtain required insurance</w:t>
      </w:r>
      <w:bookmarkEnd w:id="343"/>
      <w:bookmarkEnd w:id="344"/>
    </w:p>
    <w:p>
      <w:pPr>
        <w:pStyle w:val="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Subsection"/>
      </w:pPr>
      <w:r>
        <w:tab/>
        <w:t>(2)</w:t>
      </w:r>
      <w:r>
        <w:tab/>
        <w:t>Costs incurred by a member of a strata company under subsection (1) may be recovered, on application to the Tribunal, as a debt owed to the member by the strata company.</w:t>
      </w:r>
    </w:p>
    <w:p>
      <w:pPr>
        <w:pStyle w:val="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Footnotesection"/>
      </w:pPr>
      <w:r>
        <w:tab/>
        <w:t>[Section 99 inserted: No. 30 of 2018 s. 83.]</w:t>
      </w:r>
    </w:p>
    <w:p>
      <w:pPr>
        <w:pStyle w:val="Ednotesection"/>
      </w:pPr>
      <w:r>
        <w:t>[</w:t>
      </w:r>
      <w:r>
        <w:rPr>
          <w:b/>
        </w:rPr>
        <w:t>99A.</w:t>
      </w:r>
      <w:r>
        <w:rPr>
          <w:b/>
        </w:rPr>
        <w:tab/>
      </w:r>
      <w:r>
        <w:t>Deleted: No. 30 of 2018 s. 82(b).]</w:t>
      </w:r>
    </w:p>
    <w:p>
      <w:pPr>
        <w:pStyle w:val="Heading4"/>
      </w:pPr>
      <w:bookmarkStart w:id="345" w:name="_Toc106986283"/>
      <w:bookmarkStart w:id="346" w:name="_Toc106986719"/>
      <w:bookmarkStart w:id="347" w:name="_Toc100308297"/>
      <w:bookmarkStart w:id="348" w:name="_Toc100308733"/>
      <w:bookmarkStart w:id="349" w:name="_Toc100565017"/>
      <w:r>
        <w:t>Subdivision 3 — Financial management</w:t>
      </w:r>
      <w:bookmarkEnd w:id="345"/>
      <w:bookmarkEnd w:id="346"/>
      <w:bookmarkEnd w:id="347"/>
      <w:bookmarkEnd w:id="348"/>
      <w:bookmarkEnd w:id="349"/>
    </w:p>
    <w:p>
      <w:pPr>
        <w:pStyle w:val="Footnoteheading"/>
      </w:pPr>
      <w:r>
        <w:tab/>
        <w:t>[Heading inserted: No. 30 of 2018 s. 83.]</w:t>
      </w:r>
    </w:p>
    <w:p>
      <w:pPr>
        <w:pStyle w:val="Heading5"/>
        <w:rPr>
          <w:snapToGrid w:val="0"/>
        </w:rPr>
      </w:pPr>
      <w:bookmarkStart w:id="350" w:name="_Toc106986720"/>
      <w:bookmarkStart w:id="351" w:name="_Toc100565018"/>
      <w:r>
        <w:rPr>
          <w:rStyle w:val="CharSectno"/>
        </w:rPr>
        <w:t>100</w:t>
      </w:r>
      <w:r>
        <w:rPr>
          <w:snapToGrid w:val="0"/>
        </w:rPr>
        <w:t>.</w:t>
      </w:r>
      <w:r>
        <w:rPr>
          <w:snapToGrid w:val="0"/>
        </w:rPr>
        <w:tab/>
        <w:t>Administrative and reserve funds and contributions</w:t>
      </w:r>
      <w:bookmarkEnd w:id="350"/>
      <w:bookmarkEnd w:id="351"/>
    </w:p>
    <w:p>
      <w:pPr>
        <w:pStyle w:val="Subsection"/>
      </w:pPr>
      <w:r>
        <w:tab/>
        <w:t>(1)</w:t>
      </w:r>
      <w:r>
        <w:tab/>
        <w:t>A strata company must —</w:t>
      </w:r>
    </w:p>
    <w:p>
      <w:pPr>
        <w:pStyle w:val="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Indenta"/>
      </w:pPr>
      <w:r>
        <w:tab/>
        <w:t>(b)</w:t>
      </w:r>
      <w:r>
        <w:tab/>
        <w:t>determine the amounts to be raised for payment into the administrative fund; and</w:t>
      </w:r>
    </w:p>
    <w:p>
      <w:pPr>
        <w:pStyle w:val="Indenta"/>
      </w:pPr>
      <w:r>
        <w:tab/>
        <w:t>(c)</w:t>
      </w:r>
      <w:r>
        <w:tab/>
        <w:t>raise amounts so determined by levying contributions on owners of lots —</w:t>
      </w:r>
    </w:p>
    <w:p>
      <w:pPr>
        <w:pStyle w:val="Indenti"/>
      </w:pPr>
      <w:r>
        <w:tab/>
        <w:t>(i)</w:t>
      </w:r>
      <w:r>
        <w:tab/>
        <w:t>in proportion to the unit entitlements of their respective lots; or</w:t>
      </w:r>
    </w:p>
    <w:p>
      <w:pPr>
        <w:pStyle w:val="Indenti"/>
      </w:pPr>
      <w:r>
        <w:tab/>
        <w:t>(ii)</w:t>
      </w:r>
      <w:r>
        <w:tab/>
        <w:t>if the scheme by</w:t>
      </w:r>
      <w:r>
        <w:noBreakHyphen/>
        <w:t>laws provide for a different basis for levying contributions, in accordance with that basis;</w:t>
      </w:r>
    </w:p>
    <w:p>
      <w:pPr>
        <w:pStyle w:val="Indenti"/>
      </w:pPr>
      <w:r>
        <w:tab/>
        <w:t>and</w:t>
      </w:r>
    </w:p>
    <w:p>
      <w:pPr>
        <w:pStyle w:val="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Ednotesubsection"/>
      </w:pPr>
      <w:r>
        <w:tab/>
        <w:t>[(1a)</w:t>
      </w:r>
      <w:r>
        <w:tab/>
        <w:t>deleted]</w:t>
      </w:r>
    </w:p>
    <w:p>
      <w:pPr>
        <w:pStyle w:val="Subsection"/>
      </w:pPr>
      <w:r>
        <w:tab/>
        <w:t>(2)</w:t>
      </w:r>
      <w:r>
        <w:tab/>
        <w:t>A strata company must, if it is a designated strata company, and may, in any other case —</w:t>
      </w:r>
    </w:p>
    <w:p>
      <w:pPr>
        <w:pStyle w:val="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Indenta"/>
      </w:pPr>
      <w:r>
        <w:tab/>
        <w:t>(b)</w:t>
      </w:r>
      <w:r>
        <w:tab/>
        <w:t>determine the amounts to be raised for payment into the reserve fund; and</w:t>
      </w:r>
    </w:p>
    <w:p>
      <w:pPr>
        <w:pStyle w:val="Indenta"/>
      </w:pPr>
      <w:r>
        <w:tab/>
        <w:t>(c)</w:t>
      </w:r>
      <w:r>
        <w:tab/>
        <w:t>may raise amounts so determined by levying contributions on the owners in proportion to the unit entitlements of their respective lots.</w:t>
      </w:r>
    </w:p>
    <w:p>
      <w:pPr>
        <w:pStyle w:val="Subsection"/>
      </w:pPr>
      <w:r>
        <w:tab/>
        <w:t>(2A)</w:t>
      </w:r>
      <w:r>
        <w:tab/>
        <w:t>A designated strata company must ensure —</w:t>
      </w:r>
    </w:p>
    <w:p>
      <w:pPr>
        <w:pStyle w:val="Indenta"/>
      </w:pPr>
      <w:r>
        <w:tab/>
        <w:t>(a)</w:t>
      </w:r>
      <w:r>
        <w:tab/>
        <w:t>that there is a 10 year plan that sets out —</w:t>
      </w:r>
    </w:p>
    <w:p>
      <w:pPr>
        <w:pStyle w:val="Indenti"/>
      </w:pPr>
      <w:r>
        <w:tab/>
        <w:t>(i)</w:t>
      </w:r>
      <w:r>
        <w:tab/>
        <w:t>the common property and the personal property of the strata company that is anticipated to require maintenance, repair, renewal or replacement (other than of a routine nature) in the period covered by the plan; and</w:t>
      </w:r>
    </w:p>
    <w:p>
      <w:pPr>
        <w:pStyle w:val="Indenti"/>
      </w:pPr>
      <w:r>
        <w:tab/>
        <w:t>(ii)</w:t>
      </w:r>
      <w:r>
        <w:tab/>
        <w:t>the estimated costs for the maintenance, repairs,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rPr>
          <w:snapToGrid w:val="0"/>
          <w:spacing w:val="-4"/>
        </w:rPr>
      </w:pPr>
      <w:r>
        <w:rPr>
          <w:snapToGrid w:val="0"/>
          <w:spacing w:val="-4"/>
        </w:rPr>
        <w:tab/>
        <w:t>(3)</w:t>
      </w:r>
      <w:r>
        <w:rPr>
          <w:snapToGrid w:val="0"/>
          <w:spacing w:val="-4"/>
        </w:rPr>
        <w:tab/>
        <w:t xml:space="preserve">Except in so far as and to the extent that the </w:t>
      </w:r>
      <w:r>
        <w:t>scheme by</w:t>
      </w:r>
      <w:r>
        <w:noBreakHyphen/>
        <w:t>laws</w:t>
      </w:r>
      <w:r>
        <w:rPr>
          <w:snapToGrid w:val="0"/>
          <w:spacing w:val="-4"/>
        </w:rPr>
        <w:t xml:space="preserve"> may empower the council of that company to exercise the functions in subsections (1)(a), (b) and (c) and (2), those functions </w:t>
      </w:r>
      <w:r>
        <w:t>must</w:t>
      </w:r>
      <w:r>
        <w:rPr>
          <w:snapToGrid w:val="0"/>
          <w:spacing w:val="-4"/>
        </w:rPr>
        <w:t xml:space="preserve"> be performed by and in accordance with resolutions </w:t>
      </w:r>
      <w:r>
        <w:t>passed by</w:t>
      </w:r>
      <w:r>
        <w:rPr>
          <w:snapToGrid w:val="0"/>
          <w:spacing w:val="-4"/>
        </w:rPr>
        <w:t xml:space="preserve">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 xml:space="preserve">if not paid when it becomes due and payable, bears interest on the amount unpaid at the rate of simple interest </w:t>
      </w:r>
      <w:r>
        <w:t>specified in the regulations,</w:t>
      </w:r>
      <w:r>
        <w:rPr>
          <w:snapToGrid w:val="0"/>
        </w:rPr>
        <w:t xml:space="preserve"> unless the company determines (either generally or in a particular case) that an unpaid contribution </w:t>
      </w:r>
      <w:r>
        <w:t>bears</w:t>
      </w:r>
      <w:r>
        <w:rPr>
          <w:snapToGrid w:val="0"/>
        </w:rPr>
        <w:t xml:space="preserve">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 xml:space="preserve">Interest paid or recovered under subsection (4) or (6) </w:t>
      </w:r>
      <w:r>
        <w:t>forms</w:t>
      </w:r>
      <w:r>
        <w:rPr>
          <w:snapToGrid w:val="0"/>
        </w:rPr>
        <w:t xml:space="preserve"> part of the fund to which the contribution belongs.</w:t>
      </w:r>
    </w:p>
    <w:p>
      <w:pPr>
        <w:pStyle w:val="Subsection"/>
        <w:rPr>
          <w:snapToGrid w:val="0"/>
        </w:rPr>
      </w:pPr>
      <w:r>
        <w:rPr>
          <w:snapToGrid w:val="0"/>
        </w:rPr>
        <w:tab/>
        <w:t>(6)</w:t>
      </w:r>
      <w:r>
        <w:rPr>
          <w:snapToGrid w:val="0"/>
        </w:rPr>
        <w:tab/>
      </w:r>
      <w:r>
        <w:t>The owner</w:t>
      </w:r>
      <w:r>
        <w:rPr>
          <w:snapToGrid w:val="0"/>
        </w:rPr>
        <w:t xml:space="preserve"> of a lot is liable in respect of any contribution levied under this section and any interest </w:t>
      </w:r>
      <w:r>
        <w:t>on the contribution,</w:t>
      </w:r>
      <w:r>
        <w:rPr>
          <w:snapToGrid w:val="0"/>
        </w:rPr>
        <w:t xml:space="preserve"> jointly and severally with any person who was liable to pay that contribution and interest when that </w:t>
      </w:r>
      <w:r>
        <w:t>owner</w:t>
      </w:r>
      <w:r>
        <w:rPr>
          <w:snapToGrid w:val="0"/>
        </w:rPr>
        <w:t xml:space="preserve"> became the </w:t>
      </w:r>
      <w:r>
        <w:t>owner</w:t>
      </w:r>
      <w:r>
        <w:rPr>
          <w:snapToGrid w:val="0"/>
        </w:rPr>
        <w:t xml:space="preserve"> of that lot, to pay so much of that contribution and interest as was unpaid when </w:t>
      </w:r>
      <w:r>
        <w:t>the owner</w:t>
      </w:r>
      <w:r>
        <w:rPr>
          <w:snapToGrid w:val="0"/>
        </w:rPr>
        <w:t xml:space="preserve"> became the </w:t>
      </w:r>
      <w:r>
        <w:t>owner</w:t>
      </w:r>
      <w:r>
        <w:rPr>
          <w:snapToGrid w:val="0"/>
        </w:rPr>
        <w:t xml:space="preserve"> of that lot.</w:t>
      </w:r>
    </w:p>
    <w:p>
      <w:pPr>
        <w:pStyle w:val="Subsection"/>
      </w:pPr>
      <w:r>
        <w:tab/>
        <w:t>(7)</w:t>
      </w:r>
      <w:r>
        <w:tab/>
        <w:t>In this section —</w:t>
      </w:r>
    </w:p>
    <w:p>
      <w:pPr>
        <w:pStyle w:val="Defstart"/>
      </w:pPr>
      <w:r>
        <w:tab/>
      </w:r>
      <w:r>
        <w:rPr>
          <w:rStyle w:val="CharDefText"/>
        </w:rPr>
        <w:t>designated strata company</w:t>
      </w:r>
      <w:r>
        <w:t xml:space="preserve"> means —</w:t>
      </w:r>
    </w:p>
    <w:p>
      <w:pPr>
        <w:pStyle w:val="Defpara"/>
      </w:pPr>
      <w:r>
        <w:tab/>
        <w:t>(a)</w:t>
      </w:r>
      <w:r>
        <w:tab/>
        <w:t>a strata company for a scheme with 10 or more lots; or</w:t>
      </w:r>
    </w:p>
    <w:p>
      <w:pPr>
        <w:pStyle w:val="Defpara"/>
      </w:pPr>
      <w:r>
        <w:tab/>
        <w:t>(b)</w:t>
      </w:r>
      <w:r>
        <w:tab/>
        <w:t>a strata company included in this definition by the regulations.</w:t>
      </w:r>
    </w:p>
    <w:p>
      <w:pPr>
        <w:pStyle w:val="Footnotesection"/>
        <w:ind w:left="890" w:hanging="890"/>
        <w:rPr>
          <w:spacing w:val="-4"/>
        </w:rPr>
      </w:pPr>
      <w:r>
        <w:rPr>
          <w:spacing w:val="-4"/>
        </w:rPr>
        <w:tab/>
        <w:t xml:space="preserve">[Section 100, formerly section 36, amended: No. 58 of 1995 s. 39; No. 14 of 1996 s. 4; amended, </w:t>
      </w:r>
      <w:r>
        <w:t>renumbered</w:t>
      </w:r>
      <w:r>
        <w:rPr>
          <w:spacing w:val="-4"/>
        </w:rPr>
        <w:t xml:space="preserve"> as section 100 and relocated: No. 30 of 2018 s. 49 and 84.]</w:t>
      </w:r>
    </w:p>
    <w:p>
      <w:pPr>
        <w:pStyle w:val="Heading5"/>
      </w:pPr>
      <w:bookmarkStart w:id="352" w:name="_Toc106986721"/>
      <w:bookmarkStart w:id="353" w:name="_Toc100565019"/>
      <w:r>
        <w:rPr>
          <w:rStyle w:val="CharSectno"/>
        </w:rPr>
        <w:t>101</w:t>
      </w:r>
      <w:r>
        <w:t>.</w:t>
      </w:r>
      <w:r>
        <w:tab/>
        <w:t>Accounting records and statement of accounts</w:t>
      </w:r>
      <w:bookmarkEnd w:id="352"/>
      <w:bookmarkEnd w:id="353"/>
    </w:p>
    <w:p>
      <w:pPr>
        <w:pStyle w:val="Subsection"/>
      </w:pPr>
      <w:r>
        <w:tab/>
        <w:t>(1)</w:t>
      </w:r>
      <w:r>
        <w:tab/>
        <w:t>A strata company must keep proper accounting records of its income and expenditure.</w:t>
      </w:r>
    </w:p>
    <w:p>
      <w:pPr>
        <w:pStyle w:val="Subsection"/>
      </w:pPr>
      <w:r>
        <w:tab/>
        <w:t>(2)</w:t>
      </w:r>
      <w:r>
        <w:tab/>
        <w:t>A strata company must prepare a statement of accounts for each financial year showing —</w:t>
      </w:r>
    </w:p>
    <w:p>
      <w:pPr>
        <w:pStyle w:val="Indenta"/>
        <w:rPr>
          <w:snapToGrid w:val="0"/>
        </w:rPr>
      </w:pPr>
      <w:r>
        <w:rPr>
          <w:snapToGrid w:val="0"/>
        </w:rPr>
        <w:tab/>
        <w:t>(a)</w:t>
      </w:r>
      <w:r>
        <w:rPr>
          <w:snapToGrid w:val="0"/>
        </w:rPr>
        <w:tab/>
        <w:t>the assets and liabilities of the strata company at the end of the financial year; and</w:t>
      </w:r>
    </w:p>
    <w:p>
      <w:pPr>
        <w:pStyle w:val="Indenta"/>
        <w:rPr>
          <w:snapToGrid w:val="0"/>
        </w:rPr>
      </w:pPr>
      <w:r>
        <w:rPr>
          <w:snapToGrid w:val="0"/>
        </w:rPr>
        <w:tab/>
        <w:t>(b)</w:t>
      </w:r>
      <w:r>
        <w:rPr>
          <w:snapToGrid w:val="0"/>
        </w:rPr>
        <w:tab/>
        <w:t>the income and expenditure of the strata company for the financial year.</w:t>
      </w:r>
    </w:p>
    <w:p>
      <w:pPr>
        <w:pStyle w:val="Footnotesection"/>
      </w:pPr>
      <w:r>
        <w:tab/>
        <w:t>[Section 101 inserted: No. 30 of 2018 s. 83.]</w:t>
      </w:r>
    </w:p>
    <w:p>
      <w:pPr>
        <w:pStyle w:val="Heading5"/>
      </w:pPr>
      <w:bookmarkStart w:id="354" w:name="_Toc106986722"/>
      <w:bookmarkStart w:id="355" w:name="_Toc100565020"/>
      <w:r>
        <w:rPr>
          <w:rStyle w:val="CharSectno"/>
        </w:rPr>
        <w:t>102</w:t>
      </w:r>
      <w:r>
        <w:t>.</w:t>
      </w:r>
      <w:r>
        <w:tab/>
        <w:t>Budget</w:t>
      </w:r>
      <w:bookmarkEnd w:id="354"/>
      <w:bookmarkEnd w:id="355"/>
    </w:p>
    <w:p>
      <w:pPr>
        <w:pStyle w:val="Subsection"/>
      </w:pPr>
      <w:r>
        <w:tab/>
        <w:t>(1)</w:t>
      </w:r>
      <w:r>
        <w:tab/>
        <w:t>A strata company must prepare a budget for each financial year and submit it for approval to its annual general meeting.</w:t>
      </w:r>
    </w:p>
    <w:p>
      <w:pPr>
        <w:pStyle w:val="Subsection"/>
      </w:pPr>
      <w:r>
        <w:tab/>
        <w:t>(2)</w:t>
      </w:r>
      <w:r>
        <w:tab/>
        <w:t>The budget must be prepared —</w:t>
      </w:r>
    </w:p>
    <w:p>
      <w:pPr>
        <w:pStyle w:val="Indenta"/>
        <w:rPr>
          <w:snapToGrid w:val="0"/>
        </w:rPr>
      </w:pPr>
      <w:r>
        <w:rPr>
          <w:snapToGrid w:val="0"/>
        </w:rPr>
        <w:tab/>
        <w:t>(a)</w:t>
      </w:r>
      <w:r>
        <w:rPr>
          <w:snapToGrid w:val="0"/>
        </w:rPr>
        <w:tab/>
        <w:t>taking into account, if applicable, the 10 year plan for the reserve fund; and</w:t>
      </w:r>
    </w:p>
    <w:p>
      <w:pPr>
        <w:pStyle w:val="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Subsection"/>
      </w:pPr>
      <w:r>
        <w:tab/>
        <w:t>(3)</w:t>
      </w:r>
      <w:r>
        <w:tab/>
        <w:t>The strata company may, by ordinary resolution at its annual general meeting or at a subsequent general meeting, approve a budget with or without modification.</w:t>
      </w:r>
    </w:p>
    <w:p>
      <w:pPr>
        <w:pStyle w:val="Subsection"/>
      </w:pPr>
      <w:r>
        <w:tab/>
        <w:t>(4)</w:t>
      </w:r>
      <w:r>
        <w:tab/>
        <w:t>The strata company may, by ordinary resolution, vary its approved budget.</w:t>
      </w:r>
    </w:p>
    <w:p>
      <w:pPr>
        <w:pStyle w:val="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Indenta"/>
        <w:rPr>
          <w:snapToGrid w:val="0"/>
        </w:rPr>
      </w:pPr>
      <w:r>
        <w:rPr>
          <w:snapToGrid w:val="0"/>
        </w:rPr>
        <w:tab/>
        <w:t>(b)</w:t>
      </w:r>
      <w:r>
        <w:rPr>
          <w:snapToGrid w:val="0"/>
        </w:rPr>
        <w:tab/>
        <w:t>the budget or variation must be approved by special resolution.</w:t>
      </w:r>
    </w:p>
    <w:p>
      <w:pPr>
        <w:pStyle w:val="Subsection"/>
      </w:pPr>
      <w:r>
        <w:tab/>
        <w:t>(6)</w:t>
      </w:r>
      <w:r>
        <w:tab/>
        <w:t>A strata company must not make any expenditure that is not authorised by an approved budget except for expenditure as follows —</w:t>
      </w:r>
    </w:p>
    <w:p>
      <w:pPr>
        <w:pStyle w:val="Indenta"/>
      </w:pPr>
      <w:r>
        <w:tab/>
        <w:t>(a)</w:t>
      </w:r>
      <w:r>
        <w:tab/>
        <w:t>expenditure of an amount not exceeding, in a financial year, for each lot in the strata titles scheme —</w:t>
      </w:r>
    </w:p>
    <w:p>
      <w:pPr>
        <w:pStyle w:val="Indenti"/>
      </w:pPr>
      <w:r>
        <w:tab/>
        <w:t>(i)</w:t>
      </w:r>
      <w:r>
        <w:tab/>
        <w:t>the amount fixed by the strata company by special resolution; or</w:t>
      </w:r>
    </w:p>
    <w:p>
      <w:pPr>
        <w:pStyle w:val="Indenti"/>
      </w:pPr>
      <w:r>
        <w:tab/>
        <w:t>(ii)</w:t>
      </w:r>
      <w:r>
        <w:tab/>
        <w:t>if the strata company has not fixed the amount by special resolution, the amount fixed by the regulations;</w:t>
      </w:r>
    </w:p>
    <w:p>
      <w:pPr>
        <w:pStyle w:val="Indenta"/>
        <w:rPr>
          <w:snapToGrid w:val="0"/>
        </w:rPr>
      </w:pPr>
      <w:r>
        <w:rPr>
          <w:snapToGrid w:val="0"/>
        </w:rPr>
        <w:tab/>
        <w:t>(b)</w:t>
      </w:r>
      <w:r>
        <w:rPr>
          <w:snapToGrid w:val="0"/>
        </w:rPr>
        <w:tab/>
        <w:t>expenditure (not being of the kind referred to in subsection (5)) made on the following conditions being met —</w:t>
      </w:r>
    </w:p>
    <w:p>
      <w:pPr>
        <w:pStyle w:val="Indenti"/>
      </w:pPr>
      <w:r>
        <w:tab/>
        <w:t>(i)</w:t>
      </w:r>
      <w:r>
        <w:tab/>
        <w:t>notice in the approved form of the purpose and amount of a proposed expenditure is given to the owners and first mortgagees of all lots in the strata titles scheme; and</w:t>
      </w:r>
    </w:p>
    <w:p>
      <w:pPr>
        <w:pStyle w:val="Indenti"/>
      </w:pPr>
      <w:r>
        <w:tab/>
        <w:t>(ii)</w:t>
      </w:r>
      <w:r>
        <w:tab/>
        <w:t>if the regulations so require, quotations or tenders for the expenditure are submitted to those owners and first mortgagees; and</w:t>
      </w:r>
    </w:p>
    <w:p>
      <w:pPr>
        <w:pStyle w:val="Indenti"/>
      </w:pPr>
      <w:r>
        <w:tab/>
        <w:t>(iii)</w:t>
      </w:r>
      <w:r>
        <w:tab/>
        <w:t>within 14 days after the requirements in the preceding subparagraphs are met, objection to the proposed expenditure has not been notified in writing to the strata company by the owners or first mortgagees of —</w:t>
      </w:r>
    </w:p>
    <w:p>
      <w:pPr>
        <w:pStyle w:val="IndentI0"/>
        <w:rPr>
          <w:snapToGrid w:val="0"/>
        </w:rPr>
      </w:pPr>
      <w:r>
        <w:rPr>
          <w:snapToGrid w:val="0"/>
        </w:rPr>
        <w:tab/>
        <w:t>(I)</w:t>
      </w:r>
      <w:r>
        <w:rPr>
          <w:snapToGrid w:val="0"/>
        </w:rPr>
        <w:tab/>
        <w:t>25% or more of the lots in the scheme; or</w:t>
      </w:r>
    </w:p>
    <w:p>
      <w:pPr>
        <w:pStyle w:val="IndentI0"/>
        <w:rPr>
          <w:snapToGrid w:val="0"/>
        </w:rPr>
      </w:pPr>
      <w:r>
        <w:rPr>
          <w:snapToGrid w:val="0"/>
        </w:rPr>
        <w:tab/>
        <w:t>(II)</w:t>
      </w:r>
      <w:r>
        <w:rPr>
          <w:snapToGrid w:val="0"/>
        </w:rPr>
        <w:tab/>
        <w:t>lots of which the total unit entitlement is 25% or more of the sum of the unit entitlements of all the lots in the scheme;</w:t>
      </w:r>
    </w:p>
    <w:p>
      <w:pPr>
        <w:pStyle w:val="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Subsection"/>
      </w:pPr>
      <w:r>
        <w:tab/>
        <w:t>(7)</w:t>
      </w:r>
      <w:r>
        <w:tab/>
        <w:t>For subsection (6)(b), if an objection is notified under subsection (6)(b)(iii) by a first mortgagee of a lot, an objection notified by the owner of that lot must be disregarded.</w:t>
      </w:r>
    </w:p>
    <w:p>
      <w:pPr>
        <w:pStyle w:val="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Footnotesection"/>
      </w:pPr>
      <w:r>
        <w:tab/>
        <w:t>[Section 102 inserted: No. 30 of 2018 s. 83.]</w:t>
      </w:r>
    </w:p>
    <w:p>
      <w:pPr>
        <w:pStyle w:val="Heading4"/>
      </w:pPr>
      <w:bookmarkStart w:id="356" w:name="_Toc106986287"/>
      <w:bookmarkStart w:id="357" w:name="_Toc106986723"/>
      <w:bookmarkStart w:id="358" w:name="_Toc100308301"/>
      <w:bookmarkStart w:id="359" w:name="_Toc100308737"/>
      <w:bookmarkStart w:id="360" w:name="_Toc100565021"/>
      <w:r>
        <w:t>Subdivision 4 — Representation and judgment debts</w:t>
      </w:r>
      <w:bookmarkEnd w:id="356"/>
      <w:bookmarkEnd w:id="357"/>
      <w:bookmarkEnd w:id="358"/>
      <w:bookmarkEnd w:id="359"/>
      <w:bookmarkEnd w:id="360"/>
    </w:p>
    <w:p>
      <w:pPr>
        <w:pStyle w:val="Footnoteheading"/>
      </w:pPr>
      <w:r>
        <w:tab/>
        <w:t>[Heading inserted: No. 30 of 2018 s. 83.]</w:t>
      </w:r>
    </w:p>
    <w:p>
      <w:pPr>
        <w:pStyle w:val="Heading5"/>
        <w:rPr>
          <w:snapToGrid w:val="0"/>
        </w:rPr>
      </w:pPr>
      <w:bookmarkStart w:id="361" w:name="_Toc106986724"/>
      <w:bookmarkStart w:id="362" w:name="_Toc100565022"/>
      <w:r>
        <w:rPr>
          <w:rStyle w:val="CharSectno"/>
        </w:rPr>
        <w:t>103</w:t>
      </w:r>
      <w:r>
        <w:rPr>
          <w:snapToGrid w:val="0"/>
        </w:rPr>
        <w:t>.</w:t>
      </w:r>
      <w:r>
        <w:rPr>
          <w:snapToGrid w:val="0"/>
        </w:rPr>
        <w:tab/>
        <w:t>Strata company is representative of owners in proceedings</w:t>
      </w:r>
      <w:bookmarkEnd w:id="361"/>
      <w:bookmarkEnd w:id="362"/>
    </w:p>
    <w:p>
      <w:pPr>
        <w:pStyle w:val="Subsection"/>
        <w:rPr>
          <w:snapToGrid w:val="0"/>
        </w:rPr>
      </w:pPr>
      <w:r>
        <w:rPr>
          <w:snapToGrid w:val="0"/>
        </w:rPr>
        <w:tab/>
        <w:t>(1)</w:t>
      </w:r>
      <w:r>
        <w:rPr>
          <w:snapToGrid w:val="0"/>
        </w:rPr>
        <w:tab/>
      </w:r>
      <w:r>
        <w:t>If the owners of the lots in a strata titles</w:t>
      </w:r>
      <w:r>
        <w:rPr>
          <w:snapToGrid w:val="0"/>
        </w:rPr>
        <w:t xml:space="preserve"> scheme are jointly entitled to take proceedings against </w:t>
      </w:r>
      <w:r>
        <w:t>a</w:t>
      </w:r>
      <w:r>
        <w:rPr>
          <w:snapToGrid w:val="0"/>
        </w:rPr>
        <w:t xml:space="preserve"> person or are liable to have proceedings </w:t>
      </w:r>
      <w:r>
        <w:t xml:space="preserve">relating to common property </w:t>
      </w:r>
      <w:r>
        <w:rPr>
          <w:snapToGrid w:val="0"/>
        </w:rPr>
        <w:t xml:space="preserve">taken against them jointly, the proceedings may be taken by or against the strata company and any judgment or order given or made in favour of or against the strata company in </w:t>
      </w:r>
      <w:r>
        <w:t>the proceedings has</w:t>
      </w:r>
      <w:r>
        <w:rPr>
          <w:snapToGrid w:val="0"/>
        </w:rPr>
        <w:t xml:space="preserve"> effect as if it were a judgment or order given or made in favour of or against the </w:t>
      </w:r>
      <w:r>
        <w:t>owners.</w:t>
      </w:r>
    </w:p>
    <w:p>
      <w:pPr>
        <w:pStyle w:val="Subsection"/>
        <w:keepNext/>
        <w:rPr>
          <w:snapToGrid w:val="0"/>
        </w:rPr>
      </w:pPr>
      <w:r>
        <w:rPr>
          <w:snapToGrid w:val="0"/>
        </w:rPr>
        <w:tab/>
        <w:t>(2)</w:t>
      </w:r>
      <w:r>
        <w:rPr>
          <w:snapToGrid w:val="0"/>
        </w:rPr>
        <w:tab/>
      </w:r>
      <w:r>
        <w:t>If an owner of a lot</w:t>
      </w:r>
      <w:r>
        <w:rPr>
          <w:snapToGrid w:val="0"/>
        </w:rPr>
        <w:t xml:space="preserve"> is liable to make a contribution to another </w:t>
      </w:r>
      <w:r>
        <w:t>owner for</w:t>
      </w:r>
      <w:r>
        <w:rPr>
          <w:snapToGrid w:val="0"/>
        </w:rPr>
        <w:t xml:space="preserve"> a judgment debt arising under a judgment referred to in subsection (1), the amount of that contribution </w:t>
      </w:r>
      <w:r>
        <w:t>must</w:t>
      </w:r>
      <w:r>
        <w:rPr>
          <w:snapToGrid w:val="0"/>
        </w:rPr>
        <w:t xml:space="preserve"> bear to the judgment debt the same proportion as the unit entitlement of the lot of the first</w:t>
      </w:r>
      <w:r>
        <w:rPr>
          <w:snapToGrid w:val="0"/>
        </w:rPr>
        <w:noBreakHyphen/>
        <w:t xml:space="preserve">mentioned </w:t>
      </w:r>
      <w:r>
        <w:t xml:space="preserve">owner </w:t>
      </w:r>
      <w:r>
        <w:rPr>
          <w:snapToGrid w:val="0"/>
        </w:rPr>
        <w:t xml:space="preserve">bears to the sum of the unit </w:t>
      </w:r>
      <w:r>
        <w:t>entitlements of all the lots.</w:t>
      </w:r>
    </w:p>
    <w:p>
      <w:pPr>
        <w:pStyle w:val="Footnotesection"/>
      </w:pPr>
      <w:r>
        <w:tab/>
        <w:t>[Section 103, formerly section 33, amended: No. 58 of 1995 s. 96; amended, renumbered as section 103 and relocated: No. 30 of 2018 s. 45 and 84.]</w:t>
      </w:r>
    </w:p>
    <w:p>
      <w:pPr>
        <w:pStyle w:val="Ednotesection"/>
      </w:pPr>
      <w:r>
        <w:t>[</w:t>
      </w:r>
      <w:r>
        <w:rPr>
          <w:b/>
        </w:rPr>
        <w:t>103A-103R.</w:t>
      </w:r>
      <w:r>
        <w:rPr>
          <w:b/>
        </w:rPr>
        <w:tab/>
      </w:r>
      <w:r>
        <w:t>Deleted: No. 30 of 2018 s. 82(b).]</w:t>
      </w:r>
    </w:p>
    <w:p>
      <w:pPr>
        <w:pStyle w:val="Heading4"/>
      </w:pPr>
      <w:bookmarkStart w:id="363" w:name="_Toc106986289"/>
      <w:bookmarkStart w:id="364" w:name="_Toc106986725"/>
      <w:bookmarkStart w:id="365" w:name="_Toc100308303"/>
      <w:bookmarkStart w:id="366" w:name="_Toc100308739"/>
      <w:bookmarkStart w:id="367" w:name="_Toc100565023"/>
      <w:r>
        <w:t>Subdivision 5 — Records and correspondence</w:t>
      </w:r>
      <w:bookmarkEnd w:id="363"/>
      <w:bookmarkEnd w:id="364"/>
      <w:bookmarkEnd w:id="365"/>
      <w:bookmarkEnd w:id="366"/>
      <w:bookmarkEnd w:id="367"/>
    </w:p>
    <w:p>
      <w:pPr>
        <w:pStyle w:val="Footnoteheading"/>
      </w:pPr>
      <w:r>
        <w:tab/>
        <w:t>[Heading inserted: No. 30 of 2018 s. 83.]</w:t>
      </w:r>
    </w:p>
    <w:p>
      <w:pPr>
        <w:pStyle w:val="Heading5"/>
      </w:pPr>
      <w:bookmarkStart w:id="368" w:name="_Toc106986726"/>
      <w:bookmarkStart w:id="369" w:name="_Toc100565024"/>
      <w:r>
        <w:rPr>
          <w:rStyle w:val="CharSectno"/>
        </w:rPr>
        <w:t>104</w:t>
      </w:r>
      <w:r>
        <w:t>.</w:t>
      </w:r>
      <w:r>
        <w:tab/>
        <w:t>Records and correspondence</w:t>
      </w:r>
      <w:bookmarkEnd w:id="368"/>
      <w:bookmarkEnd w:id="369"/>
    </w:p>
    <w:p>
      <w:pPr>
        <w:pStyle w:val="Subsection"/>
      </w:pPr>
      <w:r>
        <w:tab/>
        <w:t>(1)</w:t>
      </w:r>
      <w:r>
        <w:tab/>
        <w:t>A strata company must —</w:t>
      </w:r>
    </w:p>
    <w:p>
      <w:pPr>
        <w:pStyle w:val="Indenta"/>
      </w:pPr>
      <w:r>
        <w:tab/>
        <w:t>(a)</w:t>
      </w:r>
      <w:r>
        <w:tab/>
        <w:t>keep a copy of each of the following —</w:t>
      </w:r>
    </w:p>
    <w:p>
      <w:pPr>
        <w:pStyle w:val="Indenti"/>
      </w:pPr>
      <w:r>
        <w:tab/>
        <w:t>(i)</w:t>
      </w:r>
      <w:r>
        <w:tab/>
        <w:t>the current scheme documents;</w:t>
      </w:r>
    </w:p>
    <w:p>
      <w:pPr>
        <w:pStyle w:val="Indenti"/>
      </w:pPr>
      <w:r>
        <w:tab/>
        <w:t>(ii)</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decisions of its council; and</w:t>
      </w:r>
    </w:p>
    <w:p>
      <w:pPr>
        <w:pStyle w:val="Indenti"/>
      </w:pPr>
      <w:r>
        <w:tab/>
        <w:t>(iii)</w:t>
      </w:r>
      <w:r>
        <w:tab/>
        <w:t>such other records as are required by the regulations;</w:t>
      </w:r>
    </w:p>
    <w:p>
      <w:pPr>
        <w:pStyle w:val="Indenta"/>
      </w:pPr>
      <w:r>
        <w:tab/>
      </w:r>
      <w:r>
        <w:tab/>
        <w:t>and</w:t>
      </w:r>
    </w:p>
    <w:p>
      <w:pPr>
        <w:pStyle w:val="Indenta"/>
        <w:keepNext/>
      </w:pPr>
      <w:r>
        <w:tab/>
        <w:t>(c)</w:t>
      </w:r>
      <w:r>
        <w:tab/>
        <w:t>keep for a period fixed by the regulations —</w:t>
      </w:r>
    </w:p>
    <w:p>
      <w:pPr>
        <w:pStyle w:val="Indenti"/>
      </w:pPr>
      <w:r>
        <w:tab/>
        <w:t>(i)</w:t>
      </w:r>
      <w:r>
        <w:tab/>
        <w:t>records and statements of account made or kept under section 101;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strata company in connection with proposed resolutions; and</w:t>
      </w:r>
    </w:p>
    <w:p>
      <w:pPr>
        <w:pStyle w:val="Indenti"/>
      </w:pPr>
      <w:r>
        <w:tab/>
        <w:t>(iv)</w:t>
      </w:r>
      <w:r>
        <w:tab/>
        <w:t>notices of disclosures made under section 79, 145(2) or 147; and</w:t>
      </w:r>
    </w:p>
    <w:p>
      <w:pPr>
        <w:pStyle w:val="Indenti"/>
      </w:pPr>
      <w:r>
        <w:tab/>
        <w:t>(v)</w:t>
      </w:r>
      <w:r>
        <w:tab/>
        <w:t>all correspondence, other notices and orders it or its council sends or receives; and</w:t>
      </w:r>
    </w:p>
    <w:p>
      <w:pPr>
        <w:pStyle w:val="Indenti"/>
      </w:pPr>
      <w:r>
        <w:tab/>
        <w:t>(vi)</w:t>
      </w:r>
      <w:r>
        <w:tab/>
        <w:t>each lease accepted under section 92 and any instrument of surrender of such a lease; and</w:t>
      </w:r>
    </w:p>
    <w:p>
      <w:pPr>
        <w:pStyle w:val="Indenti"/>
      </w:pPr>
      <w:r>
        <w:tab/>
        <w:t>(vii)</w:t>
      </w:r>
      <w:r>
        <w:tab/>
        <w:t>a copy of each contract entered into by the strata company and any variation, extension or termination of such a contract, including (without limitation) the following —</w:t>
      </w:r>
    </w:p>
    <w:p>
      <w:pPr>
        <w:pStyle w:val="IndentI0"/>
      </w:pPr>
      <w:r>
        <w:tab/>
        <w:t>(I)</w:t>
      </w:r>
      <w:r>
        <w:tab/>
        <w:t>a strata management contract;</w:t>
      </w:r>
    </w:p>
    <w:p>
      <w:pPr>
        <w:pStyle w:val="IndentI0"/>
      </w:pPr>
      <w:r>
        <w:tab/>
        <w:t>(II)</w:t>
      </w:r>
      <w:r>
        <w:tab/>
        <w:t>an insurance contract;</w:t>
      </w:r>
    </w:p>
    <w:p>
      <w:pPr>
        <w:pStyle w:val="IndentI0"/>
      </w:pPr>
      <w:r>
        <w:tab/>
        <w:t>(III)</w:t>
      </w:r>
      <w:r>
        <w:tab/>
        <w:t>an infrastructure contract for a common property (utility and sustainability infrastructure) easement;</w:t>
      </w:r>
    </w:p>
    <w:p>
      <w:pPr>
        <w:pStyle w:val="IndentI0"/>
      </w:pPr>
      <w:r>
        <w:tab/>
        <w:t>(IV)</w:t>
      </w:r>
      <w:r>
        <w:tab/>
        <w:t>a contract for services or amenities provided to the strata company or members of the strata company;</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keepNext/>
      </w:pPr>
      <w:r>
        <w:tab/>
        <w:t>(x)</w:t>
      </w:r>
      <w:r>
        <w:tab/>
        <w:t xml:space="preserve">each document it has kept or received under section 63(8) or (9); </w:t>
      </w:r>
    </w:p>
    <w:p>
      <w:pPr>
        <w:pStyle w:val="Indenta"/>
      </w:pPr>
      <w:r>
        <w:tab/>
      </w:r>
      <w:r>
        <w:tab/>
        <w:t>and</w:t>
      </w:r>
    </w:p>
    <w:p>
      <w:pPr>
        <w:pStyle w:val="Indenta"/>
      </w:pPr>
      <w:r>
        <w:tab/>
        <w:t>(d)</w:t>
      </w:r>
      <w:r>
        <w:tab/>
        <w:t>keep the following in a manner that facilitates access to the information, in particular, for use by the members of the council and officers of the strata company —</w:t>
      </w:r>
    </w:p>
    <w:p>
      <w:pPr>
        <w:pStyle w:val="Indenti"/>
      </w:pPr>
      <w:r>
        <w:tab/>
        <w:t>(i)</w:t>
      </w:r>
      <w:r>
        <w:tab/>
        <w:t>the terms of any current resolution about the use of the common seal of the strata company or authorising persons to execute documents on its behalf;</w:t>
      </w:r>
    </w:p>
    <w:p>
      <w:pPr>
        <w:pStyle w:val="Indenti"/>
      </w:pPr>
      <w:r>
        <w:tab/>
        <w:t>(ii)</w:t>
      </w:r>
      <w:r>
        <w:tab/>
        <w:t>the current balance of the administrative fund and, if applicable, the reserve fund of the strata company;</w:t>
      </w:r>
    </w:p>
    <w:p>
      <w:pPr>
        <w:pStyle w:val="Indenti"/>
      </w:pPr>
      <w:r>
        <w:tab/>
        <w:t>(iii)</w:t>
      </w:r>
      <w:r>
        <w:tab/>
        <w:t>the current budget (showing estimated income and expenditure) of the strata company;</w:t>
      </w:r>
    </w:p>
    <w:p>
      <w:pPr>
        <w:pStyle w:val="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Indenti"/>
      </w:pPr>
      <w:r>
        <w:tab/>
        <w:t>(v)</w:t>
      </w:r>
      <w:r>
        <w:tab/>
        <w:t>the most recent 10 year plan, if applicable;</w:t>
      </w:r>
    </w:p>
    <w:p>
      <w:pPr>
        <w:pStyle w:val="Indenti"/>
      </w:pPr>
      <w:r>
        <w:tab/>
        <w:t>(vi)</w:t>
      </w:r>
      <w:r>
        <w:tab/>
        <w:t>any termination proposal submitted to the strata company that remains current.</w:t>
      </w:r>
    </w:p>
    <w:p>
      <w:pPr>
        <w:pStyle w:val="Subsection"/>
      </w:pPr>
      <w:r>
        <w:tab/>
        <w:t>(2)</w:t>
      </w:r>
      <w:r>
        <w:tab/>
        <w:t>The regulations may impose additional requirements for the making or keeping of records by a strata company or about the manner in which this section is to be complied with.</w:t>
      </w:r>
    </w:p>
    <w:p>
      <w:pPr>
        <w:pStyle w:val="Subsection"/>
      </w:pPr>
      <w:r>
        <w:tab/>
        <w:t>(3)</w:t>
      </w:r>
      <w:r>
        <w:tab/>
        <w:t>A strata company must ensure that —</w:t>
      </w:r>
    </w:p>
    <w:p>
      <w:pPr>
        <w:pStyle w:val="Indenta"/>
      </w:pPr>
      <w:r>
        <w:tab/>
        <w:t>(a)</w:t>
      </w:r>
      <w:r>
        <w:tab/>
        <w:t>a letterbox with the name of the strata company clearly shown on it is continuously available and suitably placed on the parcel; and</w:t>
      </w:r>
    </w:p>
    <w:p>
      <w:pPr>
        <w:pStyle w:val="Indenta"/>
        <w:keepNext/>
      </w:pPr>
      <w:r>
        <w:tab/>
        <w:t>(b)</w:t>
      </w:r>
      <w:r>
        <w:tab/>
        <w:t>a mechanism for corresponding with the strata company electronically is reasonably available to —</w:t>
      </w:r>
    </w:p>
    <w:p>
      <w:pPr>
        <w:pStyle w:val="Indenti"/>
      </w:pPr>
      <w:r>
        <w:tab/>
        <w:t>(i)</w:t>
      </w:r>
      <w:r>
        <w:tab/>
        <w:t>members of the strata company; and</w:t>
      </w:r>
    </w:p>
    <w:p>
      <w:pPr>
        <w:pStyle w:val="Indenti"/>
      </w:pPr>
      <w:r>
        <w:tab/>
        <w:t>(ii)</w:t>
      </w:r>
      <w:r>
        <w:tab/>
        <w:t>occupiers of lots in the strata titles scheme.</w:t>
      </w:r>
    </w:p>
    <w:p>
      <w:pPr>
        <w:pStyle w:val="Footnotesection"/>
      </w:pPr>
      <w:r>
        <w:tab/>
        <w:t>[Section 104 inserted: No. 30 of 2018 s. 83.]</w:t>
      </w:r>
    </w:p>
    <w:p>
      <w:pPr>
        <w:pStyle w:val="Heading5"/>
        <w:rPr>
          <w:snapToGrid w:val="0"/>
        </w:rPr>
      </w:pPr>
      <w:bookmarkStart w:id="370" w:name="_Toc106986727"/>
      <w:bookmarkStart w:id="371" w:name="_Toc100565025"/>
      <w:r>
        <w:rPr>
          <w:rStyle w:val="CharSectno"/>
        </w:rPr>
        <w:t>105</w:t>
      </w:r>
      <w:r>
        <w:rPr>
          <w:snapToGrid w:val="0"/>
        </w:rPr>
        <w:t>.</w:t>
      </w:r>
      <w:r>
        <w:rPr>
          <w:snapToGrid w:val="0"/>
        </w:rPr>
        <w:tab/>
        <w:t>Roll to be kept by strata company</w:t>
      </w:r>
      <w:bookmarkEnd w:id="370"/>
      <w:bookmarkEnd w:id="371"/>
    </w:p>
    <w:p>
      <w:pPr>
        <w:pStyle w:val="Subsection"/>
        <w:rPr>
          <w:snapToGrid w:val="0"/>
        </w:rPr>
      </w:pPr>
      <w:r>
        <w:rPr>
          <w:snapToGrid w:val="0"/>
        </w:rPr>
        <w:tab/>
        <w:t>(1)</w:t>
      </w:r>
      <w:r>
        <w:rPr>
          <w:snapToGrid w:val="0"/>
        </w:rPr>
        <w:tab/>
        <w:t xml:space="preserve">A strata company </w:t>
      </w:r>
      <w:r>
        <w:t>must</w:t>
      </w:r>
      <w:r>
        <w:rPr>
          <w:snapToGrid w:val="0"/>
        </w:rPr>
        <w:t xml:space="preserve"> prepare and maintain a roll containing the particulars required by subsection (4).</w:t>
      </w:r>
    </w:p>
    <w:p>
      <w:pPr>
        <w:pStyle w:val="Penstart"/>
      </w:pPr>
      <w:r>
        <w:tab/>
        <w:t>Penalty for this subsection: a fine of $3 000.</w:t>
      </w:r>
    </w:p>
    <w:p>
      <w:pPr>
        <w:pStyle w:val="Subsection"/>
        <w:rPr>
          <w:snapToGrid w:val="0"/>
        </w:rPr>
      </w:pPr>
      <w:r>
        <w:rPr>
          <w:snapToGrid w:val="0"/>
        </w:rPr>
        <w:tab/>
        <w:t>(2)</w:t>
      </w:r>
      <w:r>
        <w:rPr>
          <w:snapToGrid w:val="0"/>
        </w:rPr>
        <w:tab/>
        <w:t>The roll may be kept in any medium.</w:t>
      </w:r>
    </w:p>
    <w:p>
      <w:pPr>
        <w:pStyle w:val="Subsection"/>
        <w:keepNext/>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 xml:space="preserve">subject to subsection (5), information provided by, or on behalf of, </w:t>
      </w:r>
      <w:r>
        <w:t>an owner</w:t>
      </w:r>
      <w:r>
        <w:rPr>
          <w:snapToGrid w:val="0"/>
        </w:rPr>
        <w:t xml:space="preserve"> or a mortgagee of a lot.</w:t>
      </w:r>
    </w:p>
    <w:p>
      <w:pPr>
        <w:pStyle w:val="Subsection"/>
      </w:pPr>
      <w:r>
        <w:tab/>
        <w:t>(4)</w:t>
      </w:r>
      <w:r>
        <w:tab/>
        <w:t>The particulars to be entered in the roll are —</w:t>
      </w:r>
    </w:p>
    <w:p>
      <w:pPr>
        <w:pStyle w:val="Indenta"/>
      </w:pPr>
      <w:r>
        <w:tab/>
        <w:t>(a)</w:t>
      </w:r>
      <w:r>
        <w:tab/>
        <w:t>the name of the strata company; and</w:t>
      </w:r>
    </w:p>
    <w:p>
      <w:pPr>
        <w:pStyle w:val="Indenta"/>
      </w:pPr>
      <w:r>
        <w:tab/>
        <w:t>(b)</w:t>
      </w:r>
      <w:r>
        <w:tab/>
        <w:t>the name and address for service of each member of the council, or officer, of the strata company; and</w:t>
      </w:r>
    </w:p>
    <w:p>
      <w:pPr>
        <w:pStyle w:val="Indenta"/>
      </w:pPr>
      <w:r>
        <w:tab/>
        <w:t>(c)</w:t>
      </w:r>
      <w:r>
        <w:tab/>
        <w:t>the name and address for service of the owner of each lot; and</w:t>
      </w:r>
    </w:p>
    <w:p>
      <w:pPr>
        <w:pStyle w:val="Indenta"/>
      </w:pPr>
      <w:r>
        <w:tab/>
        <w:t>(d)</w:t>
      </w:r>
      <w:r>
        <w:tab/>
        <w:t>the name and address for service of each strata manager of the strata company; and</w:t>
      </w:r>
    </w:p>
    <w:p>
      <w:pPr>
        <w:pStyle w:val="Indenta"/>
      </w:pPr>
      <w:r>
        <w:tab/>
        <w:t>(e)</w:t>
      </w:r>
      <w:r>
        <w:tab/>
        <w:t>the name and address for service of any lessee or tenant of a lot notified to the strata company; and</w:t>
      </w:r>
    </w:p>
    <w:p>
      <w:pPr>
        <w:pStyle w:val="Indenta"/>
      </w:pPr>
      <w:r>
        <w:tab/>
        <w:t>(f)</w:t>
      </w:r>
      <w:r>
        <w:tab/>
        <w:t>the name and address for service of any mortgagee of a lot notified to the strata company.</w:t>
      </w:r>
    </w:p>
    <w:p>
      <w:pPr>
        <w:pStyle w:val="Subsection"/>
        <w:keepNext/>
        <w:rPr>
          <w:snapToGrid w:val="0"/>
        </w:rPr>
      </w:pPr>
      <w:r>
        <w:rPr>
          <w:snapToGrid w:val="0"/>
        </w:rPr>
        <w:tab/>
        <w:t>(5)</w:t>
      </w:r>
      <w:r>
        <w:rPr>
          <w:snapToGrid w:val="0"/>
        </w:rPr>
        <w:tab/>
        <w:t xml:space="preserve">A strata company </w:t>
      </w:r>
      <w:r>
        <w:t>must</w:t>
      </w:r>
      <w:r>
        <w:rPr>
          <w:snapToGrid w:val="0"/>
        </w:rPr>
        <w:t xml:space="preserve">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105, formerly section 35A, inserted: No. 58 of 1995 s. 38(1); amended, renumbered as section 105 and relocated: No. 30 of 2018 s. 48 and 84.]</w:t>
      </w:r>
    </w:p>
    <w:p>
      <w:pPr>
        <w:pStyle w:val="Heading5"/>
        <w:rPr>
          <w:snapToGrid w:val="0"/>
        </w:rPr>
      </w:pPr>
      <w:bookmarkStart w:id="372" w:name="_Toc106986728"/>
      <w:bookmarkStart w:id="373" w:name="_Toc100565026"/>
      <w:r>
        <w:rPr>
          <w:rStyle w:val="CharSectno"/>
        </w:rPr>
        <w:t>106</w:t>
      </w:r>
      <w:r>
        <w:rPr>
          <w:snapToGrid w:val="0"/>
        </w:rPr>
        <w:t>.</w:t>
      </w:r>
      <w:r>
        <w:rPr>
          <w:snapToGrid w:val="0"/>
        </w:rPr>
        <w:tab/>
        <w:t>Address for service if no roll maintained in 2, 3, 4 or 5</w:t>
      </w:r>
      <w:r>
        <w:rPr>
          <w:snapToGrid w:val="0"/>
        </w:rPr>
        <w:noBreakHyphen/>
        <w:t>lot scheme</w:t>
      </w:r>
      <w:bookmarkEnd w:id="372"/>
      <w:bookmarkEnd w:id="373"/>
    </w:p>
    <w:p>
      <w:pPr>
        <w:pStyle w:val="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Penstart"/>
        <w:rPr>
          <w:snapToGrid w:val="0"/>
        </w:rPr>
      </w:pPr>
      <w:r>
        <w:rPr>
          <w:snapToGrid w:val="0"/>
        </w:rPr>
        <w:tab/>
        <w:t>Penalty for this subsection: a fine of $3 000.</w:t>
      </w:r>
    </w:p>
    <w:p>
      <w:pPr>
        <w:pStyle w:val="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Penstart"/>
        <w:rPr>
          <w:snapToGrid w:val="0"/>
        </w:rPr>
      </w:pPr>
      <w:r>
        <w:rPr>
          <w:snapToGrid w:val="0"/>
        </w:rPr>
        <w:tab/>
        <w:t>Penalty for this subsection: a fine of $3 000.</w:t>
      </w:r>
    </w:p>
    <w:p>
      <w:pPr>
        <w:pStyle w:val="Footnotesection"/>
      </w:pPr>
      <w:r>
        <w:tab/>
        <w:t>[Section 106 inserted: No. 30 of 2018 s. 83.]</w:t>
      </w:r>
    </w:p>
    <w:p>
      <w:pPr>
        <w:pStyle w:val="Heading4"/>
      </w:pPr>
      <w:bookmarkStart w:id="374" w:name="_Toc106986293"/>
      <w:bookmarkStart w:id="375" w:name="_Toc106986729"/>
      <w:bookmarkStart w:id="376" w:name="_Toc100308307"/>
      <w:bookmarkStart w:id="377" w:name="_Toc100308743"/>
      <w:bookmarkStart w:id="378" w:name="_Toc100565027"/>
      <w:r>
        <w:t>Subdivision 6 — Provision of information</w:t>
      </w:r>
      <w:bookmarkEnd w:id="374"/>
      <w:bookmarkEnd w:id="375"/>
      <w:bookmarkEnd w:id="376"/>
      <w:bookmarkEnd w:id="377"/>
      <w:bookmarkEnd w:id="378"/>
    </w:p>
    <w:p>
      <w:pPr>
        <w:pStyle w:val="Footnoteheading"/>
      </w:pPr>
      <w:r>
        <w:tab/>
        <w:t>[Heading inserted: No. 30 of 2018 s. 83.]</w:t>
      </w:r>
    </w:p>
    <w:p>
      <w:pPr>
        <w:pStyle w:val="Heading5"/>
      </w:pPr>
      <w:bookmarkStart w:id="379" w:name="_Toc106986730"/>
      <w:bookmarkStart w:id="380" w:name="_Toc100565028"/>
      <w:r>
        <w:rPr>
          <w:rStyle w:val="CharSectno"/>
        </w:rPr>
        <w:t>107</w:t>
      </w:r>
      <w:r>
        <w:t>.</w:t>
      </w:r>
      <w:r>
        <w:tab/>
        <w:t>Application by person with proper interest in information</w:t>
      </w:r>
      <w:bookmarkEnd w:id="379"/>
      <w:bookmarkEnd w:id="380"/>
    </w:p>
    <w:p>
      <w:pPr>
        <w:pStyle w:val="Subsection"/>
      </w:pPr>
      <w:r>
        <w:tab/>
        <w:t>(1)</w:t>
      </w:r>
      <w:r>
        <w:tab/>
        <w:t>A person with a proper interest in information about a strata titles scheme, or a person authorised in writing by such a person, may apply in writing to the strata company for the scheme for —</w:t>
      </w:r>
    </w:p>
    <w:p>
      <w:pPr>
        <w:pStyle w:val="Indenta"/>
      </w:pPr>
      <w:r>
        <w:tab/>
        <w:t>(a)</w:t>
      </w:r>
      <w:r>
        <w:tab/>
        <w:t>information under section 108; or</w:t>
      </w:r>
    </w:p>
    <w:p>
      <w:pPr>
        <w:pStyle w:val="Indenta"/>
      </w:pPr>
      <w:r>
        <w:tab/>
        <w:t>(b)</w:t>
      </w:r>
      <w:r>
        <w:tab/>
        <w:t>inspection of material under section 109; or</w:t>
      </w:r>
    </w:p>
    <w:p>
      <w:pPr>
        <w:pStyle w:val="Indenta"/>
      </w:pPr>
      <w:r>
        <w:tab/>
        <w:t>(c)</w:t>
      </w:r>
      <w:r>
        <w:tab/>
        <w:t>a certificate under section 110.</w:t>
      </w:r>
    </w:p>
    <w:p>
      <w:pPr>
        <w:pStyle w:val="Subsection"/>
        <w:keepNext/>
      </w:pPr>
      <w:r>
        <w:tab/>
        <w:t>(2)</w:t>
      </w:r>
      <w:r>
        <w:tab/>
        <w:t xml:space="preserve">A person has a </w:t>
      </w:r>
      <w:r>
        <w:rPr>
          <w:rStyle w:val="CharDefText"/>
        </w:rPr>
        <w:t>proper interest in information about a strata titles scheme</w:t>
      </w:r>
      <w:r>
        <w:t xml:space="preserve"> if the person is —</w:t>
      </w:r>
    </w:p>
    <w:p>
      <w:pPr>
        <w:pStyle w:val="Indenta"/>
      </w:pPr>
      <w:r>
        <w:tab/>
        <w:t>(a)</w:t>
      </w:r>
      <w:r>
        <w:tab/>
        <w:t>a member of the strata company for the scheme; or</w:t>
      </w:r>
    </w:p>
    <w:p>
      <w:pPr>
        <w:pStyle w:val="Indenta"/>
      </w:pPr>
      <w:r>
        <w:tab/>
        <w:t>(b)</w:t>
      </w:r>
      <w:r>
        <w:tab/>
        <w:t>a buyer who has entered into a contract for the sale and purchase of a lot in the strata titles scheme; or</w:t>
      </w:r>
    </w:p>
    <w:p>
      <w:pPr>
        <w:pStyle w:val="Indenta"/>
      </w:pPr>
      <w:r>
        <w:tab/>
        <w:t>(c)</w:t>
      </w:r>
      <w:r>
        <w:tab/>
        <w:t>a mortgagee of a lot in the strata titles scheme; or</w:t>
      </w:r>
    </w:p>
    <w:p>
      <w:pPr>
        <w:pStyle w:val="Indenta"/>
      </w:pPr>
      <w:r>
        <w:tab/>
        <w:t>(d)</w:t>
      </w:r>
      <w:r>
        <w:tab/>
        <w:t>a person of a class specified in the regulations.</w:t>
      </w:r>
    </w:p>
    <w:p>
      <w:pPr>
        <w:pStyle w:val="Subsection"/>
      </w:pPr>
      <w:r>
        <w:tab/>
        <w:t>(3)</w:t>
      </w:r>
      <w:r>
        <w:tab/>
        <w:t>A strata company may charge a fee for an application under this section.</w:t>
      </w:r>
    </w:p>
    <w:p>
      <w:pPr>
        <w:pStyle w:val="Subsection"/>
      </w:pPr>
      <w:r>
        <w:tab/>
        <w:t>(4)</w:t>
      </w:r>
      <w:r>
        <w:tab/>
        <w:t>However, any fee that is charged must not exceed an amount fixed by the regulations.</w:t>
      </w:r>
    </w:p>
    <w:p>
      <w:pPr>
        <w:pStyle w:val="Footnotesection"/>
      </w:pPr>
      <w:r>
        <w:tab/>
        <w:t>[Section 107 inserted: No. 30 of 2018 s. 83.]</w:t>
      </w:r>
    </w:p>
    <w:p>
      <w:pPr>
        <w:pStyle w:val="Heading5"/>
      </w:pPr>
      <w:bookmarkStart w:id="381" w:name="_Toc106986731"/>
      <w:bookmarkStart w:id="382" w:name="_Toc100565029"/>
      <w:r>
        <w:rPr>
          <w:rStyle w:val="CharSectno"/>
        </w:rPr>
        <w:t>108</w:t>
      </w:r>
      <w:r>
        <w:t>.</w:t>
      </w:r>
      <w:r>
        <w:tab/>
        <w:t>Contact information</w:t>
      </w:r>
      <w:bookmarkEnd w:id="381"/>
      <w:bookmarkEnd w:id="382"/>
    </w:p>
    <w:p>
      <w:pPr>
        <w:pStyle w:val="Subsection"/>
      </w:pPr>
      <w:r>
        <w:tab/>
      </w:r>
      <w:r>
        <w:tab/>
        <w:t>A strata company commits an offence if it does not, within 14 days after being given an application for contact information under section 107, provide the applicant with the following as stated in the application —</w:t>
      </w:r>
    </w:p>
    <w:p>
      <w:pPr>
        <w:pStyle w:val="Indenta"/>
      </w:pPr>
      <w:r>
        <w:tab/>
        <w:t>(a)</w:t>
      </w:r>
      <w:r>
        <w:tab/>
        <w:t>the name and address for service of a member of the council of the strata company;</w:t>
      </w:r>
    </w:p>
    <w:p>
      <w:pPr>
        <w:pStyle w:val="Indenta"/>
      </w:pPr>
      <w:r>
        <w:tab/>
        <w:t>(b)</w:t>
      </w:r>
      <w:r>
        <w:tab/>
        <w:t>the name and address for service of an officer of the strata company;</w:t>
      </w:r>
    </w:p>
    <w:p>
      <w:pPr>
        <w:pStyle w:val="Penstart"/>
      </w:pPr>
      <w:r>
        <w:tab/>
      </w:r>
      <w:r>
        <w:rPr>
          <w:snapToGrid w:val="0"/>
        </w:rPr>
        <w:t>Penalty: a fine of $3 000.</w:t>
      </w:r>
    </w:p>
    <w:p>
      <w:pPr>
        <w:pStyle w:val="Footnotesection"/>
      </w:pPr>
      <w:r>
        <w:tab/>
        <w:t>[Section 108 inserted: No. 30 of 2018 s. 83.]</w:t>
      </w:r>
    </w:p>
    <w:p>
      <w:pPr>
        <w:pStyle w:val="Heading5"/>
      </w:pPr>
      <w:bookmarkStart w:id="383" w:name="_Toc106986732"/>
      <w:bookmarkStart w:id="384" w:name="_Toc100565030"/>
      <w:r>
        <w:rPr>
          <w:rStyle w:val="CharSectno"/>
        </w:rPr>
        <w:t>109</w:t>
      </w:r>
      <w:r>
        <w:t>.</w:t>
      </w:r>
      <w:r>
        <w:tab/>
        <w:t>Inspection of material</w:t>
      </w:r>
      <w:bookmarkEnd w:id="383"/>
      <w:bookmarkEnd w:id="384"/>
    </w:p>
    <w:p>
      <w:pPr>
        <w:pStyle w:val="Subsection"/>
      </w:pPr>
      <w:r>
        <w:tab/>
        <w:t>(1)</w:t>
      </w:r>
      <w:r>
        <w:tab/>
        <w:t>A strata company commits an offence if, on application for inspection under section 107, it does not make material to which this section applies available for inspection by the applicant at a place and time —</w:t>
      </w:r>
    </w:p>
    <w:p>
      <w:pPr>
        <w:pStyle w:val="Indenta"/>
      </w:pPr>
      <w:r>
        <w:tab/>
        <w:t>(a)</w:t>
      </w:r>
      <w:r>
        <w:tab/>
        <w:t>agreed between the strata company and the person; or</w:t>
      </w:r>
    </w:p>
    <w:p>
      <w:pPr>
        <w:pStyle w:val="Indenta"/>
      </w:pPr>
      <w:r>
        <w:tab/>
        <w:t>(b)</w:t>
      </w:r>
      <w:r>
        <w:tab/>
        <w:t>if agreement is not reached within 3 days after the strata company is given the application, specified in a written notice given by the strata company to the person.</w:t>
      </w:r>
    </w:p>
    <w:p>
      <w:pPr>
        <w:pStyle w:val="Penstart"/>
        <w:rPr>
          <w:snapToGrid w:val="0"/>
        </w:rPr>
      </w:pPr>
      <w:r>
        <w:rPr>
          <w:snapToGrid w:val="0"/>
        </w:rPr>
        <w:tab/>
        <w:t>Penalty for this subsection: a fine of $3 000.</w:t>
      </w:r>
    </w:p>
    <w:p>
      <w:pPr>
        <w:pStyle w:val="Subsection"/>
      </w:pPr>
      <w:r>
        <w:tab/>
        <w:t>(2)</w:t>
      </w:r>
      <w:r>
        <w:tab/>
        <w:t>The time specified in a notice under subsection (1)(b) must be between 9am and 5pm on a day not more than 10 days after the strata company is given the application.</w:t>
      </w:r>
    </w:p>
    <w:p>
      <w:pPr>
        <w:pStyle w:val="Subsection"/>
      </w:pPr>
      <w:r>
        <w:tab/>
        <w:t>(3)</w:t>
      </w:r>
      <w:r>
        <w:tab/>
        <w:t>The material may be made available in electronic or hard copy form.</w:t>
      </w:r>
    </w:p>
    <w:p>
      <w:pPr>
        <w:pStyle w:val="Subsection"/>
        <w:keepNext/>
      </w:pPr>
      <w:r>
        <w:tab/>
        <w:t>(4)</w:t>
      </w:r>
      <w:r>
        <w:tab/>
        <w:t>A person inspecting material under this section —</w:t>
      </w:r>
    </w:p>
    <w:p>
      <w:pPr>
        <w:pStyle w:val="Indenta"/>
      </w:pPr>
      <w:r>
        <w:tab/>
        <w:t>(a)</w:t>
      </w:r>
      <w:r>
        <w:tab/>
        <w:t>may take extracts from, or make a copy of, the material, including by photographing it, subject to any limitations specified in the regulations; and</w:t>
      </w:r>
    </w:p>
    <w:p>
      <w:pPr>
        <w:pStyle w:val="Indenta"/>
      </w:pPr>
      <w:r>
        <w:tab/>
        <w:t>(b)</w:t>
      </w:r>
      <w:r>
        <w:tab/>
        <w:t>must not, without the consent of the strata company, remove physical material from the custody of the strata company; and</w:t>
      </w:r>
    </w:p>
    <w:p>
      <w:pPr>
        <w:pStyle w:val="Indenta"/>
      </w:pPr>
      <w:r>
        <w:tab/>
        <w:t>(c)</w:t>
      </w:r>
      <w:r>
        <w:tab/>
        <w:t>must not alter, damage, conceal or destroy any material or entry.</w:t>
      </w:r>
    </w:p>
    <w:p>
      <w:pPr>
        <w:pStyle w:val="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104;</w:t>
      </w:r>
    </w:p>
    <w:p>
      <w:pPr>
        <w:pStyle w:val="Indenta"/>
      </w:pPr>
      <w:r>
        <w:tab/>
        <w:t>(b)</w:t>
      </w:r>
      <w:r>
        <w:tab/>
        <w:t>the roll kept under section 105;</w:t>
      </w:r>
    </w:p>
    <w:p>
      <w:pPr>
        <w:pStyle w:val="Indenta"/>
      </w:pPr>
      <w:r>
        <w:tab/>
        <w:t>(c)</w:t>
      </w:r>
      <w:r>
        <w:tab/>
        <w:t>other documents in the possession or control of the strata company.</w:t>
      </w:r>
    </w:p>
    <w:p>
      <w:pPr>
        <w:pStyle w:val="Footnotesection"/>
      </w:pPr>
      <w:r>
        <w:tab/>
        <w:t>[Section 109 inserted: No. 30 of 2018 s. 83.]</w:t>
      </w:r>
    </w:p>
    <w:p>
      <w:pPr>
        <w:pStyle w:val="Heading5"/>
      </w:pPr>
      <w:bookmarkStart w:id="385" w:name="_Toc106986733"/>
      <w:bookmarkStart w:id="386" w:name="_Toc100565031"/>
      <w:r>
        <w:rPr>
          <w:rStyle w:val="CharSectno"/>
        </w:rPr>
        <w:t>110</w:t>
      </w:r>
      <w:r>
        <w:t>.</w:t>
      </w:r>
      <w:r>
        <w:tab/>
        <w:t>Certificates</w:t>
      </w:r>
      <w:bookmarkEnd w:id="385"/>
      <w:bookmarkEnd w:id="386"/>
    </w:p>
    <w:p>
      <w:pPr>
        <w:pStyle w:val="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Indenta"/>
      </w:pPr>
      <w:r>
        <w:tab/>
        <w:t>(a)</w:t>
      </w:r>
      <w:r>
        <w:tab/>
        <w:t>whether or not a strata management contract is in effect and, if so, when the contract starts and ends;</w:t>
      </w:r>
    </w:p>
    <w:p>
      <w:pPr>
        <w:pStyle w:val="Indenta"/>
      </w:pPr>
      <w:r>
        <w:tab/>
        <w:t>(b)</w:t>
      </w:r>
      <w:r>
        <w:tab/>
        <w:t>details of any contracts of insurance maintained by the strata company, including the name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keepNext/>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Indenta"/>
      </w:pPr>
      <w:r>
        <w:tab/>
        <w:t>(a)</w:t>
      </w:r>
      <w:r>
        <w:tab/>
        <w:t>the amount and due date of contributions determined for the lot —</w:t>
      </w:r>
    </w:p>
    <w:p>
      <w:pPr>
        <w:pStyle w:val="Indenti"/>
      </w:pPr>
      <w:r>
        <w:tab/>
        <w:t>(i)</w:t>
      </w:r>
      <w:r>
        <w:tab/>
        <w:t>at the most recent annual general meeting of the strata company;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the strata company by the owner or occupier of the lot that is outstanding, the date on which it became outstanding, and the nature of the payment;</w:t>
      </w:r>
    </w:p>
    <w:p>
      <w:pPr>
        <w:pStyle w:val="PermNoteHeading"/>
      </w:pPr>
      <w:r>
        <w:tab/>
        <w:t>Note for this paragraph:</w:t>
      </w:r>
    </w:p>
    <w:p>
      <w:pPr>
        <w:pStyle w:val="PermNoteText"/>
      </w:pPr>
      <w:r>
        <w:tab/>
      </w:r>
      <w:r>
        <w:tab/>
        <w:t>For example, the amount may be an amount of —</w:t>
      </w:r>
    </w:p>
    <w:p>
      <w:pPr>
        <w:pStyle w:val="PermNoteText"/>
        <w:numPr>
          <w:ilvl w:val="0"/>
          <w:numId w:val="34"/>
        </w:numPr>
        <w:ind w:left="1701" w:hanging="283"/>
      </w:pPr>
      <w:r>
        <w:t>contributions; or</w:t>
      </w:r>
    </w:p>
    <w:p>
      <w:pPr>
        <w:pStyle w:val="PermNoteText"/>
        <w:numPr>
          <w:ilvl w:val="0"/>
          <w:numId w:val="34"/>
        </w:numPr>
        <w:ind w:left="1701" w:hanging="283"/>
      </w:pPr>
      <w:r>
        <w:t>an amount payable under exclusive use by</w:t>
      </w:r>
      <w:r>
        <w:noBreakHyphen/>
        <w:t>laws; or</w:t>
      </w:r>
    </w:p>
    <w:p>
      <w:pPr>
        <w:pStyle w:val="PermNoteText"/>
        <w:numPr>
          <w:ilvl w:val="0"/>
          <w:numId w:val="34"/>
        </w:numPr>
        <w:ind w:left="1701" w:hanging="283"/>
      </w:pPr>
      <w:r>
        <w:t>an amount payable for work undertaken on the part of the owner of the lot; or</w:t>
      </w:r>
    </w:p>
    <w:p>
      <w:pPr>
        <w:pStyle w:val="PermNoteText"/>
        <w:numPr>
          <w:ilvl w:val="0"/>
          <w:numId w:val="34"/>
        </w:numPr>
        <w:ind w:left="1701" w:hanging="283"/>
      </w:pPr>
      <w:r>
        <w:t>any penalty or other amount ordered to be paid by the Tribunal; or</w:t>
      </w:r>
    </w:p>
    <w:p>
      <w:pPr>
        <w:pStyle w:val="PermNoteText"/>
        <w:numPr>
          <w:ilvl w:val="0"/>
          <w:numId w:val="34"/>
        </w:numPr>
        <w:ind w:left="1701" w:hanging="28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Footnotesection"/>
      </w:pPr>
      <w:r>
        <w:tab/>
        <w:t>[Section 110 inserted: No. 30 of 2018 s. 83.]</w:t>
      </w:r>
    </w:p>
    <w:p>
      <w:pPr>
        <w:pStyle w:val="Heading5"/>
      </w:pPr>
      <w:bookmarkStart w:id="387" w:name="_Toc106986734"/>
      <w:bookmarkStart w:id="388" w:name="_Toc100565032"/>
      <w:r>
        <w:rPr>
          <w:rStyle w:val="CharSectno"/>
        </w:rPr>
        <w:t>111</w:t>
      </w:r>
      <w:r>
        <w:t>.</w:t>
      </w:r>
      <w:r>
        <w:tab/>
        <w:t>Legal professional privilege and defamation</w:t>
      </w:r>
      <w:bookmarkEnd w:id="387"/>
      <w:bookmarkEnd w:id="388"/>
    </w:p>
    <w:p>
      <w:pPr>
        <w:pStyle w:val="Subsection"/>
        <w:keepNext/>
        <w:rPr>
          <w:snapToGrid w:val="0"/>
        </w:rPr>
      </w:pPr>
      <w:r>
        <w:tab/>
        <w:t>(1)</w:t>
      </w:r>
      <w:r>
        <w:tab/>
      </w:r>
      <w:r>
        <w:rPr>
          <w:snapToGrid w:val="0"/>
        </w:rPr>
        <w:t>Nothing in this Subdivision requires a strata company —</w:t>
      </w:r>
    </w:p>
    <w:p>
      <w:pPr>
        <w:pStyle w:val="Indenta"/>
      </w:pPr>
      <w:r>
        <w:tab/>
        <w:t>(a)</w:t>
      </w:r>
      <w:r>
        <w:tab/>
        <w:t>to give or certify any information that is the subject of legal professional privilege; or</w:t>
      </w:r>
    </w:p>
    <w:p>
      <w:pPr>
        <w:pStyle w:val="Indenta"/>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pPr>
      <w:r>
        <w:tab/>
        <w:t>(a)</w:t>
      </w:r>
      <w:r>
        <w:tab/>
        <w:t>the defamatory matter was contained in information or a document mentioned in this Subdivision; and</w:t>
      </w:r>
    </w:p>
    <w:p>
      <w:pPr>
        <w:pStyle w:val="Indenta"/>
      </w:pPr>
      <w:r>
        <w:tab/>
        <w:t>(b)</w:t>
      </w:r>
      <w:r>
        <w:tab/>
        <w:t>the publication consisted of giving or certifying the information, or making the document available, in accordance with this Subdivision.</w:t>
      </w:r>
    </w:p>
    <w:p>
      <w:pPr>
        <w:pStyle w:val="Footnotesection"/>
      </w:pPr>
      <w:r>
        <w:tab/>
        <w:t>[Section 111 inserted: No. 30 of 2018 s. 83.]</w:t>
      </w:r>
    </w:p>
    <w:p>
      <w:pPr>
        <w:pStyle w:val="Heading4"/>
        <w:keepLines/>
      </w:pPr>
      <w:bookmarkStart w:id="389" w:name="_Toc106986299"/>
      <w:bookmarkStart w:id="390" w:name="_Toc106986735"/>
      <w:bookmarkStart w:id="391" w:name="_Toc100308313"/>
      <w:bookmarkStart w:id="392" w:name="_Toc100308749"/>
      <w:bookmarkStart w:id="393" w:name="_Toc100565033"/>
      <w:r>
        <w:t>Subdivision 7 — Miscellaneous powers</w:t>
      </w:r>
      <w:bookmarkEnd w:id="389"/>
      <w:bookmarkEnd w:id="390"/>
      <w:bookmarkEnd w:id="391"/>
      <w:bookmarkEnd w:id="392"/>
      <w:bookmarkEnd w:id="393"/>
    </w:p>
    <w:p>
      <w:pPr>
        <w:pStyle w:val="Footnoteheading"/>
        <w:keepNext/>
        <w:keepLines/>
      </w:pPr>
      <w:r>
        <w:tab/>
        <w:t>[Heading inserted: No. 30 of 2018 s. 83.]</w:t>
      </w:r>
    </w:p>
    <w:p>
      <w:pPr>
        <w:pStyle w:val="Heading5"/>
      </w:pPr>
      <w:bookmarkStart w:id="394" w:name="_Toc106986736"/>
      <w:bookmarkStart w:id="395" w:name="_Toc100565034"/>
      <w:r>
        <w:rPr>
          <w:rStyle w:val="CharSectno"/>
        </w:rPr>
        <w:t>112</w:t>
      </w:r>
      <w:r>
        <w:t>.</w:t>
      </w:r>
      <w:r>
        <w:tab/>
        <w:t>Compliance with scheme by</w:t>
      </w:r>
      <w:r>
        <w:noBreakHyphen/>
        <w:t>laws</w:t>
      </w:r>
      <w:bookmarkEnd w:id="394"/>
      <w:bookmarkEnd w:id="395"/>
    </w:p>
    <w:p>
      <w:pPr>
        <w:pStyle w:val="Subsection"/>
      </w:pPr>
      <w:r>
        <w:tab/>
      </w:r>
      <w:r>
        <w:tab/>
        <w:t>A strata company has the function of complying with the scheme by</w:t>
      </w:r>
      <w:r>
        <w:noBreakHyphen/>
        <w:t>laws and enforcing compliance with those by</w:t>
      </w:r>
      <w:r>
        <w:noBreakHyphen/>
        <w:t>laws by others to whom they apply.</w:t>
      </w:r>
    </w:p>
    <w:p>
      <w:pPr>
        <w:pStyle w:val="Footnotesection"/>
      </w:pPr>
      <w:r>
        <w:tab/>
        <w:t>[Section 112 inserted: No. 30 of 2018 s. 83.]</w:t>
      </w:r>
    </w:p>
    <w:p>
      <w:pPr>
        <w:pStyle w:val="Heading5"/>
      </w:pPr>
      <w:bookmarkStart w:id="396" w:name="_Toc106986737"/>
      <w:bookmarkStart w:id="397" w:name="_Toc100565035"/>
      <w:r>
        <w:rPr>
          <w:rStyle w:val="CharSectno"/>
        </w:rPr>
        <w:t>113</w:t>
      </w:r>
      <w:r>
        <w:t>.</w:t>
      </w:r>
      <w:r>
        <w:tab/>
        <w:t>Enforcement of road laws</w:t>
      </w:r>
      <w:bookmarkEnd w:id="396"/>
      <w:bookmarkEnd w:id="397"/>
    </w:p>
    <w:p>
      <w:pPr>
        <w:pStyle w:val="Subsection"/>
      </w:pPr>
      <w:r>
        <w:tab/>
      </w:r>
      <w:r>
        <w:tab/>
        <w:t>A strata company may enter into a contract or arrangement with a local government about the enforcement of laws relating to roads on the parcel.</w:t>
      </w:r>
    </w:p>
    <w:p>
      <w:pPr>
        <w:pStyle w:val="Footnotesection"/>
      </w:pPr>
      <w:r>
        <w:tab/>
        <w:t>[Section 113 inserted: No. 30 of 2018 s. 83.]</w:t>
      </w:r>
    </w:p>
    <w:p>
      <w:pPr>
        <w:pStyle w:val="Heading5"/>
      </w:pPr>
      <w:bookmarkStart w:id="398" w:name="_Toc106986738"/>
      <w:bookmarkStart w:id="399" w:name="_Toc100565036"/>
      <w:r>
        <w:rPr>
          <w:rStyle w:val="CharSectno"/>
        </w:rPr>
        <w:t>114</w:t>
      </w:r>
      <w:r>
        <w:t>.</w:t>
      </w:r>
      <w:r>
        <w:tab/>
        <w:t>Enforcement of local laws</w:t>
      </w:r>
      <w:bookmarkEnd w:id="398"/>
      <w:bookmarkEnd w:id="399"/>
    </w:p>
    <w:p>
      <w:pPr>
        <w:pStyle w:val="Subsection"/>
      </w:pPr>
      <w:r>
        <w:tab/>
      </w:r>
      <w:r>
        <w:tab/>
        <w:t>A strata company may enter into a contract or arrangement with a local government about the enforcement of a local law on the parcel.</w:t>
      </w:r>
    </w:p>
    <w:p>
      <w:pPr>
        <w:pStyle w:val="Footnotesection"/>
      </w:pPr>
      <w:r>
        <w:tab/>
        <w:t>[Section 114 inserted: No. 30 of 2018 s. 83.]</w:t>
      </w:r>
    </w:p>
    <w:p>
      <w:pPr>
        <w:pStyle w:val="Heading5"/>
        <w:rPr>
          <w:snapToGrid w:val="0"/>
        </w:rPr>
      </w:pPr>
      <w:bookmarkStart w:id="400" w:name="_Toc106986739"/>
      <w:bookmarkStart w:id="401" w:name="_Toc100565037"/>
      <w:r>
        <w:rPr>
          <w:rStyle w:val="CharSectno"/>
        </w:rPr>
        <w:t>115</w:t>
      </w:r>
      <w:r>
        <w:rPr>
          <w:snapToGrid w:val="0"/>
        </w:rPr>
        <w:t>.</w:t>
      </w:r>
      <w:r>
        <w:rPr>
          <w:snapToGrid w:val="0"/>
        </w:rPr>
        <w:tab/>
        <w:t>Power to terminate certain contracts for amenities or services</w:t>
      </w:r>
      <w:bookmarkEnd w:id="400"/>
      <w:bookmarkEnd w:id="401"/>
    </w:p>
    <w:p>
      <w:pPr>
        <w:pStyle w:val="Subsection"/>
        <w:spacing w:before="120"/>
        <w:rPr>
          <w:snapToGrid w:val="0"/>
        </w:rPr>
      </w:pPr>
      <w:r>
        <w:rPr>
          <w:snapToGrid w:val="0"/>
        </w:rPr>
        <w:tab/>
        <w:t>(1)</w:t>
      </w:r>
      <w:r>
        <w:rPr>
          <w:snapToGrid w:val="0"/>
        </w:rPr>
        <w:tab/>
        <w:t xml:space="preserve">There is implied in every </w:t>
      </w:r>
      <w:r>
        <w:t>contract</w:t>
      </w:r>
      <w:r>
        <w:rPr>
          <w:snapToGrid w:val="0"/>
        </w:rPr>
        <w:t xml:space="preserve"> to which this section applies a provision that the strata company may terminate the </w:t>
      </w:r>
      <w:r>
        <w:t xml:space="preserve">contract, by written notice </w:t>
      </w:r>
      <w:r>
        <w:rPr>
          <w:snapToGrid w:val="0"/>
        </w:rPr>
        <w:t xml:space="preserve">to every other party to the contract, after 5 years have passed since the </w:t>
      </w:r>
      <w:r>
        <w:t>contract was made.</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r>
      <w:r>
        <w:t>A contract or any other agreement or arrangement must</w:t>
      </w:r>
      <w:r>
        <w:rPr>
          <w:snapToGrid w:val="0"/>
        </w:rPr>
        <w:t xml:space="preserve">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 xml:space="preserve">This section applies to </w:t>
      </w:r>
      <w:r>
        <w:t>a contract if —</w:t>
      </w:r>
    </w:p>
    <w:p>
      <w:pPr>
        <w:pStyle w:val="Indenta"/>
      </w:pPr>
      <w:r>
        <w:tab/>
        <w:t>(a)</w:t>
      </w:r>
      <w:r>
        <w:tab/>
        <w:t>it relates to the provision of amenities or services to the strata company or the owners of lots;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pPr>
      <w:r>
        <w:tab/>
        <w:t>(c)</w:t>
      </w:r>
      <w:r>
        <w:tab/>
        <w:t>it was made before registration of the strata titles scheme or when any owner held 50% or more of the unit entitlement of the lots.</w:t>
      </w:r>
    </w:p>
    <w:p>
      <w:pPr>
        <w:pStyle w:val="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Indenta"/>
      </w:pPr>
      <w:r>
        <w:tab/>
        <w:t>(a)</w:t>
      </w:r>
      <w:r>
        <w:tab/>
        <w:t>is fair to all owners of lots in the strata titles scheme; and</w:t>
      </w:r>
    </w:p>
    <w:p>
      <w:pPr>
        <w:pStyle w:val="Indenta"/>
      </w:pPr>
      <w:r>
        <w:tab/>
        <w:t>(b)</w:t>
      </w:r>
      <w:r>
        <w:tab/>
        <w:t>will remain fair to all those owners during the extended period.</w:t>
      </w:r>
    </w:p>
    <w:p>
      <w:pPr>
        <w:pStyle w:val="Subsection"/>
        <w:rPr>
          <w:snapToGrid w:val="0"/>
        </w:rPr>
      </w:pPr>
      <w:r>
        <w:rPr>
          <w:snapToGrid w:val="0"/>
        </w:rPr>
        <w:tab/>
        <w:t>(6)</w:t>
      </w:r>
      <w:r>
        <w:rPr>
          <w:snapToGrid w:val="0"/>
        </w:rPr>
        <w:tab/>
        <w:t xml:space="preserve">An extended period under subsection (5) is not to exceed the term specified in the </w:t>
      </w:r>
      <w:r>
        <w:t>contract</w:t>
      </w:r>
      <w:r>
        <w:rPr>
          <w:snapToGrid w:val="0"/>
        </w:rPr>
        <w:t xml:space="preserve"> or a period of 10 years from the time when the </w:t>
      </w:r>
      <w:r>
        <w:t>contract was made,</w:t>
      </w:r>
      <w:r>
        <w:rPr>
          <w:snapToGrid w:val="0"/>
        </w:rPr>
        <w:t xml:space="preserve"> whichever is the lesser.</w:t>
      </w:r>
    </w:p>
    <w:p>
      <w:pPr>
        <w:pStyle w:val="Ednotesubsection"/>
      </w:pPr>
      <w:r>
        <w:tab/>
        <w:t>[(7)</w:t>
      </w:r>
      <w:r>
        <w:tab/>
        <w:t>deleted]</w:t>
      </w:r>
    </w:p>
    <w:p>
      <w:pPr>
        <w:pStyle w:val="Footnotesection"/>
        <w:spacing w:before="140"/>
        <w:ind w:left="890" w:hanging="890"/>
      </w:pPr>
      <w:r>
        <w:tab/>
        <w:t>[Section 115, formerly section 39A, inserted: No. 58 of 1995 s. 41; amended: No. 55 of 2004 s. 1121, 1156(1) and (3) and 1158; amended, renumbered as section 115 and relocated: No. 30 of 2018 s. 52 and 84.]</w:t>
      </w:r>
    </w:p>
    <w:p>
      <w:pPr>
        <w:pStyle w:val="Heading5"/>
        <w:rPr>
          <w:snapToGrid w:val="0"/>
        </w:rPr>
      </w:pPr>
      <w:bookmarkStart w:id="402" w:name="_Toc106986740"/>
      <w:bookmarkStart w:id="403" w:name="_Toc100565038"/>
      <w:r>
        <w:rPr>
          <w:rStyle w:val="CharSectno"/>
        </w:rPr>
        <w:t>116</w:t>
      </w:r>
      <w:r>
        <w:rPr>
          <w:snapToGrid w:val="0"/>
        </w:rPr>
        <w:t>.</w:t>
      </w:r>
      <w:r>
        <w:rPr>
          <w:snapToGrid w:val="0"/>
        </w:rPr>
        <w:tab/>
        <w:t>Powers of strata company generally</w:t>
      </w:r>
      <w:bookmarkEnd w:id="402"/>
      <w:bookmarkEnd w:id="403"/>
    </w:p>
    <w:p>
      <w:pPr>
        <w:pStyle w:val="Subsection"/>
        <w:rPr>
          <w:snapToGrid w:val="0"/>
        </w:rPr>
      </w:pPr>
      <w:r>
        <w:rPr>
          <w:snapToGrid w:val="0"/>
        </w:rPr>
        <w:tab/>
        <w:t>(1)</w:t>
      </w:r>
      <w:r>
        <w:rPr>
          <w:snapToGrid w:val="0"/>
        </w:rPr>
        <w:tab/>
      </w:r>
      <w:r>
        <w:t>Without limiting the powers of a strata company to perform its functions, a</w:t>
      </w:r>
      <w:r>
        <w:rPr>
          <w:snapToGrid w:val="0"/>
        </w:rPr>
        <w:t xml:space="preserve"> strata company may —</w:t>
      </w:r>
    </w:p>
    <w:p>
      <w:pPr>
        <w:pStyle w:val="Indenta"/>
        <w:rPr>
          <w:snapToGrid w:val="0"/>
        </w:rPr>
      </w:pPr>
      <w:r>
        <w:rPr>
          <w:snapToGrid w:val="0"/>
        </w:rPr>
        <w:tab/>
        <w:t>(a)</w:t>
      </w:r>
      <w:r>
        <w:rPr>
          <w:snapToGrid w:val="0"/>
        </w:rPr>
        <w:tab/>
        <w:t xml:space="preserve">purchase, hire or otherwise acquire personal property for use by </w:t>
      </w:r>
      <w:r>
        <w:t>owners of lots</w:t>
      </w:r>
      <w:r>
        <w:rPr>
          <w:snapToGrid w:val="0"/>
        </w:rPr>
        <w:t xml:space="preserve">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 xml:space="preserve">borrow </w:t>
      </w:r>
      <w:r>
        <w:t>money</w:t>
      </w:r>
      <w:r>
        <w:rPr>
          <w:snapToGrid w:val="0"/>
        </w:rPr>
        <w:t xml:space="preserve"> required by it in the performance of its functions; and</w:t>
      </w:r>
    </w:p>
    <w:p>
      <w:pPr>
        <w:pStyle w:val="Indenta"/>
        <w:rPr>
          <w:snapToGrid w:val="0"/>
        </w:rPr>
      </w:pPr>
      <w:r>
        <w:rPr>
          <w:snapToGrid w:val="0"/>
        </w:rPr>
        <w:tab/>
        <w:t>(d)</w:t>
      </w:r>
      <w:r>
        <w:rPr>
          <w:snapToGrid w:val="0"/>
        </w:rPr>
        <w:tab/>
        <w:t xml:space="preserve">secure the repayment of </w:t>
      </w:r>
      <w:r>
        <w:t>money</w:t>
      </w:r>
      <w:r>
        <w:rPr>
          <w:snapToGrid w:val="0"/>
        </w:rPr>
        <w:t xml:space="preserve"> borrowed by it, and the payment of interest </w:t>
      </w:r>
      <w:r>
        <w:t>on that money,</w:t>
      </w:r>
      <w:r>
        <w:rPr>
          <w:snapToGrid w:val="0"/>
        </w:rPr>
        <w:t xml:space="preserve"> by negotiable instrument, or mortgage of unpaid contributions (whether imposed or not), or mortgage of any property </w:t>
      </w:r>
      <w:r>
        <w:t>owned by</w:t>
      </w:r>
      <w:r>
        <w:rPr>
          <w:snapToGrid w:val="0"/>
        </w:rPr>
        <w:t xml:space="preserve"> it, or by a combination of those means; and</w:t>
      </w:r>
    </w:p>
    <w:p>
      <w:pPr>
        <w:pStyle w:val="Indenta"/>
        <w:rPr>
          <w:snapToGrid w:val="0"/>
        </w:rPr>
      </w:pPr>
      <w:r>
        <w:rPr>
          <w:snapToGrid w:val="0"/>
        </w:rPr>
        <w:tab/>
        <w:t>(e)</w:t>
      </w:r>
      <w:r>
        <w:rPr>
          <w:snapToGrid w:val="0"/>
        </w:rPr>
        <w:tab/>
        <w:t xml:space="preserve">invest </w:t>
      </w:r>
      <w:r>
        <w:t>money</w:t>
      </w:r>
      <w:r>
        <w:rPr>
          <w:snapToGrid w:val="0"/>
        </w:rPr>
        <w:t xml:space="preserve"> in its administrative fund or reserve fund in </w:t>
      </w:r>
      <w:r>
        <w:t>the</w:t>
      </w:r>
      <w:r>
        <w:rPr>
          <w:snapToGrid w:val="0"/>
        </w:rPr>
        <w:t xml:space="preserve"> manner permitted by law for the investment of trust funds or </w:t>
      </w:r>
      <w:r>
        <w:t>by the regulations; and</w:t>
      </w:r>
    </w:p>
    <w:p>
      <w:pPr>
        <w:pStyle w:val="Indenta"/>
        <w:rPr>
          <w:snapToGrid w:val="0"/>
        </w:rPr>
      </w:pPr>
      <w:r>
        <w:rPr>
          <w:snapToGrid w:val="0"/>
        </w:rPr>
        <w:tab/>
        <w:t>(f)</w:t>
      </w:r>
      <w:r>
        <w:rPr>
          <w:snapToGrid w:val="0"/>
        </w:rPr>
        <w:tab/>
      </w:r>
      <w:r>
        <w:t>if</w:t>
      </w:r>
      <w:r>
        <w:rPr>
          <w:snapToGrid w:val="0"/>
        </w:rPr>
        <w:t xml:space="preserve"> the strata company considers it necessary, effect a compromise of </w:t>
      </w:r>
      <w:r>
        <w:t>an</w:t>
      </w:r>
      <w:r>
        <w:rPr>
          <w:snapToGrid w:val="0"/>
        </w:rPr>
        <w:t xml:space="preserve"> action for the recovery of money due to the strata company; and</w:t>
      </w:r>
    </w:p>
    <w:p>
      <w:pPr>
        <w:pStyle w:val="Indenta"/>
        <w:rPr>
          <w:snapToGrid w:val="0"/>
        </w:rPr>
      </w:pPr>
      <w:r>
        <w:rPr>
          <w:snapToGrid w:val="0"/>
        </w:rPr>
        <w:tab/>
        <w:t>(g)</w:t>
      </w:r>
      <w:r>
        <w:rPr>
          <w:snapToGrid w:val="0"/>
        </w:rPr>
        <w:tab/>
        <w:t>make</w:t>
      </w:r>
      <w:r>
        <w:t xml:space="preserve"> a contract </w:t>
      </w:r>
      <w:r>
        <w:rPr>
          <w:snapToGrid w:val="0"/>
        </w:rPr>
        <w:t xml:space="preserve">with the owner or occupier of a lot for the provision of amenities or services by it to </w:t>
      </w:r>
      <w:r>
        <w:t>the lot or to the owner or occupier; and</w:t>
      </w:r>
    </w:p>
    <w:p>
      <w:pPr>
        <w:pStyle w:val="Indenta"/>
        <w:rPr>
          <w:snapToGrid w:val="0"/>
        </w:rPr>
      </w:pPr>
      <w:r>
        <w:rPr>
          <w:snapToGrid w:val="0"/>
        </w:rPr>
        <w:tab/>
        <w:t>(h)</w:t>
      </w:r>
      <w:r>
        <w:rPr>
          <w:snapToGrid w:val="0"/>
        </w:rPr>
        <w:tab/>
        <w:t xml:space="preserve">accept or acquire a lease, licence or permit for the purpose of providing moorings or landings for </w:t>
      </w:r>
      <w:r>
        <w:t>vessels; and</w:t>
      </w:r>
    </w:p>
    <w:p>
      <w:pPr>
        <w:pStyle w:val="Indenta"/>
      </w:pPr>
      <w:r>
        <w:tab/>
        <w:t>(i)</w:t>
      </w:r>
      <w:r>
        <w:tab/>
        <w:t>grant a lease, licence or other rights over common property for the purpose of utility infrastructure or sustainability infrastructure; and</w:t>
      </w:r>
    </w:p>
    <w:p>
      <w:pPr>
        <w:pStyle w:val="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Indenta"/>
      </w:pPr>
      <w:r>
        <w:tab/>
        <w:t>(k)</w:t>
      </w:r>
      <w:r>
        <w:tab/>
        <w:t>arrange for the auditing of any accounting records.</w:t>
      </w:r>
    </w:p>
    <w:p>
      <w:pPr>
        <w:pStyle w:val="Subsection"/>
        <w:rPr>
          <w:snapToGrid w:val="0"/>
        </w:rPr>
      </w:pPr>
      <w:r>
        <w:rPr>
          <w:snapToGrid w:val="0"/>
        </w:rPr>
        <w:tab/>
        <w:t>(2)</w:t>
      </w:r>
      <w:r>
        <w:rPr>
          <w:snapToGrid w:val="0"/>
        </w:rPr>
        <w:tab/>
        <w:t xml:space="preserve">Any interest received on an investment made under subsection (1) </w:t>
      </w:r>
      <w:r>
        <w:t>forms</w:t>
      </w:r>
      <w:r>
        <w:rPr>
          <w:snapToGrid w:val="0"/>
        </w:rPr>
        <w:t xml:space="preserve"> part of the fund to which the investment belongs.</w:t>
      </w:r>
    </w:p>
    <w:p>
      <w:pPr>
        <w:pStyle w:val="Footnotesection"/>
        <w:ind w:left="890" w:hanging="890"/>
      </w:pPr>
      <w:r>
        <w:tab/>
        <w:t>[Section 116, formerly section 37, amended, renumbered as section 116 and relocated: No. 30 of 2018 s. 50 and 84.]</w:t>
      </w:r>
    </w:p>
    <w:p>
      <w:pPr>
        <w:pStyle w:val="Heading4"/>
        <w:keepLines/>
      </w:pPr>
      <w:bookmarkStart w:id="404" w:name="_Toc106986305"/>
      <w:bookmarkStart w:id="405" w:name="_Toc106986741"/>
      <w:bookmarkStart w:id="406" w:name="_Toc100308319"/>
      <w:bookmarkStart w:id="407" w:name="_Toc100308755"/>
      <w:bookmarkStart w:id="408" w:name="_Toc100565039"/>
      <w:r>
        <w:t>Subdivision 8 — Limitations</w:t>
      </w:r>
      <w:bookmarkEnd w:id="404"/>
      <w:bookmarkEnd w:id="405"/>
      <w:bookmarkEnd w:id="406"/>
      <w:bookmarkEnd w:id="407"/>
      <w:bookmarkEnd w:id="408"/>
    </w:p>
    <w:p>
      <w:pPr>
        <w:pStyle w:val="Footnoteheading"/>
        <w:keepNext/>
        <w:keepLines/>
      </w:pPr>
      <w:r>
        <w:tab/>
        <w:t>[Heading inserted: No. 30 of 2018 s. 83.]</w:t>
      </w:r>
    </w:p>
    <w:p>
      <w:pPr>
        <w:pStyle w:val="Heading5"/>
      </w:pPr>
      <w:bookmarkStart w:id="409" w:name="_Toc106986742"/>
      <w:bookmarkStart w:id="410" w:name="_Toc100565040"/>
      <w:r>
        <w:rPr>
          <w:rStyle w:val="CharSectno"/>
        </w:rPr>
        <w:t>117</w:t>
      </w:r>
      <w:r>
        <w:t>.</w:t>
      </w:r>
      <w:r>
        <w:tab/>
        <w:t>Limitations on exercise of powers</w:t>
      </w:r>
      <w:bookmarkEnd w:id="409"/>
      <w:bookmarkEnd w:id="410"/>
    </w:p>
    <w:p>
      <w:pPr>
        <w:pStyle w:val="Subsection"/>
      </w:pPr>
      <w:r>
        <w:tab/>
        <w:t>(1)</w:t>
      </w:r>
      <w:r>
        <w:tab/>
        <w:t>A strata company must not —</w:t>
      </w:r>
    </w:p>
    <w:p>
      <w:pPr>
        <w:pStyle w:val="Indenta"/>
      </w:pPr>
      <w:r>
        <w:tab/>
        <w:t>(a)</w:t>
      </w:r>
      <w:r>
        <w:tab/>
        <w:t>acquire or dispose of land, or an interest in land, except as authorised under section 92 or 93;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strata company must not engage in under the regulations.</w:t>
      </w:r>
    </w:p>
    <w:p>
      <w:pPr>
        <w:pStyle w:val="Subsection"/>
      </w:pPr>
      <w:r>
        <w:tab/>
        <w:t>(2)</w:t>
      </w:r>
      <w:r>
        <w:tab/>
        <w:t>A strata company must not, except as authorised by resolution without dissent, perform or exercise a function that the regulations allow to be exercised only as authorised by resolution without dissent.</w:t>
      </w:r>
    </w:p>
    <w:p>
      <w:pPr>
        <w:pStyle w:val="Footnotesection"/>
      </w:pPr>
      <w:r>
        <w:tab/>
        <w:t>[Section 117 inserted: No. 30 of 2018 s. 83.]</w:t>
      </w:r>
    </w:p>
    <w:p>
      <w:pPr>
        <w:pStyle w:val="Heading5"/>
      </w:pPr>
      <w:bookmarkStart w:id="411" w:name="_Toc106986743"/>
      <w:bookmarkStart w:id="412" w:name="_Toc100565041"/>
      <w:r>
        <w:rPr>
          <w:rStyle w:val="CharSectno"/>
        </w:rPr>
        <w:t>118</w:t>
      </w:r>
      <w:r>
        <w:t>.</w:t>
      </w:r>
      <w:r>
        <w:tab/>
        <w:t>Common seal and execution of documents</w:t>
      </w:r>
      <w:bookmarkEnd w:id="411"/>
      <w:bookmarkEnd w:id="412"/>
    </w:p>
    <w:p>
      <w:pPr>
        <w:pStyle w:val="Subsection"/>
      </w:pPr>
      <w:r>
        <w:tab/>
        <w:t>(1)</w:t>
      </w:r>
      <w:r>
        <w:tab/>
        <w:t>If a strata company has a common seal —</w:t>
      </w:r>
    </w:p>
    <w:p>
      <w:pPr>
        <w:pStyle w:val="Indenta"/>
      </w:pPr>
      <w:r>
        <w:tab/>
        <w:t>(a)</w:t>
      </w:r>
      <w:r>
        <w:tab/>
        <w:t>the seal may be used only as authorised by ordinary resolution of the strata company; and</w:t>
      </w:r>
    </w:p>
    <w:p>
      <w:pPr>
        <w:pStyle w:val="Indenta"/>
      </w:pPr>
      <w:r>
        <w:tab/>
        <w:t>(b)</w:t>
      </w:r>
      <w:r>
        <w:tab/>
        <w:t>its use must be attested by the signatures of 2 members of the council of the strata company.</w:t>
      </w:r>
    </w:p>
    <w:p>
      <w:pPr>
        <w:pStyle w:val="Subsection"/>
      </w:pPr>
      <w:r>
        <w:tab/>
        <w:t>(2)</w:t>
      </w:r>
      <w:r>
        <w:tab/>
        <w:t>A strata company may, by ordinary resolution, authorise any of the following to execute documents on its behalf subject to any conditions or limitations specified in the resolution —</w:t>
      </w:r>
    </w:p>
    <w:p>
      <w:pPr>
        <w:pStyle w:val="Indenta"/>
      </w:pPr>
      <w:r>
        <w:tab/>
        <w:t>(a)</w:t>
      </w:r>
      <w:r>
        <w:tab/>
        <w:t>a member of the council of the strata company; or</w:t>
      </w:r>
    </w:p>
    <w:p>
      <w:pPr>
        <w:pStyle w:val="Indenta"/>
      </w:pPr>
      <w:r>
        <w:tab/>
        <w:t>(b)</w:t>
      </w:r>
      <w:r>
        <w:tab/>
        <w:t>members of the council of the strata company acting jointly; or</w:t>
      </w:r>
    </w:p>
    <w:p>
      <w:pPr>
        <w:pStyle w:val="Indenta"/>
      </w:pPr>
      <w:r>
        <w:tab/>
        <w:t>(c)</w:t>
      </w:r>
      <w:r>
        <w:tab/>
        <w:t>a strata manager of the strata company.</w:t>
      </w:r>
    </w:p>
    <w:p>
      <w:pPr>
        <w:pStyle w:val="Subsection"/>
      </w:pPr>
      <w:r>
        <w:tab/>
        <w:t>(3)</w:t>
      </w:r>
      <w:r>
        <w:tab/>
        <w:t>A document is duly executed by a strata company if —</w:t>
      </w:r>
    </w:p>
    <w:p>
      <w:pPr>
        <w:pStyle w:val="Indenta"/>
      </w:pPr>
      <w:r>
        <w:tab/>
        <w:t>(a)</w:t>
      </w:r>
      <w:r>
        <w:tab/>
        <w:t>the common seal of the strata company is applied to it in accordance with this section; or</w:t>
      </w:r>
    </w:p>
    <w:p>
      <w:pPr>
        <w:pStyle w:val="Indenta"/>
      </w:pPr>
      <w:r>
        <w:tab/>
        <w:t>(b)</w:t>
      </w:r>
      <w:r>
        <w:tab/>
        <w:t>the document is signed on behalf of the strata company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Footnotesection"/>
      </w:pPr>
      <w:r>
        <w:tab/>
        <w:t>[Section 118 inserted: No. 30 of 2018 s. 83.]</w:t>
      </w:r>
    </w:p>
    <w:p>
      <w:pPr>
        <w:pStyle w:val="Heading3"/>
      </w:pPr>
      <w:bookmarkStart w:id="413" w:name="_Toc106986308"/>
      <w:bookmarkStart w:id="414" w:name="_Toc106986744"/>
      <w:bookmarkStart w:id="415" w:name="_Toc100308322"/>
      <w:bookmarkStart w:id="416" w:name="_Toc100308758"/>
      <w:bookmarkStart w:id="417" w:name="_Toc100565042"/>
      <w:r>
        <w:rPr>
          <w:rStyle w:val="CharDivNo"/>
        </w:rPr>
        <w:t>Division 2</w:t>
      </w:r>
      <w:r>
        <w:t> — </w:t>
      </w:r>
      <w:r>
        <w:rPr>
          <w:rStyle w:val="CharDivText"/>
        </w:rPr>
        <w:t>Objectives</w:t>
      </w:r>
      <w:bookmarkEnd w:id="413"/>
      <w:bookmarkEnd w:id="414"/>
      <w:bookmarkEnd w:id="415"/>
      <w:bookmarkEnd w:id="416"/>
      <w:bookmarkEnd w:id="417"/>
    </w:p>
    <w:p>
      <w:pPr>
        <w:pStyle w:val="Footnoteheading"/>
      </w:pPr>
      <w:r>
        <w:tab/>
        <w:t>[Heading inserted: No. 30 of 2018 s. 83.]</w:t>
      </w:r>
    </w:p>
    <w:p>
      <w:pPr>
        <w:pStyle w:val="Heading5"/>
      </w:pPr>
      <w:bookmarkStart w:id="418" w:name="_Toc106986745"/>
      <w:bookmarkStart w:id="419" w:name="_Toc100565043"/>
      <w:r>
        <w:rPr>
          <w:rStyle w:val="CharSectno"/>
        </w:rPr>
        <w:t>119</w:t>
      </w:r>
      <w:r>
        <w:t>.</w:t>
      </w:r>
      <w:r>
        <w:tab/>
        <w:t>Objectives</w:t>
      </w:r>
      <w:bookmarkEnd w:id="418"/>
      <w:bookmarkEnd w:id="419"/>
    </w:p>
    <w:p>
      <w:pPr>
        <w:pStyle w:val="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strata company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keepNext/>
      </w:pPr>
      <w:r>
        <w:tab/>
        <w:t>(c)</w:t>
      </w:r>
      <w:r>
        <w:tab/>
        <w:t>must be aware that —</w:t>
      </w:r>
    </w:p>
    <w:p>
      <w:pPr>
        <w:pStyle w:val="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Indenti"/>
      </w:pPr>
      <w:r>
        <w:tab/>
        <w:t>(ii)</w:t>
      </w:r>
      <w:r>
        <w:tab/>
        <w:t>the fact that a person has chosen to become the owner of a lot does not prevent the person challenging the performance of a function for failure to meet that objective.</w:t>
      </w:r>
    </w:p>
    <w:p>
      <w:pPr>
        <w:pStyle w:val="Subsection"/>
      </w:pPr>
      <w:r>
        <w:tab/>
        <w:t>(3)</w:t>
      </w:r>
      <w:r>
        <w:tab/>
        <w:t>Without limitation, a strata company acts oppressively or unreasonably in passing or not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Footnotesection"/>
      </w:pPr>
      <w:r>
        <w:tab/>
        <w:t>[Section 119 inserted: No. 30 of 2018 s. 83.]</w:t>
      </w:r>
    </w:p>
    <w:p>
      <w:pPr>
        <w:pStyle w:val="Heading3"/>
      </w:pPr>
      <w:bookmarkStart w:id="420" w:name="_Toc106986310"/>
      <w:bookmarkStart w:id="421" w:name="_Toc106986746"/>
      <w:bookmarkStart w:id="422" w:name="_Toc100308324"/>
      <w:bookmarkStart w:id="423" w:name="_Toc100308760"/>
      <w:bookmarkStart w:id="424" w:name="_Toc100565044"/>
      <w:r>
        <w:rPr>
          <w:rStyle w:val="CharDivNo"/>
        </w:rPr>
        <w:t>Division 3</w:t>
      </w:r>
      <w:r>
        <w:t> — </w:t>
      </w:r>
      <w:r>
        <w:rPr>
          <w:rStyle w:val="CharDivText"/>
        </w:rPr>
        <w:t>Procedures</w:t>
      </w:r>
      <w:bookmarkEnd w:id="420"/>
      <w:bookmarkEnd w:id="421"/>
      <w:bookmarkEnd w:id="422"/>
      <w:bookmarkEnd w:id="423"/>
      <w:bookmarkEnd w:id="424"/>
    </w:p>
    <w:p>
      <w:pPr>
        <w:pStyle w:val="Footnoteheading"/>
      </w:pPr>
      <w:r>
        <w:tab/>
        <w:t>[Heading inserted: No. 30 of 2018 s. 83.]</w:t>
      </w:r>
    </w:p>
    <w:p>
      <w:pPr>
        <w:pStyle w:val="Heading4"/>
      </w:pPr>
      <w:bookmarkStart w:id="425" w:name="_Toc106986311"/>
      <w:bookmarkStart w:id="426" w:name="_Toc106986747"/>
      <w:bookmarkStart w:id="427" w:name="_Toc100308325"/>
      <w:bookmarkStart w:id="428" w:name="_Toc100308761"/>
      <w:bookmarkStart w:id="429" w:name="_Toc100565045"/>
      <w:r>
        <w:t>Subdivision 1 — Voting and resolutions</w:t>
      </w:r>
      <w:bookmarkEnd w:id="425"/>
      <w:bookmarkEnd w:id="426"/>
      <w:bookmarkEnd w:id="427"/>
      <w:bookmarkEnd w:id="428"/>
      <w:bookmarkEnd w:id="429"/>
    </w:p>
    <w:p>
      <w:pPr>
        <w:pStyle w:val="Footnoteheading"/>
      </w:pPr>
      <w:r>
        <w:tab/>
        <w:t>[Heading inserted: No. 30 of 2018 s. 83.]</w:t>
      </w:r>
    </w:p>
    <w:p>
      <w:pPr>
        <w:pStyle w:val="Heading5"/>
      </w:pPr>
      <w:bookmarkStart w:id="430" w:name="_Toc106986748"/>
      <w:bookmarkStart w:id="431" w:name="_Toc100565046"/>
      <w:r>
        <w:rPr>
          <w:rStyle w:val="CharSectno"/>
        </w:rPr>
        <w:t>120</w:t>
      </w:r>
      <w:r>
        <w:t>.</w:t>
      </w:r>
      <w:r>
        <w:tab/>
        <w:t>Voting</w:t>
      </w:r>
      <w:bookmarkEnd w:id="430"/>
      <w:bookmarkEnd w:id="431"/>
    </w:p>
    <w:p>
      <w:pPr>
        <w:pStyle w:val="Subsection"/>
      </w:pPr>
      <w:r>
        <w:tab/>
        <w:t>(1)</w:t>
      </w:r>
      <w:r>
        <w:tab/>
        <w:t>The owner of each lot in a strata titles scheme is entitled to 1 vote on a proposed resolution of the strata company.</w:t>
      </w:r>
    </w:p>
    <w:p>
      <w:pPr>
        <w:pStyle w:val="Subsection"/>
        <w:keepNext/>
      </w:pPr>
      <w:r>
        <w:tab/>
        <w:t>(2)</w:t>
      </w:r>
      <w:r>
        <w:tab/>
        <w:t>However, the owner of a lot is not entitled to cast the vote attached to the lot if —</w:t>
      </w:r>
    </w:p>
    <w:p>
      <w:pPr>
        <w:pStyle w:val="Indenta"/>
      </w:pPr>
      <w:r>
        <w:tab/>
        <w:t>(a)</w:t>
      </w:r>
      <w:r>
        <w:tab/>
        <w:t>the resolution is not required to be a unanimous resolution or a resolution without dissent and is not a resolution for postponing the expiry day for a leasehold scheme or a termination resolution; and</w:t>
      </w:r>
    </w:p>
    <w:p>
      <w:pPr>
        <w:pStyle w:val="Indenta"/>
      </w:pPr>
      <w:r>
        <w:tab/>
        <w:t>(b)</w:t>
      </w:r>
      <w:r>
        <w:tab/>
        <w:t>there is an outstanding amount recoverable under this Act owed to the strata company by the owner of the lot.</w:t>
      </w:r>
    </w:p>
    <w:p>
      <w:pPr>
        <w:pStyle w:val="Subsection"/>
        <w:rPr>
          <w:snapToGrid w:val="0"/>
        </w:rPr>
      </w:pPr>
      <w:r>
        <w:rPr>
          <w:snapToGrid w:val="0"/>
        </w:rPr>
        <w:tab/>
        <w:t>(3)</w:t>
      </w:r>
      <w:r>
        <w:rPr>
          <w:snapToGrid w:val="0"/>
        </w:rPr>
        <w:tab/>
        <w:t>A proposed resolution can be put to the members of a strata company —</w:t>
      </w:r>
    </w:p>
    <w:p>
      <w:pPr>
        <w:pStyle w:val="Indenta"/>
      </w:pPr>
      <w:r>
        <w:tab/>
        <w:t>(a)</w:t>
      </w:r>
      <w:r>
        <w:tab/>
        <w:t>at a general meeting; or</w:t>
      </w:r>
    </w:p>
    <w:p>
      <w:pPr>
        <w:pStyle w:val="Indenta"/>
      </w:pPr>
      <w:r>
        <w:tab/>
        <w:t>(b)</w:t>
      </w:r>
      <w:r>
        <w:tab/>
        <w:t>outside of a general meeting.</w:t>
      </w:r>
    </w:p>
    <w:p>
      <w:pPr>
        <w:pStyle w:val="Subsection"/>
      </w:pPr>
      <w:r>
        <w:tab/>
        <w:t>(4)</w:t>
      </w:r>
      <w:r>
        <w:tab/>
        <w:t>A resolution can be proposed only by a member of the strata company who is entitled to vote on the resolution.</w:t>
      </w:r>
    </w:p>
    <w:p>
      <w:pPr>
        <w:pStyle w:val="Subsection"/>
      </w:pPr>
      <w:r>
        <w:tab/>
        <w:t>(5)</w:t>
      </w:r>
      <w:r>
        <w:tab/>
        <w:t>The vote attached to a lot can, and can only, be cast, if at the time it is cast, the person is entitled to cast the vote attached to the lot.</w:t>
      </w:r>
    </w:p>
    <w:p>
      <w:pPr>
        <w:pStyle w:val="Subsection"/>
      </w:pPr>
      <w:r>
        <w:tab/>
        <w:t>(6)</w:t>
      </w:r>
      <w:r>
        <w:tab/>
        <w:t>The owner of a lot may cast the vote attached to the lot in person or by duly appointed proxy.</w:t>
      </w:r>
    </w:p>
    <w:p>
      <w:pPr>
        <w:pStyle w:val="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Subsection"/>
      </w:pPr>
      <w:r>
        <w:tab/>
        <w:t>(8)</w:t>
      </w:r>
      <w:r>
        <w:tab/>
        <w:t>The voting system, whether it is electronic or by other means, must —</w:t>
      </w:r>
    </w:p>
    <w:p>
      <w:pPr>
        <w:pStyle w:val="Indenta"/>
      </w:pPr>
      <w:r>
        <w:tab/>
        <w:t>(a)</w:t>
      </w:r>
      <w:r>
        <w:tab/>
        <w:t>enable votes to be cast in a manner designed to protect the integrity of the voting system; and</w:t>
      </w:r>
    </w:p>
    <w:p>
      <w:pPr>
        <w:pStyle w:val="Indenta"/>
      </w:pPr>
      <w:r>
        <w:tab/>
        <w:t>(b)</w:t>
      </w:r>
      <w:r>
        <w:tab/>
        <w:t>comply with any requirements specified in the regulations.</w:t>
      </w:r>
    </w:p>
    <w:p>
      <w:pPr>
        <w:pStyle w:val="Footnotesection"/>
      </w:pPr>
      <w:r>
        <w:tab/>
        <w:t>[Section 120 inserted: No. 30 of 2018 s. 83.]</w:t>
      </w:r>
    </w:p>
    <w:p>
      <w:pPr>
        <w:pStyle w:val="Heading5"/>
        <w:rPr>
          <w:snapToGrid w:val="0"/>
        </w:rPr>
      </w:pPr>
      <w:bookmarkStart w:id="432" w:name="_Toc106986749"/>
      <w:bookmarkStart w:id="433" w:name="_Toc100565047"/>
      <w:r>
        <w:rPr>
          <w:rStyle w:val="CharSectno"/>
        </w:rPr>
        <w:t>121</w:t>
      </w:r>
      <w:r>
        <w:rPr>
          <w:snapToGrid w:val="0"/>
        </w:rPr>
        <w:t>.</w:t>
      </w:r>
      <w:r>
        <w:rPr>
          <w:snapToGrid w:val="0"/>
        </w:rPr>
        <w:tab/>
        <w:t>Voting period</w:t>
      </w:r>
      <w:bookmarkEnd w:id="432"/>
      <w:bookmarkEnd w:id="433"/>
    </w:p>
    <w:p>
      <w:pPr>
        <w:pStyle w:val="Subsection"/>
        <w:keepNext/>
      </w:pPr>
      <w:r>
        <w:tab/>
        <w:t>(1)</w:t>
      </w:r>
      <w:r>
        <w:tab/>
        <w:t>If a resolution is required to be a unanimous resolution, resolution without dissent or special resolution, the period allowed for voting must be 28 days or, if the regulations specify some other period, that period.</w:t>
      </w:r>
    </w:p>
    <w:p>
      <w:pPr>
        <w:pStyle w:val="Subsection"/>
        <w:keepNext/>
      </w:pPr>
      <w:r>
        <w:tab/>
        <w:t>(2)</w:t>
      </w:r>
      <w:r>
        <w:tab/>
        <w:t>If a vote on a resolution that is required to be a unanimous resolution, resolution without dissent or special resolution is taken at a general meeting —</w:t>
      </w:r>
    </w:p>
    <w:p>
      <w:pPr>
        <w:pStyle w:val="Indenta"/>
      </w:pPr>
      <w:r>
        <w:tab/>
        <w:t>(a)</w:t>
      </w:r>
      <w:r>
        <w:tab/>
        <w:t>the voting period opens at the meeting and closes 28 days (or if the regulations specify some other period, that period) after the meeting; and</w:t>
      </w:r>
    </w:p>
    <w:p>
      <w:pPr>
        <w:pStyle w:val="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Indenta"/>
        <w:keepNext/>
      </w:pPr>
      <w:r>
        <w:tab/>
        <w:t>(c)</w:t>
      </w:r>
      <w:r>
        <w:tab/>
        <w:t>if the vote for a lot was not cast at a meeting, the vote may be cast by written notice to the strata company before the voting period closes.</w:t>
      </w:r>
    </w:p>
    <w:p>
      <w:pPr>
        <w:pStyle w:val="Footnotesection"/>
      </w:pPr>
      <w:r>
        <w:tab/>
        <w:t>[Section 121 inserted: No. 30 of 2018 s. 83.]</w:t>
      </w:r>
    </w:p>
    <w:p>
      <w:pPr>
        <w:pStyle w:val="Heading5"/>
        <w:rPr>
          <w:snapToGrid w:val="0"/>
        </w:rPr>
      </w:pPr>
      <w:bookmarkStart w:id="434" w:name="_Toc106986750"/>
      <w:bookmarkStart w:id="435" w:name="_Toc100565048"/>
      <w:r>
        <w:rPr>
          <w:rStyle w:val="CharSectno"/>
        </w:rPr>
        <w:t>122</w:t>
      </w:r>
      <w:r>
        <w:rPr>
          <w:snapToGrid w:val="0"/>
        </w:rPr>
        <w:t>.</w:t>
      </w:r>
      <w:r>
        <w:rPr>
          <w:snapToGrid w:val="0"/>
        </w:rPr>
        <w:tab/>
        <w:t>Counting of votes</w:t>
      </w:r>
      <w:bookmarkEnd w:id="434"/>
      <w:bookmarkEnd w:id="435"/>
    </w:p>
    <w:p>
      <w:pPr>
        <w:pStyle w:val="Subsection"/>
      </w:pPr>
      <w:r>
        <w:tab/>
        <w:t>(1)</w:t>
      </w:r>
      <w:r>
        <w:tab/>
        <w:t>Votes are to be counted (and recorded) as follows —</w:t>
      </w:r>
    </w:p>
    <w:p>
      <w:pPr>
        <w:pStyle w:val="Indenta"/>
      </w:pPr>
      <w:r>
        <w:tab/>
        <w:t>(a)</w:t>
      </w:r>
      <w:r>
        <w:tab/>
        <w:t>for a unanimous resolution or a resolution without dissent, the votes must be counted by the number of votes cast;</w:t>
      </w:r>
    </w:p>
    <w:p>
      <w:pPr>
        <w:pStyle w:val="Indenta"/>
      </w:pPr>
      <w:r>
        <w:tab/>
        <w:t>(b)</w:t>
      </w:r>
      <w:r>
        <w:tab/>
        <w:t>for a special resolution, the votes must be counted both by the number of votes cast and by the number of unit entitlements of the lots for which votes are cast;</w:t>
      </w:r>
    </w:p>
    <w:p>
      <w:pPr>
        <w:pStyle w:val="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Subsection"/>
        <w:rPr>
          <w:snapToGrid w:val="0"/>
        </w:rPr>
      </w:pPr>
      <w:r>
        <w:rPr>
          <w:snapToGrid w:val="0"/>
        </w:rPr>
        <w:tab/>
        <w:t>(2)</w:t>
      </w:r>
      <w:r>
        <w:rPr>
          <w:snapToGrid w:val="0"/>
        </w:rPr>
        <w:tab/>
        <w:t>A demand that a vote be counted by the number of unit entitlements of the lots for which votes are cast can be made —</w:t>
      </w:r>
    </w:p>
    <w:p>
      <w:pPr>
        <w:pStyle w:val="Indenta"/>
      </w:pPr>
      <w:r>
        <w:tab/>
        <w:t>(a)</w:t>
      </w:r>
      <w:r>
        <w:tab/>
        <w:t>if the vote is being taken at a general meeting, orally or in writing before the resolution is put to the vote; and</w:t>
      </w:r>
    </w:p>
    <w:p>
      <w:pPr>
        <w:pStyle w:val="Indenta"/>
      </w:pPr>
      <w:r>
        <w:tab/>
        <w:t>(b)</w:t>
      </w:r>
      <w:r>
        <w:tab/>
        <w:t>if the vote is being taken outside of a general meeting, when the vote is cast.</w:t>
      </w:r>
    </w:p>
    <w:p>
      <w:pPr>
        <w:pStyle w:val="Subsection"/>
        <w:rPr>
          <w:snapToGrid w:val="0"/>
        </w:rPr>
      </w:pPr>
      <w:r>
        <w:rPr>
          <w:snapToGrid w:val="0"/>
        </w:rPr>
        <w:tab/>
        <w:t>(3)</w:t>
      </w:r>
      <w:r>
        <w:rPr>
          <w:snapToGrid w:val="0"/>
        </w:rPr>
        <w:tab/>
        <w:t>Such a demand may only be withdrawn by the person who made the demand.</w:t>
      </w:r>
    </w:p>
    <w:p>
      <w:pPr>
        <w:pStyle w:val="Footnotesection"/>
      </w:pPr>
      <w:r>
        <w:tab/>
        <w:t>[Section 122 inserted: No. 30 of 2018 s. 83.]</w:t>
      </w:r>
    </w:p>
    <w:p>
      <w:pPr>
        <w:pStyle w:val="Footnotesection"/>
      </w:pPr>
      <w:r>
        <w:t>[Former section 122 renumbered as section 211 and relocated to Part 14.]</w:t>
      </w:r>
    </w:p>
    <w:p>
      <w:pPr>
        <w:pStyle w:val="Ednotesection"/>
      </w:pPr>
      <w:r>
        <w:t>[Former section 122A renumbered as section 212 and relocated to Part 14: No. 30 of 2018 s. 84]</w:t>
      </w:r>
    </w:p>
    <w:p>
      <w:pPr>
        <w:pStyle w:val="Heading5"/>
      </w:pPr>
      <w:bookmarkStart w:id="436" w:name="_Toc106986751"/>
      <w:bookmarkStart w:id="437" w:name="_Toc100565049"/>
      <w:r>
        <w:rPr>
          <w:rStyle w:val="CharSectno"/>
        </w:rPr>
        <w:t>123</w:t>
      </w:r>
      <w:r>
        <w:t>.</w:t>
      </w:r>
      <w:r>
        <w:tab/>
        <w:t>Resolutions</w:t>
      </w:r>
      <w:bookmarkEnd w:id="436"/>
      <w:bookmarkEnd w:id="437"/>
    </w:p>
    <w:p>
      <w:pPr>
        <w:pStyle w:val="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 attached to each lot in the scheme is cast in favour of the resolution.</w:t>
      </w:r>
    </w:p>
    <w:p>
      <w:pPr>
        <w:pStyle w:val="Subsection"/>
      </w:pPr>
      <w:r>
        <w:tab/>
        <w:t>(2)</w:t>
      </w:r>
      <w:r>
        <w:tab/>
        <w:t xml:space="preserve">Subject to subsection (3), a resolution of a strata company is a </w:t>
      </w:r>
      <w:r>
        <w:rPr>
          <w:rStyle w:val="CharDefText"/>
        </w:rPr>
        <w:t>resolution without dissent</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no vote attached to a lot in the scheme is cast against the resolution.</w:t>
      </w:r>
    </w:p>
    <w:p>
      <w:pPr>
        <w:pStyle w:val="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Subsection"/>
        <w:keepNext/>
      </w:pPr>
      <w:r>
        <w:tab/>
        <w:t>(4)</w:t>
      </w:r>
      <w:r>
        <w:tab/>
        <w:t xml:space="preserve">Subject to subsections (5) and (6), a resolution of a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 —</w:t>
      </w:r>
    </w:p>
    <w:p>
      <w:pPr>
        <w:pStyle w:val="Indenti"/>
      </w:pPr>
      <w:r>
        <w:tab/>
        <w:t>(i)</w:t>
      </w:r>
      <w:r>
        <w:tab/>
        <w:t>when counted by number — not less than 50% of the number of lots in the scheme; and</w:t>
      </w:r>
    </w:p>
    <w:p>
      <w:pPr>
        <w:pStyle w:val="Indenti"/>
      </w:pPr>
      <w:r>
        <w:tab/>
        <w:t>(ii)</w:t>
      </w:r>
      <w:r>
        <w:tab/>
        <w:t xml:space="preserve">when counted by unit entitlements — not less than 50% of the unit </w:t>
      </w:r>
      <w:r>
        <w:rPr>
          <w:snapToGrid w:val="0"/>
        </w:rPr>
        <w:t>entitlements</w:t>
      </w:r>
      <w:r>
        <w:t xml:space="preserve"> of the lots in the scheme;</w:t>
      </w:r>
    </w:p>
    <w:p>
      <w:pPr>
        <w:pStyle w:val="Indenta"/>
      </w:pPr>
      <w:r>
        <w:tab/>
      </w:r>
      <w:r>
        <w:tab/>
        <w:t>and</w:t>
      </w:r>
    </w:p>
    <w:p>
      <w:pPr>
        <w:pStyle w:val="Indenta"/>
      </w:pPr>
      <w:r>
        <w:tab/>
        <w:t>(c)</w:t>
      </w:r>
      <w:r>
        <w:tab/>
        <w:t>the votes against the resolution equal —</w:t>
      </w:r>
    </w:p>
    <w:p>
      <w:pPr>
        <w:pStyle w:val="Indenti"/>
      </w:pPr>
      <w:r>
        <w:tab/>
        <w:t>(i)</w:t>
      </w:r>
      <w:r>
        <w:tab/>
        <w:t>when counted by number — less than 25% of the number of lots in the scheme; and</w:t>
      </w:r>
    </w:p>
    <w:p>
      <w:pPr>
        <w:pStyle w:val="Indenti"/>
      </w:pPr>
      <w:r>
        <w:tab/>
        <w:t>(ii)</w:t>
      </w:r>
      <w:r>
        <w:tab/>
        <w:t>when counted by unit entitlements — less than 25% of the unit entitlements of the lots in the scheme.</w:t>
      </w:r>
    </w:p>
    <w:p>
      <w:pPr>
        <w:pStyle w:val="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Subsection"/>
      </w:pPr>
      <w:r>
        <w:tab/>
        <w:t>(6)</w:t>
      </w:r>
      <w:r>
        <w:tab/>
        <w:t>For a 3, 4 or 5</w:t>
      </w:r>
      <w:r>
        <w:noBreakHyphen/>
        <w:t xml:space="preserve">lot scheme, a resolution of the strata company is a </w:t>
      </w:r>
      <w:r>
        <w:rPr>
          <w:rStyle w:val="CharDefText"/>
        </w:rPr>
        <w:t>special resolution</w:t>
      </w:r>
      <w:r>
        <w:t xml:space="preserve"> if —</w:t>
      </w:r>
    </w:p>
    <w:p>
      <w:pPr>
        <w:pStyle w:val="Indenta"/>
      </w:pPr>
      <w:r>
        <w:tab/>
        <w:t>(a)</w:t>
      </w:r>
      <w:r>
        <w:tab/>
        <w:t>14 days’ notice of the terms of the proposed resolution is given to each member of the strata company before voting on the resolution opens; and</w:t>
      </w:r>
    </w:p>
    <w:p>
      <w:pPr>
        <w:pStyle w:val="Indenta"/>
      </w:pPr>
      <w:r>
        <w:tab/>
        <w:t>(b)</w:t>
      </w:r>
      <w:r>
        <w:tab/>
        <w:t>the votes in favour of the resolution equal—</w:t>
      </w:r>
    </w:p>
    <w:p>
      <w:pPr>
        <w:pStyle w:val="Indenti"/>
      </w:pPr>
      <w:r>
        <w:tab/>
        <w:t>(i)</w:t>
      </w:r>
      <w:r>
        <w:tab/>
        <w:t>when counted by number —</w:t>
      </w:r>
    </w:p>
    <w:p>
      <w:pPr>
        <w:pStyle w:val="IndentI0"/>
      </w:pPr>
      <w:r>
        <w:tab/>
        <w:t>(I)</w:t>
      </w:r>
      <w:r>
        <w:tab/>
        <w:t>for a 3</w:t>
      </w:r>
      <w:r>
        <w:noBreakHyphen/>
        <w:t>lot scheme — not less than 2; and</w:t>
      </w:r>
    </w:p>
    <w:p>
      <w:pPr>
        <w:pStyle w:val="IndentI0"/>
      </w:pPr>
      <w:r>
        <w:tab/>
        <w:t>(II)</w:t>
      </w:r>
      <w:r>
        <w:tab/>
        <w:t>for a 4</w:t>
      </w:r>
      <w:r>
        <w:noBreakHyphen/>
        <w:t>lot scheme — not less than 3; and</w:t>
      </w:r>
    </w:p>
    <w:p>
      <w:pPr>
        <w:pStyle w:val="IndentI0"/>
        <w:keepNext/>
      </w:pPr>
      <w:r>
        <w:tab/>
        <w:t>(III)</w:t>
      </w:r>
      <w:r>
        <w:tab/>
        <w:t>for a 5</w:t>
      </w:r>
      <w:r>
        <w:noBreakHyphen/>
        <w:t>lot scheme — not less than 4;</w:t>
      </w:r>
    </w:p>
    <w:p>
      <w:pPr>
        <w:pStyle w:val="Indenti"/>
      </w:pPr>
      <w:r>
        <w:tab/>
      </w:r>
      <w:r>
        <w:tab/>
        <w:t>and</w:t>
      </w:r>
    </w:p>
    <w:p>
      <w:pPr>
        <w:pStyle w:val="Indenti"/>
      </w:pPr>
      <w:r>
        <w:tab/>
        <w:t>(ii)</w:t>
      </w:r>
      <w:r>
        <w:tab/>
        <w:t>when counted by unit entitlements — not less than 50% of the unit entitlements of the lots in the scheme.</w:t>
      </w:r>
    </w:p>
    <w:p>
      <w:pPr>
        <w:pStyle w:val="Subsection"/>
      </w:pPr>
      <w:r>
        <w:tab/>
        <w:t>(7)</w:t>
      </w:r>
      <w:r>
        <w:tab/>
        <w:t xml:space="preserve">A resolution of a strata company is an </w:t>
      </w:r>
      <w:r>
        <w:rPr>
          <w:rStyle w:val="CharDefText"/>
        </w:rPr>
        <w:t>ordinary resolution</w:t>
      </w:r>
      <w:r>
        <w:t xml:space="preserve"> if — </w:t>
      </w:r>
    </w:p>
    <w:p>
      <w:pPr>
        <w:pStyle w:val="Indenta"/>
      </w:pPr>
      <w:r>
        <w:tab/>
        <w:t>(a)</w:t>
      </w:r>
      <w:r>
        <w:tab/>
        <w:t>for a resolution passed other than at a general meeting, 14 days’ notice of the terms of the proposed resolution is given to each member of the strata company before voting on the resolution opens; and</w:t>
      </w:r>
    </w:p>
    <w:p>
      <w:pPr>
        <w:pStyle w:val="Indenta"/>
      </w:pPr>
      <w:r>
        <w:tab/>
        <w:t>(b)</w:t>
      </w:r>
      <w:r>
        <w:tab/>
        <w:t xml:space="preserve"> it is passed when counted as required under section 122 (1)(c) —</w:t>
      </w:r>
    </w:p>
    <w:p>
      <w:pPr>
        <w:pStyle w:val="Indenti"/>
      </w:pPr>
      <w:r>
        <w:tab/>
        <w:t>(i)</w:t>
      </w:r>
      <w:r>
        <w:tab/>
        <w:t>by number — by more than 50% of the number of lots for which votes are cast; or</w:t>
      </w:r>
    </w:p>
    <w:p>
      <w:pPr>
        <w:pStyle w:val="Indenti"/>
      </w:pPr>
      <w:r>
        <w:tab/>
        <w:t>(ii)</w:t>
      </w:r>
      <w:r>
        <w:tab/>
        <w:t>by unit entitlements — by more than 50% of the sum of the unit entitlements of the lots in the scheme for which votes are cast.</w:t>
      </w:r>
    </w:p>
    <w:p>
      <w:pPr>
        <w:pStyle w:val="PermNoteHeading"/>
      </w:pPr>
      <w:r>
        <w:tab/>
        <w:t>Note for this subsection:</w:t>
      </w:r>
    </w:p>
    <w:p>
      <w:pPr>
        <w:pStyle w:val="PermNoteText"/>
      </w:pPr>
      <w:r>
        <w:tab/>
      </w:r>
      <w:r>
        <w:tab/>
        <w:t>For an ordinary resolution, the question is determined against the resolution on an equal number of votes whether counted by number or by unit entitlements.</w:t>
      </w:r>
    </w:p>
    <w:p>
      <w:pPr>
        <w:pStyle w:val="Footnotesection"/>
      </w:pPr>
      <w:r>
        <w:tab/>
        <w:t>[Section 123 inserted: No. 30 of 2018 s. 83.]</w:t>
      </w:r>
    </w:p>
    <w:p>
      <w:pPr>
        <w:pStyle w:val="Footnotesection"/>
      </w:pPr>
      <w:r>
        <w:t>[Former section 123 renumbered as section 213 and relocated to Part 14: No. 30 of 2018 s. 84.]</w:t>
      </w:r>
    </w:p>
    <w:p>
      <w:pPr>
        <w:pStyle w:val="Ednotesection"/>
      </w:pPr>
      <w:r>
        <w:t>[</w:t>
      </w:r>
      <w:r>
        <w:rPr>
          <w:b/>
        </w:rPr>
        <w:t>123A.</w:t>
      </w:r>
      <w:r>
        <w:rPr>
          <w:b/>
        </w:rPr>
        <w:tab/>
      </w:r>
      <w:r>
        <w:t>Deleted: No. 30 of 2018 s. 82(b).]</w:t>
      </w:r>
    </w:p>
    <w:p>
      <w:pPr>
        <w:pStyle w:val="Ednotesection"/>
      </w:pPr>
      <w:r>
        <w:t>[Former section 123B renumbered as section 214 and relocated to Part 14: No. 30 of 2018 s. 84.]</w:t>
      </w:r>
    </w:p>
    <w:p>
      <w:pPr>
        <w:pStyle w:val="Ednotesection"/>
      </w:pPr>
      <w:r>
        <w:t>[</w:t>
      </w:r>
      <w:r>
        <w:rPr>
          <w:b/>
        </w:rPr>
        <w:t>123C.</w:t>
      </w:r>
      <w:r>
        <w:rPr>
          <w:b/>
        </w:rPr>
        <w:tab/>
      </w:r>
      <w:r>
        <w:t>Deleted: No. 30 of 2018 s. 82(b).]</w:t>
      </w:r>
    </w:p>
    <w:p>
      <w:pPr>
        <w:pStyle w:val="Heading5"/>
      </w:pPr>
      <w:bookmarkStart w:id="438" w:name="_Toc106986752"/>
      <w:bookmarkStart w:id="439" w:name="_Toc100565050"/>
      <w:r>
        <w:rPr>
          <w:rStyle w:val="CharSectno"/>
        </w:rPr>
        <w:t>124</w:t>
      </w:r>
      <w:r>
        <w:t>.</w:t>
      </w:r>
      <w:r>
        <w:tab/>
        <w:t>Voting by proxy</w:t>
      </w:r>
      <w:bookmarkEnd w:id="438"/>
      <w:bookmarkEnd w:id="439"/>
    </w:p>
    <w:p>
      <w:pPr>
        <w:pStyle w:val="Subsection"/>
      </w:pPr>
      <w:r>
        <w:tab/>
        <w:t>(1)</w:t>
      </w:r>
      <w:r>
        <w:tab/>
        <w:t>An instrument appointing a proxy to cast a vote must be in writing and executed by the appointer or the appointer’s attorney.</w:t>
      </w:r>
    </w:p>
    <w:p>
      <w:pPr>
        <w:pStyle w:val="Subsection"/>
      </w:pPr>
      <w:r>
        <w:tab/>
        <w:t>(2)</w:t>
      </w:r>
      <w:r>
        <w:tab/>
        <w:t>Subject to any limitations expressed in the instrument of appointment, the appointment of a proxy is for all general meetings and for all purposes.</w:t>
      </w:r>
    </w:p>
    <w:p>
      <w:pPr>
        <w:pStyle w:val="Subsection"/>
      </w:pPr>
      <w:r>
        <w:tab/>
        <w:t>(3)</w:t>
      </w:r>
      <w:r>
        <w:tab/>
        <w:t>The instrument of appointment of a proxy may limit the appointment —</w:t>
      </w:r>
    </w:p>
    <w:p>
      <w:pPr>
        <w:pStyle w:val="Indenta"/>
      </w:pPr>
      <w:r>
        <w:tab/>
        <w:t>(a)</w:t>
      </w:r>
      <w:r>
        <w:tab/>
        <w:t>to a specified general meeting or to voting on a specified resolution; or</w:t>
      </w:r>
    </w:p>
    <w:p>
      <w:pPr>
        <w:pStyle w:val="Indenta"/>
      </w:pPr>
      <w:r>
        <w:tab/>
        <w:t>(b)</w:t>
      </w:r>
      <w:r>
        <w:tab/>
        <w:t>to general meetings held, or votes taken, within a specified period; or</w:t>
      </w:r>
    </w:p>
    <w:p>
      <w:pPr>
        <w:pStyle w:val="Indenta"/>
      </w:pPr>
      <w:r>
        <w:tab/>
        <w:t>(c)</w:t>
      </w:r>
      <w:r>
        <w:tab/>
        <w:t>to a specified purpose; or</w:t>
      </w:r>
    </w:p>
    <w:p>
      <w:pPr>
        <w:pStyle w:val="Indenta"/>
      </w:pPr>
      <w:r>
        <w:tab/>
        <w:t>(d)</w:t>
      </w:r>
      <w:r>
        <w:tab/>
        <w:t>in any other specified way.</w:t>
      </w:r>
    </w:p>
    <w:p>
      <w:pPr>
        <w:pStyle w:val="Subsection"/>
      </w:pPr>
      <w:r>
        <w:tab/>
        <w:t>(4)</w:t>
      </w:r>
      <w:r>
        <w:tab/>
        <w:t>A proxy may be, but is not required to be, a member of the strata company.</w:t>
      </w:r>
    </w:p>
    <w:p>
      <w:pPr>
        <w:pStyle w:val="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Footnotesection"/>
      </w:pPr>
      <w:r>
        <w:tab/>
        <w:t>[Section 124 inserted: No. 30 of 2018 s. 83.]</w:t>
      </w:r>
    </w:p>
    <w:p>
      <w:pPr>
        <w:pStyle w:val="Footnotesection"/>
      </w:pPr>
      <w:r>
        <w:t>[Former section 124 renumbered as section 170 and relocated to Part 11 Division 3: No. 30 of 2018 s. 84.]</w:t>
      </w:r>
    </w:p>
    <w:p>
      <w:pPr>
        <w:pStyle w:val="Heading5"/>
        <w:rPr>
          <w:snapToGrid w:val="0"/>
        </w:rPr>
      </w:pPr>
      <w:bookmarkStart w:id="440" w:name="_Toc106986753"/>
      <w:bookmarkStart w:id="441" w:name="_Toc100565051"/>
      <w:r>
        <w:rPr>
          <w:rStyle w:val="CharSectno"/>
        </w:rPr>
        <w:t>125</w:t>
      </w:r>
      <w:r>
        <w:t>.</w:t>
      </w:r>
      <w:r>
        <w:tab/>
      </w:r>
      <w:r>
        <w:rPr>
          <w:snapToGrid w:val="0"/>
        </w:rPr>
        <w:t>Disqualification from voting as proxy</w:t>
      </w:r>
      <w:bookmarkEnd w:id="440"/>
      <w:bookmarkEnd w:id="441"/>
    </w:p>
    <w:p>
      <w:pPr>
        <w:pStyle w:val="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Subsection"/>
        <w:keepNext/>
        <w:rPr>
          <w:snapToGrid w:val="0"/>
        </w:rPr>
      </w:pPr>
      <w:r>
        <w:rPr>
          <w:snapToGrid w:val="0"/>
        </w:rPr>
        <w:tab/>
        <w:t>(3)</w:t>
      </w:r>
      <w:r>
        <w:rPr>
          <w:snapToGrid w:val="0"/>
        </w:rPr>
        <w:tab/>
      </w:r>
      <w:r>
        <w:t>Subsection (</w:t>
      </w:r>
      <w:r>
        <w:rPr>
          <w:snapToGrid w:val="0"/>
        </w:rPr>
        <w:t>2) does not apply if —</w:t>
      </w:r>
    </w:p>
    <w:p>
      <w:pPr>
        <w:pStyle w:val="Indenta"/>
      </w:pPr>
      <w:r>
        <w:tab/>
        <w:t>(a)</w:t>
      </w:r>
      <w:r>
        <w:tab/>
        <w:t>notice of the proposed resolution included, if applicable, the particulars described in subsection (4); and</w:t>
      </w:r>
    </w:p>
    <w:p>
      <w:pPr>
        <w:pStyle w:val="Indenta"/>
        <w:rPr>
          <w:snapToGrid w:val="0"/>
        </w:rPr>
      </w:pPr>
      <w:r>
        <w:tab/>
        <w:t>(b)</w:t>
      </w:r>
      <w:r>
        <w:tab/>
        <w:t>the instrument appointing the proxy expressly authorises the proxy to vote on the resolution and specifies whether the proxy is to vote for or against it.</w:t>
      </w:r>
    </w:p>
    <w:p>
      <w:pPr>
        <w:pStyle w:val="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Indenta"/>
      </w:pPr>
      <w:r>
        <w:tab/>
        <w:t>(a)</w:t>
      </w:r>
      <w:r>
        <w:tab/>
        <w:t>the name of the strata manager; and</w:t>
      </w:r>
    </w:p>
    <w:p>
      <w:pPr>
        <w:pStyle w:val="Indenta"/>
      </w:pPr>
      <w:r>
        <w:tab/>
        <w:t>(b)</w:t>
      </w:r>
      <w:r>
        <w:tab/>
        <w:t>when the proposed contract, or the contract as proposed to be varied or extended (as the case may require) is to start and end; and</w:t>
      </w:r>
    </w:p>
    <w:p>
      <w:pPr>
        <w:pStyle w:val="Indenta"/>
      </w:pPr>
      <w:r>
        <w:tab/>
        <w:t>(c)</w:t>
      </w:r>
      <w:r>
        <w:tab/>
        <w:t>each proposed variation, if applicable; and</w:t>
      </w:r>
    </w:p>
    <w:p>
      <w:pPr>
        <w:pStyle w:val="Indenta"/>
      </w:pPr>
      <w:r>
        <w:tab/>
        <w:t>(d)</w:t>
      </w:r>
      <w:r>
        <w:tab/>
        <w:t>the remuneration that is payable under the contract or the way in which the remuneration that is payable under the contract is to be calculated.</w:t>
      </w:r>
    </w:p>
    <w:p>
      <w:pPr>
        <w:pStyle w:val="Footnotesection"/>
      </w:pPr>
      <w:r>
        <w:tab/>
        <w:t>[Section 125 inserted: No. 30 of 2018 s. 83.]</w:t>
      </w:r>
    </w:p>
    <w:p>
      <w:pPr>
        <w:pStyle w:val="Heading5"/>
        <w:rPr>
          <w:snapToGrid w:val="0"/>
        </w:rPr>
      </w:pPr>
      <w:bookmarkStart w:id="442" w:name="_Toc106986754"/>
      <w:bookmarkStart w:id="443" w:name="_Toc100565052"/>
      <w:r>
        <w:rPr>
          <w:rStyle w:val="CharSectno"/>
        </w:rPr>
        <w:t>126</w:t>
      </w:r>
      <w:r>
        <w:rPr>
          <w:snapToGrid w:val="0"/>
        </w:rPr>
        <w:t>.</w:t>
      </w:r>
      <w:r>
        <w:rPr>
          <w:snapToGrid w:val="0"/>
        </w:rPr>
        <w:tab/>
        <w:t>Exercise of voting power in certain cases</w:t>
      </w:r>
      <w:bookmarkEnd w:id="442"/>
      <w:bookmarkEnd w:id="443"/>
    </w:p>
    <w:p>
      <w:pPr>
        <w:pStyle w:val="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Indenta"/>
      </w:pPr>
      <w:r>
        <w:tab/>
        <w:t>(a)</w:t>
      </w:r>
      <w:r>
        <w:tab/>
        <w:t>if the lot is subject to a registered mortgage —</w:t>
      </w:r>
    </w:p>
    <w:p>
      <w:pPr>
        <w:pStyle w:val="Indenti"/>
      </w:pPr>
      <w:r>
        <w:tab/>
        <w:t>(i)</w:t>
      </w:r>
      <w:r>
        <w:tab/>
        <w:t>the first mortgagee of the lot may, in person or by proxy, cast the vote on behalf of the owner of the lot; and</w:t>
      </w:r>
    </w:p>
    <w:p>
      <w:pPr>
        <w:pStyle w:val="Indenti"/>
        <w:keepNext/>
      </w:pPr>
      <w:r>
        <w:tab/>
        <w:t>(ii)</w:t>
      </w:r>
      <w:r>
        <w:tab/>
        <w:t>the owner may cast the vote if the first mortgagee does not do so;</w:t>
      </w:r>
    </w:p>
    <w:p>
      <w:pPr>
        <w:pStyle w:val="Indenta"/>
      </w:pPr>
      <w:r>
        <w:tab/>
      </w:r>
      <w:r>
        <w:tab/>
        <w:t>and</w:t>
      </w:r>
    </w:p>
    <w:p>
      <w:pPr>
        <w:pStyle w:val="Indenta"/>
      </w:pPr>
      <w:r>
        <w:tab/>
        <w:t>(b)</w:t>
      </w:r>
      <w:r>
        <w:tab/>
        <w:t>in any event —</w:t>
      </w:r>
    </w:p>
    <w:p>
      <w:pPr>
        <w:pStyle w:val="Indenti"/>
      </w:pPr>
      <w:r>
        <w:rPr>
          <w:snapToGrid w:val="0"/>
          <w:spacing w:val="-4"/>
        </w:rPr>
        <w:tab/>
      </w:r>
      <w:r>
        <w:t>(i)</w:t>
      </w:r>
      <w:r>
        <w:tab/>
        <w:t>if the owner of the lot has not attained 18 years of age, the owner may not cast the vote but the owner’s guardian may do so on behalf of the owner; and</w:t>
      </w:r>
    </w:p>
    <w:p>
      <w:pPr>
        <w:pStyle w:val="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Footnotesection"/>
      </w:pPr>
      <w:r>
        <w:tab/>
        <w:t>[Section 126 inserted: No. 30 of 2018 s. 83.]</w:t>
      </w:r>
    </w:p>
    <w:p>
      <w:pPr>
        <w:pStyle w:val="Footnotesection"/>
      </w:pPr>
      <w:r>
        <w:t>[Former section 126 renumbered as section 217 and relocated to Part 14: No. 30 of 2018 s. 84.]</w:t>
      </w:r>
    </w:p>
    <w:p>
      <w:pPr>
        <w:pStyle w:val="Heading4"/>
      </w:pPr>
      <w:bookmarkStart w:id="444" w:name="_Toc106986319"/>
      <w:bookmarkStart w:id="445" w:name="_Toc106986755"/>
      <w:bookmarkStart w:id="446" w:name="_Toc100308333"/>
      <w:bookmarkStart w:id="447" w:name="_Toc100308769"/>
      <w:bookmarkStart w:id="448" w:name="_Toc100565053"/>
      <w:r>
        <w:t>Subdivision 2 — Meetings of strata company</w:t>
      </w:r>
      <w:bookmarkEnd w:id="444"/>
      <w:bookmarkEnd w:id="445"/>
      <w:bookmarkEnd w:id="446"/>
      <w:bookmarkEnd w:id="447"/>
      <w:bookmarkEnd w:id="448"/>
    </w:p>
    <w:p>
      <w:pPr>
        <w:pStyle w:val="Footnoteheading"/>
      </w:pPr>
      <w:r>
        <w:tab/>
        <w:t>[Heading inserted: No. 30 of 2018 s. 83.]</w:t>
      </w:r>
    </w:p>
    <w:p>
      <w:pPr>
        <w:pStyle w:val="Heading5"/>
      </w:pPr>
      <w:bookmarkStart w:id="449" w:name="_Toc106986756"/>
      <w:bookmarkStart w:id="450" w:name="_Toc100565054"/>
      <w:r>
        <w:rPr>
          <w:rStyle w:val="CharSectno"/>
        </w:rPr>
        <w:t>127</w:t>
      </w:r>
      <w:r>
        <w:t>.</w:t>
      </w:r>
      <w:r>
        <w:tab/>
        <w:t>Annual general meetings of strata company</w:t>
      </w:r>
      <w:bookmarkEnd w:id="449"/>
      <w:bookmarkEnd w:id="450"/>
    </w:p>
    <w:p>
      <w:pPr>
        <w:pStyle w:val="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Subsection"/>
      </w:pPr>
      <w:r>
        <w:tab/>
        <w:t>(3)</w:t>
      </w:r>
      <w:r>
        <w:tab/>
        <w:t>The following matters must be included as an item of business on the agenda for each annual general meeting of a strata company (including the first annual general meeting) —</w:t>
      </w:r>
    </w:p>
    <w:p>
      <w:pPr>
        <w:pStyle w:val="Indenta"/>
      </w:pPr>
      <w:r>
        <w:tab/>
        <w:t>(a)</w:t>
      </w:r>
      <w:r>
        <w:tab/>
        <w:t>election of council members;</w:t>
      </w:r>
    </w:p>
    <w:p>
      <w:pPr>
        <w:pStyle w:val="Indenta"/>
      </w:pPr>
      <w:r>
        <w:tab/>
        <w:t>(b)</w:t>
      </w:r>
      <w:r>
        <w:tab/>
        <w:t>consideration of accounts;</w:t>
      </w:r>
    </w:p>
    <w:p>
      <w:pPr>
        <w:pStyle w:val="Indenta"/>
      </w:pPr>
      <w:r>
        <w:tab/>
        <w:t>(c)</w:t>
      </w:r>
      <w:r>
        <w:tab/>
        <w:t>the presentation of copies of certificates and schedules for the insurance required under this Act, current as at the date of the meeting.</w:t>
      </w:r>
    </w:p>
    <w:p>
      <w:pPr>
        <w:pStyle w:val="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Footnotesection"/>
      </w:pPr>
      <w:r>
        <w:tab/>
        <w:t>[Section 127 inserted: No. 30 of 2018 s. 83.]</w:t>
      </w:r>
    </w:p>
    <w:p>
      <w:pPr>
        <w:pStyle w:val="Heading5"/>
      </w:pPr>
      <w:bookmarkStart w:id="451" w:name="_Toc106986757"/>
      <w:bookmarkStart w:id="452" w:name="_Toc100565055"/>
      <w:r>
        <w:rPr>
          <w:rStyle w:val="CharSectno"/>
        </w:rPr>
        <w:t>128</w:t>
      </w:r>
      <w:r>
        <w:t>.</w:t>
      </w:r>
      <w:r>
        <w:tab/>
        <w:t>Extraordinary general meetings of strata company</w:t>
      </w:r>
      <w:bookmarkEnd w:id="451"/>
      <w:bookmarkEnd w:id="452"/>
    </w:p>
    <w:p>
      <w:pPr>
        <w:pStyle w:val="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Subsection"/>
        <w:rPr>
          <w:snapToGrid w:val="0"/>
        </w:rPr>
      </w:pPr>
      <w:r>
        <w:rPr>
          <w:snapToGrid w:val="0"/>
        </w:rPr>
        <w:tab/>
        <w:t>(2)</w:t>
      </w:r>
      <w:r>
        <w:rPr>
          <w:snapToGrid w:val="0"/>
        </w:rPr>
        <w:tab/>
        <w:t>An extraordinary general meeting of a strata company —</w:t>
      </w:r>
    </w:p>
    <w:p>
      <w:pPr>
        <w:pStyle w:val="Indenta"/>
      </w:pPr>
      <w:r>
        <w:tab/>
        <w:t>(a)</w:t>
      </w:r>
      <w:r>
        <w:tab/>
        <w:t>may be convened by the council of the strata company as the council thinks fit; and</w:t>
      </w:r>
    </w:p>
    <w:p>
      <w:pPr>
        <w:pStyle w:val="Indenta"/>
      </w:pPr>
      <w:r>
        <w:tab/>
        <w:t>(b)</w:t>
      </w:r>
      <w:r>
        <w:tab/>
        <w:t>must be convened by the council of the strata company on the written request of owners entitled to 25% or more of the unit entitlements of the lots in the strata titles scheme.</w:t>
      </w:r>
    </w:p>
    <w:p>
      <w:pPr>
        <w:pStyle w:val="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Subsection"/>
        <w:rPr>
          <w:snapToGrid w:val="0"/>
        </w:rPr>
      </w:pPr>
      <w:r>
        <w:rPr>
          <w:snapToGrid w:val="0"/>
        </w:rPr>
        <w:tab/>
        <w:t>(6)</w:t>
      </w:r>
      <w:r>
        <w:rPr>
          <w:snapToGrid w:val="0"/>
        </w:rPr>
        <w:tab/>
        <w:t>All business transacted at an extraordinary general meeting is taken to be special business.</w:t>
      </w:r>
    </w:p>
    <w:p>
      <w:pPr>
        <w:pStyle w:val="Footnotesection"/>
      </w:pPr>
      <w:r>
        <w:tab/>
        <w:t>[Section 128 inserted: No. 30 of 2018 s. 83.]</w:t>
      </w:r>
    </w:p>
    <w:p>
      <w:pPr>
        <w:pStyle w:val="Heading5"/>
      </w:pPr>
      <w:bookmarkStart w:id="453" w:name="_Toc106986758"/>
      <w:bookmarkStart w:id="454" w:name="_Toc100565056"/>
      <w:r>
        <w:rPr>
          <w:rStyle w:val="CharSectno"/>
        </w:rPr>
        <w:t>129</w:t>
      </w:r>
      <w:r>
        <w:t>.</w:t>
      </w:r>
      <w:r>
        <w:tab/>
        <w:t>Notice requirements for all general meetings</w:t>
      </w:r>
      <w:bookmarkEnd w:id="453"/>
      <w:bookmarkEnd w:id="454"/>
    </w:p>
    <w:p>
      <w:pPr>
        <w:pStyle w:val="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Subsection"/>
        <w:rPr>
          <w:snapToGrid w:val="0"/>
        </w:rPr>
      </w:pPr>
      <w:r>
        <w:rPr>
          <w:snapToGrid w:val="0"/>
        </w:rPr>
        <w:tab/>
        <w:t>(2)</w:t>
      </w:r>
      <w:r>
        <w:rPr>
          <w:snapToGrid w:val="0"/>
        </w:rPr>
        <w:tab/>
        <w:t>The notice must include —</w:t>
      </w:r>
    </w:p>
    <w:p>
      <w:pPr>
        <w:pStyle w:val="Indenta"/>
      </w:pPr>
      <w:r>
        <w:tab/>
        <w:t>(a)</w:t>
      </w:r>
      <w:r>
        <w:tab/>
        <w:t>the date, time and venue of the meeting; and</w:t>
      </w:r>
    </w:p>
    <w:p>
      <w:pPr>
        <w:pStyle w:val="Indenta"/>
      </w:pPr>
      <w:r>
        <w:tab/>
        <w:t>(b)</w:t>
      </w:r>
      <w:r>
        <w:tab/>
        <w:t>for an annual general meeting, notice of each item of business referred to in section 127(3); and</w:t>
      </w:r>
    </w:p>
    <w:p>
      <w:pPr>
        <w:pStyle w:val="Indenta"/>
      </w:pPr>
      <w:r>
        <w:tab/>
        <w:t>(c)</w:t>
      </w:r>
      <w:r>
        <w:tab/>
        <w:t>for special business, notice of the general nature of that business; and</w:t>
      </w:r>
    </w:p>
    <w:p>
      <w:pPr>
        <w:pStyle w:val="Indenta"/>
      </w:pPr>
      <w:r>
        <w:tab/>
        <w:t>(d)</w:t>
      </w:r>
      <w:r>
        <w:tab/>
        <w:t>notice of each method of voting, whether by means of an electronic communication or otherwise, that is acceptable to the strata company.</w:t>
      </w:r>
    </w:p>
    <w:p>
      <w:pPr>
        <w:pStyle w:val="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Footnotesection"/>
      </w:pPr>
      <w:r>
        <w:tab/>
        <w:t>[Section 129 inserted: No. 30 of 2018 s. 83.]</w:t>
      </w:r>
    </w:p>
    <w:p>
      <w:pPr>
        <w:pStyle w:val="Ednotesection"/>
      </w:pPr>
      <w:r>
        <w:t>[</w:t>
      </w:r>
      <w:r>
        <w:rPr>
          <w:b/>
        </w:rPr>
        <w:t>129A.</w:t>
      </w:r>
      <w:r>
        <w:rPr>
          <w:b/>
        </w:rPr>
        <w:tab/>
      </w:r>
      <w:r>
        <w:t>Deleted: No. 30 of 2018 s. 82(b).]</w:t>
      </w:r>
    </w:p>
    <w:p>
      <w:pPr>
        <w:pStyle w:val="Ednotesection"/>
      </w:pPr>
      <w:r>
        <w:t>[Former sections 129B-129D renumbered as sections 219-221 and relocated to Part 14: No. 30 of 2018 s. 84.]</w:t>
      </w:r>
    </w:p>
    <w:p>
      <w:pPr>
        <w:pStyle w:val="Heading5"/>
      </w:pPr>
      <w:bookmarkStart w:id="455" w:name="_Toc106986759"/>
      <w:bookmarkStart w:id="456" w:name="_Toc100565057"/>
      <w:r>
        <w:rPr>
          <w:rStyle w:val="CharSectno"/>
        </w:rPr>
        <w:t>130</w:t>
      </w:r>
      <w:r>
        <w:t>.</w:t>
      </w:r>
      <w:r>
        <w:tab/>
        <w:t>Quorum at general meetings</w:t>
      </w:r>
      <w:bookmarkEnd w:id="455"/>
      <w:bookmarkEnd w:id="456"/>
    </w:p>
    <w:p>
      <w:pPr>
        <w:pStyle w:val="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Footnotesection"/>
      </w:pPr>
      <w:r>
        <w:tab/>
        <w:t>[Section 130 inserted: No. 30 of 2018 s. 83.]</w:t>
      </w:r>
    </w:p>
    <w:p>
      <w:pPr>
        <w:pStyle w:val="Footnotesection"/>
      </w:pPr>
      <w:r>
        <w:t>[Former section 130 renumbered as section 224 and relocated to Part 14: No. 30 of 2018 s. 84.]</w:t>
      </w:r>
    </w:p>
    <w:p>
      <w:pPr>
        <w:pStyle w:val="Heading5"/>
      </w:pPr>
      <w:bookmarkStart w:id="457" w:name="_Toc106986760"/>
      <w:bookmarkStart w:id="458" w:name="_Toc100565058"/>
      <w:r>
        <w:rPr>
          <w:rStyle w:val="CharSectno"/>
        </w:rPr>
        <w:t>131</w:t>
      </w:r>
      <w:r>
        <w:t>.</w:t>
      </w:r>
      <w:r>
        <w:tab/>
        <w:t>Holding meetings remotely</w:t>
      </w:r>
      <w:bookmarkEnd w:id="457"/>
      <w:bookmarkEnd w:id="458"/>
    </w:p>
    <w:p>
      <w:pPr>
        <w:pStyle w:val="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Subsection"/>
        <w:rPr>
          <w:snapToGrid w:val="0"/>
        </w:rPr>
      </w:pPr>
      <w:r>
        <w:rPr>
          <w:snapToGrid w:val="0"/>
        </w:rPr>
        <w:tab/>
        <w:t>(2)</w:t>
      </w:r>
      <w:r>
        <w:rPr>
          <w:snapToGrid w:val="0"/>
        </w:rPr>
        <w:tab/>
        <w:t>A person attending a meeting by remote communication is taken to be present at the meeting.</w:t>
      </w:r>
    </w:p>
    <w:p>
      <w:pPr>
        <w:pStyle w:val="Footnotesection"/>
      </w:pPr>
      <w:r>
        <w:tab/>
        <w:t>[Section 131 inserted: No. 30 of 2018 s. 83.]</w:t>
      </w:r>
    </w:p>
    <w:p>
      <w:pPr>
        <w:pStyle w:val="Ednotesection"/>
      </w:pPr>
      <w:r>
        <w:t>[Former sections 131A and 131B renumbered as sections 225 and 226 respectively and relocated to Part 14: No. 30 of 2018 s. 84.]</w:t>
      </w:r>
    </w:p>
    <w:p>
      <w:pPr>
        <w:pStyle w:val="Heading5"/>
      </w:pPr>
      <w:bookmarkStart w:id="459" w:name="_Toc106986761"/>
      <w:bookmarkStart w:id="460" w:name="_Toc100565059"/>
      <w:r>
        <w:rPr>
          <w:rStyle w:val="CharSectno"/>
        </w:rPr>
        <w:t>132</w:t>
      </w:r>
      <w:r>
        <w:t>.</w:t>
      </w:r>
      <w:r>
        <w:tab/>
        <w:t>Conducting business at general meetings</w:t>
      </w:r>
      <w:bookmarkEnd w:id="459"/>
      <w:bookmarkEnd w:id="460"/>
    </w:p>
    <w:p>
      <w:pPr>
        <w:pStyle w:val="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Footnotesection"/>
      </w:pPr>
      <w:r>
        <w:tab/>
        <w:t>[Section 132 inserted: No. 30 of 2018 s. 83.]</w:t>
      </w:r>
    </w:p>
    <w:p>
      <w:pPr>
        <w:pStyle w:val="Heading5"/>
      </w:pPr>
      <w:bookmarkStart w:id="461" w:name="_Toc106986762"/>
      <w:bookmarkStart w:id="462" w:name="_Toc100565060"/>
      <w:r>
        <w:rPr>
          <w:rStyle w:val="CharSectno"/>
        </w:rPr>
        <w:t>133</w:t>
      </w:r>
      <w:r>
        <w:t>.</w:t>
      </w:r>
      <w:r>
        <w:tab/>
        <w:t>Resolutions of general meetings</w:t>
      </w:r>
      <w:bookmarkEnd w:id="461"/>
      <w:bookmarkEnd w:id="462"/>
    </w:p>
    <w:p>
      <w:pPr>
        <w:pStyle w:val="Subsection"/>
        <w:rPr>
          <w:snapToGrid w:val="0"/>
        </w:rPr>
      </w:pPr>
      <w:r>
        <w:rPr>
          <w:snapToGrid w:val="0"/>
        </w:rPr>
        <w:tab/>
      </w:r>
      <w:r>
        <w:rPr>
          <w:snapToGrid w:val="0"/>
        </w:rPr>
        <w:tab/>
        <w:t>Resolutions passed at a general meeting may be ordinary resolutions unless this Act requires otherwise.</w:t>
      </w:r>
    </w:p>
    <w:p>
      <w:pPr>
        <w:pStyle w:val="Footnotesection"/>
      </w:pPr>
      <w:r>
        <w:tab/>
        <w:t>[Section 133 inserted: No. 30 of 2018 s. 83.]</w:t>
      </w:r>
    </w:p>
    <w:p>
      <w:pPr>
        <w:pStyle w:val="Heading5"/>
        <w:rPr>
          <w:snapToGrid w:val="0"/>
        </w:rPr>
      </w:pPr>
      <w:bookmarkStart w:id="463" w:name="_Toc106986763"/>
      <w:bookmarkStart w:id="464" w:name="_Toc100565061"/>
      <w:r>
        <w:rPr>
          <w:rStyle w:val="CharSectno"/>
        </w:rPr>
        <w:t>134</w:t>
      </w:r>
      <w:r>
        <w:rPr>
          <w:snapToGrid w:val="0"/>
        </w:rPr>
        <w:t>.</w:t>
      </w:r>
      <w:r>
        <w:rPr>
          <w:snapToGrid w:val="0"/>
        </w:rPr>
        <w:tab/>
        <w:t>Performance of restricted council functions in general meeting</w:t>
      </w:r>
      <w:bookmarkEnd w:id="463"/>
      <w:bookmarkEnd w:id="464"/>
    </w:p>
    <w:p>
      <w:pPr>
        <w:pStyle w:val="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Footnotesection"/>
      </w:pPr>
      <w:r>
        <w:tab/>
        <w:t>[Section 134 inserted: No. 30 of 2018 s. 83.]</w:t>
      </w:r>
    </w:p>
    <w:p>
      <w:pPr>
        <w:pStyle w:val="Heading3"/>
      </w:pPr>
      <w:bookmarkStart w:id="465" w:name="_Toc106986328"/>
      <w:bookmarkStart w:id="466" w:name="_Toc106986764"/>
      <w:bookmarkStart w:id="467" w:name="_Toc100308342"/>
      <w:bookmarkStart w:id="468" w:name="_Toc100308778"/>
      <w:bookmarkStart w:id="469" w:name="_Toc100565062"/>
      <w:r>
        <w:rPr>
          <w:rStyle w:val="CharDivNo"/>
        </w:rPr>
        <w:t>Division 4</w:t>
      </w:r>
      <w:r>
        <w:t> — </w:t>
      </w:r>
      <w:r>
        <w:rPr>
          <w:rStyle w:val="CharDivText"/>
        </w:rPr>
        <w:t>Councils</w:t>
      </w:r>
      <w:bookmarkEnd w:id="465"/>
      <w:bookmarkEnd w:id="466"/>
      <w:bookmarkEnd w:id="467"/>
      <w:bookmarkEnd w:id="468"/>
      <w:bookmarkEnd w:id="469"/>
    </w:p>
    <w:p>
      <w:pPr>
        <w:pStyle w:val="Footnoteheading"/>
        <w:keepNext/>
      </w:pPr>
      <w:r>
        <w:tab/>
        <w:t>[Heading inserted: No. 30 of 2018 s. 83.]</w:t>
      </w:r>
    </w:p>
    <w:p>
      <w:pPr>
        <w:pStyle w:val="Heading5"/>
        <w:spacing w:before="180"/>
        <w:rPr>
          <w:snapToGrid w:val="0"/>
        </w:rPr>
      </w:pPr>
      <w:bookmarkStart w:id="470" w:name="_Toc106986765"/>
      <w:bookmarkStart w:id="471" w:name="_Toc100565063"/>
      <w:r>
        <w:rPr>
          <w:rStyle w:val="CharSectno"/>
        </w:rPr>
        <w:t>135</w:t>
      </w:r>
      <w:r>
        <w:rPr>
          <w:snapToGrid w:val="0"/>
        </w:rPr>
        <w:t>.</w:t>
      </w:r>
      <w:r>
        <w:rPr>
          <w:snapToGrid w:val="0"/>
        </w:rPr>
        <w:tab/>
        <w:t>Functions and constitution of councils</w:t>
      </w:r>
      <w:bookmarkEnd w:id="470"/>
      <w:bookmarkEnd w:id="471"/>
    </w:p>
    <w:p>
      <w:pPr>
        <w:pStyle w:val="Subsection"/>
        <w:rPr>
          <w:snapToGrid w:val="0"/>
        </w:rPr>
      </w:pPr>
      <w:r>
        <w:rPr>
          <w:snapToGrid w:val="0"/>
        </w:rPr>
        <w:tab/>
        <w:t>(1)</w:t>
      </w:r>
      <w:r>
        <w:rPr>
          <w:snapToGrid w:val="0"/>
        </w:rPr>
        <w:tab/>
        <w:t xml:space="preserve">The functions of a strata </w:t>
      </w:r>
      <w:r>
        <w:t>company,</w:t>
      </w:r>
      <w:r>
        <w:rPr>
          <w:snapToGrid w:val="0"/>
        </w:rPr>
        <w:t xml:space="preserve"> subject to this Act and to any restriction imposed or direction given </w:t>
      </w:r>
      <w:r>
        <w:t xml:space="preserve">by ordinary resolution, are to be </w:t>
      </w:r>
      <w:r>
        <w:rPr>
          <w:snapToGrid w:val="0"/>
        </w:rPr>
        <w:t>performed by the council of the strata company.</w:t>
      </w:r>
    </w:p>
    <w:p>
      <w:pPr>
        <w:pStyle w:val="Subsection"/>
        <w:rPr>
          <w:snapToGrid w:val="0"/>
        </w:rPr>
      </w:pPr>
      <w:r>
        <w:rPr>
          <w:snapToGrid w:val="0"/>
        </w:rPr>
        <w:tab/>
        <w:t>(2)</w:t>
      </w:r>
      <w:r>
        <w:rPr>
          <w:snapToGrid w:val="0"/>
        </w:rPr>
        <w:tab/>
        <w:t xml:space="preserve">The council of a strata company </w:t>
      </w:r>
      <w:r>
        <w:t>must</w:t>
      </w:r>
      <w:r>
        <w:rPr>
          <w:snapToGrid w:val="0"/>
        </w:rPr>
        <w:t xml:space="preserve"> be constituted and perform its functions in accordance with </w:t>
      </w:r>
      <w:r>
        <w:t>this Act and the scheme by</w:t>
      </w:r>
      <w:r>
        <w:noBreakHyphen/>
        <w:t>laws.</w:t>
      </w:r>
    </w:p>
    <w:p>
      <w:pPr>
        <w:pStyle w:val="Subsection"/>
      </w:pPr>
      <w:r>
        <w:tab/>
        <w:t>(3)</w:t>
      </w:r>
      <w:r>
        <w:tab/>
        <w:t>On an election of the council at a general meeting of the strata company —</w:t>
      </w:r>
    </w:p>
    <w:p>
      <w:pPr>
        <w:pStyle w:val="Indenta"/>
      </w:pPr>
      <w:r>
        <w:tab/>
        <w:t>(a)</w:t>
      </w:r>
      <w:r>
        <w:tab/>
        <w:t>a person who is entitled to vote in the election and who is present in person or by proxy at the meeting may demand that the votes in the election be counted by unit entitlement of the lots; and</w:t>
      </w:r>
    </w:p>
    <w:p>
      <w:pPr>
        <w:pStyle w:val="Indenta"/>
      </w:pPr>
      <w:r>
        <w:tab/>
        <w:t>(b)</w:t>
      </w:r>
      <w:r>
        <w:tab/>
        <w:t>if no such demand is made, the votes in the election are to be counted by number.</w:t>
      </w:r>
    </w:p>
    <w:p>
      <w:pPr>
        <w:pStyle w:val="Subsection"/>
      </w:pPr>
      <w:r>
        <w:tab/>
        <w:t>(4)</w:t>
      </w:r>
      <w:r>
        <w:tab/>
        <w:t>1 of the members of the council of a strata company must hold office as the chairperson of the strata company.</w:t>
      </w:r>
    </w:p>
    <w:p>
      <w:pPr>
        <w:pStyle w:val="PermNoteHeading"/>
      </w:pPr>
      <w:r>
        <w:tab/>
        <w:t>Note for this section:</w:t>
      </w:r>
    </w:p>
    <w:p>
      <w:pPr>
        <w:pStyle w:val="PermNoteText"/>
      </w:pPr>
      <w:r>
        <w:tab/>
      </w:r>
      <w:r>
        <w:tab/>
        <w:t>Section 143 provides that the functions of a strata company or the council or an officer of a strata company may be performed by a strata manager.</w:t>
      </w:r>
    </w:p>
    <w:p>
      <w:pPr>
        <w:pStyle w:val="Footnotesection"/>
        <w:tabs>
          <w:tab w:val="left" w:pos="4111"/>
        </w:tabs>
      </w:pPr>
      <w:r>
        <w:tab/>
        <w:t>[Section 135, formerly section 44, amended, renumbered as section 135 and relocated: No. 30 of 2018 s. 53 and 84.]</w:t>
      </w:r>
    </w:p>
    <w:p>
      <w:pPr>
        <w:pStyle w:val="Heading5"/>
        <w:rPr>
          <w:snapToGrid w:val="0"/>
        </w:rPr>
      </w:pPr>
      <w:bookmarkStart w:id="472" w:name="_Toc106986766"/>
      <w:bookmarkStart w:id="473" w:name="_Toc100565064"/>
      <w:r>
        <w:rPr>
          <w:rStyle w:val="CharSectno"/>
        </w:rPr>
        <w:t>136</w:t>
      </w:r>
      <w:r>
        <w:rPr>
          <w:snapToGrid w:val="0"/>
        </w:rPr>
        <w:t>.</w:t>
      </w:r>
      <w:r>
        <w:rPr>
          <w:snapToGrid w:val="0"/>
        </w:rPr>
        <w:tab/>
        <w:t>Corporate body may be officer or council member</w:t>
      </w:r>
      <w:bookmarkEnd w:id="472"/>
      <w:bookmarkEnd w:id="473"/>
    </w:p>
    <w:p>
      <w:pPr>
        <w:pStyle w:val="Subsection"/>
      </w:pPr>
      <w:r>
        <w:tab/>
        <w:t>(1)</w:t>
      </w:r>
      <w:r>
        <w:tab/>
        <w:t>A corporation is eligible to be an officer of a strata company or a member of the council of a strata company.</w:t>
      </w:r>
    </w:p>
    <w:p>
      <w:pPr>
        <w:pStyle w:val="Subsection"/>
        <w:rPr>
          <w:snapToGrid w:val="0"/>
        </w:rPr>
      </w:pPr>
      <w:r>
        <w:rPr>
          <w:snapToGrid w:val="0"/>
        </w:rPr>
        <w:tab/>
        <w:t>(2)</w:t>
      </w:r>
      <w:r>
        <w:rPr>
          <w:snapToGrid w:val="0"/>
        </w:rPr>
        <w:tab/>
        <w:t xml:space="preserve">A corporation may authorise an individual to perform on its behalf </w:t>
      </w:r>
      <w:r>
        <w:t>a function conferred</w:t>
      </w:r>
      <w:r>
        <w:rPr>
          <w:snapToGrid w:val="0"/>
        </w:rPr>
        <w:t xml:space="preserve"> under this Act on the corporation as </w:t>
      </w:r>
      <w:r>
        <w:t>an officer of the strata company or as a</w:t>
      </w:r>
      <w:r>
        <w:rPr>
          <w:snapToGrid w:val="0"/>
        </w:rPr>
        <w:t xml:space="preserve"> member of the council and may revoke </w:t>
      </w:r>
      <w:r>
        <w:t xml:space="preserve">the </w:t>
      </w:r>
      <w:r>
        <w:rPr>
          <w:snapToGrid w:val="0"/>
        </w:rPr>
        <w:t>authority of an individual so authorised.</w:t>
      </w:r>
    </w:p>
    <w:p>
      <w:pPr>
        <w:pStyle w:val="Subsection"/>
        <w:rPr>
          <w:snapToGrid w:val="0"/>
        </w:rPr>
      </w:pPr>
      <w:r>
        <w:rPr>
          <w:snapToGrid w:val="0"/>
        </w:rPr>
        <w:tab/>
        <w:t>(3)</w:t>
      </w:r>
      <w:r>
        <w:rPr>
          <w:snapToGrid w:val="0"/>
        </w:rPr>
        <w:tab/>
      </w:r>
      <w:r>
        <w:t>If</w:t>
      </w:r>
      <w:r>
        <w:rPr>
          <w:snapToGrid w:val="0"/>
        </w:rPr>
        <w:t xml:space="preserve"> an individual performs a function that the individual is authorised to perform by a corporation under subsection (2), the function </w:t>
      </w:r>
      <w:r>
        <w:t>is taken</w:t>
      </w:r>
      <w:r>
        <w:rPr>
          <w:snapToGrid w:val="0"/>
        </w:rPr>
        <w:t xml:space="preserve"> to be performed by the corporation.</w:t>
      </w:r>
    </w:p>
    <w:p>
      <w:pPr>
        <w:pStyle w:val="Footnotesection"/>
      </w:pPr>
      <w:r>
        <w:tab/>
        <w:t>[Section 136, formerly section 45, amended, renumbered as section 136 and relocated: No. 30 of 2018 s. 54 and 84.]</w:t>
      </w:r>
    </w:p>
    <w:p>
      <w:pPr>
        <w:pStyle w:val="Heading5"/>
      </w:pPr>
      <w:bookmarkStart w:id="474" w:name="_Toc106986767"/>
      <w:bookmarkStart w:id="475" w:name="_Toc100565065"/>
      <w:r>
        <w:rPr>
          <w:rStyle w:val="CharSectno"/>
        </w:rPr>
        <w:t>137</w:t>
      </w:r>
      <w:r>
        <w:t>.</w:t>
      </w:r>
      <w:r>
        <w:tab/>
        <w:t>Council members: general duties and conflicts of interest</w:t>
      </w:r>
      <w:bookmarkEnd w:id="474"/>
      <w:bookmarkEnd w:id="475"/>
    </w:p>
    <w:p>
      <w:pPr>
        <w:pStyle w:val="Subsection"/>
      </w:pPr>
      <w:r>
        <w:tab/>
        <w:t>(1)</w:t>
      </w:r>
      <w:r>
        <w:tab/>
        <w:t>This section applies to a person who is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keepNext/>
      </w:pPr>
      <w:r>
        <w:tab/>
        <w:t>(2)</w:t>
      </w:r>
      <w:r>
        <w:tab/>
        <w:t>A person to whom this section applies —</w:t>
      </w:r>
    </w:p>
    <w:p>
      <w:pPr>
        <w:pStyle w:val="Indenta"/>
      </w:pPr>
      <w:r>
        <w:tab/>
        <w:t>(a)</w:t>
      </w:r>
      <w:r>
        <w:tab/>
        <w:t>must at all times act honestly, with loyalty and in good faith in the performance of functions as a member of the council or an officer of the strata company; and</w:t>
      </w:r>
    </w:p>
    <w:p>
      <w:pPr>
        <w:pStyle w:val="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strata company.</w:t>
      </w:r>
    </w:p>
    <w:p>
      <w:pPr>
        <w:pStyle w:val="Subsection"/>
      </w:pPr>
      <w:r>
        <w:tab/>
        <w:t>(3)</w:t>
      </w:r>
      <w:r>
        <w:tab/>
        <w:t>A person to whom this section applies —</w:t>
      </w:r>
    </w:p>
    <w:p>
      <w:pPr>
        <w:pStyle w:val="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member is the owner of a lot in the scheme.</w:t>
      </w:r>
    </w:p>
    <w:p>
      <w:pPr>
        <w:pStyle w:val="Footnotesection"/>
      </w:pPr>
      <w:r>
        <w:tab/>
        <w:t>[Section 137 inserted: No. 30 of 2018 s. 83.]</w:t>
      </w:r>
    </w:p>
    <w:p>
      <w:pPr>
        <w:pStyle w:val="Heading3"/>
        <w:keepLines/>
      </w:pPr>
      <w:bookmarkStart w:id="476" w:name="_Toc106986332"/>
      <w:bookmarkStart w:id="477" w:name="_Toc106986768"/>
      <w:bookmarkStart w:id="478" w:name="_Toc100308346"/>
      <w:bookmarkStart w:id="479" w:name="_Toc100308782"/>
      <w:bookmarkStart w:id="480" w:name="_Toc100565066"/>
      <w:r>
        <w:rPr>
          <w:rStyle w:val="CharDivNo"/>
        </w:rPr>
        <w:t>Division 5</w:t>
      </w:r>
      <w:r>
        <w:t> — </w:t>
      </w:r>
      <w:r>
        <w:rPr>
          <w:rStyle w:val="CharDivText"/>
        </w:rPr>
        <w:t>Miscellaneous</w:t>
      </w:r>
      <w:bookmarkEnd w:id="476"/>
      <w:bookmarkEnd w:id="477"/>
      <w:bookmarkEnd w:id="478"/>
      <w:bookmarkEnd w:id="479"/>
      <w:bookmarkEnd w:id="480"/>
    </w:p>
    <w:p>
      <w:pPr>
        <w:pStyle w:val="Footnoteheading"/>
        <w:keepNext/>
        <w:keepLines/>
      </w:pPr>
      <w:r>
        <w:tab/>
        <w:t>[Heading inserted: No. 30 of 2018 s. 83.]</w:t>
      </w:r>
    </w:p>
    <w:p>
      <w:pPr>
        <w:pStyle w:val="Heading5"/>
        <w:rPr>
          <w:snapToGrid w:val="0"/>
        </w:rPr>
      </w:pPr>
      <w:bookmarkStart w:id="481" w:name="_Toc106986769"/>
      <w:bookmarkStart w:id="482" w:name="_Toc100565067"/>
      <w:r>
        <w:rPr>
          <w:rStyle w:val="CharSectno"/>
        </w:rPr>
        <w:t>138</w:t>
      </w:r>
      <w:r>
        <w:rPr>
          <w:snapToGrid w:val="0"/>
        </w:rPr>
        <w:t>.</w:t>
      </w:r>
      <w:r>
        <w:rPr>
          <w:snapToGrid w:val="0"/>
        </w:rPr>
        <w:tab/>
        <w:t>Performance of council functions in general meeting if no council or quorum</w:t>
      </w:r>
      <w:bookmarkEnd w:id="481"/>
      <w:bookmarkEnd w:id="482"/>
    </w:p>
    <w:p>
      <w:pPr>
        <w:pStyle w:val="Subsection"/>
        <w:keepNext/>
        <w:keepLines/>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Footnotesection"/>
        <w:keepNext/>
      </w:pPr>
      <w:r>
        <w:tab/>
        <w:t>[Section 138 inserted: No. 30 of 2018 s. 83.]</w:t>
      </w:r>
    </w:p>
    <w:p>
      <w:pPr>
        <w:pStyle w:val="Heading5"/>
        <w:rPr>
          <w:snapToGrid w:val="0"/>
        </w:rPr>
      </w:pPr>
      <w:bookmarkStart w:id="483" w:name="_Toc106986770"/>
      <w:bookmarkStart w:id="484" w:name="_Toc100565068"/>
      <w:r>
        <w:rPr>
          <w:rStyle w:val="CharSectno"/>
        </w:rPr>
        <w:t>139</w:t>
      </w:r>
      <w:r>
        <w:rPr>
          <w:snapToGrid w:val="0"/>
        </w:rPr>
        <w:t>.</w:t>
      </w:r>
      <w:r>
        <w:rPr>
          <w:snapToGrid w:val="0"/>
        </w:rPr>
        <w:tab/>
        <w:t>Contract formalities</w:t>
      </w:r>
      <w:bookmarkEnd w:id="483"/>
      <w:bookmarkEnd w:id="484"/>
    </w:p>
    <w:p>
      <w:pPr>
        <w:pStyle w:val="Subsection"/>
        <w:rPr>
          <w:snapToGrid w:val="0"/>
        </w:rPr>
      </w:pPr>
      <w:r>
        <w:rPr>
          <w:snapToGrid w:val="0"/>
        </w:rPr>
        <w:tab/>
        <w:t>(1)</w:t>
      </w:r>
      <w:r>
        <w:rPr>
          <w:snapToGrid w:val="0"/>
        </w:rPr>
        <w:tab/>
        <w:t xml:space="preserve">In so far as the formalities of making, </w:t>
      </w:r>
      <w:r>
        <w:t xml:space="preserve">varying, extending, </w:t>
      </w:r>
      <w:r>
        <w:rPr>
          <w:snapToGrid w:val="0"/>
        </w:rPr>
        <w:t>discharging</w:t>
      </w:r>
      <w:r>
        <w:t xml:space="preserve"> or terminating</w:t>
      </w:r>
      <w:r>
        <w:rPr>
          <w:snapToGrid w:val="0"/>
        </w:rPr>
        <w:t xml:space="preserve"> a contract are concerned, a person acting under the express or implied authority of a strata company may make, </w:t>
      </w:r>
      <w:r>
        <w:t xml:space="preserve">vary, extend, </w:t>
      </w:r>
      <w:r>
        <w:rPr>
          <w:snapToGrid w:val="0"/>
        </w:rPr>
        <w:t>discharge</w:t>
      </w:r>
      <w:r>
        <w:t xml:space="preserve"> or terminate</w:t>
      </w:r>
      <w:r>
        <w:rPr>
          <w:snapToGrid w:val="0"/>
        </w:rPr>
        <w:t xml:space="preserve"> a contract in the name of or on behalf of the strata company in the same manner as if that contract were made, </w:t>
      </w:r>
      <w:r>
        <w:t xml:space="preserve">varied, extended, </w:t>
      </w:r>
      <w:r>
        <w:rPr>
          <w:snapToGrid w:val="0"/>
        </w:rPr>
        <w:t>discharged</w:t>
      </w:r>
      <w:r>
        <w:t xml:space="preserve"> or terminated</w:t>
      </w:r>
      <w:r>
        <w:rPr>
          <w:snapToGrid w:val="0"/>
        </w:rPr>
        <w:t xml:space="preserve"> by a natural person.</w:t>
      </w:r>
    </w:p>
    <w:p>
      <w:pPr>
        <w:pStyle w:val="Subsection"/>
        <w:rPr>
          <w:snapToGrid w:val="0"/>
        </w:rPr>
      </w:pPr>
      <w:r>
        <w:rPr>
          <w:snapToGrid w:val="0"/>
        </w:rPr>
        <w:tab/>
        <w:t>(2)</w:t>
      </w:r>
      <w:r>
        <w:rPr>
          <w:snapToGrid w:val="0"/>
        </w:rPr>
        <w:tab/>
        <w:t xml:space="preserve">The making, </w:t>
      </w:r>
      <w:r>
        <w:t xml:space="preserve">variation, extension, </w:t>
      </w:r>
      <w:r>
        <w:rPr>
          <w:snapToGrid w:val="0"/>
        </w:rPr>
        <w:t xml:space="preserve">discharge or </w:t>
      </w:r>
      <w:r>
        <w:t>termination</w:t>
      </w:r>
      <w:r>
        <w:rPr>
          <w:snapToGrid w:val="0"/>
        </w:rPr>
        <w:t xml:space="preserve"> of a contract in accordance with subsection (1) is effectual in law and binds the strata company and other parties to the contract.</w:t>
      </w:r>
    </w:p>
    <w:p>
      <w:pPr>
        <w:pStyle w:val="Subsection"/>
      </w:pPr>
      <w:r>
        <w:tab/>
        <w:t>(3)</w:t>
      </w:r>
      <w:r>
        <w:tab/>
        <w:t>This section does not affect —</w:t>
      </w:r>
    </w:p>
    <w:p>
      <w:pPr>
        <w:pStyle w:val="Indenta"/>
      </w:pPr>
      <w:r>
        <w:tab/>
        <w:t>(a)</w:t>
      </w:r>
      <w:r>
        <w:tab/>
        <w:t>section 115; or</w:t>
      </w:r>
    </w:p>
    <w:p>
      <w:pPr>
        <w:pStyle w:val="Indenta"/>
      </w:pPr>
      <w:r>
        <w:tab/>
        <w:t>(b)</w:t>
      </w:r>
      <w:r>
        <w:tab/>
        <w:t>section 151; or</w:t>
      </w:r>
    </w:p>
    <w:p>
      <w:pPr>
        <w:pStyle w:val="Indenta"/>
      </w:pPr>
      <w:r>
        <w:tab/>
        <w:t>(c)</w:t>
      </w:r>
      <w:r>
        <w:tab/>
        <w:t>the operation of a law that requires some consent or sanction to be obtained, or some procedure to be complied with, in relation to the making, variation, extension, discharge or termination of a contract.</w:t>
      </w:r>
    </w:p>
    <w:p>
      <w:pPr>
        <w:pStyle w:val="Footnotesection"/>
      </w:pPr>
      <w:r>
        <w:tab/>
        <w:t>[Section 139, formerly section 34, amended, renumbered as section 139 and relocated: No. 30 of 2018 s. 46 and 84.]</w:t>
      </w:r>
    </w:p>
    <w:p>
      <w:pPr>
        <w:pStyle w:val="Heading5"/>
        <w:rPr>
          <w:snapToGrid w:val="0"/>
        </w:rPr>
      </w:pPr>
      <w:bookmarkStart w:id="485" w:name="_Toc106986771"/>
      <w:bookmarkStart w:id="486" w:name="_Toc100565069"/>
      <w:r>
        <w:rPr>
          <w:rStyle w:val="CharSectno"/>
        </w:rPr>
        <w:t>140</w:t>
      </w:r>
      <w:r>
        <w:t>.</w:t>
      </w:r>
      <w:r>
        <w:rPr>
          <w:snapToGrid w:val="0"/>
        </w:rPr>
        <w:tab/>
        <w:t>Special rules for 2, 3, 4 or 5</w:t>
      </w:r>
      <w:r>
        <w:rPr>
          <w:snapToGrid w:val="0"/>
        </w:rPr>
        <w:noBreakHyphen/>
        <w:t>lot schemes</w:t>
      </w:r>
      <w:bookmarkEnd w:id="485"/>
      <w:bookmarkEnd w:id="486"/>
    </w:p>
    <w:p>
      <w:pPr>
        <w:pStyle w:val="Subsection"/>
        <w:rPr>
          <w:snapToGrid w:val="0"/>
        </w:rPr>
      </w:pPr>
      <w:r>
        <w:rPr>
          <w:snapToGrid w:val="0"/>
        </w:rPr>
        <w:tab/>
        <w:t>(1)</w:t>
      </w:r>
      <w:r>
        <w:rPr>
          <w:snapToGrid w:val="0"/>
        </w:rPr>
        <w:tab/>
        <w:t>A strata company for a 2</w:t>
      </w:r>
      <w:r>
        <w:rPr>
          <w:snapToGrid w:val="0"/>
        </w:rPr>
        <w:noBreakHyphen/>
        <w:t>lot scheme —</w:t>
      </w:r>
    </w:p>
    <w:p>
      <w:pPr>
        <w:pStyle w:val="Indenta"/>
      </w:pPr>
      <w:r>
        <w:tab/>
        <w:t>(a)</w:t>
      </w:r>
      <w:r>
        <w:tab/>
        <w:t>may, but is not required to, perform a designated function; and</w:t>
      </w:r>
    </w:p>
    <w:p>
      <w:pPr>
        <w:pStyle w:val="Indenta"/>
      </w:pPr>
      <w:r>
        <w:tab/>
        <w:t>(b)</w:t>
      </w:r>
      <w:r>
        <w:tab/>
        <w:t>cannot establish an administrative fund unless required to do so by scheme by</w:t>
      </w:r>
      <w:r>
        <w:noBreakHyphen/>
        <w:t>laws.</w:t>
      </w:r>
    </w:p>
    <w:p>
      <w:pPr>
        <w:pStyle w:val="Subsection"/>
      </w:pPr>
      <w:r>
        <w:tab/>
        <w:t>(2)</w:t>
      </w:r>
      <w:r>
        <w:tab/>
        <w:t>The scheme by</w:t>
      </w:r>
      <w:r>
        <w:noBreakHyphen/>
        <w:t>laws for a 3, 4 or 5</w:t>
      </w:r>
      <w:r>
        <w:noBreakHyphen/>
        <w:t>lot scheme may exempt the strata company from a designated function.</w:t>
      </w:r>
    </w:p>
    <w:p>
      <w:pPr>
        <w:pStyle w:val="Subsection"/>
      </w:pPr>
      <w:r>
        <w:tab/>
        <w:t>(3)</w:t>
      </w:r>
      <w:r>
        <w:tab/>
        <w:t>However, the Tribunal may, on application by a member of the strata company, require a strata company to perform a designated function despite this section.</w:t>
      </w:r>
    </w:p>
    <w:p>
      <w:pPr>
        <w:pStyle w:val="Subsection"/>
      </w:pPr>
      <w:r>
        <w:tab/>
        <w:t>(4)</w:t>
      </w:r>
      <w:r>
        <w:tab/>
        <w:t>In this section —</w:t>
      </w:r>
    </w:p>
    <w:p>
      <w:pPr>
        <w:pStyle w:val="Defstart"/>
      </w:pPr>
      <w:r>
        <w:tab/>
      </w:r>
      <w:r>
        <w:rPr>
          <w:rStyle w:val="CharDefText"/>
        </w:rPr>
        <w:t>designated function</w:t>
      </w:r>
      <w:r>
        <w:t xml:space="preserve"> means a function conferred under any of the following sections or included in this definition by the regulations —</w:t>
      </w:r>
    </w:p>
    <w:tbl>
      <w:tblPr>
        <w:tblW w:w="0" w:type="auto"/>
        <w:tblInd w:w="959" w:type="dxa"/>
        <w:tblLayout w:type="fixed"/>
        <w:tblLook w:val="0000" w:firstRow="0" w:lastRow="0" w:firstColumn="0" w:lastColumn="0" w:noHBand="0" w:noVBand="0"/>
      </w:tblPr>
      <w:tblGrid>
        <w:gridCol w:w="2036"/>
        <w:gridCol w:w="4201"/>
      </w:tblGrid>
      <w:tr>
        <w:trPr>
          <w:cantSplit/>
          <w:tblHeader/>
        </w:trPr>
        <w:tc>
          <w:tcPr>
            <w:tcW w:w="2036" w:type="dxa"/>
          </w:tcPr>
          <w:p>
            <w:pPr>
              <w:pStyle w:val="TableNAm"/>
              <w:keepNext/>
              <w:rPr>
                <w:b/>
                <w:snapToGrid w:val="0"/>
              </w:rPr>
            </w:pPr>
            <w:r>
              <w:rPr>
                <w:b/>
                <w:snapToGrid w:val="0"/>
              </w:rPr>
              <w:t>Section</w:t>
            </w:r>
          </w:p>
        </w:tc>
        <w:tc>
          <w:tcPr>
            <w:tcW w:w="4201" w:type="dxa"/>
          </w:tcPr>
          <w:p>
            <w:pPr>
              <w:pStyle w:val="TableNAm"/>
              <w:keepNext/>
              <w:rPr>
                <w:b/>
                <w:snapToGrid w:val="0"/>
              </w:rPr>
            </w:pPr>
            <w:r>
              <w:rPr>
                <w:b/>
                <w:snapToGrid w:val="0"/>
              </w:rPr>
              <w:t>Description for information only</w:t>
            </w:r>
          </w:p>
        </w:tc>
      </w:tr>
      <w:tr>
        <w:trPr>
          <w:cantSplit/>
        </w:trPr>
        <w:tc>
          <w:tcPr>
            <w:tcW w:w="2036" w:type="dxa"/>
          </w:tcPr>
          <w:p>
            <w:pPr>
              <w:pStyle w:val="TableNAm"/>
              <w:rPr>
                <w:snapToGrid w:val="0"/>
              </w:rPr>
            </w:pPr>
            <w:r>
              <w:rPr>
                <w:snapToGrid w:val="0"/>
              </w:rPr>
              <w:t>Section 100(1)(a)</w:t>
            </w:r>
          </w:p>
        </w:tc>
        <w:tc>
          <w:tcPr>
            <w:tcW w:w="4201" w:type="dxa"/>
          </w:tcPr>
          <w:p>
            <w:pPr>
              <w:pStyle w:val="TableNAm"/>
              <w:rPr>
                <w:snapToGrid w:val="0"/>
              </w:rPr>
            </w:pPr>
            <w:r>
              <w:rPr>
                <w:snapToGrid w:val="0"/>
              </w:rPr>
              <w:t>Administrative fund</w:t>
            </w:r>
          </w:p>
        </w:tc>
      </w:tr>
      <w:tr>
        <w:trPr>
          <w:cantSplit/>
        </w:trPr>
        <w:tc>
          <w:tcPr>
            <w:tcW w:w="2036" w:type="dxa"/>
          </w:tcPr>
          <w:p>
            <w:pPr>
              <w:pStyle w:val="TableNAm"/>
              <w:rPr>
                <w:snapToGrid w:val="0"/>
              </w:rPr>
            </w:pPr>
            <w:r>
              <w:rPr>
                <w:snapToGrid w:val="0"/>
              </w:rPr>
              <w:t>Section 101</w:t>
            </w:r>
          </w:p>
        </w:tc>
        <w:tc>
          <w:tcPr>
            <w:tcW w:w="4201" w:type="dxa"/>
          </w:tcPr>
          <w:p>
            <w:pPr>
              <w:pStyle w:val="TableNAm"/>
              <w:rPr>
                <w:snapToGrid w:val="0"/>
              </w:rPr>
            </w:pPr>
            <w:r>
              <w:rPr>
                <w:snapToGrid w:val="0"/>
              </w:rPr>
              <w:t>Accounting records and statement of account</w:t>
            </w:r>
          </w:p>
        </w:tc>
      </w:tr>
      <w:tr>
        <w:trPr>
          <w:cantSplit/>
        </w:trPr>
        <w:tc>
          <w:tcPr>
            <w:tcW w:w="2036" w:type="dxa"/>
          </w:tcPr>
          <w:p>
            <w:pPr>
              <w:pStyle w:val="TableNAm"/>
              <w:rPr>
                <w:snapToGrid w:val="0"/>
              </w:rPr>
            </w:pPr>
            <w:r>
              <w:rPr>
                <w:snapToGrid w:val="0"/>
              </w:rPr>
              <w:t>Section 104(1)(b)</w:t>
            </w:r>
          </w:p>
        </w:tc>
        <w:tc>
          <w:tcPr>
            <w:tcW w:w="4201" w:type="dxa"/>
          </w:tcPr>
          <w:p>
            <w:pPr>
              <w:pStyle w:val="TableNAm"/>
              <w:rPr>
                <w:snapToGrid w:val="0"/>
              </w:rPr>
            </w:pPr>
            <w:r>
              <w:rPr>
                <w:snapToGrid w:val="0"/>
              </w:rPr>
              <w:t>Minutes of meetings</w:t>
            </w:r>
          </w:p>
        </w:tc>
      </w:tr>
      <w:tr>
        <w:trPr>
          <w:cantSplit/>
        </w:trPr>
        <w:tc>
          <w:tcPr>
            <w:tcW w:w="2036" w:type="dxa"/>
          </w:tcPr>
          <w:p>
            <w:pPr>
              <w:pStyle w:val="TableNAm"/>
              <w:rPr>
                <w:snapToGrid w:val="0"/>
              </w:rPr>
            </w:pPr>
            <w:r>
              <w:rPr>
                <w:snapToGrid w:val="0"/>
              </w:rPr>
              <w:t>Section 104(3)(a)</w:t>
            </w:r>
          </w:p>
        </w:tc>
        <w:tc>
          <w:tcPr>
            <w:tcW w:w="4201" w:type="dxa"/>
          </w:tcPr>
          <w:p>
            <w:pPr>
              <w:pStyle w:val="TableNAm"/>
              <w:rPr>
                <w:snapToGrid w:val="0"/>
              </w:rPr>
            </w:pPr>
            <w:r>
              <w:rPr>
                <w:snapToGrid w:val="0"/>
              </w:rPr>
              <w:t>Letterbox</w:t>
            </w:r>
          </w:p>
        </w:tc>
      </w:tr>
      <w:tr>
        <w:trPr>
          <w:cantSplit/>
        </w:trPr>
        <w:tc>
          <w:tcPr>
            <w:tcW w:w="2036" w:type="dxa"/>
          </w:tcPr>
          <w:p>
            <w:pPr>
              <w:pStyle w:val="TableNAm"/>
              <w:rPr>
                <w:snapToGrid w:val="0"/>
              </w:rPr>
            </w:pPr>
            <w:r>
              <w:rPr>
                <w:snapToGrid w:val="0"/>
              </w:rPr>
              <w:t>Section 105(1)</w:t>
            </w:r>
          </w:p>
        </w:tc>
        <w:tc>
          <w:tcPr>
            <w:tcW w:w="4201" w:type="dxa"/>
          </w:tcPr>
          <w:p>
            <w:pPr>
              <w:pStyle w:val="TableNAm"/>
              <w:rPr>
                <w:snapToGrid w:val="0"/>
              </w:rPr>
            </w:pPr>
            <w:r>
              <w:rPr>
                <w:snapToGrid w:val="0"/>
              </w:rPr>
              <w:t>Roll to be kept by strata company.</w:t>
            </w:r>
          </w:p>
        </w:tc>
      </w:tr>
    </w:tbl>
    <w:p>
      <w:pPr>
        <w:pStyle w:val="Footnotesection"/>
      </w:pPr>
      <w:r>
        <w:tab/>
        <w:t>[Section 140 inserted: No. 30 of 2018 s. 83.]</w:t>
      </w:r>
    </w:p>
    <w:p>
      <w:pPr>
        <w:pStyle w:val="Heading5"/>
      </w:pPr>
      <w:bookmarkStart w:id="487" w:name="_Toc106986772"/>
      <w:bookmarkStart w:id="488" w:name="_Toc100565070"/>
      <w:r>
        <w:rPr>
          <w:rStyle w:val="CharSectno"/>
        </w:rPr>
        <w:t>141</w:t>
      </w:r>
      <w:r>
        <w:t>.</w:t>
      </w:r>
      <w:r>
        <w:tab/>
        <w:t>Protection from liability</w:t>
      </w:r>
      <w:bookmarkEnd w:id="487"/>
      <w:bookmarkEnd w:id="488"/>
    </w:p>
    <w:p>
      <w:pPr>
        <w:pStyle w:val="Subsection"/>
      </w:pPr>
      <w:r>
        <w:tab/>
        <w:t>(1)</w:t>
      </w:r>
      <w:r>
        <w:tab/>
        <w:t>This section applies to a person who is or has been —</w:t>
      </w:r>
    </w:p>
    <w:p>
      <w:pPr>
        <w:pStyle w:val="Indenta"/>
      </w:pPr>
      <w:r>
        <w:tab/>
        <w:t>(a)</w:t>
      </w:r>
      <w:r>
        <w:tab/>
        <w:t>a member of the council of a strata company (including when acting as an officer of the strata company); or</w:t>
      </w:r>
    </w:p>
    <w:p>
      <w:pPr>
        <w:pStyle w:val="Indenta"/>
      </w:pPr>
      <w:r>
        <w:tab/>
        <w:t>(b)</w:t>
      </w:r>
      <w:r>
        <w:tab/>
        <w:t>an individual authorised under section 136(2) by a corporation to perform the corporation’s functions as a member of the council, or an officer, of a strata company.</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(3)</w:t>
      </w:r>
      <w:r>
        <w:tab/>
        <w:t>A liability that would, but for subsection (2), attach to a person attaches instead to the strata company.</w:t>
      </w:r>
    </w:p>
    <w:p>
      <w:pPr>
        <w:pStyle w:val="Footnotesection"/>
      </w:pPr>
      <w:r>
        <w:tab/>
        <w:t>[Section 141 inserted: No. 30 of 2018 s. 83.]</w:t>
      </w:r>
    </w:p>
    <w:p>
      <w:pPr>
        <w:pStyle w:val="Heading5"/>
        <w:rPr>
          <w:snapToGrid w:val="0"/>
        </w:rPr>
      </w:pPr>
      <w:bookmarkStart w:id="489" w:name="_Toc106986773"/>
      <w:bookmarkStart w:id="490" w:name="_Toc100565071"/>
      <w:r>
        <w:rPr>
          <w:rStyle w:val="CharSectno"/>
        </w:rPr>
        <w:t>142</w:t>
      </w:r>
      <w:r>
        <w:rPr>
          <w:snapToGrid w:val="0"/>
        </w:rPr>
        <w:t>.</w:t>
      </w:r>
      <w:r>
        <w:rPr>
          <w:snapToGrid w:val="0"/>
        </w:rPr>
        <w:tab/>
        <w:t>Exclusion of Corporations Act</w:t>
      </w:r>
      <w:bookmarkEnd w:id="489"/>
      <w:bookmarkEnd w:id="490"/>
    </w:p>
    <w:p>
      <w:pPr>
        <w:pStyle w:val="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Indenta"/>
      </w:pPr>
      <w:r>
        <w:tab/>
        <w:t>(a)</w:t>
      </w:r>
      <w:r>
        <w:tab/>
        <w:t>a strata company;</w:t>
      </w:r>
    </w:p>
    <w:p>
      <w:pPr>
        <w:pStyle w:val="Indenta"/>
      </w:pPr>
      <w:r>
        <w:tab/>
        <w:t>(b)</w:t>
      </w:r>
      <w:r>
        <w:tab/>
        <w:t>an act or omission of a person, body or other entity in relation to a strata company.</w:t>
      </w:r>
    </w:p>
    <w:p>
      <w:pPr>
        <w:pStyle w:val="Footnotesection"/>
      </w:pPr>
      <w:r>
        <w:tab/>
        <w:t>[Section 142 inserted: No. 30 of 2018 s. 83.]</w:t>
      </w:r>
    </w:p>
    <w:p>
      <w:pPr>
        <w:pStyle w:val="Heading2"/>
      </w:pPr>
      <w:bookmarkStart w:id="491" w:name="_Toc106986338"/>
      <w:bookmarkStart w:id="492" w:name="_Toc106986774"/>
      <w:bookmarkStart w:id="493" w:name="_Toc100308352"/>
      <w:bookmarkStart w:id="494" w:name="_Toc100308788"/>
      <w:bookmarkStart w:id="495" w:name="_Toc100565072"/>
      <w:r>
        <w:rPr>
          <w:rStyle w:val="CharPartNo"/>
        </w:rPr>
        <w:t>Part 9</w:t>
      </w:r>
      <w:r>
        <w:rPr>
          <w:rStyle w:val="CharDivNo"/>
        </w:rPr>
        <w:t> </w:t>
      </w:r>
      <w:r>
        <w:t>—</w:t>
      </w:r>
      <w:r>
        <w:rPr>
          <w:rStyle w:val="CharDivText"/>
        </w:rPr>
        <w:t> </w:t>
      </w:r>
      <w:r>
        <w:rPr>
          <w:rStyle w:val="CharPartText"/>
        </w:rPr>
        <w:t>Strata managers</w:t>
      </w:r>
      <w:bookmarkEnd w:id="491"/>
      <w:bookmarkEnd w:id="492"/>
      <w:bookmarkEnd w:id="493"/>
      <w:bookmarkEnd w:id="494"/>
      <w:bookmarkEnd w:id="495"/>
    </w:p>
    <w:p>
      <w:pPr>
        <w:pStyle w:val="Footnoteheading"/>
      </w:pPr>
      <w:r>
        <w:tab/>
        <w:t>[Heading inserted: No. 30 of 2018 s. 83.]</w:t>
      </w:r>
    </w:p>
    <w:p>
      <w:pPr>
        <w:pStyle w:val="Heading5"/>
      </w:pPr>
      <w:bookmarkStart w:id="496" w:name="_Toc106986775"/>
      <w:bookmarkStart w:id="497" w:name="_Toc100565073"/>
      <w:r>
        <w:rPr>
          <w:rStyle w:val="CharSectno"/>
        </w:rPr>
        <w:t>143</w:t>
      </w:r>
      <w:r>
        <w:t>.</w:t>
      </w:r>
      <w:r>
        <w:tab/>
        <w:t>Authorisation of functions of strata manager</w:t>
      </w:r>
      <w:bookmarkEnd w:id="496"/>
      <w:bookmarkEnd w:id="497"/>
    </w:p>
    <w:p>
      <w:pPr>
        <w:pStyle w:val="Subsection"/>
      </w:pPr>
      <w:r>
        <w:tab/>
        <w:t>(1)</w:t>
      </w:r>
      <w:r>
        <w:tab/>
        <w:t xml:space="preserve">A strata company may, subject to this Part, authorise a person (a </w:t>
      </w:r>
      <w:r>
        <w:rPr>
          <w:rStyle w:val="CharDefText"/>
        </w:rPr>
        <w:t>strata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strata company; and</w:t>
      </w:r>
    </w:p>
    <w:p>
      <w:pPr>
        <w:pStyle w:val="Indenta"/>
      </w:pPr>
      <w:r>
        <w:tab/>
        <w:t>(b)</w:t>
      </w:r>
      <w:r>
        <w:tab/>
        <w:t>may be varied or revoked by the strata company.</w:t>
      </w:r>
    </w:p>
    <w:p>
      <w:pPr>
        <w:pStyle w:val="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Subsection"/>
      </w:pPr>
      <w:r>
        <w:tab/>
        <w:t>(4)</w:t>
      </w:r>
      <w:r>
        <w:tab/>
        <w:t xml:space="preserve">An Australian legal practitioner does not act as a strata manager in providing services that can, under the </w:t>
      </w:r>
      <w:r>
        <w:rPr>
          <w:i/>
        </w:rPr>
        <w:t>Legal Profession Act 2008</w:t>
      </w:r>
      <w:r>
        <w:t>, be provided only by an Australian legal practitioner.</w:t>
      </w:r>
    </w:p>
    <w:p>
      <w:pPr>
        <w:pStyle w:val="Subsection"/>
      </w:pPr>
      <w:r>
        <w:tab/>
        <w:t>(5)</w:t>
      </w:r>
      <w:r>
        <w:tab/>
        <w:t>A strata manager cannot be authorised to perform any of the following functions —</w:t>
      </w:r>
    </w:p>
    <w:p>
      <w:pPr>
        <w:pStyle w:val="Indenta"/>
      </w:pPr>
      <w:r>
        <w:tab/>
        <w:t>(a)</w:t>
      </w:r>
      <w:r>
        <w:tab/>
        <w:t>authorising a person to perform a scheme function other than as an agent, employee or contractor of the strata manager;</w:t>
      </w:r>
    </w:p>
    <w:p>
      <w:pPr>
        <w:pStyle w:val="Indenta"/>
      </w:pPr>
      <w:r>
        <w:tab/>
        <w:t>(b)</w:t>
      </w:r>
      <w:r>
        <w:tab/>
        <w:t>determining contributions;</w:t>
      </w:r>
    </w:p>
    <w:p>
      <w:pPr>
        <w:pStyle w:val="Indenta"/>
      </w:pPr>
      <w:r>
        <w:tab/>
        <w:t>(c)</w:t>
      </w:r>
      <w:r>
        <w:tab/>
        <w:t>entering into a contract with another strata manager, varying, extending or terminating such a contract or making a decision relating to such a contract or the meaning of such a contract;</w:t>
      </w:r>
    </w:p>
    <w:p>
      <w:pPr>
        <w:pStyle w:val="Indenta"/>
      </w:pPr>
      <w:r>
        <w:tab/>
        <w:t>(d)</w:t>
      </w:r>
      <w:r>
        <w:tab/>
        <w:t>terminating a contract for services or amenities under section 115;</w:t>
      </w:r>
    </w:p>
    <w:p>
      <w:pPr>
        <w:pStyle w:val="Indenta"/>
      </w:pPr>
      <w:r>
        <w:tab/>
        <w:t>(e)</w:t>
      </w:r>
      <w:r>
        <w:tab/>
        <w:t>commencing proceedings on behalf of the strata company in the Tribunal or in a court or other tribunal;</w:t>
      </w:r>
    </w:p>
    <w:p>
      <w:pPr>
        <w:pStyle w:val="Indenta"/>
      </w:pPr>
      <w:r>
        <w:tab/>
        <w:t>(f)</w:t>
      </w:r>
      <w:r>
        <w:tab/>
        <w:t>authorising the strata company’s common seal to be applied to a document;</w:t>
      </w:r>
    </w:p>
    <w:p>
      <w:pPr>
        <w:pStyle w:val="Indenta"/>
      </w:pPr>
      <w:r>
        <w:tab/>
        <w:t>(g)</w:t>
      </w:r>
      <w:r>
        <w:tab/>
        <w:t>authorising a person to sign documents on behalf of the strata company or on behalf of the council or an officer of the strata company;</w:t>
      </w:r>
    </w:p>
    <w:p>
      <w:pPr>
        <w:pStyle w:val="Indenta"/>
      </w:pPr>
      <w:r>
        <w:tab/>
        <w:t>(h)</w:t>
      </w:r>
      <w:r>
        <w:tab/>
        <w:t>a scheme function declared by the regulations to be a scheme function that may not be performed by a strata manager.</w:t>
      </w:r>
    </w:p>
    <w:p>
      <w:pPr>
        <w:pStyle w:val="Subsection"/>
      </w:pPr>
      <w:r>
        <w:tab/>
        <w:t>(6)</w:t>
      </w:r>
      <w:r>
        <w:tab/>
        <w:t>An act or thing done by a person under an authorisation under this section —</w:t>
      </w:r>
    </w:p>
    <w:p>
      <w:pPr>
        <w:pStyle w:val="Indenta"/>
      </w:pPr>
      <w:r>
        <w:tab/>
        <w:t>(a)</w:t>
      </w:r>
      <w:r>
        <w:tab/>
        <w:t>has effect as if it were done by the strata company, council or officer of the strata company (as the case requires); and</w:t>
      </w:r>
    </w:p>
    <w:p>
      <w:pPr>
        <w:pStyle w:val="Indenta"/>
      </w:pPr>
      <w:r>
        <w:tab/>
        <w:t>(b)</w:t>
      </w:r>
      <w:r>
        <w:tab/>
        <w:t>is taken to have been done by the strata company, council or officer of the strata company (as the case requires).</w:t>
      </w:r>
    </w:p>
    <w:p>
      <w:pPr>
        <w:pStyle w:val="Subsection"/>
      </w:pPr>
      <w:r>
        <w:tab/>
        <w:t>(7)</w:t>
      </w:r>
      <w:r>
        <w:tab/>
        <w:t>The authority of a strata manager to perform a scheme function does not prevent the function from being performed by the strata company, council or officer (as the case requires).</w:t>
      </w:r>
    </w:p>
    <w:p>
      <w:pPr>
        <w:pStyle w:val="Subsection"/>
      </w:pPr>
      <w:r>
        <w:tab/>
        <w:t>(8)</w:t>
      </w:r>
      <w:r>
        <w:tab/>
        <w:t>However, if the strata company, council or officer performs such a function, the strata company, council or officer must notify the strata manager authorised to perform the function of that fact.</w:t>
      </w:r>
    </w:p>
    <w:p>
      <w:pPr>
        <w:pStyle w:val="Footnotesection"/>
      </w:pPr>
      <w:r>
        <w:tab/>
        <w:t>[Section 143 inserted: No. 30 of 2018 s. 83.]</w:t>
      </w:r>
    </w:p>
    <w:p>
      <w:pPr>
        <w:pStyle w:val="Heading5"/>
      </w:pPr>
      <w:bookmarkStart w:id="498" w:name="_Toc106986776"/>
      <w:bookmarkStart w:id="499" w:name="_Toc100565074"/>
      <w:r>
        <w:rPr>
          <w:rStyle w:val="CharSectno"/>
        </w:rPr>
        <w:t>144</w:t>
      </w:r>
      <w:r>
        <w:t>.</w:t>
      </w:r>
      <w:r>
        <w:tab/>
        <w:t>Requirements to be met by strata manager</w:t>
      </w:r>
      <w:bookmarkEnd w:id="498"/>
      <w:bookmarkEnd w:id="499"/>
    </w:p>
    <w:p>
      <w:pPr>
        <w:pStyle w:val="Subsection"/>
      </w:pPr>
      <w:r>
        <w:tab/>
        <w:t>(1)</w:t>
      </w:r>
      <w:r>
        <w:tab/>
        <w:t>Despite an authorisation under section 143, a person is not authorised to perform functions as a strata manager unless —</w:t>
      </w:r>
    </w:p>
    <w:p>
      <w:pPr>
        <w:pStyle w:val="Indenta"/>
      </w:pPr>
      <w:r>
        <w:tab/>
        <w:t>(a)</w:t>
      </w:r>
      <w:r>
        <w:tab/>
        <w:t xml:space="preserve">a contract or volunteer agreement (a </w:t>
      </w:r>
      <w:r>
        <w:rPr>
          <w:rStyle w:val="CharDefText"/>
        </w:rPr>
        <w:t>strata management contract</w:t>
      </w:r>
      <w:r>
        <w:t>) is in force between the strata manager and the strata company; and</w:t>
      </w:r>
    </w:p>
    <w:p>
      <w:pPr>
        <w:pStyle w:val="Indenta"/>
      </w:pPr>
      <w:r>
        <w:tab/>
        <w:t>(b)</w:t>
      </w:r>
      <w:r>
        <w:tab/>
        <w:t>the requirements of the regulations are met by the strata manager and each agent, employee or contractor of the strata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strata manager;</w:t>
      </w:r>
    </w:p>
    <w:p>
      <w:pPr>
        <w:pStyle w:val="Indenta"/>
      </w:pPr>
      <w:r>
        <w:tab/>
      </w:r>
      <w:r>
        <w:tab/>
        <w:t>and</w:t>
      </w:r>
    </w:p>
    <w:p>
      <w:pPr>
        <w:pStyle w:val="Indenta"/>
      </w:pPr>
      <w:r>
        <w:tab/>
        <w:t>(c)</w:t>
      </w:r>
      <w:r>
        <w:tab/>
        <w:t>the strata manager maintains professional indemnity insurance as required by the regulations.</w:t>
      </w:r>
    </w:p>
    <w:p>
      <w:pPr>
        <w:pStyle w:val="Subsection"/>
        <w:rPr>
          <w:snapToGrid w:val="0"/>
        </w:rPr>
      </w:pPr>
      <w:r>
        <w:rPr>
          <w:snapToGrid w:val="0"/>
        </w:rPr>
        <w:tab/>
        <w:t>(2)</w:t>
      </w:r>
      <w:r>
        <w:rPr>
          <w:snapToGrid w:val="0"/>
        </w:rPr>
        <w:tab/>
        <w:t>Subsection (1)(c) does not apply to a volunteer strata manager.</w:t>
      </w:r>
    </w:p>
    <w:p>
      <w:pPr>
        <w:pStyle w:val="Subsection"/>
        <w:rPr>
          <w:snapToGrid w:val="0"/>
        </w:rPr>
      </w:pPr>
      <w:r>
        <w:rPr>
          <w:snapToGrid w:val="0"/>
        </w:rPr>
        <w:tab/>
        <w:t>(3)</w:t>
      </w:r>
      <w:r>
        <w:rPr>
          <w:snapToGrid w:val="0"/>
        </w:rPr>
        <w:tab/>
        <w:t>The regulations cannot require a volunteer strata manager to have particular educational or other qualifications.</w:t>
      </w:r>
    </w:p>
    <w:p>
      <w:pPr>
        <w:pStyle w:val="Footnotesection"/>
      </w:pPr>
      <w:r>
        <w:tab/>
        <w:t>[Section 144 inserted: No. 30 of 2018 s. 83.]</w:t>
      </w:r>
    </w:p>
    <w:p>
      <w:pPr>
        <w:pStyle w:val="Heading5"/>
      </w:pPr>
      <w:bookmarkStart w:id="500" w:name="_Toc106986777"/>
      <w:bookmarkStart w:id="501" w:name="_Toc100565075"/>
      <w:r>
        <w:rPr>
          <w:rStyle w:val="CharSectno"/>
        </w:rPr>
        <w:t>145</w:t>
      </w:r>
      <w:r>
        <w:t>.</w:t>
      </w:r>
      <w:r>
        <w:tab/>
        <w:t>Strata management contracts: minimum requirements</w:t>
      </w:r>
      <w:bookmarkEnd w:id="500"/>
      <w:bookmarkEnd w:id="501"/>
    </w:p>
    <w:p>
      <w:pPr>
        <w:pStyle w:val="Subsection"/>
      </w:pPr>
      <w:r>
        <w:tab/>
        <w:t>(1)</w:t>
      </w:r>
      <w:r>
        <w:tab/>
        <w:t>A strata management contract must be in writing and must —</w:t>
      </w:r>
    </w:p>
    <w:p>
      <w:pPr>
        <w:pStyle w:val="Indenta"/>
      </w:pPr>
      <w:r>
        <w:tab/>
        <w:t>(a)</w:t>
      </w:r>
      <w:r>
        <w:tab/>
        <w:t>state the strata manager’s name and address for service; and</w:t>
      </w:r>
    </w:p>
    <w:p>
      <w:pPr>
        <w:pStyle w:val="Indenta"/>
      </w:pPr>
      <w:r>
        <w:tab/>
        <w:t>(b)</w:t>
      </w:r>
      <w:r>
        <w:tab/>
        <w:t>state the strata company’s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strata manager under the contract; and</w:t>
      </w:r>
    </w:p>
    <w:p>
      <w:pPr>
        <w:pStyle w:val="Indenta"/>
      </w:pPr>
      <w:r>
        <w:tab/>
        <w:t>(f)</w:t>
      </w:r>
      <w:r>
        <w:tab/>
        <w:t>specify any conditions that are to apply to the performance of the functions; and</w:t>
      </w:r>
    </w:p>
    <w:p>
      <w:pPr>
        <w:pStyle w:val="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Indenta"/>
      </w:pPr>
      <w:r>
        <w:tab/>
        <w:t>(h)</w:t>
      </w:r>
      <w:r>
        <w:tab/>
        <w:t>specify the remuneration that is payable under the contract or the manner in which the remuneration that is payable under the contract is to be calculated; and</w:t>
      </w:r>
    </w:p>
    <w:p>
      <w:pPr>
        <w:pStyle w:val="Indenta"/>
      </w:pPr>
      <w:r>
        <w:tab/>
        <w:t>(i)</w:t>
      </w:r>
      <w:r>
        <w:tab/>
        <w:t>specify the accounts to be used under section 148(1); and</w:t>
      </w:r>
    </w:p>
    <w:p>
      <w:pPr>
        <w:pStyle w:val="Indenta"/>
      </w:pPr>
      <w:r>
        <w:tab/>
        <w:t>(j)</w:t>
      </w:r>
      <w:r>
        <w:tab/>
        <w:t>set out the text of, or give notice drawing attention to, section 151; and</w:t>
      </w:r>
    </w:p>
    <w:p>
      <w:pPr>
        <w:pStyle w:val="Indenta"/>
      </w:pPr>
      <w:r>
        <w:tab/>
        <w:t>(k)</w:t>
      </w:r>
      <w:r>
        <w:tab/>
        <w:t>provide for any other matter that is required by the regulations.</w:t>
      </w:r>
    </w:p>
    <w:p>
      <w:pPr>
        <w:pStyle w:val="Subsection"/>
      </w:pPr>
      <w:r>
        <w:tab/>
        <w:t>(2)</w:t>
      </w:r>
      <w:r>
        <w:tab/>
        <w:t>Before entering into a strata management contract, the strata manager must disclose in writing to the strata company —</w:t>
      </w:r>
    </w:p>
    <w:p>
      <w:pPr>
        <w:pStyle w:val="Indenta"/>
      </w:pPr>
      <w:r>
        <w:tab/>
        <w:t>(a)</w:t>
      </w:r>
      <w:r>
        <w:tab/>
        <w:t>any direct or indirect pecuniary or other interest that the strata manager has that conflicts or may conflict with the performance of the strata manager’s functions; and</w:t>
      </w:r>
    </w:p>
    <w:p>
      <w:pPr>
        <w:pStyle w:val="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Subsection"/>
        <w:rPr>
          <w:snapToGrid w:val="0"/>
        </w:rPr>
      </w:pPr>
      <w:r>
        <w:rPr>
          <w:snapToGrid w:val="0"/>
        </w:rPr>
        <w:tab/>
        <w:t>(3)</w:t>
      </w:r>
      <w:r>
        <w:rPr>
          <w:snapToGrid w:val="0"/>
        </w:rPr>
        <w:tab/>
        <w:t>Any variation to, or extension or renewal of, a strata management contract must be in writing.</w:t>
      </w:r>
    </w:p>
    <w:p>
      <w:pPr>
        <w:pStyle w:val="Subsection"/>
        <w:rPr>
          <w:snapToGrid w:val="0"/>
        </w:rPr>
      </w:pPr>
      <w:r>
        <w:rPr>
          <w:snapToGrid w:val="0"/>
        </w:rPr>
        <w:tab/>
        <w:t>(4)</w:t>
      </w:r>
      <w:r>
        <w:rPr>
          <w:snapToGrid w:val="0"/>
        </w:rPr>
        <w:tab/>
        <w:t>This section does not limit the matters that may be included in a strata management contract.</w:t>
      </w:r>
    </w:p>
    <w:p>
      <w:pPr>
        <w:pStyle w:val="Subsection"/>
        <w:rPr>
          <w:snapToGrid w:val="0"/>
        </w:rPr>
      </w:pPr>
      <w:r>
        <w:rPr>
          <w:snapToGrid w:val="0"/>
        </w:rPr>
        <w:tab/>
        <w:t>(5)</w:t>
      </w:r>
      <w:r>
        <w:rPr>
          <w:snapToGrid w:val="0"/>
        </w:rPr>
        <w:tab/>
        <w:t>If the strata management contract is a volunteer agreement with a volunteer strata manager, it need not comply with subsection (1)(c) or (g).</w:t>
      </w:r>
    </w:p>
    <w:p>
      <w:pPr>
        <w:pStyle w:val="Footnotesection"/>
      </w:pPr>
      <w:r>
        <w:tab/>
        <w:t>[Section 145 inserted: No. 30 of 2018 s. 83.]</w:t>
      </w:r>
    </w:p>
    <w:p>
      <w:pPr>
        <w:pStyle w:val="Heading5"/>
      </w:pPr>
      <w:bookmarkStart w:id="502" w:name="_Toc106986778"/>
      <w:bookmarkStart w:id="503" w:name="_Toc100565076"/>
      <w:r>
        <w:rPr>
          <w:rStyle w:val="CharSectno"/>
        </w:rPr>
        <w:t>146</w:t>
      </w:r>
      <w:r>
        <w:t>.</w:t>
      </w:r>
      <w:r>
        <w:tab/>
        <w:t>General duties and conflict of interest</w:t>
      </w:r>
      <w:bookmarkEnd w:id="502"/>
      <w:bookmarkEnd w:id="503"/>
    </w:p>
    <w:p>
      <w:pPr>
        <w:pStyle w:val="Subsection"/>
        <w:keepNext/>
      </w:pPr>
      <w:r>
        <w:tab/>
        <w:t>(1)</w:t>
      </w:r>
      <w:r>
        <w:tab/>
        <w:t>A strata manager of a strata company —</w:t>
      </w:r>
    </w:p>
    <w:p>
      <w:pPr>
        <w:pStyle w:val="Indenta"/>
      </w:pPr>
      <w:r>
        <w:tab/>
        <w:t>(a)</w:t>
      </w:r>
      <w:r>
        <w:tab/>
        <w:t>must at all times act honestly and in good faith in the performance of the strata manager’s functions; and</w:t>
      </w:r>
    </w:p>
    <w:p>
      <w:pPr>
        <w:pStyle w:val="Indenta"/>
      </w:pPr>
      <w:r>
        <w:tab/>
        <w:t>(b)</w:t>
      </w:r>
      <w:r>
        <w:tab/>
        <w:t>must at all times exercise a reasonable degree of skill, care and diligence in the performance of the strata manager’s functions; and</w:t>
      </w:r>
    </w:p>
    <w:p>
      <w:pPr>
        <w:pStyle w:val="Indenta"/>
      </w:pPr>
      <w:r>
        <w:tab/>
        <w:t>(c)</w:t>
      </w:r>
      <w:r>
        <w:tab/>
        <w:t>must have a good working knowledge of this Act; and</w:t>
      </w:r>
    </w:p>
    <w:p>
      <w:pPr>
        <w:pStyle w:val="Indenta"/>
      </w:pPr>
      <w:r>
        <w:tab/>
        <w:t>(d)</w:t>
      </w:r>
      <w:r>
        <w:tab/>
        <w:t>must not make improper use of information acquired as the strata company’s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(e)</w:t>
      </w:r>
      <w:r>
        <w:tab/>
        <w:t>must not make improper use of the position of strata manager —</w:t>
      </w:r>
    </w:p>
    <w:p>
      <w:pPr>
        <w:pStyle w:val="Indenti"/>
      </w:pPr>
      <w:r>
        <w:tab/>
        <w:t>(i)</w:t>
      </w:r>
      <w:r>
        <w:tab/>
        <w:t>to gain, directly or indirectly, an advantage for the strata manager or any other person; or</w:t>
      </w:r>
    </w:p>
    <w:p>
      <w:pPr>
        <w:pStyle w:val="Indenti"/>
      </w:pPr>
      <w:r>
        <w:tab/>
        <w:t>(ii)</w:t>
      </w:r>
      <w:r>
        <w:tab/>
        <w:t>to cause detriment to the strata company or a member of the strata company;</w:t>
      </w:r>
    </w:p>
    <w:p>
      <w:pPr>
        <w:pStyle w:val="Indenta"/>
      </w:pPr>
      <w:r>
        <w:tab/>
      </w:r>
      <w:r>
        <w:tab/>
        <w:t>and</w:t>
      </w:r>
    </w:p>
    <w:p>
      <w:pPr>
        <w:pStyle w:val="Indenta"/>
      </w:pPr>
      <w:r>
        <w:tab/>
        <w:t>(f)</w:t>
      </w:r>
      <w:r>
        <w:tab/>
        <w:t>must take reasonable steps to ensure that the strata manager’s agents, employees and contractors comply with this Act when performing the strata manager’s functions.</w:t>
      </w:r>
    </w:p>
    <w:p>
      <w:pPr>
        <w:pStyle w:val="Subsection"/>
      </w:pPr>
      <w:r>
        <w:tab/>
        <w:t>(2)</w:t>
      </w:r>
      <w:r>
        <w:tab/>
        <w:t>A strata manager of a strata company —</w:t>
      </w:r>
    </w:p>
    <w:p>
      <w:pPr>
        <w:pStyle w:val="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Indenta"/>
      </w:pPr>
      <w:r>
        <w:tab/>
        <w:t>(b)</w:t>
      </w:r>
      <w:r>
        <w:tab/>
        <w:t>must do so as soon as is practicable after the strata manager becomes aware of the relevant facts.</w:t>
      </w:r>
    </w:p>
    <w:p>
      <w:pPr>
        <w:pStyle w:val="Footnotesection"/>
      </w:pPr>
      <w:r>
        <w:tab/>
        <w:t>[Section 146 inserted: No. 30 of 2018 s. 83.]</w:t>
      </w:r>
    </w:p>
    <w:p>
      <w:pPr>
        <w:pStyle w:val="Heading5"/>
      </w:pPr>
      <w:bookmarkStart w:id="504" w:name="_Toc106986779"/>
      <w:bookmarkStart w:id="505" w:name="_Toc100565077"/>
      <w:r>
        <w:rPr>
          <w:rStyle w:val="CharSectno"/>
        </w:rPr>
        <w:t>147</w:t>
      </w:r>
      <w:r>
        <w:t>.</w:t>
      </w:r>
      <w:r>
        <w:tab/>
        <w:t>Disclosure of remuneration and other benefits</w:t>
      </w:r>
      <w:bookmarkEnd w:id="504"/>
      <w:bookmarkEnd w:id="505"/>
    </w:p>
    <w:p>
      <w:pPr>
        <w:pStyle w:val="Subsection"/>
      </w:pPr>
      <w:r>
        <w:tab/>
        <w:t>(1)</w:t>
      </w:r>
      <w:r>
        <w:tab/>
        <w:t>A strata manager of a strata company —</w:t>
      </w:r>
    </w:p>
    <w:p>
      <w:pPr>
        <w:pStyle w:val="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Indenta"/>
      </w:pPr>
      <w:r>
        <w:tab/>
        <w:t>(b)</w:t>
      </w:r>
      <w:r>
        <w:tab/>
        <w:t>must do so as soon as is practicable after the strata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Footnotesection"/>
      </w:pPr>
      <w:r>
        <w:tab/>
        <w:t>[Section 147 inserted: No. 30 of 2018 s. 83.]</w:t>
      </w:r>
    </w:p>
    <w:p>
      <w:pPr>
        <w:pStyle w:val="Heading5"/>
      </w:pPr>
      <w:bookmarkStart w:id="506" w:name="_Toc106986780"/>
      <w:bookmarkStart w:id="507" w:name="_Toc100565078"/>
      <w:r>
        <w:rPr>
          <w:rStyle w:val="CharSectno"/>
        </w:rPr>
        <w:t>148</w:t>
      </w:r>
      <w:r>
        <w:t>.</w:t>
      </w:r>
      <w:r>
        <w:tab/>
        <w:t>Operation of accounts</w:t>
      </w:r>
      <w:bookmarkEnd w:id="506"/>
      <w:bookmarkEnd w:id="507"/>
    </w:p>
    <w:p>
      <w:pPr>
        <w:pStyle w:val="Subsection"/>
      </w:pPr>
      <w:r>
        <w:tab/>
        <w:t>(1)</w:t>
      </w:r>
      <w:r>
        <w:tab/>
        <w:t>A strata manager (other than a volunteer strata manager) must pay all money received on behalf of a strata company into 1 of the following accounts —</w:t>
      </w:r>
    </w:p>
    <w:p>
      <w:pPr>
        <w:pStyle w:val="Indenta"/>
      </w:pPr>
      <w:r>
        <w:tab/>
        <w:t>(a)</w:t>
      </w:r>
      <w:r>
        <w:tab/>
        <w:t>a separate ADI trust account for the strata company;</w:t>
      </w:r>
    </w:p>
    <w:p>
      <w:pPr>
        <w:pStyle w:val="Indenta"/>
      </w:pPr>
      <w:r>
        <w:tab/>
        <w:t>(b)</w:t>
      </w:r>
      <w:r>
        <w:tab/>
        <w:t>a pooled ADI trust account solely for the strata companies for which the person is a strata manager;</w:t>
      </w:r>
    </w:p>
    <w:p>
      <w:pPr>
        <w:pStyle w:val="Indenta"/>
      </w:pPr>
      <w:r>
        <w:tab/>
        <w:t>(c)</w:t>
      </w:r>
      <w:r>
        <w:tab/>
        <w:t>if the strata company has its own ADI account and has authorised the strata manager to use the account, that account.</w:t>
      </w:r>
    </w:p>
    <w:p>
      <w:pPr>
        <w:pStyle w:val="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Subsection"/>
      </w:pPr>
      <w:r>
        <w:tab/>
        <w:t>(3)</w:t>
      </w:r>
      <w:r>
        <w:tab/>
        <w:t>A strata manager must be able to account separately for money that the strata manager is paid or receives on behalf of a strata company.</w:t>
      </w:r>
    </w:p>
    <w:p>
      <w:pPr>
        <w:pStyle w:val="Subsection"/>
      </w:pPr>
      <w:r>
        <w:tab/>
        <w:t>(4)</w:t>
      </w:r>
      <w:r>
        <w:tab/>
        <w:t>A strata manager may pay out of an account mentioned in subsection (1) an amount that is payable by the strata company on whose behalf money is received.</w:t>
      </w:r>
    </w:p>
    <w:p>
      <w:pPr>
        <w:pStyle w:val="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Subsection"/>
      </w:pPr>
      <w:r>
        <w:tab/>
        <w:t>(6)</w:t>
      </w:r>
      <w:r>
        <w:tab/>
        <w:t>The regulations may provide for other matters relating to the operation of trust accounts by strata managers.</w:t>
      </w:r>
    </w:p>
    <w:p>
      <w:pPr>
        <w:pStyle w:val="Footnotesection"/>
      </w:pPr>
      <w:r>
        <w:tab/>
        <w:t>[Section 148 inserted: No. 30 of 2018 s. 83.]</w:t>
      </w:r>
    </w:p>
    <w:p>
      <w:pPr>
        <w:pStyle w:val="Heading5"/>
      </w:pPr>
      <w:bookmarkStart w:id="508" w:name="_Toc106986781"/>
      <w:bookmarkStart w:id="509" w:name="_Toc100565079"/>
      <w:r>
        <w:rPr>
          <w:rStyle w:val="CharSectno"/>
        </w:rPr>
        <w:t>149</w:t>
      </w:r>
      <w:r>
        <w:t>.</w:t>
      </w:r>
      <w:r>
        <w:tab/>
        <w:t>Accounting information</w:t>
      </w:r>
      <w:bookmarkEnd w:id="508"/>
      <w:bookmarkEnd w:id="509"/>
    </w:p>
    <w:p>
      <w:pPr>
        <w:pStyle w:val="Subsection"/>
      </w:pPr>
      <w:r>
        <w:tab/>
        <w:t>(1)</w:t>
      </w:r>
      <w:r>
        <w:tab/>
        <w:t>A strata company can, by written notice, require a strata manager to provide the following information to the strata company —</w:t>
      </w:r>
    </w:p>
    <w:p>
      <w:pPr>
        <w:pStyle w:val="Indenta"/>
      </w:pPr>
      <w:r>
        <w:tab/>
        <w:t>(a)</w:t>
      </w:r>
      <w:r>
        <w:tab/>
        <w:t>the name and number of each account operated by the strata manager in performing scheme functions and the name and identifying number or code of the ADI with which each account is held;</w:t>
      </w:r>
    </w:p>
    <w:p>
      <w:pPr>
        <w:pStyle w:val="Indenta"/>
      </w:pPr>
      <w:r>
        <w:tab/>
        <w:t>(b)</w:t>
      </w:r>
      <w:r>
        <w:tab/>
        <w:t>the balance in each such account standing to the credit of the strata company on a specified date;</w:t>
      </w:r>
    </w:p>
    <w:p>
      <w:pPr>
        <w:pStyle w:val="Indenta"/>
      </w:pPr>
      <w:r>
        <w:tab/>
        <w:t>(c)</w:t>
      </w:r>
      <w:r>
        <w:tab/>
        <w:t>particulars of cheques drawn or amounts transferred out of an account by the strata manager on behalf of the strata company but for which amounts have not, as at a specified date, been paid out of the account;</w:t>
      </w:r>
    </w:p>
    <w:p>
      <w:pPr>
        <w:pStyle w:val="Indenta"/>
      </w:pPr>
      <w:r>
        <w:tab/>
        <w:t>(d)</w:t>
      </w:r>
      <w:r>
        <w:tab/>
        <w:t>particulars relating to the payment of money to, or the receipt of money by, the strata manager on behalf of the strata company;</w:t>
      </w:r>
    </w:p>
    <w:p>
      <w:pPr>
        <w:pStyle w:val="Indenta"/>
      </w:pPr>
      <w:r>
        <w:tab/>
        <w:t>(e)</w:t>
      </w:r>
      <w:r>
        <w:tab/>
        <w:t>particulars relating to the manner and time of disposal of money paid to, or received by, the strata manager on behalf of the strata company that is not still held by the strata manager;</w:t>
      </w:r>
    </w:p>
    <w:p>
      <w:pPr>
        <w:pStyle w:val="Indenta"/>
      </w:pPr>
      <w:r>
        <w:tab/>
        <w:t>(f)</w:t>
      </w:r>
      <w:r>
        <w:tab/>
        <w:t>particulars relating to a specified transaction that has been entered into by the strata manager on behalf of the strata company.</w:t>
      </w:r>
    </w:p>
    <w:p>
      <w:pPr>
        <w:pStyle w:val="Subsection"/>
      </w:pPr>
      <w:r>
        <w:tab/>
        <w:t>(2)</w:t>
      </w:r>
      <w:r>
        <w:tab/>
        <w:t>The strata manager must comply with the notice within a reasonable time but, in any event, within 7 days after the day the notice was given.</w:t>
      </w:r>
    </w:p>
    <w:p>
      <w:pPr>
        <w:pStyle w:val="Subsection"/>
      </w:pPr>
      <w:r>
        <w:tab/>
        <w:t>(3)</w:t>
      </w:r>
      <w:r>
        <w:tab/>
        <w:t>However, a strata manager does not have to provide the strata company with information in relation to a matter as it was, or that occurred, more than 7 years before notice requiring the information is given.</w:t>
      </w:r>
    </w:p>
    <w:p>
      <w:pPr>
        <w:pStyle w:val="Footnotesection"/>
      </w:pPr>
      <w:r>
        <w:tab/>
        <w:t>[Section 149 inserted: No. 30 of 2018 s. 83.]</w:t>
      </w:r>
    </w:p>
    <w:p>
      <w:pPr>
        <w:pStyle w:val="Heading5"/>
      </w:pPr>
      <w:bookmarkStart w:id="510" w:name="_Toc106986782"/>
      <w:bookmarkStart w:id="511" w:name="_Toc100565080"/>
      <w:r>
        <w:rPr>
          <w:rStyle w:val="CharSectno"/>
        </w:rPr>
        <w:t>150</w:t>
      </w:r>
      <w:r>
        <w:t>.</w:t>
      </w:r>
      <w:r>
        <w:tab/>
        <w:t>Audits</w:t>
      </w:r>
      <w:bookmarkEnd w:id="510"/>
      <w:bookmarkEnd w:id="511"/>
    </w:p>
    <w:p>
      <w:pPr>
        <w:pStyle w:val="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Subsection"/>
      </w:pPr>
      <w:r>
        <w:tab/>
        <w:t>(2)</w:t>
      </w:r>
      <w:r>
        <w:tab/>
        <w:t>A strata manager of a strata company must provide such an auditor with —</w:t>
      </w:r>
    </w:p>
    <w:p>
      <w:pPr>
        <w:pStyle w:val="Indenta"/>
      </w:pPr>
      <w:r>
        <w:tab/>
        <w:t>(a)</w:t>
      </w:r>
      <w:r>
        <w:tab/>
        <w:t>any document in the strata manager’s possession or control relating to money paid to, or received by, the strata manager on behalf of the strata company that the auditor reasonably requires; and</w:t>
      </w:r>
    </w:p>
    <w:p>
      <w:pPr>
        <w:pStyle w:val="Indenta"/>
      </w:pPr>
      <w:r>
        <w:tab/>
        <w:t>(b)</w:t>
      </w:r>
      <w:r>
        <w:tab/>
        <w:t>any other information relating to money paid to, or received by, the strata manager on behalf of the strata company that the auditor reasonably requires.</w:t>
      </w:r>
    </w:p>
    <w:p>
      <w:pPr>
        <w:pStyle w:val="Footnotesection"/>
      </w:pPr>
      <w:r>
        <w:tab/>
        <w:t>[Section 150 inserted: No. 30 of 2018 s. 83.]</w:t>
      </w:r>
    </w:p>
    <w:p>
      <w:pPr>
        <w:pStyle w:val="Heading5"/>
      </w:pPr>
      <w:bookmarkStart w:id="512" w:name="_Toc106986783"/>
      <w:bookmarkStart w:id="513" w:name="_Toc100565081"/>
      <w:r>
        <w:rPr>
          <w:rStyle w:val="CharSectno"/>
        </w:rPr>
        <w:t>151</w:t>
      </w:r>
      <w:r>
        <w:t>.</w:t>
      </w:r>
      <w:r>
        <w:tab/>
        <w:t>Termination of strata management contract</w:t>
      </w:r>
      <w:bookmarkEnd w:id="512"/>
      <w:bookmarkEnd w:id="513"/>
    </w:p>
    <w:p>
      <w:pPr>
        <w:pStyle w:val="Subsection"/>
      </w:pPr>
      <w:r>
        <w:tab/>
        <w:t>(1)</w:t>
      </w:r>
      <w:r>
        <w:tab/>
        <w:t>There are proper grounds for termination of a strata management contract by a strata company if —</w:t>
      </w:r>
    </w:p>
    <w:p>
      <w:pPr>
        <w:pStyle w:val="Indenta"/>
      </w:pPr>
      <w:r>
        <w:tab/>
        <w:t>(a)</w:t>
      </w:r>
      <w:r>
        <w:tab/>
        <w:t>the strata manager has contravened this Act; or</w:t>
      </w:r>
    </w:p>
    <w:p>
      <w:pPr>
        <w:pStyle w:val="Indenta"/>
      </w:pPr>
      <w:r>
        <w:tab/>
        <w:t>(b)</w:t>
      </w:r>
      <w:r>
        <w:tab/>
        <w:t>the strata manager has contravened the contract; or</w:t>
      </w:r>
    </w:p>
    <w:p>
      <w:pPr>
        <w:pStyle w:val="Indenta"/>
      </w:pPr>
      <w:r>
        <w:tab/>
        <w:t>(c)</w:t>
      </w:r>
      <w:r>
        <w:tab/>
        <w:t xml:space="preserve">the strata manager is, according to the </w:t>
      </w:r>
      <w:r>
        <w:rPr>
          <w:i/>
        </w:rPr>
        <w:t>Interpretation Act 1984</w:t>
      </w:r>
      <w:r>
        <w:t xml:space="preserve"> section 13D, a bankrupt or a person whose affairs are under insolvency laws; or</w:t>
      </w:r>
    </w:p>
    <w:p>
      <w:pPr>
        <w:pStyle w:val="Indenta"/>
      </w:pPr>
      <w:r>
        <w:tab/>
        <w:t>(d)</w:t>
      </w:r>
      <w:r>
        <w:tab/>
        <w:t xml:space="preserve">the strata manager is a Chapter 5 body corporate within the meaning given in the </w:t>
      </w:r>
      <w:r>
        <w:rPr>
          <w:i/>
        </w:rPr>
        <w:t>Corporations Act 2001</w:t>
      </w:r>
      <w:r>
        <w:t xml:space="preserve"> (Commonwealth) section 9; or</w:t>
      </w:r>
    </w:p>
    <w:p>
      <w:pPr>
        <w:pStyle w:val="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Subsection"/>
      </w:pPr>
      <w:r>
        <w:tab/>
        <w:t>(2)</w:t>
      </w:r>
      <w:r>
        <w:tab/>
        <w:t>If a strata company is satisfied that there are proper grounds for termination of a strata management contract, the strata company may terminate the contract by giving the strata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strata manager of the right to apply to the Tribunal for review of the decision to terminate the contract.</w:t>
      </w:r>
    </w:p>
    <w:p>
      <w:pPr>
        <w:pStyle w:val="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strata company proposes to terminate the strata management contract; and</w:t>
      </w:r>
    </w:p>
    <w:p>
      <w:pPr>
        <w:pStyle w:val="Indenta"/>
      </w:pPr>
      <w:r>
        <w:tab/>
        <w:t>(c)</w:t>
      </w:r>
      <w:r>
        <w:tab/>
        <w:t>specify the grounds on which it is proposed to terminate the strata management contract; and</w:t>
      </w:r>
    </w:p>
    <w:p>
      <w:pPr>
        <w:pStyle w:val="Indenta"/>
      </w:pPr>
      <w:r>
        <w:tab/>
        <w:t>(d)</w:t>
      </w:r>
      <w:r>
        <w:tab/>
        <w:t>set out particulars of the facts relied on as evidence of those grounds; and</w:t>
      </w:r>
    </w:p>
    <w:p>
      <w:pPr>
        <w:pStyle w:val="Indenta"/>
      </w:pPr>
      <w:r>
        <w:tab/>
        <w:t>(e)</w:t>
      </w:r>
      <w:r>
        <w:tab/>
        <w:t>invite the strata manager to make written submissions to the strata company as to why the strata management contract should not be terminated; and</w:t>
      </w:r>
    </w:p>
    <w:p>
      <w:pPr>
        <w:pStyle w:val="Indenta"/>
      </w:pPr>
      <w:r>
        <w:tab/>
        <w:t>(f)</w:t>
      </w:r>
      <w:r>
        <w:tab/>
        <w:t>specify the period (being at least 14 days after the date of the notice) within which the written submissions must be received by the strata company.</w:t>
      </w:r>
    </w:p>
    <w:p>
      <w:pPr>
        <w:pStyle w:val="Subsection"/>
      </w:pPr>
      <w:r>
        <w:tab/>
        <w:t>(5)</w:t>
      </w:r>
      <w:r>
        <w:tab/>
        <w:t>A strata company must give proper consideration to any written submissions made by the strata manager within the period specified in the show cause notice.</w:t>
      </w:r>
    </w:p>
    <w:p>
      <w:pPr>
        <w:pStyle w:val="Subsection"/>
      </w:pPr>
      <w:r>
        <w:tab/>
        <w:t>(6)</w:t>
      </w:r>
      <w:r>
        <w:tab/>
        <w:t>Nothing in this section affects the operation of section 115 in relation to a strata management contract or any other right that the strata company may have to terminate the contract.</w:t>
      </w:r>
    </w:p>
    <w:p>
      <w:pPr>
        <w:pStyle w:val="Footnotesection"/>
      </w:pPr>
      <w:r>
        <w:tab/>
        <w:t>[Section 151 inserted: No. 30 of 2018 s. 83.]</w:t>
      </w:r>
    </w:p>
    <w:p>
      <w:pPr>
        <w:pStyle w:val="Heading5"/>
      </w:pPr>
      <w:bookmarkStart w:id="514" w:name="_Toc106986784"/>
      <w:bookmarkStart w:id="515" w:name="_Toc100565082"/>
      <w:r>
        <w:rPr>
          <w:rStyle w:val="CharSectno"/>
        </w:rPr>
        <w:t>152</w:t>
      </w:r>
      <w:r>
        <w:t>.</w:t>
      </w:r>
      <w:r>
        <w:tab/>
        <w:t>Return of records and other property</w:t>
      </w:r>
      <w:bookmarkEnd w:id="514"/>
      <w:bookmarkEnd w:id="515"/>
    </w:p>
    <w:p>
      <w:pPr>
        <w:pStyle w:val="Subsection"/>
        <w:keepNext/>
        <w:rPr>
          <w:snapToGrid w:val="0"/>
        </w:rPr>
      </w:pPr>
      <w:r>
        <w:rPr>
          <w:snapToGrid w:val="0"/>
        </w:rPr>
        <w:tab/>
        <w:t>(1)</w:t>
      </w:r>
      <w:r>
        <w:rPr>
          <w:snapToGrid w:val="0"/>
        </w:rPr>
        <w:tab/>
        <w:t>If a strata management contract is terminated, the strata manager must return to the strata company —</w:t>
      </w:r>
    </w:p>
    <w:p>
      <w:pPr>
        <w:pStyle w:val="Indenta"/>
      </w:pPr>
      <w:r>
        <w:tab/>
        <w:t>(a)</w:t>
      </w:r>
      <w:r>
        <w:tab/>
        <w:t>all records of the strata company, including records of account, in the strata manager’s possession or control; and</w:t>
      </w:r>
    </w:p>
    <w:p>
      <w:pPr>
        <w:pStyle w:val="Indenta"/>
      </w:pPr>
      <w:r>
        <w:tab/>
        <w:t>(b)</w:t>
      </w:r>
      <w:r>
        <w:tab/>
        <w:t>all keys and other property of the strata company in the strata manager’s possession or control.</w:t>
      </w:r>
    </w:p>
    <w:p>
      <w:pPr>
        <w:pStyle w:val="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Subsection"/>
      </w:pPr>
      <w:r>
        <w:tab/>
        <w:t>(3)</w:t>
      </w:r>
      <w:r>
        <w:tab/>
        <w:t>The strata company may agree to the property being made available for collection by another strata manager engaged by the strata company or being returned in some other manner.</w:t>
      </w:r>
    </w:p>
    <w:p>
      <w:pPr>
        <w:pStyle w:val="Subsection"/>
      </w:pPr>
      <w:r>
        <w:tab/>
        <w:t>(4)</w:t>
      </w:r>
      <w:r>
        <w:tab/>
        <w:t>A strata manager cannot exercise any claim or lien against or on the property of a strata company that the strata manager is required, under this section, to return to the strata company.</w:t>
      </w:r>
    </w:p>
    <w:p>
      <w:pPr>
        <w:pStyle w:val="Footnotesection"/>
      </w:pPr>
      <w:r>
        <w:tab/>
        <w:t>[Section 152 inserted: No. 30 of 2018 s. 83.]</w:t>
      </w:r>
    </w:p>
    <w:p>
      <w:pPr>
        <w:pStyle w:val="Heading5"/>
      </w:pPr>
      <w:bookmarkStart w:id="516" w:name="_Toc106986785"/>
      <w:bookmarkStart w:id="517" w:name="_Toc100565083"/>
      <w:r>
        <w:rPr>
          <w:rStyle w:val="CharSectno"/>
        </w:rPr>
        <w:t>153</w:t>
      </w:r>
      <w:r>
        <w:t>.</w:t>
      </w:r>
      <w:r>
        <w:tab/>
        <w:t>Provision of information about industry</w:t>
      </w:r>
      <w:bookmarkEnd w:id="516"/>
      <w:bookmarkEnd w:id="517"/>
    </w:p>
    <w:p>
      <w:pPr>
        <w:pStyle w:val="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Indenta"/>
      </w:pPr>
      <w:r>
        <w:tab/>
        <w:t>(a)</w:t>
      </w:r>
      <w:r>
        <w:tab/>
        <w:t>publishing, if it chooses to do so, a list of strata managers; and</w:t>
      </w:r>
    </w:p>
    <w:p>
      <w:pPr>
        <w:pStyle w:val="Indenta"/>
      </w:pPr>
      <w:r>
        <w:tab/>
        <w:t>(b)</w:t>
      </w:r>
      <w:r>
        <w:tab/>
        <w:t>using the information to develop policy and advise the Minister on matters related to strata managers.</w:t>
      </w:r>
    </w:p>
    <w:p>
      <w:pPr>
        <w:pStyle w:val="Footnotesection"/>
      </w:pPr>
      <w:r>
        <w:tab/>
        <w:t>[Section 153 inserted: No. 30 of 2018 s. 83.]</w:t>
      </w:r>
    </w:p>
    <w:p>
      <w:pPr>
        <w:pStyle w:val="Heading5"/>
      </w:pPr>
      <w:bookmarkStart w:id="518" w:name="_Toc106986786"/>
      <w:bookmarkStart w:id="519" w:name="_Toc100565084"/>
      <w:r>
        <w:rPr>
          <w:rStyle w:val="CharSectno"/>
        </w:rPr>
        <w:t>154</w:t>
      </w:r>
      <w:r>
        <w:t>.</w:t>
      </w:r>
      <w:r>
        <w:tab/>
        <w:t>Contracting out prohibited</w:t>
      </w:r>
      <w:bookmarkEnd w:id="518"/>
      <w:bookmarkEnd w:id="519"/>
    </w:p>
    <w:p>
      <w:pPr>
        <w:pStyle w:val="Subsection"/>
      </w:pPr>
      <w:r>
        <w:tab/>
        <w:t>(1)</w:t>
      </w:r>
      <w:r>
        <w:tab/>
        <w:t>A contract or arrangement is of no effect to the extent that it purports to exclude or restrict the operation of this Part.</w:t>
      </w:r>
    </w:p>
    <w:p>
      <w:pPr>
        <w:pStyle w:val="Subsection"/>
      </w:pPr>
      <w:r>
        <w:tab/>
        <w:t>(2)</w:t>
      </w:r>
      <w:r>
        <w:tab/>
        <w:t>A purported waiver of a right, remedy or benefit conferred on a person under this Part is of no effect.</w:t>
      </w:r>
    </w:p>
    <w:p>
      <w:pPr>
        <w:pStyle w:val="Footnotesection"/>
      </w:pPr>
      <w:r>
        <w:tab/>
        <w:t>[Section 154 inserted: No. 30 of 2018 s. 83.]</w:t>
      </w:r>
    </w:p>
    <w:p>
      <w:pPr>
        <w:pStyle w:val="Heading5"/>
      </w:pPr>
      <w:bookmarkStart w:id="520" w:name="_Toc106986787"/>
      <w:bookmarkStart w:id="521" w:name="_Toc100565085"/>
      <w:r>
        <w:rPr>
          <w:rStyle w:val="CharSectno"/>
        </w:rPr>
        <w:t>155</w:t>
      </w:r>
      <w:r>
        <w:t>.</w:t>
      </w:r>
      <w:r>
        <w:tab/>
        <w:t>Protection from liability</w:t>
      </w:r>
      <w:bookmarkEnd w:id="520"/>
      <w:bookmarkEnd w:id="521"/>
    </w:p>
    <w:p>
      <w:pPr>
        <w:pStyle w:val="Subsection"/>
      </w:pPr>
      <w:r>
        <w:tab/>
        <w:t>(1)</w:t>
      </w:r>
      <w:r>
        <w:tab/>
        <w:t>No civil liability attaches to a volunteer strata manager for anything that the person has, in good faith, done or omitted to be done —</w:t>
      </w:r>
    </w:p>
    <w:p>
      <w:pPr>
        <w:pStyle w:val="Indenta"/>
      </w:pPr>
      <w:r>
        <w:tab/>
        <w:t>(a)</w:t>
      </w:r>
      <w:r>
        <w:tab/>
        <w:t>in the performance of a function under this Act or scheme by</w:t>
      </w:r>
      <w:r>
        <w:noBreakHyphen/>
        <w:t>laws; or</w:t>
      </w:r>
    </w:p>
    <w:p>
      <w:pPr>
        <w:pStyle w:val="Indenta"/>
      </w:pPr>
      <w:r>
        <w:tab/>
        <w:t>(b)</w:t>
      </w:r>
      <w:r>
        <w:tab/>
        <w:t>in the reasonable belief that the act or omission was in the performance of a function under this Act or scheme by</w:t>
      </w:r>
      <w:r>
        <w:noBreakHyphen/>
        <w:t>laws.</w:t>
      </w:r>
    </w:p>
    <w:p>
      <w:pPr>
        <w:pStyle w:val="Subsection"/>
      </w:pPr>
      <w:r>
        <w:tab/>
        <w:t>(2)</w:t>
      </w:r>
      <w:r>
        <w:tab/>
        <w:t>A liability that would, but for subsection (1), attach to a person attaches instead to the strata company.</w:t>
      </w:r>
    </w:p>
    <w:p>
      <w:pPr>
        <w:pStyle w:val="Footnotesection"/>
      </w:pPr>
      <w:r>
        <w:tab/>
        <w:t>[Section 155 inserted: No. 30 of 2018 s. 83.]</w:t>
      </w:r>
    </w:p>
    <w:p>
      <w:pPr>
        <w:pStyle w:val="Heading2"/>
      </w:pPr>
      <w:bookmarkStart w:id="522" w:name="_Toc106986352"/>
      <w:bookmarkStart w:id="523" w:name="_Toc106986788"/>
      <w:bookmarkStart w:id="524" w:name="_Toc100308366"/>
      <w:bookmarkStart w:id="525" w:name="_Toc100308802"/>
      <w:bookmarkStart w:id="526" w:name="_Toc100565086"/>
      <w:r>
        <w:rPr>
          <w:rStyle w:val="CharPartNo"/>
        </w:rPr>
        <w:t>Part 10</w:t>
      </w:r>
      <w:r>
        <w:rPr>
          <w:b w:val="0"/>
        </w:rPr>
        <w:t> </w:t>
      </w:r>
      <w:r>
        <w:t>—</w:t>
      </w:r>
      <w:r>
        <w:rPr>
          <w:b w:val="0"/>
        </w:rPr>
        <w:t> </w:t>
      </w:r>
      <w:r>
        <w:rPr>
          <w:rStyle w:val="CharPartText"/>
        </w:rPr>
        <w:t>Protection of buyers</w:t>
      </w:r>
      <w:bookmarkEnd w:id="522"/>
      <w:bookmarkEnd w:id="523"/>
      <w:bookmarkEnd w:id="524"/>
      <w:bookmarkEnd w:id="525"/>
      <w:bookmarkEnd w:id="526"/>
    </w:p>
    <w:p>
      <w:pPr>
        <w:pStyle w:val="Footnoteheading"/>
      </w:pPr>
      <w:r>
        <w:tab/>
        <w:t>[Heading inserted: No. 30 of 2018 s. 83.]</w:t>
      </w:r>
    </w:p>
    <w:p>
      <w:pPr>
        <w:pStyle w:val="Heading5"/>
      </w:pPr>
      <w:bookmarkStart w:id="527" w:name="_Toc106986789"/>
      <w:bookmarkStart w:id="528" w:name="_Toc100565087"/>
      <w:r>
        <w:rPr>
          <w:rStyle w:val="CharSectno"/>
        </w:rPr>
        <w:t>156</w:t>
      </w:r>
      <w:r>
        <w:t>.</w:t>
      </w:r>
      <w:r>
        <w:tab/>
        <w:t>Information to be given before contract</w:t>
      </w:r>
      <w:bookmarkEnd w:id="527"/>
      <w:bookmarkEnd w:id="528"/>
    </w:p>
    <w:p>
      <w:pPr>
        <w:pStyle w:val="Subsection"/>
      </w:pPr>
      <w:r>
        <w:tab/>
        <w:t>(1)</w:t>
      </w:r>
      <w:r>
        <w:tab/>
        <w:t>Before a buyer signs a contract for the sale and purchase of a lot in a strata titles scheme, the seller of the lot must give the buyer the following —</w:t>
      </w:r>
    </w:p>
    <w:p>
      <w:pPr>
        <w:pStyle w:val="Indenta"/>
      </w:pPr>
      <w:r>
        <w:tab/>
        <w:t>(a)</w:t>
      </w:r>
      <w:r>
        <w:tab/>
        <w:t>the name and address of the seller;</w:t>
      </w:r>
    </w:p>
    <w:p>
      <w:pPr>
        <w:pStyle w:val="Indenta"/>
      </w:pPr>
      <w:r>
        <w:tab/>
        <w:t>(b)</w:t>
      </w:r>
      <w:r>
        <w:tab/>
        <w:t>the following information relating to the strata titles scheme —</w:t>
      </w:r>
    </w:p>
    <w:p>
      <w:pPr>
        <w:pStyle w:val="Indenti"/>
      </w:pPr>
      <w:r>
        <w:tab/>
        <w:t>(i)</w:t>
      </w:r>
      <w:r>
        <w:tab/>
        <w:t>the scheme notice, scheme plan, scheme by</w:t>
      </w:r>
      <w:r>
        <w:noBreakHyphen/>
        <w:t>laws and schedule of unit entitlements for the strata titles scheme;</w:t>
      </w:r>
    </w:p>
    <w:p>
      <w:pPr>
        <w:pStyle w:val="Indenti"/>
      </w:pPr>
      <w:r>
        <w:tab/>
        <w:t>(ii)</w:t>
      </w:r>
      <w:r>
        <w:tab/>
        <w:t>scheme by</w:t>
      </w:r>
      <w:r>
        <w:noBreakHyphen/>
        <w:t>laws that have been made by the strata company but not yet registered as a scheme document;</w:t>
      </w:r>
    </w:p>
    <w:p>
      <w:pPr>
        <w:pStyle w:val="Indenti"/>
      </w:pPr>
      <w:r>
        <w:tab/>
        <w:t>(iii)</w:t>
      </w:r>
      <w:r>
        <w:tab/>
        <w:t>for a leasehold scheme, the strata lease for the lot;</w:t>
      </w:r>
    </w:p>
    <w:p>
      <w:pPr>
        <w:pStyle w:val="Indenti"/>
      </w:pPr>
      <w:r>
        <w:tab/>
        <w:t>(iv)</w:t>
      </w:r>
      <w:r>
        <w:tab/>
        <w:t>the name and address for service of the strata company;</w:t>
      </w:r>
    </w:p>
    <w:p>
      <w:pPr>
        <w:pStyle w:val="Indenti"/>
      </w:pPr>
      <w:r>
        <w:tab/>
        <w:t>(v)</w:t>
      </w:r>
      <w:r>
        <w:tab/>
        <w:t>either —</w:t>
      </w:r>
    </w:p>
    <w:p>
      <w:pPr>
        <w:pStyle w:val="IndentI0"/>
      </w:pPr>
      <w:r>
        <w:tab/>
        <w:t>(I)</w:t>
      </w:r>
      <w:r>
        <w:tab/>
        <w:t>the minutes of the most recent annual general meeting and of any subsequent extraordinary general meetings of the strata company; or</w:t>
      </w:r>
    </w:p>
    <w:p>
      <w:pPr>
        <w:pStyle w:val="IndentI0"/>
      </w:pPr>
      <w:r>
        <w:tab/>
        <w:t>(II)</w:t>
      </w:r>
      <w:r>
        <w:tab/>
        <w:t>a statement that the strata company does not keep minutes of its meetings; or</w:t>
      </w:r>
    </w:p>
    <w:p>
      <w:pPr>
        <w:pStyle w:val="IndentI0"/>
      </w:pPr>
      <w:r>
        <w:tab/>
        <w:t>(III)</w:t>
      </w:r>
      <w:r>
        <w:tab/>
        <w:t>a statement of why the seller has been unable to obtain the minutes;</w:t>
      </w:r>
    </w:p>
    <w:p>
      <w:pPr>
        <w:pStyle w:val="Indenti"/>
      </w:pPr>
      <w:r>
        <w:tab/>
        <w:t>(vi)</w:t>
      </w:r>
      <w:r>
        <w:tab/>
        <w:t>either —</w:t>
      </w:r>
    </w:p>
    <w:p>
      <w:pPr>
        <w:pStyle w:val="IndentI0"/>
      </w:pPr>
      <w:r>
        <w:tab/>
        <w:t>(I)</w:t>
      </w:r>
      <w:r>
        <w:tab/>
        <w:t>the statement of accounts last prepared by the strata company; or</w:t>
      </w:r>
    </w:p>
    <w:p>
      <w:pPr>
        <w:pStyle w:val="IndentI0"/>
      </w:pPr>
      <w:r>
        <w:tab/>
        <w:t>(II)</w:t>
      </w:r>
      <w:r>
        <w:tab/>
        <w:t>a statement that the strata company does not prepare a statement of accounts; or</w:t>
      </w:r>
    </w:p>
    <w:p>
      <w:pPr>
        <w:pStyle w:val="IndentI0"/>
      </w:pPr>
      <w:r>
        <w:tab/>
        <w:t>(III)</w:t>
      </w:r>
      <w:r>
        <w:tab/>
        <w:t>a statement of why the seller has been unable to obtain a statement of accounts;</w:t>
      </w:r>
    </w:p>
    <w:p>
      <w:pPr>
        <w:pStyle w:val="Indenti"/>
      </w:pPr>
      <w:r>
        <w:tab/>
        <w:t>(vii)</w:t>
      </w:r>
      <w:r>
        <w:tab/>
        <w:t>a copy of any notice received by the seller from the strata company in relation to any current termination proposal for the strata titles scheme;</w:t>
      </w:r>
    </w:p>
    <w:p>
      <w:pPr>
        <w:pStyle w:val="Indenta"/>
      </w:pPr>
      <w:r>
        <w:tab/>
        <w:t>(c)</w:t>
      </w:r>
      <w:r>
        <w:tab/>
        <w:t>the following information relating to the lot —</w:t>
      </w:r>
    </w:p>
    <w:p>
      <w:pPr>
        <w:pStyle w:val="Indenti"/>
      </w:pPr>
      <w:r>
        <w:tab/>
        <w:t>(i)</w:t>
      </w:r>
      <w:r>
        <w:tab/>
        <w:t>its exact location shown on the scheme plan for the strata titles scheme;</w:t>
      </w:r>
    </w:p>
    <w:p>
      <w:pPr>
        <w:pStyle w:val="Indenti"/>
      </w:pPr>
      <w:r>
        <w:tab/>
        <w:t>(ii)</w:t>
      </w:r>
      <w:r>
        <w:tab/>
        <w:t>its definition, as contained in the scheme plan for the strata titles scheme;</w:t>
      </w:r>
    </w:p>
    <w:p>
      <w:pPr>
        <w:pStyle w:val="Indenti"/>
      </w:pPr>
      <w:r>
        <w:tab/>
        <w:t>(iii)</w:t>
      </w:r>
      <w:r>
        <w:tab/>
        <w:t>the unit entitlement of the lot (and the sum of the unit entitlements of all of the lots in the scheme);</w:t>
      </w:r>
    </w:p>
    <w:p>
      <w:pPr>
        <w:pStyle w:val="Indenti"/>
      </w:pPr>
      <w:r>
        <w:tab/>
        <w:t>(iv)</w:t>
      </w:r>
      <w:r>
        <w:tab/>
        <w:t>if contributions have been determined by the strata company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strata company,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any other information required by the regulations.</w:t>
      </w:r>
    </w:p>
    <w:p>
      <w:pPr>
        <w:pStyle w:val="Subsection"/>
        <w:keepNext/>
      </w:pPr>
      <w:r>
        <w:tab/>
        <w:t>(2)</w:t>
      </w:r>
      <w:r>
        <w:tab/>
        <w:t>If the lot has not yet been created, a reference in subsection (1) —</w:t>
      </w:r>
    </w:p>
    <w:p>
      <w:pPr>
        <w:pStyle w:val="Indenta"/>
      </w:pPr>
      <w:r>
        <w:tab/>
        <w:t>(a)</w:t>
      </w:r>
      <w:r>
        <w:tab/>
        <w:t>to a scheme document is to be read as a reference to the latest version of the draft scheme document or amendment of a scheme document as relevant to the lot as proposed to be created; and</w:t>
      </w:r>
    </w:p>
    <w:p>
      <w:pPr>
        <w:pStyle w:val="Indenta"/>
      </w:pPr>
      <w:r>
        <w:tab/>
        <w:t>(b)</w:t>
      </w:r>
      <w:r>
        <w:tab/>
        <w:t>to a unit entitlement of the lot or amount is to be read as a reference to a reasonable estimate of that unit entitlement or amount; and</w:t>
      </w:r>
    </w:p>
    <w:p>
      <w:pPr>
        <w:pStyle w:val="Indenta"/>
      </w:pPr>
      <w:r>
        <w:tab/>
        <w:t>(c)</w:t>
      </w:r>
      <w:r>
        <w:tab/>
        <w:t>to any other matter (such as contributions payable)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strata titles scheme has not been registered; or</w:t>
      </w:r>
    </w:p>
    <w:p>
      <w:pPr>
        <w:pStyle w:val="Indenta"/>
      </w:pPr>
      <w:r>
        <w:tab/>
        <w:t>(b)</w:t>
      </w:r>
      <w:r>
        <w:tab/>
        <w:t>the first annual general meeting of the strata company has not been held; or</w:t>
      </w:r>
    </w:p>
    <w:p>
      <w:pPr>
        <w:pStyle w:val="Indenta"/>
      </w:pPr>
      <w:r>
        <w:tab/>
        <w:t>(c)</w:t>
      </w:r>
      <w:r>
        <w:tab/>
        <w:t>the scheme developer owns 50% or more of the lots in the strata titles scheme or lots with an aggregate unit entitlement of 50% or more of the sum of the unit entitlements of all the lots in the scheme.</w:t>
      </w:r>
    </w:p>
    <w:p>
      <w:pPr>
        <w:pStyle w:val="Subsection"/>
      </w:pPr>
      <w:r>
        <w:tab/>
        <w:t>(4)</w:t>
      </w:r>
      <w:r>
        <w:tab/>
        <w:t>Before a buyer signs a contract for the sale and purchase of a lot in circumstances in which this subsection applies, if the scheme developer is the seller of the lot, the seller must also give the buyer —</w:t>
      </w:r>
    </w:p>
    <w:p>
      <w:pPr>
        <w:pStyle w:val="Indenta"/>
      </w:pPr>
      <w:r>
        <w:tab/>
        <w:t>(a)</w:t>
      </w:r>
      <w:r>
        <w:tab/>
        <w:t>a statement of the estimated income and expenditure of the strata company for the 12 months after the proposed settlement date; and</w:t>
      </w:r>
    </w:p>
    <w:p>
      <w:pPr>
        <w:pStyle w:val="Indenta"/>
      </w:pPr>
      <w:r>
        <w:tab/>
        <w:t>(b)</w:t>
      </w:r>
      <w:r>
        <w:tab/>
        <w:t>details of any disclosure that the scheme developer is required to make under section 79; and</w:t>
      </w:r>
    </w:p>
    <w:p>
      <w:pPr>
        <w:pStyle w:val="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Indenti"/>
        <w:rPr>
          <w:snapToGrid w:val="0"/>
        </w:rPr>
      </w:pPr>
      <w:r>
        <w:rPr>
          <w:snapToGrid w:val="0"/>
        </w:rPr>
        <w:tab/>
        <w:t>(i)</w:t>
      </w:r>
      <w:r>
        <w:rPr>
          <w:snapToGrid w:val="0"/>
        </w:rPr>
        <w:tab/>
        <w:t>its terms and conditions; and</w:t>
      </w:r>
    </w:p>
    <w:p>
      <w:pPr>
        <w:pStyle w:val="Indenti"/>
        <w:rPr>
          <w:snapToGrid w:val="0"/>
        </w:rPr>
      </w:pPr>
      <w:r>
        <w:rPr>
          <w:snapToGrid w:val="0"/>
        </w:rPr>
        <w:tab/>
        <w:t>(ii)</w:t>
      </w:r>
      <w:r>
        <w:rPr>
          <w:snapToGrid w:val="0"/>
        </w:rPr>
        <w:tab/>
        <w:t>the consideration and the estimated costs to the members of the strata company;</w:t>
      </w:r>
    </w:p>
    <w:p>
      <w:pPr>
        <w:pStyle w:val="Indenta"/>
        <w:rPr>
          <w:snapToGrid w:val="0"/>
        </w:rPr>
      </w:pPr>
      <w:r>
        <w:rPr>
          <w:snapToGrid w:val="0"/>
        </w:rPr>
        <w:tab/>
      </w:r>
      <w:r>
        <w:rPr>
          <w:snapToGrid w:val="0"/>
        </w:rPr>
        <w:tab/>
        <w:t>and</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pPr>
      <w:r>
        <w:tab/>
        <w:t>(b)</w:t>
      </w:r>
      <w:r>
        <w:tab/>
        <w:t>by including the information and statements 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Footnotesection"/>
      </w:pPr>
      <w:r>
        <w:tab/>
        <w:t>[Section 156 inserted: No. 30 of 2018 s. 83.]</w:t>
      </w:r>
    </w:p>
    <w:p>
      <w:pPr>
        <w:pStyle w:val="Heading5"/>
      </w:pPr>
      <w:bookmarkStart w:id="529" w:name="_Toc106986790"/>
      <w:bookmarkStart w:id="530" w:name="_Toc100565088"/>
      <w:r>
        <w:rPr>
          <w:rStyle w:val="CharSectno"/>
        </w:rPr>
        <w:t>157</w:t>
      </w:r>
      <w:r>
        <w:t>.</w:t>
      </w:r>
      <w:r>
        <w:tab/>
        <w:t>Information to be given after contract</w:t>
      </w:r>
      <w:bookmarkEnd w:id="529"/>
      <w:bookmarkEnd w:id="530"/>
    </w:p>
    <w:p>
      <w:pPr>
        <w:pStyle w:val="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pPr>
      <w:r>
        <w:tab/>
        <w:t>(3)</w:t>
      </w:r>
      <w:r>
        <w:tab/>
        <w:t>The seller must comply with subsection (1) —</w:t>
      </w:r>
    </w:p>
    <w:p>
      <w:pPr>
        <w:pStyle w:val="Indenta"/>
      </w:pPr>
      <w:r>
        <w:tab/>
        <w:t>(a)</w:t>
      </w:r>
      <w:r>
        <w:tab/>
        <w:t>if the seller becomes aware of the notifiable variation less than 15 working days before the settlement date for the contract — as soon as practicable; and</w:t>
      </w:r>
    </w:p>
    <w:p>
      <w:pPr>
        <w:pStyle w:val="Indenta"/>
      </w:pPr>
      <w:r>
        <w:tab/>
        <w:t>(b)</w:t>
      </w:r>
      <w:r>
        <w:tab/>
        <w:t>in any other case — not later than 10 working days after the seller becomes aware of the notifiable variation.</w:t>
      </w:r>
    </w:p>
    <w:p>
      <w:pPr>
        <w:pStyle w:val="Subsection"/>
        <w:rPr>
          <w:snapToGrid w:val="0"/>
        </w:rPr>
      </w:pPr>
      <w:r>
        <w:tab/>
        <w:t>(4)</w:t>
      </w:r>
      <w:r>
        <w:tab/>
      </w:r>
      <w:r>
        <w:rPr>
          <w:snapToGrid w:val="0"/>
        </w:rPr>
        <w:t>Subsection (1) does not apply if —</w:t>
      </w:r>
    </w:p>
    <w:p>
      <w:pPr>
        <w:pStyle w:val="Indenta"/>
      </w:pPr>
      <w:r>
        <w:tab/>
        <w:t>(a)</w:t>
      </w:r>
      <w:r>
        <w:tab/>
        <w:t>the seller has in the contract informed the buyer of any proposed action or matter that would be a notifiable variation; and</w:t>
      </w:r>
    </w:p>
    <w:p>
      <w:pPr>
        <w:pStyle w:val="Indenta"/>
      </w:pPr>
      <w:r>
        <w:tab/>
        <w:t>(b)</w:t>
      </w:r>
      <w:r>
        <w:tab/>
        <w:t>the action or matter when completed does not differ from that described in the contract; and</w:t>
      </w:r>
    </w:p>
    <w:p>
      <w:pPr>
        <w:pStyle w:val="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pPr>
      <w:r>
        <w:tab/>
        <w:t>(a)</w:t>
      </w:r>
      <w:r>
        <w:tab/>
        <w:t>if the seller becomes aware of the completion of the action or matter less than 15 working days before the settlement date for the contract — as soon as practicable; and</w:t>
      </w:r>
    </w:p>
    <w:p>
      <w:pPr>
        <w:pStyle w:val="Indenta"/>
      </w:pPr>
      <w:r>
        <w:tab/>
        <w:t>(b)</w:t>
      </w:r>
      <w:r>
        <w:tab/>
        <w:t>in any other case — not later than 10 working days after the seller becomes aware of completion of the action or matter.</w:t>
      </w:r>
    </w:p>
    <w:p>
      <w:pPr>
        <w:pStyle w:val="Subsection"/>
        <w:keepNext/>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Footnotesection"/>
      </w:pPr>
      <w:r>
        <w:tab/>
        <w:t>[Section 157 inserted: No. 30 of 2018 s. 83.]</w:t>
      </w:r>
    </w:p>
    <w:p>
      <w:pPr>
        <w:pStyle w:val="Heading5"/>
      </w:pPr>
      <w:bookmarkStart w:id="531" w:name="_Toc106986791"/>
      <w:bookmarkStart w:id="532" w:name="_Toc100565089"/>
      <w:r>
        <w:rPr>
          <w:rStyle w:val="CharSectno"/>
        </w:rPr>
        <w:t>158</w:t>
      </w:r>
      <w:r>
        <w:t>.</w:t>
      </w:r>
      <w:r>
        <w:tab/>
        <w:t>Delay in settlement for failure to give information</w:t>
      </w:r>
      <w:bookmarkEnd w:id="531"/>
      <w:bookmarkEnd w:id="532"/>
    </w:p>
    <w:p>
      <w:pPr>
        <w:pStyle w:val="Subsection"/>
      </w:pPr>
      <w:r>
        <w:tab/>
        <w:t>(1)</w:t>
      </w:r>
      <w:r>
        <w:tab/>
        <w:t>A buyer may, by written notice to the seller, postpone the settlement date for a contract for the sale and purchase of a lot if the seller has not complied with section 156 or 157.</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Footnotesection"/>
      </w:pPr>
      <w:r>
        <w:tab/>
        <w:t>[Section 158 inserted: No. 30 of 2018 s. 83.]</w:t>
      </w:r>
    </w:p>
    <w:p>
      <w:pPr>
        <w:pStyle w:val="Heading5"/>
      </w:pPr>
      <w:bookmarkStart w:id="533" w:name="_Toc106986792"/>
      <w:bookmarkStart w:id="534" w:name="_Toc100565090"/>
      <w:r>
        <w:rPr>
          <w:rStyle w:val="CharSectno"/>
        </w:rPr>
        <w:t>159</w:t>
      </w:r>
      <w:r>
        <w:t>.</w:t>
      </w:r>
      <w:r>
        <w:tab/>
        <w:t>Avoidance of contract for failure to give information</w:t>
      </w:r>
      <w:bookmarkEnd w:id="533"/>
      <w:bookmarkEnd w:id="534"/>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156;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Footnotesection"/>
      </w:pPr>
      <w:r>
        <w:tab/>
        <w:t>[Section 159 inserted: No. 30 of 2018 s. 83.]</w:t>
      </w:r>
    </w:p>
    <w:p>
      <w:pPr>
        <w:pStyle w:val="Heading5"/>
      </w:pPr>
      <w:bookmarkStart w:id="535" w:name="_Toc106986793"/>
      <w:bookmarkStart w:id="536" w:name="_Toc100565091"/>
      <w:r>
        <w:rPr>
          <w:rStyle w:val="CharSectno"/>
        </w:rPr>
        <w:t>160</w:t>
      </w:r>
      <w:r>
        <w:t>.</w:t>
      </w:r>
      <w:r>
        <w:tab/>
        <w:t>Avoidance of contract on notification of variation for material prejudice</w:t>
      </w:r>
      <w:bookmarkEnd w:id="535"/>
      <w:bookmarkEnd w:id="536"/>
    </w:p>
    <w:p>
      <w:pPr>
        <w:pStyle w:val="Subsection"/>
      </w:pPr>
      <w:r>
        <w:tab/>
      </w:r>
      <w:r>
        <w:tab/>
        <w:t>A buyer may avoid a contract for the sale and purchase of a lot at any time within 15 working days after the seller gives the buyer a notice under section 157(1) if —</w:t>
      </w:r>
    </w:p>
    <w:p>
      <w:pPr>
        <w:pStyle w:val="Indenta"/>
      </w:pPr>
      <w:r>
        <w:tab/>
        <w:t>(a)</w:t>
      </w:r>
      <w:r>
        <w:tab/>
        <w:t>the notifiable variation is not one to which section 157(4) applies; and</w:t>
      </w:r>
    </w:p>
    <w:p>
      <w:pPr>
        <w:pStyle w:val="Indenta"/>
      </w:pPr>
      <w:r>
        <w:tab/>
        <w:t>(b)</w:t>
      </w:r>
      <w:r>
        <w:tab/>
        <w:t>the buyer is materially prejudiced by the information or document disclosed (proof of which lies on the buyer).</w:t>
      </w:r>
    </w:p>
    <w:p>
      <w:pPr>
        <w:pStyle w:val="Footnotesection"/>
      </w:pPr>
      <w:r>
        <w:tab/>
        <w:t>[Section 160 inserted: No. 30 of 2018 s. 83.]</w:t>
      </w:r>
    </w:p>
    <w:p>
      <w:pPr>
        <w:pStyle w:val="Heading5"/>
      </w:pPr>
      <w:bookmarkStart w:id="537" w:name="_Toc106986794"/>
      <w:bookmarkStart w:id="538" w:name="_Toc100565092"/>
      <w:r>
        <w:rPr>
          <w:rStyle w:val="CharSectno"/>
        </w:rPr>
        <w:t>161</w:t>
      </w:r>
      <w:r>
        <w:t>.</w:t>
      </w:r>
      <w:r>
        <w:tab/>
        <w:t>Avoidance of contract for failure to disclose type 1 notifiable variation</w:t>
      </w:r>
      <w:bookmarkEnd w:id="537"/>
      <w:bookmarkEnd w:id="538"/>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157 to give notice of the variation to the buyer within the required time.</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161 inserted: No. 30 of 2018 s. 83.]</w:t>
      </w:r>
    </w:p>
    <w:p>
      <w:pPr>
        <w:pStyle w:val="Heading5"/>
      </w:pPr>
      <w:bookmarkStart w:id="539" w:name="_Toc106986795"/>
      <w:bookmarkStart w:id="540" w:name="_Toc100565093"/>
      <w:r>
        <w:rPr>
          <w:rStyle w:val="CharSectno"/>
        </w:rPr>
        <w:t>162</w:t>
      </w:r>
      <w:r>
        <w:t>.</w:t>
      </w:r>
      <w:r>
        <w:tab/>
        <w:t>Avoidance of contract for failure to disclose type 2 notifiable variation</w:t>
      </w:r>
      <w:bookmarkEnd w:id="539"/>
      <w:bookmarkEnd w:id="540"/>
    </w:p>
    <w:p>
      <w:pPr>
        <w:pStyle w:val="Subsection"/>
        <w:keepNext/>
      </w:pPr>
      <w:r>
        <w:tab/>
        <w:t>(1)</w:t>
      </w:r>
      <w:r>
        <w:tab/>
        <w:t>A buyer may avoid a contract for the sale and purchase of a lot at any time before the settlement date for the contract —</w:t>
      </w:r>
    </w:p>
    <w:p>
      <w:pPr>
        <w:pStyle w:val="Indenta"/>
        <w:keepNext/>
      </w:pPr>
      <w:r>
        <w:tab/>
        <w:t>(a)</w:t>
      </w:r>
      <w:r>
        <w:tab/>
        <w:t>if —</w:t>
      </w:r>
    </w:p>
    <w:p>
      <w:pPr>
        <w:pStyle w:val="Indenti"/>
        <w:rPr>
          <w:snapToGrid w:val="0"/>
        </w:rPr>
      </w:pPr>
      <w:r>
        <w:rPr>
          <w:snapToGrid w:val="0"/>
        </w:rPr>
        <w:tab/>
        <w:t>(i)</w:t>
      </w:r>
      <w:r>
        <w:rPr>
          <w:snapToGrid w:val="0"/>
        </w:rPr>
        <w:tab/>
        <w:t>a type 2 notifiable variation occurs in relation to the contract; and</w:t>
      </w:r>
    </w:p>
    <w:p>
      <w:pPr>
        <w:pStyle w:val="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Indenta"/>
      </w:pPr>
      <w:r>
        <w:tab/>
      </w:r>
      <w:r>
        <w:tab/>
        <w:t>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Footnotesection"/>
      </w:pPr>
      <w:r>
        <w:tab/>
        <w:t>[Section 162 inserted: No. 30 of 2018 s. 83.]</w:t>
      </w:r>
    </w:p>
    <w:p>
      <w:pPr>
        <w:pStyle w:val="Heading5"/>
        <w:rPr>
          <w:snapToGrid w:val="0"/>
        </w:rPr>
      </w:pPr>
      <w:bookmarkStart w:id="541" w:name="_Toc106986796"/>
      <w:bookmarkStart w:id="542" w:name="_Toc100565094"/>
      <w:r>
        <w:rPr>
          <w:rStyle w:val="CharSectno"/>
        </w:rPr>
        <w:t>163</w:t>
      </w:r>
      <w:r>
        <w:t>.</w:t>
      </w:r>
      <w:r>
        <w:tab/>
      </w:r>
      <w:r>
        <w:rPr>
          <w:snapToGrid w:val="0"/>
        </w:rPr>
        <w:t>Proposed lot contract</w:t>
      </w:r>
      <w:bookmarkEnd w:id="541"/>
      <w:bookmarkEnd w:id="542"/>
    </w:p>
    <w:p>
      <w:pPr>
        <w:pStyle w:val="Subsection"/>
      </w:pPr>
      <w:r>
        <w:tab/>
        <w:t>(1)</w:t>
      </w:r>
      <w:r>
        <w:tab/>
        <w:t>This section applies to a contract for the sale and purchase of a lot in a strata titles scheme entered into before the lot is created on registration of the scheme or an amendment of the scheme.</w:t>
      </w:r>
    </w:p>
    <w:p>
      <w:pPr>
        <w:pStyle w:val="Subsection"/>
      </w:pPr>
      <w:r>
        <w:tab/>
        <w:t>(2)</w:t>
      </w:r>
      <w:r>
        <w:tab/>
        <w:t>A contract to which this section applies must —</w:t>
      </w:r>
    </w:p>
    <w:p>
      <w:pPr>
        <w:pStyle w:val="Indenta"/>
      </w:pPr>
      <w:r>
        <w:tab/>
        <w:t>(a)</w:t>
      </w:r>
      <w:r>
        <w:tab/>
        <w: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t>
      </w:r>
    </w:p>
    <w:p>
      <w:pPr>
        <w:pStyle w:val="Indenta"/>
      </w:pPr>
      <w:r>
        <w:tab/>
        <w:t>(b)</w:t>
      </w:r>
      <w:r>
        <w:tab/>
        <w:t>specify the practitioner or agent to whom payment is to be made by the buyer and how the payment may be made.</w:t>
      </w:r>
    </w:p>
    <w:p>
      <w:pPr>
        <w:pStyle w:val="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Indenta"/>
      </w:pPr>
      <w:r>
        <w:tab/>
        <w:t>(a)</w:t>
      </w:r>
      <w:r>
        <w:tab/>
        <w:t>the contract does not comply with subsection (2); or</w:t>
      </w:r>
    </w:p>
    <w:p>
      <w:pPr>
        <w:pStyle w:val="Indenta"/>
      </w:pPr>
      <w:r>
        <w:tab/>
        <w:t>(b)</w:t>
      </w:r>
      <w:r>
        <w:tab/>
        <w:t>the scheme or amendment is not registered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163 inserted: No. 30 of 2018 s. 83.]</w:t>
      </w:r>
    </w:p>
    <w:p>
      <w:pPr>
        <w:pStyle w:val="Heading5"/>
      </w:pPr>
      <w:bookmarkStart w:id="543" w:name="_Toc106986797"/>
      <w:bookmarkStart w:id="544" w:name="_Toc100565095"/>
      <w:r>
        <w:rPr>
          <w:rStyle w:val="CharSectno"/>
        </w:rPr>
        <w:t>164</w:t>
      </w:r>
      <w:r>
        <w:t>.</w:t>
      </w:r>
      <w:r>
        <w:tab/>
        <w:t>Avoidance of contract — manner and effect</w:t>
      </w:r>
      <w:bookmarkEnd w:id="543"/>
      <w:bookmarkEnd w:id="544"/>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pPr>
      <w:r>
        <w:tab/>
        <w:t>(a)</w:t>
      </w:r>
      <w:r>
        <w:tab/>
        <w:t>the buyer may recover from the seller as a debt all money paid by the buyer under the contract; and</w:t>
      </w:r>
    </w:p>
    <w:p>
      <w:pPr>
        <w:pStyle w:val="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Footnotesection"/>
      </w:pPr>
      <w:r>
        <w:tab/>
        <w:t>[Section 164 inserted: No. 30 of 2018 s. 83.]</w:t>
      </w:r>
    </w:p>
    <w:p>
      <w:pPr>
        <w:pStyle w:val="Heading5"/>
      </w:pPr>
      <w:bookmarkStart w:id="545" w:name="_Toc106986798"/>
      <w:bookmarkStart w:id="546" w:name="_Toc100565096"/>
      <w:r>
        <w:rPr>
          <w:rStyle w:val="CharSectno"/>
        </w:rPr>
        <w:t>165</w:t>
      </w:r>
      <w:r>
        <w:t>.</w:t>
      </w:r>
      <w:r>
        <w:tab/>
        <w:t>Contracting out prohibited</w:t>
      </w:r>
      <w:bookmarkEnd w:id="545"/>
      <w:bookmarkEnd w:id="546"/>
    </w:p>
    <w:p>
      <w:pPr>
        <w:pStyle w:val="Subsection"/>
      </w:pPr>
      <w:r>
        <w:tab/>
        <w:t>(1)</w:t>
      </w:r>
      <w:r>
        <w:tab/>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pPr>
      <w:r>
        <w:tab/>
        <w:t>(3)</w:t>
      </w:r>
      <w:r>
        <w:tab/>
        <w:t>A purported waiver of a right, remedy or benefit conferred on a buyer by this Part is of no effect.</w:t>
      </w:r>
    </w:p>
    <w:p>
      <w:pPr>
        <w:pStyle w:val="Footnotesection"/>
      </w:pPr>
      <w:r>
        <w:tab/>
        <w:t>[Section 165 inserted: No. 30 of 2018 s. 83.]</w:t>
      </w:r>
    </w:p>
    <w:p>
      <w:pPr>
        <w:pStyle w:val="Heading2"/>
      </w:pPr>
      <w:bookmarkStart w:id="547" w:name="_Toc106986363"/>
      <w:bookmarkStart w:id="548" w:name="_Toc106986799"/>
      <w:bookmarkStart w:id="549" w:name="_Toc100308377"/>
      <w:bookmarkStart w:id="550" w:name="_Toc100308813"/>
      <w:bookmarkStart w:id="551" w:name="_Toc100565097"/>
      <w:r>
        <w:rPr>
          <w:rStyle w:val="CharPartNo"/>
        </w:rPr>
        <w:t>Part 11</w:t>
      </w:r>
      <w:r>
        <w:rPr>
          <w:b w:val="0"/>
        </w:rPr>
        <w:t> </w:t>
      </w:r>
      <w:r>
        <w:t>—</w:t>
      </w:r>
      <w:r>
        <w:rPr>
          <w:b w:val="0"/>
        </w:rPr>
        <w:t> </w:t>
      </w:r>
      <w:r>
        <w:rPr>
          <w:rStyle w:val="CharPartText"/>
        </w:rPr>
        <w:t>Variation of strata titles scheme by Tribunal</w:t>
      </w:r>
      <w:bookmarkEnd w:id="547"/>
      <w:bookmarkEnd w:id="548"/>
      <w:bookmarkEnd w:id="549"/>
      <w:bookmarkEnd w:id="550"/>
      <w:bookmarkEnd w:id="551"/>
    </w:p>
    <w:p>
      <w:pPr>
        <w:pStyle w:val="Footnoteheading"/>
      </w:pPr>
      <w:r>
        <w:tab/>
        <w:t>[Heading inserted: No. 30 of 2018 s. 83.]</w:t>
      </w:r>
    </w:p>
    <w:p>
      <w:pPr>
        <w:pStyle w:val="Heading3"/>
      </w:pPr>
      <w:bookmarkStart w:id="552" w:name="_Toc106986364"/>
      <w:bookmarkStart w:id="553" w:name="_Toc106986800"/>
      <w:bookmarkStart w:id="554" w:name="_Toc100308378"/>
      <w:bookmarkStart w:id="555" w:name="_Toc100308814"/>
      <w:bookmarkStart w:id="556" w:name="_Toc100565098"/>
      <w:r>
        <w:rPr>
          <w:rStyle w:val="CharDivNo"/>
        </w:rPr>
        <w:t>Division 1</w:t>
      </w:r>
      <w:r>
        <w:t> — </w:t>
      </w:r>
      <w:r>
        <w:rPr>
          <w:rStyle w:val="CharDivText"/>
        </w:rPr>
        <w:t>On damage or destruction</w:t>
      </w:r>
      <w:bookmarkEnd w:id="552"/>
      <w:bookmarkEnd w:id="553"/>
      <w:bookmarkEnd w:id="554"/>
      <w:bookmarkEnd w:id="555"/>
      <w:bookmarkEnd w:id="556"/>
    </w:p>
    <w:p>
      <w:pPr>
        <w:pStyle w:val="Footnoteheading"/>
      </w:pPr>
      <w:r>
        <w:tab/>
        <w:t>[Heading inserted: No. 30 of 2018 s. 83.]</w:t>
      </w:r>
    </w:p>
    <w:p>
      <w:pPr>
        <w:pStyle w:val="Heading5"/>
        <w:spacing w:before="160"/>
        <w:rPr>
          <w:snapToGrid w:val="0"/>
        </w:rPr>
      </w:pPr>
      <w:bookmarkStart w:id="557" w:name="_Toc106986801"/>
      <w:bookmarkStart w:id="558" w:name="_Toc100565099"/>
      <w:r>
        <w:rPr>
          <w:rStyle w:val="CharSectno"/>
        </w:rPr>
        <w:t>166</w:t>
      </w:r>
      <w:r>
        <w:rPr>
          <w:snapToGrid w:val="0"/>
        </w:rPr>
        <w:t>.</w:t>
      </w:r>
      <w:r>
        <w:rPr>
          <w:snapToGrid w:val="0"/>
        </w:rPr>
        <w:tab/>
        <w:t>Variation of strata scheme on damage or destruction of building</w:t>
      </w:r>
      <w:bookmarkEnd w:id="557"/>
      <w:bookmarkEnd w:id="558"/>
    </w:p>
    <w:p>
      <w:pPr>
        <w:pStyle w:val="Subsection"/>
      </w:pPr>
      <w:r>
        <w:tab/>
        <w:t>(1A)</w:t>
      </w:r>
      <w:r>
        <w:tab/>
        <w:t>An application for an order under this section for a strata scheme can be made by —</w:t>
      </w:r>
    </w:p>
    <w:p>
      <w:pPr>
        <w:pStyle w:val="Indenta"/>
      </w:pPr>
      <w:r>
        <w:tab/>
        <w:t>(a)</w:t>
      </w:r>
      <w:r>
        <w:tab/>
        <w:t>the strata company; or</w:t>
      </w:r>
    </w:p>
    <w:p>
      <w:pPr>
        <w:pStyle w:val="Indenta"/>
      </w:pPr>
      <w:r>
        <w:tab/>
        <w:t>(b)</w:t>
      </w:r>
      <w:r>
        <w:tab/>
        <w:t>the owner of a lot in the scheme; or</w:t>
      </w:r>
    </w:p>
    <w:p>
      <w:pPr>
        <w:pStyle w:val="Indenta"/>
      </w:pPr>
      <w:r>
        <w:tab/>
        <w:t>(c)</w:t>
      </w:r>
      <w:r>
        <w:tab/>
        <w:t>a registered mortgagee of a lot in the scheme; or</w:t>
      </w:r>
    </w:p>
    <w:p>
      <w:pPr>
        <w:pStyle w:val="Indenta"/>
      </w:pPr>
      <w:r>
        <w:tab/>
        <w:t>(d)</w:t>
      </w:r>
      <w:r>
        <w:tab/>
        <w:t>for a leasehold scheme, the owner of the leasehold scheme.</w:t>
      </w:r>
    </w:p>
    <w:p>
      <w:pPr>
        <w:pStyle w:val="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 xml:space="preserve">An insurer who has effected insurance on the </w:t>
      </w:r>
      <w:r>
        <w:t>scheme</w:t>
      </w:r>
      <w:r>
        <w:rPr>
          <w:snapToGrid w:val="0"/>
        </w:rPr>
        <w:t xml:space="preserve"> building, or any part of the building, against damage to or destruction of the building has the right to appear, in person or by counsel, on an application to the </w:t>
      </w:r>
      <w:r>
        <w:t>Tribunal</w:t>
      </w:r>
      <w:r>
        <w:rPr>
          <w:snapToGrid w:val="0"/>
        </w:rPr>
        <w:t xml:space="preserve"> under this section.</w:t>
      </w:r>
    </w:p>
    <w:p>
      <w:pPr>
        <w:pStyle w:val="Subsection"/>
        <w:rPr>
          <w:snapToGrid w:val="0"/>
        </w:rPr>
      </w:pPr>
      <w:r>
        <w:rPr>
          <w:snapToGrid w:val="0"/>
        </w:rPr>
        <w:tab/>
        <w:t>(3)</w:t>
      </w:r>
      <w:r>
        <w:rPr>
          <w:snapToGrid w:val="0"/>
        </w:rPr>
        <w:tab/>
        <w:t xml:space="preserve">Without limiting subsection (1), an order made under that subsection may include directions for any 1 or more of the following </w:t>
      </w:r>
      <w:r>
        <w:t>matters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 xml:space="preserve">the transfer or conveyance of the interests of the </w:t>
      </w:r>
      <w:r>
        <w:t>owners</w:t>
      </w:r>
      <w:r>
        <w:rPr>
          <w:snapToGrid w:val="0"/>
        </w:rPr>
        <w:t xml:space="preserve"> of lots that have been damaged or destroyed to the other </w:t>
      </w:r>
      <w:r>
        <w:t>owners of lots</w:t>
      </w:r>
      <w:r>
        <w:rPr>
          <w:snapToGrid w:val="0"/>
        </w:rPr>
        <w:t xml:space="preserve"> in proportion to their unit entitlements;</w:t>
      </w:r>
    </w:p>
    <w:p>
      <w:pPr>
        <w:pStyle w:val="Indenta"/>
        <w:rPr>
          <w:snapToGrid w:val="0"/>
        </w:rPr>
      </w:pPr>
      <w:r>
        <w:rPr>
          <w:snapToGrid w:val="0"/>
        </w:rPr>
        <w:tab/>
        <w:t>(c)</w:t>
      </w:r>
      <w:r>
        <w:rPr>
          <w:snapToGrid w:val="0"/>
        </w:rPr>
        <w:tab/>
        <w:t xml:space="preserve">the substitution for the existing schedule of unit </w:t>
      </w:r>
      <w:r>
        <w:t>entitlements of</w:t>
      </w:r>
      <w:r>
        <w:rPr>
          <w:snapToGrid w:val="0"/>
        </w:rPr>
        <w:t xml:space="preserve"> a new schedule of unit </w:t>
      </w:r>
      <w:r>
        <w:t>entitlements;</w:t>
      </w:r>
    </w:p>
    <w:p>
      <w:pPr>
        <w:pStyle w:val="Indenta"/>
        <w:rPr>
          <w:snapToGrid w:val="0"/>
        </w:rPr>
      </w:pPr>
      <w:r>
        <w:rPr>
          <w:snapToGrid w:val="0"/>
        </w:rPr>
        <w:tab/>
        <w:t>(d)</w:t>
      </w:r>
      <w:r>
        <w:rPr>
          <w:snapToGrid w:val="0"/>
        </w:rPr>
        <w:tab/>
        <w:t xml:space="preserve">the application of insurance </w:t>
      </w:r>
      <w:r>
        <w:t>money</w:t>
      </w:r>
      <w:r>
        <w:rPr>
          <w:snapToGrid w:val="0"/>
        </w:rPr>
        <w:t xml:space="preserve"> received by the strata company in respect of damage to or destruction of the </w:t>
      </w:r>
      <w:r>
        <w:t>scheme</w:t>
      </w:r>
      <w:r>
        <w:rPr>
          <w:snapToGrid w:val="0"/>
        </w:rPr>
        <w:t xml:space="preserve"> building;</w:t>
      </w:r>
    </w:p>
    <w:p>
      <w:pPr>
        <w:pStyle w:val="Indenta"/>
      </w:pPr>
      <w:r>
        <w:tab/>
        <w:t>(e)</w:t>
      </w:r>
      <w:r>
        <w:tab/>
        <w:t>the payment of money to or by the strata company, the owner of a lot or, for a leasehold scheme, the owner of the leasehold scheme;</w:t>
      </w:r>
    </w:p>
    <w:p>
      <w:pPr>
        <w:pStyle w:val="Indenta"/>
        <w:rPr>
          <w:snapToGrid w:val="0"/>
        </w:rPr>
      </w:pPr>
      <w:r>
        <w:rPr>
          <w:snapToGrid w:val="0"/>
        </w:rPr>
        <w:tab/>
        <w:t>(f)</w:t>
      </w:r>
      <w:r>
        <w:rPr>
          <w:snapToGrid w:val="0"/>
        </w:rPr>
        <w:tab/>
        <w:t xml:space="preserve">the amendment of the strata plan, in such manner as the </w:t>
      </w:r>
      <w:r>
        <w:t>Tribunal</w:t>
      </w:r>
      <w:r>
        <w:rPr>
          <w:snapToGrid w:val="0"/>
        </w:rPr>
        <w:t xml:space="preserve"> thinks fit, so as to include any addition to the common property;</w:t>
      </w:r>
    </w:p>
    <w:p>
      <w:pPr>
        <w:pStyle w:val="Indenta"/>
        <w:rPr>
          <w:snapToGrid w:val="0"/>
        </w:rPr>
      </w:pPr>
      <w:r>
        <w:rPr>
          <w:snapToGrid w:val="0"/>
        </w:rPr>
        <w:tab/>
        <w:t>(g)</w:t>
      </w:r>
      <w:r>
        <w:rPr>
          <w:snapToGrid w:val="0"/>
        </w:rPr>
        <w:tab/>
        <w:t xml:space="preserve">the payment to a mortgagee of a lot of money received by the strata company from an insurer of the </w:t>
      </w:r>
      <w:r>
        <w:t>scheme</w:t>
      </w:r>
      <w:r>
        <w:rPr>
          <w:snapToGrid w:val="0"/>
        </w:rPr>
        <w:t xml:space="preserve"> building;</w:t>
      </w:r>
    </w:p>
    <w:p>
      <w:pPr>
        <w:pStyle w:val="Indenta"/>
        <w:rPr>
          <w:snapToGrid w:val="0"/>
        </w:rPr>
      </w:pPr>
      <w:r>
        <w:rPr>
          <w:snapToGrid w:val="0"/>
        </w:rPr>
        <w:tab/>
        <w:t>(h)</w:t>
      </w:r>
      <w:r>
        <w:rPr>
          <w:snapToGrid w:val="0"/>
        </w:rPr>
        <w:tab/>
        <w:t xml:space="preserve">any matter in respect of which it is, in the opinion of the </w:t>
      </w:r>
      <w:r>
        <w:t>Tribunal,</w:t>
      </w:r>
      <w:r>
        <w:rPr>
          <w:snapToGrid w:val="0"/>
        </w:rPr>
        <w:t xml:space="preserve"> just and equitable in the circumstances of the case to make provision in the order;</w:t>
      </w:r>
    </w:p>
    <w:p>
      <w:pPr>
        <w:pStyle w:val="Indenta"/>
        <w:rPr>
          <w:snapToGrid w:val="0"/>
        </w:rPr>
      </w:pPr>
      <w:r>
        <w:rPr>
          <w:snapToGrid w:val="0"/>
        </w:rPr>
        <w:tab/>
        <w:t>(i)</w:t>
      </w:r>
      <w:r>
        <w:rPr>
          <w:snapToGrid w:val="0"/>
        </w:rPr>
        <w:tab/>
        <w:t xml:space="preserve">the imposition of such terms and conditions as the </w:t>
      </w:r>
      <w:r>
        <w:t>Tribunal</w:t>
      </w:r>
      <w:r>
        <w:rPr>
          <w:snapToGrid w:val="0"/>
        </w:rPr>
        <w:t xml:space="preserve"> thinks fit.</w:t>
      </w:r>
    </w:p>
    <w:p>
      <w:pPr>
        <w:pStyle w:val="Subsection"/>
        <w:rPr>
          <w:snapToGrid w:val="0"/>
        </w:rPr>
      </w:pPr>
      <w:r>
        <w:rPr>
          <w:snapToGrid w:val="0"/>
        </w:rPr>
        <w:tab/>
        <w:t>(4)</w:t>
      </w:r>
      <w:r>
        <w:rPr>
          <w:snapToGrid w:val="0"/>
        </w:rPr>
        <w:tab/>
        <w:t xml:space="preserve">The </w:t>
      </w:r>
      <w:r>
        <w:t>Tribunal may amend an</w:t>
      </w:r>
      <w:r>
        <w:rPr>
          <w:snapToGrid w:val="0"/>
        </w:rPr>
        <w:t xml:space="preserve"> order made under this section.</w:t>
      </w:r>
    </w:p>
    <w:p>
      <w:pPr>
        <w:pStyle w:val="Subsection"/>
        <w:rPr>
          <w:snapToGrid w:val="0"/>
        </w:rPr>
      </w:pPr>
      <w:r>
        <w:rPr>
          <w:snapToGrid w:val="0"/>
        </w:rPr>
        <w:tab/>
        <w:t>(5)</w:t>
      </w:r>
      <w:r>
        <w:rPr>
          <w:snapToGrid w:val="0"/>
        </w:rPr>
        <w:tab/>
        <w:t xml:space="preserve">An order made under this section </w:t>
      </w:r>
      <w:r>
        <w:t xml:space="preserve">takes </w:t>
      </w:r>
      <w:r>
        <w:rPr>
          <w:snapToGrid w:val="0"/>
        </w:rPr>
        <w:t>effect as follows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 xml:space="preserve">in the case of an order made under this section as applied by </w:t>
      </w:r>
      <w:r>
        <w:t>section 167,</w:t>
      </w:r>
      <w:r>
        <w:rPr>
          <w:snapToGrid w:val="0"/>
        </w:rPr>
        <w:t xml:space="preserve"> on the day on which the taking referred to in the order takes effect.</w:t>
      </w:r>
    </w:p>
    <w:p>
      <w:pPr>
        <w:pStyle w:val="Ednotesubsection"/>
      </w:pPr>
      <w:r>
        <w:tab/>
        <w:t>[(6)-(7)</w:t>
      </w:r>
      <w:r>
        <w:tab/>
        <w:t>deleted]</w:t>
      </w:r>
    </w:p>
    <w:p>
      <w:pPr>
        <w:pStyle w:val="Footnotesection"/>
      </w:pPr>
      <w:r>
        <w:tab/>
        <w:t>[Section 166, formerly section 28, amended: No. 58 of 1995 s. 30 and 93(1); No. 74 of 2003 s. 112(5); amended, renumbered as section 166 and relocated: No. 30 of 2018 s. 31 and 84.]</w:t>
      </w:r>
    </w:p>
    <w:p>
      <w:pPr>
        <w:pStyle w:val="Heading3"/>
      </w:pPr>
      <w:bookmarkStart w:id="559" w:name="_Toc106986366"/>
      <w:bookmarkStart w:id="560" w:name="_Toc106986802"/>
      <w:bookmarkStart w:id="561" w:name="_Toc100308380"/>
      <w:bookmarkStart w:id="562" w:name="_Toc100308816"/>
      <w:bookmarkStart w:id="563" w:name="_Toc100565100"/>
      <w:r>
        <w:rPr>
          <w:rStyle w:val="CharDivNo"/>
        </w:rPr>
        <w:t>Division 2</w:t>
      </w:r>
      <w:r>
        <w:t> — </w:t>
      </w:r>
      <w:r>
        <w:rPr>
          <w:rStyle w:val="CharDivText"/>
        </w:rPr>
        <w:t>On compulsory acquisition</w:t>
      </w:r>
      <w:bookmarkEnd w:id="559"/>
      <w:bookmarkEnd w:id="560"/>
      <w:bookmarkEnd w:id="561"/>
      <w:bookmarkEnd w:id="562"/>
      <w:bookmarkEnd w:id="563"/>
    </w:p>
    <w:p>
      <w:pPr>
        <w:pStyle w:val="Footnoteheading"/>
        <w:keepNext/>
      </w:pPr>
      <w:r>
        <w:tab/>
        <w:t>[Heading inserted: No. 30 of 2018 s. 83.]</w:t>
      </w:r>
    </w:p>
    <w:p>
      <w:pPr>
        <w:pStyle w:val="Heading5"/>
        <w:rPr>
          <w:snapToGrid w:val="0"/>
        </w:rPr>
      </w:pPr>
      <w:bookmarkStart w:id="564" w:name="_Toc106986803"/>
      <w:bookmarkStart w:id="565" w:name="_Toc100565101"/>
      <w:r>
        <w:rPr>
          <w:rStyle w:val="CharSectno"/>
        </w:rPr>
        <w:t>167</w:t>
      </w:r>
      <w:r>
        <w:rPr>
          <w:snapToGrid w:val="0"/>
        </w:rPr>
        <w:t>.</w:t>
      </w:r>
      <w:r>
        <w:rPr>
          <w:snapToGrid w:val="0"/>
        </w:rPr>
        <w:tab/>
        <w:t>Variation of strata scheme on taking</w:t>
      </w:r>
      <w:bookmarkEnd w:id="564"/>
      <w:bookmarkEnd w:id="565"/>
    </w:p>
    <w:p>
      <w:pPr>
        <w:pStyle w:val="Subsection"/>
        <w:rPr>
          <w:snapToGrid w:val="0"/>
        </w:rPr>
      </w:pPr>
      <w:r>
        <w:rPr>
          <w:snapToGrid w:val="0"/>
        </w:rPr>
        <w:tab/>
      </w:r>
      <w:r>
        <w:rPr>
          <w:snapToGrid w:val="0"/>
        </w:rPr>
        <w:tab/>
        <w:t>Subject to any necessary modifications, section </w:t>
      </w:r>
      <w:r>
        <w:t>166 applies and the Tribunal has</w:t>
      </w:r>
      <w:r>
        <w:rPr>
          <w:snapToGrid w:val="0"/>
        </w:rPr>
        <w:t xml:space="preserve"> jurisdiction accordingly in any case of the taking of part of the land in a parcel in a registered strata plan in the manner and to the extent that </w:t>
      </w:r>
      <w:r>
        <w:t>section 166 applies and the Tribunal</w:t>
      </w:r>
      <w:r>
        <w:rPr>
          <w:snapToGrid w:val="0"/>
        </w:rPr>
        <w:t xml:space="preserve"> has jurisdiction in the case of damage to or destruction of a </w:t>
      </w:r>
      <w:r>
        <w:t>scheme</w:t>
      </w:r>
      <w:r>
        <w:rPr>
          <w:snapToGrid w:val="0"/>
        </w:rPr>
        <w:t xml:space="preserve"> building.</w:t>
      </w:r>
    </w:p>
    <w:p>
      <w:pPr>
        <w:pStyle w:val="Footnotesection"/>
      </w:pPr>
      <w:r>
        <w:tab/>
        <w:t>[Section 167, formerly section 29, amended: No. 58 of 1995 s. 31 and 93(1); No. 74 of 2003 s. 112(5); amended, renumbered as section 167 and relocated: No. 30 of 2018 s. 32 and 84.]</w:t>
      </w:r>
    </w:p>
    <w:p>
      <w:pPr>
        <w:pStyle w:val="Heading5"/>
        <w:rPr>
          <w:snapToGrid w:val="0"/>
        </w:rPr>
      </w:pPr>
      <w:bookmarkStart w:id="566" w:name="_Toc106986804"/>
      <w:bookmarkStart w:id="567" w:name="_Toc100565102"/>
      <w:r>
        <w:rPr>
          <w:rStyle w:val="CharSectno"/>
        </w:rPr>
        <w:t>168</w:t>
      </w:r>
      <w:r>
        <w:rPr>
          <w:snapToGrid w:val="0"/>
        </w:rPr>
        <w:t>.</w:t>
      </w:r>
      <w:r>
        <w:rPr>
          <w:snapToGrid w:val="0"/>
        </w:rPr>
        <w:tab/>
        <w:t>Variation of survey-strata scheme on taking</w:t>
      </w:r>
      <w:bookmarkEnd w:id="566"/>
      <w:bookmarkEnd w:id="567"/>
    </w:p>
    <w:p>
      <w:pPr>
        <w:pStyle w:val="Subsection"/>
      </w:pPr>
      <w:r>
        <w:tab/>
        <w:t>(1A)</w:t>
      </w:r>
      <w:r>
        <w:tab/>
        <w:t>An application for an order under this section for a survey</w:t>
      </w:r>
      <w:r>
        <w:noBreakHyphen/>
        <w:t>strata scheme can be made by any of the following —</w:t>
      </w:r>
    </w:p>
    <w:p>
      <w:pPr>
        <w:pStyle w:val="Indenta"/>
      </w:pPr>
      <w:r>
        <w:tab/>
        <w:t>(a)</w:t>
      </w:r>
      <w:r>
        <w:tab/>
        <w:t>the strata company;</w:t>
      </w:r>
    </w:p>
    <w:p>
      <w:pPr>
        <w:pStyle w:val="Indenta"/>
      </w:pPr>
      <w:r>
        <w:tab/>
        <w:t>(b)</w:t>
      </w:r>
      <w:r>
        <w:tab/>
        <w:t>the owner of a lot in the scheme;</w:t>
      </w:r>
    </w:p>
    <w:p>
      <w:pPr>
        <w:pStyle w:val="Indenta"/>
      </w:pPr>
      <w:r>
        <w:tab/>
        <w:t>(c)</w:t>
      </w:r>
      <w:r>
        <w:tab/>
        <w:t>a registered mortgagee of a lot in the scheme;</w:t>
      </w:r>
    </w:p>
    <w:p>
      <w:pPr>
        <w:pStyle w:val="Indenta"/>
      </w:pPr>
      <w:r>
        <w:tab/>
        <w:t>(d)</w:t>
      </w:r>
      <w:r>
        <w:tab/>
        <w:t>for a leasehold scheme, the owner of the leasehold scheme.</w:t>
      </w:r>
    </w:p>
    <w:p>
      <w:pPr>
        <w:pStyle w:val="Subsection"/>
        <w:rPr>
          <w:snapToGrid w:val="0"/>
        </w:rPr>
      </w:pPr>
      <w:r>
        <w:rPr>
          <w:snapToGrid w:val="0"/>
        </w:rPr>
        <w:tab/>
        <w:t>(1)</w:t>
      </w:r>
      <w:r>
        <w:rPr>
          <w:snapToGrid w:val="0"/>
        </w:rPr>
        <w:tab/>
      </w:r>
      <w:r>
        <w:t>If part of a parcel subdivided by a survey</w:t>
      </w:r>
      <w:r>
        <w:noBreakHyphen/>
        <w:t>strata scheme is taken, the Tribunal may</w:t>
      </w:r>
      <w:r>
        <w:rPr>
          <w:snapToGrid w:val="0"/>
        </w:rPr>
        <w:t xml:space="preserv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 xml:space="preserve">Without limiting subsection (1), an order made under that subsection may include directions for any 1 or more of the following </w:t>
      </w:r>
      <w:r>
        <w:t>matters —</w:t>
      </w:r>
    </w:p>
    <w:p>
      <w:pPr>
        <w:pStyle w:val="Indenta"/>
        <w:spacing w:before="60"/>
        <w:rPr>
          <w:snapToGrid w:val="0"/>
        </w:rPr>
      </w:pPr>
      <w:r>
        <w:rPr>
          <w:snapToGrid w:val="0"/>
        </w:rPr>
        <w:tab/>
        <w:t>(a)</w:t>
      </w:r>
      <w:r>
        <w:rPr>
          <w:snapToGrid w:val="0"/>
        </w:rPr>
        <w:tab/>
        <w:t xml:space="preserve">the substitution for the existing schedule of unit </w:t>
      </w:r>
      <w:r>
        <w:t>entitlements of</w:t>
      </w:r>
      <w:r>
        <w:rPr>
          <w:snapToGrid w:val="0"/>
        </w:rPr>
        <w:t xml:space="preserve"> a new schedule of unit </w:t>
      </w:r>
      <w:r>
        <w:t>entitlements; and</w:t>
      </w:r>
    </w:p>
    <w:p>
      <w:pPr>
        <w:pStyle w:val="Indenta"/>
        <w:spacing w:before="60"/>
        <w:rPr>
          <w:snapToGrid w:val="0"/>
        </w:rPr>
      </w:pPr>
      <w:r>
        <w:rPr>
          <w:snapToGrid w:val="0"/>
        </w:rPr>
        <w:tab/>
        <w:t>(b)</w:t>
      </w:r>
      <w:r>
        <w:rPr>
          <w:snapToGrid w:val="0"/>
        </w:rPr>
        <w:tab/>
        <w:t xml:space="preserve">the payment of </w:t>
      </w:r>
      <w:r>
        <w:t>money</w:t>
      </w:r>
      <w:r>
        <w:rPr>
          <w:snapToGrid w:val="0"/>
        </w:rPr>
        <w:t xml:space="preserve"> to or by the strata company or </w:t>
      </w:r>
      <w:r>
        <w:t>the owner of a lot or, in the case of a leasehold scheme, the owner of the leasehold scheme; and</w:t>
      </w:r>
    </w:p>
    <w:p>
      <w:pPr>
        <w:pStyle w:val="Indenta"/>
        <w:spacing w:before="60"/>
        <w:rPr>
          <w:snapToGrid w:val="0"/>
        </w:rPr>
      </w:pPr>
      <w:r>
        <w:rPr>
          <w:snapToGrid w:val="0"/>
        </w:rPr>
        <w:tab/>
        <w:t>(c)</w:t>
      </w:r>
      <w:r>
        <w:rPr>
          <w:snapToGrid w:val="0"/>
        </w:rPr>
        <w:tab/>
        <w:t>the amendment of the survey</w:t>
      </w:r>
      <w:r>
        <w:rPr>
          <w:snapToGrid w:val="0"/>
        </w:rPr>
        <w:noBreakHyphen/>
        <w:t xml:space="preserve">strata plan, in such manner as the </w:t>
      </w:r>
      <w:r>
        <w:t>Tribunal</w:t>
      </w:r>
      <w:r>
        <w:rPr>
          <w:snapToGrid w:val="0"/>
        </w:rPr>
        <w:t xml:space="preserve"> thinks fit, so as to include any addition to the common property; and</w:t>
      </w:r>
    </w:p>
    <w:p>
      <w:pPr>
        <w:pStyle w:val="Indenta"/>
        <w:spacing w:before="60"/>
        <w:rPr>
          <w:snapToGrid w:val="0"/>
        </w:rPr>
      </w:pPr>
      <w:r>
        <w:rPr>
          <w:snapToGrid w:val="0"/>
        </w:rPr>
        <w:tab/>
        <w:t>(d)</w:t>
      </w:r>
      <w:r>
        <w:rPr>
          <w:snapToGrid w:val="0"/>
        </w:rPr>
        <w:tab/>
        <w:t xml:space="preserve">any matter in respect of which it is, in the opinion of the </w:t>
      </w:r>
      <w:r>
        <w:t>Tribunal</w:t>
      </w:r>
      <w:r>
        <w:rPr>
          <w:snapToGrid w:val="0"/>
        </w:rPr>
        <w:t>, just and equitable in the circumstances of the case to make provision in the order; and</w:t>
      </w:r>
    </w:p>
    <w:p>
      <w:pPr>
        <w:pStyle w:val="Indenta"/>
        <w:spacing w:before="60"/>
        <w:rPr>
          <w:snapToGrid w:val="0"/>
        </w:rPr>
      </w:pPr>
      <w:r>
        <w:rPr>
          <w:snapToGrid w:val="0"/>
        </w:rPr>
        <w:tab/>
        <w:t>(e)</w:t>
      </w:r>
      <w:r>
        <w:rPr>
          <w:snapToGrid w:val="0"/>
        </w:rPr>
        <w:tab/>
        <w:t xml:space="preserve">the imposition of such terms and conditions as the </w:t>
      </w:r>
      <w:r>
        <w:t>Tribunal</w:t>
      </w:r>
      <w:r>
        <w:rPr>
          <w:snapToGrid w:val="0"/>
        </w:rPr>
        <w:t xml:space="preserve"> thinks fit.</w:t>
      </w:r>
    </w:p>
    <w:p>
      <w:pPr>
        <w:pStyle w:val="Subsection"/>
        <w:spacing w:before="140"/>
        <w:rPr>
          <w:snapToGrid w:val="0"/>
        </w:rPr>
      </w:pPr>
      <w:r>
        <w:rPr>
          <w:snapToGrid w:val="0"/>
        </w:rPr>
        <w:tab/>
        <w:t>(3)</w:t>
      </w:r>
      <w:r>
        <w:rPr>
          <w:snapToGrid w:val="0"/>
        </w:rPr>
        <w:tab/>
        <w:t xml:space="preserve">The </w:t>
      </w:r>
      <w:r>
        <w:t xml:space="preserve">Tribunal </w:t>
      </w:r>
      <w:r>
        <w:rPr>
          <w:snapToGrid w:val="0"/>
        </w:rPr>
        <w:t>may amend an order made under this section.</w:t>
      </w:r>
    </w:p>
    <w:p>
      <w:pPr>
        <w:pStyle w:val="Ednotesubsection"/>
      </w:pPr>
      <w:r>
        <w:tab/>
        <w:t>[(4)-(5)</w:t>
      </w:r>
      <w:r>
        <w:tab/>
        <w:t>deleted]</w:t>
      </w:r>
    </w:p>
    <w:p>
      <w:pPr>
        <w:pStyle w:val="Footnotesection"/>
        <w:spacing w:before="100"/>
      </w:pPr>
      <w:r>
        <w:tab/>
        <w:t>[Section 168, formerly section 29A, inserted: No. 58 of 1995 s. 32; amended: No. 74 of 2003 s. 112(6); amended, renumbered as section 168 and relocated: No. 30 of 2018 s. 33 and 84.]</w:t>
      </w:r>
    </w:p>
    <w:p>
      <w:pPr>
        <w:pStyle w:val="Heading5"/>
        <w:rPr>
          <w:snapToGrid w:val="0"/>
        </w:rPr>
      </w:pPr>
      <w:bookmarkStart w:id="568" w:name="_Toc106986805"/>
      <w:bookmarkStart w:id="569" w:name="_Toc100565103"/>
      <w:r>
        <w:rPr>
          <w:rStyle w:val="CharSectno"/>
        </w:rPr>
        <w:t>169</w:t>
      </w:r>
      <w:r>
        <w:rPr>
          <w:snapToGrid w:val="0"/>
        </w:rPr>
        <w:t>.</w:t>
      </w:r>
      <w:r>
        <w:rPr>
          <w:snapToGrid w:val="0"/>
        </w:rPr>
        <w:tab/>
        <w:t>Acquiring authority to lodge redefining plan after partial taking</w:t>
      </w:r>
      <w:bookmarkEnd w:id="568"/>
      <w:bookmarkEnd w:id="569"/>
    </w:p>
    <w:p>
      <w:pPr>
        <w:pStyle w:val="Subsection"/>
        <w:spacing w:before="140"/>
        <w:rPr>
          <w:snapToGrid w:val="0"/>
          <w:spacing w:val="-4"/>
        </w:rPr>
      </w:pPr>
      <w:r>
        <w:rPr>
          <w:snapToGrid w:val="0"/>
          <w:spacing w:val="-4"/>
        </w:rPr>
        <w:tab/>
        <w:t>(1)</w:t>
      </w:r>
      <w:r>
        <w:rPr>
          <w:snapToGrid w:val="0"/>
          <w:spacing w:val="-4"/>
        </w:rPr>
        <w:tab/>
      </w:r>
      <w:r>
        <w:t xml:space="preserve">If </w:t>
      </w:r>
      <w:r>
        <w:rPr>
          <w:snapToGrid w:val="0"/>
          <w:spacing w:val="-4"/>
        </w:rPr>
        <w:t xml:space="preserve">part of </w:t>
      </w:r>
      <w:r>
        <w:t xml:space="preserve">a parcel subdivided by a strata titles scheme is taken, </w:t>
      </w:r>
      <w:r>
        <w:rPr>
          <w:snapToGrid w:val="0"/>
          <w:spacing w:val="-4"/>
        </w:rPr>
        <w:t xml:space="preserve">the </w:t>
      </w:r>
      <w:r>
        <w:t>acquiring</w:t>
      </w:r>
      <w:r>
        <w:rPr>
          <w:snapToGrid w:val="0"/>
          <w:spacing w:val="-4"/>
        </w:rPr>
        <w:t xml:space="preserve"> authority </w:t>
      </w:r>
      <w:r>
        <w:t>must,</w:t>
      </w:r>
      <w:r>
        <w:rPr>
          <w:snapToGrid w:val="0"/>
          <w:spacing w:val="-4"/>
        </w:rPr>
        <w:t xml:space="preserve"> as soon as is practicable after the </w:t>
      </w:r>
      <w:r>
        <w:rPr>
          <w:snapToGrid w:val="0"/>
        </w:rPr>
        <w:t xml:space="preserve">taking </w:t>
      </w:r>
      <w:r>
        <w:rPr>
          <w:snapToGrid w:val="0"/>
          <w:spacing w:val="-4"/>
        </w:rPr>
        <w:t xml:space="preserve">takes effect, cause to be prepared and lodged with the Registrar of Titles a plan that complies with </w:t>
      </w:r>
      <w:r>
        <w:t xml:space="preserve">requirements specified in the regulations (the </w:t>
      </w:r>
      <w:r>
        <w:rPr>
          <w:rStyle w:val="CharDefText"/>
        </w:rPr>
        <w:t>redefining plan</w:t>
      </w:r>
      <w:r>
        <w:t>).</w:t>
      </w:r>
    </w:p>
    <w:p>
      <w:pPr>
        <w:pStyle w:val="Subsection"/>
      </w:pPr>
      <w:r>
        <w:tab/>
        <w:t>(2)</w:t>
      </w:r>
      <w:r>
        <w:tab/>
        <w:t>On registration of the redefining plan —</w:t>
      </w:r>
    </w:p>
    <w:p>
      <w:pPr>
        <w:pStyle w:val="Indenta"/>
      </w:pPr>
      <w:r>
        <w:tab/>
        <w:t>(a)</w:t>
      </w:r>
      <w:r>
        <w:tab/>
        <w:t>the redefining plan is taken to be part of the scheme plan as previously registered; and</w:t>
      </w:r>
    </w:p>
    <w:p>
      <w:pPr>
        <w:pStyle w:val="Indenta"/>
      </w:pPr>
      <w:r>
        <w:tab/>
        <w:t>(b)</w:t>
      </w:r>
      <w:r>
        <w:tab/>
        <w:t>the Registrar of Titles must amend the registered scheme plan in the manner specified in the regulations.</w:t>
      </w:r>
    </w:p>
    <w:p>
      <w:pPr>
        <w:pStyle w:val="Ednotesubsection"/>
        <w:keepNext/>
      </w:pPr>
      <w:r>
        <w:tab/>
        <w:t>[(3)</w:t>
      </w:r>
      <w:r>
        <w:tab/>
        <w:t>deleted]</w:t>
      </w:r>
    </w:p>
    <w:p>
      <w:pPr>
        <w:pStyle w:val="Subsection"/>
        <w:keepNext/>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if the land is taken for the purposes of a local government, the local government.</w:t>
      </w:r>
    </w:p>
    <w:p>
      <w:pPr>
        <w:pStyle w:val="Footnotesection"/>
        <w:spacing w:before="80"/>
        <w:ind w:left="890" w:hanging="890"/>
      </w:pPr>
      <w:r>
        <w:tab/>
        <w:t>[Section 169, formerly section 29B, inserted: No. 58 of 1995 s. 32; amended: No. 74 of 2003 s. 112(5)</w:t>
      </w:r>
      <w:r>
        <w:noBreakHyphen/>
        <w:t>(8); amended, re renumbered as section 169 and relocated: No. 30 of 2018 s. 34 and 84.]</w:t>
      </w:r>
    </w:p>
    <w:p>
      <w:pPr>
        <w:pStyle w:val="Heading3"/>
      </w:pPr>
      <w:bookmarkStart w:id="570" w:name="_Toc106986370"/>
      <w:bookmarkStart w:id="571" w:name="_Toc106986806"/>
      <w:bookmarkStart w:id="572" w:name="_Toc100308384"/>
      <w:bookmarkStart w:id="573" w:name="_Toc100308820"/>
      <w:bookmarkStart w:id="574" w:name="_Toc100565104"/>
      <w:r>
        <w:rPr>
          <w:rStyle w:val="CharDivNo"/>
        </w:rPr>
        <w:t>Division 3</w:t>
      </w:r>
      <w:r>
        <w:t> — </w:t>
      </w:r>
      <w:r>
        <w:rPr>
          <w:rStyle w:val="CharDivText"/>
        </w:rPr>
        <w:t>Notice of applications</w:t>
      </w:r>
      <w:bookmarkEnd w:id="570"/>
      <w:bookmarkEnd w:id="571"/>
      <w:bookmarkEnd w:id="572"/>
      <w:bookmarkEnd w:id="573"/>
      <w:bookmarkEnd w:id="574"/>
    </w:p>
    <w:p>
      <w:pPr>
        <w:pStyle w:val="Footnoteheading"/>
      </w:pPr>
      <w:r>
        <w:tab/>
        <w:t>[Heading inserted: No. 30 of 2018 s. 83.]</w:t>
      </w:r>
    </w:p>
    <w:p>
      <w:pPr>
        <w:pStyle w:val="Heading5"/>
        <w:rPr>
          <w:snapToGrid w:val="0"/>
        </w:rPr>
      </w:pPr>
      <w:bookmarkStart w:id="575" w:name="_Toc106986807"/>
      <w:bookmarkStart w:id="576" w:name="_Toc100565105"/>
      <w:r>
        <w:rPr>
          <w:rStyle w:val="CharSectno"/>
        </w:rPr>
        <w:t>170</w:t>
      </w:r>
      <w:r>
        <w:rPr>
          <w:snapToGrid w:val="0"/>
        </w:rPr>
        <w:t>.</w:t>
      </w:r>
      <w:r>
        <w:rPr>
          <w:snapToGrid w:val="0"/>
        </w:rPr>
        <w:tab/>
        <w:t>Notice of application for order under section 166, 167 or 168</w:t>
      </w:r>
      <w:bookmarkEnd w:id="575"/>
      <w:bookmarkEnd w:id="576"/>
    </w:p>
    <w:p>
      <w:pPr>
        <w:pStyle w:val="Subsection"/>
        <w:rPr>
          <w:snapToGrid w:val="0"/>
        </w:rPr>
      </w:pPr>
      <w:r>
        <w:rPr>
          <w:snapToGrid w:val="0"/>
        </w:rPr>
        <w:tab/>
        <w:t>(1)</w:t>
      </w:r>
      <w:r>
        <w:rPr>
          <w:snapToGrid w:val="0"/>
        </w:rPr>
        <w:tab/>
        <w:t>The Tribunal may, in proceedings on an application for an order under section 166, 167 or 168,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the rules of the Tribunal, the Tribunal must not make an order referred to in subsection (1)(b) in respect of a person unless the Tribunal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keepNext/>
        <w:spacing w:before="60"/>
        <w:rPr>
          <w:snapToGrid w:val="0"/>
          <w:spacing w:val="-4"/>
        </w:rPr>
      </w:pPr>
      <w:r>
        <w:rPr>
          <w:snapToGrid w:val="0"/>
          <w:spacing w:val="-4"/>
        </w:rPr>
        <w:tab/>
        <w:t>(c)</w:t>
      </w:r>
      <w:r>
        <w:rPr>
          <w:snapToGrid w:val="0"/>
          <w:spacing w:val="-4"/>
        </w:rPr>
        <w:tab/>
        <w:t xml:space="preserve">service cannot be effected </w:t>
      </w:r>
      <w:r>
        <w:rPr>
          <w:snapToGrid w:val="0"/>
        </w:rPr>
        <w:t>on</w:t>
      </w:r>
      <w:r>
        <w:rPr>
          <w:snapToGrid w:val="0"/>
          <w:spacing w:val="-4"/>
        </w:rPr>
        <w:t xml:space="preserve"> that person without expense disproportional to the value, if any, of </w:t>
      </w:r>
      <w:r>
        <w:rPr>
          <w:snapToGrid w:val="0"/>
        </w:rPr>
        <w:t>the person’s</w:t>
      </w:r>
      <w:r>
        <w:rPr>
          <w:snapToGrid w:val="0"/>
          <w:spacing w:val="-4"/>
        </w:rPr>
        <w:t xml:space="preserve"> interest.</w:t>
      </w:r>
    </w:p>
    <w:p>
      <w:pPr>
        <w:pStyle w:val="Footnotesection"/>
        <w:spacing w:before="80"/>
        <w:ind w:left="890" w:hanging="890"/>
      </w:pPr>
      <w:r>
        <w:tab/>
        <w:t>[Section 170, formerly section 124, amended: No. 58 of 1995 s. 82 and 93(1); amended, renumbered as section 170 and relocated: No. 30 of 2018 s. 75 and 84.]</w:t>
      </w:r>
    </w:p>
    <w:p>
      <w:pPr>
        <w:pStyle w:val="Heading2"/>
      </w:pPr>
      <w:bookmarkStart w:id="577" w:name="_Toc106986372"/>
      <w:bookmarkStart w:id="578" w:name="_Toc106986808"/>
      <w:bookmarkStart w:id="579" w:name="_Toc100308386"/>
      <w:bookmarkStart w:id="580" w:name="_Toc100308822"/>
      <w:bookmarkStart w:id="581" w:name="_Toc100565106"/>
      <w:r>
        <w:rPr>
          <w:rStyle w:val="CharPartNo"/>
        </w:rPr>
        <w:t>Part 12</w:t>
      </w:r>
      <w:r>
        <w:rPr>
          <w:b w:val="0"/>
        </w:rPr>
        <w:t> </w:t>
      </w:r>
      <w:r>
        <w:t>—</w:t>
      </w:r>
      <w:r>
        <w:rPr>
          <w:b w:val="0"/>
        </w:rPr>
        <w:t> </w:t>
      </w:r>
      <w:r>
        <w:rPr>
          <w:rStyle w:val="CharPartText"/>
        </w:rPr>
        <w:t>Termination of strata titles scheme</w:t>
      </w:r>
      <w:bookmarkEnd w:id="577"/>
      <w:bookmarkEnd w:id="578"/>
      <w:bookmarkEnd w:id="579"/>
      <w:bookmarkEnd w:id="580"/>
      <w:bookmarkEnd w:id="581"/>
    </w:p>
    <w:p>
      <w:pPr>
        <w:pStyle w:val="Footnoteheading"/>
      </w:pPr>
      <w:r>
        <w:tab/>
        <w:t>[Heading inserted: No. 30 of 2018 s. 83.]</w:t>
      </w:r>
    </w:p>
    <w:p>
      <w:pPr>
        <w:pStyle w:val="Heading3"/>
      </w:pPr>
      <w:bookmarkStart w:id="582" w:name="_Toc106986373"/>
      <w:bookmarkStart w:id="583" w:name="_Toc106986809"/>
      <w:bookmarkStart w:id="584" w:name="_Toc100308387"/>
      <w:bookmarkStart w:id="585" w:name="_Toc100308823"/>
      <w:bookmarkStart w:id="586" w:name="_Toc100565107"/>
      <w:r>
        <w:rPr>
          <w:rStyle w:val="CharDivNo"/>
        </w:rPr>
        <w:t>Division 1</w:t>
      </w:r>
      <w:r>
        <w:t> — </w:t>
      </w:r>
      <w:r>
        <w:rPr>
          <w:rStyle w:val="CharDivText"/>
        </w:rPr>
        <w:t>Introduction</w:t>
      </w:r>
      <w:bookmarkEnd w:id="582"/>
      <w:bookmarkEnd w:id="583"/>
      <w:bookmarkEnd w:id="584"/>
      <w:bookmarkEnd w:id="585"/>
      <w:bookmarkEnd w:id="586"/>
    </w:p>
    <w:p>
      <w:pPr>
        <w:pStyle w:val="Footnoteheading"/>
      </w:pPr>
      <w:r>
        <w:tab/>
        <w:t>[Heading inserted: No. 30 of 2018 s. 83.]</w:t>
      </w:r>
    </w:p>
    <w:p>
      <w:pPr>
        <w:pStyle w:val="Heading5"/>
      </w:pPr>
      <w:bookmarkStart w:id="587" w:name="_Toc106986810"/>
      <w:bookmarkStart w:id="588" w:name="_Toc100565108"/>
      <w:r>
        <w:rPr>
          <w:rStyle w:val="CharSectno"/>
        </w:rPr>
        <w:t>171</w:t>
      </w:r>
      <w:r>
        <w:t>.</w:t>
      </w:r>
      <w:r>
        <w:tab/>
        <w:t>Forms of termination</w:t>
      </w:r>
      <w:bookmarkEnd w:id="587"/>
      <w:bookmarkEnd w:id="588"/>
    </w:p>
    <w:p>
      <w:pPr>
        <w:pStyle w:val="Subsection"/>
      </w:pPr>
      <w:r>
        <w:tab/>
        <w:t>(1)</w:t>
      </w:r>
      <w:r>
        <w:tab/>
        <w:t>A strata titles scheme terminates (as set out in Division 6) as follows —</w:t>
      </w:r>
    </w:p>
    <w:p>
      <w:pPr>
        <w:pStyle w:val="Indenta"/>
      </w:pPr>
      <w:r>
        <w:tab/>
        <w:t>(a)</w:t>
      </w:r>
      <w:r>
        <w:tab/>
        <w:t>a leasehold scheme terminates on the expiry day for the scheme as referred to in Division 2;</w:t>
      </w:r>
    </w:p>
    <w:p>
      <w:pPr>
        <w:pStyle w:val="Indenta"/>
      </w:pPr>
      <w:r>
        <w:tab/>
        <w:t>(b)</w:t>
      </w:r>
      <w:r>
        <w:tab/>
        <w:t>a leasehold or freehold scheme terminates —</w:t>
      </w:r>
    </w:p>
    <w:p>
      <w:pPr>
        <w:pStyle w:val="Indenti"/>
      </w:pPr>
      <w:r>
        <w:tab/>
        <w:t>(i)</w:t>
      </w:r>
      <w:r>
        <w:tab/>
        <w:t>if there is a termination proposal and the process referred to in Division 3 is followed; or</w:t>
      </w:r>
    </w:p>
    <w:p>
      <w:pPr>
        <w:pStyle w:val="Indenti"/>
      </w:pPr>
      <w:r>
        <w:tab/>
        <w:t>(ii)</w:t>
      </w:r>
      <w:r>
        <w:tab/>
        <w:t>if all lots in the scheme are owned by the same person and the process referred to in Division 4 is followed.</w:t>
      </w:r>
    </w:p>
    <w:p>
      <w:pPr>
        <w:pStyle w:val="Subsection"/>
      </w:pPr>
      <w:r>
        <w:tab/>
        <w:t>(2)</w:t>
      </w:r>
      <w:r>
        <w:tab/>
        <w:t>Divisions 5 and 6 contain provisions relevant to the forms of termination of a strata titles scheme set out in Divisions 2, 3 and 4.</w:t>
      </w:r>
    </w:p>
    <w:p>
      <w:pPr>
        <w:pStyle w:val="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Footnotesection"/>
      </w:pPr>
      <w:r>
        <w:tab/>
        <w:t>[Section 171 inserted: No. 30 of 2018 s. 83.]</w:t>
      </w:r>
    </w:p>
    <w:p>
      <w:pPr>
        <w:pStyle w:val="Heading3"/>
      </w:pPr>
      <w:bookmarkStart w:id="589" w:name="_Toc106986375"/>
      <w:bookmarkStart w:id="590" w:name="_Toc106986811"/>
      <w:bookmarkStart w:id="591" w:name="_Toc100308389"/>
      <w:bookmarkStart w:id="592" w:name="_Toc100308825"/>
      <w:bookmarkStart w:id="593" w:name="_Toc100565109"/>
      <w:r>
        <w:rPr>
          <w:rStyle w:val="CharDivNo"/>
        </w:rPr>
        <w:t>Division 2</w:t>
      </w:r>
      <w:r>
        <w:t> — </w:t>
      </w:r>
      <w:r>
        <w:rPr>
          <w:rStyle w:val="CharDivText"/>
        </w:rPr>
        <w:t>Expiry of leasehold scheme</w:t>
      </w:r>
      <w:bookmarkEnd w:id="589"/>
      <w:bookmarkEnd w:id="590"/>
      <w:bookmarkEnd w:id="591"/>
      <w:bookmarkEnd w:id="592"/>
      <w:bookmarkEnd w:id="593"/>
    </w:p>
    <w:p>
      <w:pPr>
        <w:pStyle w:val="Footnoteheading"/>
      </w:pPr>
      <w:r>
        <w:tab/>
        <w:t>[Heading inserted: No. 30 of 2018 s. 83.]</w:t>
      </w:r>
    </w:p>
    <w:p>
      <w:pPr>
        <w:pStyle w:val="Heading5"/>
      </w:pPr>
      <w:bookmarkStart w:id="594" w:name="_Toc106986812"/>
      <w:bookmarkStart w:id="595" w:name="_Toc100565110"/>
      <w:r>
        <w:rPr>
          <w:rStyle w:val="CharSectno"/>
        </w:rPr>
        <w:t>172</w:t>
      </w:r>
      <w:r>
        <w:t>.</w:t>
      </w:r>
      <w:r>
        <w:tab/>
        <w:t>Notification of expiry</w:t>
      </w:r>
      <w:bookmarkEnd w:id="594"/>
      <w:bookmarkEnd w:id="595"/>
    </w:p>
    <w:p>
      <w:pPr>
        <w:pStyle w:val="Subsection"/>
      </w:pPr>
      <w:r>
        <w:tab/>
        <w:t>(1)</w:t>
      </w:r>
      <w:r>
        <w:tab/>
        <w:t>The owner of a leasehold scheme must, at least 1 month before the expiry of the scheme, lodge with the Registrar of Titles notice, in the approved form, of the impending expiry of the leasehold scheme.</w:t>
      </w:r>
    </w:p>
    <w:p>
      <w:pPr>
        <w:pStyle w:val="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PermNoteHeading"/>
      </w:pPr>
      <w:r>
        <w:tab/>
        <w:t>Note for this section:</w:t>
      </w:r>
    </w:p>
    <w:p>
      <w:pPr>
        <w:pStyle w:val="PermNoteText"/>
      </w:pPr>
      <w:r>
        <w:tab/>
      </w:r>
      <w:r>
        <w:tab/>
        <w:t>Expiry of a leasehold scheme does not require an approval of a subdivision of land as the expiry is approved as part of the process of initial subdivision by the scheme.</w:t>
      </w:r>
    </w:p>
    <w:p>
      <w:pPr>
        <w:pStyle w:val="Footnotesection"/>
      </w:pPr>
      <w:r>
        <w:tab/>
        <w:t>[Section 172 inserted: No. 30 of 2018 s. 83.]</w:t>
      </w:r>
    </w:p>
    <w:p>
      <w:pPr>
        <w:pStyle w:val="Heading3"/>
      </w:pPr>
      <w:bookmarkStart w:id="596" w:name="_Toc106986377"/>
      <w:bookmarkStart w:id="597" w:name="_Toc106986813"/>
      <w:bookmarkStart w:id="598" w:name="_Toc100308391"/>
      <w:bookmarkStart w:id="599" w:name="_Toc100308827"/>
      <w:bookmarkStart w:id="600" w:name="_Toc100565111"/>
      <w:r>
        <w:rPr>
          <w:rStyle w:val="CharDivNo"/>
        </w:rPr>
        <w:t>Division 3</w:t>
      </w:r>
      <w:r>
        <w:t> — </w:t>
      </w:r>
      <w:r>
        <w:rPr>
          <w:rStyle w:val="CharDivText"/>
        </w:rPr>
        <w:t>Termination proposal</w:t>
      </w:r>
      <w:bookmarkEnd w:id="596"/>
      <w:bookmarkEnd w:id="597"/>
      <w:bookmarkEnd w:id="598"/>
      <w:bookmarkEnd w:id="599"/>
      <w:bookmarkEnd w:id="600"/>
    </w:p>
    <w:p>
      <w:pPr>
        <w:pStyle w:val="Footnoteheading"/>
      </w:pPr>
      <w:r>
        <w:tab/>
        <w:t>[Heading inserted: No. 30 of 2018 s. 83.]</w:t>
      </w:r>
    </w:p>
    <w:p>
      <w:pPr>
        <w:pStyle w:val="Heading5"/>
      </w:pPr>
      <w:bookmarkStart w:id="601" w:name="_Toc106986814"/>
      <w:bookmarkStart w:id="602" w:name="_Toc100565112"/>
      <w:r>
        <w:rPr>
          <w:rStyle w:val="CharSectno"/>
        </w:rPr>
        <w:t>173</w:t>
      </w:r>
      <w:r>
        <w:t>.</w:t>
      </w:r>
      <w:r>
        <w:tab/>
        <w:t>Proponent</w:t>
      </w:r>
      <w:bookmarkEnd w:id="601"/>
      <w:bookmarkEnd w:id="602"/>
    </w:p>
    <w:p>
      <w:pPr>
        <w:pStyle w:val="Subsection"/>
      </w:pPr>
      <w:r>
        <w:tab/>
      </w:r>
      <w:r>
        <w:tab/>
        <w:t xml:space="preserve">The termination of a strata titles scheme may be proposed by a person (the </w:t>
      </w:r>
      <w:r>
        <w:rPr>
          <w:rStyle w:val="CharDefText"/>
        </w:rPr>
        <w:t>proponent</w:t>
      </w:r>
      <w:r>
        <w:t>) who is —</w:t>
      </w:r>
    </w:p>
    <w:p>
      <w:pPr>
        <w:pStyle w:val="Indenta"/>
      </w:pPr>
      <w:r>
        <w:tab/>
        <w:t>(a)</w:t>
      </w:r>
      <w:r>
        <w:tab/>
        <w:t>the owner of a lot in the strata titles scheme; or</w:t>
      </w:r>
    </w:p>
    <w:p>
      <w:pPr>
        <w:pStyle w:val="Indenta"/>
      </w:pPr>
      <w:r>
        <w:tab/>
        <w:t>(b)</w:t>
      </w:r>
      <w:r>
        <w:tab/>
        <w:t>a person who has a contractual right to purchase a lot in the strata titles scheme; or</w:t>
      </w:r>
    </w:p>
    <w:p>
      <w:pPr>
        <w:pStyle w:val="Indenta"/>
      </w:pPr>
      <w:r>
        <w:tab/>
        <w:t>(c)</w:t>
      </w:r>
      <w:r>
        <w:tab/>
        <w:t>a body corporate formed by 2 or more such persons.</w:t>
      </w:r>
    </w:p>
    <w:p>
      <w:pPr>
        <w:pStyle w:val="Footnotesection"/>
      </w:pPr>
      <w:r>
        <w:tab/>
        <w:t>[Section 173 inserted: No. 30 of 2018 s. 83.]</w:t>
      </w:r>
    </w:p>
    <w:p>
      <w:pPr>
        <w:pStyle w:val="Heading5"/>
      </w:pPr>
      <w:bookmarkStart w:id="603" w:name="_Toc106986815"/>
      <w:bookmarkStart w:id="604" w:name="_Toc100565113"/>
      <w:r>
        <w:rPr>
          <w:rStyle w:val="CharSectno"/>
        </w:rPr>
        <w:t>174</w:t>
      </w:r>
      <w:r>
        <w:t>.</w:t>
      </w:r>
      <w:r>
        <w:tab/>
        <w:t>Outline of termination proposal</w:t>
      </w:r>
      <w:bookmarkEnd w:id="603"/>
      <w:bookmarkEnd w:id="604"/>
    </w:p>
    <w:p>
      <w:pPr>
        <w:pStyle w:val="Subsection"/>
      </w:pPr>
      <w:r>
        <w:tab/>
        <w:t>(1)</w:t>
      </w:r>
      <w:r>
        <w:tab/>
        <w:t xml:space="preserve">The proponent of a proposal to terminate a strata titles scheme (a </w:t>
      </w:r>
      <w:r>
        <w:rPr>
          <w:rStyle w:val="CharDefText"/>
        </w:rPr>
        <w:t>termination proposal</w:t>
      </w:r>
      <w:r>
        <w:t>) must submit an outline of the proposal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an outline of a termination proposal cannot be submitted to a strata company or owner of a leasehold scheme —</w:t>
      </w:r>
    </w:p>
    <w:p>
      <w:pPr>
        <w:pStyle w:val="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Indenta"/>
      </w:pPr>
      <w:r>
        <w:tab/>
        <w:t>(b)</w:t>
      </w:r>
      <w:r>
        <w:tab/>
        <w:t>during any period (not exceeding 12 months) for which the strata company has, by ordinary resolution, prohibited termination proposals being submitted to it; or</w:t>
      </w:r>
    </w:p>
    <w:p>
      <w:pPr>
        <w:pStyle w:val="Indenta"/>
      </w:pPr>
      <w:r>
        <w:tab/>
        <w:t>(c)</w:t>
      </w:r>
      <w:r>
        <w:tab/>
        <w:t>during any period for which the Tribunal has, on application by the strata company or the owner of the leasehold scheme, prohibited termination proposals being submitted.</w:t>
      </w:r>
    </w:p>
    <w:p>
      <w:pPr>
        <w:pStyle w:val="Subsection"/>
      </w:pPr>
      <w:r>
        <w:tab/>
        <w:t>(3)</w:t>
      </w:r>
      <w:r>
        <w:tab/>
        <w:t>A strata company to which an outline of a termination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of a lot in the strata titles scheme; or</w:t>
      </w:r>
    </w:p>
    <w:p>
      <w:pPr>
        <w:pStyle w:val="Indenti"/>
      </w:pPr>
      <w:r>
        <w:tab/>
        <w:t>(ii)</w:t>
      </w:r>
      <w:r>
        <w:tab/>
        <w:t>a registered mortgagee of a lot in the strata titles scheme;</w:t>
      </w:r>
    </w:p>
    <w:p>
      <w:pPr>
        <w:pStyle w:val="Indenta"/>
      </w:pPr>
      <w:r>
        <w:tab/>
      </w:r>
      <w:r>
        <w:tab/>
        <w:t>and</w:t>
      </w:r>
    </w:p>
    <w:p>
      <w:pPr>
        <w:pStyle w:val="Indenta"/>
      </w:pPr>
      <w:r>
        <w:tab/>
        <w:t>(b)</w:t>
      </w:r>
      <w:r>
        <w:tab/>
        <w:t>lodge with the Registrar of Titles notice of receipt of the outline in the approved form.</w:t>
      </w:r>
    </w:p>
    <w:p>
      <w:pPr>
        <w:pStyle w:val="Subsection"/>
      </w:pPr>
      <w:r>
        <w:tab/>
        <w:t>(4)</w:t>
      </w:r>
      <w:r>
        <w:tab/>
        <w:t>The strata company must, on completion of the requirements under subsection (3), give written notice of that fact to the proponent of the termination proposal.</w:t>
      </w:r>
    </w:p>
    <w:p>
      <w:pPr>
        <w:pStyle w:val="Subsection"/>
      </w:pPr>
      <w:r>
        <w:tab/>
        <w:t>(5)</w:t>
      </w:r>
      <w:r>
        <w:tab/>
        <w:t>Any modification of an outline of a termination proposal proposed by the proponent of the proposal must be submitted and served in the same manner as for the outline.</w:t>
      </w:r>
    </w:p>
    <w:p>
      <w:pPr>
        <w:pStyle w:val="Footnotesection"/>
      </w:pPr>
      <w:r>
        <w:tab/>
        <w:t>[Section 174 inserted: No. 30 of 2018 s. 83.]</w:t>
      </w:r>
    </w:p>
    <w:p>
      <w:pPr>
        <w:pStyle w:val="Heading5"/>
      </w:pPr>
      <w:bookmarkStart w:id="605" w:name="_Toc106986816"/>
      <w:bookmarkStart w:id="606" w:name="_Toc100565114"/>
      <w:r>
        <w:rPr>
          <w:rStyle w:val="CharSectno"/>
        </w:rPr>
        <w:t>175</w:t>
      </w:r>
      <w:r>
        <w:t>.</w:t>
      </w:r>
      <w:r>
        <w:tab/>
        <w:t>Content of outline of termination proposal</w:t>
      </w:r>
      <w:bookmarkEnd w:id="605"/>
      <w:bookmarkEnd w:id="606"/>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strata titles scheme proposed to be terminated; and</w:t>
      </w:r>
    </w:p>
    <w:p>
      <w:pPr>
        <w:pStyle w:val="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Indenta"/>
      </w:pPr>
      <w:r>
        <w:tab/>
        <w:t>(d)</w:t>
      </w:r>
      <w:r>
        <w:tab/>
        <w:t>describe, in general terms, any proposals for contracts to be offered to owners of lots in the strata titles scheme; and</w:t>
      </w:r>
    </w:p>
    <w:p>
      <w:pPr>
        <w:pStyle w:val="Indenta"/>
      </w:pPr>
      <w:r>
        <w:tab/>
        <w:t>(e)</w:t>
      </w:r>
      <w:r>
        <w:tab/>
        <w:t>describe, in general terms, what is proposed in terms of subdivision and development of the land following termination of the strata titles scheme; and</w:t>
      </w:r>
    </w:p>
    <w:p>
      <w:pPr>
        <w:pStyle w:val="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strata titles scheme under this Division; and</w:t>
      </w:r>
    </w:p>
    <w:p>
      <w:pPr>
        <w:pStyle w:val="Indenta"/>
      </w:pPr>
      <w:r>
        <w:tab/>
        <w:t>(i)</w:t>
      </w:r>
      <w:r>
        <w:tab/>
        <w:t>provide, in accordance with the regulations, details of proposed arrangements for obtaining independent advice or representation referred to in section 190;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Footnotesection"/>
      </w:pPr>
      <w:r>
        <w:tab/>
        <w:t>[Section 175 inserted: No. 30 of 2018 s. 83.]</w:t>
      </w:r>
    </w:p>
    <w:p>
      <w:pPr>
        <w:pStyle w:val="Heading5"/>
      </w:pPr>
      <w:bookmarkStart w:id="607" w:name="_Toc106986817"/>
      <w:bookmarkStart w:id="608" w:name="_Toc100565115"/>
      <w:r>
        <w:rPr>
          <w:rStyle w:val="CharSectno"/>
        </w:rPr>
        <w:t>176</w:t>
      </w:r>
      <w:r>
        <w:t>.</w:t>
      </w:r>
      <w:r>
        <w:tab/>
        <w:t>Ordinary resolution and support of owner of leasehold scheme required to proceed further</w:t>
      </w:r>
      <w:bookmarkEnd w:id="607"/>
      <w:bookmarkEnd w:id="608"/>
    </w:p>
    <w:p>
      <w:pPr>
        <w:pStyle w:val="Subsection"/>
      </w:pPr>
      <w:r>
        <w:tab/>
        <w:t>(1)</w:t>
      </w:r>
      <w:r>
        <w:tab/>
        <w:t>A termination proposal can only proceed further if, within 3 months after an outline of the proposal has been submitted as required under section 174 —</w:t>
      </w:r>
    </w:p>
    <w:p>
      <w:pPr>
        <w:pStyle w:val="Indenta"/>
      </w:pPr>
      <w:r>
        <w:tab/>
        <w:t>(a)</w:t>
      </w:r>
      <w:r>
        <w:tab/>
        <w:t>for a freehold scheme — the strata company passes an ordinary resolution supporting consideration of a full proposal; and</w:t>
      </w:r>
    </w:p>
    <w:p>
      <w:pPr>
        <w:pStyle w:val="Indenta"/>
      </w:pPr>
      <w:r>
        <w:tab/>
        <w:t>(b)</w:t>
      </w:r>
      <w:r>
        <w:tab/>
        <w:t>for a leasehold scheme —</w:t>
      </w:r>
    </w:p>
    <w:p>
      <w:pPr>
        <w:pStyle w:val="Indenti"/>
      </w:pPr>
      <w:r>
        <w:tab/>
        <w:t>(i)</w:t>
      </w:r>
      <w:r>
        <w:tab/>
        <w:t>the owner of the leasehold scheme gives written notice to the strata company supporting consideration of a full proposal; and</w:t>
      </w:r>
    </w:p>
    <w:p>
      <w:pPr>
        <w:pStyle w:val="Indenti"/>
      </w:pPr>
      <w:r>
        <w:tab/>
        <w:t>(ii)</w:t>
      </w:r>
      <w:r>
        <w:tab/>
        <w:t>the strata company passes an ordinary resolution supporting consideration of a full proposal.</w:t>
      </w:r>
    </w:p>
    <w:p>
      <w:pPr>
        <w:pStyle w:val="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Footnotesection"/>
      </w:pPr>
      <w:r>
        <w:tab/>
        <w:t>[Section 176 inserted: No. 30 of 2018 s. 83.]</w:t>
      </w:r>
    </w:p>
    <w:p>
      <w:pPr>
        <w:pStyle w:val="Heading5"/>
      </w:pPr>
      <w:bookmarkStart w:id="609" w:name="_Toc106986818"/>
      <w:bookmarkStart w:id="610" w:name="_Toc100565116"/>
      <w:r>
        <w:rPr>
          <w:rStyle w:val="CharSectno"/>
        </w:rPr>
        <w:t>177</w:t>
      </w:r>
      <w:r>
        <w:t>.</w:t>
      </w:r>
      <w:r>
        <w:tab/>
        <w:t>Approval of plan of subdivision</w:t>
      </w:r>
      <w:bookmarkEnd w:id="609"/>
      <w:bookmarkEnd w:id="610"/>
    </w:p>
    <w:p>
      <w:pPr>
        <w:pStyle w:val="Subsection"/>
      </w:pPr>
      <w:r>
        <w:tab/>
        <w:t>(1)</w:t>
      </w:r>
      <w:r>
        <w:tab/>
        <w:t>If the requirements of section 176 are met and a termination proposal can proceed further —</w:t>
      </w:r>
    </w:p>
    <w:p>
      <w:pPr>
        <w:pStyle w:val="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Indenta"/>
      </w:pPr>
      <w:r>
        <w:tab/>
        <w:t>(b)</w:t>
      </w:r>
      <w:r>
        <w:tab/>
        <w:t xml:space="preserve">the owner of the land is taken to have consented to the proponent making the application under the </w:t>
      </w:r>
      <w:r>
        <w:rPr>
          <w:i/>
        </w:rPr>
        <w:t>Planning and Development Act 2005</w:t>
      </w:r>
      <w:r>
        <w:t>.</w:t>
      </w:r>
    </w:p>
    <w:p>
      <w:pPr>
        <w:pStyle w:val="Subsection"/>
      </w:pPr>
      <w:r>
        <w:tab/>
        <w:t>(2)</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Footnotesection"/>
      </w:pPr>
      <w:r>
        <w:tab/>
        <w:t>[Section 177 inserted: No. 30 of 2018 s. 83.]</w:t>
      </w:r>
    </w:p>
    <w:p>
      <w:pPr>
        <w:pStyle w:val="Heading5"/>
      </w:pPr>
      <w:bookmarkStart w:id="611" w:name="_Toc106986819"/>
      <w:bookmarkStart w:id="612" w:name="_Toc100565117"/>
      <w:r>
        <w:rPr>
          <w:rStyle w:val="CharSectno"/>
        </w:rPr>
        <w:t>178</w:t>
      </w:r>
      <w:r>
        <w:t>.</w:t>
      </w:r>
      <w:r>
        <w:tab/>
        <w:t>Full proposal</w:t>
      </w:r>
      <w:bookmarkEnd w:id="611"/>
      <w:bookmarkEnd w:id="612"/>
    </w:p>
    <w:p>
      <w:pPr>
        <w:pStyle w:val="Subsection"/>
      </w:pPr>
      <w:r>
        <w:tab/>
        <w:t>(1)</w:t>
      </w:r>
      <w:r>
        <w:tab/>
        <w:t>If approval of a plan of subdivision is obtained as referred to in section 177, the proponent of the proposal can then submit a full proposal for the termination of the strata titles scheme to —</w:t>
      </w:r>
    </w:p>
    <w:p>
      <w:pPr>
        <w:pStyle w:val="Indenta"/>
      </w:pPr>
      <w:r>
        <w:tab/>
        <w:t>(a)</w:t>
      </w:r>
      <w:r>
        <w:tab/>
        <w:t>the strata company for the scheme; and</w:t>
      </w:r>
    </w:p>
    <w:p>
      <w:pPr>
        <w:pStyle w:val="Indenta"/>
      </w:pPr>
      <w:r>
        <w:tab/>
        <w:t>(b)</w:t>
      </w:r>
      <w:r>
        <w:tab/>
        <w:t>if it is a leasehold scheme, the owner of the leasehold scheme.</w:t>
      </w:r>
    </w:p>
    <w:p>
      <w:pPr>
        <w:pStyle w:val="Subsection"/>
      </w:pPr>
      <w:r>
        <w:tab/>
        <w:t>(2)</w:t>
      </w:r>
      <w:r>
        <w:tab/>
        <w:t>However, a full proposal cannot be submitted to a strata company or owner of a leasehold scheme —</w:t>
      </w:r>
    </w:p>
    <w:p>
      <w:pPr>
        <w:pStyle w:val="Indenta"/>
      </w:pPr>
      <w:r>
        <w:tab/>
        <w:t>(a)</w:t>
      </w:r>
      <w:r>
        <w:tab/>
        <w:t>if it is more than 12 months since the requirements of section 176 were met for the proposal; or</w:t>
      </w:r>
    </w:p>
    <w:p>
      <w:pPr>
        <w:pStyle w:val="Indenta"/>
      </w:pPr>
      <w:r>
        <w:tab/>
        <w:t>(b)</w:t>
      </w:r>
      <w:r>
        <w:tab/>
        <w:t>during any period for which the Tribunal has, on application by the strata company or the owner of the leasehold scheme, prohibited termination proposals being so submitted.</w:t>
      </w:r>
    </w:p>
    <w:p>
      <w:pPr>
        <w:pStyle w:val="Subsection"/>
      </w:pPr>
      <w:r>
        <w:tab/>
        <w:t>(3)</w:t>
      </w:r>
      <w:r>
        <w:tab/>
        <w:t>For a leasehold scheme, the proponent must give written notice to the owner of the leasehold scheme of the date on which the proponent submitted the full proposal to the strata company.</w:t>
      </w:r>
    </w:p>
    <w:p>
      <w:pPr>
        <w:pStyle w:val="Subsection"/>
      </w:pPr>
      <w:r>
        <w:tab/>
        <w:t>(4)</w:t>
      </w:r>
      <w:r>
        <w:tab/>
        <w:t>A strata company to which a full proposal is submitted in accordance with this section must, within 14 days after being given the proposal —</w:t>
      </w:r>
    </w:p>
    <w:p>
      <w:pPr>
        <w:pStyle w:val="Indenta"/>
      </w:pPr>
      <w:r>
        <w:tab/>
        <w:t>(a)</w:t>
      </w:r>
      <w:r>
        <w:tab/>
        <w:t>serve it on each person who is —</w:t>
      </w:r>
    </w:p>
    <w:p>
      <w:pPr>
        <w:pStyle w:val="Indenti"/>
      </w:pPr>
      <w:r>
        <w:tab/>
        <w:t>(i)</w:t>
      </w:r>
      <w:r>
        <w:tab/>
        <w:t>the owner, occupier, registered mortgagee or caveator of a lot in the strata titles scheme; or</w:t>
      </w:r>
    </w:p>
    <w:p>
      <w:pPr>
        <w:pStyle w:val="Indenti"/>
      </w:pPr>
      <w:r>
        <w:tab/>
        <w:t>(ii)</w:t>
      </w:r>
      <w:r>
        <w:tab/>
        <w:t>a person whose interest in a lot in the strata titles scheme as a lessee, tenant or mortgagee is recorded in the roll kept by the strata company; or</w:t>
      </w:r>
    </w:p>
    <w:p>
      <w:pPr>
        <w:pStyle w:val="Indenti"/>
      </w:pPr>
      <w:r>
        <w:tab/>
        <w:t>(iii)</w:t>
      </w:r>
      <w:r>
        <w:tab/>
        <w:t>the occupier of common property in the strata titles scheme;</w:t>
      </w:r>
    </w:p>
    <w:p>
      <w:pPr>
        <w:pStyle w:val="Indenta"/>
      </w:pPr>
      <w:r>
        <w:tab/>
      </w:r>
      <w:r>
        <w:tab/>
        <w:t>and</w:t>
      </w:r>
    </w:p>
    <w:p>
      <w:pPr>
        <w:pStyle w:val="Indenta"/>
      </w:pPr>
      <w:r>
        <w:tab/>
        <w:t>(b)</w:t>
      </w:r>
      <w:r>
        <w:tab/>
        <w:t>lodge with the Registrar of Titles notice of receipt of the proposal in the approved form.</w:t>
      </w:r>
    </w:p>
    <w:p>
      <w:pPr>
        <w:pStyle w:val="Subsection"/>
      </w:pPr>
      <w:r>
        <w:tab/>
        <w:t>(5)</w:t>
      </w:r>
      <w:r>
        <w:tab/>
        <w:t>Any modification of the full proposal proposed by the proponent must be submitted and served in the same manner as for the full proposal.</w:t>
      </w:r>
    </w:p>
    <w:p>
      <w:pPr>
        <w:pStyle w:val="Subsection"/>
      </w:pPr>
      <w:r>
        <w:tab/>
        <w:t>(6)</w:t>
      </w:r>
      <w:r>
        <w:tab/>
        <w:t>However, a modification cannot be submitted within 14 days before voting on the termination proposal opens.</w:t>
      </w:r>
    </w:p>
    <w:p>
      <w:pPr>
        <w:pStyle w:val="Footnotesection"/>
      </w:pPr>
      <w:r>
        <w:tab/>
        <w:t>[Section 178 inserted: No. 30 of 2018 s. 83.]</w:t>
      </w:r>
    </w:p>
    <w:p>
      <w:pPr>
        <w:pStyle w:val="Heading5"/>
      </w:pPr>
      <w:bookmarkStart w:id="613" w:name="_Toc106986820"/>
      <w:bookmarkStart w:id="614" w:name="_Toc100565118"/>
      <w:r>
        <w:rPr>
          <w:rStyle w:val="CharSectno"/>
        </w:rPr>
        <w:t>178A</w:t>
      </w:r>
      <w:r>
        <w:t>.</w:t>
      </w:r>
      <w:r>
        <w:tab/>
        <w:t>Reference of full proposal to independent advocate</w:t>
      </w:r>
      <w:bookmarkEnd w:id="613"/>
      <w:bookmarkEnd w:id="614"/>
    </w:p>
    <w:p>
      <w:pPr>
        <w:pStyle w:val="Subsection"/>
      </w:pPr>
      <w:r>
        <w:tab/>
        <w:t>(1)</w:t>
      </w:r>
      <w:r>
        <w:tab/>
        <w:t xml:space="preserve">In this section — </w:t>
      </w:r>
    </w:p>
    <w:p>
      <w:pPr>
        <w:pStyle w:val="Defstart"/>
      </w:pPr>
      <w:r>
        <w:tab/>
      </w:r>
      <w:r>
        <w:rPr>
          <w:rStyle w:val="CharDefText"/>
        </w:rPr>
        <w:t>independent advocate</w:t>
      </w:r>
      <w:r>
        <w:t xml:space="preserve"> means a person to whom a full proposal is referred under subsection (2).</w:t>
      </w:r>
    </w:p>
    <w:p>
      <w:pPr>
        <w:pStyle w:val="Subsection"/>
      </w:pPr>
      <w:r>
        <w:tab/>
        <w:t>(2)</w:t>
      </w:r>
      <w:r>
        <w:tab/>
        <w:t xml:space="preserve">A strata company to which a full proposal is submitted under section 178 must refer the proposal for review and assessment to a person who — </w:t>
      </w:r>
    </w:p>
    <w:p>
      <w:pPr>
        <w:pStyle w:val="Indenta"/>
      </w:pPr>
      <w:r>
        <w:tab/>
        <w:t>(a)</w:t>
      </w:r>
      <w:r>
        <w:tab/>
        <w:t>is independent of the strata company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pPr>
      <w:r>
        <w:tab/>
        <w:t>(a)</w:t>
      </w:r>
      <w:r>
        <w:tab/>
        <w:t>review the full proposal; and</w:t>
      </w:r>
    </w:p>
    <w:p>
      <w:pPr>
        <w:pStyle w:val="Indenta"/>
      </w:pPr>
      <w:r>
        <w:tab/>
        <w:t>(b)</w:t>
      </w:r>
      <w:r>
        <w:tab/>
        <w:t>provide the strata company with an independent assessment of the full proposal; and</w:t>
      </w:r>
    </w:p>
    <w:p>
      <w:pPr>
        <w:pStyle w:val="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Subsection"/>
      </w:pPr>
      <w:r>
        <w:tab/>
        <w:t>(4)</w:t>
      </w:r>
      <w:r>
        <w:tab/>
        <w:t xml:space="preserve">The independent advocate must — </w:t>
      </w:r>
    </w:p>
    <w:p>
      <w:pPr>
        <w:pStyle w:val="Indenta"/>
      </w:pPr>
      <w:r>
        <w:tab/>
        <w:t>(a)</w:t>
      </w:r>
      <w:r>
        <w:tab/>
        <w:t>endeavour to identify any owners of lots for whom arrangements for fuller or more extensive advice or representation are to be made under regulations made under section 190(1)(b); and</w:t>
      </w:r>
    </w:p>
    <w:p>
      <w:pPr>
        <w:pStyle w:val="Indenta"/>
      </w:pPr>
      <w:r>
        <w:tab/>
        <w:t>(b)</w:t>
      </w:r>
      <w:r>
        <w:tab/>
        <w:t>advise those owners of their entitlements under regulations made under section 190; and</w:t>
      </w:r>
    </w:p>
    <w:p>
      <w:pPr>
        <w:pStyle w:val="Indenta"/>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190(2).</w:t>
      </w:r>
    </w:p>
    <w:p>
      <w:pPr>
        <w:pStyle w:val="Subsection"/>
      </w:pPr>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strata company — </w:t>
      </w:r>
    </w:p>
    <w:p>
      <w:pPr>
        <w:pStyle w:val="Indenta"/>
      </w:pPr>
      <w:r>
        <w:tab/>
        <w:t>(a)</w:t>
      </w:r>
      <w:r>
        <w:tab/>
        <w:t>must pay the remuneration of, and reimburse the expenses incurred by, the independent advocate; and</w:t>
      </w:r>
    </w:p>
    <w:p>
      <w:pPr>
        <w:pStyle w:val="Indenta"/>
      </w:pPr>
      <w:r>
        <w:tab/>
        <w:t>(b)</w:t>
      </w:r>
      <w:r>
        <w:tab/>
        <w:t>may charge fees under section 189 to cover the cost of paying those fees and reimbursing those expenses.</w:t>
      </w:r>
    </w:p>
    <w:p>
      <w:pPr>
        <w:pStyle w:val="Footnotesection"/>
      </w:pPr>
      <w:r>
        <w:tab/>
        <w:t>[Section 178A inserted: No. 30 of 2018 s. 83.]</w:t>
      </w:r>
    </w:p>
    <w:p>
      <w:pPr>
        <w:pStyle w:val="Heading5"/>
      </w:pPr>
      <w:bookmarkStart w:id="615" w:name="_Toc106986821"/>
      <w:bookmarkStart w:id="616" w:name="_Toc100565119"/>
      <w:r>
        <w:rPr>
          <w:rStyle w:val="CharSectno"/>
        </w:rPr>
        <w:t>179</w:t>
      </w:r>
      <w:r>
        <w:t>.</w:t>
      </w:r>
      <w:r>
        <w:tab/>
        <w:t>Content of full proposal</w:t>
      </w:r>
      <w:bookmarkEnd w:id="615"/>
      <w:bookmarkEnd w:id="616"/>
    </w:p>
    <w:p>
      <w:pPr>
        <w:pStyle w:val="Subsection"/>
      </w:pPr>
      <w:r>
        <w:tab/>
        <w:t>(1)</w:t>
      </w:r>
      <w:r>
        <w:tab/>
        <w:t>A full proposal for the termination of a strata titles scheme must —</w:t>
      </w:r>
    </w:p>
    <w:p>
      <w:pPr>
        <w:pStyle w:val="Indenta"/>
      </w:pPr>
      <w:r>
        <w:tab/>
        <w:t>(a)</w:t>
      </w:r>
      <w:r>
        <w:tab/>
        <w:t>include the material required to be included in an outline of a termination proposal; and</w:t>
      </w:r>
    </w:p>
    <w:p>
      <w:pPr>
        <w:pStyle w:val="Indenta"/>
      </w:pPr>
      <w:r>
        <w:tab/>
        <w:t>(b)</w:t>
      </w:r>
      <w:r>
        <w:tab/>
        <w:t>be accompanied by the approved plan of subdivision for the proposal; and</w:t>
      </w:r>
    </w:p>
    <w:p>
      <w:pPr>
        <w:pStyle w:val="Indenta"/>
      </w:pPr>
      <w:r>
        <w:tab/>
        <w:t>(c)</w:t>
      </w:r>
      <w:r>
        <w:tab/>
        <w:t>describe, in detail, what is proposed in terms of contracts to be offered to owners of lots, including —</w:t>
      </w:r>
    </w:p>
    <w:p>
      <w:pPr>
        <w:pStyle w:val="Indenti"/>
      </w:pPr>
      <w:r>
        <w:tab/>
        <w:t>(i)</w:t>
      </w:r>
      <w:r>
        <w:tab/>
        <w:t>contracts for the sale and purchase of lots before termination of the strata titles scheme, including —</w:t>
      </w:r>
    </w:p>
    <w:p>
      <w:pPr>
        <w:pStyle w:val="IndentI0"/>
      </w:pPr>
      <w:r>
        <w:tab/>
        <w:t>(I)</w:t>
      </w:r>
      <w:r>
        <w:tab/>
        <w:t>the name and address of any buyer; and</w:t>
      </w:r>
    </w:p>
    <w:p>
      <w:pPr>
        <w:pStyle w:val="IndentI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pPr>
      <w:r>
        <w:tab/>
        <w:t>(IV)</w:t>
      </w:r>
      <w:r>
        <w:tab/>
        <w:t>any deductions proposed to be made out of the purchase price or a description of how those deductions are to be determined;</w:t>
      </w:r>
    </w:p>
    <w:p>
      <w:pPr>
        <w:pStyle w:val="Indenti"/>
      </w:pPr>
      <w:r>
        <w:tab/>
      </w:r>
      <w:r>
        <w:tab/>
        <w:t>and</w:t>
      </w:r>
    </w:p>
    <w:p>
      <w:pPr>
        <w:pStyle w:val="Indenti"/>
      </w:pPr>
      <w:r>
        <w:tab/>
        <w:t>(ii)</w:t>
      </w:r>
      <w:r>
        <w:tab/>
        <w:t>contracts under which the owner of a lot acquires an interest in land in exchange for the lot, including —</w:t>
      </w:r>
    </w:p>
    <w:p>
      <w:pPr>
        <w:pStyle w:val="IndentI0"/>
      </w:pPr>
      <w:r>
        <w:tab/>
        <w:t>(I)</w:t>
      </w:r>
      <w:r>
        <w:tab/>
        <w:t>the choices available to owners or the basis for determining those choices; and</w:t>
      </w:r>
    </w:p>
    <w:p>
      <w:pPr>
        <w:pStyle w:val="IndentI0"/>
      </w:pPr>
      <w:r>
        <w:tab/>
        <w:t>(II)</w:t>
      </w:r>
      <w:r>
        <w:tab/>
        <w:t>the interests in land proposed to be acquired by the owners; and</w:t>
      </w:r>
    </w:p>
    <w:p>
      <w:pPr>
        <w:pStyle w:val="IndentI0"/>
      </w:pPr>
      <w:r>
        <w:tab/>
        <w:t>(III)</w:t>
      </w:r>
      <w:r>
        <w:tab/>
        <w:t>other terms and conditions of the exchange;</w:t>
      </w:r>
    </w:p>
    <w:p>
      <w:pPr>
        <w:pStyle w:val="Indenti"/>
      </w:pPr>
      <w:r>
        <w:tab/>
      </w:r>
      <w:r>
        <w:tab/>
        <w:t>and</w:t>
      </w:r>
    </w:p>
    <w:p>
      <w:pPr>
        <w:pStyle w:val="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Indenta"/>
      </w:pPr>
      <w:r>
        <w:tab/>
      </w:r>
      <w:r>
        <w:tab/>
        <w:t>and</w:t>
      </w:r>
    </w:p>
    <w:p>
      <w:pPr>
        <w:pStyle w:val="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describe, in detail, what is proposed to happen on termination of the strata titles scheme in terms of the contractual rights of occupiers of lots or common property in the scheme; and</w:t>
      </w:r>
    </w:p>
    <w:p>
      <w:pPr>
        <w:pStyle w:val="Indenta"/>
      </w:pPr>
      <w:r>
        <w:tab/>
        <w:t>(f)</w:t>
      </w:r>
      <w:r>
        <w:tab/>
        <w:t>describe, in detail, what is proposed in terms of subdivision and development of the land following termination, including —</w:t>
      </w:r>
    </w:p>
    <w:p>
      <w:pPr>
        <w:pStyle w:val="Indenti"/>
      </w:pPr>
      <w:r>
        <w:tab/>
        <w:t>(i)</w:t>
      </w:r>
      <w:r>
        <w:tab/>
        <w:t>plans for demolition; and</w:t>
      </w:r>
    </w:p>
    <w:p>
      <w:pPr>
        <w:pStyle w:val="Indenti"/>
      </w:pPr>
      <w:r>
        <w:tab/>
        <w:t>(ii)</w:t>
      </w:r>
      <w:r>
        <w:tab/>
        <w:t>plans for subdivision; and</w:t>
      </w:r>
    </w:p>
    <w:p>
      <w:pPr>
        <w:pStyle w:val="Indenti"/>
      </w:pPr>
      <w:r>
        <w:tab/>
        <w:t>(iii)</w:t>
      </w:r>
      <w:r>
        <w:tab/>
        <w:t>architectural plans for development;</w:t>
      </w:r>
    </w:p>
    <w:p>
      <w:pPr>
        <w:pStyle w:val="Indenta"/>
      </w:pPr>
      <w:r>
        <w:tab/>
      </w:r>
      <w:r>
        <w:tab/>
        <w:t>and</w:t>
      </w:r>
    </w:p>
    <w:p>
      <w:pPr>
        <w:pStyle w:val="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Indenta"/>
      </w:pPr>
      <w:r>
        <w:tab/>
        <w:t>(h)</w:t>
      </w:r>
      <w:r>
        <w:tab/>
        <w:t>indicate, in detail, the stages and timeframes proposed for progress of the proposal if it proceeds, including expectations for when vacant possession of lots and common property will be required; and</w:t>
      </w:r>
    </w:p>
    <w:p>
      <w:pPr>
        <w:pStyle w:val="Indenta"/>
      </w:pPr>
      <w:r>
        <w:tab/>
        <w:t>(i)</w:t>
      </w:r>
      <w:r>
        <w:tab/>
        <w:t>describe any proposals for the temporary relocation of owners of lots, including any payments proposed to be made to owners to enable them to arrange temporary relocation; and</w:t>
      </w:r>
    </w:p>
    <w:p>
      <w:pPr>
        <w:pStyle w:val="Indenta"/>
      </w:pPr>
      <w:r>
        <w:tab/>
        <w:t>(j)</w:t>
      </w:r>
      <w:r>
        <w:tab/>
        <w:t>include a statement obtained from the strata company of —</w:t>
      </w:r>
    </w:p>
    <w:p>
      <w:pPr>
        <w:pStyle w:val="Indenti"/>
      </w:pPr>
      <w:r>
        <w:tab/>
        <w:t>(i)</w:t>
      </w:r>
      <w:r>
        <w:tab/>
        <w:t>its current assets and liabilities; and</w:t>
      </w:r>
    </w:p>
    <w:p>
      <w:pPr>
        <w:pStyle w:val="Indenti"/>
      </w:pPr>
      <w:r>
        <w:tab/>
        <w:t>(ii)</w:t>
      </w:r>
      <w:r>
        <w:tab/>
        <w:t>any legal proceedings or pending legal proceedings to which the strata company is or proposes to become a party;</w:t>
      </w:r>
    </w:p>
    <w:p>
      <w:pPr>
        <w:pStyle w:val="Indenta"/>
      </w:pPr>
      <w:r>
        <w:tab/>
      </w:r>
      <w:r>
        <w:tab/>
        <w:t>and</w:t>
      </w:r>
    </w:p>
    <w:p>
      <w:pPr>
        <w:pStyle w:val="Indenta"/>
      </w:pPr>
      <w:r>
        <w:tab/>
        <w:t>(k)</w:t>
      </w:r>
      <w:r>
        <w:tab/>
        <w:t>specify the steps that will be taken to wind up the strata company,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the infrastructure on the common property in the strata titles scheme;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the common property of the strata titles scheme.</w:t>
      </w:r>
    </w:p>
    <w:p>
      <w:pPr>
        <w:pStyle w:val="Subsection"/>
      </w:pPr>
      <w:r>
        <w:tab/>
        <w:t>(5)</w:t>
      </w:r>
      <w:r>
        <w:tab/>
        <w:t>The valuation must be current as at a date that is not more than 21 days (or, if some other period is specified in the regulations, that period) before submission of the full proposal to the strata company.</w:t>
      </w:r>
    </w:p>
    <w:p>
      <w:pPr>
        <w:pStyle w:val="Subsection"/>
      </w:pPr>
      <w:r>
        <w:tab/>
        <w:t>(6)</w:t>
      </w:r>
      <w:r>
        <w:tab/>
        <w:t>A person must, in preparing or certifying a termination infrastructure report or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Footnotesection"/>
      </w:pPr>
      <w:r>
        <w:tab/>
        <w:t>[Section 179 inserted: No. 30 of 2018 s. 83.]</w:t>
      </w:r>
    </w:p>
    <w:p>
      <w:pPr>
        <w:pStyle w:val="Heading5"/>
      </w:pPr>
      <w:bookmarkStart w:id="617" w:name="_Toc106986822"/>
      <w:bookmarkStart w:id="618" w:name="_Toc100565120"/>
      <w:r>
        <w:rPr>
          <w:rStyle w:val="CharSectno"/>
        </w:rPr>
        <w:t>180</w:t>
      </w:r>
      <w:r>
        <w:t>.</w:t>
      </w:r>
      <w:r>
        <w:tab/>
        <w:t>Support of owner of leasehold scheme required</w:t>
      </w:r>
      <w:bookmarkEnd w:id="617"/>
      <w:bookmarkEnd w:id="618"/>
    </w:p>
    <w:p>
      <w:pPr>
        <w:pStyle w:val="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Subsection"/>
      </w:pPr>
      <w:r>
        <w:tab/>
        <w:t>(2)</w:t>
      </w:r>
      <w:r>
        <w:tab/>
        <w:t>A strata company must, as soon as reasonably practicable, give written notice to the proponent of the termination proposal of the receipt of a notice under subsection (1).</w:t>
      </w:r>
    </w:p>
    <w:p>
      <w:pPr>
        <w:pStyle w:val="Footnotesection"/>
      </w:pPr>
      <w:r>
        <w:tab/>
        <w:t>[Section 180 inserted: No. 30 of 2018 s. 83.]</w:t>
      </w:r>
    </w:p>
    <w:p>
      <w:pPr>
        <w:pStyle w:val="Heading5"/>
      </w:pPr>
      <w:bookmarkStart w:id="619" w:name="_Toc106986823"/>
      <w:bookmarkStart w:id="620" w:name="_Toc100565121"/>
      <w:r>
        <w:rPr>
          <w:rStyle w:val="CharSectno"/>
        </w:rPr>
        <w:t>181</w:t>
      </w:r>
      <w:r>
        <w:t>.</w:t>
      </w:r>
      <w:r>
        <w:tab/>
        <w:t>Meetings and submissions</w:t>
      </w:r>
      <w:bookmarkEnd w:id="619"/>
      <w:bookmarkEnd w:id="620"/>
    </w:p>
    <w:p>
      <w:pPr>
        <w:pStyle w:val="Subsection"/>
      </w:pPr>
      <w:r>
        <w:tab/>
        <w:t>(1)</w:t>
      </w:r>
      <w:r>
        <w:tab/>
        <w:t>After receipt of a full proposal, 1 or more general meetings of the strata company must be convened to consider the termination proposal (unless it is a proposal that cannot proceed further).</w:t>
      </w:r>
    </w:p>
    <w:p>
      <w:pPr>
        <w:pStyle w:val="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Subsection"/>
      </w:pPr>
      <w:r>
        <w:tab/>
        <w:t>(4)</w:t>
      </w:r>
      <w:r>
        <w:tab/>
        <w:t>The council of the strata company may —</w:t>
      </w:r>
    </w:p>
    <w:p>
      <w:pPr>
        <w:pStyle w:val="Indenta"/>
      </w:pPr>
      <w:r>
        <w:tab/>
        <w:t>(a)</w:t>
      </w:r>
      <w:r>
        <w:tab/>
        <w:t>discuss a termination proposal with the proponent; and</w:t>
      </w:r>
    </w:p>
    <w:p>
      <w:pPr>
        <w:pStyle w:val="Indenta"/>
      </w:pPr>
      <w:r>
        <w:tab/>
        <w:t>(b)</w:t>
      </w:r>
      <w:r>
        <w:tab/>
        <w:t>inform the owners of lots in the strata titles scheme of those discussions and of any clarifications or additional information provided by the proponent; and</w:t>
      </w:r>
    </w:p>
    <w:p>
      <w:pPr>
        <w:pStyle w:val="Indenta"/>
      </w:pPr>
      <w:r>
        <w:tab/>
        <w:t>(c)</w:t>
      </w:r>
      <w:r>
        <w:tab/>
        <w:t>make recommendations to the owners of the lots in the strata titles scheme regarding the proposal.</w:t>
      </w:r>
    </w:p>
    <w:p>
      <w:pPr>
        <w:pStyle w:val="Subsection"/>
      </w:pPr>
      <w:r>
        <w:tab/>
        <w:t>(5)</w:t>
      </w:r>
      <w:r>
        <w:tab/>
        <w:t>The regulations may impose additional requirements about the process required for consideration of a termination proposal.</w:t>
      </w:r>
    </w:p>
    <w:p>
      <w:pPr>
        <w:pStyle w:val="Footnotesection"/>
      </w:pPr>
      <w:r>
        <w:tab/>
        <w:t>[Section 181 inserted: No. 30 of 2018 s. 83.]</w:t>
      </w:r>
    </w:p>
    <w:p>
      <w:pPr>
        <w:pStyle w:val="Heading5"/>
      </w:pPr>
      <w:bookmarkStart w:id="621" w:name="_Toc106986824"/>
      <w:bookmarkStart w:id="622" w:name="_Toc100565122"/>
      <w:r>
        <w:rPr>
          <w:rStyle w:val="CharSectno"/>
        </w:rPr>
        <w:t>182</w:t>
      </w:r>
      <w:r>
        <w:t>.</w:t>
      </w:r>
      <w:r>
        <w:tab/>
        <w:t>Vote</w:t>
      </w:r>
      <w:bookmarkEnd w:id="621"/>
      <w:bookmarkEnd w:id="622"/>
    </w:p>
    <w:p>
      <w:pPr>
        <w:pStyle w:val="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179(8).</w:t>
      </w:r>
    </w:p>
    <w:p>
      <w:pPr>
        <w:pStyle w:val="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strata company and the proponent of the termination proposal must be appointed to tally and count the votes on the proposal.</w:t>
      </w:r>
    </w:p>
    <w:p>
      <w:pPr>
        <w:pStyle w:val="Subsection"/>
      </w:pPr>
      <w:r>
        <w:tab/>
        <w:t>(5)</w:t>
      </w:r>
      <w:r>
        <w:tab/>
        <w:t>The vote must be taken as follows —</w:t>
      </w:r>
    </w:p>
    <w:p>
      <w:pPr>
        <w:pStyle w:val="Indenta"/>
      </w:pPr>
      <w:r>
        <w:tab/>
        <w:t>(a)</w:t>
      </w:r>
      <w:r>
        <w:tab/>
        <w:t>1 vote may be cast for each lot in the strata titles scheme;</w:t>
      </w:r>
    </w:p>
    <w:p>
      <w:pPr>
        <w:pStyle w:val="Indenta"/>
      </w:pPr>
      <w:r>
        <w:tab/>
        <w:t>(b)</w:t>
      </w:r>
      <w:r>
        <w:tab/>
        <w:t>the value of each vote is 1.</w:t>
      </w:r>
    </w:p>
    <w:p>
      <w:pPr>
        <w:pStyle w:val="Subsection"/>
        <w:keepNext/>
        <w:keepLines/>
      </w:pPr>
      <w:r>
        <w:tab/>
        <w:t>(6)</w:t>
      </w:r>
      <w:r>
        <w:tab/>
        <w:t>A termination resolution is passed if the number of votes cast in favour of the termination proposal equals the number of lots in the strata titles scheme.</w:t>
      </w:r>
    </w:p>
    <w:p>
      <w:pPr>
        <w:pStyle w:val="Subsection"/>
      </w:pPr>
      <w:r>
        <w:tab/>
        <w:t>(7)</w:t>
      </w:r>
      <w:r>
        <w:tab/>
        <w:t>A termination resolution is passed subject to the confirmation of the Tribunal if —</w:t>
      </w:r>
    </w:p>
    <w:p>
      <w:pPr>
        <w:pStyle w:val="Indenta"/>
      </w:pPr>
      <w:r>
        <w:tab/>
        <w:t>(a)</w:t>
      </w:r>
      <w:r>
        <w:tab/>
        <w:t>the strata titles scheme has 5 or more lots; and</w:t>
      </w:r>
    </w:p>
    <w:p>
      <w:pPr>
        <w:pStyle w:val="Indenta"/>
      </w:pPr>
      <w:r>
        <w:tab/>
        <w:t>(b)</w:t>
      </w:r>
      <w:r>
        <w:tab/>
        <w:t>the number of votes cast in favour of the termination proposal is at least 80% of the total number of lots in the scheme.</w:t>
      </w:r>
    </w:p>
    <w:p>
      <w:pPr>
        <w:pStyle w:val="Subsection"/>
      </w:pPr>
      <w:r>
        <w:tab/>
        <w:t>(8)</w:t>
      </w:r>
      <w:r>
        <w:tab/>
        <w:t>Section 126(a) does not apply to voting on a termination resolution.</w:t>
      </w:r>
    </w:p>
    <w:p>
      <w:pPr>
        <w:pStyle w:val="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Subsection"/>
      </w:pPr>
      <w:r>
        <w:tab/>
        <w:t>(10)</w:t>
      </w:r>
      <w:r>
        <w:tab/>
        <w:t>The independent person appointed to tally and count the votes must —</w:t>
      </w:r>
    </w:p>
    <w:p>
      <w:pPr>
        <w:pStyle w:val="Indenta"/>
      </w:pPr>
      <w:r>
        <w:tab/>
        <w:t>(a)</w:t>
      </w:r>
      <w:r>
        <w:tab/>
        <w:t>make a record of each vote identifying the lot for which it is cast and the date on which it was cast, and the tally of the votes; and</w:t>
      </w:r>
    </w:p>
    <w:p>
      <w:pPr>
        <w:pStyle w:val="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Subsection"/>
      </w:pPr>
      <w:r>
        <w:tab/>
        <w:t>(11)</w:t>
      </w:r>
      <w:r>
        <w:tab/>
        <w:t>A strata company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w:t>
      </w:r>
    </w:p>
    <w:p>
      <w:pPr>
        <w:pStyle w:val="Indenti"/>
      </w:pPr>
      <w:r>
        <w:tab/>
        <w:t>(i)</w:t>
      </w:r>
      <w:r>
        <w:tab/>
        <w:t>the proponent of the termination proposal; and</w:t>
      </w:r>
    </w:p>
    <w:p>
      <w:pPr>
        <w:pStyle w:val="Indenti"/>
      </w:pPr>
      <w:r>
        <w:tab/>
        <w:t>(ii)</w:t>
      </w:r>
      <w:r>
        <w:tab/>
        <w:t>for a leasehold scheme, the owner of the leasehold scheme.</w:t>
      </w:r>
    </w:p>
    <w:p>
      <w:pPr>
        <w:pStyle w:val="Subsection"/>
      </w:pPr>
      <w:r>
        <w:tab/>
        <w:t>(12)</w:t>
      </w:r>
      <w:r>
        <w:tab/>
        <w:t>The notice must include a statement of whether or not confirmation of the termination resolution by the Tribunal is required.</w:t>
      </w:r>
    </w:p>
    <w:p>
      <w:pPr>
        <w:pStyle w:val="Subsection"/>
      </w:pPr>
      <w:r>
        <w:tab/>
        <w:t>(13)</w:t>
      </w:r>
      <w:r>
        <w:tab/>
        <w:t>The regulations may impose additional requirements about the process required for voting on a termination proposal.</w:t>
      </w:r>
    </w:p>
    <w:p>
      <w:pPr>
        <w:pStyle w:val="Footnotesection"/>
      </w:pPr>
      <w:r>
        <w:tab/>
        <w:t>[Section 182 inserted: No. 30 of 2018 s. 83.]</w:t>
      </w:r>
    </w:p>
    <w:p>
      <w:pPr>
        <w:pStyle w:val="Heading5"/>
      </w:pPr>
      <w:bookmarkStart w:id="623" w:name="_Toc106986825"/>
      <w:bookmarkStart w:id="624" w:name="_Toc100565123"/>
      <w:r>
        <w:rPr>
          <w:rStyle w:val="CharSectno"/>
        </w:rPr>
        <w:t>183</w:t>
      </w:r>
      <w:r>
        <w:t>.</w:t>
      </w:r>
      <w:r>
        <w:tab/>
        <w:t>Confirmation of termination resolution by Tribunal</w:t>
      </w:r>
      <w:bookmarkEnd w:id="623"/>
      <w:bookmarkEnd w:id="624"/>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date on which the termination resolution is passed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strata titles scheme;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keepNext/>
        <w:keepLines/>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Indenta"/>
      </w:pPr>
      <w:r>
        <w:tab/>
        <w:t>(a)</w:t>
      </w:r>
      <w:r>
        <w:tab/>
        <w:t>the strata company for the strata titles scheme; and</w:t>
      </w:r>
    </w:p>
    <w:p>
      <w:pPr>
        <w:pStyle w:val="Indenta"/>
      </w:pPr>
      <w:r>
        <w:tab/>
        <w:t>(b)</w:t>
      </w:r>
      <w:r>
        <w:tab/>
        <w:t>for a leasehold scheme, the owner of the leasehold scheme.</w:t>
      </w:r>
    </w:p>
    <w:p>
      <w:pPr>
        <w:pStyle w:val="Subsection"/>
      </w:pPr>
      <w:r>
        <w:tab/>
        <w:t>(5)</w:t>
      </w:r>
      <w:r>
        <w:tab/>
        <w:t>The strata company and, for a leasehold scheme, the owner of the leasehold scheme, will be taken to be parties to the proceedings.</w:t>
      </w:r>
    </w:p>
    <w:p>
      <w:pPr>
        <w:pStyle w:val="Subsection"/>
      </w:pPr>
      <w:r>
        <w:tab/>
        <w:t>(6)</w:t>
      </w:r>
      <w:r>
        <w:tab/>
        <w:t>The strata company must, within 14 days after being given notice of the application —</w:t>
      </w:r>
    </w:p>
    <w:p>
      <w:pPr>
        <w:pStyle w:val="Indenta"/>
      </w:pPr>
      <w:r>
        <w:tab/>
        <w:t>(a)</w:t>
      </w:r>
      <w:r>
        <w:tab/>
        <w:t>serve notice of the application on each person who is —</w:t>
      </w:r>
    </w:p>
    <w:p>
      <w:pPr>
        <w:pStyle w:val="Indenti"/>
      </w:pPr>
      <w:r>
        <w:tab/>
        <w:t>(i)</w:t>
      </w:r>
      <w:r>
        <w:tab/>
        <w:t>the owner, occupier or registered mortgagee of a lot in the strata titles scheme; or</w:t>
      </w:r>
    </w:p>
    <w:p>
      <w:pPr>
        <w:pStyle w:val="Indenti"/>
      </w:pPr>
      <w:r>
        <w:tab/>
        <w:t>(ii)</w:t>
      </w:r>
      <w:r>
        <w:tab/>
        <w:t>the occupier of common property in the strata titles scheme; or</w:t>
      </w:r>
    </w:p>
    <w:p>
      <w:pPr>
        <w:pStyle w:val="Indenti"/>
      </w:pPr>
      <w:r>
        <w:tab/>
        <w:t>(iii)</w:t>
      </w:r>
      <w:r>
        <w:tab/>
        <w:t>a person whom the Tribunal requires to be served with notice of the application;</w:t>
      </w:r>
    </w:p>
    <w:p>
      <w:pPr>
        <w:pStyle w:val="Indenta"/>
      </w:pPr>
      <w:r>
        <w:tab/>
      </w:r>
      <w:r>
        <w:tab/>
        <w:t>and</w:t>
      </w:r>
    </w:p>
    <w:p>
      <w:pPr>
        <w:pStyle w:val="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pPr>
      <w:r>
        <w:tab/>
        <w:t>(c)</w:t>
      </w:r>
      <w:r>
        <w:tab/>
        <w:t>provide the following to the Tribunal (which may then be released by the Tribunal to any person entitled to appear and be heard or to make submissions) —</w:t>
      </w:r>
    </w:p>
    <w:p>
      <w:pPr>
        <w:pStyle w:val="Indenti"/>
      </w:pPr>
      <w:r>
        <w:tab/>
        <w:t>(i)</w:t>
      </w:r>
      <w:r>
        <w:tab/>
        <w:t>for a leasehold scheme, a copy of the notice of support for the termination resolution given by the owner of the leasehold scheme under section 180;</w:t>
      </w:r>
    </w:p>
    <w:p>
      <w:pPr>
        <w:pStyle w:val="Indenti"/>
        <w:keepNext/>
        <w:keepLines/>
      </w:pPr>
      <w:r>
        <w:tab/>
        <w:t>(ii)</w:t>
      </w:r>
      <w:r>
        <w:tab/>
        <w:t>a record (as provided by the independent person who counted the votes) of each vote on the termination resolution, identifying the lot for which it was cast and the date on which it was cast, and a tally of the votes;</w:t>
      </w:r>
    </w:p>
    <w:p>
      <w:pPr>
        <w:pStyle w:val="Indenti"/>
      </w:pPr>
      <w:r>
        <w:tab/>
        <w:t>(iii)</w:t>
      </w:r>
      <w:r>
        <w:tab/>
        <w:t>minutes of all meetings of the strata company or the council of the strata company at which the termination proposal was considered;</w:t>
      </w:r>
    </w:p>
    <w:p>
      <w:pPr>
        <w:pStyle w:val="Indenti"/>
      </w:pPr>
      <w:r>
        <w:tab/>
        <w:t>(iv)</w:t>
      </w:r>
      <w:r>
        <w:tab/>
        <w:t>all written submissions made to the strata company about the termination proposal;</w:t>
      </w:r>
    </w:p>
    <w:p>
      <w:pPr>
        <w:pStyle w:val="Indenti"/>
      </w:pPr>
      <w:r>
        <w:tab/>
        <w:t>(v)</w:t>
      </w:r>
      <w:r>
        <w:tab/>
        <w:t>the scheme plan, scheme by</w:t>
      </w:r>
      <w:r>
        <w:noBreakHyphen/>
        <w:t>laws and schedule of unit entitlements for the strata titles scheme;</w:t>
      </w:r>
    </w:p>
    <w:p>
      <w:pPr>
        <w:pStyle w:val="Indenti"/>
      </w:pPr>
      <w:r>
        <w:tab/>
        <w:t>(vi)</w:t>
      </w:r>
      <w:r>
        <w:tab/>
        <w:t>anything else required by the regulations;</w:t>
      </w:r>
    </w:p>
    <w:p>
      <w:pPr>
        <w:pStyle w:val="Indenta"/>
      </w:pPr>
      <w:r>
        <w:tab/>
      </w:r>
      <w:r>
        <w:tab/>
        <w:t>and</w:t>
      </w:r>
    </w:p>
    <w:p>
      <w:pPr>
        <w:pStyle w:val="Indenta"/>
      </w:pPr>
      <w:r>
        <w:tab/>
        <w:t>(d)</w:t>
      </w:r>
      <w:r>
        <w:tab/>
        <w:t>lodge with the Registrar of Titles notice of the application in the approved form.</w:t>
      </w:r>
    </w:p>
    <w:p>
      <w:pPr>
        <w:pStyle w:val="Subsection"/>
      </w:pPr>
      <w:r>
        <w:tab/>
        <w:t>(7)</w:t>
      </w:r>
      <w:r>
        <w:tab/>
        <w:t>A person who is required to be served with notice of the application is entitled to appear and be heard or make written submissions to the Tribunal (as the Tribunal determines).</w:t>
      </w:r>
    </w:p>
    <w:p>
      <w:pPr>
        <w:pStyle w:val="Subsection"/>
      </w:pPr>
      <w:r>
        <w:tab/>
        <w:t>(8)</w:t>
      </w:r>
      <w:r>
        <w:tab/>
        <w:t>In proceedings for confirmation of a termination resolution of a strata company, the Tribunal may —</w:t>
      </w:r>
    </w:p>
    <w:p>
      <w:pPr>
        <w:pStyle w:val="Indenta"/>
      </w:pPr>
      <w:r>
        <w:tab/>
        <w:t>(a)</w:t>
      </w:r>
      <w:r>
        <w:tab/>
        <w:t>make an order confirming the termination resolution (which may be subject to the termination proposal being modified in a specified manner as set out in subsection (13)); or</w:t>
      </w:r>
    </w:p>
    <w:p>
      <w:pPr>
        <w:pStyle w:val="Indenta"/>
      </w:pPr>
      <w:r>
        <w:tab/>
        <w:t>(b)</w:t>
      </w:r>
      <w:r>
        <w:tab/>
        <w:t>make a decision not to make such an order.</w:t>
      </w:r>
    </w:p>
    <w:p>
      <w:pPr>
        <w:pStyle w:val="Subsection"/>
      </w:pPr>
      <w:r>
        <w:tab/>
        <w:t>(9)</w:t>
      </w:r>
      <w:r>
        <w:tab/>
        <w:t>The Tribunal can only confirm a termination resolution if the proponent of the termination proposal satisfies the Tribunal that —</w:t>
      </w:r>
    </w:p>
    <w:p>
      <w:pPr>
        <w:pStyle w:val="Indenta"/>
      </w:pPr>
      <w:r>
        <w:tab/>
        <w:t>(a)</w:t>
      </w:r>
      <w:r>
        <w:tab/>
        <w:t>the process required by this Division has been complied with; and</w:t>
      </w:r>
    </w:p>
    <w:p>
      <w:pPr>
        <w:pStyle w:val="Indenta"/>
        <w:keepNext/>
        <w:keepLines/>
      </w:pPr>
      <w:r>
        <w:tab/>
        <w:t>(b)</w:t>
      </w:r>
      <w:r>
        <w:tab/>
        <w:t>under the termination proposal, the owner of a lot in the strata titles scheme who does not support the termination will receive fair market value for the lot or a like for like exchange for the lot; and</w:t>
      </w:r>
    </w:p>
    <w:p>
      <w:pPr>
        <w:pStyle w:val="Indenta"/>
      </w:pPr>
      <w:r>
        <w:tab/>
        <w:t>(c)</w:t>
      </w:r>
      <w:r>
        <w:tab/>
        <w:t>the termination proposal is otherwise just and equitable having regard to —</w:t>
      </w:r>
    </w:p>
    <w:p>
      <w:pPr>
        <w:pStyle w:val="Indenti"/>
      </w:pPr>
      <w:r>
        <w:tab/>
        <w:t>(i)</w:t>
      </w:r>
      <w:r>
        <w:tab/>
        <w:t>the interests of the owners of the lots in the strata titles scheme; and</w:t>
      </w:r>
    </w:p>
    <w:p>
      <w:pPr>
        <w:pStyle w:val="Indenti"/>
      </w:pPr>
      <w:r>
        <w:tab/>
        <w:t>(ii)</w:t>
      </w:r>
      <w:r>
        <w:tab/>
        <w:t>if it is a leasehold scheme, the interests of the owner of the leasehold scheme; and</w:t>
      </w:r>
    </w:p>
    <w:p>
      <w:pPr>
        <w:pStyle w:val="Indenti"/>
      </w:pPr>
      <w:r>
        <w:tab/>
        <w:t>(iii)</w:t>
      </w:r>
      <w:r>
        <w:tab/>
        <w:t>the interests of occupiers of the lots and the occupiers of the common property in the strata titles scheme; and</w:t>
      </w:r>
    </w:p>
    <w:p>
      <w:pPr>
        <w:pStyle w:val="Indenti"/>
      </w:pPr>
      <w:r>
        <w:tab/>
        <w:t>(iv)</w:t>
      </w:r>
      <w:r>
        <w:tab/>
        <w:t>the interests of registered mortgagees of the lots in the strata titles scheme; and</w:t>
      </w:r>
    </w:p>
    <w:p>
      <w:pPr>
        <w:pStyle w:val="Indenti"/>
      </w:pPr>
      <w:r>
        <w:tab/>
        <w:t>(v)</w:t>
      </w:r>
      <w:r>
        <w:tab/>
        <w:t>the interests of any other person with an estate or interest in, or right over, a lot or common property in the strata titles scheme that is registered or recorded in the Register.</w:t>
      </w:r>
    </w:p>
    <w:p>
      <w:pPr>
        <w:pStyle w:val="Subsection"/>
      </w:pPr>
      <w:r>
        <w:tab/>
        <w:t>(10)</w:t>
      </w:r>
      <w:r>
        <w:tab/>
        <w:t>In determining under subsection (9)(b)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Indenti"/>
      </w:pPr>
      <w:r>
        <w:tab/>
        <w:t>(ii)</w:t>
      </w:r>
      <w:r>
        <w:tab/>
        <w:t>the owner will not be disadvantaged in terms of the owner’s financial position as a result of the termination of the strata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keepNext/>
      </w:pPr>
      <w:r>
        <w:tab/>
        <w:t>(11)</w:t>
      </w:r>
      <w:r>
        <w:tab/>
        <w:t>In determining under subsection (9)(b)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(10)); and</w:t>
      </w:r>
    </w:p>
    <w:p>
      <w:pPr>
        <w:pStyle w:val="Indenta"/>
      </w:pPr>
      <w:r>
        <w:tab/>
        <w:t>(b)</w:t>
      </w:r>
      <w:r>
        <w:tab/>
        <w:t>how the location, facilities and amenity of what is offered in exchange compares to that of the lot.</w:t>
      </w:r>
    </w:p>
    <w:p>
      <w:pPr>
        <w:pStyle w:val="Subsection"/>
        <w:keepNext/>
      </w:pPr>
      <w:r>
        <w:tab/>
        <w:t>(12)</w:t>
      </w:r>
      <w:r>
        <w:tab/>
        <w:t>Without limiting the factors that the Tribunal can take into account under subsection (9)(c), the Tribunal must consider the following —</w:t>
      </w:r>
    </w:p>
    <w:p>
      <w:pPr>
        <w:pStyle w:val="Indenta"/>
        <w:keepNext/>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of or the full proposal for the termination of the strata titles scheme;</w:t>
      </w:r>
    </w:p>
    <w:p>
      <w:pPr>
        <w:pStyle w:val="Indenta"/>
      </w:pPr>
      <w:r>
        <w:tab/>
        <w:t>(b)</w:t>
      </w:r>
      <w:r>
        <w:tab/>
        <w:t>the proportion of owners of lots in favour of and against the termination proposal in terms of numbers of lots and in terms of unit entitlements of lots;</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the strata titles scheme to buy back into the subdivided land following redevelopment;</w:t>
      </w:r>
    </w:p>
    <w:p>
      <w:pPr>
        <w:pStyle w:val="Indenta"/>
      </w:pPr>
      <w:r>
        <w:tab/>
        <w:t>(e)</w:t>
      </w:r>
      <w:r>
        <w:tab/>
        <w:t>the benefits and detriments of the termination proposal proceeding or not proceeding for all those whose interests must be taken into account.</w:t>
      </w:r>
    </w:p>
    <w:p>
      <w:pPr>
        <w:pStyle w:val="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Subsection"/>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Subsection"/>
      </w:pPr>
      <w:r>
        <w:tab/>
        <w:t>(16)</w:t>
      </w:r>
      <w:r>
        <w:tab/>
        <w:t>Subsection (15) does not apply to an owner in the capacity of a proponent of the termination proposal.</w:t>
      </w:r>
    </w:p>
    <w:p>
      <w:pPr>
        <w:pStyle w:val="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in the strata titles scheme must execute a transfer of ownership of the lot; or</w:t>
      </w:r>
    </w:p>
    <w:p>
      <w:pPr>
        <w:pStyle w:val="Indenta"/>
      </w:pPr>
      <w:r>
        <w:tab/>
        <w:t>(b)</w:t>
      </w:r>
      <w:r>
        <w:tab/>
        <w:t>if there is a duplicate certificate of title for a lot in the strata titles scheme, the owner of the lot must deliver the duplicate certificate of title to the Registrar of Titles; or</w:t>
      </w:r>
    </w:p>
    <w:p>
      <w:pPr>
        <w:pStyle w:val="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Indenta"/>
      </w:pPr>
      <w:r>
        <w:tab/>
        <w:t>(d)</w:t>
      </w:r>
      <w:r>
        <w:tab/>
        <w:t>the occupier of a lot or the common property in the strata titles scheme must vacate the lot or common property.</w:t>
      </w:r>
    </w:p>
    <w:p>
      <w:pPr>
        <w:pStyle w:val="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strata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Indenta"/>
      </w:pPr>
      <w:r>
        <w:tab/>
        <w:t>(a)</w:t>
      </w:r>
      <w:r>
        <w:tab/>
        <w:t>the lease or licence is terminated on the termination of the strata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(22)</w:t>
      </w:r>
      <w:r>
        <w:tab/>
        <w:t>The Tribunal’s powers under this section are exercisable only by a judicial member (or by the Tribunal constituted of a judicial member and other members).</w:t>
      </w:r>
    </w:p>
    <w:p>
      <w:pPr>
        <w:pStyle w:val="Subsection"/>
      </w:pPr>
      <w:r>
        <w:tab/>
        <w:t>(23)</w:t>
      </w:r>
      <w:r>
        <w:tab/>
        <w:t>A strata company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Footnotesection"/>
      </w:pPr>
      <w:r>
        <w:tab/>
        <w:t>[Section 183 inserted: No. 30 of 2018 s. 83.]</w:t>
      </w:r>
    </w:p>
    <w:p>
      <w:pPr>
        <w:pStyle w:val="Heading5"/>
      </w:pPr>
      <w:bookmarkStart w:id="625" w:name="_Toc106986826"/>
      <w:bookmarkStart w:id="626" w:name="_Toc100565124"/>
      <w:r>
        <w:rPr>
          <w:rStyle w:val="CharSectno"/>
        </w:rPr>
        <w:t>184</w:t>
      </w:r>
      <w:r>
        <w:t>.</w:t>
      </w:r>
      <w:r>
        <w:tab/>
        <w:t>Endorsement of subdivision approval on plan</w:t>
      </w:r>
      <w:bookmarkEnd w:id="625"/>
      <w:bookmarkEnd w:id="626"/>
    </w:p>
    <w:p>
      <w:pPr>
        <w:pStyle w:val="Subsection"/>
      </w:pPr>
      <w:r>
        <w:tab/>
        <w:t>(1)</w:t>
      </w:r>
      <w:r>
        <w:tab/>
        <w:t>If a termination proposal can proceed further under section 182 (including, if required, because the Tribunal confirms the termination resolution under section 183) —</w:t>
      </w:r>
    </w:p>
    <w:p>
      <w:pPr>
        <w:pStyle w:val="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Indenta"/>
      </w:pPr>
      <w:r>
        <w:tab/>
        <w:t>(b)</w:t>
      </w:r>
      <w:r>
        <w:tab/>
        <w:t xml:space="preserve">the owner of the land is taken to have consented to the proponent making the request under the </w:t>
      </w:r>
      <w:r>
        <w:rPr>
          <w:i/>
        </w:rPr>
        <w:t>Planning and Development Act 2005</w:t>
      </w:r>
      <w:r>
        <w:t>.</w:t>
      </w:r>
    </w:p>
    <w:p>
      <w:pPr>
        <w:pStyle w:val="Subsection"/>
      </w:pPr>
      <w:r>
        <w:tab/>
        <w:t>(2)</w:t>
      </w:r>
      <w:r>
        <w:tab/>
        <w:t xml:space="preserve">The </w:t>
      </w:r>
      <w:r>
        <w:rPr>
          <w:i/>
        </w:rPr>
        <w:t>Planning and Development Act 2005</w:t>
      </w:r>
      <w:r>
        <w:t xml:space="preserve"> applies to a request under subsection (1) subject to any appropriate modifications.</w:t>
      </w:r>
    </w:p>
    <w:p>
      <w:pPr>
        <w:pStyle w:val="Footnotesection"/>
      </w:pPr>
      <w:r>
        <w:tab/>
        <w:t>[Section 184 inserted: No. 30 of 2018 s. 83.]</w:t>
      </w:r>
    </w:p>
    <w:p>
      <w:pPr>
        <w:pStyle w:val="Heading5"/>
      </w:pPr>
      <w:bookmarkStart w:id="627" w:name="_Toc106986827"/>
      <w:bookmarkStart w:id="628" w:name="_Toc100565125"/>
      <w:r>
        <w:rPr>
          <w:rStyle w:val="CharSectno"/>
        </w:rPr>
        <w:t>185</w:t>
      </w:r>
      <w:r>
        <w:t>.</w:t>
      </w:r>
      <w:r>
        <w:tab/>
        <w:t>Application for termination of scheme</w:t>
      </w:r>
      <w:bookmarkEnd w:id="627"/>
      <w:bookmarkEnd w:id="628"/>
    </w:p>
    <w:p>
      <w:pPr>
        <w:pStyle w:val="Subsection"/>
      </w:pPr>
      <w:r>
        <w:tab/>
        <w:t>(1)</w:t>
      </w:r>
      <w:r>
        <w:tab/>
        <w:t>The proponent of a termination proposal can make an application for termination of a strata titles scheme if —</w:t>
      </w:r>
    </w:p>
    <w:p>
      <w:pPr>
        <w:pStyle w:val="Indenta"/>
      </w:pPr>
      <w:r>
        <w:tab/>
        <w:t>(a)</w:t>
      </w:r>
      <w:r>
        <w:tab/>
        <w:t>the relevant approval has been obtained as set out in section 184; and</w:t>
      </w:r>
    </w:p>
    <w:p>
      <w:pPr>
        <w:pStyle w:val="Indenta"/>
      </w:pPr>
      <w:r>
        <w:tab/>
        <w:t>(b)</w:t>
      </w:r>
      <w:r>
        <w:tab/>
        <w:t>the steps required to be taken before termination of the scheme for winding up the strata company under the termination proposal or an order under section 192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Footnotesection"/>
      </w:pPr>
      <w:r>
        <w:tab/>
        <w:t>[Section 185 inserted: No. 30 of 2018 s. 83.]</w:t>
      </w:r>
    </w:p>
    <w:p>
      <w:pPr>
        <w:pStyle w:val="Heading5"/>
      </w:pPr>
      <w:bookmarkStart w:id="629" w:name="_Toc106986828"/>
      <w:bookmarkStart w:id="630" w:name="_Toc100565126"/>
      <w:r>
        <w:rPr>
          <w:rStyle w:val="CharSectno"/>
        </w:rPr>
        <w:t>186</w:t>
      </w:r>
      <w:r>
        <w:t>.</w:t>
      </w:r>
      <w:r>
        <w:tab/>
        <w:t>Withdrawal of termination proposal</w:t>
      </w:r>
      <w:bookmarkEnd w:id="629"/>
      <w:bookmarkEnd w:id="630"/>
    </w:p>
    <w:p>
      <w:pPr>
        <w:pStyle w:val="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Subsection"/>
      </w:pPr>
      <w:r>
        <w:tab/>
        <w:t>(2)</w:t>
      </w:r>
      <w:r>
        <w:tab/>
        <w:t>A strata company that is given written notice of the withdrawal of a termination proposal from the proponent of the proposal must, within 14 days after being given the notice —</w:t>
      </w:r>
    </w:p>
    <w:p>
      <w:pPr>
        <w:pStyle w:val="Indenta"/>
      </w:pPr>
      <w:r>
        <w:tab/>
        <w:t>(a)</w:t>
      </w:r>
      <w:r>
        <w:tab/>
        <w:t>serve the notice on each person who is —</w:t>
      </w:r>
    </w:p>
    <w:p>
      <w:pPr>
        <w:pStyle w:val="Indenti"/>
      </w:pPr>
      <w:r>
        <w:tab/>
        <w:t>(i)</w:t>
      </w:r>
      <w:r>
        <w:tab/>
        <w:t>the owner of a lot in the strata titles scheme; or</w:t>
      </w:r>
    </w:p>
    <w:p>
      <w:pPr>
        <w:pStyle w:val="Indenti"/>
      </w:pPr>
      <w:r>
        <w:tab/>
        <w:t>(ii)</w:t>
      </w:r>
      <w:r>
        <w:tab/>
        <w:t>if the full proposal for the termination of the strata titles scheme has been served by the strata company — the occupier of a lot or the common property in the strata titles scheme; or</w:t>
      </w:r>
    </w:p>
    <w:p>
      <w:pPr>
        <w:pStyle w:val="Indenti"/>
      </w:pPr>
      <w:r>
        <w:tab/>
        <w:t>(iii)</w:t>
      </w:r>
      <w:r>
        <w:tab/>
        <w:t>a registered mortgagee of a lot in the strata titles scheme;</w:t>
      </w:r>
    </w:p>
    <w:p>
      <w:pPr>
        <w:pStyle w:val="Indenta"/>
      </w:pPr>
      <w:r>
        <w:tab/>
      </w:r>
      <w:r>
        <w:tab/>
        <w:t>and</w:t>
      </w:r>
    </w:p>
    <w:p>
      <w:pPr>
        <w:pStyle w:val="Indenta"/>
      </w:pPr>
      <w:r>
        <w:tab/>
        <w:t>(b)</w:t>
      </w:r>
      <w:r>
        <w:tab/>
        <w:t>lodge with the Registrar of Titles notice of the withdrawal of the proposal in the approved form.</w:t>
      </w:r>
    </w:p>
    <w:p>
      <w:pPr>
        <w:pStyle w:val="Footnotesection"/>
      </w:pPr>
      <w:r>
        <w:tab/>
        <w:t>[Section 186 inserted: No. 30 of 2018 s. 83.]</w:t>
      </w:r>
    </w:p>
    <w:p>
      <w:pPr>
        <w:pStyle w:val="Heading5"/>
      </w:pPr>
      <w:bookmarkStart w:id="631" w:name="_Toc106986829"/>
      <w:bookmarkStart w:id="632" w:name="_Toc100565127"/>
      <w:r>
        <w:rPr>
          <w:rStyle w:val="CharSectno"/>
        </w:rPr>
        <w:t>187</w:t>
      </w:r>
      <w:r>
        <w:t>.</w:t>
      </w:r>
      <w:r>
        <w:tab/>
        <w:t>Notice that termination proposal cannot proceed further</w:t>
      </w:r>
      <w:bookmarkEnd w:id="631"/>
      <w:bookmarkEnd w:id="632"/>
    </w:p>
    <w:p>
      <w:pPr>
        <w:pStyle w:val="Subsection"/>
      </w:pPr>
      <w:r>
        <w:tab/>
        <w:t>(1)</w:t>
      </w:r>
      <w:r>
        <w:tab/>
        <w:t>This section applies if a termination proposal cannot proceed further for any of the following reasons —</w:t>
      </w:r>
    </w:p>
    <w:p>
      <w:pPr>
        <w:pStyle w:val="Indenta"/>
      </w:pPr>
      <w:r>
        <w:tab/>
        <w:t>(a)</w:t>
      </w:r>
      <w:r>
        <w:tab/>
        <w:t>at the end of 3 months after the outline of the termination proposal has been submitted to the strata company, the requirements of section 176 have not been met;</w:t>
      </w:r>
    </w:p>
    <w:p>
      <w:pPr>
        <w:pStyle w:val="Indenta"/>
      </w:pPr>
      <w:r>
        <w:tab/>
        <w:t>(b)</w:t>
      </w:r>
      <w:r>
        <w:tab/>
        <w:t>at the end of 3 months after the full proposal has been submitted to the strata company, the requirements of section 180 have not been met;</w:t>
      </w:r>
    </w:p>
    <w:p>
      <w:pPr>
        <w:pStyle w:val="Indenta"/>
      </w:pPr>
      <w:r>
        <w:tab/>
        <w:t>(c)</w:t>
      </w:r>
      <w:r>
        <w:tab/>
        <w:t>at the end of 6 months after service of the full proposal by the strata company, a termination resolution has not been passed;</w:t>
      </w:r>
    </w:p>
    <w:p>
      <w:pPr>
        <w:pStyle w:val="Indenta"/>
      </w:pPr>
      <w:r>
        <w:tab/>
        <w:t>(d)</w:t>
      </w:r>
      <w:r>
        <w:tab/>
        <w:t>at the end of 12 months after a termination resolution that does not require the confirmation of the Tribunal has been passed, no application for termination of the strata titles scheme has been made;</w:t>
      </w:r>
    </w:p>
    <w:p>
      <w:pPr>
        <w:pStyle w:val="Indenta"/>
      </w:pPr>
      <w:r>
        <w:tab/>
        <w:t>(e)</w:t>
      </w:r>
      <w:r>
        <w:tab/>
        <w:t>the termination resolution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183 confirming the termination resolution, no application for termination of the strata titles scheme has been made.</w:t>
      </w:r>
    </w:p>
    <w:p>
      <w:pPr>
        <w:pStyle w:val="Subsection"/>
        <w:keepNext/>
      </w:pPr>
      <w:r>
        <w:tab/>
        <w:t>(2)</w:t>
      </w:r>
      <w:r>
        <w:tab/>
        <w:t>If this section applies, the strata company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for a leasehold scheme, the owner of the leasehold scheme; and</w:t>
      </w:r>
    </w:p>
    <w:p>
      <w:pPr>
        <w:pStyle w:val="Indenti"/>
      </w:pPr>
      <w:r>
        <w:tab/>
        <w:t>(iii)</w:t>
      </w:r>
      <w:r>
        <w:tab/>
        <w:t>each member of the strata company.</w:t>
      </w:r>
    </w:p>
    <w:p>
      <w:pPr>
        <w:pStyle w:val="Footnotesection"/>
      </w:pPr>
      <w:r>
        <w:tab/>
        <w:t>[Section 187 inserted: No. 30 of 2018 s. 83.]</w:t>
      </w:r>
    </w:p>
    <w:p>
      <w:pPr>
        <w:pStyle w:val="Heading5"/>
      </w:pPr>
      <w:bookmarkStart w:id="633" w:name="_Toc106986830"/>
      <w:bookmarkStart w:id="634" w:name="_Toc100565128"/>
      <w:r>
        <w:rPr>
          <w:rStyle w:val="CharSectno"/>
        </w:rPr>
        <w:t>188</w:t>
      </w:r>
      <w:r>
        <w:t>.</w:t>
      </w:r>
      <w:r>
        <w:tab/>
        <w:t>Notices received by Registrar of Titles</w:t>
      </w:r>
      <w:bookmarkEnd w:id="633"/>
      <w:bookmarkEnd w:id="634"/>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Footnotesection"/>
      </w:pPr>
      <w:r>
        <w:tab/>
        <w:t>[Section 188 inserted: No. 30 of 2018 s. 83.]</w:t>
      </w:r>
    </w:p>
    <w:p>
      <w:pPr>
        <w:pStyle w:val="Heading5"/>
      </w:pPr>
      <w:bookmarkStart w:id="635" w:name="_Toc106986831"/>
      <w:bookmarkStart w:id="636" w:name="_Toc100565129"/>
      <w:r>
        <w:rPr>
          <w:rStyle w:val="CharSectno"/>
        </w:rPr>
        <w:t>189</w:t>
      </w:r>
      <w:r>
        <w:t>.</w:t>
      </w:r>
      <w:r>
        <w:tab/>
        <w:t>Costs of process</w:t>
      </w:r>
      <w:bookmarkEnd w:id="635"/>
      <w:bookmarkEnd w:id="636"/>
    </w:p>
    <w:p>
      <w:pPr>
        <w:pStyle w:val="Subsection"/>
      </w:pPr>
      <w:r>
        <w:tab/>
        <w:t>(1)</w:t>
      </w:r>
      <w:r>
        <w:tab/>
        <w:t>A strata company may charge the proponent of a termination proposal reasonable fees to cover costs associated with undertaking an activity under this Division.</w:t>
      </w:r>
    </w:p>
    <w:p>
      <w:pPr>
        <w:pStyle w:val="Subsection"/>
      </w:pPr>
      <w:r>
        <w:tab/>
        <w:t>(2)</w:t>
      </w:r>
      <w:r>
        <w:tab/>
        <w:t>The fees must not exceed any limits imposed by the regulations.</w:t>
      </w:r>
    </w:p>
    <w:p>
      <w:pPr>
        <w:pStyle w:val="Subsection"/>
      </w:pPr>
      <w:r>
        <w:tab/>
        <w:t>(3)</w:t>
      </w:r>
      <w:r>
        <w:tab/>
        <w:t>A strata company need not undertake the relevant activity until the fees have been paid.</w:t>
      </w:r>
    </w:p>
    <w:p>
      <w:pPr>
        <w:pStyle w:val="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Footnotesection"/>
      </w:pPr>
      <w:r>
        <w:tab/>
        <w:t>[Section 189 inserted: No. 30 of 2018 s. 83.]</w:t>
      </w:r>
    </w:p>
    <w:p>
      <w:pPr>
        <w:pStyle w:val="Heading5"/>
      </w:pPr>
      <w:bookmarkStart w:id="637" w:name="_Toc106986832"/>
      <w:bookmarkStart w:id="638" w:name="_Toc100565130"/>
      <w:r>
        <w:rPr>
          <w:rStyle w:val="CharSectno"/>
        </w:rPr>
        <w:t>190</w:t>
      </w:r>
      <w:r>
        <w:t>.</w:t>
      </w:r>
      <w:r>
        <w:tab/>
        <w:t>Arrangements for independent advice or representation for owners</w:t>
      </w:r>
      <w:bookmarkEnd w:id="637"/>
      <w:bookmarkEnd w:id="638"/>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keepNext/>
        <w:keepLines/>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Footnotesection"/>
      </w:pPr>
      <w:r>
        <w:tab/>
        <w:t>[Section 190 inserted: No. 30 of 2018 s. 83.]</w:t>
      </w:r>
    </w:p>
    <w:p>
      <w:pPr>
        <w:pStyle w:val="Heading3"/>
      </w:pPr>
      <w:bookmarkStart w:id="639" w:name="_Toc106986397"/>
      <w:bookmarkStart w:id="640" w:name="_Toc106986833"/>
      <w:bookmarkStart w:id="641" w:name="_Toc100308411"/>
      <w:bookmarkStart w:id="642" w:name="_Toc100308847"/>
      <w:bookmarkStart w:id="643" w:name="_Toc100565131"/>
      <w:r>
        <w:rPr>
          <w:rStyle w:val="CharDivNo"/>
        </w:rPr>
        <w:t>Division 4</w:t>
      </w:r>
      <w:r>
        <w:t> — </w:t>
      </w:r>
      <w:r>
        <w:rPr>
          <w:rStyle w:val="CharDivText"/>
        </w:rPr>
        <w:t>Termination by single owner</w:t>
      </w:r>
      <w:bookmarkEnd w:id="639"/>
      <w:bookmarkEnd w:id="640"/>
      <w:bookmarkEnd w:id="641"/>
      <w:bookmarkEnd w:id="642"/>
      <w:bookmarkEnd w:id="643"/>
    </w:p>
    <w:p>
      <w:pPr>
        <w:pStyle w:val="Footnoteheading"/>
      </w:pPr>
      <w:r>
        <w:tab/>
        <w:t>[Heading inserted: No. 30 of 2018 s. 83.]</w:t>
      </w:r>
    </w:p>
    <w:p>
      <w:pPr>
        <w:pStyle w:val="Heading5"/>
      </w:pPr>
      <w:bookmarkStart w:id="644" w:name="_Toc106986834"/>
      <w:bookmarkStart w:id="645" w:name="_Toc100565132"/>
      <w:r>
        <w:rPr>
          <w:rStyle w:val="CharSectno"/>
        </w:rPr>
        <w:t>191</w:t>
      </w:r>
      <w:r>
        <w:t>.</w:t>
      </w:r>
      <w:r>
        <w:tab/>
        <w:t>Application for termination by single owner</w:t>
      </w:r>
      <w:bookmarkEnd w:id="644"/>
      <w:bookmarkEnd w:id="645"/>
    </w:p>
    <w:p>
      <w:pPr>
        <w:pStyle w:val="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Indenta"/>
      </w:pPr>
      <w:r>
        <w:tab/>
        <w:t>(a)</w:t>
      </w:r>
      <w:r>
        <w:tab/>
        <w:t>a plan of subdivision for the termination of the scheme has been approved (that is, for the parcel to cease being subdivided by a strata titles scheme); and</w:t>
      </w:r>
    </w:p>
    <w:p>
      <w:pPr>
        <w:pStyle w:val="Indenta"/>
      </w:pPr>
      <w:r>
        <w:tab/>
        <w:t>(b)</w:t>
      </w:r>
      <w:r>
        <w:tab/>
        <w:t>a diagram or plan of survey has been endorsed with that approval.</w:t>
      </w:r>
    </w:p>
    <w:p>
      <w:pPr>
        <w:pStyle w:val="Subsection"/>
      </w:pPr>
      <w:r>
        <w:tab/>
        <w:t>(2)</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strata titles scheme; and</w:t>
      </w:r>
    </w:p>
    <w:p>
      <w:pPr>
        <w:pStyle w:val="Indenta"/>
      </w:pPr>
      <w:r>
        <w:tab/>
        <w:t>(b)</w:t>
      </w:r>
      <w:r>
        <w:tab/>
        <w:t>any other appropriate modifications.</w:t>
      </w:r>
    </w:p>
    <w:p>
      <w:pPr>
        <w:pStyle w:val="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Footnotesection"/>
      </w:pPr>
      <w:r>
        <w:tab/>
        <w:t>[Section 191 inserted: No. 30 of 2018 s. 83.]</w:t>
      </w:r>
    </w:p>
    <w:p>
      <w:pPr>
        <w:pStyle w:val="Heading3"/>
      </w:pPr>
      <w:bookmarkStart w:id="646" w:name="_Toc106986399"/>
      <w:bookmarkStart w:id="647" w:name="_Toc106986835"/>
      <w:bookmarkStart w:id="648" w:name="_Toc100308413"/>
      <w:bookmarkStart w:id="649" w:name="_Toc100308849"/>
      <w:bookmarkStart w:id="650" w:name="_Toc100565133"/>
      <w:r>
        <w:rPr>
          <w:rStyle w:val="CharDivNo"/>
        </w:rPr>
        <w:t>Division 5</w:t>
      </w:r>
      <w:r>
        <w:t> — </w:t>
      </w:r>
      <w:r>
        <w:rPr>
          <w:rStyle w:val="CharDivText"/>
        </w:rPr>
        <w:t>Directions for winding up of strata company</w:t>
      </w:r>
      <w:bookmarkEnd w:id="646"/>
      <w:bookmarkEnd w:id="647"/>
      <w:bookmarkEnd w:id="648"/>
      <w:bookmarkEnd w:id="649"/>
      <w:bookmarkEnd w:id="650"/>
    </w:p>
    <w:p>
      <w:pPr>
        <w:pStyle w:val="Footnoteheading"/>
      </w:pPr>
      <w:r>
        <w:tab/>
        <w:t>[Heading inserted: No. 30 of 2018 s. 83.]</w:t>
      </w:r>
    </w:p>
    <w:p>
      <w:pPr>
        <w:pStyle w:val="Heading5"/>
      </w:pPr>
      <w:bookmarkStart w:id="651" w:name="_Toc106986836"/>
      <w:bookmarkStart w:id="652" w:name="_Toc100565134"/>
      <w:r>
        <w:rPr>
          <w:rStyle w:val="CharSectno"/>
        </w:rPr>
        <w:t>192</w:t>
      </w:r>
      <w:r>
        <w:t>.</w:t>
      </w:r>
      <w:r>
        <w:tab/>
        <w:t>Order for directions about winding up of strata company</w:t>
      </w:r>
      <w:bookmarkEnd w:id="651"/>
      <w:bookmarkEnd w:id="652"/>
    </w:p>
    <w:p>
      <w:pPr>
        <w:pStyle w:val="Subsection"/>
      </w:pPr>
      <w:r>
        <w:tab/>
        <w:t>(1)</w:t>
      </w:r>
      <w:r>
        <w:tab/>
        <w:t>Before a strata titles scheme is terminated, an application may be made to the Tribunal for an order for directions about winding up the strata company by —</w:t>
      </w:r>
    </w:p>
    <w:p>
      <w:pPr>
        <w:pStyle w:val="Indenta"/>
      </w:pPr>
      <w:r>
        <w:tab/>
        <w:t>(a)</w:t>
      </w:r>
      <w:r>
        <w:tab/>
        <w:t>an owner of a lot in the scheme; or</w:t>
      </w:r>
    </w:p>
    <w:p>
      <w:pPr>
        <w:pStyle w:val="Indenta"/>
      </w:pPr>
      <w:r>
        <w:tab/>
        <w:t>(b)</w:t>
      </w:r>
      <w:r>
        <w:tab/>
        <w:t>a registered mortgagee of a lot in the scheme; or</w:t>
      </w:r>
    </w:p>
    <w:p>
      <w:pPr>
        <w:pStyle w:val="Indenta"/>
      </w:pPr>
      <w:r>
        <w:tab/>
        <w:t>(c)</w:t>
      </w:r>
      <w:r>
        <w:tab/>
        <w:t>the strata company; or</w:t>
      </w:r>
    </w:p>
    <w:p>
      <w:pPr>
        <w:pStyle w:val="Indenta"/>
      </w:pPr>
      <w:r>
        <w:tab/>
        <w:t>(d)</w:t>
      </w:r>
      <w:r>
        <w:tab/>
        <w:t>a judgement creditor of the strata company; or</w:t>
      </w:r>
    </w:p>
    <w:p>
      <w:pPr>
        <w:pStyle w:val="Indenta"/>
      </w:pPr>
      <w:r>
        <w:tab/>
        <w:t>(e)</w:t>
      </w:r>
      <w:r>
        <w:tab/>
        <w:t>for a leasehold scheme, the owner of the leasehold scheme.</w:t>
      </w:r>
    </w:p>
    <w:p>
      <w:pPr>
        <w:pStyle w:val="Subsection"/>
      </w:pPr>
      <w:r>
        <w:tab/>
        <w:t>(2)</w:t>
      </w:r>
      <w:r>
        <w:tab/>
        <w:t>If proceedings are before the Tribunal under section 183, the application may be made in those proceedings.</w:t>
      </w:r>
    </w:p>
    <w:p>
      <w:pPr>
        <w:pStyle w:val="Subsection"/>
      </w:pPr>
      <w:r>
        <w:tab/>
        <w:t>(3)</w:t>
      </w:r>
      <w:r>
        <w:tab/>
        <w:t>Without limitation, an order under this section may include directions for —</w:t>
      </w:r>
    </w:p>
    <w:p>
      <w:pPr>
        <w:pStyle w:val="Indenta"/>
      </w:pPr>
      <w:r>
        <w:tab/>
        <w:t>(a)</w:t>
      </w:r>
      <w:r>
        <w:tab/>
        <w:t>the sale or disposition of property of the strata company (including to whom and how proceeds must be disbursed); or</w:t>
      </w:r>
    </w:p>
    <w:p>
      <w:pPr>
        <w:pStyle w:val="Indenta"/>
      </w:pPr>
      <w:r>
        <w:tab/>
        <w:t>(b)</w:t>
      </w:r>
      <w:r>
        <w:tab/>
        <w:t>the discharge of the liabilities of the strata company; or</w:t>
      </w:r>
    </w:p>
    <w:p>
      <w:pPr>
        <w:pStyle w:val="Indenta"/>
      </w:pPr>
      <w:r>
        <w:tab/>
        <w:t>(c)</w:t>
      </w:r>
      <w:r>
        <w:tab/>
        <w:t>the administration and functions of the strata company.</w:t>
      </w:r>
    </w:p>
    <w:p>
      <w:pPr>
        <w:pStyle w:val="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strata company to the extent of any inconsistency.</w:t>
      </w:r>
    </w:p>
    <w:p>
      <w:pPr>
        <w:pStyle w:val="Footnotesection"/>
      </w:pPr>
      <w:r>
        <w:tab/>
        <w:t>[Section 192 inserted: No. 30 of 2018 s. 83.]</w:t>
      </w:r>
    </w:p>
    <w:p>
      <w:pPr>
        <w:pStyle w:val="Heading3"/>
      </w:pPr>
      <w:bookmarkStart w:id="653" w:name="_Toc106986401"/>
      <w:bookmarkStart w:id="654" w:name="_Toc106986837"/>
      <w:bookmarkStart w:id="655" w:name="_Toc100308415"/>
      <w:bookmarkStart w:id="656" w:name="_Toc100308851"/>
      <w:bookmarkStart w:id="657" w:name="_Toc100565135"/>
      <w:r>
        <w:rPr>
          <w:rStyle w:val="CharDivNo"/>
        </w:rPr>
        <w:t>Division 6</w:t>
      </w:r>
      <w:r>
        <w:t> — </w:t>
      </w:r>
      <w:r>
        <w:rPr>
          <w:rStyle w:val="CharDivText"/>
        </w:rPr>
        <w:t>Notice, application and registration process</w:t>
      </w:r>
      <w:bookmarkEnd w:id="653"/>
      <w:bookmarkEnd w:id="654"/>
      <w:bookmarkEnd w:id="655"/>
      <w:bookmarkEnd w:id="656"/>
      <w:bookmarkEnd w:id="657"/>
    </w:p>
    <w:p>
      <w:pPr>
        <w:pStyle w:val="Footnoteheading"/>
        <w:keepNext/>
      </w:pPr>
      <w:r>
        <w:tab/>
        <w:t>[Heading inserted: No. 30 of 2018 s. 83.]</w:t>
      </w:r>
    </w:p>
    <w:p>
      <w:pPr>
        <w:pStyle w:val="Heading5"/>
      </w:pPr>
      <w:bookmarkStart w:id="658" w:name="_Toc106986838"/>
      <w:bookmarkStart w:id="659" w:name="_Toc100565136"/>
      <w:r>
        <w:rPr>
          <w:rStyle w:val="CharSectno"/>
        </w:rPr>
        <w:t>193</w:t>
      </w:r>
      <w:r>
        <w:t>.</w:t>
      </w:r>
      <w:r>
        <w:tab/>
        <w:t>Notice of expiry or application for termination of scheme</w:t>
      </w:r>
      <w:bookmarkEnd w:id="658"/>
      <w:bookmarkEnd w:id="659"/>
    </w:p>
    <w:p>
      <w:pPr>
        <w:pStyle w:val="Subsection"/>
      </w:pPr>
      <w:r>
        <w:tab/>
        <w:t>(1)</w:t>
      </w:r>
      <w:r>
        <w:tab/>
        <w:t>A notice of the expiry of a leasehold scheme or an application for termination of a strata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Indenta"/>
      </w:pPr>
      <w:r>
        <w:tab/>
        <w:t>(d)</w:t>
      </w:r>
      <w:r>
        <w:tab/>
        <w:t>be accompanied by evidence in the approved form that the requirements of this Act for the termination of the scheme have been complied with; and</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Footnotesection"/>
      </w:pPr>
      <w:r>
        <w:tab/>
        <w:t>[Section 193 inserted: No. 30 of 2018 s. 83.]</w:t>
      </w:r>
    </w:p>
    <w:p>
      <w:pPr>
        <w:pStyle w:val="Heading5"/>
      </w:pPr>
      <w:bookmarkStart w:id="660" w:name="_Toc106986839"/>
      <w:bookmarkStart w:id="661" w:name="_Toc100565137"/>
      <w:r>
        <w:rPr>
          <w:rStyle w:val="CharSectno"/>
        </w:rPr>
        <w:t>194</w:t>
      </w:r>
      <w:r>
        <w:t>.</w:t>
      </w:r>
      <w:r>
        <w:tab/>
        <w:t>Registration process for termination of scheme</w:t>
      </w:r>
      <w:bookmarkEnd w:id="660"/>
      <w:bookmarkEnd w:id="661"/>
    </w:p>
    <w:p>
      <w:pPr>
        <w:pStyle w:val="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for a leasehold scheme, record on or in connection with the certificate of title for the parcel the fact that the scheme is terminated.</w:t>
      </w:r>
    </w:p>
    <w:p>
      <w:pPr>
        <w:pStyle w:val="Subsection"/>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Indenta"/>
      </w:pPr>
      <w:r>
        <w:tab/>
        <w:t>(a)</w:t>
      </w:r>
      <w:r>
        <w:tab/>
        <w:t>cancel the registration of the strata titles scheme; and</w:t>
      </w:r>
    </w:p>
    <w:p>
      <w:pPr>
        <w:pStyle w:val="Indenta"/>
      </w:pPr>
      <w:r>
        <w:tab/>
        <w:t>(b)</w:t>
      </w:r>
      <w:r>
        <w:tab/>
        <w:t>cancel the certificates of title for the lots in the strata titles scheme; and</w:t>
      </w:r>
    </w:p>
    <w:p>
      <w:pPr>
        <w:pStyle w:val="Indenta"/>
      </w:pPr>
      <w:r>
        <w:tab/>
        <w:t>(c)</w:t>
      </w:r>
      <w:r>
        <w:tab/>
        <w:t>record on or in connection with the certificate of title for the parcel the fact that the scheme is terminated.</w:t>
      </w:r>
    </w:p>
    <w:p>
      <w:pPr>
        <w:pStyle w:val="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Footnotesection"/>
      </w:pPr>
      <w:r>
        <w:tab/>
        <w:t>[Section 194 inserted: No. 30 of 2018 s. 83.]</w:t>
      </w:r>
    </w:p>
    <w:p>
      <w:pPr>
        <w:pStyle w:val="Heading5"/>
      </w:pPr>
      <w:bookmarkStart w:id="662" w:name="_Toc106986840"/>
      <w:bookmarkStart w:id="663" w:name="_Toc100565138"/>
      <w:r>
        <w:rPr>
          <w:rStyle w:val="CharSectno"/>
        </w:rPr>
        <w:t>195</w:t>
      </w:r>
      <w:r>
        <w:t>.</w:t>
      </w:r>
      <w:r>
        <w:tab/>
        <w:t>Effect of termination of scheme</w:t>
      </w:r>
      <w:bookmarkEnd w:id="662"/>
      <w:bookmarkEnd w:id="663"/>
    </w:p>
    <w:p>
      <w:pPr>
        <w:pStyle w:val="Subsection"/>
      </w:pPr>
      <w:r>
        <w:tab/>
        <w:t>(1)</w:t>
      </w:r>
      <w:r>
        <w:tab/>
        <w:t>A strata titles scheme is terminated —</w:t>
      </w:r>
    </w:p>
    <w:p>
      <w:pPr>
        <w:pStyle w:val="Indenta"/>
      </w:pPr>
      <w:r>
        <w:tab/>
        <w:t>(a)</w:t>
      </w:r>
      <w:r>
        <w:tab/>
        <w:t>for a leasehold scheme —</w:t>
      </w:r>
    </w:p>
    <w:p>
      <w:pPr>
        <w:pStyle w:val="Indenti"/>
      </w:pPr>
      <w:r>
        <w:tab/>
        <w:t>(i)</w:t>
      </w:r>
      <w:r>
        <w:tab/>
        <w:t>at the end of the expiry day for the scheme; or</w:t>
      </w:r>
    </w:p>
    <w:p>
      <w:pPr>
        <w:pStyle w:val="Indenti"/>
      </w:pPr>
      <w:r>
        <w:tab/>
        <w:t>(ii)</w:t>
      </w:r>
      <w:r>
        <w:tab/>
        <w:t>if the registration of the scheme is cancelled before that day, when the cancellation of the registration of the scheme is registered or recorded by the Registrar of Titles;</w:t>
      </w:r>
    </w:p>
    <w:p>
      <w:pPr>
        <w:pStyle w:val="Indenta"/>
      </w:pPr>
      <w:r>
        <w:tab/>
      </w:r>
      <w:r>
        <w:tab/>
        <w:t>or</w:t>
      </w:r>
    </w:p>
    <w:p>
      <w:pPr>
        <w:pStyle w:val="Indenta"/>
      </w:pPr>
      <w:r>
        <w:tab/>
        <w:t>(b)</w:t>
      </w:r>
      <w:r>
        <w:tab/>
        <w:t>for a freehold scheme, when cancellation of the registration of the scheme is registered or recorded by the Registrar of Titles.</w:t>
      </w:r>
    </w:p>
    <w:p>
      <w:pPr>
        <w:pStyle w:val="Subsection"/>
      </w:pPr>
      <w:r>
        <w:tab/>
        <w:t>(2)</w:t>
      </w:r>
      <w:r>
        <w:tab/>
        <w:t>On termination of a strata titles scheme, the following occur —</w:t>
      </w:r>
    </w:p>
    <w:p>
      <w:pPr>
        <w:pStyle w:val="Indenta"/>
      </w:pPr>
      <w:r>
        <w:tab/>
        <w:t>(a)</w:t>
      </w:r>
      <w:r>
        <w:tab/>
        <w:t>the scheme documents cease to have any effect;</w:t>
      </w:r>
    </w:p>
    <w:p>
      <w:pPr>
        <w:pStyle w:val="Indenta"/>
      </w:pPr>
      <w:r>
        <w:tab/>
        <w:t>(b)</w:t>
      </w:r>
      <w:r>
        <w:tab/>
        <w:t>the lots and common property cease to exist;</w:t>
      </w:r>
    </w:p>
    <w:p>
      <w:pPr>
        <w:pStyle w:val="Indenta"/>
      </w:pPr>
      <w:r>
        <w:tab/>
        <w:t>(c)</w:t>
      </w:r>
      <w:r>
        <w:tab/>
        <w:t>the land becomes a parcel of land that is not subdivided by a strata titles scheme;</w:t>
      </w:r>
    </w:p>
    <w:p>
      <w:pPr>
        <w:pStyle w:val="Indenta"/>
      </w:pPr>
      <w:r>
        <w:tab/>
        <w:t>(d)</w:t>
      </w:r>
      <w:r>
        <w:tab/>
        <w:t>for a leasehold scheme —</w:t>
      </w:r>
    </w:p>
    <w:p>
      <w:pPr>
        <w:pStyle w:val="Indenti"/>
      </w:pPr>
      <w:r>
        <w:tab/>
        <w:t>(i)</w:t>
      </w:r>
      <w:r>
        <w:tab/>
        <w:t>the person who was the owner of the leasehold scheme immediately before termination becomes the owner of the parcel of land and is entitled to vacant possession of the land; and</w:t>
      </w:r>
    </w:p>
    <w:p>
      <w:pPr>
        <w:pStyle w:val="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Indenta"/>
      </w:pPr>
      <w:r>
        <w:tab/>
        <w:t>(f)</w:t>
      </w:r>
      <w:r>
        <w:tab/>
        <w:t>the strata company ceases to exist;</w:t>
      </w:r>
    </w:p>
    <w:p>
      <w:pPr>
        <w:pStyle w:val="Indenta"/>
      </w:pPr>
      <w:r>
        <w:tab/>
        <w:t>(g)</w:t>
      </w:r>
      <w:r>
        <w:tab/>
        <w:t>all rights vested in the strata company immediately before it ceased to exist are vested in the persons who become the owners of the parcel of land on termination of the scheme;</w:t>
      </w:r>
    </w:p>
    <w:p>
      <w:pPr>
        <w:pStyle w:val="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Indenta"/>
      </w:pPr>
      <w:r>
        <w:tab/>
        <w:t>(i)</w:t>
      </w:r>
      <w:r>
        <w:tab/>
        <w:t>legal proceedings begun by or against the strata company may be completed by or against the persons who were owners of lots in the scheme immediately before its termination.</w:t>
      </w:r>
    </w:p>
    <w:p>
      <w:pPr>
        <w:pStyle w:val="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Footnotesection"/>
      </w:pPr>
      <w:r>
        <w:tab/>
        <w:t>[Section 195 inserted: No. 30 of 2018 s. 83.]</w:t>
      </w:r>
    </w:p>
    <w:p>
      <w:pPr>
        <w:pStyle w:val="Heading3"/>
        <w:keepLines/>
      </w:pPr>
      <w:bookmarkStart w:id="664" w:name="_Toc106986405"/>
      <w:bookmarkStart w:id="665" w:name="_Toc106986841"/>
      <w:bookmarkStart w:id="666" w:name="_Toc100308419"/>
      <w:bookmarkStart w:id="667" w:name="_Toc100308855"/>
      <w:bookmarkStart w:id="668" w:name="_Toc100565139"/>
      <w:r>
        <w:rPr>
          <w:rStyle w:val="CharDivNo"/>
        </w:rPr>
        <w:t>Division 7</w:t>
      </w:r>
      <w:r>
        <w:t> — </w:t>
      </w:r>
      <w:r>
        <w:rPr>
          <w:rStyle w:val="CharDivText"/>
        </w:rPr>
        <w:t>Termination on compulsory acquisition</w:t>
      </w:r>
      <w:bookmarkEnd w:id="664"/>
      <w:bookmarkEnd w:id="665"/>
      <w:bookmarkEnd w:id="666"/>
      <w:bookmarkEnd w:id="667"/>
      <w:bookmarkEnd w:id="668"/>
    </w:p>
    <w:p>
      <w:pPr>
        <w:pStyle w:val="Footnoteheading"/>
        <w:keepNext/>
        <w:keepLines/>
      </w:pPr>
      <w:r>
        <w:tab/>
        <w:t>[Heading inserted: No. 30 of 2018 s. 83.]</w:t>
      </w:r>
    </w:p>
    <w:p>
      <w:pPr>
        <w:pStyle w:val="Heading5"/>
        <w:keepLines w:val="0"/>
        <w:rPr>
          <w:snapToGrid w:val="0"/>
        </w:rPr>
      </w:pPr>
      <w:bookmarkStart w:id="669" w:name="_Toc106986842"/>
      <w:bookmarkStart w:id="670" w:name="_Toc100565140"/>
      <w:r>
        <w:rPr>
          <w:rStyle w:val="CharSectno"/>
        </w:rPr>
        <w:t>196</w:t>
      </w:r>
      <w:r>
        <w:rPr>
          <w:snapToGrid w:val="0"/>
        </w:rPr>
        <w:t>.</w:t>
      </w:r>
      <w:r>
        <w:rPr>
          <w:snapToGrid w:val="0"/>
        </w:rPr>
        <w:tab/>
        <w:t>Termination on compulsory acquisition</w:t>
      </w:r>
      <w:bookmarkEnd w:id="669"/>
      <w:bookmarkEnd w:id="670"/>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w:t>
      </w:r>
      <w:r>
        <w:t>strata titles</w:t>
      </w:r>
      <w:r>
        <w:rPr>
          <w:snapToGrid w:val="0"/>
        </w:rPr>
        <w:t xml:space="preserve"> scheme for that parcel is terminated on the</w:t>
      </w:r>
      <w:r>
        <w:t xml:space="preserve"> registration of that order.</w:t>
      </w:r>
    </w:p>
    <w:p>
      <w:pPr>
        <w:pStyle w:val="Subsection"/>
      </w:pPr>
      <w:r>
        <w:rPr>
          <w:snapToGrid w:val="0"/>
        </w:rPr>
        <w:tab/>
        <w:t>(2)</w:t>
      </w:r>
      <w:r>
        <w:rPr>
          <w:snapToGrid w:val="0"/>
        </w:rPr>
        <w:tab/>
      </w:r>
      <w:r>
        <w:t>If</w:t>
      </w:r>
      <w:r>
        <w:rPr>
          <w:snapToGrid w:val="0"/>
        </w:rPr>
        <w:t xml:space="preserve"> subsection (1) applies the Registrar of Titles </w:t>
      </w:r>
      <w:r>
        <w:t>must</w:t>
      </w:r>
      <w:r>
        <w:rPr>
          <w:snapToGrid w:val="0"/>
        </w:rPr>
        <w:t xml:space="preserve">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196, formerly section 29C, inserted: No. 58 of 1995 s. 32; amended: No. 74 of 2003 s. 112(9)</w:t>
      </w:r>
      <w:r>
        <w:noBreakHyphen/>
        <w:t>(11); amended, re renumbered as section 196 and relocated: No. 30 of 2018 s. 35 and 84.]</w:t>
      </w:r>
    </w:p>
    <w:p>
      <w:pPr>
        <w:pStyle w:val="Heading2"/>
      </w:pPr>
      <w:bookmarkStart w:id="671" w:name="_Toc106986407"/>
      <w:bookmarkStart w:id="672" w:name="_Toc106986843"/>
      <w:bookmarkStart w:id="673" w:name="_Toc100308421"/>
      <w:bookmarkStart w:id="674" w:name="_Toc100308857"/>
      <w:bookmarkStart w:id="675" w:name="_Toc100565141"/>
      <w:r>
        <w:rPr>
          <w:rStyle w:val="CharPartNo"/>
        </w:rPr>
        <w:t>Part 13</w:t>
      </w:r>
      <w:r>
        <w:rPr>
          <w:rStyle w:val="CharDivNo"/>
        </w:rPr>
        <w:t> </w:t>
      </w:r>
      <w:r>
        <w:t>—</w:t>
      </w:r>
      <w:r>
        <w:rPr>
          <w:rStyle w:val="CharDivText"/>
        </w:rPr>
        <w:t> </w:t>
      </w:r>
      <w:r>
        <w:rPr>
          <w:rStyle w:val="CharPartText"/>
        </w:rPr>
        <w:t>Tribunal proceedings</w:t>
      </w:r>
      <w:bookmarkEnd w:id="671"/>
      <w:bookmarkEnd w:id="672"/>
      <w:bookmarkEnd w:id="673"/>
      <w:bookmarkEnd w:id="674"/>
      <w:bookmarkEnd w:id="675"/>
    </w:p>
    <w:p>
      <w:pPr>
        <w:pStyle w:val="Footnoteheading"/>
      </w:pPr>
      <w:r>
        <w:tab/>
        <w:t>[Heading inserted: No. 30 of 2018 s. 83.]</w:t>
      </w:r>
    </w:p>
    <w:p>
      <w:pPr>
        <w:pStyle w:val="Heading5"/>
      </w:pPr>
      <w:bookmarkStart w:id="676" w:name="_Toc106986844"/>
      <w:bookmarkStart w:id="677" w:name="_Toc100565142"/>
      <w:r>
        <w:rPr>
          <w:rStyle w:val="CharSectno"/>
        </w:rPr>
        <w:t>197</w:t>
      </w:r>
      <w:r>
        <w:t>.</w:t>
      </w:r>
      <w:r>
        <w:tab/>
        <w:t>Scheme disputes</w:t>
      </w:r>
      <w:bookmarkEnd w:id="676"/>
      <w:bookmarkEnd w:id="677"/>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scheme documents, including the validity of scheme by</w:t>
      </w:r>
      <w:r>
        <w:noBreakHyphen/>
        <w:t>laws; or</w:t>
      </w:r>
    </w:p>
    <w:p>
      <w:pPr>
        <w:pStyle w:val="Indenti"/>
      </w:pPr>
      <w:r>
        <w:tab/>
        <w:t>(ii)</w:t>
      </w:r>
      <w:r>
        <w:tab/>
        <w:t>the performance of, or the failure to perform, a function conferred or imposed on a person by this Act or the scheme by</w:t>
      </w:r>
      <w:r>
        <w:noBreakHyphen/>
        <w:t>laws; or</w:t>
      </w:r>
    </w:p>
    <w:p>
      <w:pPr>
        <w:pStyle w:val="Indenti"/>
      </w:pPr>
      <w:r>
        <w:tab/>
        <w:t>(iii)</w:t>
      </w:r>
      <w:r>
        <w:tab/>
        <w:t>an alleged contravention of this Act (other than an offence); or</w:t>
      </w:r>
    </w:p>
    <w:p>
      <w:pPr>
        <w:pStyle w:val="Indenti"/>
      </w:pPr>
      <w:r>
        <w:tab/>
        <w:t>(iv)</w:t>
      </w:r>
      <w:r>
        <w:tab/>
        <w:t>a resolution or decision of a strata company or the council of a strata company, including its validity; or</w:t>
      </w:r>
    </w:p>
    <w:p>
      <w:pPr>
        <w:pStyle w:val="Indenti"/>
      </w:pPr>
      <w:r>
        <w:tab/>
        <w:t>(v)</w:t>
      </w:r>
      <w:r>
        <w:tab/>
        <w:t>the appointment or election of a member of the council or an officer of a strata company, including its validity; or</w:t>
      </w:r>
    </w:p>
    <w:p>
      <w:pPr>
        <w:pStyle w:val="Indenti"/>
      </w:pPr>
      <w:r>
        <w:tab/>
        <w:t>(vi)</w:t>
      </w:r>
      <w:r>
        <w:tab/>
        <w:t>any other matter arising under this Act or the scheme by</w:t>
      </w:r>
      <w:r>
        <w:noBreakHyphen/>
        <w:t>laws;</w:t>
      </w:r>
    </w:p>
    <w:p>
      <w:pPr>
        <w:pStyle w:val="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Indenta"/>
      </w:pPr>
      <w:r>
        <w:tab/>
        <w:t>(d)</w:t>
      </w:r>
      <w:r>
        <w:tab/>
        <w:t>a dispute between an infrastructure owner and a strata company about a matter connected with a common property (utility and sustainability infrastructure) easement;</w:t>
      </w:r>
    </w:p>
    <w:p>
      <w:pPr>
        <w:pStyle w:val="Indenta"/>
      </w:pPr>
      <w:r>
        <w:tab/>
        <w:t>(e)</w:t>
      </w:r>
      <w:r>
        <w:tab/>
        <w:t>a dispute between the scheme developer of a subdivision of land by a strata titles scheme and a strata company about a matter arising under Part 6;</w:t>
      </w:r>
    </w:p>
    <w:p>
      <w:pPr>
        <w:pStyle w:val="Indenta"/>
      </w:pPr>
      <w:r>
        <w:tab/>
        <w:t>(f)</w:t>
      </w:r>
      <w:r>
        <w:tab/>
        <w:t>a dispute between an applicant under section 107 and the strata company about a matter arising under Part 8 Division 1 Subdivision 6;</w:t>
      </w:r>
    </w:p>
    <w:p>
      <w:pPr>
        <w:pStyle w:val="Indenta"/>
      </w:pPr>
      <w:r>
        <w:tab/>
        <w:t>(g)</w:t>
      </w:r>
      <w:r>
        <w:tab/>
        <w:t>a dispute between a strata manager, or former strata manager, of a strata company and the strata company about —</w:t>
      </w:r>
    </w:p>
    <w:p>
      <w:pPr>
        <w:pStyle w:val="Indenti"/>
      </w:pPr>
      <w:r>
        <w:tab/>
        <w:t>(i)</w:t>
      </w:r>
      <w:r>
        <w:tab/>
        <w:t>a matter arising under Part 9; or</w:t>
      </w:r>
    </w:p>
    <w:p>
      <w:pPr>
        <w:pStyle w:val="Indenti"/>
      </w:pPr>
      <w:r>
        <w:tab/>
        <w:t>(ii)</w:t>
      </w:r>
      <w:r>
        <w:tab/>
        <w:t>the strata management contract; or</w:t>
      </w:r>
    </w:p>
    <w:p>
      <w:pPr>
        <w:pStyle w:val="Indenti"/>
      </w:pPr>
      <w:r>
        <w:tab/>
        <w:t>(iii)</w:t>
      </w:r>
      <w:r>
        <w:tab/>
        <w:t>the performance of, or the failure to perform, a function conferred or imposed on the strata manager;</w:t>
      </w:r>
    </w:p>
    <w:p>
      <w:pPr>
        <w:pStyle w:val="Indenta"/>
      </w:pPr>
      <w:r>
        <w:tab/>
        <w:t>(h)</w:t>
      </w:r>
      <w:r>
        <w:tab/>
        <w:t>a dispute between a buyer or prospective buyer of a lot in a strata titles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the strata company for the strata titles scheme;</w:t>
      </w:r>
    </w:p>
    <w:p>
      <w:pPr>
        <w:pStyle w:val="Indenta"/>
      </w:pPr>
      <w:r>
        <w:tab/>
        <w:t>(b)</w:t>
      </w:r>
      <w:r>
        <w:tab/>
        <w:t>for a leasehold scheme, the owner of the leasehold scheme;</w:t>
      </w:r>
    </w:p>
    <w:p>
      <w:pPr>
        <w:pStyle w:val="Indenta"/>
      </w:pPr>
      <w:r>
        <w:tab/>
        <w:t>(c)</w:t>
      </w:r>
      <w:r>
        <w:tab/>
        <w:t>a person who is appointed as an administrator of a strata company for the strata titles scheme;</w:t>
      </w:r>
    </w:p>
    <w:p>
      <w:pPr>
        <w:pStyle w:val="Indenta"/>
      </w:pPr>
      <w:r>
        <w:tab/>
        <w:t>(d)</w:t>
      </w:r>
      <w:r>
        <w:tab/>
        <w:t>a member of the strata company for the strata titles scheme;</w:t>
      </w:r>
    </w:p>
    <w:p>
      <w:pPr>
        <w:pStyle w:val="Indenta"/>
      </w:pPr>
      <w:r>
        <w:tab/>
        <w:t>(e)</w:t>
      </w:r>
      <w:r>
        <w:tab/>
        <w:t>the occupier of a lot in the strata titles scheme;</w:t>
      </w:r>
    </w:p>
    <w:p>
      <w:pPr>
        <w:pStyle w:val="Indenta"/>
      </w:pPr>
      <w:r>
        <w:tab/>
        <w:t>(f)</w:t>
      </w:r>
      <w:r>
        <w:tab/>
        <w:t>the registered mortgagee of a lot in the strata titles scheme;</w:t>
      </w:r>
    </w:p>
    <w:p>
      <w:pPr>
        <w:pStyle w:val="Indenta"/>
      </w:pPr>
      <w:r>
        <w:tab/>
        <w:t>(g)</w:t>
      </w:r>
      <w:r>
        <w:tab/>
        <w:t>a member of the council of a strata company, or an officer of the strata company, for the strata titles scheme, who is not a member of the strata company.</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84;</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termination of a contract under section 115);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 (other than a debt owed under section 99(2) or clause 53E);</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strata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strata company that directly affects the occupier; or</w:t>
      </w:r>
    </w:p>
    <w:p>
      <w:pPr>
        <w:pStyle w:val="Indenta"/>
      </w:pPr>
      <w:r>
        <w:tab/>
        <w:t>(c)</w:t>
      </w:r>
      <w:r>
        <w:tab/>
        <w:t>an obligation or right of the occupier under this Act or the scheme by</w:t>
      </w:r>
      <w:r>
        <w:noBreakHyphen/>
        <w:t>laws.</w:t>
      </w:r>
    </w:p>
    <w:p>
      <w:pPr>
        <w:pStyle w:val="Footnotesection"/>
      </w:pPr>
      <w:r>
        <w:tab/>
        <w:t>[Section 197 inserted: No. 30 of 2018 s. 83.]</w:t>
      </w:r>
    </w:p>
    <w:p>
      <w:pPr>
        <w:pStyle w:val="Heading5"/>
      </w:pPr>
      <w:bookmarkStart w:id="678" w:name="_Toc106986845"/>
      <w:bookmarkStart w:id="679" w:name="_Toc100565143"/>
      <w:r>
        <w:rPr>
          <w:rStyle w:val="CharSectno"/>
        </w:rPr>
        <w:t>198</w:t>
      </w:r>
      <w:r>
        <w:t>.</w:t>
      </w:r>
      <w:r>
        <w:tab/>
        <w:t>Procedure</w:t>
      </w:r>
      <w:bookmarkEnd w:id="678"/>
      <w:bookmarkEnd w:id="679"/>
    </w:p>
    <w:p>
      <w:pPr>
        <w:pStyle w:val="Subsection"/>
      </w:pPr>
      <w:r>
        <w:tab/>
        <w:t>(1)</w:t>
      </w:r>
      <w:r>
        <w:tab/>
        <w:t>The Tribunal may, on application by a member of a strata company, if it is satisfied that a strata company has unreasonably refused to make an application to the Tribunal under this Act —</w:t>
      </w:r>
    </w:p>
    <w:p>
      <w:pPr>
        <w:pStyle w:val="Indenta"/>
      </w:pPr>
      <w:r>
        <w:tab/>
        <w:t>(a)</w:t>
      </w:r>
      <w:r>
        <w:tab/>
        <w:t>authorise the member to make the application on behalf of the strata company; and</w:t>
      </w:r>
    </w:p>
    <w:p>
      <w:pPr>
        <w:pStyle w:val="Indenta"/>
      </w:pPr>
      <w:r>
        <w:tab/>
        <w:t>(b)</w:t>
      </w:r>
      <w:r>
        <w:tab/>
        <w:t>authorise expenditure up to a specified amount from a fund of the strata company for legal advice and legal action for the proceeding.</w:t>
      </w:r>
    </w:p>
    <w:p>
      <w:pPr>
        <w:pStyle w:val="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Indenta"/>
      </w:pPr>
      <w:r>
        <w:tab/>
        <w:t>(a)</w:t>
      </w:r>
      <w:r>
        <w:tab/>
        <w:t>each member of the strata company;</w:t>
      </w:r>
    </w:p>
    <w:p>
      <w:pPr>
        <w:pStyle w:val="Indenta"/>
      </w:pPr>
      <w:r>
        <w:tab/>
        <w:t>(b)</w:t>
      </w:r>
      <w:r>
        <w:tab/>
        <w:t>each mortgagee of a lot who has given written notice of the mortgagee’s interest to the strata company;</w:t>
      </w:r>
    </w:p>
    <w:p>
      <w:pPr>
        <w:pStyle w:val="Indenta"/>
      </w:pPr>
      <w:r>
        <w:tab/>
        <w:t>(c)</w:t>
      </w:r>
      <w:r>
        <w:tab/>
        <w:t>the occupier of each lot in the strata titles scheme that would be affected if the order sought were made.</w:t>
      </w:r>
    </w:p>
    <w:p>
      <w:pPr>
        <w:pStyle w:val="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strata company —</w:t>
      </w:r>
    </w:p>
    <w:p>
      <w:pPr>
        <w:pStyle w:val="Indenti"/>
      </w:pPr>
      <w:r>
        <w:tab/>
        <w:t>(i)</w:t>
      </w:r>
      <w:r>
        <w:tab/>
        <w:t>the obligation to give a copy of, or notice of, the application to the persons entitled under subsection (2) falls on the strata company rather than on the applicant; and</w:t>
      </w:r>
    </w:p>
    <w:p>
      <w:pPr>
        <w:pStyle w:val="Indenti"/>
      </w:pPr>
      <w:r>
        <w:tab/>
        <w:t>(ii)</w:t>
      </w:r>
      <w:r>
        <w:tab/>
        <w:t>section 45(3) of that Act applies as if the strata company were the applicant.</w:t>
      </w:r>
    </w:p>
    <w:p>
      <w:pPr>
        <w:pStyle w:val="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t>is satisfied that 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keepNext/>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PermNoteHeading"/>
      </w:pPr>
      <w:r>
        <w:tab/>
        <w:t>Note for this section:</w:t>
      </w:r>
    </w:p>
    <w:p>
      <w:pPr>
        <w:pStyle w:val="PermNoteText"/>
        <w:keepNext/>
      </w:pPr>
      <w:r>
        <w:tab/>
      </w:r>
      <w:r>
        <w:tab/>
        <w:t xml:space="preserve">Under the </w:t>
      </w:r>
      <w:r>
        <w:rPr>
          <w:i/>
        </w:rPr>
        <w:t>State Administrative Tribunal Act 2004</w:t>
      </w:r>
      <w:r>
        <w:t xml:space="preserve"> Part 4 Division 2 the Tribunal may, amongst other things —</w:t>
      </w:r>
    </w:p>
    <w:p>
      <w:pPr>
        <w:pStyle w:val="PermNoteText"/>
        <w:numPr>
          <w:ilvl w:val="0"/>
          <w:numId w:val="35"/>
        </w:numPr>
        <w:ind w:left="1701" w:hanging="283"/>
      </w:pPr>
      <w:r>
        <w:t>strike out all, or any part, of a proceeding if it considers that the matter, or any aspect of it, would be more appropriately dealt with by another tribunal, a court or any other person; or</w:t>
      </w:r>
    </w:p>
    <w:p>
      <w:pPr>
        <w:pStyle w:val="PermNoteText"/>
        <w:numPr>
          <w:ilvl w:val="0"/>
          <w:numId w:val="35"/>
        </w:numPr>
        <w:ind w:left="1701" w:hanging="283"/>
      </w:pPr>
      <w:r>
        <w:t>dismiss or strike out a proceeding if it believes that it is frivolous, vexatious, misconceived or lacking in substance, is being used for an improper purpose or is otherwise an abuse of process; or</w:t>
      </w:r>
    </w:p>
    <w:p>
      <w:pPr>
        <w:pStyle w:val="PermNoteText"/>
        <w:numPr>
          <w:ilvl w:val="0"/>
          <w:numId w:val="35"/>
        </w:numPr>
        <w:ind w:left="1701" w:hanging="283"/>
      </w:pPr>
      <w:r>
        <w:t>direct that proceedings be consolidated or split.</w:t>
      </w:r>
    </w:p>
    <w:p>
      <w:pPr>
        <w:pStyle w:val="PermNoteText"/>
      </w:pPr>
      <w:r>
        <w:tab/>
      </w:r>
      <w:r>
        <w:tab/>
        <w:t>Under section 38 of that Act, the Tribunal may order that a person be joined as a party to a proceeding.</w:t>
      </w:r>
    </w:p>
    <w:p>
      <w:pPr>
        <w:pStyle w:val="Footnotesection"/>
      </w:pPr>
      <w:r>
        <w:tab/>
        <w:t>[Section 198 inserted: No. 30 of 2018 s. 83.]</w:t>
      </w:r>
    </w:p>
    <w:p>
      <w:pPr>
        <w:pStyle w:val="Heading5"/>
      </w:pPr>
      <w:bookmarkStart w:id="680" w:name="_Toc106986846"/>
      <w:bookmarkStart w:id="681" w:name="_Toc100565144"/>
      <w:r>
        <w:rPr>
          <w:rStyle w:val="CharSectno"/>
        </w:rPr>
        <w:t>199</w:t>
      </w:r>
      <w:r>
        <w:t>.</w:t>
      </w:r>
      <w:r>
        <w:tab/>
        <w:t>Declarations</w:t>
      </w:r>
      <w:bookmarkEnd w:id="680"/>
      <w:bookmarkEnd w:id="681"/>
    </w:p>
    <w:p>
      <w:pPr>
        <w:pStyle w:val="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the scheme by</w:t>
      </w:r>
      <w:r>
        <w:noBreakHyphen/>
        <w:t>laws or a strata lease; or</w:t>
      </w:r>
    </w:p>
    <w:p>
      <w:pPr>
        <w:pStyle w:val="Indenta"/>
      </w:pPr>
      <w:r>
        <w:tab/>
        <w:t>(b)</w:t>
      </w:r>
      <w:r>
        <w:tab/>
        <w:t>a specified clause of a strata lease is or is not invalid; or</w:t>
      </w:r>
    </w:p>
    <w:p>
      <w:pPr>
        <w:pStyle w:val="Indenta"/>
      </w:pPr>
      <w:r>
        <w:tab/>
        <w:t>(c)</w:t>
      </w:r>
      <w:r>
        <w:tab/>
        <w:t>a specified scheme by</w:t>
      </w:r>
      <w:r>
        <w:noBreakHyphen/>
        <w:t>law is or is not invalid; or</w:t>
      </w:r>
    </w:p>
    <w:p>
      <w:pPr>
        <w:pStyle w:val="Indenta"/>
      </w:pPr>
      <w:r>
        <w:tab/>
        <w:t>(d)</w:t>
      </w:r>
      <w:r>
        <w:tab/>
        <w:t>a specified decision or resolution of a strata company is or is not invalid; or</w:t>
      </w:r>
    </w:p>
    <w:p>
      <w:pPr>
        <w:pStyle w:val="Indenta"/>
      </w:pPr>
      <w:r>
        <w:tab/>
        <w:t>(e)</w:t>
      </w:r>
      <w:r>
        <w:tab/>
        <w:t>a specified appointment or election of a member of a council of a strata company or an officer of a strata company is or is not invalid; or</w:t>
      </w:r>
    </w:p>
    <w:p>
      <w:pPr>
        <w:pStyle w:val="Indenta"/>
      </w:pPr>
      <w:r>
        <w:tab/>
        <w:t>(f)</w:t>
      </w:r>
      <w:r>
        <w:tab/>
        <w:t>a settlement date for a contract for the sale and purchase of a lot was or was not validly postponed under this Act; or</w:t>
      </w:r>
    </w:p>
    <w:p>
      <w:pPr>
        <w:pStyle w:val="Indenta"/>
        <w:rPr>
          <w:snapToGrid w:val="0"/>
        </w:rPr>
      </w:pPr>
      <w:r>
        <w:tab/>
        <w:t>(g)</w:t>
      </w:r>
      <w:r>
        <w:tab/>
        <w:t>a contract for the sale and purchase of a lot was or was not validly avoided under this Act.</w:t>
      </w:r>
    </w:p>
    <w:p>
      <w:pPr>
        <w:pStyle w:val="Footnotesection"/>
      </w:pPr>
      <w:r>
        <w:tab/>
        <w:t>[Section 199 inserted: No. 30 of 2018 s. 83.]</w:t>
      </w:r>
    </w:p>
    <w:p>
      <w:pPr>
        <w:pStyle w:val="Heading5"/>
      </w:pPr>
      <w:bookmarkStart w:id="682" w:name="_Toc106986847"/>
      <w:bookmarkStart w:id="683" w:name="_Toc100565145"/>
      <w:r>
        <w:rPr>
          <w:rStyle w:val="CharSectno"/>
        </w:rPr>
        <w:t>200</w:t>
      </w:r>
      <w:r>
        <w:t>.</w:t>
      </w:r>
      <w:r>
        <w:tab/>
        <w:t>Orders</w:t>
      </w:r>
      <w:bookmarkEnd w:id="682"/>
      <w:bookmarkEnd w:id="683"/>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may be made by the Tribunal on an application under this Act include the following —</w:t>
      </w:r>
    </w:p>
    <w:p>
      <w:pPr>
        <w:pStyle w:val="Indenta"/>
      </w:pPr>
      <w:r>
        <w:tab/>
        <w:t>(a)</w:t>
      </w:r>
      <w:r>
        <w:tab/>
        <w:t>an order requiring a scheme document to be amended in a specified manner (including in a manner that effects a subdivision);</w:t>
      </w:r>
    </w:p>
    <w:p>
      <w:pPr>
        <w:pStyle w:val="Indenta"/>
      </w:pPr>
      <w:r>
        <w:tab/>
        <w:t>(b)</w:t>
      </w:r>
      <w:r>
        <w:tab/>
        <w:t>an order requiring a structural element by reference to which a lot in a strata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Indenta"/>
      </w:pPr>
      <w:r>
        <w:tab/>
        <w:t>(e)</w:t>
      </w:r>
      <w:r>
        <w:tab/>
        <w:t>an order determining action that must be taken or refrained from being taken by a member of a strata company under section 98;</w:t>
      </w:r>
    </w:p>
    <w:p>
      <w:pPr>
        <w:pStyle w:val="Indenta"/>
      </w:pPr>
      <w:r>
        <w:tab/>
        <w:t>(f)</w:t>
      </w:r>
      <w:r>
        <w:tab/>
        <w:t>an order authorising a specified person to convene and preside at a general meeting of a strata company —</w:t>
      </w:r>
    </w:p>
    <w:p>
      <w:pPr>
        <w:pStyle w:val="Indenti"/>
      </w:pPr>
      <w:r>
        <w:tab/>
        <w:t>(i)</w:t>
      </w:r>
      <w:r>
        <w:tab/>
        <w:t>as the first annual general meeting; or</w:t>
      </w:r>
    </w:p>
    <w:p>
      <w:pPr>
        <w:pStyle w:val="Indenti"/>
      </w:pPr>
      <w:r>
        <w:tab/>
        <w:t>(ii)</w:t>
      </w:r>
      <w:r>
        <w:tab/>
        <w:t>to appoint or elect members of the council or officers of the strata company; or</w:t>
      </w:r>
    </w:p>
    <w:p>
      <w:pPr>
        <w:pStyle w:val="Indenti"/>
      </w:pPr>
      <w:r>
        <w:tab/>
        <w:t>(iii)</w:t>
      </w:r>
      <w:r>
        <w:tab/>
        <w:t>for some other specified purpose;</w:t>
      </w:r>
    </w:p>
    <w:p>
      <w:pPr>
        <w:pStyle w:val="Indenta"/>
      </w:pPr>
      <w:r>
        <w:tab/>
        <w:t>(g)</w:t>
      </w:r>
      <w:r>
        <w:tab/>
        <w:t>an order authorising a specified person to convene and preside at a meeting of the council of a strata company —</w:t>
      </w:r>
    </w:p>
    <w:p>
      <w:pPr>
        <w:pStyle w:val="Indenti"/>
      </w:pPr>
      <w:r>
        <w:tab/>
        <w:t>(i)</w:t>
      </w:r>
      <w:r>
        <w:tab/>
        <w:t>to appoint or elect officers of the strata company; or</w:t>
      </w:r>
    </w:p>
    <w:p>
      <w:pPr>
        <w:pStyle w:val="Indenti"/>
      </w:pPr>
      <w:r>
        <w:tab/>
        <w:t>(ii)</w:t>
      </w:r>
      <w:r>
        <w:tab/>
        <w:t>for some other specified purpose;</w:t>
      </w:r>
    </w:p>
    <w:p>
      <w:pPr>
        <w:pStyle w:val="PermNoteHeading"/>
      </w:pPr>
      <w:r>
        <w:tab/>
        <w:t>Note for paragraphs (f) and (g):</w:t>
      </w:r>
    </w:p>
    <w:p>
      <w:pPr>
        <w:pStyle w:val="PermNoteText"/>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strata company or as an officer of a strata company;</w:t>
      </w:r>
    </w:p>
    <w:p>
      <w:pPr>
        <w:pStyle w:val="Indenta"/>
      </w:pPr>
      <w:r>
        <w:tab/>
        <w:t>(i)</w:t>
      </w:r>
      <w:r>
        <w:tab/>
        <w:t>an order appointing a specified person as a member of the council of a strata company or as an officer of a strata company to replace a person removed from office;</w:t>
      </w:r>
    </w:p>
    <w:p>
      <w:pPr>
        <w:pStyle w:val="Indenta"/>
      </w:pPr>
      <w:r>
        <w:tab/>
        <w:t>(j)</w:t>
      </w:r>
      <w:r>
        <w:tab/>
        <w:t>an order varying or terminating a strata management contract;</w:t>
      </w:r>
    </w:p>
    <w:p>
      <w:pPr>
        <w:pStyle w:val="Indenta"/>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Indenta"/>
      </w:pPr>
      <w:r>
        <w:tab/>
        <w:t>(l)</w:t>
      </w:r>
      <w:r>
        <w:tab/>
        <w:t>an order requiring a strata company to take specified action or to refrain from taking specified action in the performance or exercise of its functions, including the following —</w:t>
      </w:r>
    </w:p>
    <w:p>
      <w:pPr>
        <w:pStyle w:val="Indenti"/>
      </w:pPr>
      <w:r>
        <w:tab/>
        <w:t>(i)</w:t>
      </w:r>
      <w:r>
        <w:tab/>
        <w:t>an order to sell or acquire real or personal property;</w:t>
      </w:r>
    </w:p>
    <w:p>
      <w:pPr>
        <w:pStyle w:val="Indenti"/>
      </w:pPr>
      <w:r>
        <w:tab/>
        <w:t>(ii)</w:t>
      </w:r>
      <w:r>
        <w:tab/>
        <w:t>an order to enter into, vary or terminate a contract, including a contract for services or amenities to the strata company or the members of the strata company;</w:t>
      </w:r>
    </w:p>
    <w:p>
      <w:pPr>
        <w:pStyle w:val="Indenti"/>
      </w:pPr>
      <w:r>
        <w:tab/>
        <w:t>(iii)</w:t>
      </w:r>
      <w:r>
        <w:tab/>
        <w:t>an order that a particular insurance claim be pursued;</w:t>
      </w:r>
    </w:p>
    <w:p>
      <w:pPr>
        <w:pStyle w:val="Indenti"/>
      </w:pPr>
      <w:r>
        <w:tab/>
        <w:t>(iv)</w:t>
      </w:r>
      <w:r>
        <w:tab/>
        <w:t>an order that the amount of insurance cover be varied;</w:t>
      </w:r>
    </w:p>
    <w:p>
      <w:pPr>
        <w:pStyle w:val="Indenti"/>
      </w:pPr>
      <w:r>
        <w:tab/>
        <w:t>(v)</w:t>
      </w:r>
      <w: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Indenta"/>
      </w:pPr>
      <w:r>
        <w:tab/>
        <w:t>(o)</w:t>
      </w:r>
      <w:r>
        <w:tab/>
        <w:t>an order requiring a party to the proceeding before it to pay money to —</w:t>
      </w:r>
    </w:p>
    <w:p>
      <w:pPr>
        <w:pStyle w:val="Indenti"/>
      </w:pPr>
      <w:r>
        <w:tab/>
        <w:t>(i)</w:t>
      </w:r>
      <w:r>
        <w:tab/>
        <w:t>a person specified in the order by way of compensation for any pecuniary loss or damage suffered; or</w:t>
      </w:r>
    </w:p>
    <w:p>
      <w:pPr>
        <w:pStyle w:val="Indenti"/>
      </w:pPr>
      <w:r>
        <w:tab/>
        <w:t>(ii)</w:t>
      </w:r>
      <w:r>
        <w:tab/>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strata company (being a person who has given written consent to the appointment) to perform some or all scheme functions.</w:t>
      </w:r>
    </w:p>
    <w:p>
      <w:pPr>
        <w:pStyle w:val="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Footnotesection"/>
      </w:pPr>
      <w:r>
        <w:tab/>
        <w:t>[Section 200 inserted: No. 30 of 2018 s. 83.]</w:t>
      </w:r>
    </w:p>
    <w:p>
      <w:pPr>
        <w:pStyle w:val="Heading5"/>
      </w:pPr>
      <w:bookmarkStart w:id="684" w:name="_Toc106986848"/>
      <w:bookmarkStart w:id="685" w:name="_Toc100565146"/>
      <w:r>
        <w:rPr>
          <w:rStyle w:val="CharSectno"/>
        </w:rPr>
        <w:t>201</w:t>
      </w:r>
      <w:r>
        <w:t>.</w:t>
      </w:r>
      <w:r>
        <w:tab/>
        <w:t>Interim orders</w:t>
      </w:r>
      <w:bookmarkEnd w:id="684"/>
      <w:bookmarkEnd w:id="685"/>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Footnotesection"/>
      </w:pPr>
      <w:r>
        <w:tab/>
        <w:t>[Section 201 inserted: No. 30 of 2018 s. 83.]</w:t>
      </w:r>
    </w:p>
    <w:p>
      <w:pPr>
        <w:pStyle w:val="Heading5"/>
      </w:pPr>
      <w:bookmarkStart w:id="686" w:name="_Toc106986849"/>
      <w:bookmarkStart w:id="687" w:name="_Toc100565147"/>
      <w:r>
        <w:rPr>
          <w:rStyle w:val="CharSectno"/>
        </w:rPr>
        <w:t>202</w:t>
      </w:r>
      <w:r>
        <w:t>.</w:t>
      </w:r>
      <w:r>
        <w:tab/>
        <w:t>Decision not to make order or declaration</w:t>
      </w:r>
      <w:bookmarkEnd w:id="686"/>
      <w:bookmarkEnd w:id="687"/>
    </w:p>
    <w:p>
      <w:pPr>
        <w:pStyle w:val="Subsection"/>
      </w:pPr>
      <w:r>
        <w:tab/>
      </w:r>
      <w:r>
        <w:tab/>
        <w:t>In a proceeding under this Act, the Tribunal may make a decision not to make an order or declaration.</w:t>
      </w:r>
    </w:p>
    <w:p>
      <w:pPr>
        <w:pStyle w:val="Footnotesection"/>
      </w:pPr>
      <w:r>
        <w:tab/>
        <w:t>[Section 202 inserted: No. 30 of 2018 s. 83.]</w:t>
      </w:r>
    </w:p>
    <w:p>
      <w:pPr>
        <w:pStyle w:val="Heading5"/>
      </w:pPr>
      <w:bookmarkStart w:id="688" w:name="_Toc106986850"/>
      <w:bookmarkStart w:id="689" w:name="_Toc100565148"/>
      <w:r>
        <w:rPr>
          <w:rStyle w:val="CharSectno"/>
        </w:rPr>
        <w:t>203</w:t>
      </w:r>
      <w:r>
        <w:t>.</w:t>
      </w:r>
      <w:r>
        <w:tab/>
        <w:t>Certain powers only exercisable by judicial member or legally qualified member</w:t>
      </w:r>
      <w:bookmarkEnd w:id="688"/>
      <w:bookmarkEnd w:id="689"/>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(including through re</w:t>
      </w:r>
      <w:r>
        <w:noBreakHyphen/>
        <w:t>entry of a strata lease); or</w:t>
      </w:r>
    </w:p>
    <w:p>
      <w:pPr>
        <w:pStyle w:val="Indenta"/>
      </w:pPr>
      <w:r>
        <w:tab/>
        <w:t>(b)</w:t>
      </w:r>
      <w:r>
        <w:tab/>
        <w:t>the order is an order confirming a termination resolution (as set out in section 183(18));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Footnotesection"/>
      </w:pPr>
      <w:r>
        <w:tab/>
        <w:t>[Section 203 inserted: No. 30 of 2018 s. 83.]</w:t>
      </w:r>
    </w:p>
    <w:p>
      <w:pPr>
        <w:pStyle w:val="Heading5"/>
      </w:pPr>
      <w:bookmarkStart w:id="690" w:name="_Toc106986851"/>
      <w:bookmarkStart w:id="691" w:name="_Toc100565149"/>
      <w:r>
        <w:rPr>
          <w:rStyle w:val="CharSectno"/>
        </w:rPr>
        <w:t>204</w:t>
      </w:r>
      <w:r>
        <w:t>.</w:t>
      </w:r>
      <w:r>
        <w:tab/>
        <w:t>Limitations on orders</w:t>
      </w:r>
      <w:bookmarkEnd w:id="690"/>
      <w:bookmarkEnd w:id="691"/>
    </w:p>
    <w:p>
      <w:pPr>
        <w:pStyle w:val="Subsection"/>
        <w:keepNext/>
        <w:rPr>
          <w:snapToGrid w:val="0"/>
        </w:rPr>
      </w:pPr>
      <w:r>
        <w:tab/>
      </w:r>
      <w:r>
        <w:tab/>
        <w:t>In a proceeding under this Act,</w:t>
      </w:r>
      <w:r>
        <w:rPr>
          <w:snapToGrid w:val="0"/>
        </w:rPr>
        <w:t xml:space="preserve"> the Tribunal cannot —</w:t>
      </w:r>
    </w:p>
    <w:p>
      <w:pPr>
        <w:pStyle w:val="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Indenta"/>
      </w:pPr>
      <w:r>
        <w:tab/>
        <w:t>(b)</w:t>
      </w:r>
      <w:r>
        <w:tab/>
        <w:t>make an order that the strata company is to be taken to have passed —</w:t>
      </w:r>
    </w:p>
    <w:p>
      <w:pPr>
        <w:pStyle w:val="Indenti"/>
      </w:pPr>
      <w:r>
        <w:tab/>
        <w:t>(i)</w:t>
      </w:r>
      <w:r>
        <w:tab/>
        <w:t>a termination resolution; or</w:t>
      </w:r>
    </w:p>
    <w:p>
      <w:pPr>
        <w:pStyle w:val="Indenti"/>
      </w:pPr>
      <w:r>
        <w:tab/>
        <w:t>(ii)</w:t>
      </w:r>
      <w:r>
        <w:tab/>
        <w:t>a resolution required for postponement of the expiry day for a leasehold scheme; or</w:t>
      </w:r>
    </w:p>
    <w:p>
      <w:pPr>
        <w:pStyle w:val="Indenti"/>
      </w:pPr>
      <w:r>
        <w:tab/>
        <w:t>(iii)</w:t>
      </w:r>
      <w:r>
        <w:tab/>
        <w:t>a resolution fixing or varying contributions unless the Tribunal is satisfied that the contributions fixed by the strata company are inadequate or excessive; or</w:t>
      </w:r>
    </w:p>
    <w:p>
      <w:pPr>
        <w:pStyle w:val="Indenti"/>
      </w:pPr>
      <w:r>
        <w:tab/>
        <w:t>(iv)</w:t>
      </w:r>
      <w:r>
        <w:tab/>
        <w:t>a resolution fixing or varying the interest rate applicable to contributions unless the Tribunal is satisfied that the interest rate fixed by the strata company is unreasonable; or</w:t>
      </w:r>
    </w:p>
    <w:p>
      <w:pPr>
        <w:pStyle w:val="Indenti"/>
      </w:pPr>
      <w:r>
        <w:tab/>
        <w:t>(v)</w:t>
      </w:r>
      <w:r>
        <w:tab/>
        <w:t>a resolution determining arrangements for payment of contributions in instalments unless the Tribunal is satisfied that the arrangements allowed by the strata company are unreasonable;</w:t>
      </w:r>
    </w:p>
    <w:p>
      <w:pPr>
        <w:pStyle w:val="Indenta"/>
      </w:pPr>
      <w:r>
        <w:tab/>
      </w:r>
      <w:r>
        <w:tab/>
        <w:t>or</w:t>
      </w:r>
    </w:p>
    <w:p>
      <w:pPr>
        <w:pStyle w:val="Indenta"/>
      </w:pPr>
      <w:r>
        <w:tab/>
        <w:t>(c)</w:t>
      </w:r>
      <w:r>
        <w:tab/>
        <w:t>make an order that the amount of insurance cover be varied unless satisfied that the amount for which the strata company has insurance as required by this Act is inadequate or excessive; or</w:t>
      </w:r>
    </w:p>
    <w:p>
      <w:pPr>
        <w:pStyle w:val="Indenta"/>
      </w:pPr>
      <w:r>
        <w:tab/>
        <w:t>(d)</w:t>
      </w:r>
      <w:r>
        <w:tab/>
        <w:t>make an order to allow the keeping of an animal on specified conditions or prohibit the keeping of an animal on a lot or common property unless satisfied that the strata company has acted unreasonably; or</w:t>
      </w:r>
    </w:p>
    <w:p>
      <w:pPr>
        <w:pStyle w:val="Indenta"/>
      </w:pPr>
      <w:r>
        <w:tab/>
        <w:t>(e)</w:t>
      </w:r>
      <w:r>
        <w:tab/>
        <w:t>make an order by way of compensation for personal injury or death; or</w:t>
      </w:r>
    </w:p>
    <w:p>
      <w:pPr>
        <w:pStyle w:val="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Indenta"/>
      </w:pPr>
      <w:r>
        <w:tab/>
        <w:t>(g)</w:t>
      </w:r>
      <w:r>
        <w:tab/>
        <w:t>make an order in circumstances prohibited under the regulations.</w:t>
      </w:r>
    </w:p>
    <w:p>
      <w:pPr>
        <w:pStyle w:val="Footnotesection"/>
      </w:pPr>
      <w:r>
        <w:tab/>
        <w:t>[Section 204 inserted: No. 30 of 2018 s. 83.]</w:t>
      </w:r>
    </w:p>
    <w:p>
      <w:pPr>
        <w:pStyle w:val="Heading5"/>
      </w:pPr>
      <w:bookmarkStart w:id="692" w:name="_Toc106986852"/>
      <w:bookmarkStart w:id="693" w:name="_Toc100565150"/>
      <w:r>
        <w:rPr>
          <w:rStyle w:val="CharSectno"/>
        </w:rPr>
        <w:t>205</w:t>
      </w:r>
      <w:r>
        <w:t>.</w:t>
      </w:r>
      <w:r>
        <w:tab/>
        <w:t>Administrator of strata company</w:t>
      </w:r>
      <w:bookmarkEnd w:id="692"/>
      <w:bookmarkEnd w:id="693"/>
    </w:p>
    <w:p>
      <w:pPr>
        <w:pStyle w:val="Subsection"/>
      </w:pPr>
      <w:r>
        <w:tab/>
        <w:t>(1)</w:t>
      </w:r>
      <w:r>
        <w:tab/>
        <w:t>An order of the Tribunal appointing an administrator of a strata company may specify conditions of appointment of the administrator.</w:t>
      </w:r>
    </w:p>
    <w:p>
      <w:pPr>
        <w:pStyle w:val="Subsection"/>
      </w:pPr>
      <w:r>
        <w:tab/>
        <w:t>(2)</w:t>
      </w:r>
      <w:r>
        <w:tab/>
        <w:t>If the Tribunal makes an order appointing an administrator of a strata company —</w:t>
      </w:r>
    </w:p>
    <w:p>
      <w:pPr>
        <w:pStyle w:val="Indenta"/>
      </w:pPr>
      <w:r>
        <w:tab/>
        <w:t>(a)</w:t>
      </w:r>
      <w:r>
        <w:tab/>
        <w:t>no person other than the administrator may, while the order remains in force, perform a function that the administrator is authorised to perform under the order; and</w:t>
      </w:r>
    </w:p>
    <w:p>
      <w:pPr>
        <w:pStyle w:val="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t>the Tribunal may, by further order, vary or revoke the appointment.</w:t>
      </w:r>
    </w:p>
    <w:p>
      <w:pPr>
        <w:pStyle w:val="Subsection"/>
        <w:rPr>
          <w:snapToGrid w:val="0"/>
        </w:rPr>
      </w:pPr>
      <w:r>
        <w:tab/>
        <w:t>(3)</w:t>
      </w:r>
      <w:r>
        <w:tab/>
      </w:r>
      <w:r>
        <w:rPr>
          <w:snapToGrid w:val="0"/>
        </w:rPr>
        <w:t>An administrator of a strata company appointed by the Tribunal must, after performing a function under the order —</w:t>
      </w:r>
    </w:p>
    <w:p>
      <w:pPr>
        <w:pStyle w:val="Indenta"/>
      </w:pPr>
      <w:r>
        <w:tab/>
        <w:t>(a)</w:t>
      </w:r>
      <w:r>
        <w:tab/>
        <w:t>make a written record specifying the function and the manner of its performance; and</w:t>
      </w:r>
    </w:p>
    <w:p>
      <w:pPr>
        <w:pStyle w:val="Indenta"/>
      </w:pPr>
      <w:r>
        <w:tab/>
        <w:t>(b)</w:t>
      </w:r>
      <w:r>
        <w:tab/>
        <w:t>serve the record on the strata company.</w:t>
      </w:r>
    </w:p>
    <w:p>
      <w:pPr>
        <w:pStyle w:val="Footnotesection"/>
      </w:pPr>
      <w:r>
        <w:tab/>
        <w:t>[Section 205 inserted: No. 30 of 2018 s. 83.]</w:t>
      </w:r>
    </w:p>
    <w:p>
      <w:pPr>
        <w:pStyle w:val="Heading5"/>
      </w:pPr>
      <w:bookmarkStart w:id="694" w:name="_Toc106986853"/>
      <w:bookmarkStart w:id="695" w:name="_Toc100565151"/>
      <w:r>
        <w:rPr>
          <w:rStyle w:val="CharSectno"/>
        </w:rPr>
        <w:t>206</w:t>
      </w:r>
      <w:r>
        <w:t>.</w:t>
      </w:r>
      <w:r>
        <w:tab/>
        <w:t>Contributions for money payable by strata company</w:t>
      </w:r>
      <w:bookmarkEnd w:id="694"/>
      <w:bookmarkEnd w:id="695"/>
    </w:p>
    <w:p>
      <w:pPr>
        <w:pStyle w:val="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Indenta"/>
      </w:pPr>
      <w:r>
        <w:tab/>
        <w:t>(b)</w:t>
      </w:r>
      <w:r>
        <w:tab/>
        <w:t>direct the strata company to levy contributions in accordance with the order; and</w:t>
      </w:r>
    </w:p>
    <w:p>
      <w:pPr>
        <w:pStyle w:val="Indenta"/>
      </w:pPr>
      <w:r>
        <w:tab/>
        <w:t>(c)</w:t>
      </w:r>
      <w:r>
        <w:tab/>
        <w:t>prohibit the strata company from levying a contribution that would be payable by another party to the dispute.</w:t>
      </w:r>
    </w:p>
    <w:p>
      <w:pPr>
        <w:pStyle w:val="Footnotesection"/>
      </w:pPr>
      <w:r>
        <w:tab/>
        <w:t>[Section 206 inserted: No. 30 of 2018 s. 83.]</w:t>
      </w:r>
    </w:p>
    <w:p>
      <w:pPr>
        <w:pStyle w:val="Heading5"/>
      </w:pPr>
      <w:bookmarkStart w:id="696" w:name="_Toc106986854"/>
      <w:bookmarkStart w:id="697" w:name="_Toc100565152"/>
      <w:r>
        <w:rPr>
          <w:rStyle w:val="CharSectno"/>
        </w:rPr>
        <w:t>207</w:t>
      </w:r>
      <w:r>
        <w:t>.</w:t>
      </w:r>
      <w:r>
        <w:tab/>
        <w:t>Enforcement of order to act</w:t>
      </w:r>
      <w:bookmarkEnd w:id="696"/>
      <w:bookmarkEnd w:id="697"/>
    </w:p>
    <w:p>
      <w:pPr>
        <w:pStyle w:val="Subsection"/>
      </w:pPr>
      <w:r>
        <w:tab/>
        <w:t>(1)</w:t>
      </w:r>
      <w:r>
        <w:tab/>
        <w:t>An application for an order under this section can be made by a person who was the applicant in a proceeding under this Act in which an order to act was made.</w:t>
      </w:r>
    </w:p>
    <w:p>
      <w:pPr>
        <w:pStyle w:val="Subsection"/>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Footnotesection"/>
      </w:pPr>
      <w:r>
        <w:tab/>
        <w:t>[Section 207 inserted: No. 30 of 2018 s. 83.]</w:t>
      </w:r>
    </w:p>
    <w:p>
      <w:pPr>
        <w:pStyle w:val="Heading5"/>
      </w:pPr>
      <w:bookmarkStart w:id="698" w:name="_Toc106986855"/>
      <w:bookmarkStart w:id="699" w:name="_Toc100565153"/>
      <w:r>
        <w:rPr>
          <w:rStyle w:val="CharSectno"/>
        </w:rPr>
        <w:t>208</w:t>
      </w:r>
      <w:r>
        <w:t>.</w:t>
      </w:r>
      <w:r>
        <w:tab/>
        <w:t>Order overrides existing scheme by</w:t>
      </w:r>
      <w:r>
        <w:noBreakHyphen/>
        <w:t>laws</w:t>
      </w:r>
      <w:bookmarkEnd w:id="698"/>
      <w:bookmarkEnd w:id="699"/>
    </w:p>
    <w:p>
      <w:pPr>
        <w:pStyle w:val="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PermNoteHeading"/>
      </w:pPr>
      <w:r>
        <w:tab/>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Footnotesection"/>
      </w:pPr>
      <w:r>
        <w:tab/>
        <w:t>[Section 208 inserted: No. 30 of 2018 s. 83.]</w:t>
      </w:r>
    </w:p>
    <w:p>
      <w:pPr>
        <w:pStyle w:val="Heading5"/>
      </w:pPr>
      <w:bookmarkStart w:id="700" w:name="_Toc106986856"/>
      <w:bookmarkStart w:id="701" w:name="_Toc100565154"/>
      <w:r>
        <w:rPr>
          <w:rStyle w:val="CharSectno"/>
        </w:rPr>
        <w:t>209</w:t>
      </w:r>
      <w:r>
        <w:t>.</w:t>
      </w:r>
      <w:r>
        <w:tab/>
        <w:t>Original jurisdiction</w:t>
      </w:r>
      <w:bookmarkEnd w:id="700"/>
      <w:bookmarkEnd w:id="701"/>
    </w:p>
    <w:p>
      <w:pPr>
        <w:pStyle w:val="Subsection"/>
      </w:pPr>
      <w:r>
        <w:tab/>
      </w:r>
      <w:r>
        <w:tab/>
        <w:t>Unless otherwise provided in this Act, a proceeding before the Tribunal under this Act comes within the Tribunal’s original jurisdiction.</w:t>
      </w:r>
    </w:p>
    <w:p>
      <w:pPr>
        <w:pStyle w:val="Footnotesection"/>
      </w:pPr>
      <w:r>
        <w:tab/>
        <w:t>[Section 209 inserted: No. 30 of 2018 s. 83.]</w:t>
      </w:r>
    </w:p>
    <w:p>
      <w:pPr>
        <w:pStyle w:val="Heading5"/>
      </w:pPr>
      <w:bookmarkStart w:id="702" w:name="_Toc106986857"/>
      <w:bookmarkStart w:id="703" w:name="_Toc100565155"/>
      <w:r>
        <w:rPr>
          <w:rStyle w:val="CharSectno"/>
        </w:rPr>
        <w:t>210</w:t>
      </w:r>
      <w:r>
        <w:t>.</w:t>
      </w:r>
      <w:r>
        <w:tab/>
        <w:t>Internal review of order or declaration</w:t>
      </w:r>
      <w:bookmarkEnd w:id="702"/>
      <w:bookmarkEnd w:id="703"/>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Subsection"/>
        <w:keepNext/>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Footnotesection"/>
      </w:pPr>
      <w:r>
        <w:tab/>
        <w:t>[Section 210 inserted: No. 30 of 2018 s. 83.]</w:t>
      </w:r>
    </w:p>
    <w:p>
      <w:pPr>
        <w:pStyle w:val="Heading2"/>
      </w:pPr>
      <w:bookmarkStart w:id="704" w:name="_Toc106986422"/>
      <w:bookmarkStart w:id="705" w:name="_Toc106986858"/>
      <w:bookmarkStart w:id="706" w:name="_Toc100308436"/>
      <w:bookmarkStart w:id="707" w:name="_Toc100308872"/>
      <w:bookmarkStart w:id="708" w:name="_Toc100565156"/>
      <w:r>
        <w:rPr>
          <w:rStyle w:val="CharPartNo"/>
        </w:rPr>
        <w:t>Part 14</w:t>
      </w:r>
      <w:r>
        <w:rPr>
          <w:b w:val="0"/>
        </w:rPr>
        <w:t> </w:t>
      </w:r>
      <w:r>
        <w:t>—</w:t>
      </w:r>
      <w:r>
        <w:rPr>
          <w:b w:val="0"/>
        </w:rPr>
        <w:t> </w:t>
      </w:r>
      <w:r>
        <w:rPr>
          <w:rStyle w:val="CharPartText"/>
        </w:rPr>
        <w:t>Miscellaneous</w:t>
      </w:r>
      <w:bookmarkEnd w:id="704"/>
      <w:bookmarkEnd w:id="705"/>
      <w:bookmarkEnd w:id="706"/>
      <w:bookmarkEnd w:id="707"/>
      <w:bookmarkEnd w:id="708"/>
    </w:p>
    <w:p>
      <w:pPr>
        <w:pStyle w:val="Footnoteheading"/>
      </w:pPr>
      <w:r>
        <w:tab/>
        <w:t>[Heading inserted: No. 30 of 2018 s. 83.]</w:t>
      </w:r>
    </w:p>
    <w:p>
      <w:pPr>
        <w:pStyle w:val="Heading5"/>
        <w:rPr>
          <w:snapToGrid w:val="0"/>
        </w:rPr>
      </w:pPr>
      <w:bookmarkStart w:id="709" w:name="_Toc106986859"/>
      <w:bookmarkStart w:id="710" w:name="_Toc100565157"/>
      <w:r>
        <w:rPr>
          <w:rStyle w:val="CharSectno"/>
        </w:rPr>
        <w:t>211</w:t>
      </w:r>
      <w:r>
        <w:rPr>
          <w:snapToGrid w:val="0"/>
        </w:rPr>
        <w:t>.</w:t>
      </w:r>
      <w:r>
        <w:rPr>
          <w:snapToGrid w:val="0"/>
        </w:rPr>
        <w:tab/>
        <w:t>Other rights and remedies not affected by this Act</w:t>
      </w:r>
      <w:bookmarkEnd w:id="709"/>
      <w:bookmarkEnd w:id="710"/>
    </w:p>
    <w:p>
      <w:pPr>
        <w:pStyle w:val="Subsection"/>
        <w:rPr>
          <w:snapToGrid w:val="0"/>
        </w:rPr>
      </w:pPr>
      <w:r>
        <w:rPr>
          <w:snapToGrid w:val="0"/>
        </w:rPr>
        <w:tab/>
        <w:t>(1)</w:t>
      </w:r>
      <w:r>
        <w:rPr>
          <w:snapToGrid w:val="0"/>
        </w:rPr>
        <w:tab/>
        <w:t xml:space="preserve">Nothing in this Act derogates from </w:t>
      </w:r>
      <w:r>
        <w:t>rights</w:t>
      </w:r>
      <w:r>
        <w:rPr>
          <w:snapToGrid w:val="0"/>
        </w:rPr>
        <w:t xml:space="preserve"> or remedies that a strata company, an owner or mortgagee of a lot, an administrator, a person having an estate or interest in a lot </w:t>
      </w:r>
      <w:r>
        <w:t>or</w:t>
      </w:r>
      <w:r>
        <w:rPr>
          <w:snapToGrid w:val="0"/>
        </w:rPr>
        <w:t>, an owner of a leasehold scheme or an occupier may have in relation to a lot or the common property apart from this Act.</w:t>
      </w:r>
    </w:p>
    <w:p>
      <w:pPr>
        <w:pStyle w:val="Subsection"/>
        <w:rPr>
          <w:snapToGrid w:val="0"/>
        </w:rPr>
      </w:pPr>
      <w:r>
        <w:rPr>
          <w:snapToGrid w:val="0"/>
        </w:rPr>
        <w:tab/>
        <w:t>(2)</w:t>
      </w:r>
      <w:r>
        <w:rPr>
          <w:snapToGrid w:val="0"/>
        </w:rPr>
        <w:tab/>
        <w:t>If a court in which proceedings to enforce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proceedings under this Act make adequate provision for the enforcement of those rights or remedies, the court must order the plaintiff to pay the defendant’s costs in such amount as may be determined by the court.</w:t>
      </w:r>
    </w:p>
    <w:p>
      <w:pPr>
        <w:pStyle w:val="Footnotesection"/>
      </w:pPr>
      <w:r>
        <w:tab/>
        <w:t>[Section 211, formerly section 122, amended, renumbered as section 211 and relocated: No. 30 of 2018 s. 71 and 84.]</w:t>
      </w:r>
    </w:p>
    <w:p>
      <w:pPr>
        <w:pStyle w:val="Heading5"/>
        <w:rPr>
          <w:snapToGrid w:val="0"/>
        </w:rPr>
      </w:pPr>
      <w:bookmarkStart w:id="711" w:name="_Toc106986860"/>
      <w:bookmarkStart w:id="712" w:name="_Toc100565158"/>
      <w:r>
        <w:rPr>
          <w:rStyle w:val="CharSectno"/>
        </w:rPr>
        <w:t>212</w:t>
      </w:r>
      <w:r>
        <w:rPr>
          <w:snapToGrid w:val="0"/>
        </w:rPr>
        <w:t>.</w:t>
      </w:r>
      <w:r>
        <w:rPr>
          <w:snapToGrid w:val="0"/>
        </w:rPr>
        <w:tab/>
        <w:t>Caravan and camping areas not to be subdivided</w:t>
      </w:r>
      <w:bookmarkEnd w:id="711"/>
      <w:bookmarkEnd w:id="712"/>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by a strata titles scheme if that subdivision would result in there being a caravan park on more than 1 lot, a camping ground on more than 1 lot or a caravan park and camping ground on more than 1 lot.</w:t>
      </w:r>
    </w:p>
    <w:p>
      <w:pPr>
        <w:pStyle w:val="Subsection"/>
        <w:keepNext/>
        <w:keepLines/>
        <w:rPr>
          <w:snapToGrid w:val="0"/>
        </w:rPr>
      </w:pPr>
      <w:r>
        <w:rPr>
          <w:snapToGrid w:val="0"/>
        </w:rPr>
        <w:tab/>
        <w:t>(2)</w:t>
      </w:r>
      <w:r>
        <w:rPr>
          <w:snapToGrid w:val="0"/>
        </w:rPr>
        <w:tab/>
        <w:t>Despite subsection (1), land referred to in subsection (1)(a) may be subdivided by registration of a strata titles scheme if that subdivision would not result in the land being 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meanings as they have in the </w:t>
      </w:r>
      <w:r>
        <w:rPr>
          <w:i/>
          <w:snapToGrid w:val="0"/>
        </w:rPr>
        <w:t>Caravan Parks and Camping Grounds Act 1995</w:t>
      </w:r>
      <w:r>
        <w:rPr>
          <w:snapToGrid w:val="0"/>
        </w:rPr>
        <w:t xml:space="preserve"> section 5.</w:t>
      </w:r>
    </w:p>
    <w:p>
      <w:pPr>
        <w:pStyle w:val="Footnotesection"/>
      </w:pPr>
      <w:r>
        <w:tab/>
        <w:t>[Section 212 inserted as section 123A: No. 34 of 1995 s. 33 and redesignated as 122A: No. 10 of 1998 s. 66; amended, renumbered as section 212 and relocated: No. 30 of 2018 s. 72 and 84.]</w:t>
      </w:r>
    </w:p>
    <w:p>
      <w:pPr>
        <w:pStyle w:val="Heading5"/>
        <w:rPr>
          <w:snapToGrid w:val="0"/>
        </w:rPr>
      </w:pPr>
      <w:bookmarkStart w:id="713" w:name="_Toc106986861"/>
      <w:bookmarkStart w:id="714" w:name="_Toc100565159"/>
      <w:r>
        <w:rPr>
          <w:rStyle w:val="CharSectno"/>
        </w:rPr>
        <w:t>213</w:t>
      </w:r>
      <w:r>
        <w:rPr>
          <w:snapToGrid w:val="0"/>
        </w:rPr>
        <w:t>.</w:t>
      </w:r>
      <w:r>
        <w:rPr>
          <w:snapToGrid w:val="0"/>
        </w:rPr>
        <w:tab/>
        <w:t>Dividing fences</w:t>
      </w:r>
      <w:bookmarkEnd w:id="713"/>
      <w:bookmarkEnd w:id="714"/>
    </w:p>
    <w:p>
      <w:pPr>
        <w:pStyle w:val="Subsection"/>
        <w:rPr>
          <w:snapToGrid w:val="0"/>
        </w:rPr>
      </w:pPr>
      <w:r>
        <w:rPr>
          <w:snapToGrid w:val="0"/>
        </w:rPr>
        <w:tab/>
        <w:t>(1)</w:t>
      </w:r>
      <w:r>
        <w:rPr>
          <w:snapToGrid w:val="0"/>
        </w:rPr>
        <w:tab/>
        <w:t xml:space="preserve">The ownership of land in a strata titles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Indenta"/>
        <w:rPr>
          <w:snapToGrid w:val="0"/>
        </w:rPr>
      </w:pPr>
      <w:r>
        <w:rPr>
          <w:snapToGrid w:val="0"/>
        </w:rPr>
        <w:tab/>
        <w:t>(a)</w:t>
      </w:r>
      <w:r>
        <w:rPr>
          <w:snapToGrid w:val="0"/>
        </w:rPr>
        <w:tab/>
        <w:t>in the case of a lot, the owner of the lot; and</w:t>
      </w:r>
    </w:p>
    <w:p>
      <w:pPr>
        <w:pStyle w:val="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Subsection"/>
        <w:keepNext/>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Footnotesection"/>
      </w:pPr>
      <w:r>
        <w:tab/>
        <w:t>[Section 213, formerly section 123, inserted: No. 61 of 1996 s. 37; amended, renumbered as section 213 and relocated: No. 30 of 2018 s. 73 and 84.]</w:t>
      </w:r>
    </w:p>
    <w:p>
      <w:pPr>
        <w:pStyle w:val="Heading5"/>
        <w:rPr>
          <w:snapToGrid w:val="0"/>
        </w:rPr>
      </w:pPr>
      <w:bookmarkStart w:id="715" w:name="_Toc106986862"/>
      <w:bookmarkStart w:id="716" w:name="_Toc100565160"/>
      <w:r>
        <w:rPr>
          <w:rStyle w:val="CharSectno"/>
        </w:rPr>
        <w:t>214</w:t>
      </w:r>
      <w:r>
        <w:rPr>
          <w:snapToGrid w:val="0"/>
        </w:rPr>
        <w:t>.</w:t>
      </w:r>
      <w:r>
        <w:rPr>
          <w:snapToGrid w:val="0"/>
        </w:rPr>
        <w:tab/>
        <w:t>Internal fencing</w:t>
      </w:r>
      <w:bookmarkEnd w:id="715"/>
      <w:bookmarkEnd w:id="716"/>
    </w:p>
    <w:p>
      <w:pPr>
        <w:pStyle w:val="Subsection"/>
        <w:keepNext/>
        <w:keepLines/>
      </w:pPr>
      <w:r>
        <w:tab/>
        <w:t>(1)</w:t>
      </w:r>
      <w:r>
        <w:tab/>
      </w:r>
      <w:r>
        <w:rPr>
          <w:snapToGrid w:val="0"/>
        </w:rPr>
        <w:t>The</w:t>
      </w:r>
      <w:r>
        <w:t xml:space="preserve"> </w:t>
      </w:r>
      <w:r>
        <w:rPr>
          <w:i/>
        </w:rPr>
        <w:t>Dividing Fences Act 1961</w:t>
      </w:r>
      <w:r>
        <w:t xml:space="preserve"> applies to fencing between lots in a survey</w:t>
      </w:r>
      <w:r>
        <w:noBreakHyphen/>
        <w:t>strata scheme as if —</w:t>
      </w:r>
    </w:p>
    <w:p>
      <w:pPr>
        <w:pStyle w:val="Indenta"/>
        <w:keepLines/>
        <w:rPr>
          <w:snapToGrid w:val="0"/>
        </w:rPr>
      </w:pPr>
      <w:r>
        <w:rPr>
          <w:snapToGrid w:val="0"/>
        </w:rPr>
        <w:tab/>
        <w:t>(a)</w:t>
      </w:r>
      <w:r>
        <w:rPr>
          <w:snapToGrid w:val="0"/>
        </w:rPr>
        <w:tab/>
        <w:t>adjoining lots were adjoining lands to which that Act applies; and</w:t>
      </w:r>
    </w:p>
    <w:p>
      <w:pPr>
        <w:pStyle w:val="Indenta"/>
        <w:keepLines/>
        <w:rPr>
          <w:snapToGrid w:val="0"/>
        </w:rPr>
      </w:pPr>
      <w:r>
        <w:rPr>
          <w:snapToGrid w:val="0"/>
        </w:rPr>
        <w:tab/>
        <w:t>(b)</w:t>
      </w:r>
      <w:r>
        <w:rPr>
          <w:snapToGrid w:val="0"/>
        </w:rPr>
        <w:tab/>
        <w:t>an owner of a lot held the lot for an estate of freehold in possession; and</w:t>
      </w:r>
    </w:p>
    <w:p>
      <w:pPr>
        <w:pStyle w:val="Indenta"/>
        <w:keepLines/>
        <w:rPr>
          <w:snapToGrid w:val="0"/>
        </w:rPr>
      </w:pPr>
      <w:r>
        <w:rPr>
          <w:snapToGrid w:val="0"/>
        </w:rPr>
        <w:tab/>
        <w:t>(c)</w:t>
      </w:r>
      <w:r>
        <w:rPr>
          <w:snapToGrid w:val="0"/>
        </w:rPr>
        <w:tab/>
        <w:t>common property were held by the strata company for an estate of freehold in possession.</w:t>
      </w:r>
    </w:p>
    <w:p>
      <w:pPr>
        <w:pStyle w:val="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Subsection"/>
        <w:rPr>
          <w:snapToGrid w:val="0"/>
        </w:rPr>
      </w:pPr>
      <w:r>
        <w:rPr>
          <w:snapToGrid w:val="0"/>
        </w:rPr>
        <w:tab/>
        <w:t>(3)</w:t>
      </w:r>
      <w:r>
        <w:rPr>
          <w:snapToGrid w:val="0"/>
        </w:rPr>
        <w:tab/>
        <w:t>This section has effect subject to the scheme by</w:t>
      </w:r>
      <w:r>
        <w:rPr>
          <w:snapToGrid w:val="0"/>
        </w:rPr>
        <w:noBreakHyphen/>
        <w:t>laws.</w:t>
      </w:r>
    </w:p>
    <w:p>
      <w:pPr>
        <w:pStyle w:val="Footnotesection"/>
        <w:spacing w:before="80"/>
        <w:ind w:left="890" w:hanging="890"/>
      </w:pPr>
      <w:r>
        <w:tab/>
        <w:t>[Section 214, formerly section 123B, inserted: No. 61 of 1996 s. 37; amended, renumbered as section 214 and relocated: No. 30 of 2018 s. 74 and 84.]</w:t>
      </w:r>
    </w:p>
    <w:p>
      <w:pPr>
        <w:pStyle w:val="Heading5"/>
      </w:pPr>
      <w:bookmarkStart w:id="717" w:name="_Toc106986863"/>
      <w:bookmarkStart w:id="718" w:name="_Toc100565161"/>
      <w:r>
        <w:rPr>
          <w:rStyle w:val="CharSectno"/>
        </w:rPr>
        <w:t>215</w:t>
      </w:r>
      <w:r>
        <w:t>.</w:t>
      </w:r>
      <w:r>
        <w:tab/>
        <w:t>Address for service</w:t>
      </w:r>
      <w:bookmarkEnd w:id="717"/>
      <w:bookmarkEnd w:id="718"/>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Footnotesection"/>
      </w:pPr>
      <w:r>
        <w:tab/>
        <w:t>[Section 215 inserted: No. 30 of 2018 s. 83.]</w:t>
      </w:r>
    </w:p>
    <w:p>
      <w:pPr>
        <w:pStyle w:val="Heading5"/>
      </w:pPr>
      <w:bookmarkStart w:id="719" w:name="_Toc106986864"/>
      <w:bookmarkStart w:id="720" w:name="_Toc100565162"/>
      <w:r>
        <w:rPr>
          <w:rStyle w:val="CharSectno"/>
        </w:rPr>
        <w:t>216</w:t>
      </w:r>
      <w:r>
        <w:t>.</w:t>
      </w:r>
      <w:r>
        <w:tab/>
        <w:t>Service of documents on strata company, owners and others</w:t>
      </w:r>
      <w:bookmarkEnd w:id="719"/>
      <w:bookmarkEnd w:id="720"/>
    </w:p>
    <w:p>
      <w:pPr>
        <w:pStyle w:val="Subsection"/>
        <w:keepNext/>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Indenta"/>
      </w:pPr>
      <w:r>
        <w:tab/>
        <w:t>(a)</w:t>
      </w:r>
      <w:r>
        <w:tab/>
        <w:t>by serving it on a member of the council of the strata company; or</w:t>
      </w:r>
    </w:p>
    <w:p>
      <w:pPr>
        <w:pStyle w:val="Indenta"/>
      </w:pPr>
      <w:r>
        <w:tab/>
        <w:t>(b)</w:t>
      </w:r>
      <w:r>
        <w:tab/>
        <w:t>by sending it to the strata company’s address for service (by post if it is a postal address or by electronic transmission if it is an electronic address); or</w:t>
      </w:r>
    </w:p>
    <w:p>
      <w:pPr>
        <w:pStyle w:val="Indenta"/>
      </w:pPr>
      <w:r>
        <w:tab/>
        <w:t>(c)</w:t>
      </w:r>
      <w:r>
        <w:tab/>
        <w:t>by leaving it in the letterbox provided by the strata company under section 104(3)(a).</w:t>
      </w:r>
    </w:p>
    <w:p>
      <w:pPr>
        <w:pStyle w:val="Subsection"/>
      </w:pPr>
      <w:r>
        <w:tab/>
        <w:t>(2)</w:t>
      </w:r>
      <w:r>
        <w:tab/>
        <w:t>Subsection (1) applies even if the document is required to be served personally on a strata company.</w:t>
      </w:r>
    </w:p>
    <w:p>
      <w:pPr>
        <w:pStyle w:val="Subsection"/>
      </w:pPr>
      <w:r>
        <w:tab/>
        <w:t>(3)</w:t>
      </w:r>
      <w:r>
        <w:tab/>
        <w:t>A document required or authorised by this Act or scheme by</w:t>
      </w:r>
      <w:r>
        <w:noBreakHyphen/>
        <w:t>laws to be served on the owner of a leasehold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(by post if it is a postal address or by electronic transmission if it is an electronic address).</w:t>
      </w:r>
    </w:p>
    <w:p>
      <w:pPr>
        <w:pStyle w:val="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Indenta"/>
      </w:pPr>
      <w:r>
        <w:tab/>
        <w:t>(a)</w:t>
      </w:r>
      <w:r>
        <w:tab/>
        <w:t>by serving it on the owner personally; or</w:t>
      </w:r>
    </w:p>
    <w:p>
      <w:pPr>
        <w:pStyle w:val="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Indenta"/>
      </w:pPr>
      <w:r>
        <w:tab/>
        <w:t>(c)</w:t>
      </w:r>
      <w:r>
        <w:tab/>
        <w:t>if there is no such address for service, by sending it by post to the owner to the address of the lot; or</w:t>
      </w:r>
    </w:p>
    <w:p>
      <w:pPr>
        <w:pStyle w:val="Indenta"/>
      </w:pPr>
      <w:r>
        <w:tab/>
        <w:t>(d)</w:t>
      </w:r>
      <w:r>
        <w:tab/>
        <w:t>by serving it in a manner authorised for service on the owner of a lot by the scheme by</w:t>
      </w:r>
      <w:r>
        <w:noBreakHyphen/>
        <w:t>laws.</w:t>
      </w:r>
    </w:p>
    <w:p>
      <w:pPr>
        <w:pStyle w:val="Subsection"/>
      </w:pPr>
      <w:r>
        <w:tab/>
        <w:t>(5)</w:t>
      </w:r>
      <w:r>
        <w:tab/>
        <w:t>If there are 2 or more persons who are co</w:t>
      </w:r>
      <w:r>
        <w:noBreakHyphen/>
        <w:t>owners of a lot, a document will be taken to be served on the owner of the lot when it has been served on each of those persons.</w:t>
      </w:r>
    </w:p>
    <w:p>
      <w:pPr>
        <w:pStyle w:val="Subsection"/>
      </w:pPr>
      <w:r>
        <w:tab/>
        <w:t>(6)</w:t>
      </w:r>
      <w:r>
        <w:tab/>
        <w:t>A document required or authorised by this Act or scheme by</w:t>
      </w:r>
      <w:r>
        <w:noBreakHyphen/>
        <w:t>laws to be served on the occupier of a lot may be served —</w:t>
      </w:r>
    </w:p>
    <w:p>
      <w:pPr>
        <w:pStyle w:val="Indenta"/>
      </w:pPr>
      <w:r>
        <w:tab/>
        <w:t>(a)</w:t>
      </w:r>
      <w:r>
        <w:tab/>
        <w:t>by serving it on the occupier personally; or</w:t>
      </w:r>
    </w:p>
    <w:p>
      <w:pPr>
        <w:pStyle w:val="Indenta"/>
      </w:pPr>
      <w:r>
        <w:tab/>
        <w:t>(b)</w:t>
      </w:r>
      <w:r>
        <w:tab/>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by</w:t>
      </w:r>
      <w:r>
        <w:noBreakHyphen/>
        <w:t>laws of the strata company.</w:t>
      </w:r>
    </w:p>
    <w:p>
      <w:pPr>
        <w:pStyle w:val="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Indenta"/>
      </w:pPr>
      <w:r>
        <w:tab/>
        <w:t>(a)</w:t>
      </w:r>
      <w:r>
        <w:tab/>
        <w:t>by serving it on the person personally or by post; or</w:t>
      </w:r>
    </w:p>
    <w:p>
      <w:pPr>
        <w:pStyle w:val="Indenta"/>
      </w:pPr>
      <w:r>
        <w:tab/>
        <w:t>(b)</w:t>
      </w:r>
      <w:r>
        <w:tab/>
        <w:t>by leaving it with a person apparently of or over the age of 16 years at the place of residence or place of business of the first</w:t>
      </w:r>
      <w:r>
        <w:noBreakHyphen/>
        <w:t>mentioned person; or</w:t>
      </w:r>
    </w:p>
    <w:p>
      <w:pPr>
        <w:pStyle w:val="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(8)</w:t>
      </w:r>
      <w:r>
        <w:tab/>
        <w:t>For the purposes of this section, service by post must be by pre</w:t>
      </w:r>
      <w:r>
        <w:noBreakHyphen/>
      </w:r>
      <w:r>
        <w:rPr>
          <w:snapToGrid w:val="0"/>
        </w:rPr>
        <w:t>paid</w:t>
      </w:r>
      <w:r>
        <w:t xml:space="preserve"> post.</w:t>
      </w:r>
    </w:p>
    <w:p>
      <w:pPr>
        <w:pStyle w:val="Subsection"/>
      </w:pPr>
      <w:r>
        <w:tab/>
        <w:t>(9)</w:t>
      </w:r>
      <w:r>
        <w:tab/>
        <w:t xml:space="preserve">This section is in addition to the </w:t>
      </w:r>
      <w:r>
        <w:rPr>
          <w:i/>
        </w:rPr>
        <w:t>Interpretation Act 1984</w:t>
      </w:r>
      <w:r>
        <w:t xml:space="preserve"> sections 75 and 76.</w:t>
      </w:r>
    </w:p>
    <w:p>
      <w:pPr>
        <w:pStyle w:val="Footnotesection"/>
      </w:pPr>
      <w:r>
        <w:tab/>
        <w:t>[Section 216 inserted: No. 30 of 2018 s. 83.]</w:t>
      </w:r>
    </w:p>
    <w:p>
      <w:pPr>
        <w:pStyle w:val="Heading5"/>
        <w:rPr>
          <w:snapToGrid w:val="0"/>
        </w:rPr>
      </w:pPr>
      <w:bookmarkStart w:id="721" w:name="_Toc106986865"/>
      <w:bookmarkStart w:id="722" w:name="_Toc100565163"/>
      <w:r>
        <w:rPr>
          <w:rStyle w:val="CharSectno"/>
        </w:rPr>
        <w:t>217</w:t>
      </w:r>
      <w:r>
        <w:rPr>
          <w:snapToGrid w:val="0"/>
        </w:rPr>
        <w:t>.</w:t>
      </w:r>
      <w:r>
        <w:rPr>
          <w:snapToGrid w:val="0"/>
        </w:rPr>
        <w:tab/>
        <w:t>Powers of entry under written laws</w:t>
      </w:r>
      <w:bookmarkEnd w:id="721"/>
      <w:bookmarkEnd w:id="722"/>
    </w:p>
    <w:p>
      <w:pPr>
        <w:pStyle w:val="Subsection"/>
        <w:rPr>
          <w:snapToGrid w:val="0"/>
        </w:rPr>
      </w:pPr>
      <w:r>
        <w:rPr>
          <w:snapToGrid w:val="0"/>
        </w:rPr>
        <w:tab/>
      </w:r>
      <w:r>
        <w:rPr>
          <w:snapToGrid w:val="0"/>
        </w:rPr>
        <w:tab/>
        <w:t>A person who is authorised under a written law to enter on part of a parcel for the purpose of exercising a power conferred on the person may enter on any other part of that parcel if it is necessary to do so in order to exercise that power.</w:t>
      </w:r>
    </w:p>
    <w:p>
      <w:pPr>
        <w:pStyle w:val="Footnotesection"/>
      </w:pPr>
      <w:r>
        <w:tab/>
        <w:t>[Section 217, formerly section 126, amended: No. 14 of 1996 s. 4; amended, renumbered as section 217 and relocated: No. 30 of 2018 s. 76 and 84.]</w:t>
      </w:r>
    </w:p>
    <w:p>
      <w:pPr>
        <w:pStyle w:val="Heading5"/>
        <w:rPr>
          <w:snapToGrid w:val="0"/>
        </w:rPr>
      </w:pPr>
      <w:bookmarkStart w:id="723" w:name="_Toc106986866"/>
      <w:bookmarkStart w:id="724" w:name="_Toc100565164"/>
      <w:r>
        <w:rPr>
          <w:rStyle w:val="CharSectno"/>
        </w:rPr>
        <w:t>218</w:t>
      </w:r>
      <w:r>
        <w:rPr>
          <w:snapToGrid w:val="0"/>
        </w:rPr>
        <w:t>.</w:t>
      </w:r>
      <w:r>
        <w:rPr>
          <w:snapToGrid w:val="0"/>
        </w:rPr>
        <w:tab/>
        <w:t>Correction of errors by Registrar of Titles</w:t>
      </w:r>
      <w:bookmarkEnd w:id="723"/>
      <w:bookmarkEnd w:id="724"/>
    </w:p>
    <w:p>
      <w:pPr>
        <w:pStyle w:val="Subsection"/>
        <w:rPr>
          <w:snapToGrid w:val="0"/>
        </w:rPr>
      </w:pPr>
      <w:r>
        <w:rPr>
          <w:snapToGrid w:val="0"/>
        </w:rPr>
        <w:tab/>
        <w:t>(1)</w:t>
      </w:r>
      <w:r>
        <w:rPr>
          <w:snapToGrid w:val="0"/>
        </w:rPr>
        <w:tab/>
        <w:t>The Commissioner of Titles may direct the Registrar of Titles to correct errors in the Register.</w:t>
      </w:r>
    </w:p>
    <w:p>
      <w:pPr>
        <w:pStyle w:val="Subsection"/>
        <w:rPr>
          <w:snapToGrid w:val="0"/>
        </w:rPr>
      </w:pPr>
      <w:r>
        <w:rPr>
          <w:snapToGrid w:val="0"/>
        </w:rPr>
        <w:tab/>
        <w:t>(2)</w:t>
      </w:r>
      <w:r>
        <w:rPr>
          <w:snapToGrid w:val="0"/>
        </w:rPr>
        <w:tab/>
        <w:t>The Registrar of Titles may correct errors in a scheme document or other document lodged for registration or approval.</w:t>
      </w:r>
    </w:p>
    <w:p>
      <w:pPr>
        <w:pStyle w:val="Subsection"/>
        <w:rPr>
          <w:snapToGrid w:val="0"/>
        </w:rPr>
      </w:pPr>
      <w:r>
        <w:rPr>
          <w:snapToGrid w:val="0"/>
        </w:rPr>
        <w:tab/>
        <w:t>(3)</w:t>
      </w:r>
      <w:r>
        <w:rPr>
          <w:snapToGrid w:val="0"/>
        </w:rPr>
        <w:tab/>
        <w:t>A correction of an error under this section may require the deletion of material or the insertion of material.</w:t>
      </w:r>
    </w:p>
    <w:p>
      <w:pPr>
        <w:pStyle w:val="Subsection"/>
        <w:keepNext/>
        <w:rPr>
          <w:snapToGrid w:val="0"/>
        </w:rPr>
      </w:pPr>
      <w:r>
        <w:rPr>
          <w:snapToGrid w:val="0"/>
        </w:rPr>
        <w:tab/>
        <w:t>(4)</w:t>
      </w:r>
      <w:r>
        <w:rPr>
          <w:snapToGrid w:val="0"/>
        </w:rPr>
        <w:tab/>
        <w:t>When correcting an error under this section, the Registrar of Titles must —</w:t>
      </w:r>
    </w:p>
    <w:p>
      <w:pPr>
        <w:pStyle w:val="Indenta"/>
      </w:pPr>
      <w:r>
        <w:tab/>
        <w:t>(a)</w:t>
      </w:r>
      <w:r>
        <w:tab/>
        <w:t>for a paper medium, 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Footnotesection"/>
      </w:pPr>
      <w:r>
        <w:tab/>
        <w:t>[Section 218 inserted: No. 30 of 2018 s. 83.]</w:t>
      </w:r>
    </w:p>
    <w:p>
      <w:pPr>
        <w:pStyle w:val="Heading5"/>
      </w:pPr>
      <w:bookmarkStart w:id="725" w:name="_Toc106986867"/>
      <w:bookmarkStart w:id="726" w:name="_Toc100565165"/>
      <w:r>
        <w:rPr>
          <w:rStyle w:val="CharSectno"/>
        </w:rPr>
        <w:t>219</w:t>
      </w:r>
      <w:r>
        <w:t>.</w:t>
      </w:r>
      <w:r>
        <w:tab/>
        <w:t>Delegation by Commissioner of Titles</w:t>
      </w:r>
      <w:bookmarkEnd w:id="725"/>
      <w:bookmarkEnd w:id="726"/>
    </w:p>
    <w:p>
      <w:pPr>
        <w:pStyle w:val="Subsection"/>
      </w:pPr>
      <w:r>
        <w:tab/>
        <w:t>(1)</w:t>
      </w:r>
      <w:r>
        <w:tab/>
        <w:t xml:space="preserve">The Commissioner of Titles may delegate the Commissioner’s functions under section 218 to a member of the Authority’s staff who is an Australian lawyer (within the meaning of that term in the </w:t>
      </w:r>
      <w:r>
        <w:rPr>
          <w:i/>
          <w:iCs/>
        </w:rPr>
        <w:t>Legal Profession Act 2008</w:t>
      </w:r>
      <w:r>
        <w:t xml:space="preserve"> section 3).</w:t>
      </w:r>
    </w:p>
    <w:p>
      <w:pPr>
        <w:pStyle w:val="Subsection"/>
      </w:pPr>
      <w:r>
        <w:tab/>
        <w:t>(2)</w:t>
      </w:r>
      <w:r>
        <w:tab/>
        <w:t>The delegation must be in writing signed by the Commissioner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Titles to perform a function through an officer or agent.</w:t>
      </w:r>
    </w:p>
    <w:p>
      <w:pPr>
        <w:pStyle w:val="Ednotesubsection"/>
      </w:pPr>
      <w:r>
        <w:tab/>
        <w:t>[(6)</w:t>
      </w:r>
      <w:r>
        <w:tab/>
        <w:t>deleted]</w:t>
      </w:r>
    </w:p>
    <w:p>
      <w:pPr>
        <w:pStyle w:val="Footnotesection"/>
      </w:pPr>
      <w:r>
        <w:tab/>
        <w:t>[Section 219, formerly section 129B, inserted: No. 60 of 2006 s. 160(9); amended: No. 21 of 2008 s. 707; amended, renumbered as section 219 and relocated: No. 30 of 2018 s. 77 and 84.]</w:t>
      </w:r>
    </w:p>
    <w:p>
      <w:pPr>
        <w:pStyle w:val="Heading5"/>
      </w:pPr>
      <w:bookmarkStart w:id="727" w:name="_Toc106986868"/>
      <w:bookmarkStart w:id="728" w:name="_Toc100565166"/>
      <w:r>
        <w:rPr>
          <w:rStyle w:val="CharSectno"/>
        </w:rPr>
        <w:t>220</w:t>
      </w:r>
      <w:r>
        <w:t>.</w:t>
      </w:r>
      <w:r>
        <w:tab/>
        <w:t>Delegation by Registrar of Titles</w:t>
      </w:r>
      <w:bookmarkEnd w:id="727"/>
      <w:bookmarkEnd w:id="728"/>
    </w:p>
    <w:p>
      <w:pPr>
        <w:pStyle w:val="Subsection"/>
        <w:keepNext/>
        <w:keepLines/>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performing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Ednotesubsection"/>
        <w:keepNext/>
      </w:pPr>
      <w:r>
        <w:tab/>
        <w:t>[(6)</w:t>
      </w:r>
      <w:r>
        <w:tab/>
        <w:t>deleted]</w:t>
      </w:r>
    </w:p>
    <w:p>
      <w:pPr>
        <w:pStyle w:val="Footnotesection"/>
      </w:pPr>
      <w:r>
        <w:tab/>
        <w:t>[Section 220, formerly section 129C, inserted: No. 60 of 2006 s. 160(9); amended, renumbered as section 220 and relocated: No. 30 of 2018 s. 78 and 84.]</w:t>
      </w:r>
    </w:p>
    <w:p>
      <w:pPr>
        <w:pStyle w:val="Heading5"/>
      </w:pPr>
      <w:bookmarkStart w:id="729" w:name="_Toc106986869"/>
      <w:bookmarkStart w:id="730" w:name="_Toc100565167"/>
      <w:r>
        <w:rPr>
          <w:rStyle w:val="CharSectno"/>
        </w:rPr>
        <w:t>221</w:t>
      </w:r>
      <w:r>
        <w:t>.</w:t>
      </w:r>
      <w:r>
        <w:tab/>
        <w:t>Money received by Registrar of Titles</w:t>
      </w:r>
      <w:bookmarkEnd w:id="729"/>
      <w:bookmarkEnd w:id="730"/>
    </w:p>
    <w:p>
      <w:pPr>
        <w:pStyle w:val="Subsection"/>
      </w:pPr>
      <w:r>
        <w:tab/>
      </w:r>
      <w:r>
        <w:tab/>
        <w:t>The Registrar of Titles is to pay to the Authority any money paid to the Registrar under this Act.</w:t>
      </w:r>
    </w:p>
    <w:p>
      <w:pPr>
        <w:pStyle w:val="Footnotesection"/>
      </w:pPr>
      <w:r>
        <w:tab/>
        <w:t>[Section 221, formerly section 129D, inserted: No. 60 of 2006 s. 160(9); renumbered as section 221 and relocated: No. 30 of 2018 s. 84.]</w:t>
      </w:r>
    </w:p>
    <w:p>
      <w:pPr>
        <w:pStyle w:val="Heading5"/>
        <w:rPr>
          <w:snapToGrid w:val="0"/>
        </w:rPr>
      </w:pPr>
      <w:bookmarkStart w:id="731" w:name="_Toc106986870"/>
      <w:bookmarkStart w:id="732" w:name="_Toc100565168"/>
      <w:r>
        <w:rPr>
          <w:rStyle w:val="CharSectno"/>
        </w:rPr>
        <w:t>222</w:t>
      </w:r>
      <w:r>
        <w:rPr>
          <w:snapToGrid w:val="0"/>
        </w:rPr>
        <w:t>.</w:t>
      </w:r>
      <w:r>
        <w:rPr>
          <w:snapToGrid w:val="0"/>
        </w:rPr>
        <w:tab/>
        <w:t>Disposition statement</w:t>
      </w:r>
      <w:bookmarkEnd w:id="731"/>
      <w:bookmarkEnd w:id="732"/>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rPr>
          <w:snapToGrid w:val="0"/>
        </w:rPr>
        <w:tab/>
        <w:t>(b)</w:t>
      </w:r>
      <w:r>
        <w:rPr>
          <w:snapToGrid w:val="0"/>
        </w:rPr>
        <w:tab/>
        <w:t>evidence required under this Act is provided.</w:t>
      </w:r>
    </w:p>
    <w:p>
      <w:pPr>
        <w:pStyle w:val="Footnotesection"/>
      </w:pPr>
      <w:r>
        <w:tab/>
        <w:t>[Section 222 inserted: No. 30 of 2018 s. 83.]</w:t>
      </w:r>
    </w:p>
    <w:p>
      <w:pPr>
        <w:pStyle w:val="Heading5"/>
      </w:pPr>
      <w:bookmarkStart w:id="733" w:name="_Toc106986871"/>
      <w:bookmarkStart w:id="734" w:name="_Toc100565169"/>
      <w:r>
        <w:rPr>
          <w:rStyle w:val="CharSectno"/>
        </w:rPr>
        <w:t>223</w:t>
      </w:r>
      <w:r>
        <w:t>.</w:t>
      </w:r>
      <w:r>
        <w:tab/>
        <w:t>Requirements under Transfer of Land Act</w:t>
      </w:r>
      <w:bookmarkEnd w:id="733"/>
      <w:bookmarkEnd w:id="734"/>
    </w:p>
    <w:p>
      <w:pPr>
        <w:pStyle w:val="Subsection"/>
      </w:pPr>
      <w:r>
        <w:tab/>
      </w:r>
      <w:r>
        <w:tab/>
        <w:t xml:space="preserve">Requirements determined under the </w:t>
      </w:r>
      <w:r>
        <w:rPr>
          <w:i/>
        </w:rPr>
        <w:t>Transfer of Land Act 1893</w:t>
      </w:r>
      <w:r>
        <w:t xml:space="preserve"> section 182A may relate to matters arising under this Act.</w:t>
      </w:r>
    </w:p>
    <w:p>
      <w:pPr>
        <w:pStyle w:val="Footnotesection"/>
      </w:pPr>
      <w:r>
        <w:tab/>
        <w:t>[Section 223 inserted: No. 30 of 2018 s. 83.]</w:t>
      </w:r>
    </w:p>
    <w:p>
      <w:pPr>
        <w:pStyle w:val="Heading5"/>
      </w:pPr>
      <w:bookmarkStart w:id="735" w:name="_Toc106986872"/>
      <w:bookmarkStart w:id="736" w:name="_Toc100565170"/>
      <w:r>
        <w:rPr>
          <w:rStyle w:val="CharSectno"/>
        </w:rPr>
        <w:t>223A</w:t>
      </w:r>
      <w:r>
        <w:t>.</w:t>
      </w:r>
      <w:r>
        <w:tab/>
        <w:t>Application in Swan Valley</w:t>
      </w:r>
      <w:bookmarkEnd w:id="735"/>
      <w:bookmarkEnd w:id="736"/>
    </w:p>
    <w:p>
      <w:pPr>
        <w:pStyle w:val="Subsection"/>
      </w:pPr>
      <w:r>
        <w:tab/>
      </w:r>
      <w:r>
        <w:tab/>
        <w:t xml:space="preserve">On and after the day on which the first Swan Valley Planning Scheme comes into operation under the </w:t>
      </w:r>
      <w:r>
        <w:rPr>
          <w:i/>
        </w:rPr>
        <w:t>Swan Valley Planning Act 2020</w:t>
      </w:r>
      <w:r>
        <w:t xml:space="preserve">, this Act applies in relation to land in the Swan Valley (as defined in section 3 of that Act) as if — </w:t>
      </w:r>
    </w:p>
    <w:p>
      <w:pPr>
        <w:pStyle w:val="Indenta"/>
      </w:pPr>
      <w:r>
        <w:tab/>
        <w:t>(a)</w:t>
      </w:r>
      <w:r>
        <w:tab/>
        <w:t>a reference to a local planning scheme were a reference to the Swan Valley Planning Scheme; and</w:t>
      </w:r>
    </w:p>
    <w:p>
      <w:pPr>
        <w:pStyle w:val="Indenta"/>
      </w:pPr>
      <w:r>
        <w:tab/>
        <w:t>(b)</w:t>
      </w:r>
      <w:r>
        <w:tab/>
        <w:t>a reference in sections 22 to 28 to a local government were a reference to the Planning Commission; and</w:t>
      </w:r>
    </w:p>
    <w:p>
      <w:pPr>
        <w:pStyle w:val="Indenta"/>
      </w:pPr>
      <w:r>
        <w:tab/>
        <w:t>(c)</w:t>
      </w:r>
      <w:r>
        <w:tab/>
        <w:t>Schedule 2A clause 21W(3)(b) permitted a discharge of an easement referred to in that clause to be approved either by the Planning Commission or by the local government.</w:t>
      </w:r>
    </w:p>
    <w:p>
      <w:pPr>
        <w:pStyle w:val="Footnotesection"/>
      </w:pPr>
      <w:r>
        <w:tab/>
        <w:t>[Section 223A inserted: No. 45 of 2020 s. 130.]</w:t>
      </w:r>
    </w:p>
    <w:p>
      <w:pPr>
        <w:pStyle w:val="Heading5"/>
        <w:rPr>
          <w:snapToGrid w:val="0"/>
        </w:rPr>
      </w:pPr>
      <w:bookmarkStart w:id="737" w:name="_Toc106986873"/>
      <w:bookmarkStart w:id="738" w:name="_Toc100565171"/>
      <w:r>
        <w:rPr>
          <w:rStyle w:val="CharSectno"/>
        </w:rPr>
        <w:t>224</w:t>
      </w:r>
      <w:r>
        <w:rPr>
          <w:snapToGrid w:val="0"/>
        </w:rPr>
        <w:t>.</w:t>
      </w:r>
      <w:r>
        <w:rPr>
          <w:snapToGrid w:val="0"/>
        </w:rPr>
        <w:tab/>
        <w:t>Regulations</w:t>
      </w:r>
      <w:bookmarkEnd w:id="737"/>
      <w:bookmarkEnd w:id="738"/>
    </w:p>
    <w:p>
      <w:pPr>
        <w:pStyle w:val="Subsection"/>
        <w:rPr>
          <w:snapToGrid w:val="0"/>
        </w:rPr>
      </w:pPr>
      <w:r>
        <w:rPr>
          <w:snapToGrid w:val="0"/>
        </w:rPr>
        <w:tab/>
        <w:t>(1)</w:t>
      </w:r>
      <w:r>
        <w:rPr>
          <w:snapToGrid w:val="0"/>
        </w:rPr>
        <w:tab/>
        <w:t>The Governor may make regulations prescribing matters —</w:t>
      </w:r>
    </w:p>
    <w:p>
      <w:pPr>
        <w:pStyle w:val="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Subsection"/>
        <w:keepNext/>
      </w:pPr>
      <w:r>
        <w:tab/>
        <w:t>(2)</w:t>
      </w:r>
      <w:r>
        <w:tab/>
        <w:t>Without limiting subsection (1), the regulations may provide for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 xml:space="preserve">the fees to be paid for any procedure or function required or permitted to be done under this Act except fees </w:t>
      </w:r>
      <w:r>
        <w:t>for applications to the Tribunal; and</w:t>
      </w:r>
    </w:p>
    <w:p>
      <w:pPr>
        <w:pStyle w:val="Indenta"/>
        <w:rPr>
          <w:snapToGrid w:val="0"/>
        </w:rPr>
      </w:pPr>
      <w:r>
        <w:rPr>
          <w:snapToGrid w:val="0"/>
        </w:rPr>
        <w:tab/>
        <w:t>(c)</w:t>
      </w:r>
      <w:r>
        <w:rPr>
          <w:snapToGrid w:val="0"/>
        </w:rPr>
        <w:tab/>
      </w:r>
      <w:r>
        <w:t>circumstances in which forms or other documents required</w:t>
      </w:r>
      <w:r>
        <w:rPr>
          <w:snapToGrid w:val="0"/>
        </w:rPr>
        <w:t xml:space="preserve"> under this Act to be lodged with the Registrar of Titles </w:t>
      </w:r>
      <w:r>
        <w:t>must</w:t>
      </w:r>
      <w:r>
        <w:rPr>
          <w:snapToGrid w:val="0"/>
        </w:rPr>
        <w:t xml:space="preserve">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Indenta"/>
      </w:pPr>
      <w:r>
        <w:tab/>
        <w:t>(g)</w:t>
      </w:r>
      <w:r>
        <w:tab/>
        <w:t>the review by the Tribunal of a decision made under the regulations; and</w:t>
      </w:r>
    </w:p>
    <w:p>
      <w:pPr>
        <w:pStyle w:val="Indenta"/>
        <w:rPr>
          <w:snapToGrid w:val="0"/>
        </w:rPr>
      </w:pPr>
      <w:r>
        <w:tab/>
        <w:t>(h)</w:t>
      </w:r>
      <w:r>
        <w:tab/>
        <w:t>additional requirements relating to the first annual general meeting of the strata company.</w:t>
      </w:r>
    </w:p>
    <w:p>
      <w:pPr>
        <w:pStyle w:val="Ednotepara"/>
        <w:spacing w:before="80"/>
      </w:pPr>
      <w:r>
        <w:tab/>
        <w:t>[(i)</w:t>
      </w:r>
      <w:r>
        <w:tab/>
        <w:t>deleted]</w:t>
      </w:r>
    </w:p>
    <w:p>
      <w:pPr>
        <w:pStyle w:val="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Subsection"/>
      </w:pPr>
      <w:r>
        <w:tab/>
        <w:t>(5)</w:t>
      </w:r>
      <w:r>
        <w:tab/>
        <w:t>The regulations may contain provisions of a savings or transitional nature consequent on the enactment of an Act (an amending Act) amending this Act.</w:t>
      </w:r>
    </w:p>
    <w:p>
      <w:pPr>
        <w:pStyle w:val="Subsection"/>
      </w:pPr>
      <w:r>
        <w:tab/>
        <w:t>(6)</w:t>
      </w:r>
      <w:r>
        <w:tab/>
        <w:t>Any such provision may, if the regulations so provide, take effect from the date of assent to the amending Act or a later date.</w:t>
      </w:r>
    </w:p>
    <w:p>
      <w:pPr>
        <w:pStyle w:val="Subsection"/>
        <w:keepNext/>
      </w:pPr>
      <w:r>
        <w:tab/>
        <w:t>(7)</w:t>
      </w:r>
      <w:r>
        <w:tab/>
        <w:t>To the extent to which any such provision takes effect from a date that is earlier than the date on which it is made, the provision does not operate so as —</w:t>
      </w:r>
    </w:p>
    <w:p>
      <w:pPr>
        <w:pStyle w:val="Indenta"/>
      </w:pPr>
      <w:r>
        <w:tab/>
        <w:t>(a)</w:t>
      </w:r>
      <w:r>
        <w:tab/>
        <w:t>to affect, in a manner prejudicial to any person (other than the State), the rights of that person existing before the date of its publication; or</w:t>
      </w:r>
    </w:p>
    <w:p>
      <w:pPr>
        <w:pStyle w:val="Indenta"/>
      </w:pPr>
      <w:r>
        <w:tab/>
        <w:t>(b)</w:t>
      </w:r>
      <w:r>
        <w:tab/>
        <w:t>to impose liabilities on any person (other than the State) in respect of anything done or omitted to be done before the date of its publication.</w:t>
      </w:r>
    </w:p>
    <w:p>
      <w:pPr>
        <w:pStyle w:val="Footnotesection"/>
      </w:pPr>
      <w:r>
        <w:tab/>
        <w:t>[Section 224, formerly section 130, amended: No. 58 of 1995 s. 86 and 94; No. 55 of 2004 s. 1153; amended, renumbered as section 224 and relocated: No. 30 of 2018 s. 79 and 84.]</w:t>
      </w:r>
    </w:p>
    <w:p>
      <w:pPr>
        <w:pStyle w:val="Heading5"/>
      </w:pPr>
      <w:bookmarkStart w:id="739" w:name="_Toc106986874"/>
      <w:bookmarkStart w:id="740" w:name="_Toc100565172"/>
      <w:r>
        <w:rPr>
          <w:rStyle w:val="CharSectno"/>
        </w:rPr>
        <w:t>225</w:t>
      </w:r>
      <w:r>
        <w:t>.</w:t>
      </w:r>
      <w:r>
        <w:tab/>
        <w:t>Certain prescribed fees may exceed cost recovery</w:t>
      </w:r>
      <w:bookmarkEnd w:id="739"/>
      <w:bookmarkEnd w:id="740"/>
    </w:p>
    <w:p>
      <w:pPr>
        <w:pStyle w:val="Subsection"/>
      </w:pPr>
      <w:r>
        <w:tab/>
        <w:t>(1)</w:t>
      </w:r>
      <w:r>
        <w:tab/>
        <w:t xml:space="preserve">Regulations made under section 224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Ednotesubsection"/>
      </w:pPr>
      <w:r>
        <w:tab/>
        <w:t>[(2)</w:t>
      </w:r>
      <w:r>
        <w:tab/>
        <w:t>deleted]</w:t>
      </w:r>
    </w:p>
    <w:p>
      <w:pPr>
        <w:pStyle w:val="Subsection"/>
      </w:pPr>
      <w:r>
        <w:tab/>
        <w:t>(3)</w:t>
      </w:r>
      <w:r>
        <w:tab/>
        <w:t xml:space="preserve">This section does not limit the </w:t>
      </w:r>
      <w:r>
        <w:rPr>
          <w:i/>
        </w:rPr>
        <w:t>Interpretation Act 1984</w:t>
      </w:r>
      <w:r>
        <w:t xml:space="preserve"> section 45A.</w:t>
      </w:r>
    </w:p>
    <w:p>
      <w:pPr>
        <w:pStyle w:val="Footnotesection"/>
      </w:pPr>
      <w:r>
        <w:tab/>
        <w:t>[Section 225, formerly section 131A, inserted: No. 11 of 2015 s. 8; amended: No. 12 of 2015 s. 6; amended, renumbered as section 225 and relocated: No. 30 of 2018 s. 80 and 84.]</w:t>
      </w:r>
    </w:p>
    <w:p>
      <w:pPr>
        <w:pStyle w:val="Heading5"/>
        <w:keepNext w:val="0"/>
      </w:pPr>
      <w:bookmarkStart w:id="741" w:name="_Toc106986875"/>
      <w:bookmarkStart w:id="742" w:name="_Toc100565173"/>
      <w:r>
        <w:rPr>
          <w:rStyle w:val="CharSectno"/>
        </w:rPr>
        <w:t>226</w:t>
      </w:r>
      <w:r>
        <w:t>.</w:t>
      </w:r>
      <w:r>
        <w:tab/>
        <w:t>Expiry of section 225</w:t>
      </w:r>
      <w:bookmarkEnd w:id="741"/>
      <w:bookmarkEnd w:id="742"/>
    </w:p>
    <w:p>
      <w:pPr>
        <w:pStyle w:val="Subsection"/>
      </w:pPr>
      <w:r>
        <w:tab/>
        <w:t>(1)</w:t>
      </w:r>
      <w:r>
        <w:tab/>
        <w:t>Section 225 expires at the end of 31 December 2019</w:t>
      </w:r>
      <w:r>
        <w:rPr>
          <w:vertAlign w:val="superscript"/>
        </w:rPr>
        <w:t> 18</w:t>
      </w:r>
      <w:r>
        <w:t>.</w:t>
      </w:r>
    </w:p>
    <w:p>
      <w:pPr>
        <w:pStyle w:val="Subsection"/>
      </w:pPr>
      <w:r>
        <w:tab/>
        <w:t>(2)</w:t>
      </w:r>
      <w:r>
        <w:tab/>
        <w:t>However, the Governor, on the recommendation of the Minister, may, by proclamation made before section 225 expires, postpone the expiry of section 225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225 should be postponed.</w:t>
      </w:r>
    </w:p>
    <w:p>
      <w:pPr>
        <w:pStyle w:val="Subsection"/>
      </w:pPr>
      <w:r>
        <w:tab/>
        <w:t>(4)</w:t>
      </w:r>
      <w:r>
        <w:tab/>
        <w:t>There is no limit on the number of times the expiry of section 225 may be postponed, but each postponement cannot be for longer than 5 years beginning on the day after the most recent date on which section 225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225 does not affect the validity of any regulations made under section 224 and in effect immediately before that expiry.</w:t>
      </w:r>
    </w:p>
    <w:p>
      <w:pPr>
        <w:pStyle w:val="Footnotesection"/>
      </w:pPr>
      <w:r>
        <w:tab/>
        <w:t>[Section 226, formerly section 131B, inserted: No. 11 of 2015 s. 8; amended, renumbered as section 225 and relocated: No. 30 of 2018 s. 81 and 84.]</w:t>
      </w:r>
    </w:p>
    <w:p>
      <w:pPr>
        <w:pStyle w:val="Footnotesection"/>
      </w:pPr>
      <w:r>
        <w:tab/>
        <w:t>[</w:t>
      </w:r>
      <w:r>
        <w:rPr>
          <w:b/>
        </w:rPr>
        <w:t>Note:</w:t>
      </w:r>
      <w:r>
        <w:t xml:space="preserve">  The expiry of section 225, formerly section 131A, is postponed until the end of 31 December 2024 by the Land Legislation (Postponement of Expiry) Proclamation 2018 (see Gazette 21 Dec 2018 p. 4845-6).]</w:t>
      </w:r>
    </w:p>
    <w:p>
      <w:pPr>
        <w:pStyle w:val="Heading5"/>
      </w:pPr>
      <w:bookmarkStart w:id="743" w:name="_Toc106986876"/>
      <w:bookmarkStart w:id="744" w:name="_Toc100565174"/>
      <w:r>
        <w:rPr>
          <w:rStyle w:val="CharSectno"/>
        </w:rPr>
        <w:t>227</w:t>
      </w:r>
      <w:r>
        <w:t>.</w:t>
      </w:r>
      <w:r>
        <w:tab/>
        <w:t>Review of this Act</w:t>
      </w:r>
      <w:bookmarkEnd w:id="743"/>
      <w:bookmarkEnd w:id="744"/>
    </w:p>
    <w:p>
      <w:pPr>
        <w:pStyle w:val="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227 inserted: No. 30 of 2018 s. 83.]</w:t>
      </w:r>
    </w:p>
    <w:p>
      <w:pPr>
        <w:pStyle w:val="Heading5"/>
      </w:pPr>
      <w:bookmarkStart w:id="745" w:name="_Toc106986877"/>
      <w:bookmarkStart w:id="746" w:name="_Toc100565175"/>
      <w:r>
        <w:rPr>
          <w:rStyle w:val="CharSectno"/>
        </w:rPr>
        <w:t>228</w:t>
      </w:r>
      <w:r>
        <w:t>.</w:t>
      </w:r>
      <w:r>
        <w:tab/>
        <w:t>Transitionals and savings: Schedules 3, 4 and 5</w:t>
      </w:r>
      <w:bookmarkEnd w:id="745"/>
      <w:bookmarkEnd w:id="746"/>
    </w:p>
    <w:p>
      <w:pPr>
        <w:pStyle w:val="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Subsection"/>
        <w:keepNext/>
      </w:pPr>
      <w:r>
        <w:tab/>
        <w:t>(2)</w:t>
      </w:r>
      <w:r>
        <w:tab/>
        <w:t xml:space="preserve">The </w:t>
      </w:r>
      <w:r>
        <w:rPr>
          <w:snapToGrid w:val="0"/>
        </w:rPr>
        <w:t>purpose</w:t>
      </w:r>
      <w:r>
        <w:t xml:space="preserve"> of — </w:t>
      </w:r>
    </w:p>
    <w:p>
      <w:pPr>
        <w:pStyle w:val="Indenta"/>
      </w:pPr>
      <w:r>
        <w:tab/>
        <w:t>(a)</w:t>
      </w:r>
      <w:r>
        <w:tab/>
        <w:t xml:space="preserve">Schedule 3 is to effect the transition from the </w:t>
      </w:r>
      <w:r>
        <w:rPr>
          <w:i/>
        </w:rPr>
        <w:t>Strata Titles Act 1966</w:t>
      </w:r>
      <w:r>
        <w:t xml:space="preserve"> to this Act as enacted in 1985; and</w:t>
      </w:r>
    </w:p>
    <w:p>
      <w:pPr>
        <w:pStyle w:val="Indenta"/>
      </w:pPr>
      <w:r>
        <w:tab/>
        <w:t>(b)</w:t>
      </w:r>
      <w:r>
        <w:tab/>
        <w:t>Schedule 4 is to effect the transition to the</w:t>
      </w:r>
      <w:r>
        <w:rPr>
          <w:i/>
        </w:rPr>
        <w:t xml:space="preserve"> Strata Titles Amendment Act 1995</w:t>
      </w:r>
      <w:r>
        <w:t>.</w:t>
      </w:r>
    </w:p>
    <w:p>
      <w:pPr>
        <w:pStyle w:val="Subsection"/>
      </w:pPr>
      <w:r>
        <w:tab/>
        <w:t>(3)</w:t>
      </w:r>
      <w:r>
        <w:tab/>
        <w:t xml:space="preserve">Except where the contrary intention appears, Schedules 3 and 4 are to be construed in accordance with the purpose set out in subsection (2) and in particular — </w:t>
      </w:r>
    </w:p>
    <w:p>
      <w:pPr>
        <w:pStyle w:val="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Footnotesection"/>
      </w:pPr>
      <w:r>
        <w:tab/>
        <w:t>[Section 228 inserted: No. 30 of 2018 s. 83.]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47" w:name="_Toc106986442"/>
      <w:bookmarkStart w:id="748" w:name="_Toc106986878"/>
      <w:bookmarkStart w:id="749" w:name="_Toc100308456"/>
      <w:bookmarkStart w:id="750" w:name="_Toc100308892"/>
      <w:bookmarkStart w:id="751" w:name="_Toc100565176"/>
      <w:r>
        <w:rPr>
          <w:rStyle w:val="CharSchNo"/>
        </w:rPr>
        <w:t>Schedule 1</w:t>
      </w:r>
      <w:r>
        <w:t> — </w:t>
      </w:r>
      <w:r>
        <w:rPr>
          <w:rStyle w:val="CharSchText"/>
        </w:rPr>
        <w:t>Governance by</w:t>
      </w:r>
      <w:r>
        <w:rPr>
          <w:rStyle w:val="CharSchText"/>
        </w:rPr>
        <w:noBreakHyphen/>
        <w:t>laws</w:t>
      </w:r>
      <w:bookmarkEnd w:id="747"/>
      <w:bookmarkEnd w:id="748"/>
      <w:bookmarkEnd w:id="749"/>
      <w:bookmarkEnd w:id="750"/>
      <w:bookmarkEnd w:id="751"/>
    </w:p>
    <w:p>
      <w:pPr>
        <w:pStyle w:val="yFootnoteheading"/>
      </w:pPr>
      <w:r>
        <w:tab/>
        <w:t>[Heading inserted: No. 30 of 2018 s. 86.]</w:t>
      </w:r>
    </w:p>
    <w:p>
      <w:pPr>
        <w:pStyle w:val="yEdnotedivision"/>
      </w:pPr>
      <w:r>
        <w:t>[Part I heading deleted: No. 58 of 1995 s. 87(1).]</w:t>
      </w:r>
    </w:p>
    <w:p>
      <w:pPr>
        <w:pStyle w:val="yHeading5"/>
      </w:pPr>
      <w:bookmarkStart w:id="752" w:name="_Toc106986879"/>
      <w:bookmarkStart w:id="753" w:name="_Toc100565177"/>
      <w:r>
        <w:rPr>
          <w:rStyle w:val="CharSClsNo"/>
        </w:rPr>
        <w:t>1</w:t>
      </w:r>
      <w:r>
        <w:t>.</w:t>
      </w:r>
      <w:r>
        <w:tab/>
        <w:t>Duties of owner</w:t>
      </w:r>
      <w:bookmarkEnd w:id="752"/>
      <w:bookmarkEnd w:id="753"/>
    </w:p>
    <w:p>
      <w:pPr>
        <w:pStyle w:val="ySubsection"/>
        <w:rPr>
          <w:snapToGrid w:val="0"/>
        </w:rPr>
      </w:pPr>
      <w:r>
        <w:rPr>
          <w:snapToGrid w:val="0"/>
        </w:rPr>
        <w:tab/>
        <w:t>(1)</w:t>
      </w:r>
      <w:r>
        <w:rPr>
          <w:snapToGrid w:val="0"/>
        </w:rPr>
        <w:tab/>
      </w:r>
      <w:r>
        <w:rPr>
          <w:szCs w:val="22"/>
        </w:rPr>
        <w:t>The owner of a lot must —</w:t>
      </w:r>
    </w:p>
    <w:p>
      <w:pPr>
        <w:pStyle w:val="yIndenta"/>
        <w:rPr>
          <w:snapToGrid w:val="0"/>
        </w:rPr>
      </w:pPr>
      <w:r>
        <w:rPr>
          <w:snapToGrid w:val="0"/>
        </w:rPr>
        <w:tab/>
        <w:t>(a)</w:t>
      </w:r>
      <w:r>
        <w:rPr>
          <w:snapToGrid w:val="0"/>
        </w:rPr>
        <w:tab/>
      </w:r>
      <w:r>
        <w:t xml:space="preserve">immediately </w:t>
      </w:r>
      <w:r>
        <w:rPr>
          <w:snapToGrid w:val="0"/>
        </w:rPr>
        <w:t xml:space="preserve">carry out all work that may be ordered </w:t>
      </w:r>
      <w:r>
        <w:t>under a written law</w:t>
      </w:r>
      <w:r>
        <w:rPr>
          <w:snapToGrid w:val="0"/>
        </w:rPr>
        <w:t xml:space="preserve"> in respect of </w:t>
      </w:r>
      <w:r>
        <w:t xml:space="preserve">the </w:t>
      </w:r>
      <w:r>
        <w:rPr>
          <w:snapToGrid w:val="0"/>
        </w:rPr>
        <w:t xml:space="preserve">lot other than such work as may be for the benefit of the building generally and pay all rates, taxes, charges, outgoings and assessments that may be payable in respect of </w:t>
      </w:r>
      <w:r>
        <w:t xml:space="preserve">the </w:t>
      </w:r>
      <w:r>
        <w:rPr>
          <w:snapToGrid w:val="0"/>
        </w:rPr>
        <w:t>lot;</w:t>
      </w:r>
    </w:p>
    <w:p>
      <w:pPr>
        <w:pStyle w:val="yIndenta"/>
        <w:rPr>
          <w:snapToGrid w:val="0"/>
        </w:rPr>
      </w:pPr>
      <w:r>
        <w:rPr>
          <w:snapToGrid w:val="0"/>
        </w:rPr>
        <w:tab/>
        <w:t>(b)</w:t>
      </w:r>
      <w:r>
        <w:rPr>
          <w:snapToGrid w:val="0"/>
        </w:rPr>
        <w:tab/>
      </w:r>
      <w:r>
        <w:t>maintain and repair the</w:t>
      </w:r>
      <w:r>
        <w:rPr>
          <w:snapToGrid w:val="0"/>
        </w:rPr>
        <w:t xml:space="preserve"> lot, and keep it in a state of good </w:t>
      </w:r>
      <w:r>
        <w:t>condition,</w:t>
      </w:r>
      <w:r>
        <w:rPr>
          <w:snapToGrid w:val="0"/>
        </w:rPr>
        <w:t xml:space="preserve"> reasonable wear and tear, and damage by fire, storm, tempest or act of God excepted.</w:t>
      </w:r>
    </w:p>
    <w:p>
      <w:pPr>
        <w:pStyle w:val="ySubsection"/>
        <w:keepNext/>
        <w:rPr>
          <w:snapToGrid w:val="0"/>
        </w:rPr>
      </w:pPr>
      <w:r>
        <w:rPr>
          <w:snapToGrid w:val="0"/>
        </w:rPr>
        <w:tab/>
        <w:t>(1A)</w:t>
      </w:r>
      <w:r>
        <w:rPr>
          <w:snapToGrid w:val="0"/>
        </w:rPr>
        <w:tab/>
      </w:r>
      <w:r>
        <w:rPr>
          <w:szCs w:val="22"/>
        </w:rPr>
        <w:t>The owner of a lot must —</w:t>
      </w:r>
    </w:p>
    <w:p>
      <w:pPr>
        <w:pStyle w:val="yIndenta"/>
      </w:pPr>
      <w:r>
        <w:tab/>
        <w:t>(a)</w:t>
      </w:r>
      <w:r>
        <w:tab/>
        <w:t>notify in writing the strata company immediately on becoming the owner of the lot, including in the notice the owner’s address for service for the purposes of this Act; and</w:t>
      </w:r>
    </w:p>
    <w:p>
      <w:pPr>
        <w:pStyle w:val="yIndenta"/>
        <w:rPr>
          <w:snapToGrid w:val="0"/>
        </w:rPr>
      </w:pPr>
      <w:r>
        <w:rPr>
          <w:snapToGrid w:val="0"/>
        </w:rPr>
        <w:tab/>
        <w:t>(b)</w:t>
      </w:r>
      <w:r>
        <w:rPr>
          <w:snapToGrid w:val="0"/>
        </w:rPr>
        <w:tab/>
        <w:t xml:space="preserve">if required in writing by the strata company, notify the strata company of any mortgage or other dealing in connection with </w:t>
      </w:r>
      <w:r>
        <w:t>the</w:t>
      </w:r>
      <w:r>
        <w:rPr>
          <w:snapToGrid w:val="0"/>
        </w:rPr>
        <w:t xml:space="preserve"> lot, including in the case of a lease of a lot, the name of the lessee and the term of the lease.</w:t>
      </w:r>
    </w:p>
    <w:p>
      <w:pPr>
        <w:pStyle w:val="yEdnotesubsection"/>
      </w:pPr>
      <w:r>
        <w:tab/>
        <w:t>[(2)</w:t>
      </w:r>
      <w:r>
        <w:tab/>
        <w:t>deleted]</w:t>
      </w:r>
    </w:p>
    <w:p>
      <w:pPr>
        <w:pStyle w:val="yFootnotesection"/>
        <w:rPr>
          <w:iCs/>
        </w:rPr>
      </w:pPr>
      <w:r>
        <w:tab/>
        <w:t>[By</w:t>
      </w:r>
      <w:r>
        <w:noBreakHyphen/>
        <w:t xml:space="preserve">law 1 amended: </w:t>
      </w:r>
      <w:r>
        <w:rPr>
          <w:iCs/>
        </w:rPr>
        <w:t>No. 58 of 1995 s. 87(2); No. 14 of 1996 s. 4; No. 74 of 2003 s. 112(15); No. 30 of 2018 s. 87.]</w:t>
      </w:r>
    </w:p>
    <w:p>
      <w:pPr>
        <w:pStyle w:val="yEdnotesection"/>
      </w:pPr>
      <w:r>
        <w:t>[</w:t>
      </w:r>
      <w:r>
        <w:rPr>
          <w:b/>
        </w:rPr>
        <w:t>2.</w:t>
      </w:r>
      <w:r>
        <w:tab/>
        <w:t>Deleted: No. 30 of 2018 s. 88.]</w:t>
      </w:r>
    </w:p>
    <w:p>
      <w:pPr>
        <w:pStyle w:val="yHeading5"/>
      </w:pPr>
      <w:bookmarkStart w:id="754" w:name="_Toc106986880"/>
      <w:bookmarkStart w:id="755" w:name="_Toc100565178"/>
      <w:r>
        <w:rPr>
          <w:rStyle w:val="CharSClsNo"/>
        </w:rPr>
        <w:t>3</w:t>
      </w:r>
      <w:r>
        <w:t>.</w:t>
      </w:r>
      <w:r>
        <w:tab/>
        <w:t>Power of strata company regarding submeters</w:t>
      </w:r>
      <w:bookmarkEnd w:id="754"/>
      <w:bookmarkEnd w:id="755"/>
    </w:p>
    <w:p>
      <w:pPr>
        <w:pStyle w:val="ySubsection"/>
        <w:rPr>
          <w:snapToGrid w:val="0"/>
        </w:rPr>
      </w:pPr>
      <w:r>
        <w:rPr>
          <w:snapToGrid w:val="0"/>
        </w:rPr>
        <w:tab/>
        <w:t>(1)</w:t>
      </w:r>
      <w:r>
        <w:rPr>
          <w:snapToGrid w:val="0"/>
        </w:rPr>
        <w:tab/>
      </w:r>
      <w:r>
        <w:t>If</w:t>
      </w:r>
      <w:r>
        <w:rPr>
          <w:snapToGrid w:val="0"/>
        </w:rPr>
        <w:t xml:space="preserve"> the supply of gas or electricity to a lot is regulated by means of a submeter, the strata company may require the </w:t>
      </w:r>
      <w:r>
        <w:t>owner or</w:t>
      </w:r>
      <w:r>
        <w:rPr>
          <w:snapToGrid w:val="0"/>
        </w:rPr>
        <w:t xml:space="preserve"> occupier of the lot to pay the strata company by way of security for the payment of charges arising through the submeter an amount not exceeding $200 and, if any amount so paid is applied by the strata company under </w:t>
      </w:r>
      <w:r>
        <w:rPr>
          <w:szCs w:val="22"/>
        </w:rPr>
        <w:t>sub</w:t>
      </w:r>
      <w:r>
        <w:rPr>
          <w:szCs w:val="22"/>
        </w:rPr>
        <w:noBreakHyphen/>
        <w:t>bylaw (3),</w:t>
      </w:r>
      <w:r>
        <w:rPr>
          <w:snapToGrid w:val="0"/>
        </w:rPr>
        <w:t xml:space="preserve">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 xml:space="preserve">The strata company </w:t>
      </w:r>
      <w:r>
        <w:t>must</w:t>
      </w:r>
      <w:r>
        <w:rPr>
          <w:snapToGrid w:val="0"/>
        </w:rPr>
        <w:t xml:space="preserve"> lodge every sum received under this by</w:t>
      </w:r>
      <w:r>
        <w:rPr>
          <w:snapToGrid w:val="0"/>
        </w:rPr>
        <w:noBreakHyphen/>
        <w:t>law to the credit of an interest</w:t>
      </w:r>
      <w:r>
        <w:rPr>
          <w:snapToGrid w:val="0"/>
        </w:rPr>
        <w:noBreakHyphen/>
        <w:t xml:space="preserve">bearing </w:t>
      </w:r>
      <w:r>
        <w:t>ADI account</w:t>
      </w:r>
      <w:r>
        <w:rPr>
          <w:snapToGrid w:val="0"/>
        </w:rPr>
        <w:t xml:space="preserve"> and all interest accruing in respect of amounts so received </w:t>
      </w:r>
      <w:r>
        <w:t xml:space="preserve">must, </w:t>
      </w:r>
      <w:r>
        <w:rPr>
          <w:snapToGrid w:val="0"/>
        </w:rPr>
        <w:t>subject to this by</w:t>
      </w:r>
      <w:r>
        <w:rPr>
          <w:snapToGrid w:val="0"/>
        </w:rPr>
        <w:noBreakHyphen/>
        <w:t xml:space="preserve">law, be held on trust for the </w:t>
      </w:r>
      <w:r>
        <w:t>owner</w:t>
      </w:r>
      <w:r>
        <w:rPr>
          <w:snapToGrid w:val="0"/>
        </w:rPr>
        <w:t xml:space="preserve"> or occupier who made the payment.</w:t>
      </w:r>
    </w:p>
    <w:p>
      <w:pPr>
        <w:pStyle w:val="ySubsection"/>
        <w:rPr>
          <w:snapToGrid w:val="0"/>
        </w:rPr>
      </w:pPr>
      <w:r>
        <w:rPr>
          <w:snapToGrid w:val="0"/>
        </w:rPr>
        <w:tab/>
        <w:t>(3)</w:t>
      </w:r>
      <w:r>
        <w:rPr>
          <w:snapToGrid w:val="0"/>
        </w:rPr>
        <w:tab/>
        <w:t xml:space="preserve">If the </w:t>
      </w:r>
      <w:r>
        <w:t>owner or</w:t>
      </w:r>
      <w:r>
        <w:rPr>
          <w:snapToGrid w:val="0"/>
        </w:rPr>
        <w:t xml:space="preserve">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w:t>
      </w:r>
      <w:r>
        <w:t>owner</w:t>
      </w:r>
      <w:r>
        <w:rPr>
          <w:snapToGrid w:val="0"/>
        </w:rPr>
        <w:t xml:space="preserve">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r>
      <w:r>
        <w:t>If</w:t>
      </w:r>
      <w:r>
        <w:rPr>
          <w:snapToGrid w:val="0"/>
        </w:rPr>
        <w:t xml:space="preserve"> a person who has paid an amount under this by</w:t>
      </w:r>
      <w:r>
        <w:rPr>
          <w:snapToGrid w:val="0"/>
        </w:rPr>
        <w:noBreakHyphen/>
        <w:t xml:space="preserve">law to a strata company satisfies the strata company that </w:t>
      </w:r>
      <w:r>
        <w:rPr>
          <w:szCs w:val="22"/>
        </w:rPr>
        <w:t xml:space="preserve">the person </w:t>
      </w:r>
      <w:r>
        <w:t>is no longer the owner</w:t>
      </w:r>
      <w:r>
        <w:rPr>
          <w:snapToGrid w:val="0"/>
        </w:rPr>
        <w:t xml:space="preserve"> or occupier of a lot and that the strata company no longer has any liability or contingent liability for the supply of gas or electricity to that lot during the period when that person was </w:t>
      </w:r>
      <w:r>
        <w:rPr>
          <w:szCs w:val="22"/>
        </w:rPr>
        <w:t>an</w:t>
      </w:r>
      <w:r>
        <w:t xml:space="preserve"> owner</w:t>
      </w:r>
      <w:r>
        <w:rPr>
          <w:snapToGrid w:val="0"/>
        </w:rPr>
        <w:t xml:space="preserve"> or occupier of the lot, the strata company </w:t>
      </w:r>
      <w:r>
        <w:t>must</w:t>
      </w:r>
      <w:r>
        <w:rPr>
          <w:snapToGrid w:val="0"/>
        </w:rPr>
        <w:t xml:space="preserve"> refund to that person the amount then held on </w:t>
      </w:r>
      <w:r>
        <w:t>the person’s</w:t>
      </w:r>
      <w:r>
        <w:rPr>
          <w:snapToGrid w:val="0"/>
        </w:rPr>
        <w:t xml:space="preserve"> behalf under this by</w:t>
      </w:r>
      <w:r>
        <w:rPr>
          <w:snapToGrid w:val="0"/>
        </w:rPr>
        <w:noBreakHyphen/>
        <w:t>law.</w:t>
      </w:r>
    </w:p>
    <w:p>
      <w:pPr>
        <w:pStyle w:val="yFootnotesection"/>
      </w:pPr>
      <w:r>
        <w:tab/>
        <w:t>[By</w:t>
      </w:r>
      <w:r>
        <w:noBreakHyphen/>
        <w:t>law 3 amended: No. 26 of 1999 s. 104; No. 74 of 2003 s. 112(16); No. 30 of 2018 s. 89.]</w:t>
      </w:r>
    </w:p>
    <w:p>
      <w:pPr>
        <w:pStyle w:val="yHeading5"/>
      </w:pPr>
      <w:bookmarkStart w:id="756" w:name="_Toc106986881"/>
      <w:bookmarkStart w:id="757" w:name="_Toc100565179"/>
      <w:r>
        <w:rPr>
          <w:rStyle w:val="CharSClsNo"/>
        </w:rPr>
        <w:t>4</w:t>
      </w:r>
      <w:r>
        <w:t>.</w:t>
      </w:r>
      <w:r>
        <w:tab/>
        <w:t>Constitution of council</w:t>
      </w:r>
      <w:bookmarkEnd w:id="756"/>
      <w:bookmarkEnd w:id="757"/>
    </w:p>
    <w:p>
      <w:pPr>
        <w:pStyle w:val="ySubsection"/>
        <w:rPr>
          <w:snapToGrid w:val="0"/>
        </w:rPr>
      </w:pPr>
      <w:r>
        <w:rPr>
          <w:snapToGrid w:val="0"/>
        </w:rPr>
        <w:tab/>
        <w:t>(1)</w:t>
      </w:r>
      <w:r>
        <w:rPr>
          <w:snapToGrid w:val="0"/>
        </w:rPr>
        <w:tab/>
        <w:t xml:space="preserve">The powers and duties of the strata company </w:t>
      </w:r>
      <w:r>
        <w:t>must,</w:t>
      </w:r>
      <w:r>
        <w:rPr>
          <w:snapToGrid w:val="0"/>
        </w:rPr>
        <w:t xml:space="preserve"> subject to any restriction imposed or direction given at a general meeting, be exercised and performed by the council of the strata company and a meeting of the council at which a quorum is present </w:t>
      </w:r>
      <w:r>
        <w:rPr>
          <w:szCs w:val="22"/>
        </w:rPr>
        <w:t>i</w:t>
      </w:r>
      <w:r>
        <w:t>s</w:t>
      </w:r>
      <w:r>
        <w:rPr>
          <w:snapToGrid w:val="0"/>
        </w:rPr>
        <w:t xml:space="preserve"> competent to exercise all or any of the authorities, functions or powers of the council.</w:t>
      </w:r>
    </w:p>
    <w:p>
      <w:pPr>
        <w:pStyle w:val="ySubsection"/>
        <w:rPr>
          <w:snapToGrid w:val="0"/>
        </w:rPr>
      </w:pPr>
      <w:r>
        <w:rPr>
          <w:snapToGrid w:val="0"/>
        </w:rPr>
        <w:tab/>
        <w:t>(2)</w:t>
      </w:r>
      <w:r>
        <w:rPr>
          <w:snapToGrid w:val="0"/>
        </w:rPr>
        <w:tab/>
        <w:t xml:space="preserve">Until the first annual general meeting of the strata company, the </w:t>
      </w:r>
      <w:r>
        <w:t>owners of all the lots</w:t>
      </w:r>
      <w:r>
        <w:rPr>
          <w:snapToGrid w:val="0"/>
        </w:rPr>
        <w:t xml:space="preserve"> constitute the council.</w:t>
      </w:r>
    </w:p>
    <w:p>
      <w:pPr>
        <w:pStyle w:val="y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ySubsection"/>
        <w:rPr>
          <w:snapToGrid w:val="0"/>
        </w:rPr>
      </w:pPr>
      <w:r>
        <w:rPr>
          <w:snapToGrid w:val="0"/>
        </w:rPr>
        <w:tab/>
        <w:t>(4)</w:t>
      </w:r>
      <w:r>
        <w:rPr>
          <w:snapToGrid w:val="0"/>
        </w:rPr>
        <w:tab/>
      </w:r>
      <w:r>
        <w:t>If</w:t>
      </w:r>
      <w:r>
        <w:rPr>
          <w:snapToGrid w:val="0"/>
        </w:rPr>
        <w:t xml:space="preserve"> there are more than 3 </w:t>
      </w:r>
      <w:r>
        <w:rPr>
          <w:szCs w:val="22"/>
        </w:rPr>
        <w:t xml:space="preserve">lots in the scheme, </w:t>
      </w:r>
      <w:r>
        <w:rPr>
          <w:snapToGrid w:val="0"/>
        </w:rPr>
        <w:t xml:space="preserve">the members of the council </w:t>
      </w:r>
      <w:r>
        <w:t>must</w:t>
      </w:r>
      <w:r>
        <w:rPr>
          <w:snapToGrid w:val="0"/>
        </w:rPr>
        <w:t xml:space="preserve"> be elected at each annual general meeting of the strata company or, if the number of </w:t>
      </w:r>
      <w:r>
        <w:rPr>
          <w:szCs w:val="22"/>
        </w:rPr>
        <w:t>lots in the scheme</w:t>
      </w:r>
      <w:r>
        <w:rPr>
          <w:snapToGrid w:val="0"/>
        </w:rPr>
        <w:t xml:space="preserve"> increases to more than 3, at an extraordinary general meeting convened for the purpose.</w:t>
      </w:r>
    </w:p>
    <w:p>
      <w:pPr>
        <w:pStyle w:val="yEdnotesubsection"/>
      </w:pPr>
      <w:r>
        <w:tab/>
        <w:t>[(5)</w:t>
      </w:r>
      <w:r>
        <w:tab/>
        <w:t>deleted]</w:t>
      </w:r>
    </w:p>
    <w:p>
      <w:pPr>
        <w:pStyle w:val="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yEdnotesubsection"/>
      </w:pPr>
      <w:r>
        <w:tab/>
        <w:t>[(7)</w:t>
      </w:r>
      <w:r>
        <w:tab/>
        <w:t>deleted]</w:t>
      </w:r>
    </w:p>
    <w:p>
      <w:pPr>
        <w:pStyle w:val="ySubsection"/>
        <w:rPr>
          <w:snapToGrid w:val="0"/>
        </w:rPr>
      </w:pPr>
      <w:r>
        <w:rPr>
          <w:snapToGrid w:val="0"/>
        </w:rPr>
        <w:tab/>
        <w:t>(8)</w:t>
      </w:r>
      <w:r>
        <w:rPr>
          <w:snapToGrid w:val="0"/>
        </w:rPr>
        <w:tab/>
        <w:t xml:space="preserve">Except </w:t>
      </w:r>
      <w:r>
        <w:rPr>
          <w:szCs w:val="22"/>
        </w:rPr>
        <w:t>i</w:t>
      </w:r>
      <w:r>
        <w:rPr>
          <w:spacing w:val="40"/>
          <w:szCs w:val="22"/>
        </w:rPr>
        <w:t>f</w:t>
      </w:r>
      <w:r>
        <w:rPr>
          <w:snapToGrid w:val="0"/>
        </w:rPr>
        <w:t xml:space="preserve"> the council consists of all the </w:t>
      </w:r>
      <w:r>
        <w:rPr>
          <w:szCs w:val="22"/>
        </w:rPr>
        <w:t>owners of lots in the scheme,</w:t>
      </w:r>
      <w:r>
        <w:rPr>
          <w:snapToGrid w:val="0"/>
        </w:rPr>
        <w:t xml:space="preserve"> the strata company may by special resolution remove any member of the council before the expiration of </w:t>
      </w:r>
      <w:r>
        <w:t>the member’s</w:t>
      </w:r>
      <w:r>
        <w:rPr>
          <w:snapToGrid w:val="0"/>
        </w:rPr>
        <w:t xml:space="preserve"> term of office.</w:t>
      </w:r>
    </w:p>
    <w:p>
      <w:pPr>
        <w:pStyle w:val="ySubsection"/>
        <w:keepNext/>
        <w:rPr>
          <w:snapToGrid w:val="0"/>
        </w:rPr>
      </w:pPr>
      <w:r>
        <w:rPr>
          <w:snapToGrid w:val="0"/>
        </w:rPr>
        <w:tab/>
        <w:t>(9)</w:t>
      </w:r>
      <w:r>
        <w:rPr>
          <w:snapToGrid w:val="0"/>
        </w:rPr>
        <w:tab/>
        <w:t>A member of the council vacates office as a member of the council —</w:t>
      </w:r>
    </w:p>
    <w:p>
      <w:pPr>
        <w:pStyle w:val="yIndenta"/>
      </w:pPr>
      <w:r>
        <w:tab/>
        <w:t>(a)</w:t>
      </w:r>
      <w:r>
        <w:tab/>
        <w:t>if the member dies or ceases to be an owner or co</w:t>
      </w:r>
      <w:r>
        <w:noBreakHyphen/>
        <w:t>owner of a lot; or</w:t>
      </w:r>
    </w:p>
    <w:p>
      <w:pPr>
        <w:pStyle w:val="yIndenta"/>
      </w:pPr>
      <w:r>
        <w:tab/>
        <w:t>(b)</w:t>
      </w:r>
      <w:r>
        <w:tab/>
        <w:t>on receipt by the strata company of a written notice of the member’s resignation from the office of member; or</w:t>
      </w:r>
    </w:p>
    <w:p>
      <w:pPr>
        <w:pStyle w:val="yIndenta"/>
        <w:rPr>
          <w:snapToGrid w:val="0"/>
        </w:rPr>
      </w:pPr>
      <w:r>
        <w:rPr>
          <w:snapToGrid w:val="0"/>
        </w:rPr>
        <w:tab/>
        <w:t>(c)</w:t>
      </w:r>
      <w:r>
        <w:rPr>
          <w:snapToGrid w:val="0"/>
        </w:rPr>
        <w:tab/>
        <w:t xml:space="preserve">at the conclusion of an annual general meeting of the strata company at which an election of members of the council takes place and at which </w:t>
      </w:r>
      <w:r>
        <w:t>the member</w:t>
      </w:r>
      <w:r>
        <w:rPr>
          <w:snapToGrid w:val="0"/>
        </w:rPr>
        <w:t xml:space="preserve"> is not elected or re</w:t>
      </w:r>
      <w:r>
        <w:rPr>
          <w:snapToGrid w:val="0"/>
        </w:rPr>
        <w:noBreakHyphen/>
        <w:t>elected; or</w:t>
      </w:r>
    </w:p>
    <w:p>
      <w:pPr>
        <w:pStyle w:val="yIndenta"/>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yIndenta"/>
        <w:rPr>
          <w:snapToGrid w:val="0"/>
        </w:rPr>
      </w:pPr>
      <w:r>
        <w:rPr>
          <w:snapToGrid w:val="0"/>
        </w:rPr>
        <w:tab/>
        <w:t>(e)</w:t>
      </w:r>
      <w:r>
        <w:rPr>
          <w:snapToGrid w:val="0"/>
        </w:rPr>
        <w:tab/>
      </w:r>
      <w:r>
        <w:rPr>
          <w:szCs w:val="22"/>
        </w:rPr>
        <w:t xml:space="preserve">if </w:t>
      </w:r>
      <w:r>
        <w:t>the member</w:t>
      </w:r>
      <w:r>
        <w:rPr>
          <w:snapToGrid w:val="0"/>
        </w:rPr>
        <w:t xml:space="preserve"> is removed from office under </w:t>
      </w:r>
      <w:r>
        <w:rPr>
          <w:szCs w:val="22"/>
        </w:rPr>
        <w:t>sub</w:t>
      </w:r>
      <w:r>
        <w:rPr>
          <w:szCs w:val="22"/>
        </w:rPr>
        <w:noBreakHyphen/>
        <w:t>bylaw (8); or</w:t>
      </w:r>
    </w:p>
    <w:p>
      <w:pPr>
        <w:pStyle w:val="yIndenta"/>
      </w:pPr>
      <w:r>
        <w:tab/>
        <w:t>(f)</w:t>
      </w:r>
      <w:r>
        <w:tab/>
        <w:t>if the Tribunal orders that the member’s appointment is revoked and the member is removed from office.</w:t>
      </w:r>
    </w:p>
    <w:p>
      <w:pPr>
        <w:pStyle w:val="ySubsection"/>
        <w:keepNext/>
        <w:keepLines/>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PermNoteHeading"/>
      </w:pPr>
      <w:r>
        <w:tab/>
        <w:t>Note for this sub</w:t>
      </w:r>
      <w:r>
        <w:noBreakHyphen/>
        <w:t>bylaw:</w:t>
      </w:r>
    </w:p>
    <w:p>
      <w:pPr>
        <w:pStyle w:val="PermNoteText"/>
      </w:pPr>
      <w:r>
        <w:tab/>
      </w:r>
      <w:r>
        <w:tab/>
        <w:t>By</w:t>
      </w:r>
      <w:r>
        <w:noBreakHyphen/>
        <w:t>law 6(3A) provides for the filling of vacancies in the offices of chairperson, secretary and treasurer.</w:t>
      </w:r>
    </w:p>
    <w:p>
      <w:pPr>
        <w:pStyle w:val="ySubsection"/>
      </w:pPr>
      <w:r>
        <w:tab/>
        <w:t>(11)</w:t>
      </w:r>
      <w:r>
        <w:tab/>
        <w:t>Except if 1 person is the owner of all of the lots in the scheme, a quorum of the council is 2 if the council consists of 3 or 4 members; 3, if it consists of 5 or 6 members; and 4, if it consists of 7 members.</w:t>
      </w:r>
    </w:p>
    <w:p>
      <w:pPr>
        <w:pStyle w:val="ySubsection"/>
        <w:rPr>
          <w:snapToGrid w:val="0"/>
        </w:rPr>
      </w:pPr>
      <w:r>
        <w:rPr>
          <w:snapToGrid w:val="0"/>
        </w:rPr>
        <w:tab/>
        <w:t>(12)</w:t>
      </w:r>
      <w:r>
        <w:rPr>
          <w:snapToGrid w:val="0"/>
        </w:rPr>
        <w:tab/>
        <w:t xml:space="preserve">The continuing members of the council may act </w:t>
      </w:r>
      <w:r>
        <w:t>even if there is a</w:t>
      </w:r>
      <w:r>
        <w:rPr>
          <w:snapToGrid w:val="0"/>
        </w:rPr>
        <w:t xml:space="preserve">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 xml:space="preserve">All acts done in good faith by the </w:t>
      </w:r>
      <w:r>
        <w:rPr>
          <w:snapToGrid w:val="0"/>
          <w:szCs w:val="22"/>
        </w:rPr>
        <w:t>council,</w:t>
      </w:r>
      <w:r>
        <w:t xml:space="preserve"> even if </w:t>
      </w:r>
      <w:r>
        <w:rPr>
          <w:snapToGrid w:val="0"/>
        </w:rPr>
        <w:t xml:space="preserve">it is afterwards discovered that there was some defect in the appointment or continuance in office of any member of the council, </w:t>
      </w:r>
      <w:r>
        <w:t>are</w:t>
      </w:r>
      <w:r>
        <w:rPr>
          <w:snapToGrid w:val="0"/>
        </w:rPr>
        <w:t xml:space="preserve"> as valid as if that member had been duly appointed or had duly continued in office.</w:t>
      </w:r>
    </w:p>
    <w:p>
      <w:pPr>
        <w:pStyle w:val="yFootnotesection"/>
      </w:pPr>
      <w:r>
        <w:tab/>
        <w:t>[By</w:t>
      </w:r>
      <w:r>
        <w:noBreakHyphen/>
        <w:t>law 4 amended: No. 30 of 2018 s. 90.]</w:t>
      </w:r>
    </w:p>
    <w:p>
      <w:pPr>
        <w:pStyle w:val="yHeading5"/>
      </w:pPr>
      <w:bookmarkStart w:id="758" w:name="_Toc106986882"/>
      <w:bookmarkStart w:id="759" w:name="_Toc100565180"/>
      <w:r>
        <w:rPr>
          <w:rStyle w:val="CharSClsNo"/>
        </w:rPr>
        <w:t>5</w:t>
      </w:r>
      <w:r>
        <w:t>.</w:t>
      </w:r>
      <w:r>
        <w:tab/>
        <w:t>Election of council at general meeting</w:t>
      </w:r>
      <w:bookmarkEnd w:id="758"/>
      <w:bookmarkEnd w:id="759"/>
    </w:p>
    <w:p>
      <w:pPr>
        <w:pStyle w:val="ySubsection"/>
        <w:keepNext/>
        <w:rPr>
          <w:snapToGrid w:val="0"/>
        </w:rPr>
      </w:pPr>
      <w:r>
        <w:rPr>
          <w:snapToGrid w:val="0"/>
        </w:rPr>
        <w:tab/>
      </w:r>
      <w:r>
        <w:rPr>
          <w:snapToGrid w:val="0"/>
        </w:rPr>
        <w:tab/>
        <w:t xml:space="preserve">The procedure for nomination and election of members of a council </w:t>
      </w:r>
      <w:r>
        <w:rPr>
          <w:szCs w:val="22"/>
        </w:rPr>
        <w:t>must</w:t>
      </w:r>
      <w:r>
        <w:rPr>
          <w:snapToGrid w:val="0"/>
        </w:rPr>
        <w:t xml:space="preserve"> be in accordance with the following rules —</w:t>
      </w:r>
    </w:p>
    <w:p>
      <w:pPr>
        <w:pStyle w:val="yIndenta"/>
        <w:rPr>
          <w:snapToGrid w:val="0"/>
        </w:rPr>
      </w:pPr>
      <w:r>
        <w:rPr>
          <w:snapToGrid w:val="0"/>
        </w:rPr>
        <w:tab/>
        <w:t>(1)</w:t>
      </w:r>
      <w:r>
        <w:rPr>
          <w:snapToGrid w:val="0"/>
        </w:rPr>
        <w:tab/>
        <w:t xml:space="preserve">The meeting </w:t>
      </w:r>
      <w:r>
        <w:rPr>
          <w:szCs w:val="22"/>
        </w:rPr>
        <w:t xml:space="preserve">must determine, </w:t>
      </w:r>
      <w:r>
        <w:rPr>
          <w:snapToGrid w:val="0"/>
        </w:rPr>
        <w:t>in accordance with the requirements of by</w:t>
      </w:r>
      <w:r>
        <w:rPr>
          <w:snapToGrid w:val="0"/>
        </w:rPr>
        <w:noBreakHyphen/>
        <w:t xml:space="preserve">law 4(3) the number of persons of whom the council </w:t>
      </w:r>
      <w:r>
        <w:rPr>
          <w:szCs w:val="22"/>
        </w:rPr>
        <w:t>i</w:t>
      </w:r>
      <w:r>
        <w:t>s to consist.</w:t>
      </w:r>
    </w:p>
    <w:p>
      <w:pPr>
        <w:pStyle w:val="yIndenta"/>
        <w:rPr>
          <w:snapToGrid w:val="0"/>
        </w:rPr>
      </w:pPr>
      <w:r>
        <w:rPr>
          <w:snapToGrid w:val="0"/>
        </w:rPr>
        <w:tab/>
        <w:t>(2)</w:t>
      </w:r>
      <w:r>
        <w:rPr>
          <w:snapToGrid w:val="0"/>
        </w:rPr>
        <w:tab/>
        <w:t xml:space="preserve">The </w:t>
      </w:r>
      <w:r>
        <w:rPr>
          <w:szCs w:val="22"/>
        </w:rPr>
        <w:t>chairperson must call on those persons who are present at the meeting in person or by proxy</w:t>
      </w:r>
      <w:r>
        <w:rPr>
          <w:snapToGrid w:val="0"/>
        </w:rPr>
        <w:t xml:space="preserve"> and entitled to nominate candidates to nominate candidates for election to the council.</w:t>
      </w:r>
    </w:p>
    <w:p>
      <w:pPr>
        <w:pStyle w:val="yIndenta"/>
        <w:keepNext/>
        <w:keepLines/>
        <w:rPr>
          <w:snapToGrid w:val="0"/>
        </w:rPr>
      </w:pPr>
      <w:r>
        <w:rPr>
          <w:snapToGrid w:val="0"/>
        </w:rPr>
        <w:tab/>
        <w:t>(3)</w:t>
      </w:r>
      <w:r>
        <w:rPr>
          <w:snapToGrid w:val="0"/>
        </w:rPr>
        <w:tab/>
        <w:t xml:space="preserve">A nomination is ineffective unless supported by the consent of the nominee to </w:t>
      </w:r>
      <w:r>
        <w:t>the</w:t>
      </w:r>
      <w:r>
        <w:rPr>
          <w:snapToGrid w:val="0"/>
        </w:rPr>
        <w:t xml:space="preserve"> nomination, given —</w:t>
      </w:r>
    </w:p>
    <w:p>
      <w:pPr>
        <w:pStyle w:val="yIndenti0"/>
        <w:rPr>
          <w:snapToGrid w:val="0"/>
        </w:rPr>
      </w:pPr>
      <w:r>
        <w:rPr>
          <w:snapToGrid w:val="0"/>
        </w:rPr>
        <w:tab/>
        <w:t>(a)</w:t>
      </w:r>
      <w:r>
        <w:rPr>
          <w:snapToGrid w:val="0"/>
        </w:rPr>
        <w:tab/>
        <w:t xml:space="preserve">in writing, and furnished to the </w:t>
      </w:r>
      <w:r>
        <w:t>chairperson</w:t>
      </w:r>
      <w:r>
        <w:rPr>
          <w:snapToGrid w:val="0"/>
        </w:rPr>
        <w:t xml:space="preserve"> at the meeting; or</w:t>
      </w:r>
    </w:p>
    <w:p>
      <w:pPr>
        <w:pStyle w:val="yIndenti0"/>
        <w:rPr>
          <w:snapToGrid w:val="0"/>
        </w:rPr>
      </w:pPr>
      <w:r>
        <w:rPr>
          <w:snapToGrid w:val="0"/>
        </w:rPr>
        <w:tab/>
        <w:t>(b)</w:t>
      </w:r>
      <w:r>
        <w:rPr>
          <w:snapToGrid w:val="0"/>
        </w:rPr>
        <w:tab/>
        <w:t xml:space="preserve">orally by a nominee who is present at the </w:t>
      </w:r>
      <w:r>
        <w:t>meeting in person or by proxy.</w:t>
      </w:r>
    </w:p>
    <w:p>
      <w:pPr>
        <w:pStyle w:val="yIndenta"/>
        <w:rPr>
          <w:snapToGrid w:val="0"/>
        </w:rPr>
      </w:pPr>
      <w:r>
        <w:rPr>
          <w:snapToGrid w:val="0"/>
        </w:rPr>
        <w:tab/>
        <w:t>(4)</w:t>
      </w:r>
      <w:r>
        <w:rPr>
          <w:snapToGrid w:val="0"/>
        </w:rPr>
        <w:tab/>
        <w:t xml:space="preserve">When no further nominations are forthcoming, the </w:t>
      </w:r>
      <w:r>
        <w:t>chairperson —</w:t>
      </w:r>
    </w:p>
    <w:p>
      <w:pPr>
        <w:pStyle w:val="yIndenti0"/>
        <w:rPr>
          <w:snapToGrid w:val="0"/>
        </w:rPr>
      </w:pPr>
      <w:r>
        <w:rPr>
          <w:snapToGrid w:val="0"/>
        </w:rPr>
        <w:tab/>
        <w:t>(a)</w:t>
      </w:r>
      <w:r>
        <w:rPr>
          <w:snapToGrid w:val="0"/>
        </w:rPr>
        <w:tab/>
      </w:r>
      <w:r>
        <w:rPr>
          <w:szCs w:val="22"/>
        </w:rPr>
        <w:t>if</w:t>
      </w:r>
      <w:r>
        <w:rPr>
          <w:snapToGrid w:val="0"/>
        </w:rPr>
        <w:t xml:space="preserve"> the number of candidates equals the number of members of the council determined in accordance with the requirements of by</w:t>
      </w:r>
      <w:r>
        <w:rPr>
          <w:snapToGrid w:val="0"/>
        </w:rPr>
        <w:noBreakHyphen/>
        <w:t xml:space="preserve">law 4(3), </w:t>
      </w:r>
      <w:r>
        <w:rPr>
          <w:szCs w:val="22"/>
        </w:rPr>
        <w:t xml:space="preserve">must </w:t>
      </w:r>
      <w:r>
        <w:rPr>
          <w:snapToGrid w:val="0"/>
        </w:rPr>
        <w:t>declare those candidates to be elected as members of the council;</w:t>
      </w:r>
    </w:p>
    <w:p>
      <w:pPr>
        <w:pStyle w:val="yIndenti0"/>
        <w:rPr>
          <w:snapToGrid w:val="0"/>
        </w:rPr>
      </w:pPr>
      <w:r>
        <w:rPr>
          <w:snapToGrid w:val="0"/>
        </w:rPr>
        <w:tab/>
        <w:t>(b)</w:t>
      </w:r>
      <w:r>
        <w:rPr>
          <w:snapToGrid w:val="0"/>
        </w:rPr>
        <w:tab/>
      </w:r>
      <w:r>
        <w:rPr>
          <w:szCs w:val="22"/>
        </w:rPr>
        <w:t>if</w:t>
      </w:r>
      <w:r>
        <w:rPr>
          <w:snapToGrid w:val="0"/>
        </w:rPr>
        <w:t xml:space="preserve"> the number of candidates exceeds the number of members of the council as so determined, </w:t>
      </w:r>
      <w:r>
        <w:rPr>
          <w:szCs w:val="22"/>
        </w:rPr>
        <w:t xml:space="preserve">must </w:t>
      </w:r>
      <w:r>
        <w:rPr>
          <w:snapToGrid w:val="0"/>
        </w:rPr>
        <w:t>direct that a ballot be held.</w:t>
      </w:r>
    </w:p>
    <w:p>
      <w:pPr>
        <w:pStyle w:val="yIndenta"/>
        <w:keepNext/>
        <w:rPr>
          <w:snapToGrid w:val="0"/>
        </w:rPr>
      </w:pPr>
      <w:r>
        <w:rPr>
          <w:snapToGrid w:val="0"/>
        </w:rPr>
        <w:tab/>
        <w:t>(5)</w:t>
      </w:r>
      <w:r>
        <w:rPr>
          <w:snapToGrid w:val="0"/>
        </w:rPr>
        <w:tab/>
        <w:t xml:space="preserve">If a ballot is to be held, the </w:t>
      </w:r>
      <w:r>
        <w:rPr>
          <w:szCs w:val="22"/>
        </w:rPr>
        <w:t>chairperson must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 xml:space="preserve">cause to be furnished to each person </w:t>
      </w:r>
      <w:r>
        <w:rPr>
          <w:snapToGrid w:val="0"/>
          <w:szCs w:val="22"/>
        </w:rPr>
        <w:t xml:space="preserve">entitled to vote </w:t>
      </w:r>
      <w:r>
        <w:t xml:space="preserve">and present in person or by proxy, </w:t>
      </w:r>
      <w:r>
        <w:rPr>
          <w:snapToGrid w:val="0"/>
          <w:szCs w:val="22"/>
        </w:rPr>
        <w:t>a blank form</w:t>
      </w:r>
      <w:r>
        <w:rPr>
          <w:snapToGrid w:val="0"/>
        </w:rPr>
        <w:t xml:space="preserve"> in respect of each lot in respect of which </w:t>
      </w:r>
      <w:r>
        <w:rPr>
          <w:snapToGrid w:val="0"/>
          <w:szCs w:val="22"/>
        </w:rPr>
        <w:t>the</w:t>
      </w:r>
      <w:r>
        <w:t xml:space="preserve"> person</w:t>
      </w:r>
      <w:r>
        <w:rPr>
          <w:snapToGrid w:val="0"/>
        </w:rPr>
        <w:t xml:space="preserve"> is entitled to vote for use as a </w:t>
      </w:r>
      <w:r>
        <w:rPr>
          <w:snapToGrid w:val="0"/>
          <w:szCs w:val="22"/>
        </w:rPr>
        <w:t>ballot form.</w:t>
      </w:r>
    </w:p>
    <w:p>
      <w:pPr>
        <w:pStyle w:val="yIndenta"/>
        <w:rPr>
          <w:snapToGrid w:val="0"/>
        </w:rPr>
      </w:pPr>
      <w:r>
        <w:rPr>
          <w:snapToGrid w:val="0"/>
        </w:rPr>
        <w:tab/>
        <w:t>(6)</w:t>
      </w:r>
      <w:r>
        <w:rPr>
          <w:snapToGrid w:val="0"/>
        </w:rPr>
        <w:tab/>
        <w:t xml:space="preserve">A person who is entitled to vote </w:t>
      </w:r>
      <w:r>
        <w:rPr>
          <w:szCs w:val="22"/>
        </w:rPr>
        <w:t>must complete a valid ballot</w:t>
      </w:r>
      <w:r>
        <w:t xml:space="preserve"> </w:t>
      </w:r>
      <w:r>
        <w:rPr>
          <w:snapToGrid w:val="0"/>
          <w:szCs w:val="22"/>
        </w:rPr>
        <w:t>form</w:t>
      </w:r>
      <w:r>
        <w:rPr>
          <w:snapToGrid w:val="0"/>
        </w:rPr>
        <w:t xml:space="preserve"> by —</w:t>
      </w:r>
    </w:p>
    <w:p>
      <w:pPr>
        <w:pStyle w:val="yIndenti0"/>
        <w:rPr>
          <w:snapToGrid w:val="0"/>
        </w:rPr>
      </w:pPr>
      <w:r>
        <w:rPr>
          <w:snapToGrid w:val="0"/>
        </w:rPr>
        <w:tab/>
        <w:t>(a)</w:t>
      </w:r>
      <w:r>
        <w:rPr>
          <w:snapToGrid w:val="0"/>
        </w:rPr>
        <w:tab/>
        <w:t xml:space="preserve">writing </w:t>
      </w:r>
      <w:r>
        <w:rPr>
          <w:szCs w:val="22"/>
        </w:rPr>
        <w:t>on the</w:t>
      </w:r>
      <w:r>
        <w:t xml:space="preserve"> </w:t>
      </w:r>
      <w:r>
        <w:rPr>
          <w:snapToGrid w:val="0"/>
          <w:szCs w:val="22"/>
        </w:rPr>
        <w:t>form</w:t>
      </w:r>
      <w:r>
        <w:rPr>
          <w:snapToGrid w:val="0"/>
        </w:rPr>
        <w:t xml:space="preserve"> the names of candidates, equal in number to the number of members of the council so that no name is repeated; and</w:t>
      </w:r>
    </w:p>
    <w:p>
      <w:pPr>
        <w:pStyle w:val="yIndenti0"/>
        <w:rPr>
          <w:snapToGrid w:val="0"/>
        </w:rPr>
      </w:pPr>
      <w:r>
        <w:rPr>
          <w:snapToGrid w:val="0"/>
        </w:rPr>
        <w:tab/>
        <w:t>(b)</w:t>
      </w:r>
      <w:r>
        <w:rPr>
          <w:snapToGrid w:val="0"/>
        </w:rPr>
        <w:tab/>
        <w:t xml:space="preserve">indicating </w:t>
      </w:r>
      <w:r>
        <w:rPr>
          <w:szCs w:val="22"/>
        </w:rPr>
        <w:t>on the</w:t>
      </w:r>
      <w:r>
        <w:t xml:space="preserve"> </w:t>
      </w:r>
      <w:r>
        <w:rPr>
          <w:snapToGrid w:val="0"/>
          <w:szCs w:val="22"/>
        </w:rPr>
        <w:t>form</w:t>
      </w:r>
      <w:r>
        <w:rPr>
          <w:snapToGrid w:val="0"/>
        </w:rPr>
        <w:t xml:space="preserve"> the number of each lot in respect of which </w:t>
      </w:r>
      <w:r>
        <w:rPr>
          <w:snapToGrid w:val="0"/>
          <w:szCs w:val="22"/>
        </w:rPr>
        <w:t>the</w:t>
      </w:r>
      <w:r>
        <w:t xml:space="preserve"> person’s</w:t>
      </w:r>
      <w:r>
        <w:rPr>
          <w:snapToGrid w:val="0"/>
        </w:rPr>
        <w:t xml:space="preserve"> vote is cast and whether </w:t>
      </w:r>
      <w:r>
        <w:rPr>
          <w:snapToGrid w:val="0"/>
          <w:szCs w:val="22"/>
        </w:rPr>
        <w:t>the</w:t>
      </w:r>
      <w:r>
        <w:t xml:space="preserve"> person</w:t>
      </w:r>
      <w:r>
        <w:rPr>
          <w:snapToGrid w:val="0"/>
        </w:rPr>
        <w:t xml:space="preserve"> so votes as </w:t>
      </w:r>
      <w:r>
        <w:t>owner</w:t>
      </w:r>
      <w:r>
        <w:rPr>
          <w:snapToGrid w:val="0"/>
        </w:rPr>
        <w:t xml:space="preserve"> or first mortgagee of each such lot or as proxy of the </w:t>
      </w:r>
      <w:r>
        <w:t>owner</w:t>
      </w:r>
      <w:r>
        <w:rPr>
          <w:snapToGrid w:val="0"/>
        </w:rPr>
        <w:t xml:space="preserve"> or first mortgagee; and</w:t>
      </w:r>
    </w:p>
    <w:p>
      <w:pPr>
        <w:pStyle w:val="yIndenti0"/>
        <w:rPr>
          <w:snapToGrid w:val="0"/>
        </w:rPr>
      </w:pPr>
      <w:r>
        <w:rPr>
          <w:snapToGrid w:val="0"/>
        </w:rPr>
        <w:tab/>
        <w:t>(c)</w:t>
      </w:r>
      <w:r>
        <w:rPr>
          <w:snapToGrid w:val="0"/>
        </w:rPr>
        <w:tab/>
        <w:t xml:space="preserve">signing the </w:t>
      </w:r>
      <w:r>
        <w:rPr>
          <w:snapToGrid w:val="0"/>
          <w:szCs w:val="22"/>
        </w:rPr>
        <w:t>ballot form; and</w:t>
      </w:r>
    </w:p>
    <w:p>
      <w:pPr>
        <w:pStyle w:val="yIndenti0"/>
        <w:rPr>
          <w:snapToGrid w:val="0"/>
        </w:rPr>
      </w:pPr>
      <w:r>
        <w:rPr>
          <w:snapToGrid w:val="0"/>
        </w:rPr>
        <w:tab/>
        <w:t>(d)</w:t>
      </w:r>
      <w:r>
        <w:rPr>
          <w:snapToGrid w:val="0"/>
        </w:rPr>
        <w:tab/>
        <w:t xml:space="preserve">returning it to the </w:t>
      </w:r>
      <w:r>
        <w:t>chairperson.</w:t>
      </w:r>
    </w:p>
    <w:p>
      <w:pPr>
        <w:pStyle w:val="yIndenta"/>
      </w:pPr>
      <w:r>
        <w:tab/>
        <w:t>(7)</w:t>
      </w:r>
      <w:r>
        <w:tab/>
        <w:t>The chairperson, or a person appointed by the chairperson, must count the votes recorded on valid ballot forms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 xml:space="preserve">law 4(3), who receive the highest </w:t>
      </w:r>
      <w:r>
        <w:rPr>
          <w:szCs w:val="22"/>
        </w:rPr>
        <w:t xml:space="preserve">numbers (in terms of lots or unit entitlements as required under the </w:t>
      </w:r>
      <w:r>
        <w:rPr>
          <w:i/>
          <w:szCs w:val="22"/>
        </w:rPr>
        <w:t>Strata Titles Act 1985</w:t>
      </w:r>
      <w:r>
        <w:rPr>
          <w:szCs w:val="22"/>
        </w:rPr>
        <w:t xml:space="preserve"> section 122) of votes are to</w:t>
      </w:r>
      <w:r>
        <w:rPr>
          <w:snapToGrid w:val="0"/>
        </w:rPr>
        <w:t xml:space="preserve"> be declared elected to the council.</w:t>
      </w:r>
    </w:p>
    <w:p>
      <w:pPr>
        <w:pStyle w:val="yIndenta"/>
        <w:rPr>
          <w:snapToGrid w:val="0"/>
        </w:rPr>
      </w:pPr>
      <w:r>
        <w:rPr>
          <w:snapToGrid w:val="0"/>
        </w:rPr>
        <w:tab/>
        <w:t>(9)</w:t>
      </w:r>
      <w:r>
        <w:rPr>
          <w:snapToGrid w:val="0"/>
        </w:rPr>
        <w:tab/>
      </w:r>
      <w:r>
        <w:rPr>
          <w:szCs w:val="22"/>
        </w:rPr>
        <w:t>If the</w:t>
      </w:r>
      <w:r>
        <w:t xml:space="preserve"> </w:t>
      </w:r>
      <w:r>
        <w:rPr>
          <w:szCs w:val="22"/>
        </w:rPr>
        <w:t xml:space="preserve">number (in terms of lots or unit entitlements as required under the </w:t>
      </w:r>
      <w:r>
        <w:rPr>
          <w:i/>
          <w:szCs w:val="22"/>
        </w:rPr>
        <w:t>Strata Titles Act 1985</w:t>
      </w:r>
      <w:r>
        <w:rPr>
          <w:szCs w:val="22"/>
        </w:rPr>
        <w:t xml:space="preserve"> section 122) </w:t>
      </w:r>
      <w:r>
        <w:rPr>
          <w:snapToGrid w:val="0"/>
        </w:rPr>
        <w:t xml:space="preserve">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 xml:space="preserve">as between those candidates, the election </w:t>
      </w:r>
      <w:r>
        <w:rPr>
          <w:szCs w:val="22"/>
        </w:rPr>
        <w:t xml:space="preserve">must </w:t>
      </w:r>
      <w:r>
        <w:rPr>
          <w:snapToGrid w:val="0"/>
        </w:rPr>
        <w:t xml:space="preserve">be decided by a show of hands of those </w:t>
      </w:r>
      <w:r>
        <w:rPr>
          <w:snapToGrid w:val="0"/>
          <w:szCs w:val="22"/>
        </w:rPr>
        <w:t xml:space="preserve">entitled to vote </w:t>
      </w:r>
      <w:r>
        <w:t>and present in person or by proxy.</w:t>
      </w:r>
    </w:p>
    <w:p>
      <w:pPr>
        <w:pStyle w:val="yFootnotesection"/>
      </w:pPr>
      <w:r>
        <w:tab/>
        <w:t>[By</w:t>
      </w:r>
      <w:r>
        <w:noBreakHyphen/>
        <w:t>law 5 amended: No. 74 of 2003 s. 112(17)</w:t>
      </w:r>
      <w:r>
        <w:noBreakHyphen/>
        <w:t>(19); No. 30 of 2018 s. 91.]</w:t>
      </w:r>
    </w:p>
    <w:p>
      <w:pPr>
        <w:pStyle w:val="yHeading5"/>
      </w:pPr>
      <w:bookmarkStart w:id="760" w:name="_Toc106986883"/>
      <w:bookmarkStart w:id="761" w:name="_Toc100565181"/>
      <w:r>
        <w:rPr>
          <w:rStyle w:val="CharSClsNo"/>
        </w:rPr>
        <w:t>6</w:t>
      </w:r>
      <w:r>
        <w:t>.</w:t>
      </w:r>
      <w:r>
        <w:tab/>
        <w:t>Chairperson, secretary and treasurer of council</w:t>
      </w:r>
      <w:bookmarkEnd w:id="760"/>
      <w:bookmarkEnd w:id="761"/>
    </w:p>
    <w:p>
      <w:pPr>
        <w:pStyle w:val="ySubsection"/>
        <w:rPr>
          <w:snapToGrid w:val="0"/>
        </w:rPr>
      </w:pPr>
      <w:r>
        <w:rPr>
          <w:snapToGrid w:val="0"/>
        </w:rPr>
        <w:tab/>
        <w:t>(1)</w:t>
      </w:r>
      <w:r>
        <w:rPr>
          <w:snapToGrid w:val="0"/>
        </w:rPr>
        <w:tab/>
        <w:t xml:space="preserve">The members of a council </w:t>
      </w:r>
      <w:r>
        <w:rPr>
          <w:szCs w:val="22"/>
        </w:rPr>
        <w:t>must</w:t>
      </w:r>
      <w:r>
        <w:rPr>
          <w:snapToGrid w:val="0"/>
        </w:rPr>
        <w:t xml:space="preserve">, at the first meeting of the council after they assume office as such members, appoint a </w:t>
      </w:r>
      <w:r>
        <w:t>chairperson,</w:t>
      </w:r>
      <w:r>
        <w:rPr>
          <w:snapToGrid w:val="0"/>
        </w:rPr>
        <w:t xml:space="preserve">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r>
      <w:r>
        <w:rPr>
          <w:szCs w:val="22"/>
        </w:rPr>
        <w:t xml:space="preserve">must </w:t>
      </w:r>
      <w:r>
        <w:rPr>
          <w:snapToGrid w:val="0"/>
        </w:rPr>
        <w:t>not be appointed to an office referred to in sub</w:t>
      </w:r>
      <w:r>
        <w:rPr>
          <w:snapToGrid w:val="0"/>
        </w:rPr>
        <w:noBreakHyphen/>
        <w:t xml:space="preserve">bylaw (1) unless </w:t>
      </w:r>
      <w:r>
        <w:rPr>
          <w:snapToGrid w:val="0"/>
          <w:szCs w:val="22"/>
        </w:rPr>
        <w:t>the</w:t>
      </w:r>
      <w:r>
        <w:t xml:space="preserve"> person</w:t>
      </w:r>
      <w:r>
        <w:rPr>
          <w:snapToGrid w:val="0"/>
        </w:rPr>
        <w:t xml:space="preserve"> is a member of the council; and</w:t>
      </w:r>
    </w:p>
    <w:p>
      <w:pPr>
        <w:pStyle w:val="yIndenta"/>
        <w:rPr>
          <w:snapToGrid w:val="0"/>
        </w:rPr>
      </w:pPr>
      <w:r>
        <w:rPr>
          <w:snapToGrid w:val="0"/>
        </w:rPr>
        <w:tab/>
        <w:t>(b)</w:t>
      </w:r>
      <w:r>
        <w:rPr>
          <w:snapToGrid w:val="0"/>
        </w:rPr>
        <w:tab/>
        <w:t xml:space="preserve">may be appointed to </w:t>
      </w:r>
      <w:r>
        <w:rPr>
          <w:snapToGrid w:val="0"/>
          <w:szCs w:val="22"/>
        </w:rPr>
        <w:t xml:space="preserve">1 </w:t>
      </w:r>
      <w:r>
        <w:rPr>
          <w:snapToGrid w:val="0"/>
        </w:rPr>
        <w:t>or more of those offices.</w:t>
      </w:r>
    </w:p>
    <w:p>
      <w:pPr>
        <w:pStyle w:val="ySubsection"/>
        <w:keepNext/>
        <w:keepLines/>
      </w:pPr>
      <w:r>
        <w:tab/>
        <w:t>(3)</w:t>
      </w:r>
      <w:r>
        <w:tab/>
        <w:t>A person appointed to an office referred to in sub</w:t>
      </w:r>
      <w:r>
        <w:noBreakHyphen/>
        <w:t>bylaw (1) holds office until the first of the following events happens —</w:t>
      </w:r>
    </w:p>
    <w:p>
      <w:pPr>
        <w:pStyle w:val="yIndenta"/>
      </w:pPr>
      <w:r>
        <w:tab/>
        <w:t>(a)</w:t>
      </w:r>
      <w:r>
        <w:tab/>
        <w:t>the person ceases to be a member of the council under by</w:t>
      </w:r>
      <w:r>
        <w:noBreakHyphen/>
        <w:t>law 4(9);</w:t>
      </w:r>
    </w:p>
    <w:p>
      <w:pPr>
        <w:pStyle w:val="yIndenta"/>
      </w:pPr>
      <w:r>
        <w:tab/>
        <w:t>(b)</w:t>
      </w:r>
      <w:r>
        <w:tab/>
        <w:t>receipt by the strata company of a written notice of the person’s resignation from that office;</w:t>
      </w:r>
    </w:p>
    <w:p>
      <w:pPr>
        <w:pStyle w:val="yIndenta"/>
      </w:pPr>
      <w:r>
        <w:tab/>
        <w:t>(c)</w:t>
      </w:r>
      <w:r>
        <w:tab/>
        <w:t>another person is appointed by the council to hold that office.</w:t>
      </w:r>
    </w:p>
    <w:p>
      <w:pPr>
        <w:pStyle w:val="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yFootnotesection"/>
      </w:pPr>
      <w:r>
        <w:tab/>
        <w:t>[By</w:t>
      </w:r>
      <w:r>
        <w:noBreakHyphen/>
        <w:t>law 6 amended: No. 30 of 2018 s. 92.]</w:t>
      </w:r>
    </w:p>
    <w:p>
      <w:pPr>
        <w:pStyle w:val="yHeading5"/>
      </w:pPr>
      <w:bookmarkStart w:id="762" w:name="_Toc106986884"/>
      <w:bookmarkStart w:id="763" w:name="_Toc100565182"/>
      <w:r>
        <w:rPr>
          <w:rStyle w:val="CharSClsNo"/>
        </w:rPr>
        <w:t>7</w:t>
      </w:r>
      <w:r>
        <w:t>.</w:t>
      </w:r>
      <w:r>
        <w:tab/>
        <w:t>Chairperson, secretary and treasurer of strata company</w:t>
      </w:r>
      <w:bookmarkEnd w:id="762"/>
      <w:bookmarkEnd w:id="763"/>
    </w:p>
    <w:p>
      <w:pPr>
        <w:pStyle w:val="ySubsection"/>
        <w:keepNext/>
        <w:keepLines/>
        <w:rPr>
          <w:snapToGrid w:val="0"/>
        </w:rPr>
      </w:pPr>
      <w:r>
        <w:rPr>
          <w:snapToGrid w:val="0"/>
        </w:rPr>
        <w:tab/>
        <w:t>(1)</w:t>
      </w:r>
      <w:r>
        <w:rPr>
          <w:snapToGrid w:val="0"/>
        </w:rPr>
        <w:tab/>
        <w:t>Subject to sub</w:t>
      </w:r>
      <w:r>
        <w:rPr>
          <w:snapToGrid w:val="0"/>
        </w:rPr>
        <w:noBreakHyphen/>
        <w:t xml:space="preserve">bylaw (2), the </w:t>
      </w:r>
      <w:r>
        <w:t>chairperson,</w:t>
      </w:r>
      <w:r>
        <w:rPr>
          <w:snapToGrid w:val="0"/>
        </w:rPr>
        <w:t xml:space="preserve"> secretary and treasurer of the council are also respectively the </w:t>
      </w:r>
      <w:r>
        <w:t xml:space="preserve">chairperson, </w:t>
      </w:r>
      <w:r>
        <w:rPr>
          <w:snapToGrid w:val="0"/>
        </w:rPr>
        <w:t>secretary and treasurer of the strata company.</w:t>
      </w:r>
    </w:p>
    <w:p>
      <w:pPr>
        <w:pStyle w:val="ySubsection"/>
        <w:rPr>
          <w:snapToGrid w:val="0"/>
        </w:rPr>
      </w:pPr>
      <w:r>
        <w:rPr>
          <w:snapToGrid w:val="0"/>
        </w:rPr>
        <w:tab/>
        <w:t>(2)</w:t>
      </w:r>
      <w:r>
        <w:rPr>
          <w:snapToGrid w:val="0"/>
        </w:rPr>
        <w:tab/>
        <w:t xml:space="preserve">A strata company may at a general meeting authorise a person who is not </w:t>
      </w:r>
      <w:r>
        <w:t>an owner of a lot to act as the chairperson</w:t>
      </w:r>
      <w:r>
        <w:rPr>
          <w:snapToGrid w:val="0"/>
        </w:rPr>
        <w:t xml:space="preserve">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 xml:space="preserve">bylaw (2) may act until the end of the meeting for which </w:t>
      </w:r>
      <w:r>
        <w:t>the person</w:t>
      </w:r>
      <w:r>
        <w:rPr>
          <w:snapToGrid w:val="0"/>
        </w:rPr>
        <w:t xml:space="preserve"> was appointed to act.</w:t>
      </w:r>
    </w:p>
    <w:p>
      <w:pPr>
        <w:pStyle w:val="yFootnotesection"/>
      </w:pPr>
      <w:r>
        <w:tab/>
        <w:t>[By</w:t>
      </w:r>
      <w:r>
        <w:noBreakHyphen/>
        <w:t xml:space="preserve">law 7 inserted: </w:t>
      </w:r>
      <w:r>
        <w:rPr>
          <w:iCs/>
        </w:rPr>
        <w:t xml:space="preserve">No. 58 of 1995 s. 87(3); </w:t>
      </w:r>
      <w:r>
        <w:t>amended: No. 74 of 2003 s. 112(20); No. 30 of 2018 s. 93.]</w:t>
      </w:r>
    </w:p>
    <w:p>
      <w:pPr>
        <w:pStyle w:val="yHeading5"/>
      </w:pPr>
      <w:bookmarkStart w:id="764" w:name="_Toc106986885"/>
      <w:bookmarkStart w:id="765" w:name="_Toc100565183"/>
      <w:r>
        <w:rPr>
          <w:rStyle w:val="CharSClsNo"/>
        </w:rPr>
        <w:t>8</w:t>
      </w:r>
      <w:r>
        <w:t>.</w:t>
      </w:r>
      <w:r>
        <w:tab/>
        <w:t>Meetings of council</w:t>
      </w:r>
      <w:bookmarkEnd w:id="764"/>
      <w:bookmarkEnd w:id="765"/>
    </w:p>
    <w:p>
      <w:pPr>
        <w:pStyle w:val="ySubsection"/>
        <w:rPr>
          <w:snapToGrid w:val="0"/>
        </w:rPr>
      </w:pPr>
      <w:r>
        <w:rPr>
          <w:snapToGrid w:val="0"/>
        </w:rPr>
        <w:tab/>
        <w:t>(1)</w:t>
      </w:r>
      <w:r>
        <w:rPr>
          <w:snapToGrid w:val="0"/>
        </w:rPr>
        <w:tab/>
        <w:t xml:space="preserve">At meetings of the council, all matters </w:t>
      </w:r>
      <w:r>
        <w:t>must</w:t>
      </w:r>
      <w:r>
        <w:rPr>
          <w:snapToGrid w:val="0"/>
        </w:rPr>
        <w:t xml:space="preserve">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 xml:space="preserve">meet together for the conduct of business and adjourn and otherwise regulate its meetings as it thinks fit, but the council </w:t>
      </w:r>
      <w:r>
        <w:rPr>
          <w:szCs w:val="22"/>
        </w:rPr>
        <w:t>must</w:t>
      </w:r>
      <w:r>
        <w:rPr>
          <w:snapToGrid w:val="0"/>
        </w:rPr>
        <w:t xml:space="preserve"> meet when any member of the council gives to the other members not less than 7 days’ notice of a meeting proposed by </w:t>
      </w:r>
      <w:r>
        <w:rPr>
          <w:szCs w:val="22"/>
        </w:rPr>
        <w:t>the member</w:t>
      </w:r>
      <w:r>
        <w:rPr>
          <w:snapToGrid w:val="0"/>
        </w:rPr>
        <w:t xml:space="preserve"> specifying in the notice the reason for calling the </w:t>
      </w:r>
      <w:r>
        <w:t>meeting; or</w:t>
      </w:r>
    </w:p>
    <w:p>
      <w:pPr>
        <w:pStyle w:val="yIndenta"/>
      </w:pPr>
      <w:r>
        <w:tab/>
        <w:t>(b)</w:t>
      </w:r>
      <w:r>
        <w:tab/>
        <w:t>employ or engage, on behalf of the strata company, any person as it thinks is necessary to provide any goods, amenity or service to the strata company; or</w:t>
      </w:r>
    </w:p>
    <w:p>
      <w:pPr>
        <w:pStyle w:val="yIndenta"/>
        <w:rPr>
          <w:snapToGrid w:val="0"/>
        </w:rPr>
      </w:pPr>
      <w:r>
        <w:rPr>
          <w:snapToGrid w:val="0"/>
        </w:rPr>
        <w:tab/>
        <w:t>(c)</w:t>
      </w:r>
      <w:r>
        <w:rPr>
          <w:snapToGrid w:val="0"/>
        </w:rPr>
        <w:tab/>
        <w:t xml:space="preserve">subject to any restriction imposed or direction given at a general meeting of the strata company, delegate to </w:t>
      </w:r>
      <w:r>
        <w:t xml:space="preserve">1 </w:t>
      </w:r>
      <w:r>
        <w:rPr>
          <w:snapToGrid w:val="0"/>
        </w:rPr>
        <w:t>or more of its members such of its powers and duties as it thinks fit, and at any time revoke the delegation.</w:t>
      </w:r>
    </w:p>
    <w:p>
      <w:pPr>
        <w:pStyle w:val="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ySubsection"/>
        <w:rPr>
          <w:snapToGrid w:val="0"/>
        </w:rPr>
      </w:pPr>
      <w:r>
        <w:rPr>
          <w:snapToGrid w:val="0"/>
        </w:rPr>
        <w:tab/>
        <w:t>(4)</w:t>
      </w:r>
      <w:r>
        <w:rPr>
          <w:snapToGrid w:val="0"/>
        </w:rPr>
        <w:tab/>
      </w:r>
      <w:r>
        <w:rPr>
          <w:szCs w:val="22"/>
        </w:rPr>
        <w:t>An owner of a lot</w:t>
      </w:r>
      <w:r>
        <w:rPr>
          <w:snapToGrid w:val="0"/>
        </w:rPr>
        <w:t xml:space="preserve"> or individual may be appointed under sub</w:t>
      </w:r>
      <w:r>
        <w:rPr>
          <w:snapToGrid w:val="0"/>
        </w:rPr>
        <w:noBreakHyphen/>
        <w:t xml:space="preserve">bylaw (3) whether or not </w:t>
      </w:r>
      <w:r>
        <w:rPr>
          <w:snapToGrid w:val="0"/>
          <w:szCs w:val="22"/>
        </w:rPr>
        <w:t>that</w:t>
      </w:r>
      <w:r>
        <w:t xml:space="preserve"> person</w:t>
      </w:r>
      <w:r>
        <w:rPr>
          <w:snapToGrid w:val="0"/>
        </w:rPr>
        <w:t xml:space="preserve"> is a member of the council.</w:t>
      </w:r>
    </w:p>
    <w:p>
      <w:pPr>
        <w:pStyle w:val="ySubsection"/>
        <w:rPr>
          <w:snapToGrid w:val="0"/>
        </w:rPr>
      </w:pPr>
      <w:r>
        <w:rPr>
          <w:snapToGrid w:val="0"/>
        </w:rPr>
        <w:tab/>
        <w:t>(5)</w:t>
      </w:r>
      <w:r>
        <w:rPr>
          <w:snapToGrid w:val="0"/>
        </w:rPr>
        <w:tab/>
        <w:t>If a person appointed under sub</w:t>
      </w:r>
      <w:r>
        <w:rPr>
          <w:snapToGrid w:val="0"/>
        </w:rPr>
        <w:noBreakHyphen/>
        <w:t xml:space="preserve">bylaw (3) is a member of the council </w:t>
      </w:r>
      <w:r>
        <w:rPr>
          <w:snapToGrid w:val="0"/>
          <w:szCs w:val="22"/>
        </w:rPr>
        <w:t>the</w:t>
      </w:r>
      <w:r>
        <w:t xml:space="preserve"> person</w:t>
      </w:r>
      <w:r>
        <w:rPr>
          <w:snapToGrid w:val="0"/>
        </w:rPr>
        <w:t xml:space="preserve"> may, at any meeting of the council, separately vote in </w:t>
      </w:r>
      <w:r>
        <w:rPr>
          <w:snapToGrid w:val="0"/>
          <w:szCs w:val="22"/>
        </w:rPr>
        <w:t>the</w:t>
      </w:r>
      <w:r>
        <w:t xml:space="preserve"> person’s</w:t>
      </w:r>
      <w:r>
        <w:rPr>
          <w:snapToGrid w:val="0"/>
        </w:rPr>
        <w:t xml:space="preserve"> capacity as a member and on behalf of the member in whose place </w:t>
      </w:r>
      <w:r>
        <w:rPr>
          <w:snapToGrid w:val="0"/>
          <w:szCs w:val="22"/>
        </w:rPr>
        <w:t>the</w:t>
      </w:r>
      <w:r>
        <w:t xml:space="preserve"> person</w:t>
      </w:r>
      <w:r>
        <w:rPr>
          <w:snapToGrid w:val="0"/>
        </w:rPr>
        <w:t xml:space="preserve"> has been appointed to act.</w:t>
      </w:r>
    </w:p>
    <w:p>
      <w:pPr>
        <w:pStyle w:val="yEdnotesubsection"/>
      </w:pPr>
      <w:r>
        <w:tab/>
        <w:t>[(6)</w:t>
      </w:r>
      <w:r>
        <w:tab/>
        <w:t>deleted]</w:t>
      </w:r>
    </w:p>
    <w:p>
      <w:pPr>
        <w:pStyle w:val="yFootnotesection"/>
      </w:pPr>
      <w:r>
        <w:tab/>
        <w:t>[By</w:t>
      </w:r>
      <w:r>
        <w:noBreakHyphen/>
        <w:t>law 8</w:t>
      </w:r>
      <w:r>
        <w:rPr>
          <w:iCs/>
        </w:rPr>
        <w:t xml:space="preserve"> </w:t>
      </w:r>
      <w:r>
        <w:t>amended: No. 30 of 2018 s. 94.]</w:t>
      </w:r>
    </w:p>
    <w:p>
      <w:pPr>
        <w:pStyle w:val="yHeading5"/>
      </w:pPr>
      <w:bookmarkStart w:id="766" w:name="_Toc106986886"/>
      <w:bookmarkStart w:id="767" w:name="_Toc100565184"/>
      <w:r>
        <w:rPr>
          <w:rStyle w:val="CharSClsNo"/>
        </w:rPr>
        <w:t>9</w:t>
      </w:r>
      <w:r>
        <w:t>.</w:t>
      </w:r>
      <w:r>
        <w:tab/>
        <w:t>Powers and duties of secretary of strata company</w:t>
      </w:r>
      <w:bookmarkEnd w:id="766"/>
      <w:bookmarkEnd w:id="767"/>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pPr>
      <w:r>
        <w:tab/>
        <w:t>(c)</w:t>
      </w:r>
      <w:r>
        <w:tab/>
        <w:t xml:space="preserve">the supply of information on behalf of the strata company in accordance with the </w:t>
      </w:r>
      <w:r>
        <w:rPr>
          <w:i/>
        </w:rPr>
        <w:t>Strata Titles Act 1985</w:t>
      </w:r>
      <w:r>
        <w:t xml:space="preserve"> sections 108 and 109;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pPr>
      <w:r>
        <w:tab/>
        <w:t>(f)</w:t>
      </w:r>
      <w:r>
        <w:tab/>
        <w:t xml:space="preserve">subject to the </w:t>
      </w:r>
      <w:r>
        <w:rPr>
          <w:i/>
        </w:rPr>
        <w:t>Strata Titles Act 1985</w:t>
      </w:r>
      <w:r>
        <w:t xml:space="preserve"> sections 127, 128, 129, 200(2)(f) and (g) the convening of meetings of the strata company and of the council.</w:t>
      </w:r>
    </w:p>
    <w:p>
      <w:pPr>
        <w:pStyle w:val="yFootnotesection"/>
      </w:pPr>
      <w:r>
        <w:tab/>
        <w:t>[By</w:t>
      </w:r>
      <w:r>
        <w:noBreakHyphen/>
        <w:t>law 9</w:t>
      </w:r>
      <w:r>
        <w:rPr>
          <w:iCs/>
        </w:rPr>
        <w:t xml:space="preserve"> </w:t>
      </w:r>
      <w:r>
        <w:t>amended: No. 30 of 2018 s. 95.]</w:t>
      </w:r>
    </w:p>
    <w:p>
      <w:pPr>
        <w:pStyle w:val="yHeading5"/>
      </w:pPr>
      <w:bookmarkStart w:id="768" w:name="_Toc106986887"/>
      <w:bookmarkStart w:id="769" w:name="_Toc100565185"/>
      <w:r>
        <w:rPr>
          <w:rStyle w:val="CharSClsNo"/>
        </w:rPr>
        <w:t>10</w:t>
      </w:r>
      <w:r>
        <w:t>.</w:t>
      </w:r>
      <w:r>
        <w:tab/>
        <w:t>Powers and duties of treasurer of strata company</w:t>
      </w:r>
      <w:bookmarkEnd w:id="768"/>
      <w:bookmarkEnd w:id="769"/>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 xml:space="preserve">the notifying of </w:t>
      </w:r>
      <w:r>
        <w:t>owners of lots</w:t>
      </w:r>
      <w:r>
        <w:rPr>
          <w:snapToGrid w:val="0"/>
        </w:rPr>
        <w:t xml:space="preserve"> of any contributions levied </w:t>
      </w:r>
      <w:r>
        <w:rPr>
          <w:szCs w:val="22"/>
        </w:rPr>
        <w:t xml:space="preserve">under the </w:t>
      </w:r>
      <w:r>
        <w:rPr>
          <w:i/>
          <w:szCs w:val="22"/>
        </w:rPr>
        <w:t>Strata Titles Act 1985</w:t>
      </w:r>
      <w:r>
        <w:rPr>
          <w:szCs w:val="22"/>
        </w:rPr>
        <w: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 xml:space="preserve">the preparation of any certificate applied for under </w:t>
      </w:r>
      <w:r>
        <w:rPr>
          <w:snapToGrid w:val="0"/>
          <w:szCs w:val="22"/>
        </w:rPr>
        <w:t xml:space="preserve">the </w:t>
      </w:r>
      <w:r>
        <w:rPr>
          <w:i/>
          <w:snapToGrid w:val="0"/>
          <w:szCs w:val="22"/>
        </w:rPr>
        <w:t>Strata Titles Act 1985</w:t>
      </w:r>
      <w:r>
        <w:rPr>
          <w:snapToGrid w:val="0"/>
          <w:szCs w:val="22"/>
        </w:rPr>
        <w:t xml:space="preserve"> section 110; and</w:t>
      </w:r>
    </w:p>
    <w:p>
      <w:pPr>
        <w:pStyle w:val="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yFootnotesection"/>
      </w:pPr>
      <w:r>
        <w:tab/>
        <w:t>[By</w:t>
      </w:r>
      <w:r>
        <w:noBreakHyphen/>
        <w:t>law 10</w:t>
      </w:r>
      <w:r>
        <w:rPr>
          <w:iCs/>
        </w:rPr>
        <w:t xml:space="preserve"> </w:t>
      </w:r>
      <w:r>
        <w:t>amended: No. 30 of 2018 s. 96.]</w:t>
      </w:r>
    </w:p>
    <w:p>
      <w:pPr>
        <w:pStyle w:val="yEdnotesection"/>
      </w:pPr>
      <w:r>
        <w:t>[</w:t>
      </w:r>
      <w:r>
        <w:rPr>
          <w:b/>
        </w:rPr>
        <w:t>11-15.</w:t>
      </w:r>
      <w:r>
        <w:tab/>
        <w:t>Deleted: No. 30 of 2018 s. 97.]</w:t>
      </w:r>
    </w:p>
    <w:p>
      <w:pPr>
        <w:pStyle w:val="yEdnotesection"/>
      </w:pPr>
      <w:r>
        <w:t>[</w:t>
      </w:r>
      <w:r>
        <w:rPr>
          <w:b/>
        </w:rPr>
        <w:t>16.</w:t>
      </w:r>
      <w:r>
        <w:tab/>
        <w:t>Deleted: No. 58 of 1995 s. 87(6).]</w:t>
      </w:r>
    </w:p>
    <w:p>
      <w:pPr>
        <w:pStyle w:val="yEdnotedivision"/>
      </w:pPr>
      <w:r>
        <w:t>[Part II deleted: No. 58 of 1995 s. 87(7).]</w:t>
      </w:r>
    </w:p>
    <w:p>
      <w:pPr>
        <w:pStyle w:val="yScheduleHeading"/>
      </w:pPr>
      <w:bookmarkStart w:id="770" w:name="_Toc106986452"/>
      <w:bookmarkStart w:id="771" w:name="_Toc106986888"/>
      <w:bookmarkStart w:id="772" w:name="_Toc100308466"/>
      <w:bookmarkStart w:id="773" w:name="_Toc100308902"/>
      <w:bookmarkStart w:id="774" w:name="_Toc100565186"/>
      <w:r>
        <w:rPr>
          <w:rStyle w:val="CharSchNo"/>
        </w:rPr>
        <w:t>Schedule 2</w:t>
      </w:r>
      <w:r>
        <w:t> — </w:t>
      </w:r>
      <w:r>
        <w:rPr>
          <w:rStyle w:val="CharSchText"/>
        </w:rPr>
        <w:t>Conduct by</w:t>
      </w:r>
      <w:r>
        <w:rPr>
          <w:rStyle w:val="CharSchText"/>
        </w:rPr>
        <w:noBreakHyphen/>
        <w:t>laws</w:t>
      </w:r>
      <w:bookmarkEnd w:id="770"/>
      <w:bookmarkEnd w:id="771"/>
      <w:bookmarkEnd w:id="772"/>
      <w:bookmarkEnd w:id="773"/>
      <w:bookmarkEnd w:id="774"/>
    </w:p>
    <w:p>
      <w:pPr>
        <w:pStyle w:val="yFootnoteheading"/>
      </w:pPr>
      <w:r>
        <w:tab/>
        <w:t>[Heading inserted: No. 30 of 2018 s. 98.]</w:t>
      </w:r>
    </w:p>
    <w:p>
      <w:pPr>
        <w:pStyle w:val="yHeading5"/>
      </w:pPr>
      <w:bookmarkStart w:id="775" w:name="_Toc106986889"/>
      <w:bookmarkStart w:id="776" w:name="_Toc100565187"/>
      <w:r>
        <w:rPr>
          <w:rStyle w:val="CharSClsNo"/>
        </w:rPr>
        <w:t>1</w:t>
      </w:r>
      <w:r>
        <w:t>.</w:t>
      </w:r>
      <w:r>
        <w:tab/>
        <w:t>Vehicles and parking</w:t>
      </w:r>
      <w:bookmarkEnd w:id="775"/>
      <w:bookmarkEnd w:id="776"/>
    </w:p>
    <w:p>
      <w:pPr>
        <w:pStyle w:val="ySubsection"/>
      </w:pPr>
      <w:r>
        <w:tab/>
        <w:t>(1)</w:t>
      </w:r>
      <w:r>
        <w:tab/>
        <w:t>An owner or occupier of a lot must take all reasonable steps to ensure that the owner’s or occupier’s visitors comply with the scheme by</w:t>
      </w:r>
      <w:r>
        <w:noBreakHyphen/>
        <w:t>laws relating to the parking of motor vehicles.</w:t>
      </w:r>
    </w:p>
    <w:p>
      <w:pPr>
        <w:pStyle w:val="ySubsection"/>
      </w:pPr>
      <w:r>
        <w:tab/>
        <w:t>(2)</w:t>
      </w:r>
      <w:r>
        <w:tab/>
        <w:t>An owner or occupier of a lot must not park or stand any motor or other vehicle on common property except with the written approval of the strata company.</w:t>
      </w:r>
    </w:p>
    <w:p>
      <w:pPr>
        <w:pStyle w:val="yFootnotesection"/>
      </w:pPr>
      <w:r>
        <w:tab/>
        <w:t>[By-law 1 inserted: No. 30 of 2018 s. 99.]</w:t>
      </w:r>
    </w:p>
    <w:p>
      <w:pPr>
        <w:pStyle w:val="yHeading5"/>
      </w:pPr>
      <w:bookmarkStart w:id="777" w:name="_Toc106986890"/>
      <w:bookmarkStart w:id="778" w:name="_Toc100565188"/>
      <w:r>
        <w:rPr>
          <w:rStyle w:val="CharSClsNo"/>
        </w:rPr>
        <w:t>2</w:t>
      </w:r>
      <w:r>
        <w:t>.</w:t>
      </w:r>
      <w:r>
        <w:tab/>
        <w:t>Use of common property</w:t>
      </w:r>
      <w:bookmarkEnd w:id="777"/>
      <w:bookmarkEnd w:id="778"/>
    </w:p>
    <w:p>
      <w:pPr>
        <w:pStyle w:val="ySubsection"/>
      </w:pPr>
      <w:r>
        <w:tab/>
      </w:r>
      <w:r>
        <w:tab/>
        <w:t>An owner or occupier of a lot must —</w:t>
      </w:r>
    </w:p>
    <w:p>
      <w:pPr>
        <w:pStyle w:val="yIndenta"/>
      </w:pPr>
      <w:r>
        <w:tab/>
        <w:t>(a)</w:t>
      </w:r>
      <w:r>
        <w:tab/>
        <w:t>use and enjoy the common property in such a manner as not unreasonably to interfere with the use and enjoyment of the common property by other owners or occupiers of lots or of their visitors; and</w:t>
      </w:r>
    </w:p>
    <w:p>
      <w:pPr>
        <w:pStyle w:val="yIndenta"/>
      </w:pPr>
      <w:r>
        <w:tab/>
        <w:t>(b)</w:t>
      </w:r>
      <w:r>
        <w:tab/>
        <w:t>not use the lot or permit it to be used in such manner or for such purpose as causes a nuisance to an occupier of another lot (whether an owner or not) or the family of such an occupier; and</w:t>
      </w:r>
    </w:p>
    <w:p>
      <w:pPr>
        <w:pStyle w:val="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yIndenta"/>
      </w:pPr>
      <w:r>
        <w:tab/>
        <w:t>(d)</w:t>
      </w:r>
      <w:r>
        <w:tab/>
        <w:t>not obstruct lawful use of common property by any person.</w:t>
      </w:r>
    </w:p>
    <w:p>
      <w:pPr>
        <w:pStyle w:val="yFootnotesection"/>
      </w:pPr>
      <w:r>
        <w:tab/>
        <w:t>[By-law 2 inserted: No. 30 of 2018 s. 100.]</w:t>
      </w:r>
    </w:p>
    <w:p>
      <w:pPr>
        <w:pStyle w:val="yHeading5"/>
      </w:pPr>
      <w:bookmarkStart w:id="779" w:name="_Toc106986891"/>
      <w:bookmarkStart w:id="780" w:name="_Toc100565189"/>
      <w:r>
        <w:rPr>
          <w:rStyle w:val="CharSClsNo"/>
        </w:rPr>
        <w:t>3</w:t>
      </w:r>
      <w:r>
        <w:t>.</w:t>
      </w:r>
      <w:r>
        <w:tab/>
        <w:t>Damage to lawns etc. on common property</w:t>
      </w:r>
      <w:bookmarkEnd w:id="779"/>
      <w:bookmarkEnd w:id="780"/>
    </w:p>
    <w:p>
      <w:pPr>
        <w:pStyle w:val="ySubsection"/>
        <w:keepNext/>
        <w:rPr>
          <w:snapToGrid w:val="0"/>
        </w:rPr>
      </w:pPr>
      <w:r>
        <w:rPr>
          <w:snapToGrid w:val="0"/>
        </w:rPr>
        <w:tab/>
      </w:r>
      <w:r>
        <w:rPr>
          <w:snapToGrid w:val="0"/>
        </w:rPr>
        <w:tab/>
        <w:t xml:space="preserve">Except with the approval of the strata company, </w:t>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damage any lawn, garden, tree, shrub, plant or flower </w:t>
      </w:r>
      <w:r>
        <w:rPr>
          <w:snapToGrid w:val="0"/>
          <w:szCs w:val="22"/>
        </w:rPr>
        <w:t>on</w:t>
      </w:r>
      <w:r>
        <w:rPr>
          <w:snapToGrid w:val="0"/>
        </w:rPr>
        <w:t xml:space="preserve"> common property; or</w:t>
      </w:r>
    </w:p>
    <w:p>
      <w:pPr>
        <w:pStyle w:val="yIndenta"/>
        <w:rPr>
          <w:snapToGrid w:val="0"/>
        </w:rPr>
      </w:pPr>
      <w:r>
        <w:rPr>
          <w:snapToGrid w:val="0"/>
        </w:rPr>
        <w:tab/>
        <w:t>(b)</w:t>
      </w:r>
      <w:r>
        <w:rPr>
          <w:snapToGrid w:val="0"/>
        </w:rPr>
        <w:tab/>
        <w:t xml:space="preserve">use any portion of the common property for </w:t>
      </w:r>
      <w:r>
        <w:t xml:space="preserve">the owner’s or occupier’s </w:t>
      </w:r>
      <w:r>
        <w:rPr>
          <w:snapToGrid w:val="0"/>
        </w:rPr>
        <w:t>own purposes as a garden.</w:t>
      </w:r>
    </w:p>
    <w:p>
      <w:pPr>
        <w:pStyle w:val="yFootnotesection"/>
      </w:pPr>
      <w:r>
        <w:tab/>
        <w:t>[By-law 3 amended: No. 30 of 2018 s. 101.]</w:t>
      </w:r>
    </w:p>
    <w:p>
      <w:pPr>
        <w:pStyle w:val="yHeading5"/>
      </w:pPr>
      <w:bookmarkStart w:id="781" w:name="_Toc106986892"/>
      <w:bookmarkStart w:id="782" w:name="_Toc100565190"/>
      <w:r>
        <w:rPr>
          <w:rStyle w:val="CharSClsNo"/>
        </w:rPr>
        <w:t>4</w:t>
      </w:r>
      <w:r>
        <w:t>.</w:t>
      </w:r>
      <w:r>
        <w:tab/>
        <w:t>Behaviour of owners and occupiers</w:t>
      </w:r>
      <w:bookmarkEnd w:id="781"/>
      <w:bookmarkEnd w:id="782"/>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be adequately clothed when </w:t>
      </w:r>
      <w:r>
        <w:t>on</w:t>
      </w:r>
      <w:r>
        <w:rPr>
          <w:snapToGrid w:val="0"/>
        </w:rPr>
        <w:t xml:space="preserve"> common property and </w:t>
      </w:r>
      <w:r>
        <w:t>must</w:t>
      </w:r>
      <w:r>
        <w:rPr>
          <w:snapToGrid w:val="0"/>
        </w:rPr>
        <w:t xml:space="preserve"> not use language or behave in a manner likely to cause offence or embarrassment to </w:t>
      </w:r>
      <w:r>
        <w:t>an owner or occupier</w:t>
      </w:r>
      <w:r>
        <w:rPr>
          <w:snapToGrid w:val="0"/>
        </w:rPr>
        <w:t xml:space="preserve"> of another lot or to any person lawfully using common property.</w:t>
      </w:r>
    </w:p>
    <w:p>
      <w:pPr>
        <w:pStyle w:val="yFootnotesection"/>
      </w:pPr>
      <w:r>
        <w:tab/>
        <w:t>[By-law 4 amended: No. 30 of 2018 s. 102.]</w:t>
      </w:r>
    </w:p>
    <w:p>
      <w:pPr>
        <w:pStyle w:val="yEdnotesection"/>
      </w:pPr>
      <w:r>
        <w:t>[</w:t>
      </w:r>
      <w:r>
        <w:rPr>
          <w:b/>
        </w:rPr>
        <w:t>5.</w:t>
      </w:r>
      <w:r>
        <w:tab/>
        <w:t>Deleted: No. 30 of 2018 s. 103.]</w:t>
      </w:r>
    </w:p>
    <w:p>
      <w:pPr>
        <w:pStyle w:val="yHeading5"/>
      </w:pPr>
      <w:bookmarkStart w:id="783" w:name="_Toc106986893"/>
      <w:bookmarkStart w:id="784" w:name="_Toc100565191"/>
      <w:r>
        <w:rPr>
          <w:rStyle w:val="CharSClsNo"/>
        </w:rPr>
        <w:t>6</w:t>
      </w:r>
      <w:r>
        <w:t>.</w:t>
      </w:r>
      <w:r>
        <w:tab/>
        <w:t>Depositing rubbish etc. on common property</w:t>
      </w:r>
      <w:bookmarkEnd w:id="783"/>
      <w:bookmarkEnd w:id="784"/>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deposit or throw </w:t>
      </w:r>
      <w:r>
        <w:t>on</w:t>
      </w:r>
      <w:r>
        <w:rPr>
          <w:snapToGrid w:val="0"/>
        </w:rPr>
        <w:t xml:space="preserve"> that lot or any other lot or the common property any rubbish, dirt, dust or other material likely to interfere with the peaceful enjoyment of </w:t>
      </w:r>
      <w:r>
        <w:t>an owner or occupier of another lot</w:t>
      </w:r>
      <w:r>
        <w:rPr>
          <w:snapToGrid w:val="0"/>
        </w:rPr>
        <w:t xml:space="preserve"> or of any person lawfully using the common property.</w:t>
      </w:r>
    </w:p>
    <w:p>
      <w:pPr>
        <w:pStyle w:val="yFootnotesection"/>
      </w:pPr>
      <w:r>
        <w:tab/>
        <w:t>[By-law 6 amended: No. 58 of 1995 s. 88(2); No. 30 of 2018 s. 104.]</w:t>
      </w:r>
    </w:p>
    <w:p>
      <w:pPr>
        <w:pStyle w:val="yHeading5"/>
      </w:pPr>
      <w:bookmarkStart w:id="785" w:name="_Toc106986894"/>
      <w:bookmarkStart w:id="786" w:name="_Toc100565192"/>
      <w:r>
        <w:rPr>
          <w:rStyle w:val="CharSClsNo"/>
        </w:rPr>
        <w:t>7</w:t>
      </w:r>
      <w:r>
        <w:t>.</w:t>
      </w:r>
      <w:r>
        <w:tab/>
        <w:t>Drying of laundry items and signage</w:t>
      </w:r>
      <w:bookmarkEnd w:id="785"/>
      <w:bookmarkEnd w:id="786"/>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 xml:space="preserve">display any sign, advertisement, placard, banner, pamphlet or like matter on any part of </w:t>
      </w:r>
      <w:r>
        <w:t>their</w:t>
      </w:r>
      <w:r>
        <w:rPr>
          <w:snapToGrid w:val="0"/>
        </w:rPr>
        <w:t xml:space="preserve"> lot in such a way as to be visible from outside the building.</w:t>
      </w:r>
    </w:p>
    <w:p>
      <w:pPr>
        <w:pStyle w:val="yFootnotesection"/>
      </w:pPr>
      <w:r>
        <w:tab/>
        <w:t>[By-law 7 amended: No. 30 of 2018 s. 105.]</w:t>
      </w:r>
    </w:p>
    <w:p>
      <w:pPr>
        <w:pStyle w:val="yFootnotesection"/>
      </w:pPr>
      <w:r>
        <w:tab/>
        <w:t>[Former by-law 8 repealed: No. 58 of 1995 s. 88(3).]</w:t>
      </w:r>
    </w:p>
    <w:p>
      <w:pPr>
        <w:pStyle w:val="yHeading5"/>
      </w:pPr>
      <w:bookmarkStart w:id="787" w:name="_Toc106986895"/>
      <w:bookmarkStart w:id="788" w:name="_Toc100565193"/>
      <w:r>
        <w:rPr>
          <w:rStyle w:val="CharSClsNo"/>
        </w:rPr>
        <w:t>8</w:t>
      </w:r>
      <w:r>
        <w:t>.</w:t>
      </w:r>
      <w:r>
        <w:tab/>
        <w:t>Storage of inflammable liquids etc.</w:t>
      </w:r>
      <w:bookmarkEnd w:id="787"/>
      <w:bookmarkEnd w:id="788"/>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except with the </w:t>
      </w:r>
      <w:r>
        <w:t xml:space="preserve">written </w:t>
      </w:r>
      <w:r>
        <w:rPr>
          <w:snapToGrid w:val="0"/>
          <w:szCs w:val="22"/>
        </w:rPr>
        <w:t>approval</w:t>
      </w:r>
      <w:r>
        <w:rPr>
          <w:snapToGrid w:val="0"/>
        </w:rPr>
        <w:t xml:space="preserve"> of the strata company, use or store </w:t>
      </w:r>
      <w:r>
        <w:t>on</w:t>
      </w:r>
      <w:r>
        <w:rPr>
          <w:snapToGrid w:val="0"/>
        </w:rPr>
        <w:t xml:space="preserve"> the lot or </w:t>
      </w:r>
      <w:r>
        <w:t>on</w:t>
      </w:r>
      <w:r>
        <w:rPr>
          <w:snapToGrid w:val="0"/>
        </w:rPr>
        <w:t xml:space="preserve">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 amended: No. 30 of 2018 s. 106.]</w:t>
      </w:r>
    </w:p>
    <w:p>
      <w:pPr>
        <w:pStyle w:val="yHeading5"/>
      </w:pPr>
      <w:bookmarkStart w:id="789" w:name="_Toc106986896"/>
      <w:bookmarkStart w:id="790" w:name="_Toc100565194"/>
      <w:r>
        <w:rPr>
          <w:rStyle w:val="CharSClsNo"/>
        </w:rPr>
        <w:t>9</w:t>
      </w:r>
      <w:r>
        <w:t>.</w:t>
      </w:r>
      <w:r>
        <w:tab/>
        <w:t>Moving furniture etc. on or through common property</w:t>
      </w:r>
      <w:bookmarkEnd w:id="789"/>
      <w:bookmarkEnd w:id="790"/>
    </w:p>
    <w:p>
      <w:pPr>
        <w:pStyle w:val="ySubsection"/>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transport any furniture or large object through or </w:t>
      </w:r>
      <w:r>
        <w:t>on</w:t>
      </w:r>
      <w:r>
        <w:rPr>
          <w:snapToGrid w:val="0"/>
        </w:rPr>
        <w:t xml:space="preserve"> common property within the building unless </w:t>
      </w:r>
      <w:r>
        <w:rPr>
          <w:szCs w:val="22"/>
        </w:rPr>
        <w:t>that person</w:t>
      </w:r>
      <w:r>
        <w:rPr>
          <w:snapToGrid w:val="0"/>
        </w:rPr>
        <w:t xml:space="preserve"> has first given to the council sufficient notice of </w:t>
      </w:r>
      <w:r>
        <w:t>their</w:t>
      </w:r>
      <w:r>
        <w:rPr>
          <w:snapToGrid w:val="0"/>
        </w:rPr>
        <w:t xml:space="preserve"> intention to do so to enable the council to arrange for its nominee to be present at the time when </w:t>
      </w:r>
      <w:r>
        <w:rPr>
          <w:szCs w:val="22"/>
        </w:rPr>
        <w:t>that person</w:t>
      </w:r>
      <w:r>
        <w:rPr>
          <w:snapToGrid w:val="0"/>
        </w:rPr>
        <w:t xml:space="preserve"> does so.</w:t>
      </w:r>
    </w:p>
    <w:p>
      <w:pPr>
        <w:pStyle w:val="yFootnotesection"/>
      </w:pPr>
      <w:r>
        <w:tab/>
        <w:t>[By-law 9, formerly by-law 10, renumbered as by-law 9: No. 58 of 1995 s. 88(4); amended: No. 30 of 2018 s. 107.]</w:t>
      </w:r>
    </w:p>
    <w:p>
      <w:pPr>
        <w:pStyle w:val="yHeading5"/>
      </w:pPr>
      <w:bookmarkStart w:id="791" w:name="_Toc106986897"/>
      <w:bookmarkStart w:id="792" w:name="_Toc100565195"/>
      <w:r>
        <w:rPr>
          <w:rStyle w:val="CharSClsNo"/>
        </w:rPr>
        <w:t>10</w:t>
      </w:r>
      <w:r>
        <w:t>.</w:t>
      </w:r>
      <w:r>
        <w:tab/>
        <w:t>Floor coverings</w:t>
      </w:r>
      <w:bookmarkEnd w:id="791"/>
      <w:bookmarkEnd w:id="792"/>
    </w:p>
    <w:p>
      <w:pPr>
        <w:pStyle w:val="ySubsection"/>
        <w:keepNext/>
        <w:keepLines/>
        <w:rPr>
          <w:snapToGrid w:val="0"/>
        </w:rPr>
      </w:pPr>
      <w:r>
        <w:rPr>
          <w:snapToGrid w:val="0"/>
        </w:rPr>
        <w:tab/>
      </w:r>
      <w:r>
        <w:rPr>
          <w:snapToGrid w:val="0"/>
        </w:rPr>
        <w:tab/>
      </w:r>
      <w:r>
        <w:t xml:space="preserve">An owner </w:t>
      </w:r>
      <w:r>
        <w:rPr>
          <w:snapToGrid w:val="0"/>
          <w:szCs w:val="22"/>
        </w:rPr>
        <w:t>of a lot must</w:t>
      </w:r>
      <w:r>
        <w:rPr>
          <w:snapToGrid w:val="0"/>
        </w:rPr>
        <w:t xml:space="preserve"> ensure that all floor space within the lot (other than that comprising kitchen, laundry, lavatory or bathroom) is covered or otherwise treated to an extent sufficient to prevent the transmission therefrom of noise likely to disturb the peaceful enjoyment of </w:t>
      </w:r>
      <w:r>
        <w:t>an owner or occupier</w:t>
      </w:r>
      <w:r>
        <w:rPr>
          <w:snapToGrid w:val="0"/>
        </w:rPr>
        <w:t xml:space="preserve"> of another lot.</w:t>
      </w:r>
    </w:p>
    <w:p>
      <w:pPr>
        <w:pStyle w:val="yFootnotesection"/>
      </w:pPr>
      <w:r>
        <w:tab/>
        <w:t>[By-law 10, formerly by-law 11, renumbered as by-law 10: No. 58 of 1995 s. 88(4); amended: No. 30 of 2018 s. 108.]</w:t>
      </w:r>
    </w:p>
    <w:p>
      <w:pPr>
        <w:pStyle w:val="yHeading5"/>
      </w:pPr>
      <w:bookmarkStart w:id="793" w:name="_Toc106986898"/>
      <w:bookmarkStart w:id="794" w:name="_Toc100565196"/>
      <w:r>
        <w:rPr>
          <w:rStyle w:val="CharSClsNo"/>
        </w:rPr>
        <w:t>11</w:t>
      </w:r>
      <w:r>
        <w:t>.</w:t>
      </w:r>
      <w:r>
        <w:tab/>
        <w:t>Garbage disposal</w:t>
      </w:r>
      <w:bookmarkEnd w:id="793"/>
      <w:bookmarkEnd w:id="794"/>
    </w:p>
    <w:p>
      <w:pPr>
        <w:pStyle w:val="ySubsection"/>
        <w:keepNext/>
        <w:rPr>
          <w:snapToGrid w:val="0"/>
        </w:rPr>
      </w:pPr>
      <w:r>
        <w:rPr>
          <w:snapToGrid w:val="0"/>
        </w:rPr>
        <w:tab/>
      </w:r>
      <w:r>
        <w:rPr>
          <w:snapToGrid w:val="0"/>
        </w:rPr>
        <w:tab/>
      </w:r>
      <w:r>
        <w:t xml:space="preserve">An owner </w:t>
      </w:r>
      <w:r>
        <w:rPr>
          <w:snapToGrid w:val="0"/>
        </w:rPr>
        <w:t xml:space="preserve">or occupier of a lot </w:t>
      </w:r>
      <w:r>
        <w:t>must</w:t>
      </w:r>
      <w:r>
        <w:rPr>
          <w:snapToGrid w:val="0"/>
        </w:rPr>
        <w:t> —</w:t>
      </w:r>
    </w:p>
    <w:p>
      <w:pPr>
        <w:pStyle w:val="yIndenta"/>
        <w:rPr>
          <w:snapToGrid w:val="0"/>
        </w:rPr>
      </w:pPr>
      <w:r>
        <w:rPr>
          <w:snapToGrid w:val="0"/>
        </w:rPr>
        <w:tab/>
        <w:t>(a)</w:t>
      </w:r>
      <w:r>
        <w:rPr>
          <w:snapToGrid w:val="0"/>
        </w:rPr>
        <w:tab/>
      </w:r>
      <w:r>
        <w:rPr>
          <w:snapToGrid w:val="0"/>
          <w:szCs w:val="22"/>
        </w:rPr>
        <w:t xml:space="preserve">maintain within </w:t>
      </w:r>
      <w:r>
        <w:rPr>
          <w:szCs w:val="22"/>
        </w:rPr>
        <w:t xml:space="preserve">their </w:t>
      </w:r>
      <w:r>
        <w:rPr>
          <w:snapToGrid w:val="0"/>
        </w:rPr>
        <w:t>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 xml:space="preserve">ensure that the health, hygiene and comfort of </w:t>
      </w:r>
      <w:r>
        <w:t>an owner or occupier</w:t>
      </w:r>
      <w:r>
        <w:rPr>
          <w:snapToGrid w:val="0"/>
        </w:rPr>
        <w:t xml:space="preserve"> of any other lot is not adversely affected by </w:t>
      </w:r>
      <w:r>
        <w:t>their</w:t>
      </w:r>
      <w:r>
        <w:rPr>
          <w:snapToGrid w:val="0"/>
        </w:rPr>
        <w:t xml:space="preserve"> disposal of garbage.</w:t>
      </w:r>
    </w:p>
    <w:p>
      <w:pPr>
        <w:pStyle w:val="yFootnotesection"/>
      </w:pPr>
      <w:r>
        <w:tab/>
        <w:t>[By-law 11, formerly by-law 12, renumbered as by-law 11: No. 58 of 1995 s. 88(4); amended: No. 57 of 1997 s. 115(5); No. 30 of 2018 s. 109.]</w:t>
      </w:r>
    </w:p>
    <w:p>
      <w:pPr>
        <w:pStyle w:val="yHeading5"/>
      </w:pPr>
      <w:bookmarkStart w:id="795" w:name="_Toc106986899"/>
      <w:bookmarkStart w:id="796" w:name="_Toc100565197"/>
      <w:r>
        <w:rPr>
          <w:rStyle w:val="CharSClsNo"/>
        </w:rPr>
        <w:t>12</w:t>
      </w:r>
      <w:r>
        <w:t>.</w:t>
      </w:r>
      <w:r>
        <w:tab/>
        <w:t>Additional duties of owners and occupiers</w:t>
      </w:r>
      <w:bookmarkEnd w:id="795"/>
      <w:bookmarkEnd w:id="796"/>
    </w:p>
    <w:p>
      <w:pPr>
        <w:pStyle w:val="ySubsection"/>
        <w:keepNext/>
        <w:rPr>
          <w:snapToGrid w:val="0"/>
        </w:rPr>
      </w:pPr>
      <w:r>
        <w:rPr>
          <w:snapToGrid w:val="0"/>
        </w:rPr>
        <w:tab/>
      </w:r>
      <w:r>
        <w:rPr>
          <w:snapToGrid w:val="0"/>
        </w:rPr>
        <w:tab/>
      </w:r>
      <w:r>
        <w:t>An owner or occupier</w:t>
      </w:r>
      <w:r>
        <w:rPr>
          <w:snapToGrid w:val="0"/>
          <w:szCs w:val="22"/>
        </w:rPr>
        <w:t xml:space="preserve"> of a lot must</w:t>
      </w:r>
      <w:r>
        <w:rPr>
          <w:snapToGrid w:val="0"/>
        </w:rPr>
        <w:t xml:space="preserve"> not —</w:t>
      </w:r>
    </w:p>
    <w:p>
      <w:pPr>
        <w:pStyle w:val="yIndenta"/>
        <w:rPr>
          <w:snapToGrid w:val="0"/>
        </w:rPr>
      </w:pPr>
      <w:r>
        <w:rPr>
          <w:snapToGrid w:val="0"/>
        </w:rPr>
        <w:tab/>
        <w:t>(a)</w:t>
      </w:r>
      <w:r>
        <w:rPr>
          <w:snapToGrid w:val="0"/>
        </w:rPr>
        <w:tab/>
        <w:t xml:space="preserve">use the lot </w:t>
      </w:r>
      <w:r>
        <w:rPr>
          <w:szCs w:val="22"/>
        </w:rPr>
        <w:t>f</w:t>
      </w:r>
      <w:r>
        <w:t>or a</w:t>
      </w:r>
      <w:r>
        <w:rPr>
          <w:snapToGrid w:val="0"/>
        </w:rPr>
        <w:t xml:space="preserve"> purpose that may be illegal or injurious to the reputation of the building; or</w:t>
      </w:r>
    </w:p>
    <w:p>
      <w:pPr>
        <w:pStyle w:val="yIndenta"/>
        <w:rPr>
          <w:snapToGrid w:val="0"/>
        </w:rPr>
      </w:pPr>
      <w:r>
        <w:rPr>
          <w:snapToGrid w:val="0"/>
        </w:rPr>
        <w:tab/>
        <w:t>(b)</w:t>
      </w:r>
      <w:r>
        <w:rPr>
          <w:snapToGrid w:val="0"/>
        </w:rPr>
        <w:tab/>
        <w:t xml:space="preserve">make undue noise in or about </w:t>
      </w:r>
      <w:r>
        <w:t>the</w:t>
      </w:r>
      <w:r>
        <w:rPr>
          <w:snapToGrid w:val="0"/>
        </w:rPr>
        <w:t xml:space="preserve"> lot or common property; or</w:t>
      </w:r>
    </w:p>
    <w:p>
      <w:pPr>
        <w:pStyle w:val="yIndenta"/>
        <w:rPr>
          <w:snapToGrid w:val="0"/>
        </w:rPr>
      </w:pPr>
      <w:r>
        <w:rPr>
          <w:snapToGrid w:val="0"/>
        </w:rPr>
        <w:tab/>
        <w:t>(c)</w:t>
      </w:r>
      <w:r>
        <w:rPr>
          <w:snapToGrid w:val="0"/>
        </w:rPr>
        <w:tab/>
      </w:r>
      <w:r>
        <w:rPr>
          <w:szCs w:val="22"/>
        </w:rPr>
        <w:t>keep</w:t>
      </w:r>
      <w:r>
        <w:rPr>
          <w:snapToGrid w:val="0"/>
        </w:rPr>
        <w:t xml:space="preserve"> animals on the lot or the common property after notice in that behalf given to </w:t>
      </w:r>
      <w:r>
        <w:t>that person</w:t>
      </w:r>
      <w:r>
        <w:rPr>
          <w:snapToGrid w:val="0"/>
        </w:rPr>
        <w:t xml:space="preserve"> by the council.</w:t>
      </w:r>
    </w:p>
    <w:p>
      <w:pPr>
        <w:pStyle w:val="yFootnotesection"/>
      </w:pPr>
      <w:r>
        <w:tab/>
        <w:t>[By</w:t>
      </w:r>
      <w:r>
        <w:noBreakHyphen/>
        <w:t>law 12 inserted: No. 58 of 1995 s. 88(5); amended: No. 74 of 2003 s. 112(22); No. 30 of 2018 s. 110.]</w:t>
      </w:r>
    </w:p>
    <w:p>
      <w:pPr>
        <w:pStyle w:val="yHeading5"/>
      </w:pPr>
      <w:bookmarkStart w:id="797" w:name="_Toc106986900"/>
      <w:bookmarkStart w:id="798" w:name="_Toc100565198"/>
      <w:r>
        <w:rPr>
          <w:rStyle w:val="CharSClsNo"/>
        </w:rPr>
        <w:t>13</w:t>
      </w:r>
      <w:r>
        <w:t>.</w:t>
      </w:r>
      <w:r>
        <w:tab/>
        <w:t>Notice of alteration to lot</w:t>
      </w:r>
      <w:bookmarkEnd w:id="797"/>
      <w:bookmarkEnd w:id="798"/>
    </w:p>
    <w:p>
      <w:pPr>
        <w:pStyle w:val="ySubsection"/>
        <w:rPr>
          <w:snapToGrid w:val="0"/>
        </w:rPr>
      </w:pPr>
      <w:r>
        <w:rPr>
          <w:snapToGrid w:val="0"/>
        </w:rPr>
        <w:tab/>
      </w:r>
      <w:r>
        <w:rPr>
          <w:snapToGrid w:val="0"/>
        </w:rPr>
        <w:tab/>
      </w:r>
      <w:r>
        <w:t xml:space="preserve">An owner of a lot must not alter or permit the alteration of </w:t>
      </w:r>
      <w:r>
        <w:rPr>
          <w:snapToGrid w:val="0"/>
        </w:rPr>
        <w:t>the structure of the lot except as may be permitted and provided for under the Act and the by</w:t>
      </w:r>
      <w:r>
        <w:rPr>
          <w:snapToGrid w:val="0"/>
        </w:rPr>
        <w:noBreakHyphen/>
        <w:t xml:space="preserve">laws and in any event </w:t>
      </w:r>
      <w:r>
        <w:rPr>
          <w:szCs w:val="22"/>
        </w:rPr>
        <w:t>must</w:t>
      </w:r>
      <w:r>
        <w:rPr>
          <w:snapToGrid w:val="0"/>
        </w:rPr>
        <w:t xml:space="preserve">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 amended: No. 30 of 2018 s. 111.]</w:t>
      </w:r>
    </w:p>
    <w:p>
      <w:pPr>
        <w:pStyle w:val="yHeading5"/>
      </w:pPr>
      <w:bookmarkStart w:id="799" w:name="_Toc106986901"/>
      <w:bookmarkStart w:id="800" w:name="_Toc100565199"/>
      <w:r>
        <w:rPr>
          <w:rStyle w:val="CharSClsNo"/>
        </w:rPr>
        <w:t>14</w:t>
      </w:r>
      <w:r>
        <w:t>.</w:t>
      </w:r>
      <w:r>
        <w:tab/>
        <w:t>Appearance of lot</w:t>
      </w:r>
      <w:bookmarkEnd w:id="799"/>
      <w:bookmarkEnd w:id="800"/>
    </w:p>
    <w:p>
      <w:pPr>
        <w:pStyle w:val="ySubsection"/>
        <w:rPr>
          <w:snapToGrid w:val="0"/>
        </w:rPr>
      </w:pPr>
      <w:r>
        <w:rPr>
          <w:snapToGrid w:val="0"/>
        </w:rPr>
        <w:tab/>
      </w:r>
      <w:r>
        <w:rPr>
          <w:snapToGrid w:val="0"/>
        </w:rPr>
        <w:tab/>
      </w:r>
      <w:r>
        <w:rPr>
          <w:szCs w:val="22"/>
        </w:rPr>
        <w:t>An owner or occupier</w:t>
      </w:r>
      <w:r>
        <w:rPr>
          <w:snapToGrid w:val="0"/>
          <w:szCs w:val="22"/>
        </w:rPr>
        <w:t xml:space="preserve"> of a lot must</w:t>
      </w:r>
      <w:r>
        <w:rPr>
          <w:snapToGrid w:val="0"/>
        </w:rPr>
        <w:t xml:space="preserve">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 amended: No. 30 of 2018 s. 112.]</w:t>
      </w:r>
    </w:p>
    <w:p>
      <w:pPr>
        <w:pStyle w:val="yHeading5"/>
      </w:pPr>
      <w:bookmarkStart w:id="801" w:name="_Toc106986902"/>
      <w:bookmarkStart w:id="802" w:name="_Toc100565200"/>
      <w:r>
        <w:rPr>
          <w:rStyle w:val="CharSClsNo"/>
        </w:rPr>
        <w:t>15</w:t>
      </w:r>
      <w:r>
        <w:t>.</w:t>
      </w:r>
      <w:r>
        <w:tab/>
        <w:t>Decoration of, and affixing items to, inner surface of lot</w:t>
      </w:r>
      <w:bookmarkEnd w:id="801"/>
      <w:bookmarkEnd w:id="802"/>
    </w:p>
    <w:p>
      <w:pPr>
        <w:pStyle w:val="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yFootnotesection"/>
      </w:pPr>
      <w:r>
        <w:tab/>
        <w:t>[By</w:t>
      </w:r>
      <w:r>
        <w:noBreakHyphen/>
        <w:t>law 15 inserted: No. 30 of 2018 s. 113.]</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804" w:name="_Toc106986467"/>
      <w:bookmarkStart w:id="805" w:name="_Toc106986903"/>
      <w:bookmarkStart w:id="806" w:name="_Toc100308481"/>
      <w:bookmarkStart w:id="807" w:name="_Toc100308917"/>
      <w:bookmarkStart w:id="808" w:name="_Toc100565201"/>
      <w:r>
        <w:rPr>
          <w:rStyle w:val="CharSchNo"/>
        </w:rPr>
        <w:t>Schedule 2A</w:t>
      </w:r>
      <w:r>
        <w:t> — </w:t>
      </w:r>
      <w:r>
        <w:rPr>
          <w:rStyle w:val="CharSchText"/>
        </w:rPr>
        <w:t>Special provisions for single tier strata schemes</w:t>
      </w:r>
      <w:bookmarkEnd w:id="804"/>
      <w:bookmarkEnd w:id="805"/>
      <w:bookmarkEnd w:id="806"/>
      <w:bookmarkEnd w:id="807"/>
      <w:bookmarkEnd w:id="808"/>
    </w:p>
    <w:p>
      <w:pPr>
        <w:pStyle w:val="yFootnoteheading"/>
      </w:pPr>
      <w:r>
        <w:tab/>
        <w:t>[Heading inserted: No. 30 of 2018 s. 114.]</w:t>
      </w:r>
    </w:p>
    <w:p>
      <w:pPr>
        <w:pStyle w:val="yHeading3"/>
      </w:pPr>
      <w:bookmarkStart w:id="809" w:name="_Toc106986468"/>
      <w:bookmarkStart w:id="810" w:name="_Toc106986904"/>
      <w:bookmarkStart w:id="811" w:name="_Toc100308482"/>
      <w:bookmarkStart w:id="812" w:name="_Toc100308918"/>
      <w:bookmarkStart w:id="813" w:name="_Toc100565202"/>
      <w:r>
        <w:rPr>
          <w:rStyle w:val="CharPartNo"/>
        </w:rPr>
        <w:t>Part 1</w:t>
      </w:r>
      <w:r>
        <w:t xml:space="preserve"> — </w:t>
      </w:r>
      <w:r>
        <w:rPr>
          <w:rStyle w:val="CharPartText"/>
        </w:rPr>
        <w:t>Introduction</w:t>
      </w:r>
      <w:bookmarkEnd w:id="809"/>
      <w:bookmarkEnd w:id="810"/>
      <w:bookmarkEnd w:id="811"/>
      <w:bookmarkEnd w:id="812"/>
      <w:bookmarkEnd w:id="813"/>
    </w:p>
    <w:p>
      <w:pPr>
        <w:pStyle w:val="yFootnoteheading"/>
      </w:pPr>
      <w:r>
        <w:tab/>
        <w:t>[Heading inserted: No. 30 of 2018 s. 114.]</w:t>
      </w:r>
    </w:p>
    <w:p>
      <w:pPr>
        <w:pStyle w:val="yHeading5"/>
      </w:pPr>
      <w:bookmarkStart w:id="814" w:name="_Toc106986905"/>
      <w:bookmarkStart w:id="815" w:name="_Toc100565203"/>
      <w:r>
        <w:rPr>
          <w:rStyle w:val="CharSClsNo"/>
        </w:rPr>
        <w:t>1</w:t>
      </w:r>
      <w:r>
        <w:t>.</w:t>
      </w:r>
      <w:r>
        <w:tab/>
        <w:t>Application of Schedule</w:t>
      </w:r>
      <w:bookmarkEnd w:id="814"/>
      <w:bookmarkEnd w:id="815"/>
    </w:p>
    <w:p>
      <w:pPr>
        <w:pStyle w:val="ySubsection"/>
      </w:pPr>
      <w:r>
        <w:tab/>
        <w:t>(1)</w:t>
      </w:r>
      <w:r>
        <w:tab/>
        <w:t>This Schedule contains special provisions that apply to a single tier strata scheme.</w:t>
      </w:r>
    </w:p>
    <w:p>
      <w:pPr>
        <w:pStyle w:val="ySubsection"/>
      </w:pPr>
      <w:r>
        <w:tab/>
        <w:t>(2)</w:t>
      </w:r>
      <w:r>
        <w:tab/>
        <w:t>To the extent of any inconsistency between this Schedule and other provisions of this Act, this Schedule prevails.</w:t>
      </w:r>
    </w:p>
    <w:p>
      <w:pPr>
        <w:pStyle w:val="yFootnotesection"/>
      </w:pPr>
      <w:r>
        <w:tab/>
        <w:t>[Clause 1 inserted: No. 30 of 2018 s. 114.]</w:t>
      </w:r>
    </w:p>
    <w:p>
      <w:pPr>
        <w:pStyle w:val="yHeading5"/>
      </w:pPr>
      <w:bookmarkStart w:id="816" w:name="_Toc106986906"/>
      <w:bookmarkStart w:id="817" w:name="_Toc100565204"/>
      <w:r>
        <w:rPr>
          <w:rStyle w:val="CharSClsNo"/>
        </w:rPr>
        <w:t>2</w:t>
      </w:r>
      <w:r>
        <w:t>.</w:t>
      </w:r>
      <w:r>
        <w:tab/>
        <w:t>Meaning of lot and structural cubic space</w:t>
      </w:r>
      <w:bookmarkEnd w:id="816"/>
      <w:bookmarkEnd w:id="817"/>
    </w:p>
    <w:p>
      <w:pPr>
        <w:pStyle w:val="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yDefstar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yDefpara"/>
      </w:pPr>
      <w:r>
        <w:tab/>
        <w:t>(a)</w:t>
      </w:r>
      <w:r>
        <w:tab/>
        <w:t>the boundaries of the cubic space are fixed under clause 3AB; or</w:t>
      </w:r>
    </w:p>
    <w:p>
      <w:pPr>
        <w:pStyle w:val="yDefpara"/>
      </w:pPr>
      <w:r>
        <w:tab/>
        <w:t>(b)</w:t>
      </w:r>
      <w:r>
        <w:tab/>
        <w:t>the boundaries are not so fixed and that structural cubic space —</w:t>
      </w:r>
    </w:p>
    <w:p>
      <w:pPr>
        <w:pStyle w:val="yDefsubpara"/>
      </w:pPr>
      <w:r>
        <w:tab/>
        <w:t>(i)</w:t>
      </w:r>
      <w:r>
        <w:tab/>
        <w:t>has boundaries described in accordance with the regulations; and</w:t>
      </w:r>
    </w:p>
    <w:p>
      <w:pPr>
        <w:pStyle w:val="yDefsubpara"/>
      </w:pPr>
      <w:r>
        <w:tab/>
        <w:t>(ii)</w:t>
      </w:r>
      <w:r>
        <w:tab/>
        <w:t>is shown in that floor plan as part of a lot;</w:t>
      </w:r>
    </w:p>
    <w:p>
      <w:pPr>
        <w:pStyle w:val="yDefstart"/>
        <w:keepNext/>
      </w:pPr>
      <w:r>
        <w:tab/>
      </w:r>
      <w:r>
        <w:rPr>
          <w:rStyle w:val="CharDefText"/>
        </w:rPr>
        <w:t>structural cubic space</w:t>
      </w:r>
      <w:r>
        <w:t xml:space="preserve"> means —</w:t>
      </w:r>
    </w:p>
    <w:p>
      <w:pPr>
        <w:pStyle w:val="yDefpara"/>
      </w:pPr>
      <w:r>
        <w:tab/>
        <w:t>(a)</w:t>
      </w:r>
      <w:r>
        <w:tab/>
        <w:t>cubic space occupied by a vertical structural member, not being a wall, of a building; and</w:t>
      </w:r>
    </w:p>
    <w:p>
      <w:pPr>
        <w:pStyle w:val="yDefpara"/>
      </w:pPr>
      <w:r>
        <w:tab/>
        <w:t>(b)</w:t>
      </w:r>
      <w:r>
        <w:tab/>
        <w:t>utility conduits in a building; and</w:t>
      </w:r>
    </w:p>
    <w:p>
      <w:pPr>
        <w:pStyle w:val="yDefpara"/>
      </w:pPr>
      <w:r>
        <w:tab/>
        <w:t>(c)</w:t>
      </w:r>
      <w:r>
        <w:tab/>
        <w:t>cubic space enclosed by a structure enclosing utility conduits,</w:t>
      </w:r>
    </w:p>
    <w:p>
      <w:pPr>
        <w:pStyle w:val="yDefstart"/>
      </w:pPr>
      <w:r>
        <w:tab/>
        <w:t>but, except if clause 3AB applies, does not include utility conduits that are for the exclusive use or enjoyment of 1 lot.</w:t>
      </w:r>
    </w:p>
    <w:p>
      <w:pPr>
        <w:pStyle w:val="yFootnotesection"/>
      </w:pPr>
      <w:r>
        <w:tab/>
        <w:t>[Clause 2 inserted: No. 30 of 2018 s. 114.]</w:t>
      </w:r>
    </w:p>
    <w:p>
      <w:pPr>
        <w:pStyle w:val="yHeading5"/>
      </w:pPr>
      <w:bookmarkStart w:id="818" w:name="_Toc106986907"/>
      <w:bookmarkStart w:id="819" w:name="_Toc100565205"/>
      <w:r>
        <w:rPr>
          <w:rStyle w:val="CharSClsNo"/>
        </w:rPr>
        <w:t>2A</w:t>
      </w:r>
      <w:r>
        <w:t>.</w:t>
      </w:r>
      <w:r>
        <w:tab/>
        <w:t>Dividing fences</w:t>
      </w:r>
      <w:bookmarkEnd w:id="818"/>
      <w:bookmarkEnd w:id="819"/>
    </w:p>
    <w:p>
      <w:pPr>
        <w:pStyle w:val="ySubsection"/>
      </w:pPr>
      <w:r>
        <w:tab/>
      </w:r>
      <w:r>
        <w:tab/>
        <w:t>Sections 213 and 214 apply to a single tier strata scheme as if it were a survey</w:t>
      </w:r>
      <w:r>
        <w:noBreakHyphen/>
        <w:t>strata scheme.</w:t>
      </w:r>
    </w:p>
    <w:p>
      <w:pPr>
        <w:pStyle w:val="yFootnotesection"/>
      </w:pPr>
      <w:r>
        <w:tab/>
        <w:t>[Clause 2A inserted: No. 30 of 2018 s. 114.]</w:t>
      </w:r>
    </w:p>
    <w:p>
      <w:pPr>
        <w:pStyle w:val="yHeading5"/>
      </w:pPr>
      <w:bookmarkStart w:id="820" w:name="_Toc106986908"/>
      <w:bookmarkStart w:id="821" w:name="_Toc100565206"/>
      <w:r>
        <w:rPr>
          <w:rStyle w:val="CharSClsNo"/>
        </w:rPr>
        <w:t>3</w:t>
      </w:r>
      <w:r>
        <w:t>.</w:t>
      </w:r>
      <w:r>
        <w:tab/>
        <w:t>Terms used</w:t>
      </w:r>
      <w:bookmarkEnd w:id="820"/>
      <w:bookmarkEnd w:id="821"/>
    </w:p>
    <w:p>
      <w:pPr>
        <w:pStyle w:val="ySubsection"/>
      </w:pPr>
      <w:r>
        <w:tab/>
      </w:r>
      <w:r>
        <w:tab/>
        <w:t>In this Schedule —</w:t>
      </w:r>
    </w:p>
    <w:p>
      <w:pPr>
        <w:pStyle w:val="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yDefstart"/>
      </w:pPr>
      <w:r>
        <w:tab/>
      </w:r>
      <w:r>
        <w:rPr>
          <w:rStyle w:val="CharDefText"/>
        </w:rPr>
        <w:t>single tier strata scheme</w:t>
      </w:r>
      <w:r>
        <w:t xml:space="preserve"> means a strata scheme —</w:t>
      </w:r>
    </w:p>
    <w:p>
      <w:pPr>
        <w:pStyle w:val="yDefpara"/>
      </w:pPr>
      <w:r>
        <w:tab/>
        <w:t>(a)</w:t>
      </w:r>
      <w:r>
        <w:tab/>
        <w:t>in which no lot or part of a lot is above or below another lot; or</w:t>
      </w:r>
    </w:p>
    <w:p>
      <w:pPr>
        <w:pStyle w:val="yDefpara"/>
      </w:pPr>
      <w:r>
        <w:tab/>
        <w:t>(b)</w:t>
      </w:r>
      <w:r>
        <w:tab/>
        <w:t>that would come within paragraph (a) except for any lot that has a permitted boundary deviation.</w:t>
      </w:r>
    </w:p>
    <w:p>
      <w:pPr>
        <w:pStyle w:val="yFootnotesection"/>
      </w:pPr>
      <w:r>
        <w:tab/>
        <w:t>[Clause 3 inserted: No. 30 of 2018 s. 114.]</w:t>
      </w:r>
    </w:p>
    <w:p>
      <w:pPr>
        <w:pStyle w:val="yHeading3"/>
        <w:keepLines/>
      </w:pPr>
      <w:bookmarkStart w:id="822" w:name="_Toc106986473"/>
      <w:bookmarkStart w:id="823" w:name="_Toc106986909"/>
      <w:bookmarkStart w:id="824" w:name="_Toc100308487"/>
      <w:bookmarkStart w:id="825" w:name="_Toc100308923"/>
      <w:bookmarkStart w:id="826" w:name="_Toc100565207"/>
      <w:r>
        <w:rPr>
          <w:rStyle w:val="CharPartNo"/>
        </w:rPr>
        <w:t>Part 2</w:t>
      </w:r>
      <w:r>
        <w:t xml:space="preserve"> — </w:t>
      </w:r>
      <w:r>
        <w:rPr>
          <w:rStyle w:val="CharPartText"/>
        </w:rPr>
        <w:t>Lot boundaries</w:t>
      </w:r>
      <w:bookmarkEnd w:id="822"/>
      <w:bookmarkEnd w:id="823"/>
      <w:bookmarkEnd w:id="824"/>
      <w:bookmarkEnd w:id="825"/>
      <w:bookmarkEnd w:id="826"/>
    </w:p>
    <w:p>
      <w:pPr>
        <w:pStyle w:val="yFootnoteheading"/>
        <w:keepNext/>
        <w:keepLines/>
      </w:pPr>
      <w:r>
        <w:tab/>
        <w:t>[Heading inserted: No. 30 of 2018 s. 114.]</w:t>
      </w:r>
    </w:p>
    <w:p>
      <w:pPr>
        <w:pStyle w:val="yHeading5"/>
        <w:rPr>
          <w:snapToGrid w:val="0"/>
        </w:rPr>
      </w:pPr>
      <w:bookmarkStart w:id="827" w:name="_Toc106986910"/>
      <w:bookmarkStart w:id="828" w:name="_Toc100565208"/>
      <w:r>
        <w:rPr>
          <w:rStyle w:val="CharSClsNo"/>
        </w:rPr>
        <w:t>3A</w:t>
      </w:r>
      <w:r>
        <w:rPr>
          <w:snapToGrid w:val="0"/>
        </w:rPr>
        <w:t>.</w:t>
      </w:r>
      <w:r>
        <w:rPr>
          <w:snapToGrid w:val="0"/>
        </w:rPr>
        <w:tab/>
        <w:t>Single tier strata schemes to which clause 3AB applies</w:t>
      </w:r>
      <w:bookmarkEnd w:id="827"/>
      <w:bookmarkEnd w:id="828"/>
    </w:p>
    <w:p>
      <w:pPr>
        <w:pStyle w:val="ySubsection"/>
        <w:keepNext/>
        <w:keepLines/>
        <w:rPr>
          <w:snapToGrid w:val="0"/>
        </w:rPr>
      </w:pPr>
      <w:r>
        <w:rPr>
          <w:snapToGrid w:val="0"/>
        </w:rPr>
        <w:tab/>
        <w:t>(1)</w:t>
      </w:r>
      <w:r>
        <w:rPr>
          <w:snapToGrid w:val="0"/>
        </w:rPr>
        <w:tab/>
      </w:r>
      <w:r>
        <w:t>Clause</w:t>
      </w:r>
      <w:r>
        <w:rPr>
          <w:snapToGrid w:val="0"/>
        </w:rPr>
        <w:t> 3AB fixes the boundaries of lots and parts of lots, other than boundaries that are external to a building, for single tier strata schemes in the following cases —</w:t>
      </w:r>
    </w:p>
    <w:p>
      <w:pPr>
        <w:pStyle w:val="y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yIndenti0"/>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yIndenti0"/>
        <w:rPr>
          <w:snapToGrid w:val="0"/>
        </w:rPr>
      </w:pPr>
      <w:r>
        <w:rPr>
          <w:snapToGrid w:val="0"/>
        </w:rPr>
        <w:tab/>
        <w:t>(ii)</w:t>
      </w:r>
      <w:r>
        <w:rPr>
          <w:snapToGrid w:val="0"/>
        </w:rPr>
        <w:tab/>
      </w:r>
      <w:r>
        <w:t>before</w:t>
      </w:r>
      <w:r>
        <w:rPr>
          <w:snapToGrid w:val="0"/>
        </w:rPr>
        <w:t xml:space="preserve"> 1 January 1998;</w:t>
      </w:r>
    </w:p>
    <w:p>
      <w:pPr>
        <w:pStyle w:val="y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Indenta"/>
        <w:rPr>
          <w:snapToGrid w:val="0"/>
        </w:rPr>
      </w:pPr>
      <w:r>
        <w:rPr>
          <w:snapToGrid w:val="0"/>
        </w:rPr>
        <w:tab/>
        <w:t>(c)</w:t>
      </w:r>
      <w:r>
        <w:rPr>
          <w:snapToGrid w:val="0"/>
        </w:rPr>
        <w:tab/>
        <w:t xml:space="preserve">for a scheme the strata plan for which is registered on or after 1 January 1998, except </w:t>
      </w:r>
      <w:r>
        <w:t>if</w:t>
      </w:r>
      <w:r>
        <w:rPr>
          <w:snapToGrid w:val="0"/>
        </w:rPr>
        <w:t xml:space="preserv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ySubsection"/>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yFootnotesection"/>
      </w:pPr>
      <w:r>
        <w:tab/>
        <w:t>[Clause 3A, formerly section 3A, inserted: No. 61 of 1996 s. 6; amended, redesignated as clause 3A and relocated: No. 30 of 2018 s. 8 and 117.]</w:t>
      </w:r>
    </w:p>
    <w:p>
      <w:pPr>
        <w:pStyle w:val="yHeading5"/>
        <w:rPr>
          <w:snapToGrid w:val="0"/>
        </w:rPr>
      </w:pPr>
      <w:bookmarkStart w:id="829" w:name="_Toc106986911"/>
      <w:bookmarkStart w:id="830" w:name="_Toc100565209"/>
      <w:r>
        <w:rPr>
          <w:rStyle w:val="CharSClsNo"/>
        </w:rPr>
        <w:t>3AB</w:t>
      </w:r>
      <w:r>
        <w:rPr>
          <w:snapToGrid w:val="0"/>
        </w:rPr>
        <w:t>.</w:t>
      </w:r>
      <w:r>
        <w:rPr>
          <w:snapToGrid w:val="0"/>
        </w:rPr>
        <w:tab/>
        <w:t>Alternative boundaries for lots in single tier strata schemes</w:t>
      </w:r>
      <w:bookmarkEnd w:id="829"/>
      <w:bookmarkEnd w:id="830"/>
    </w:p>
    <w:p>
      <w:pPr>
        <w:pStyle w:val="ySubsection"/>
        <w:keepNext/>
        <w:keepLines/>
        <w:rPr>
          <w:snapToGrid w:val="0"/>
        </w:rPr>
      </w:pPr>
      <w:r>
        <w:rPr>
          <w:snapToGrid w:val="0"/>
        </w:rPr>
        <w:tab/>
        <w:t>(1)</w:t>
      </w:r>
      <w:r>
        <w:rPr>
          <w:snapToGrid w:val="0"/>
        </w:rPr>
        <w:tab/>
      </w:r>
      <w:r>
        <w:t>If this clause applies, the boundaries of a</w:t>
      </w:r>
      <w:r>
        <w:rPr>
          <w:snapToGrid w:val="0"/>
        </w:rPr>
        <w:t xml:space="preserve">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yIndenta"/>
        <w:rPr>
          <w:snapToGrid w:val="0"/>
        </w:rPr>
      </w:pPr>
      <w:r>
        <w:rPr>
          <w:snapToGrid w:val="0"/>
        </w:rPr>
        <w:tab/>
        <w:t>(a)</w:t>
      </w:r>
      <w:r>
        <w:rPr>
          <w:snapToGrid w:val="0"/>
        </w:rPr>
        <w:tab/>
        <w:t>the external surfaces of the building occupying the area represented on that floor plan —</w:t>
      </w:r>
    </w:p>
    <w:p>
      <w:pPr>
        <w:pStyle w:val="yIndenti0"/>
        <w:rPr>
          <w:snapToGrid w:val="0"/>
        </w:rPr>
      </w:pPr>
      <w:r>
        <w:rPr>
          <w:snapToGrid w:val="0"/>
        </w:rPr>
        <w:tab/>
        <w:t>(i)</w:t>
      </w:r>
      <w:r>
        <w:rPr>
          <w:snapToGrid w:val="0"/>
        </w:rPr>
        <w:tab/>
        <w:t>including any thing that —</w:t>
      </w:r>
    </w:p>
    <w:p>
      <w:pPr>
        <w:pStyle w:val="yIndentI"/>
        <w:rPr>
          <w:snapToGrid w:val="0"/>
        </w:rPr>
      </w:pPr>
      <w:r>
        <w:rPr>
          <w:snapToGrid w:val="0"/>
        </w:rPr>
        <w:tab/>
        <w:t>(I)</w:t>
      </w:r>
      <w:r>
        <w:rPr>
          <w:snapToGrid w:val="0"/>
        </w:rPr>
        <w:tab/>
        <w:t>is attached to and projects from the building; and</w:t>
      </w:r>
    </w:p>
    <w:p>
      <w:pPr>
        <w:pStyle w:val="yIndentI"/>
        <w:rPr>
          <w:snapToGrid w:val="0"/>
        </w:rPr>
      </w:pPr>
      <w:r>
        <w:rPr>
          <w:snapToGrid w:val="0"/>
        </w:rPr>
        <w:tab/>
        <w:t>(II)</w:t>
      </w:r>
      <w:r>
        <w:rPr>
          <w:snapToGrid w:val="0"/>
        </w:rPr>
        <w:tab/>
        <w:t>is prescribed by the regulations to be included as part of a lot;</w:t>
      </w:r>
    </w:p>
    <w:p>
      <w:pPr>
        <w:pStyle w:val="yIndenti0"/>
        <w:rPr>
          <w:snapToGrid w:val="0"/>
        </w:rPr>
      </w:pPr>
      <w:r>
        <w:rPr>
          <w:snapToGrid w:val="0"/>
        </w:rPr>
        <w:tab/>
      </w:r>
      <w:r>
        <w:rPr>
          <w:snapToGrid w:val="0"/>
        </w:rPr>
        <w:tab/>
        <w:t>but</w:t>
      </w:r>
    </w:p>
    <w:p>
      <w:pPr>
        <w:pStyle w:val="yIndenti0"/>
        <w:rPr>
          <w:snapToGrid w:val="0"/>
        </w:rPr>
      </w:pPr>
      <w:r>
        <w:rPr>
          <w:snapToGrid w:val="0"/>
        </w:rPr>
        <w:tab/>
        <w:t>(ii)</w:t>
      </w:r>
      <w:r>
        <w:rPr>
          <w:snapToGrid w:val="0"/>
        </w:rPr>
        <w:tab/>
        <w:t>excluding any thing that is prescribed by the regulations not to be included as part of a lot;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 xml:space="preserve">despite paragraph (a), </w:t>
      </w:r>
      <w:r>
        <w:t>if</w:t>
      </w:r>
      <w:r>
        <w:rPr>
          <w:snapToGrid w:val="0"/>
        </w:rPr>
        <w:t xml:space="preserve"> 2 lots —</w:t>
      </w:r>
    </w:p>
    <w:p>
      <w:pPr>
        <w:pStyle w:val="yIndenti0"/>
        <w:rPr>
          <w:snapToGrid w:val="0"/>
        </w:rPr>
      </w:pPr>
      <w:r>
        <w:rPr>
          <w:snapToGrid w:val="0"/>
        </w:rPr>
        <w:tab/>
        <w:t>(i)</w:t>
      </w:r>
      <w:r>
        <w:rPr>
          <w:snapToGrid w:val="0"/>
        </w:rPr>
        <w:tab/>
        <w:t>have a common or party wall, the centre plane of that wall; or</w:t>
      </w:r>
    </w:p>
    <w:p>
      <w:pPr>
        <w:pStyle w:val="yIndenti0"/>
        <w:rPr>
          <w:snapToGrid w:val="0"/>
        </w:rPr>
      </w:pPr>
      <w:r>
        <w:rPr>
          <w:snapToGrid w:val="0"/>
        </w:rPr>
        <w:tab/>
        <w:t>(ii)</w:t>
      </w:r>
      <w:r>
        <w:rPr>
          <w:snapToGrid w:val="0"/>
        </w:rPr>
        <w:tab/>
        <w:t>have buildings on them that are joined, the plane or planes at which they are joined.</w:t>
      </w:r>
    </w:p>
    <w:p>
      <w:pPr>
        <w:pStyle w:val="ySubsection"/>
        <w:rPr>
          <w:snapToGrid w:val="0"/>
        </w:rPr>
      </w:pPr>
      <w:r>
        <w:rPr>
          <w:snapToGrid w:val="0"/>
        </w:rPr>
        <w:tab/>
        <w:t>(2)</w:t>
      </w:r>
      <w:r>
        <w:rPr>
          <w:snapToGrid w:val="0"/>
        </w:rPr>
        <w:tab/>
        <w:t xml:space="preserve">If under </w:t>
      </w:r>
      <w:r>
        <w:t>subclause (1) —</w:t>
      </w:r>
    </w:p>
    <w:p>
      <w:pPr>
        <w:pStyle w:val="yIndenta"/>
        <w:rPr>
          <w:snapToGrid w:val="0"/>
        </w:rPr>
      </w:pPr>
      <w:r>
        <w:rPr>
          <w:snapToGrid w:val="0"/>
        </w:rPr>
        <w:tab/>
        <w:t>(a)</w:t>
      </w:r>
      <w:r>
        <w:rPr>
          <w:snapToGrid w:val="0"/>
        </w:rPr>
        <w:tab/>
        <w:t>the boundary of a lot is a part of a building that constitutes a permitted boundary deviation; and</w:t>
      </w:r>
    </w:p>
    <w:p>
      <w:pPr>
        <w:pStyle w:val="y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y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ySubsection"/>
        <w:rPr>
          <w:snapToGrid w:val="0"/>
        </w:rPr>
      </w:pPr>
      <w:r>
        <w:rPr>
          <w:snapToGrid w:val="0"/>
        </w:rPr>
        <w:tab/>
        <w:t>(3)</w:t>
      </w:r>
      <w:r>
        <w:rPr>
          <w:snapToGrid w:val="0"/>
        </w:rPr>
        <w:tab/>
        <w:t xml:space="preserve">Nothing in this </w:t>
      </w:r>
      <w:r>
        <w:t>clause</w:t>
      </w:r>
      <w:r>
        <w:rPr>
          <w:snapToGrid w:val="0"/>
        </w:rPr>
        <w:t xml:space="preserve"> applies to a boundary of a lot or a part of a lot that is external to a building.</w:t>
      </w:r>
    </w:p>
    <w:p>
      <w:pPr>
        <w:pStyle w:val="ySubsection"/>
        <w:rPr>
          <w:snapToGrid w:val="0"/>
        </w:rPr>
      </w:pPr>
      <w:r>
        <w:rPr>
          <w:snapToGrid w:val="0"/>
        </w:rPr>
        <w:tab/>
        <w:t>(4)</w:t>
      </w:r>
      <w:r>
        <w:rPr>
          <w:snapToGrid w:val="0"/>
        </w:rPr>
        <w:tab/>
      </w:r>
      <w:r>
        <w:t>If this clause</w:t>
      </w:r>
      <w:r>
        <w:rPr>
          <w:snapToGrid w:val="0"/>
        </w:rPr>
        <w:t xml:space="preserve"> applies it —</w:t>
      </w:r>
    </w:p>
    <w:p>
      <w:pPr>
        <w:pStyle w:val="yIndenta"/>
        <w:rPr>
          <w:snapToGrid w:val="0"/>
        </w:rPr>
      </w:pPr>
      <w:r>
        <w:rPr>
          <w:snapToGrid w:val="0"/>
        </w:rPr>
        <w:tab/>
        <w:t>(a)</w:t>
      </w:r>
      <w:r>
        <w:rPr>
          <w:snapToGrid w:val="0"/>
        </w:rPr>
        <w:tab/>
        <w:t>displaces the operation of section 3(2)(a); but</w:t>
      </w:r>
    </w:p>
    <w:p>
      <w:pPr>
        <w:pStyle w:val="yIndenta"/>
        <w:rPr>
          <w:snapToGrid w:val="0"/>
        </w:rPr>
      </w:pPr>
      <w:r>
        <w:rPr>
          <w:snapToGrid w:val="0"/>
        </w:rPr>
        <w:tab/>
        <w:t>(b)</w:t>
      </w:r>
      <w:r>
        <w:rPr>
          <w:snapToGrid w:val="0"/>
        </w:rPr>
        <w:tab/>
        <w:t xml:space="preserve">does not affect the operation of </w:t>
      </w:r>
      <w:r>
        <w:t xml:space="preserve">section 3(2)(b). </w:t>
      </w:r>
    </w:p>
    <w:p>
      <w:pPr>
        <w:pStyle w:val="yFootnotesection"/>
      </w:pPr>
      <w:r>
        <w:tab/>
        <w:t>[Clause 3AB, formerly section 3AB, inserted: No. 61 of 1996 s. 6; amended: No. 55 of 2004 s. 1157; amended, redesignated as clause 3AB and relocated: No. 30 of 2018 s. 9 and 117.]</w:t>
      </w:r>
    </w:p>
    <w:p>
      <w:pPr>
        <w:pStyle w:val="yHeading5"/>
      </w:pPr>
      <w:bookmarkStart w:id="831" w:name="_Toc106986912"/>
      <w:bookmarkStart w:id="832" w:name="_Toc100565210"/>
      <w:r>
        <w:rPr>
          <w:rStyle w:val="CharSClsNo"/>
        </w:rPr>
        <w:t>4</w:t>
      </w:r>
      <w:r>
        <w:t>.</w:t>
      </w:r>
      <w:r>
        <w:tab/>
        <w:t>Order for extension of period for reinstatement of building without affecting boundary</w:t>
      </w:r>
      <w:bookmarkEnd w:id="831"/>
      <w:bookmarkEnd w:id="832"/>
    </w:p>
    <w:p>
      <w:pPr>
        <w:pStyle w:val="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ySubsection"/>
        <w:rPr>
          <w:snapToGrid w:val="0"/>
        </w:rPr>
      </w:pPr>
      <w:r>
        <w:rPr>
          <w:snapToGrid w:val="0"/>
        </w:rPr>
        <w:tab/>
        <w:t>(2)</w:t>
      </w:r>
      <w:r>
        <w:rPr>
          <w:snapToGrid w:val="0"/>
        </w:rPr>
        <w:tab/>
        <w:t>An application to the Tribunal for an order under this clause can be made by —</w:t>
      </w:r>
    </w:p>
    <w:p>
      <w:pPr>
        <w:pStyle w:val="yIndenta"/>
        <w:rPr>
          <w:snapToGrid w:val="0"/>
        </w:rPr>
      </w:pPr>
      <w:r>
        <w:rPr>
          <w:snapToGrid w:val="0"/>
        </w:rPr>
        <w:tab/>
        <w:t>(a)</w:t>
      </w:r>
      <w:r>
        <w:rPr>
          <w:snapToGrid w:val="0"/>
        </w:rPr>
        <w:tab/>
        <w:t>the owner of the lot; or</w:t>
      </w:r>
    </w:p>
    <w:p>
      <w:pPr>
        <w:pStyle w:val="yIndenta"/>
        <w:rPr>
          <w:snapToGrid w:val="0"/>
        </w:rPr>
      </w:pPr>
      <w:r>
        <w:rPr>
          <w:snapToGrid w:val="0"/>
        </w:rPr>
        <w:tab/>
        <w:t>(b)</w:t>
      </w:r>
      <w:r>
        <w:rPr>
          <w:snapToGrid w:val="0"/>
        </w:rPr>
        <w:tab/>
        <w:t>a registered mortgagee of the lot.</w:t>
      </w:r>
    </w:p>
    <w:p>
      <w:pPr>
        <w:pStyle w:val="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ySubsection"/>
      </w:pPr>
      <w:r>
        <w:tab/>
        <w:t>(4)</w:t>
      </w:r>
      <w:r>
        <w:tab/>
        <w:t>An order under this clause is an order extending the period within which the destroyed part of the building may be reinstated.</w:t>
      </w:r>
    </w:p>
    <w:p>
      <w:pPr>
        <w:pStyle w:val="ySubsection"/>
      </w:pPr>
      <w:r>
        <w:tab/>
        <w:t>(5)</w:t>
      </w:r>
      <w:r>
        <w:tab/>
        <w:t>The period is not to be extended so that the period is more than 5 years from the time the destruction occurred.</w:t>
      </w:r>
    </w:p>
    <w:p>
      <w:pPr>
        <w:pStyle w:val="ySubsection"/>
      </w:pPr>
      <w:r>
        <w:tab/>
        <w:t>(6)</w:t>
      </w:r>
      <w:r>
        <w:tab/>
        <w:t>An order can only be made under this clause if the Tribunal is satisfied that there are reasonable grounds for the delay in completing the reinstatement.</w:t>
      </w:r>
    </w:p>
    <w:p>
      <w:pPr>
        <w:pStyle w:val="yFootnotesection"/>
      </w:pPr>
      <w:r>
        <w:tab/>
        <w:t>[Clause 4 inserted: No. 30 of 2018 s. 114.]</w:t>
      </w:r>
    </w:p>
    <w:p>
      <w:pPr>
        <w:pStyle w:val="yHeading3"/>
      </w:pPr>
      <w:bookmarkStart w:id="833" w:name="_Toc106986477"/>
      <w:bookmarkStart w:id="834" w:name="_Toc106986913"/>
      <w:bookmarkStart w:id="835" w:name="_Toc100308491"/>
      <w:bookmarkStart w:id="836" w:name="_Toc100308927"/>
      <w:bookmarkStart w:id="837" w:name="_Toc100565211"/>
      <w:r>
        <w:rPr>
          <w:rStyle w:val="CharPartNo"/>
        </w:rPr>
        <w:t>Part 3</w:t>
      </w:r>
      <w:r>
        <w:t xml:space="preserve"> — </w:t>
      </w:r>
      <w:r>
        <w:rPr>
          <w:rStyle w:val="CharPartText"/>
        </w:rPr>
        <w:t>Statutory easement</w:t>
      </w:r>
      <w:bookmarkEnd w:id="833"/>
      <w:bookmarkEnd w:id="834"/>
      <w:bookmarkEnd w:id="835"/>
      <w:bookmarkEnd w:id="836"/>
      <w:bookmarkEnd w:id="837"/>
    </w:p>
    <w:p>
      <w:pPr>
        <w:pStyle w:val="yFootnoteheading"/>
      </w:pPr>
      <w:r>
        <w:tab/>
        <w:t>[Heading inserted: No. 30 of 2018 s. 114.]</w:t>
      </w:r>
    </w:p>
    <w:p>
      <w:pPr>
        <w:pStyle w:val="yHeading5"/>
        <w:rPr>
          <w:snapToGrid w:val="0"/>
        </w:rPr>
      </w:pPr>
      <w:bookmarkStart w:id="838" w:name="_Toc106986914"/>
      <w:bookmarkStart w:id="839" w:name="_Toc100565212"/>
      <w:r>
        <w:rPr>
          <w:rStyle w:val="CharSClsNo"/>
        </w:rPr>
        <w:t>12A</w:t>
      </w:r>
      <w:r>
        <w:rPr>
          <w:snapToGrid w:val="0"/>
        </w:rPr>
        <w:t>.</w:t>
      </w:r>
      <w:r>
        <w:rPr>
          <w:snapToGrid w:val="0"/>
        </w:rPr>
        <w:tab/>
        <w:t>Easement for access for certain work</w:t>
      </w:r>
      <w:bookmarkEnd w:id="838"/>
      <w:bookmarkEnd w:id="839"/>
    </w:p>
    <w:p>
      <w:pPr>
        <w:pStyle w:val="y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yIndenta"/>
        <w:rPr>
          <w:snapToGrid w:val="0"/>
        </w:rPr>
      </w:pPr>
      <w:r>
        <w:rPr>
          <w:snapToGrid w:val="0"/>
        </w:rPr>
        <w:tab/>
        <w:t>(a)</w:t>
      </w:r>
      <w:r>
        <w:rPr>
          <w:snapToGrid w:val="0"/>
        </w:rPr>
        <w:tab/>
        <w:t>inspect, maintain, repair, renew or replace the part; and</w:t>
      </w:r>
    </w:p>
    <w:p>
      <w:pPr>
        <w:pStyle w:val="yIndenta"/>
        <w:rPr>
          <w:snapToGrid w:val="0"/>
        </w:rPr>
      </w:pPr>
      <w:r>
        <w:rPr>
          <w:snapToGrid w:val="0"/>
        </w:rPr>
        <w:tab/>
        <w:t>(b)</w:t>
      </w:r>
      <w:r>
        <w:rPr>
          <w:snapToGrid w:val="0"/>
        </w:rPr>
        <w:tab/>
        <w:t>enter on the other lot, if necessary with vehicles, equipment, materials and other items, for the purpose of doing so.</w:t>
      </w:r>
    </w:p>
    <w:p>
      <w:pPr>
        <w:pStyle w:val="ySubsection"/>
      </w:pPr>
      <w:r>
        <w:tab/>
        <w:t>(2)</w:t>
      </w:r>
      <w:r>
        <w:tab/>
        <w:t>The rights created by subclause (1) are an easement burdening the other lot.</w:t>
      </w:r>
    </w:p>
    <w:p>
      <w:pPr>
        <w:pStyle w:val="yFootnotesection"/>
      </w:pPr>
      <w:r>
        <w:tab/>
        <w:t>[Clause 12A, formerly section 12A, inserted: No. 61 of 1996 s. 13; amended, redesignated as clause 12A and relocated: No. 30 of 2018 s. 12 and 117.]</w:t>
      </w:r>
    </w:p>
    <w:p>
      <w:pPr>
        <w:pStyle w:val="yHeading3"/>
      </w:pPr>
      <w:bookmarkStart w:id="840" w:name="_Toc106986479"/>
      <w:bookmarkStart w:id="841" w:name="_Toc106986915"/>
      <w:bookmarkStart w:id="842" w:name="_Toc100308493"/>
      <w:bookmarkStart w:id="843" w:name="_Toc100308929"/>
      <w:bookmarkStart w:id="844" w:name="_Toc100565213"/>
      <w:r>
        <w:rPr>
          <w:rStyle w:val="CharPartNo"/>
        </w:rPr>
        <w:t>Part 4</w:t>
      </w:r>
      <w:r>
        <w:t xml:space="preserve"> — </w:t>
      </w:r>
      <w:r>
        <w:rPr>
          <w:rStyle w:val="CharPartText"/>
        </w:rPr>
        <w:t>Subdivision</w:t>
      </w:r>
      <w:bookmarkEnd w:id="840"/>
      <w:bookmarkEnd w:id="841"/>
      <w:bookmarkEnd w:id="842"/>
      <w:bookmarkEnd w:id="843"/>
      <w:bookmarkEnd w:id="844"/>
    </w:p>
    <w:p>
      <w:pPr>
        <w:pStyle w:val="yFootnoteheading"/>
        <w:keepNext/>
      </w:pPr>
      <w:r>
        <w:tab/>
        <w:t>[Heading inserted: No. 30 of 2018 s. 114.]</w:t>
      </w:r>
    </w:p>
    <w:p>
      <w:pPr>
        <w:pStyle w:val="yHeading3"/>
      </w:pPr>
      <w:bookmarkStart w:id="845" w:name="_Toc106986480"/>
      <w:bookmarkStart w:id="846" w:name="_Toc106986916"/>
      <w:bookmarkStart w:id="847" w:name="_Toc100308494"/>
      <w:bookmarkStart w:id="848" w:name="_Toc100308930"/>
      <w:bookmarkStart w:id="849" w:name="_Toc100565214"/>
      <w:r>
        <w:t>Division 1 — Merger of common property into lots in certain strata schemes</w:t>
      </w:r>
      <w:bookmarkEnd w:id="845"/>
      <w:bookmarkEnd w:id="846"/>
      <w:bookmarkEnd w:id="847"/>
      <w:bookmarkEnd w:id="848"/>
      <w:bookmarkEnd w:id="849"/>
    </w:p>
    <w:p>
      <w:pPr>
        <w:pStyle w:val="yFootnoteheading"/>
      </w:pPr>
      <w:r>
        <w:tab/>
        <w:t>[Heading inserted: No. 30 of 2018 s. 114.]</w:t>
      </w:r>
    </w:p>
    <w:p>
      <w:pPr>
        <w:pStyle w:val="yHeading4"/>
      </w:pPr>
      <w:bookmarkStart w:id="850" w:name="_Toc106986481"/>
      <w:bookmarkStart w:id="851" w:name="_Toc106986917"/>
      <w:bookmarkStart w:id="852" w:name="_Toc100308495"/>
      <w:bookmarkStart w:id="853" w:name="_Toc100308931"/>
      <w:bookmarkStart w:id="854" w:name="_Toc100565215"/>
      <w:r>
        <w:t>Subdivision 1 — Preliminary</w:t>
      </w:r>
      <w:bookmarkEnd w:id="850"/>
      <w:bookmarkEnd w:id="851"/>
      <w:bookmarkEnd w:id="852"/>
      <w:bookmarkEnd w:id="853"/>
      <w:bookmarkEnd w:id="854"/>
    </w:p>
    <w:p>
      <w:pPr>
        <w:pStyle w:val="yFootnoteheading"/>
      </w:pPr>
      <w:r>
        <w:tab/>
        <w:t>[Heading inserted: No. 30 of 2018 s. 114.]</w:t>
      </w:r>
    </w:p>
    <w:p>
      <w:pPr>
        <w:pStyle w:val="yHeading5"/>
        <w:rPr>
          <w:snapToGrid w:val="0"/>
        </w:rPr>
      </w:pPr>
      <w:bookmarkStart w:id="855" w:name="_Toc106986918"/>
      <w:bookmarkStart w:id="856" w:name="_Toc100565216"/>
      <w:r>
        <w:rPr>
          <w:rStyle w:val="CharSClsNo"/>
        </w:rPr>
        <w:t>21A</w:t>
      </w:r>
      <w:r>
        <w:rPr>
          <w:snapToGrid w:val="0"/>
        </w:rPr>
        <w:t>.</w:t>
      </w:r>
      <w:r>
        <w:rPr>
          <w:snapToGrid w:val="0"/>
        </w:rPr>
        <w:tab/>
        <w:t>Term used: existing small strata scheme</w:t>
      </w:r>
      <w:bookmarkEnd w:id="855"/>
      <w:bookmarkEnd w:id="856"/>
    </w:p>
    <w:p>
      <w:pPr>
        <w:pStyle w:val="ySubsection"/>
        <w:rPr>
          <w:snapToGrid w:val="0"/>
        </w:rPr>
      </w:pPr>
      <w:r>
        <w:rPr>
          <w:snapToGrid w:val="0"/>
        </w:rPr>
        <w:tab/>
      </w:r>
      <w:r>
        <w:rPr>
          <w:snapToGrid w:val="0"/>
        </w:rPr>
        <w:tab/>
        <w:t>In this Division —</w:t>
      </w:r>
    </w:p>
    <w:p>
      <w:pPr>
        <w:pStyle w:val="y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yFootnotesection"/>
      </w:pPr>
      <w:r>
        <w:tab/>
        <w:t>[Clause 21A, formerly section 21A, inserted: No. 61 of 1996 s. 16; amended, redesignated as clause 21A and relocated: No. 30 of 2018 s. 13 and 117.]</w:t>
      </w:r>
    </w:p>
    <w:p>
      <w:pPr>
        <w:pStyle w:val="yHeading5"/>
        <w:rPr>
          <w:snapToGrid w:val="0"/>
        </w:rPr>
      </w:pPr>
      <w:bookmarkStart w:id="857" w:name="_Toc106986919"/>
      <w:bookmarkStart w:id="858" w:name="_Toc100565217"/>
      <w:r>
        <w:rPr>
          <w:rStyle w:val="CharSClsNo"/>
        </w:rPr>
        <w:t>21B</w:t>
      </w:r>
      <w:r>
        <w:rPr>
          <w:snapToGrid w:val="0"/>
        </w:rPr>
        <w:t>.</w:t>
      </w:r>
      <w:r>
        <w:rPr>
          <w:snapToGrid w:val="0"/>
        </w:rPr>
        <w:tab/>
        <w:t>Division only applies to single tier strata schemes</w:t>
      </w:r>
      <w:bookmarkEnd w:id="857"/>
      <w:bookmarkEnd w:id="858"/>
    </w:p>
    <w:p>
      <w:pPr>
        <w:pStyle w:val="ySubsection"/>
        <w:rPr>
          <w:snapToGrid w:val="0"/>
        </w:rPr>
      </w:pPr>
      <w:r>
        <w:rPr>
          <w:snapToGrid w:val="0"/>
        </w:rPr>
        <w:tab/>
      </w:r>
      <w:r>
        <w:rPr>
          <w:snapToGrid w:val="0"/>
        </w:rPr>
        <w:tab/>
        <w:t>This Division applies only to a single tier strata scheme.</w:t>
      </w:r>
    </w:p>
    <w:p>
      <w:pPr>
        <w:pStyle w:val="yFootnotesection"/>
      </w:pPr>
      <w:r>
        <w:tab/>
        <w:t>[Clause 21B, formerly section 21B, inserted: No. 61 of 1996 s. 16; redesignated as clause 21B and relocated: No. 30 of 2018 s. 117.]</w:t>
      </w:r>
    </w:p>
    <w:p>
      <w:pPr>
        <w:pStyle w:val="yHeading5"/>
        <w:rPr>
          <w:snapToGrid w:val="0"/>
        </w:rPr>
      </w:pPr>
      <w:bookmarkStart w:id="859" w:name="_Toc106986920"/>
      <w:bookmarkStart w:id="860" w:name="_Toc100565218"/>
      <w:r>
        <w:rPr>
          <w:rStyle w:val="CharSClsNo"/>
        </w:rPr>
        <w:t>21C</w:t>
      </w:r>
      <w:r>
        <w:rPr>
          <w:snapToGrid w:val="0"/>
        </w:rPr>
        <w:t>.</w:t>
      </w:r>
      <w:r>
        <w:rPr>
          <w:snapToGrid w:val="0"/>
        </w:rPr>
        <w:tab/>
        <w:t>Procedures cannot be invoked more than once</w:t>
      </w:r>
      <w:bookmarkEnd w:id="859"/>
      <w:bookmarkEnd w:id="860"/>
    </w:p>
    <w:p>
      <w:pPr>
        <w:pStyle w:val="ySubsection"/>
        <w:rPr>
          <w:snapToGrid w:val="0"/>
        </w:rPr>
      </w:pPr>
      <w:r>
        <w:rPr>
          <w:snapToGrid w:val="0"/>
        </w:rPr>
        <w:tab/>
        <w:t>(1)</w:t>
      </w:r>
      <w:r>
        <w:rPr>
          <w:snapToGrid w:val="0"/>
        </w:rPr>
        <w:tab/>
        <w:t xml:space="preserve">After a notice of resolution has been registered under </w:t>
      </w:r>
      <w:r>
        <w:t>clause</w:t>
      </w:r>
      <w:r>
        <w:rPr>
          <w:snapToGrid w:val="0"/>
        </w:rPr>
        <w:t xml:space="preserve"> 21H in respect of a strata scheme, no further notice of resolution may be registered under that </w:t>
      </w:r>
      <w:r>
        <w:t>clause</w:t>
      </w:r>
      <w:r>
        <w:rPr>
          <w:snapToGrid w:val="0"/>
        </w:rPr>
        <w:t xml:space="preserve"> in respect of that scheme.</w:t>
      </w:r>
    </w:p>
    <w:p>
      <w:pPr>
        <w:pStyle w:val="ySubsection"/>
        <w:rPr>
          <w:snapToGrid w:val="0"/>
        </w:rPr>
      </w:pPr>
      <w:r>
        <w:rPr>
          <w:snapToGrid w:val="0"/>
        </w:rPr>
        <w:tab/>
        <w:t>(2)</w:t>
      </w:r>
      <w:r>
        <w:rPr>
          <w:snapToGrid w:val="0"/>
        </w:rPr>
        <w:tab/>
        <w:t xml:space="preserve">After a resolution has been registered under </w:t>
      </w:r>
      <w:r>
        <w:t>clause</w:t>
      </w:r>
      <w:r>
        <w:rPr>
          <w:snapToGrid w:val="0"/>
        </w:rPr>
        <w:t xml:space="preserve"> 21X in respect of a strata scheme, no further resolution may be registered under that </w:t>
      </w:r>
      <w:r>
        <w:t>clause</w:t>
      </w:r>
      <w:r>
        <w:rPr>
          <w:snapToGrid w:val="0"/>
        </w:rPr>
        <w:t xml:space="preserve"> in respect of that scheme.</w:t>
      </w:r>
    </w:p>
    <w:p>
      <w:pPr>
        <w:pStyle w:val="yFootnotesection"/>
      </w:pPr>
      <w:r>
        <w:tab/>
        <w:t>[Clause 21C, formerly section 21C, inserted: No. 61 of 1996 s. 16; amended, redesignated as clause 21C and relocated: No. 30 of 2018 s. 14 and 117.]</w:t>
      </w:r>
    </w:p>
    <w:p>
      <w:pPr>
        <w:pStyle w:val="yHeading5"/>
        <w:rPr>
          <w:snapToGrid w:val="0"/>
        </w:rPr>
      </w:pPr>
      <w:bookmarkStart w:id="861" w:name="_Toc106986921"/>
      <w:bookmarkStart w:id="862" w:name="_Toc100565219"/>
      <w:r>
        <w:rPr>
          <w:rStyle w:val="CharSClsNo"/>
        </w:rPr>
        <w:t>21D</w:t>
      </w:r>
      <w:r>
        <w:rPr>
          <w:snapToGrid w:val="0"/>
        </w:rPr>
        <w:t>.</w:t>
      </w:r>
      <w:r>
        <w:rPr>
          <w:snapToGrid w:val="0"/>
        </w:rPr>
        <w:tab/>
        <w:t>Saving</w:t>
      </w:r>
      <w:bookmarkEnd w:id="861"/>
      <w:bookmarkEnd w:id="862"/>
    </w:p>
    <w:p>
      <w:pPr>
        <w:pStyle w:val="ySubsection"/>
        <w:rPr>
          <w:snapToGrid w:val="0"/>
        </w:rPr>
      </w:pPr>
      <w:r>
        <w:rPr>
          <w:snapToGrid w:val="0"/>
        </w:rPr>
        <w:tab/>
      </w:r>
      <w:r>
        <w:rPr>
          <w:snapToGrid w:val="0"/>
        </w:rPr>
        <w:tab/>
        <w:t xml:space="preserve">Nothing in this Division prevents or limits the </w:t>
      </w:r>
      <w:r>
        <w:t>subdivision</w:t>
      </w:r>
      <w:r>
        <w:rPr>
          <w:snapToGrid w:val="0"/>
        </w:rPr>
        <w:t xml:space="preserve"> of lots by the registration of </w:t>
      </w:r>
      <w:r>
        <w:t>an amendment of the strata scheme.</w:t>
      </w:r>
    </w:p>
    <w:p>
      <w:pPr>
        <w:pStyle w:val="yFootnotesection"/>
      </w:pPr>
      <w:r>
        <w:tab/>
        <w:t>[Clause 21D, formerly section 21D, inserted: No. 61 of 1996 s. 16; amended, redesignated as clause 21D and relocated: No. 30 of 2018 s. 15 and 117.]</w:t>
      </w:r>
    </w:p>
    <w:p>
      <w:pPr>
        <w:pStyle w:val="yHeading4"/>
      </w:pPr>
      <w:bookmarkStart w:id="863" w:name="_Toc106986486"/>
      <w:bookmarkStart w:id="864" w:name="_Toc106986922"/>
      <w:bookmarkStart w:id="865" w:name="_Toc100308500"/>
      <w:bookmarkStart w:id="866" w:name="_Toc100308936"/>
      <w:bookmarkStart w:id="867" w:name="_Toc100565220"/>
      <w:r>
        <w:t>Subdivision 2 — Merger by resolution of buildings that are common property</w:t>
      </w:r>
      <w:bookmarkEnd w:id="863"/>
      <w:bookmarkEnd w:id="864"/>
      <w:bookmarkEnd w:id="865"/>
      <w:bookmarkEnd w:id="866"/>
      <w:bookmarkEnd w:id="867"/>
    </w:p>
    <w:p>
      <w:pPr>
        <w:pStyle w:val="yFootnoteheading"/>
      </w:pPr>
      <w:r>
        <w:tab/>
        <w:t>[Heading inserted: No. 30 of 2018 s. 114.]</w:t>
      </w:r>
    </w:p>
    <w:p>
      <w:pPr>
        <w:pStyle w:val="yHeading5"/>
        <w:rPr>
          <w:snapToGrid w:val="0"/>
        </w:rPr>
      </w:pPr>
      <w:bookmarkStart w:id="868" w:name="_Toc106986923"/>
      <w:bookmarkStart w:id="869" w:name="_Toc100565221"/>
      <w:r>
        <w:rPr>
          <w:rStyle w:val="CharSectno"/>
        </w:rPr>
        <w:t>21E</w:t>
      </w:r>
      <w:r>
        <w:rPr>
          <w:snapToGrid w:val="0"/>
        </w:rPr>
        <w:t>.</w:t>
      </w:r>
      <w:r>
        <w:rPr>
          <w:snapToGrid w:val="0"/>
        </w:rPr>
        <w:tab/>
        <w:t>Application of this Subdivision</w:t>
      </w:r>
      <w:bookmarkEnd w:id="868"/>
      <w:bookmarkEnd w:id="869"/>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21E, formerly section 21E, inserted: No. 61 of 1996 s. 16;  redesignated as clause 21E and relocated: No. 30 of 2018 s 117.]</w:t>
      </w:r>
    </w:p>
    <w:p>
      <w:pPr>
        <w:pStyle w:val="yHeading5"/>
        <w:rPr>
          <w:snapToGrid w:val="0"/>
        </w:rPr>
      </w:pPr>
      <w:bookmarkStart w:id="870" w:name="_Toc106986924"/>
      <w:bookmarkStart w:id="871" w:name="_Toc100565222"/>
      <w:r>
        <w:rPr>
          <w:rStyle w:val="CharSClsNo"/>
        </w:rPr>
        <w:t>21F</w:t>
      </w:r>
      <w:r>
        <w:rPr>
          <w:snapToGrid w:val="0"/>
        </w:rPr>
        <w:t>.</w:t>
      </w:r>
      <w:r>
        <w:rPr>
          <w:snapToGrid w:val="0"/>
        </w:rPr>
        <w:tab/>
        <w:t>Resolution by strata company</w:t>
      </w:r>
      <w:bookmarkEnd w:id="870"/>
      <w:bookmarkEnd w:id="871"/>
    </w:p>
    <w:p>
      <w:pPr>
        <w:pStyle w:val="ySubsection"/>
        <w:rPr>
          <w:snapToGrid w:val="0"/>
        </w:rPr>
      </w:pPr>
      <w:r>
        <w:rPr>
          <w:snapToGrid w:val="0"/>
        </w:rPr>
        <w:tab/>
        <w:t>(1)</w:t>
      </w:r>
      <w:r>
        <w:rPr>
          <w:snapToGrid w:val="0"/>
        </w:rPr>
        <w:tab/>
        <w:t xml:space="preserve">A strata company for a strata scheme may, </w:t>
      </w:r>
      <w:r>
        <w:t>by resolution in the approved form,</w:t>
      </w:r>
      <w:r>
        <w:rPr>
          <w:snapToGrid w:val="0"/>
        </w:rPr>
        <w:t xml:space="preserve"> resolve that the boundaries of lots or parts of lots in the scheme are to be fixed by reference to the boundaries provided for by </w:t>
      </w:r>
      <w:r>
        <w:t>clause</w:t>
      </w:r>
      <w:r>
        <w:rPr>
          <w:snapToGrid w:val="0"/>
        </w:rPr>
        <w:t> 3AB.</w:t>
      </w:r>
    </w:p>
    <w:p>
      <w:pPr>
        <w:pStyle w:val="ySubsection"/>
        <w:keepNext/>
        <w:rPr>
          <w:snapToGrid w:val="0"/>
        </w:rPr>
      </w:pPr>
      <w:r>
        <w:rPr>
          <w:snapToGrid w:val="0"/>
        </w:rPr>
        <w:tab/>
        <w:t>(2)</w:t>
      </w:r>
      <w:r>
        <w:rPr>
          <w:snapToGrid w:val="0"/>
        </w:rPr>
        <w:tab/>
        <w:t>A resolution is effective for the purposes of subclause (1) only if it is a resolution without dissent.</w:t>
      </w:r>
    </w:p>
    <w:p>
      <w:pPr>
        <w:pStyle w:val="yFootnotesection"/>
      </w:pPr>
      <w:r>
        <w:tab/>
        <w:t>[Clause 21F, formerly section 21F, inserted: No. 61 of 1996 s. 16; amended: No. 55 of 2004 s. 1157; amended, redesignated as clause 21F and relocated: No. 30 of 2018 s. 16 and 117.]</w:t>
      </w:r>
    </w:p>
    <w:p>
      <w:pPr>
        <w:pStyle w:val="yHeading5"/>
        <w:rPr>
          <w:snapToGrid w:val="0"/>
        </w:rPr>
      </w:pPr>
      <w:bookmarkStart w:id="872" w:name="_Toc106986925"/>
      <w:bookmarkStart w:id="873" w:name="_Toc100565223"/>
      <w:r>
        <w:rPr>
          <w:rStyle w:val="CharSClsNo"/>
        </w:rPr>
        <w:t>21G</w:t>
      </w:r>
      <w:r>
        <w:rPr>
          <w:snapToGrid w:val="0"/>
        </w:rPr>
        <w:t>.</w:t>
      </w:r>
      <w:r>
        <w:rPr>
          <w:snapToGrid w:val="0"/>
        </w:rPr>
        <w:tab/>
        <w:t>Notice of resolution may be lodged for registration</w:t>
      </w:r>
      <w:bookmarkEnd w:id="872"/>
      <w:bookmarkEnd w:id="873"/>
    </w:p>
    <w:p>
      <w:pPr>
        <w:pStyle w:val="y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ySubsection"/>
      </w:pPr>
      <w:r>
        <w:tab/>
        <w:t>(1A)</w:t>
      </w:r>
      <w:r>
        <w:tab/>
        <w:t>The notice of resolution cannot be lodged before the end of the period of 60 days after the day on which the resolution was passed.</w:t>
      </w:r>
    </w:p>
    <w:p>
      <w:pPr>
        <w:pStyle w:val="Subsection"/>
        <w:keepNext/>
        <w:spacing w:before="12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pPr>
      <w:r>
        <w:tab/>
        <w:t>[(3)</w:t>
      </w:r>
      <w:r>
        <w:tab/>
        <w:t>deleted]</w:t>
      </w:r>
    </w:p>
    <w:p>
      <w:pPr>
        <w:pStyle w:val="yFootnotesection"/>
      </w:pPr>
      <w:r>
        <w:tab/>
        <w:t>[Clause 21G, formerly section 21G, inserted: No. 61 of 1996 s. 16; amended: No. 55 of 2004 s. 1110; amended, redesignated as clause 21G and relocated: No. 30 of 2018 s. 17 and 117.]</w:t>
      </w:r>
    </w:p>
    <w:p>
      <w:pPr>
        <w:pStyle w:val="yHeading5"/>
        <w:rPr>
          <w:snapToGrid w:val="0"/>
        </w:rPr>
      </w:pPr>
      <w:bookmarkStart w:id="874" w:name="_Toc106986926"/>
      <w:bookmarkStart w:id="875" w:name="_Toc100565224"/>
      <w:r>
        <w:rPr>
          <w:rStyle w:val="CharSClsNo"/>
        </w:rPr>
        <w:t>21H</w:t>
      </w:r>
      <w:r>
        <w:rPr>
          <w:snapToGrid w:val="0"/>
        </w:rPr>
        <w:t>.</w:t>
      </w:r>
      <w:r>
        <w:rPr>
          <w:snapToGrid w:val="0"/>
        </w:rPr>
        <w:tab/>
        <w:t>Registration of notice of resolution</w:t>
      </w:r>
      <w:bookmarkEnd w:id="874"/>
      <w:bookmarkEnd w:id="875"/>
    </w:p>
    <w:p>
      <w:pPr>
        <w:pStyle w:val="ySubsection"/>
        <w:rPr>
          <w:snapToGrid w:val="0"/>
        </w:rPr>
      </w:pPr>
      <w:r>
        <w:rPr>
          <w:snapToGrid w:val="0"/>
        </w:rPr>
        <w:tab/>
      </w:r>
      <w:r>
        <w:rPr>
          <w:snapToGrid w:val="0"/>
        </w:rPr>
        <w:tab/>
        <w:t>The Registrar of Titles is to register a notice of resolution if the relevant requirements of this Division are satisfied.</w:t>
      </w:r>
    </w:p>
    <w:p>
      <w:pPr>
        <w:pStyle w:val="yFootnotesection"/>
      </w:pPr>
      <w:r>
        <w:tab/>
        <w:t>[Clause 21H, formerly section 21H, inserted: No. 61 of 1996 s. 16; redesignated as clause 21H and relocated: No. 30 of 2018 s. 117.]</w:t>
      </w:r>
    </w:p>
    <w:p>
      <w:pPr>
        <w:pStyle w:val="yHeading5"/>
        <w:rPr>
          <w:snapToGrid w:val="0"/>
        </w:rPr>
      </w:pPr>
      <w:bookmarkStart w:id="876" w:name="_Toc106986927"/>
      <w:bookmarkStart w:id="877" w:name="_Toc100565225"/>
      <w:r>
        <w:rPr>
          <w:rStyle w:val="CharSClsNo"/>
        </w:rPr>
        <w:t>21I</w:t>
      </w:r>
      <w:r>
        <w:rPr>
          <w:snapToGrid w:val="0"/>
        </w:rPr>
        <w:t>.</w:t>
      </w:r>
      <w:r>
        <w:rPr>
          <w:snapToGrid w:val="0"/>
        </w:rPr>
        <w:tab/>
        <w:t>Effect of registration</w:t>
      </w:r>
      <w:bookmarkEnd w:id="876"/>
      <w:bookmarkEnd w:id="877"/>
    </w:p>
    <w:p>
      <w:pPr>
        <w:pStyle w:val="ySubsection"/>
      </w:pPr>
      <w:r>
        <w:tab/>
        <w:t>(1)</w:t>
      </w:r>
      <w:r>
        <w:tab/>
        <w:t>The effect of the registration of a notice of resolution is that without the need for any other documentation —</w:t>
      </w:r>
    </w:p>
    <w:p>
      <w:pPr>
        <w:pStyle w:val="yIndenta"/>
        <w:rPr>
          <w:snapToGrid w:val="0"/>
        </w:rPr>
      </w:pPr>
      <w:r>
        <w:rPr>
          <w:snapToGrid w:val="0"/>
        </w:rPr>
        <w:tab/>
        <w:t>(a)</w:t>
      </w:r>
      <w:r>
        <w:rPr>
          <w:snapToGrid w:val="0"/>
        </w:rPr>
        <w:tab/>
        <w:t xml:space="preserve">the boundaries of lots or parts of lots on the strata plan are fixed by reference to </w:t>
      </w:r>
      <w:r>
        <w:t>clause</w:t>
      </w:r>
      <w:r>
        <w:rPr>
          <w:snapToGrid w:val="0"/>
        </w:rPr>
        <w:t> 3AB regardless of where they were located before that registration; and</w:t>
      </w:r>
    </w:p>
    <w:p>
      <w:pPr>
        <w:pStyle w:val="yIndenta"/>
        <w:rPr>
          <w:snapToGrid w:val="0"/>
        </w:rPr>
      </w:pPr>
      <w:r>
        <w:rPr>
          <w:snapToGrid w:val="0"/>
        </w:rPr>
        <w:tab/>
        <w:t>(b)</w:t>
      </w:r>
      <w:r>
        <w:rPr>
          <w:snapToGrid w:val="0"/>
        </w:rPr>
        <w:tab/>
        <w:t>each lot as so defined is subject to —</w:t>
      </w:r>
    </w:p>
    <w:p>
      <w:pPr>
        <w:pStyle w:val="yIndenti0"/>
        <w:rPr>
          <w:snapToGrid w:val="0"/>
        </w:rPr>
      </w:pPr>
      <w:r>
        <w:rPr>
          <w:snapToGrid w:val="0"/>
        </w:rPr>
        <w:tab/>
        <w:t>(i)</w:t>
      </w:r>
      <w:r>
        <w:rPr>
          <w:snapToGrid w:val="0"/>
        </w:rPr>
        <w:tab/>
        <w:t>any encumbrance that was registered; or</w:t>
      </w:r>
    </w:p>
    <w:p>
      <w:pPr>
        <w:pStyle w:val="yIndenti0"/>
        <w:rPr>
          <w:snapToGrid w:val="0"/>
        </w:rPr>
      </w:pPr>
      <w:r>
        <w:rPr>
          <w:snapToGrid w:val="0"/>
        </w:rPr>
        <w:tab/>
        <w:t>(ii)</w:t>
      </w:r>
      <w:r>
        <w:rPr>
          <w:snapToGrid w:val="0"/>
        </w:rPr>
        <w:tab/>
        <w:t>caveat that was lodged,</w:t>
      </w:r>
    </w:p>
    <w:p>
      <w:pPr>
        <w:pStyle w:val="yIndenta"/>
        <w:rPr>
          <w:snapToGrid w:val="0"/>
        </w:rPr>
      </w:pPr>
      <w:r>
        <w:rPr>
          <w:snapToGrid w:val="0"/>
        </w:rPr>
        <w:tab/>
      </w:r>
      <w:r>
        <w:rPr>
          <w:snapToGrid w:val="0"/>
        </w:rPr>
        <w:tab/>
        <w:t>with the Registrar of Titles against the lot before the registration.</w:t>
      </w:r>
    </w:p>
    <w:p>
      <w:pPr>
        <w:pStyle w:val="ySubsection"/>
        <w:keepNext/>
      </w:pPr>
      <w:r>
        <w:tab/>
        <w:t>(2)</w:t>
      </w:r>
      <w:r>
        <w:tab/>
        <w:t>Any encumbrance or caveat referred to in subclause (1) is taken to be amended to give effect to that subclause.</w:t>
      </w:r>
    </w:p>
    <w:p>
      <w:pPr>
        <w:pStyle w:val="yFootnotesection"/>
      </w:pPr>
      <w:r>
        <w:tab/>
        <w:t>[Clause 21I, formerly section 21I, inserted: No. 61 of 1996 s. 16; amended, redesignated as clause 21I and relocated: No. 30 of 2018 s. 18 and 117.]</w:t>
      </w:r>
    </w:p>
    <w:p>
      <w:pPr>
        <w:pStyle w:val="yHeading5"/>
        <w:rPr>
          <w:snapToGrid w:val="0"/>
        </w:rPr>
      </w:pPr>
      <w:bookmarkStart w:id="878" w:name="_Toc106986928"/>
      <w:bookmarkStart w:id="879" w:name="_Toc100565226"/>
      <w:r>
        <w:rPr>
          <w:rStyle w:val="CharSClsNo"/>
        </w:rPr>
        <w:t>21J</w:t>
      </w:r>
      <w:r>
        <w:rPr>
          <w:snapToGrid w:val="0"/>
        </w:rPr>
        <w:t>.</w:t>
      </w:r>
      <w:r>
        <w:rPr>
          <w:snapToGrid w:val="0"/>
        </w:rPr>
        <w:tab/>
        <w:t>Registrar of Titles to amend strata plan</w:t>
      </w:r>
      <w:bookmarkEnd w:id="878"/>
      <w:bookmarkEnd w:id="879"/>
    </w:p>
    <w:p>
      <w:pPr>
        <w:pStyle w:val="ySubsection"/>
        <w:keepNext/>
        <w:keepLines/>
        <w:rPr>
          <w:snapToGrid w:val="0"/>
        </w:rPr>
      </w:pPr>
      <w:r>
        <w:rPr>
          <w:snapToGrid w:val="0"/>
        </w:rPr>
        <w:tab/>
      </w:r>
      <w:r>
        <w:rPr>
          <w:snapToGrid w:val="0"/>
        </w:rPr>
        <w:tab/>
        <w:t>The Registrar of Titles is to amend the strata plan in the manner specified in the regulations to give effect to clause 21I.</w:t>
      </w:r>
    </w:p>
    <w:p>
      <w:pPr>
        <w:pStyle w:val="yFootnotesection"/>
      </w:pPr>
      <w:r>
        <w:tab/>
        <w:t>[Clause 21J, formerly section 21J, inserted: No. 61 of 1996 s. 16; amended, redesignated as clause 21J and relocated: No. 30 of 2018 s. 19 and 117.]</w:t>
      </w:r>
    </w:p>
    <w:p>
      <w:pPr>
        <w:pStyle w:val="yHeading4"/>
      </w:pPr>
      <w:bookmarkStart w:id="880" w:name="_Toc106986493"/>
      <w:bookmarkStart w:id="881" w:name="_Toc106986929"/>
      <w:bookmarkStart w:id="882" w:name="_Toc100308507"/>
      <w:bookmarkStart w:id="883" w:name="_Toc100308943"/>
      <w:bookmarkStart w:id="884" w:name="_Toc100565227"/>
      <w:r>
        <w:t>Subdivision 3 — Merger by resolution of land that is common property</w:t>
      </w:r>
      <w:bookmarkEnd w:id="880"/>
      <w:bookmarkEnd w:id="881"/>
      <w:bookmarkEnd w:id="882"/>
      <w:bookmarkEnd w:id="883"/>
      <w:bookmarkEnd w:id="884"/>
    </w:p>
    <w:p>
      <w:pPr>
        <w:pStyle w:val="yFootnoteheading"/>
      </w:pPr>
      <w:r>
        <w:tab/>
        <w:t>[Heading inserted: No. 30 of 2018 s. 114.]</w:t>
      </w:r>
    </w:p>
    <w:p>
      <w:pPr>
        <w:pStyle w:val="yHeading5"/>
        <w:rPr>
          <w:snapToGrid w:val="0"/>
        </w:rPr>
      </w:pPr>
      <w:bookmarkStart w:id="885" w:name="_Toc106986930"/>
      <w:bookmarkStart w:id="886" w:name="_Toc100565228"/>
      <w:r>
        <w:rPr>
          <w:rStyle w:val="CharSClsNo"/>
        </w:rPr>
        <w:t>21P</w:t>
      </w:r>
      <w:r>
        <w:rPr>
          <w:snapToGrid w:val="0"/>
        </w:rPr>
        <w:t>.</w:t>
      </w:r>
      <w:r>
        <w:rPr>
          <w:snapToGrid w:val="0"/>
        </w:rPr>
        <w:tab/>
        <w:t>Application of this Subdivision</w:t>
      </w:r>
      <w:bookmarkEnd w:id="885"/>
      <w:bookmarkEnd w:id="886"/>
    </w:p>
    <w:p>
      <w:pPr>
        <w:pStyle w:val="ySubsection"/>
        <w:rPr>
          <w:snapToGrid w:val="0"/>
        </w:rPr>
      </w:pPr>
      <w:r>
        <w:rPr>
          <w:snapToGrid w:val="0"/>
        </w:rPr>
        <w:tab/>
      </w:r>
      <w:r>
        <w:rPr>
          <w:snapToGrid w:val="0"/>
        </w:rPr>
        <w:tab/>
        <w:t>This Subdivision does not apply to a strata scheme the strata plan for which is registered on or after 1 January 1998.</w:t>
      </w:r>
    </w:p>
    <w:p>
      <w:pPr>
        <w:pStyle w:val="yFootnotesection"/>
      </w:pPr>
      <w:r>
        <w:tab/>
        <w:t>[Clause 21P, formerly section 21P, inserted: No. 61 of 1996 s. 16; relocated: No. 30 of 2018 s. 117.]</w:t>
      </w:r>
    </w:p>
    <w:p>
      <w:pPr>
        <w:pStyle w:val="yHeading5"/>
        <w:rPr>
          <w:snapToGrid w:val="0"/>
        </w:rPr>
      </w:pPr>
      <w:bookmarkStart w:id="887" w:name="_Toc106986931"/>
      <w:bookmarkStart w:id="888" w:name="_Toc100565229"/>
      <w:r>
        <w:rPr>
          <w:rStyle w:val="CharSClsNo"/>
        </w:rPr>
        <w:t>21Q</w:t>
      </w:r>
      <w:r>
        <w:rPr>
          <w:snapToGrid w:val="0"/>
        </w:rPr>
        <w:t>.</w:t>
      </w:r>
      <w:r>
        <w:rPr>
          <w:snapToGrid w:val="0"/>
        </w:rPr>
        <w:tab/>
        <w:t>Resolution by strata company</w:t>
      </w:r>
      <w:bookmarkEnd w:id="887"/>
      <w:bookmarkEnd w:id="888"/>
    </w:p>
    <w:p>
      <w:pPr>
        <w:pStyle w:val="ySubsection"/>
        <w:rPr>
          <w:snapToGrid w:val="0"/>
        </w:rPr>
      </w:pPr>
      <w:r>
        <w:rPr>
          <w:snapToGrid w:val="0"/>
        </w:rPr>
        <w:tab/>
        <w:t>(1)</w:t>
      </w:r>
      <w:r>
        <w:rPr>
          <w:snapToGrid w:val="0"/>
        </w:rPr>
        <w:tab/>
        <w:t xml:space="preserve">A strata company for a strata scheme may, in the approved </w:t>
      </w:r>
      <w:r>
        <w:t>form</w:t>
      </w:r>
      <w:r>
        <w:rPr>
          <w:snapToGrid w:val="0"/>
        </w:rPr>
        <w:t>, resolve that the strata plan be amended in 1 or more of the following ways —</w:t>
      </w:r>
    </w:p>
    <w:p>
      <w:pPr>
        <w:pStyle w:val="yIndenta"/>
        <w:rPr>
          <w:snapToGrid w:val="0"/>
        </w:rPr>
      </w:pPr>
      <w:r>
        <w:rPr>
          <w:snapToGrid w:val="0"/>
        </w:rPr>
        <w:tab/>
        <w:t>(a)</w:t>
      </w:r>
      <w:r>
        <w:rPr>
          <w:snapToGrid w:val="0"/>
        </w:rPr>
        <w:tab/>
        <w:t>to reflect any extension or alteration of a building shown on the plan;</w:t>
      </w:r>
    </w:p>
    <w:p>
      <w:pPr>
        <w:pStyle w:val="yIndenta"/>
        <w:rPr>
          <w:snapToGrid w:val="0"/>
        </w:rPr>
      </w:pPr>
      <w:r>
        <w:rPr>
          <w:snapToGrid w:val="0"/>
        </w:rPr>
        <w:tab/>
        <w:t>(b)</w:t>
      </w:r>
      <w:r>
        <w:rPr>
          <w:snapToGrid w:val="0"/>
        </w:rPr>
        <w:tab/>
        <w:t>to include a building not shown on the plan;</w:t>
      </w:r>
    </w:p>
    <w:p>
      <w:pPr>
        <w:pStyle w:val="yIndenta"/>
        <w:rPr>
          <w:snapToGrid w:val="0"/>
        </w:rPr>
      </w:pPr>
      <w:r>
        <w:rPr>
          <w:snapToGrid w:val="0"/>
        </w:rPr>
        <w:tab/>
        <w:t>(c)</w:t>
      </w:r>
      <w:r>
        <w:rPr>
          <w:snapToGrid w:val="0"/>
        </w:rPr>
        <w:tab/>
        <w:t>to merge land that is common property into a lot.</w:t>
      </w:r>
    </w:p>
    <w:p>
      <w:pPr>
        <w:pStyle w:val="ySubsection"/>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ySubsection"/>
        <w:rPr>
          <w:snapToGrid w:val="0"/>
        </w:rPr>
      </w:pPr>
      <w:r>
        <w:rPr>
          <w:snapToGrid w:val="0"/>
        </w:rPr>
        <w:tab/>
        <w:t>(3)</w:t>
      </w:r>
      <w:r>
        <w:rPr>
          <w:snapToGrid w:val="0"/>
        </w:rPr>
        <w:tab/>
        <w:t>A resolution cannot be passed under subclause (1) that would, on registration under clause 21X of a notice of resolution, increase the number of lots in the scheme.</w:t>
      </w:r>
    </w:p>
    <w:p>
      <w:pPr>
        <w:pStyle w:val="ySubsection"/>
        <w:rPr>
          <w:snapToGrid w:val="0"/>
        </w:rPr>
      </w:pPr>
      <w:r>
        <w:rPr>
          <w:snapToGrid w:val="0"/>
        </w:rPr>
        <w:tab/>
        <w:t>(4)</w:t>
      </w:r>
      <w:r>
        <w:rPr>
          <w:snapToGrid w:val="0"/>
        </w:rPr>
        <w:tab/>
        <w:t>A resolution cannot be passed under subclause (1)(c) unless it specifies the horizontal boundaries of the land that is to be merged into a lot.</w:t>
      </w:r>
    </w:p>
    <w:p>
      <w:pPr>
        <w:pStyle w:val="yFootnotesection"/>
      </w:pPr>
      <w:r>
        <w:tab/>
        <w:t>[Clause 21Q, formerly section 21Q, inserted: No. 61 of 1996 s. 16; amended: No. 55 of 2004 s. 1157; amended, redesignated as clause 21Q and relocated: No. 30 of 2018 s. 20 and 117.]</w:t>
      </w:r>
    </w:p>
    <w:p>
      <w:pPr>
        <w:pStyle w:val="yHeading5"/>
        <w:rPr>
          <w:snapToGrid w:val="0"/>
        </w:rPr>
      </w:pPr>
      <w:bookmarkStart w:id="889" w:name="_Toc106986932"/>
      <w:bookmarkStart w:id="890" w:name="_Toc100565230"/>
      <w:r>
        <w:rPr>
          <w:rStyle w:val="CharSClsNo"/>
        </w:rPr>
        <w:t>21R</w:t>
      </w:r>
      <w:r>
        <w:rPr>
          <w:snapToGrid w:val="0"/>
        </w:rPr>
        <w:t>.</w:t>
      </w:r>
      <w:r>
        <w:rPr>
          <w:snapToGrid w:val="0"/>
        </w:rPr>
        <w:tab/>
        <w:t>Further provisions as to contents of resolution</w:t>
      </w:r>
      <w:bookmarkEnd w:id="889"/>
      <w:bookmarkEnd w:id="890"/>
    </w:p>
    <w:p>
      <w:pPr>
        <w:pStyle w:val="ySubsection"/>
        <w:rPr>
          <w:snapToGrid w:val="0"/>
        </w:rPr>
      </w:pPr>
      <w:r>
        <w:rPr>
          <w:snapToGrid w:val="0"/>
        </w:rPr>
        <w:tab/>
        <w:t>(1)</w:t>
      </w:r>
      <w:r>
        <w:rPr>
          <w:snapToGrid w:val="0"/>
        </w:rPr>
        <w:tab/>
        <w:t>A resolution cannot be passed under clause</w:t>
      </w:r>
      <w:r>
        <w:t> 21Q(1)(a) or (b)</w:t>
      </w:r>
      <w:r>
        <w:rPr>
          <w:snapToGrid w:val="0"/>
        </w:rPr>
        <w:t xml:space="preserve"> unless at the time when the resolution is passed the building or any extension or alteration to which it relates —</w:t>
      </w:r>
    </w:p>
    <w:p>
      <w:pPr>
        <w:pStyle w:val="yIndenta"/>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yIndenta"/>
        <w:rPr>
          <w:snapToGrid w:val="0"/>
        </w:rPr>
      </w:pPr>
      <w:r>
        <w:rPr>
          <w:snapToGrid w:val="0"/>
        </w:rPr>
        <w:tab/>
        <w:t>(b)</w:t>
      </w:r>
      <w:r>
        <w:rPr>
          <w:snapToGrid w:val="0"/>
        </w:rPr>
        <w:tab/>
        <w:t>has been approved by the strata company or all of the owners of lots in the strata scheme.</w:t>
      </w:r>
    </w:p>
    <w:p>
      <w:pPr>
        <w:pStyle w:val="ySubsection"/>
        <w:rPr>
          <w:snapToGrid w:val="0"/>
        </w:rPr>
      </w:pPr>
      <w:r>
        <w:rPr>
          <w:snapToGrid w:val="0"/>
        </w:rPr>
        <w:tab/>
        <w:t>(2)</w:t>
      </w:r>
      <w:r>
        <w:rPr>
          <w:snapToGrid w:val="0"/>
        </w:rPr>
        <w:tab/>
        <w:t>If the strata plan is to be amended as mentioned in clause 21Q(1)(c) the resolution is to specify any easement that is to be created in terms of clause 21W.</w:t>
      </w:r>
    </w:p>
    <w:p>
      <w:pPr>
        <w:pStyle w:val="yFootnotesection"/>
      </w:pPr>
      <w:r>
        <w:tab/>
        <w:t>[Clause 21R, formerly section 21R, inserted: No. 61 of 1996 s. 16; amended: No. 24 of 2011 s. 174(4); amended, redesignated as clause 21R and relocated: No. 30 of 2018 s. 21 and 117.]</w:t>
      </w:r>
    </w:p>
    <w:p>
      <w:pPr>
        <w:pStyle w:val="yHeading5"/>
        <w:rPr>
          <w:snapToGrid w:val="0"/>
        </w:rPr>
      </w:pPr>
      <w:bookmarkStart w:id="891" w:name="_Toc106986933"/>
      <w:bookmarkStart w:id="892" w:name="_Toc100565231"/>
      <w:r>
        <w:rPr>
          <w:rStyle w:val="CharSClsNo"/>
        </w:rPr>
        <w:t>21S</w:t>
      </w:r>
      <w:r>
        <w:rPr>
          <w:snapToGrid w:val="0"/>
        </w:rPr>
        <w:t>.</w:t>
      </w:r>
      <w:r>
        <w:rPr>
          <w:snapToGrid w:val="0"/>
        </w:rPr>
        <w:tab/>
        <w:t>Notice of resolution may be lodged for registration</w:t>
      </w:r>
      <w:bookmarkEnd w:id="891"/>
      <w:bookmarkEnd w:id="892"/>
    </w:p>
    <w:p>
      <w:pPr>
        <w:pStyle w:val="y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ySubsection"/>
      </w:pPr>
      <w:r>
        <w:tab/>
        <w:t>(1A)</w:t>
      </w:r>
      <w:r>
        <w:tab/>
        <w:t>The notice of resolution cannot be lodged before the end of the period of 60 days after the day on which the resolution was passed.</w:t>
      </w:r>
    </w:p>
    <w:p>
      <w:pPr>
        <w:pStyle w:val="Subsection"/>
        <w:spacing w:before="140"/>
        <w:rPr>
          <w:snapToGrid w:val="0"/>
        </w:rPr>
      </w:pPr>
      <w:r>
        <w:rPr>
          <w:snapToGrid w:val="0"/>
        </w:rPr>
        <w:tab/>
        <w:t>(2)</w:t>
      </w:r>
      <w:r>
        <w:rPr>
          <w:snapToGrid w:val="0"/>
        </w:rPr>
        <w:tab/>
        <w:t>The notice may be lodged in any case by the strata company or</w:t>
      </w:r>
      <w:r>
        <w:t>, in the case of an existing small strata scheme, by all of the owners of lots in the scheme.</w:t>
      </w:r>
    </w:p>
    <w:p>
      <w:pPr>
        <w:pStyle w:val="yEdnotesubsection"/>
        <w:keepNext/>
      </w:pPr>
      <w:r>
        <w:tab/>
        <w:t>[(3)</w:t>
      </w:r>
      <w:r>
        <w:tab/>
        <w:t>deleted]</w:t>
      </w:r>
    </w:p>
    <w:p>
      <w:pPr>
        <w:pStyle w:val="yFootnotesection"/>
      </w:pPr>
      <w:r>
        <w:tab/>
        <w:t>[Clause 21S, formerly section 21S, inserted: No. 61 of 1996 s. 16; amended, redesignated as clause 21S and relocated:  No. 30 of 2018 s. 22 and 117.]</w:t>
      </w:r>
    </w:p>
    <w:p>
      <w:pPr>
        <w:pStyle w:val="yHeading5"/>
        <w:rPr>
          <w:snapToGrid w:val="0"/>
        </w:rPr>
      </w:pPr>
      <w:bookmarkStart w:id="893" w:name="_Toc106986934"/>
      <w:bookmarkStart w:id="894" w:name="_Toc100565232"/>
      <w:r>
        <w:rPr>
          <w:rStyle w:val="CharSClsNo"/>
        </w:rPr>
        <w:t>21T</w:t>
      </w:r>
      <w:r>
        <w:rPr>
          <w:snapToGrid w:val="0"/>
        </w:rPr>
        <w:t>.</w:t>
      </w:r>
      <w:r>
        <w:rPr>
          <w:snapToGrid w:val="0"/>
        </w:rPr>
        <w:tab/>
        <w:t>Documents to accompany notice</w:t>
      </w:r>
      <w:bookmarkEnd w:id="893"/>
      <w:bookmarkEnd w:id="894"/>
    </w:p>
    <w:p>
      <w:pPr>
        <w:pStyle w:val="ySubsection"/>
        <w:rPr>
          <w:snapToGrid w:val="0"/>
        </w:rPr>
      </w:pPr>
      <w:r>
        <w:rPr>
          <w:snapToGrid w:val="0"/>
        </w:rPr>
        <w:tab/>
        <w:t>(1)</w:t>
      </w:r>
      <w:r>
        <w:rPr>
          <w:snapToGrid w:val="0"/>
        </w:rPr>
        <w:tab/>
        <w:t>The notice of resolution is to be accompanied by —</w:t>
      </w:r>
    </w:p>
    <w:p>
      <w:pPr>
        <w:pStyle w:val="yEdnotepara"/>
        <w:rPr>
          <w:snapToGrid w:val="0"/>
        </w:rPr>
      </w:pPr>
      <w:r>
        <w:rPr>
          <w:snapToGrid w:val="0"/>
        </w:rPr>
        <w:tab/>
        <w:t>[(a)</w:t>
      </w:r>
      <w:r>
        <w:rPr>
          <w:snapToGrid w:val="0"/>
        </w:rPr>
        <w:tab/>
        <w:t>deleted]</w:t>
      </w:r>
    </w:p>
    <w:p>
      <w:pPr>
        <w:pStyle w:val="yIndenta"/>
        <w:rPr>
          <w:snapToGrid w:val="0"/>
        </w:rPr>
      </w:pPr>
      <w:r>
        <w:rPr>
          <w:snapToGrid w:val="0"/>
        </w:rPr>
        <w:tab/>
        <w:t>(b)</w:t>
      </w:r>
      <w:r>
        <w:rPr>
          <w:snapToGrid w:val="0"/>
        </w:rPr>
        <w:tab/>
        <w:t>unless subclause (2) applies, a plan (</w:t>
      </w:r>
      <w:r>
        <w:t xml:space="preserve">the </w:t>
      </w:r>
      <w:r>
        <w:rPr>
          <w:rStyle w:val="CharDefText"/>
        </w:rPr>
        <w:t>sketch plan</w:t>
      </w:r>
      <w:r>
        <w:rPr>
          <w:snapToGrid w:val="0"/>
        </w:rPr>
        <w:t>) showing in the manner specified in the regulations how the strata plan is to be amended —</w:t>
      </w:r>
    </w:p>
    <w:p>
      <w:pPr>
        <w:pStyle w:val="yIndenti0"/>
        <w:rPr>
          <w:snapToGrid w:val="0"/>
        </w:rPr>
      </w:pPr>
      <w:r>
        <w:rPr>
          <w:snapToGrid w:val="0"/>
        </w:rPr>
        <w:tab/>
        <w:t>(i)</w:t>
      </w:r>
      <w:r>
        <w:rPr>
          <w:snapToGrid w:val="0"/>
        </w:rPr>
        <w:tab/>
        <w:t>to show any extension or alteration of a building; or</w:t>
      </w:r>
    </w:p>
    <w:p>
      <w:pPr>
        <w:pStyle w:val="yIndenti0"/>
        <w:rPr>
          <w:snapToGrid w:val="0"/>
        </w:rPr>
      </w:pPr>
      <w:r>
        <w:rPr>
          <w:snapToGrid w:val="0"/>
        </w:rPr>
        <w:tab/>
        <w:t>(ii)</w:t>
      </w:r>
      <w:r>
        <w:rPr>
          <w:snapToGrid w:val="0"/>
        </w:rPr>
        <w:tab/>
        <w:t>to include a building not shown on the strata plan; or</w:t>
      </w:r>
    </w:p>
    <w:p>
      <w:pPr>
        <w:pStyle w:val="yIndenti0"/>
        <w:rPr>
          <w:snapToGrid w:val="0"/>
          <w:spacing w:val="-4"/>
        </w:rPr>
      </w:pPr>
      <w:r>
        <w:rPr>
          <w:snapToGrid w:val="0"/>
          <w:spacing w:val="-4"/>
        </w:rPr>
        <w:tab/>
        <w:t>(iii)</w:t>
      </w:r>
      <w:r>
        <w:rPr>
          <w:snapToGrid w:val="0"/>
          <w:spacing w:val="-4"/>
        </w:rPr>
        <w:tab/>
        <w:t>to merge land that is common property into a lot; or</w:t>
      </w:r>
    </w:p>
    <w:p>
      <w:pPr>
        <w:pStyle w:val="yIndenti0"/>
        <w:rPr>
          <w:snapToGrid w:val="0"/>
        </w:rPr>
      </w:pPr>
      <w:r>
        <w:rPr>
          <w:snapToGrid w:val="0"/>
        </w:rPr>
        <w:tab/>
        <w:t>(iv)</w:t>
      </w:r>
      <w:r>
        <w:rPr>
          <w:snapToGrid w:val="0"/>
        </w:rPr>
        <w:tab/>
        <w:t>to define any area that is to be subject to an easement under clause 21W;</w:t>
      </w:r>
    </w:p>
    <w:p>
      <w:pPr>
        <w:pStyle w:val="yIndenta"/>
        <w:rPr>
          <w:snapToGrid w:val="0"/>
        </w:rPr>
      </w:pPr>
      <w:r>
        <w:rPr>
          <w:snapToGrid w:val="0"/>
        </w:rPr>
        <w:tab/>
      </w:r>
      <w:r>
        <w:rPr>
          <w:snapToGrid w:val="0"/>
        </w:rPr>
        <w:tab/>
        <w:t>and</w:t>
      </w:r>
    </w:p>
    <w:p>
      <w:pPr>
        <w:pStyle w:val="yIndenta"/>
        <w:rPr>
          <w:snapToGrid w:val="0"/>
        </w:rPr>
      </w:pPr>
      <w:r>
        <w:tab/>
        <w:t>(c)</w:t>
      </w:r>
      <w:r>
        <w:tab/>
      </w:r>
      <w:r>
        <w:rPr>
          <w:snapToGrid w:val="0"/>
        </w:rPr>
        <w:t>unless subclause (2) applies, a certificate given by a licensed surveyor in accordance with clause 21U; and</w:t>
      </w:r>
    </w:p>
    <w:p>
      <w:pPr>
        <w:pStyle w:val="yIndenta"/>
        <w:rPr>
          <w:snapToGrid w:val="0"/>
        </w:rPr>
      </w:pPr>
      <w:r>
        <w:rPr>
          <w:snapToGrid w:val="0"/>
        </w:rPr>
        <w:tab/>
        <w:t>(d)</w:t>
      </w:r>
      <w:r>
        <w:rPr>
          <w:snapToGrid w:val="0"/>
        </w:rPr>
        <w:tab/>
        <w:t>if any unit entitlement is to be changed, an amended schedule of unit entitlements; and</w:t>
      </w:r>
    </w:p>
    <w:p>
      <w:pPr>
        <w:pStyle w:val="yIndenta"/>
        <w:rPr>
          <w:snapToGrid w:val="0"/>
        </w:rPr>
      </w:pPr>
      <w:r>
        <w:rPr>
          <w:snapToGrid w:val="0"/>
        </w:rPr>
        <w:tab/>
        <w:t>(e)</w:t>
      </w:r>
      <w:r>
        <w:rPr>
          <w:snapToGrid w:val="0"/>
        </w:rPr>
        <w:tab/>
        <w:t>if the unit entitlement of any lot is to be decreased, a certificate given by every person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the lot certifying the person’s consent to the decrease.</w:t>
      </w:r>
    </w:p>
    <w:p>
      <w:pPr>
        <w:pStyle w:val="ySubsection"/>
        <w:keepNext/>
        <w:rPr>
          <w:snapToGrid w:val="0"/>
        </w:rPr>
      </w:pPr>
      <w:r>
        <w:rPr>
          <w:snapToGrid w:val="0"/>
        </w:rPr>
        <w:tab/>
        <w:t>(2)</w:t>
      </w:r>
      <w:r>
        <w:rPr>
          <w:snapToGrid w:val="0"/>
        </w:rPr>
        <w:tab/>
        <w:t>The Registrar of Titles may dispense with the sketch plan to the extent that the Registrar considers that the detail shown on the strata plan or contained in the notice of resolution is sufficient.</w:t>
      </w:r>
    </w:p>
    <w:p>
      <w:pPr>
        <w:pStyle w:val="yFootnotesection"/>
      </w:pPr>
      <w:r>
        <w:tab/>
        <w:t>[Clause 21T, formerly section 21T, inserted: No. 61 of 1996 s. 16; amended: No. 55 of 2004 s. 1111; amended, redesignated as clause 21T and relocated: No. 30 of 2018 s. 23 and 117.]</w:t>
      </w:r>
    </w:p>
    <w:p>
      <w:pPr>
        <w:pStyle w:val="yHeading5"/>
        <w:rPr>
          <w:snapToGrid w:val="0"/>
        </w:rPr>
      </w:pPr>
      <w:bookmarkStart w:id="895" w:name="_Toc106986935"/>
      <w:bookmarkStart w:id="896" w:name="_Toc100565233"/>
      <w:r>
        <w:rPr>
          <w:rStyle w:val="CharSClsNo"/>
        </w:rPr>
        <w:t>21U</w:t>
      </w:r>
      <w:r>
        <w:rPr>
          <w:snapToGrid w:val="0"/>
        </w:rPr>
        <w:t>.</w:t>
      </w:r>
      <w:r>
        <w:rPr>
          <w:snapToGrid w:val="0"/>
        </w:rPr>
        <w:tab/>
        <w:t>Certificate of licensed surveyor</w:t>
      </w:r>
      <w:bookmarkEnd w:id="895"/>
      <w:bookmarkEnd w:id="896"/>
    </w:p>
    <w:p>
      <w:pPr>
        <w:pStyle w:val="ySubsection"/>
        <w:keepNext/>
        <w:keepLines/>
        <w:rPr>
          <w:snapToGrid w:val="0"/>
        </w:rPr>
      </w:pPr>
      <w:r>
        <w:rPr>
          <w:snapToGrid w:val="0"/>
        </w:rPr>
        <w:tab/>
        <w:t>(1)</w:t>
      </w:r>
      <w:r>
        <w:rPr>
          <w:snapToGrid w:val="0"/>
        </w:rPr>
        <w:tab/>
        <w:t>The certificate of a licensed surveyor referred to in clause 21T(1)(c) is to comply with —</w:t>
      </w:r>
    </w:p>
    <w:p>
      <w:pPr>
        <w:pStyle w:val="yIndenta"/>
        <w:keepNext/>
        <w:keepLines/>
        <w:rPr>
          <w:snapToGrid w:val="0"/>
        </w:rPr>
      </w:pPr>
      <w:r>
        <w:rPr>
          <w:snapToGrid w:val="0"/>
        </w:rPr>
        <w:tab/>
        <w:t>(a)</w:t>
      </w:r>
      <w:r>
        <w:rPr>
          <w:snapToGrid w:val="0"/>
        </w:rPr>
        <w:tab/>
        <w:t>this clause; and</w:t>
      </w:r>
    </w:p>
    <w:p>
      <w:pPr>
        <w:pStyle w:val="yIndenta"/>
        <w:keepNext/>
        <w:keepLines/>
      </w:pPr>
      <w:r>
        <w:rPr>
          <w:snapToGrid w:val="0"/>
        </w:rPr>
        <w:tab/>
        <w:t>(b)</w:t>
      </w:r>
      <w:r>
        <w:rPr>
          <w:snapToGrid w:val="0"/>
        </w:rPr>
        <w:tab/>
      </w:r>
      <w:r>
        <w:t>the regulations and Transfer of Land Act requirements for certification of amendments of scheme plans.</w:t>
      </w:r>
    </w:p>
    <w:p>
      <w:pPr>
        <w:pStyle w:val="y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y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yIndenta"/>
        <w:rPr>
          <w:snapToGrid w:val="0"/>
        </w:rPr>
      </w:pPr>
      <w:r>
        <w:rPr>
          <w:snapToGrid w:val="0"/>
        </w:rPr>
        <w:tab/>
        <w:t>(b)</w:t>
      </w:r>
      <w:r>
        <w:rPr>
          <w:snapToGrid w:val="0"/>
        </w:rPr>
        <w:tab/>
        <w:t>any extension or alteration, or any building not shown on the plan, has been approved by —</w:t>
      </w:r>
    </w:p>
    <w:p>
      <w:pPr>
        <w:pStyle w:val="yIndenti0"/>
        <w:rPr>
          <w:snapToGrid w:val="0"/>
        </w:rPr>
      </w:pPr>
      <w:r>
        <w:rPr>
          <w:snapToGrid w:val="0"/>
        </w:rPr>
        <w:tab/>
        <w:t>(i)</w:t>
      </w:r>
      <w:r>
        <w:rPr>
          <w:snapToGrid w:val="0"/>
        </w:rPr>
        <w:tab/>
        <w:t>the strata company; or</w:t>
      </w:r>
    </w:p>
    <w:p>
      <w:pPr>
        <w:pStyle w:val="yIndenti0"/>
        <w:rPr>
          <w:snapToGrid w:val="0"/>
        </w:rPr>
      </w:pPr>
      <w:r>
        <w:rPr>
          <w:snapToGrid w:val="0"/>
        </w:rPr>
        <w:tab/>
        <w:t>(ii)</w:t>
      </w:r>
      <w:r>
        <w:rPr>
          <w:snapToGrid w:val="0"/>
        </w:rPr>
        <w:tab/>
        <w:t xml:space="preserve">all of the owners of lots in the strata scheme; </w:t>
      </w:r>
    </w:p>
    <w:p>
      <w:pPr>
        <w:pStyle w:val="yIndenta"/>
        <w:rPr>
          <w:snapToGrid w:val="0"/>
        </w:rPr>
      </w:pPr>
      <w:r>
        <w:rPr>
          <w:snapToGrid w:val="0"/>
        </w:rPr>
        <w:tab/>
      </w:r>
      <w:r>
        <w:rPr>
          <w:snapToGrid w:val="0"/>
        </w:rPr>
        <w:tab/>
      </w:r>
      <w:r>
        <w:t>and</w:t>
      </w:r>
    </w:p>
    <w:p>
      <w:pPr>
        <w:pStyle w:val="y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yIndenta"/>
        <w:rPr>
          <w:snapToGrid w:val="0"/>
        </w:rPr>
      </w:pPr>
      <w:r>
        <w:rPr>
          <w:snapToGrid w:val="0"/>
        </w:rPr>
        <w:tab/>
        <w:t>(d)</w:t>
      </w:r>
      <w:r>
        <w:rPr>
          <w:snapToGrid w:val="0"/>
        </w:rPr>
        <w:tab/>
        <w:t>in respect of any land or building or part of a building shown on the sketch plan as common property to be merged into a lot —</w:t>
      </w:r>
    </w:p>
    <w:p>
      <w:pPr>
        <w:pStyle w:val="yIndenti0"/>
        <w:rPr>
          <w:snapToGrid w:val="0"/>
        </w:rPr>
      </w:pPr>
      <w:r>
        <w:rPr>
          <w:snapToGrid w:val="0"/>
        </w:rPr>
        <w:tab/>
        <w:t>(i)</w:t>
      </w:r>
      <w:r>
        <w:rPr>
          <w:snapToGrid w:val="0"/>
        </w:rPr>
        <w:tab/>
        <w:t>the land or building or part of a building is wholly within the external surface boundaries of the parcel; or</w:t>
      </w:r>
    </w:p>
    <w:p>
      <w:pPr>
        <w:pStyle w:val="yIndenti0"/>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ySubsection"/>
        <w:rPr>
          <w:snapToGrid w:val="0"/>
        </w:rPr>
      </w:pPr>
      <w:r>
        <w:rPr>
          <w:snapToGrid w:val="0"/>
        </w:rPr>
        <w:tab/>
        <w:t>(3)</w:t>
      </w:r>
      <w:r>
        <w:rPr>
          <w:snapToGrid w:val="0"/>
        </w:rPr>
        <w:tab/>
        <w:t>If the strata plan is to be amended to merge land that is common property into a lot, the surveyor is to certify, in accordance with subclause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a"/>
        <w:rPr>
          <w:snapToGrid w:val="0"/>
        </w:rPr>
      </w:pPr>
      <w:r>
        <w:rPr>
          <w:snapToGrid w:val="0"/>
        </w:rPr>
        <w:tab/>
        <w:t>(a)</w:t>
      </w:r>
      <w:r>
        <w:rPr>
          <w:snapToGrid w:val="0"/>
        </w:rPr>
        <w:tab/>
        <w:t>are provided for in accordance with that scheme at the time when the certificate is given; or</w:t>
      </w:r>
    </w:p>
    <w:p>
      <w:pPr>
        <w:pStyle w:val="yIndenta"/>
        <w:rPr>
          <w:snapToGrid w:val="0"/>
        </w:rPr>
      </w:pPr>
      <w:r>
        <w:rPr>
          <w:snapToGrid w:val="0"/>
        </w:rPr>
        <w:tab/>
        <w:t>(b)</w:t>
      </w:r>
      <w:r>
        <w:rPr>
          <w:snapToGrid w:val="0"/>
        </w:rPr>
        <w:tab/>
        <w:t>will be provided for when the notice of resolution and the documents referred to in clause 21V are registered.</w:t>
      </w:r>
    </w:p>
    <w:p>
      <w:pPr>
        <w:pStyle w:val="ySubsection"/>
        <w:rPr>
          <w:snapToGrid w:val="0"/>
        </w:rPr>
      </w:pPr>
      <w:r>
        <w:rPr>
          <w:snapToGrid w:val="0"/>
        </w:rPr>
        <w:tab/>
        <w:t>(4)</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(3);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(5)</w:t>
      </w:r>
      <w:r>
        <w:rPr>
          <w:snapToGrid w:val="0"/>
        </w:rPr>
        <w:tab/>
        <w:t xml:space="preserve">A certification under subclause (3) is to relate to matters prescribed under subclause (4)(a) and not to other matters arising under the relevant local </w:t>
      </w:r>
      <w:r>
        <w:t>planning scheme or improvement scheme.</w:t>
      </w:r>
    </w:p>
    <w:p>
      <w:pPr>
        <w:pStyle w:val="ySubsection"/>
        <w:rPr>
          <w:snapToGrid w:val="0"/>
        </w:rPr>
      </w:pPr>
      <w:r>
        <w:rPr>
          <w:snapToGrid w:val="0"/>
        </w:rPr>
        <w:tab/>
        <w:t>(6)</w:t>
      </w:r>
      <w:r>
        <w:rPr>
          <w:snapToGrid w:val="0"/>
        </w:rPr>
        <w:tab/>
        <w:t>The surveyor is to certify in every case that —</w:t>
      </w:r>
    </w:p>
    <w:p>
      <w:pPr>
        <w:pStyle w:val="y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yIndenta"/>
        <w:rPr>
          <w:snapToGrid w:val="0"/>
        </w:rPr>
      </w:pPr>
      <w:r>
        <w:rPr>
          <w:snapToGrid w:val="0"/>
        </w:rPr>
        <w:tab/>
        <w:t>(b)</w:t>
      </w:r>
      <w:r>
        <w:rPr>
          <w:snapToGrid w:val="0"/>
        </w:rPr>
        <w:tab/>
        <w:t>there are not more lots on the sketch plan than there are on the strata plan.</w:t>
      </w:r>
    </w:p>
    <w:p>
      <w:pPr>
        <w:pStyle w:val="yFootnotesection"/>
      </w:pPr>
      <w:r>
        <w:tab/>
        <w:t>[Clause 21U, formerly section 21U, inserted: No. 61 of 1996 s. 16; amended: No. 38 of 2005 s. 15; No. 28 of 2010 s. 37(2) and (3); No. 24 of 2011 s. 174(5); amended, redesignated as clause 21U and relocated: No. 30 of 2018 s. 24 and 117.]</w:t>
      </w:r>
    </w:p>
    <w:p>
      <w:pPr>
        <w:pStyle w:val="yHeading5"/>
        <w:rPr>
          <w:snapToGrid w:val="0"/>
        </w:rPr>
      </w:pPr>
      <w:bookmarkStart w:id="897" w:name="_Toc106986936"/>
      <w:bookmarkStart w:id="898" w:name="_Toc100565234"/>
      <w:r>
        <w:rPr>
          <w:rStyle w:val="CharSClsNo"/>
        </w:rPr>
        <w:t>21V</w:t>
      </w:r>
      <w:r>
        <w:rPr>
          <w:snapToGrid w:val="0"/>
        </w:rPr>
        <w:t>.</w:t>
      </w:r>
      <w:r>
        <w:rPr>
          <w:snapToGrid w:val="0"/>
        </w:rPr>
        <w:tab/>
        <w:t>Transfers etc. to give effect to notice of resolution</w:t>
      </w:r>
      <w:bookmarkEnd w:id="897"/>
      <w:bookmarkEnd w:id="898"/>
    </w:p>
    <w:p>
      <w:pPr>
        <w:pStyle w:val="ySubsection"/>
        <w:keepNext/>
        <w:keepLines/>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a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21T(1)(e) is set out.</w:t>
      </w:r>
    </w:p>
    <w:p>
      <w:pPr>
        <w:pStyle w:val="y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21V, formerly section 21V, inserted: No. 61 of 1996 s. 16; amended: No. 12 of 2008 Sch. 1 cl. 36(1); amended, redesignated as clause 21V and relocated: No. 30 of 2018 s. 25 and 117.]</w:t>
      </w:r>
    </w:p>
    <w:p>
      <w:pPr>
        <w:pStyle w:val="yHeading5"/>
        <w:rPr>
          <w:snapToGrid w:val="0"/>
        </w:rPr>
      </w:pPr>
      <w:bookmarkStart w:id="899" w:name="_Toc106986937"/>
      <w:bookmarkStart w:id="900" w:name="_Toc100565235"/>
      <w:r>
        <w:rPr>
          <w:rStyle w:val="CharSClsNo"/>
        </w:rPr>
        <w:t>21W</w:t>
      </w:r>
      <w:r>
        <w:rPr>
          <w:snapToGrid w:val="0"/>
        </w:rPr>
        <w:t>.</w:t>
      </w:r>
      <w:r>
        <w:rPr>
          <w:snapToGrid w:val="0"/>
        </w:rPr>
        <w:tab/>
        <w:t>Creation of easements for parking etc.</w:t>
      </w:r>
      <w:bookmarkEnd w:id="899"/>
      <w:bookmarkEnd w:id="900"/>
    </w:p>
    <w:p>
      <w:pPr>
        <w:pStyle w:val="ySubsection"/>
        <w:rPr>
          <w:snapToGrid w:val="0"/>
        </w:rPr>
      </w:pPr>
      <w:r>
        <w:rPr>
          <w:snapToGrid w:val="0"/>
        </w:rPr>
        <w:tab/>
        <w:t>(1)</w:t>
      </w:r>
      <w:r>
        <w:rPr>
          <w:snapToGrid w:val="0"/>
        </w:rPr>
        <w:tab/>
        <w:t>The sketch plan referred to in clause 21T(1)(b) may provide for easements relating to motor vehicle access, parking or turning to be created as a short form easement or restrictive covenant as if the sketch plan were a survey</w:t>
      </w:r>
      <w:r>
        <w:rPr>
          <w:snapToGrid w:val="0"/>
        </w:rPr>
        <w:noBreakHyphen/>
        <w:t>strata plan.</w:t>
      </w:r>
    </w:p>
    <w:p>
      <w:pPr>
        <w:pStyle w:val="ySubsection"/>
        <w:rPr>
          <w:snapToGrid w:val="0"/>
        </w:rPr>
      </w:pPr>
      <w:r>
        <w:rPr>
          <w:snapToGrid w:val="0"/>
        </w:rPr>
        <w:tab/>
        <w:t>(2)</w:t>
      </w:r>
      <w:r>
        <w:rPr>
          <w:snapToGrid w:val="0"/>
        </w:rPr>
        <w:tab/>
        <w:t>Section 33 also applies to the discharge of an easement that is created under subclause (1).</w:t>
      </w:r>
    </w:p>
    <w:p>
      <w:pPr>
        <w:pStyle w:val="ySubsection"/>
        <w:keepNext/>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yIndenta"/>
        <w:rPr>
          <w:snapToGrid w:val="0"/>
        </w:rPr>
      </w:pPr>
      <w:r>
        <w:rPr>
          <w:snapToGrid w:val="0"/>
        </w:rPr>
        <w:tab/>
        <w:t>(a)</w:t>
      </w:r>
      <w:r>
        <w:rPr>
          <w:snapToGrid w:val="0"/>
        </w:rPr>
        <w:tab/>
        <w:t>any easement provided for is created on the registration of the notice of resolution; and</w:t>
      </w:r>
    </w:p>
    <w:p>
      <w:pPr>
        <w:pStyle w:val="y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yFootnotesection"/>
      </w:pPr>
      <w:r>
        <w:tab/>
        <w:t>[Clause 21W, formerly section 21W, inserted: No. 61 of 1996 s. 16; amended, redesignated as clause 21W and relocated: No. 30 of 2018 s. 26 and 117.]</w:t>
      </w:r>
    </w:p>
    <w:p>
      <w:pPr>
        <w:pStyle w:val="yHeading5"/>
        <w:rPr>
          <w:snapToGrid w:val="0"/>
        </w:rPr>
      </w:pPr>
      <w:bookmarkStart w:id="901" w:name="_Toc106986938"/>
      <w:bookmarkStart w:id="902" w:name="_Toc100565236"/>
      <w:r>
        <w:rPr>
          <w:rStyle w:val="CharSClsNo"/>
        </w:rPr>
        <w:t>21X</w:t>
      </w:r>
      <w:r>
        <w:rPr>
          <w:snapToGrid w:val="0"/>
        </w:rPr>
        <w:t>.</w:t>
      </w:r>
      <w:r>
        <w:rPr>
          <w:snapToGrid w:val="0"/>
        </w:rPr>
        <w:tab/>
        <w:t>Registration of notice of resolution</w:t>
      </w:r>
      <w:bookmarkEnd w:id="901"/>
      <w:bookmarkEnd w:id="902"/>
    </w:p>
    <w:p>
      <w:pPr>
        <w:pStyle w:val="ySubsection"/>
        <w:rPr>
          <w:snapToGrid w:val="0"/>
        </w:rPr>
      </w:pPr>
      <w:r>
        <w:rPr>
          <w:snapToGrid w:val="0"/>
        </w:rPr>
        <w:tab/>
      </w:r>
      <w:r>
        <w:rPr>
          <w:snapToGrid w:val="0"/>
        </w:rPr>
        <w:tab/>
        <w:t>The Registrar of Titles is to register the notice of resolution if the requirements of this Division are satisfied.</w:t>
      </w:r>
    </w:p>
    <w:p>
      <w:pPr>
        <w:pStyle w:val="yFootnotesection"/>
      </w:pPr>
      <w:r>
        <w:tab/>
        <w:t>[Clause 21X, formerly section 21X, inserted: No. 61 of 1996 s. 16; redesignated as clause 21X and relocated: No. 30 of 2018 s. 117.]</w:t>
      </w:r>
    </w:p>
    <w:p>
      <w:pPr>
        <w:pStyle w:val="yHeading5"/>
        <w:rPr>
          <w:snapToGrid w:val="0"/>
        </w:rPr>
      </w:pPr>
      <w:bookmarkStart w:id="903" w:name="_Toc106986939"/>
      <w:bookmarkStart w:id="904" w:name="_Toc100565237"/>
      <w:r>
        <w:rPr>
          <w:rStyle w:val="CharSClsNo"/>
        </w:rPr>
        <w:t>21Y</w:t>
      </w:r>
      <w:r>
        <w:rPr>
          <w:snapToGrid w:val="0"/>
        </w:rPr>
        <w:t>.</w:t>
      </w:r>
      <w:r>
        <w:rPr>
          <w:snapToGrid w:val="0"/>
        </w:rPr>
        <w:tab/>
        <w:t>Effect of registration</w:t>
      </w:r>
      <w:bookmarkEnd w:id="903"/>
      <w:bookmarkEnd w:id="904"/>
    </w:p>
    <w:p>
      <w:pPr>
        <w:pStyle w:val="ySubsection"/>
        <w:rPr>
          <w:snapToGrid w:val="0"/>
        </w:rPr>
      </w:pPr>
      <w:r>
        <w:rPr>
          <w:snapToGrid w:val="0"/>
        </w:rPr>
        <w:tab/>
        <w:t>(1)</w:t>
      </w:r>
      <w:r>
        <w:rPr>
          <w:snapToGrid w:val="0"/>
        </w:rPr>
        <w:tab/>
        <w:t>In addition to —</w:t>
      </w:r>
    </w:p>
    <w:p>
      <w:pPr>
        <w:pStyle w:val="y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yIndenta"/>
        <w:rPr>
          <w:snapToGrid w:val="0"/>
        </w:rPr>
      </w:pPr>
      <w:r>
        <w:rPr>
          <w:snapToGrid w:val="0"/>
        </w:rPr>
        <w:tab/>
        <w:t>(b)</w:t>
      </w:r>
      <w:r>
        <w:rPr>
          <w:snapToGrid w:val="0"/>
        </w:rPr>
        <w:tab/>
        <w:t>the creation of a short form easement or restrictive covenant under section 33 as read with clause 21W,</w:t>
      </w:r>
    </w:p>
    <w:p>
      <w:pPr>
        <w:pStyle w:val="ySubsection"/>
        <w:rPr>
          <w:snapToGrid w:val="0"/>
        </w:rPr>
      </w:pPr>
      <w:r>
        <w:rPr>
          <w:snapToGrid w:val="0"/>
        </w:rPr>
        <w:tab/>
      </w:r>
      <w:r>
        <w:rPr>
          <w:snapToGrid w:val="0"/>
        </w:rPr>
        <w:tab/>
        <w:t>the registration of a notice of resolution has the effects described in subclauses (2), (3), (4), (5) and (6).</w:t>
      </w:r>
    </w:p>
    <w:p>
      <w:pPr>
        <w:pStyle w:val="ySubsection"/>
        <w:rPr>
          <w:snapToGrid w:val="0"/>
        </w:rPr>
      </w:pPr>
      <w:r>
        <w:rPr>
          <w:snapToGrid w:val="0"/>
        </w:rPr>
        <w:tab/>
        <w:t>(2)</w:t>
      </w:r>
      <w:r>
        <w:rPr>
          <w:snapToGrid w:val="0"/>
        </w:rPr>
        <w:tab/>
        <w:t>If any land that merges into a lot was before registration of a notice of resolution subject to —</w:t>
      </w:r>
    </w:p>
    <w:p>
      <w:pPr>
        <w:pStyle w:val="y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yIndenta"/>
      </w:pPr>
      <w:r>
        <w:rPr>
          <w:snapToGrid w:val="0"/>
        </w:rPr>
        <w:tab/>
        <w:t>(b)</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ySubsection"/>
        <w:rPr>
          <w:snapToGrid w:val="0"/>
        </w:rPr>
      </w:pPr>
      <w:r>
        <w:rPr>
          <w:snapToGrid w:val="0"/>
        </w:rPr>
        <w:tab/>
        <w:t>(3)</w:t>
      </w:r>
      <w:r>
        <w:rPr>
          <w:snapToGrid w:val="0"/>
        </w:rPr>
        <w:tab/>
        <w:t>Each lot as enlarged or diminished on registration of the notice of resolution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(4)</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(5)</w:t>
      </w:r>
      <w:r>
        <w:rPr>
          <w:snapToGrid w:val="0"/>
        </w:rPr>
        <w:tab/>
        <w:t>The share of the owner of a lot so vested is subject to any encumbrance registered or caveat lodged with the Registrar of Titles against the lot.</w:t>
      </w:r>
    </w:p>
    <w:p>
      <w:pPr>
        <w:pStyle w:val="y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yFootnotesection"/>
      </w:pPr>
      <w:r>
        <w:tab/>
        <w:t>[Clause 21Y, formerly section 21Y, inserted: No. 61 of 1996 s. 16; amended, redesignated as clause 21Y and relocated: No. 30 of 2018 s. 27 and 117.]</w:t>
      </w:r>
    </w:p>
    <w:p>
      <w:pPr>
        <w:pStyle w:val="yHeading5"/>
        <w:rPr>
          <w:snapToGrid w:val="0"/>
        </w:rPr>
      </w:pPr>
      <w:bookmarkStart w:id="905" w:name="_Toc106986940"/>
      <w:bookmarkStart w:id="906" w:name="_Toc100565238"/>
      <w:r>
        <w:rPr>
          <w:rStyle w:val="CharSClsNo"/>
        </w:rPr>
        <w:t>21Z</w:t>
      </w:r>
      <w:r>
        <w:rPr>
          <w:snapToGrid w:val="0"/>
        </w:rPr>
        <w:t>.</w:t>
      </w:r>
      <w:r>
        <w:rPr>
          <w:snapToGrid w:val="0"/>
        </w:rPr>
        <w:tab/>
        <w:t>Registrar of Titles to make necessary amendments</w:t>
      </w:r>
      <w:bookmarkEnd w:id="905"/>
      <w:bookmarkEnd w:id="906"/>
    </w:p>
    <w:p>
      <w:pPr>
        <w:pStyle w:val="ySubsection"/>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21V, 21W and 21Y; and</w:t>
      </w:r>
    </w:p>
    <w:p>
      <w:pPr>
        <w:pStyle w:val="yIndenta"/>
        <w:rPr>
          <w:snapToGrid w:val="0"/>
        </w:rPr>
      </w:pPr>
      <w:r>
        <w:rPr>
          <w:snapToGrid w:val="0"/>
        </w:rPr>
        <w:tab/>
        <w:t>(b)</w:t>
      </w:r>
      <w:r>
        <w:rPr>
          <w:snapToGrid w:val="0"/>
        </w:rPr>
        <w:tab/>
        <w:t>the original certificates of title in respect of the lots, if required, to show any amended unit entitlement.</w:t>
      </w:r>
    </w:p>
    <w:p>
      <w:pPr>
        <w:pStyle w:val="ySubsection"/>
        <w:rPr>
          <w:snapToGrid w:val="0"/>
        </w:rPr>
      </w:pPr>
      <w:r>
        <w:rPr>
          <w:snapToGrid w:val="0"/>
        </w:rPr>
        <w:tab/>
        <w:t>(2)</w:t>
      </w:r>
      <w:r>
        <w:rPr>
          <w:snapToGrid w:val="0"/>
        </w:rPr>
        <w:tab/>
        <w:t xml:space="preserve">The Registrar of Titles may amend the duplicate certificates as mentioned in subclause (1)(b) when they are lodged in the </w:t>
      </w:r>
      <w:r>
        <w:t xml:space="preserve">Authority’s office </w:t>
      </w:r>
      <w:r>
        <w:rPr>
          <w:snapToGrid w:val="0"/>
        </w:rPr>
        <w:t>for the purpose of a dealing.</w:t>
      </w:r>
    </w:p>
    <w:p>
      <w:pPr>
        <w:pStyle w:val="yFootnotesection"/>
      </w:pPr>
      <w:r>
        <w:tab/>
        <w:t>[Clause 21Z, formerly section 21Z, inserted: No. 61 of 1996 s. 16; amended: No. 60 of 2006 s. 160(4); amended, redesignated as clause 21Z and relocated: No. 30 of 2018 s. 28 and 117.]</w:t>
      </w:r>
    </w:p>
    <w:p>
      <w:pPr>
        <w:pStyle w:val="yHeading3"/>
      </w:pPr>
      <w:bookmarkStart w:id="907" w:name="_Toc106986505"/>
      <w:bookmarkStart w:id="908" w:name="_Toc106986941"/>
      <w:bookmarkStart w:id="909" w:name="_Toc100308519"/>
      <w:bookmarkStart w:id="910" w:name="_Toc100308955"/>
      <w:bookmarkStart w:id="911" w:name="_Toc100565239"/>
      <w:r>
        <w:t>Division 2 — Conversion of strata schemes to survey</w:t>
      </w:r>
      <w:r>
        <w:noBreakHyphen/>
        <w:t>strata schemes</w:t>
      </w:r>
      <w:bookmarkEnd w:id="907"/>
      <w:bookmarkEnd w:id="908"/>
      <w:bookmarkEnd w:id="909"/>
      <w:bookmarkEnd w:id="910"/>
      <w:bookmarkEnd w:id="911"/>
    </w:p>
    <w:p>
      <w:pPr>
        <w:pStyle w:val="yFootnoteheading"/>
        <w:keepNext/>
      </w:pPr>
      <w:r>
        <w:tab/>
        <w:t>[Heading inserted: No. 30 of 2018 s. 114.]</w:t>
      </w:r>
    </w:p>
    <w:p>
      <w:pPr>
        <w:pStyle w:val="yHeading5"/>
        <w:rPr>
          <w:snapToGrid w:val="0"/>
        </w:rPr>
      </w:pPr>
      <w:bookmarkStart w:id="912" w:name="_Toc106986942"/>
      <w:bookmarkStart w:id="913" w:name="_Toc100565240"/>
      <w:r>
        <w:rPr>
          <w:rStyle w:val="CharSClsNo"/>
        </w:rPr>
        <w:t>31A</w:t>
      </w:r>
      <w:r>
        <w:rPr>
          <w:snapToGrid w:val="0"/>
        </w:rPr>
        <w:t>.</w:t>
      </w:r>
      <w:r>
        <w:rPr>
          <w:snapToGrid w:val="0"/>
        </w:rPr>
        <w:tab/>
        <w:t>Division only applies to single tier strata schemes registered before 1 January 1998</w:t>
      </w:r>
      <w:bookmarkEnd w:id="912"/>
      <w:bookmarkEnd w:id="913"/>
    </w:p>
    <w:p>
      <w:pPr>
        <w:pStyle w:val="ySubsection"/>
        <w:rPr>
          <w:snapToGrid w:val="0"/>
        </w:rPr>
      </w:pPr>
      <w:r>
        <w:rPr>
          <w:snapToGrid w:val="0"/>
        </w:rPr>
        <w:tab/>
      </w:r>
      <w:r>
        <w:rPr>
          <w:snapToGrid w:val="0"/>
        </w:rPr>
        <w:tab/>
        <w:t>This Division —</w:t>
      </w:r>
    </w:p>
    <w:p>
      <w:pPr>
        <w:pStyle w:val="yIndenta"/>
        <w:rPr>
          <w:snapToGrid w:val="0"/>
        </w:rPr>
      </w:pPr>
      <w:r>
        <w:rPr>
          <w:snapToGrid w:val="0"/>
        </w:rPr>
        <w:tab/>
        <w:t>(a)</w:t>
      </w:r>
      <w:r>
        <w:rPr>
          <w:snapToGrid w:val="0"/>
        </w:rPr>
        <w:tab/>
        <w:t>applies only to a single tier strata scheme; and</w:t>
      </w:r>
    </w:p>
    <w:p>
      <w:pPr>
        <w:pStyle w:val="yIndenta"/>
        <w:rPr>
          <w:snapToGrid w:val="0"/>
        </w:rPr>
      </w:pPr>
      <w:r>
        <w:rPr>
          <w:snapToGrid w:val="0"/>
        </w:rPr>
        <w:tab/>
        <w:t>(b)</w:t>
      </w:r>
      <w:r>
        <w:rPr>
          <w:snapToGrid w:val="0"/>
        </w:rPr>
        <w:tab/>
        <w:t>does not apply to such a scheme the strata plan for which is registered on or after 1 January 1998.</w:t>
      </w:r>
    </w:p>
    <w:p>
      <w:pPr>
        <w:pStyle w:val="yFootnotesection"/>
      </w:pPr>
      <w:r>
        <w:tab/>
        <w:t>[Clause 31A, formerly section 31A, inserted: No. 61 of 1996 s. 21; redesignated as cl. 31A and relocated: No. 30 of 2018 s. 117.]</w:t>
      </w:r>
    </w:p>
    <w:p>
      <w:pPr>
        <w:pStyle w:val="yHeading5"/>
        <w:rPr>
          <w:snapToGrid w:val="0"/>
        </w:rPr>
      </w:pPr>
      <w:bookmarkStart w:id="914" w:name="_Toc106986943"/>
      <w:bookmarkStart w:id="915" w:name="_Toc100565241"/>
      <w:r>
        <w:rPr>
          <w:rStyle w:val="CharSClsNo"/>
        </w:rPr>
        <w:t>31B</w:t>
      </w:r>
      <w:r>
        <w:rPr>
          <w:snapToGrid w:val="0"/>
        </w:rPr>
        <w:t>.</w:t>
      </w:r>
      <w:r>
        <w:rPr>
          <w:snapToGrid w:val="0"/>
        </w:rPr>
        <w:tab/>
        <w:t>Saving</w:t>
      </w:r>
      <w:bookmarkEnd w:id="914"/>
      <w:bookmarkEnd w:id="915"/>
    </w:p>
    <w:p>
      <w:pPr>
        <w:pStyle w:val="ySubsection"/>
        <w:rPr>
          <w:snapToGrid w:val="0"/>
        </w:rPr>
      </w:pPr>
      <w:r>
        <w:rPr>
          <w:snapToGrid w:val="0"/>
        </w:rPr>
        <w:tab/>
      </w:r>
      <w:r>
        <w:rPr>
          <w:snapToGrid w:val="0"/>
        </w:rPr>
        <w:tab/>
        <w:t>Nothing in this Division prevents or limits the termination of a strata scheme and the subsequent subdivision of the land by a strata titles scheme.</w:t>
      </w:r>
    </w:p>
    <w:p>
      <w:pPr>
        <w:pStyle w:val="yFootnotesection"/>
      </w:pPr>
      <w:r>
        <w:tab/>
        <w:t>[Clause 31B, formerly section 31B, inserted: No. 61 of 1996 s. 21; amended, redesignated as cl. 31B and relocated: No. 30 of 2018 s. 36 and 117.]</w:t>
      </w:r>
    </w:p>
    <w:p>
      <w:pPr>
        <w:pStyle w:val="yHeading5"/>
        <w:rPr>
          <w:snapToGrid w:val="0"/>
        </w:rPr>
      </w:pPr>
      <w:bookmarkStart w:id="916" w:name="_Toc106986944"/>
      <w:bookmarkStart w:id="917" w:name="_Toc100565242"/>
      <w:r>
        <w:rPr>
          <w:rStyle w:val="CharSClsNo"/>
        </w:rPr>
        <w:t>31C</w:t>
      </w:r>
      <w:r>
        <w:rPr>
          <w:snapToGrid w:val="0"/>
        </w:rPr>
        <w:t>.</w:t>
      </w:r>
      <w:r>
        <w:rPr>
          <w:snapToGrid w:val="0"/>
        </w:rPr>
        <w:tab/>
        <w:t>Resolution by strata company</w:t>
      </w:r>
      <w:bookmarkEnd w:id="916"/>
      <w:bookmarkEnd w:id="917"/>
    </w:p>
    <w:p>
      <w:pPr>
        <w:pStyle w:val="ySubsection"/>
        <w:rPr>
          <w:snapToGrid w:val="0"/>
        </w:rPr>
      </w:pPr>
      <w:r>
        <w:rPr>
          <w:snapToGrid w:val="0"/>
        </w:rPr>
        <w:tab/>
        <w:t>(1)</w:t>
      </w:r>
      <w:r>
        <w:rPr>
          <w:snapToGrid w:val="0"/>
        </w:rPr>
        <w:tab/>
        <w:t>A strata company for a strata scheme may by unanimous resolution in the approved form resolve that the scheme be converted to a survey</w:t>
      </w:r>
      <w:r>
        <w:rPr>
          <w:snapToGrid w:val="0"/>
        </w:rPr>
        <w:noBreakHyphen/>
        <w:t>strata scheme.</w:t>
      </w:r>
    </w:p>
    <w:p>
      <w:pPr>
        <w:pStyle w:val="ySubsection"/>
        <w:rPr>
          <w:snapToGrid w:val="0"/>
        </w:rPr>
      </w:pPr>
      <w:r>
        <w:rPr>
          <w:snapToGrid w:val="0"/>
        </w:rPr>
        <w:tab/>
        <w:t>(2)</w:t>
      </w:r>
      <w:r>
        <w:rPr>
          <w:snapToGrid w:val="0"/>
        </w:rPr>
        <w:tab/>
        <w:t>The resolution is to specify any easement that is to be created in terms of clause 31G.</w:t>
      </w:r>
    </w:p>
    <w:p>
      <w:pPr>
        <w:pStyle w:val="ySubsection"/>
        <w:rPr>
          <w:snapToGrid w:val="0"/>
        </w:rPr>
      </w:pPr>
      <w:r>
        <w:rPr>
          <w:snapToGrid w:val="0"/>
        </w:rPr>
        <w:tab/>
        <w:t>(3)</w:t>
      </w:r>
      <w:r>
        <w:rPr>
          <w:snapToGrid w:val="0"/>
        </w:rPr>
        <w:tab/>
        <w:t xml:space="preserve">A resolution cannot be passed under </w:t>
      </w:r>
      <w:r>
        <w:t>sub</w:t>
      </w:r>
      <w:r>
        <w:rPr>
          <w:snapToGrid w:val="0"/>
        </w:rPr>
        <w:t>clause (1) that would, on registration under clause 31I of a notice of resolution, increase the number of lots in the scheme.</w:t>
      </w:r>
    </w:p>
    <w:p>
      <w:pPr>
        <w:pStyle w:val="yEdnotesubsection"/>
      </w:pPr>
      <w:r>
        <w:tab/>
        <w:t>[(4)</w:t>
      </w:r>
      <w:r>
        <w:tab/>
        <w:t>deleted]</w:t>
      </w:r>
    </w:p>
    <w:p>
      <w:pPr>
        <w:pStyle w:val="yFootnotesection"/>
      </w:pPr>
      <w:r>
        <w:tab/>
        <w:t>[Clause 31C, formerly section 31C, inserted: No. 61 of 1996 s. 21; amended, redesignated as cl. 31C and relocated: No. 30 of 2018 s. 37 and 117.]</w:t>
      </w:r>
    </w:p>
    <w:p>
      <w:pPr>
        <w:pStyle w:val="yHeading5"/>
        <w:rPr>
          <w:snapToGrid w:val="0"/>
        </w:rPr>
      </w:pPr>
      <w:bookmarkStart w:id="918" w:name="_Toc106986945"/>
      <w:bookmarkStart w:id="919" w:name="_Toc100565243"/>
      <w:r>
        <w:rPr>
          <w:rStyle w:val="CharSClsNo"/>
        </w:rPr>
        <w:t>31D</w:t>
      </w:r>
      <w:r>
        <w:rPr>
          <w:snapToGrid w:val="0"/>
        </w:rPr>
        <w:t>.</w:t>
      </w:r>
      <w:r>
        <w:rPr>
          <w:snapToGrid w:val="0"/>
        </w:rPr>
        <w:tab/>
        <w:t>Notice of resolution may be lodged for registration</w:t>
      </w:r>
      <w:bookmarkEnd w:id="918"/>
      <w:bookmarkEnd w:id="919"/>
    </w:p>
    <w:p>
      <w:pPr>
        <w:pStyle w:val="y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ySubsection"/>
        <w:rPr>
          <w:snapToGrid w:val="0"/>
        </w:rPr>
      </w:pPr>
      <w:r>
        <w:rPr>
          <w:snapToGrid w:val="0"/>
        </w:rPr>
        <w:tab/>
        <w:t>(2)</w:t>
      </w:r>
      <w:r>
        <w:rPr>
          <w:snapToGrid w:val="0"/>
        </w:rPr>
        <w:tab/>
        <w:t xml:space="preserve">The notice may be lodged in any case by the strata company or alternatively, in the case of a strata scheme in which there are not more than 5 lots, by all of the </w:t>
      </w:r>
      <w:r>
        <w:t>owners</w:t>
      </w:r>
      <w:r>
        <w:rPr>
          <w:snapToGrid w:val="0"/>
        </w:rPr>
        <w:t xml:space="preserve"> of lots in the scheme.</w:t>
      </w:r>
    </w:p>
    <w:p>
      <w:pPr>
        <w:pStyle w:val="ySubsection"/>
        <w:rPr>
          <w:snapToGrid w:val="0"/>
        </w:rPr>
      </w:pPr>
      <w:r>
        <w:rPr>
          <w:snapToGrid w:val="0"/>
        </w:rPr>
        <w:tab/>
        <w:t>(3)</w:t>
      </w:r>
      <w:r>
        <w:rPr>
          <w:snapToGrid w:val="0"/>
        </w:rPr>
        <w:tab/>
        <w:t>The notice of resolution —</w:t>
      </w:r>
    </w:p>
    <w:p>
      <w:pPr>
        <w:pStyle w:val="yIndenta"/>
        <w:rPr>
          <w:snapToGrid w:val="0"/>
        </w:rPr>
      </w:pPr>
      <w:r>
        <w:rPr>
          <w:snapToGrid w:val="0"/>
        </w:rPr>
        <w:tab/>
        <w:t>(a)</w:t>
      </w:r>
      <w:r>
        <w:rPr>
          <w:snapToGrid w:val="0"/>
        </w:rPr>
        <w:tab/>
        <w:t>if it is lodged by the strata company, is to be executed by the strata company; or</w:t>
      </w:r>
    </w:p>
    <w:p>
      <w:pPr>
        <w:pStyle w:val="yIndenta"/>
        <w:rPr>
          <w:snapToGrid w:val="0"/>
        </w:rPr>
      </w:pPr>
      <w:r>
        <w:rPr>
          <w:snapToGrid w:val="0"/>
        </w:rPr>
        <w:tab/>
        <w:t>(b)</w:t>
      </w:r>
      <w:r>
        <w:rPr>
          <w:snapToGrid w:val="0"/>
        </w:rPr>
        <w:tab/>
        <w:t>if it is lodged by the owners of lots, is to be signed by each owner.</w:t>
      </w:r>
    </w:p>
    <w:p>
      <w:pPr>
        <w:pStyle w:val="yFootnotesection"/>
      </w:pPr>
      <w:r>
        <w:tab/>
        <w:t>[Clause 31D, formerly section 31D, inserted: No. 61 of 1996 s. 21; amended, redesignated as cl. 31D and relocated: No. 30 of 2018 s. 38 and 117.]</w:t>
      </w:r>
    </w:p>
    <w:p>
      <w:pPr>
        <w:pStyle w:val="yHeading5"/>
        <w:rPr>
          <w:snapToGrid w:val="0"/>
        </w:rPr>
      </w:pPr>
      <w:bookmarkStart w:id="920" w:name="_Toc106986946"/>
      <w:bookmarkStart w:id="921" w:name="_Toc100565244"/>
      <w:r>
        <w:rPr>
          <w:rStyle w:val="CharSClsNo"/>
        </w:rPr>
        <w:t>31E</w:t>
      </w:r>
      <w:r>
        <w:rPr>
          <w:snapToGrid w:val="0"/>
        </w:rPr>
        <w:t>.</w:t>
      </w:r>
      <w:r>
        <w:rPr>
          <w:snapToGrid w:val="0"/>
        </w:rPr>
        <w:tab/>
        <w:t>Documents to accompany notice</w:t>
      </w:r>
      <w:bookmarkEnd w:id="920"/>
      <w:bookmarkEnd w:id="921"/>
    </w:p>
    <w:p>
      <w:pPr>
        <w:pStyle w:val="ySubsection"/>
        <w:rPr>
          <w:snapToGrid w:val="0"/>
        </w:rPr>
      </w:pPr>
      <w:r>
        <w:rPr>
          <w:snapToGrid w:val="0"/>
        </w:rPr>
        <w:tab/>
        <w:t>(1)</w:t>
      </w:r>
      <w:r>
        <w:rPr>
          <w:snapToGrid w:val="0"/>
        </w:rPr>
        <w:tab/>
        <w:t>The notice of resolution is to be accompanied by —</w:t>
      </w:r>
    </w:p>
    <w:p>
      <w:pPr>
        <w:pStyle w:val="yIndenta"/>
        <w:rPr>
          <w:snapToGrid w:val="0"/>
        </w:rPr>
      </w:pPr>
      <w:r>
        <w:rPr>
          <w:snapToGrid w:val="0"/>
        </w:rPr>
        <w:tab/>
        <w:t>(a)</w:t>
      </w:r>
      <w:r>
        <w:rPr>
          <w:snapToGrid w:val="0"/>
        </w:rPr>
        <w:tab/>
        <w:t>a survey</w:t>
      </w:r>
      <w:r>
        <w:rPr>
          <w:snapToGrid w:val="0"/>
        </w:rPr>
        <w:noBreakHyphen/>
        <w:t>strata plan in respect of the parcel —</w:t>
      </w:r>
    </w:p>
    <w:p>
      <w:pPr>
        <w:pStyle w:val="yIndenti0"/>
        <w:rPr>
          <w:snapToGrid w:val="0"/>
        </w:rPr>
      </w:pPr>
      <w:r>
        <w:rPr>
          <w:snapToGrid w:val="0"/>
        </w:rPr>
        <w:tab/>
        <w:t>(i)</w:t>
      </w:r>
      <w:r>
        <w:rPr>
          <w:snapToGrid w:val="0"/>
        </w:rPr>
        <w:tab/>
        <w:t>showing in the manner specified in the regulations —</w:t>
      </w:r>
    </w:p>
    <w:p>
      <w:pPr>
        <w:pStyle w:val="yIndentI"/>
        <w:rPr>
          <w:snapToGrid w:val="0"/>
        </w:rPr>
      </w:pPr>
      <w:r>
        <w:rPr>
          <w:snapToGrid w:val="0"/>
        </w:rPr>
        <w:tab/>
        <w:t>(I)</w:t>
      </w:r>
      <w:r>
        <w:rPr>
          <w:snapToGrid w:val="0"/>
        </w:rPr>
        <w:tab/>
        <w:t>the boundaries of the lots and common property; and</w:t>
      </w:r>
    </w:p>
    <w:p>
      <w:pPr>
        <w:pStyle w:val="yIndentI"/>
        <w:rPr>
          <w:snapToGrid w:val="0"/>
        </w:rPr>
      </w:pPr>
      <w:r>
        <w:rPr>
          <w:snapToGrid w:val="0"/>
        </w:rPr>
        <w:tab/>
        <w:t>(II)</w:t>
      </w:r>
      <w:r>
        <w:rPr>
          <w:snapToGrid w:val="0"/>
        </w:rPr>
        <w:tab/>
        <w:t>the location of a short form easement or restrictive covenant that is to be created under section 33 as read with clause 31G,</w:t>
      </w:r>
    </w:p>
    <w:p>
      <w:pPr>
        <w:pStyle w:val="yIndenti0"/>
        <w:rPr>
          <w:snapToGrid w:val="0"/>
        </w:rPr>
      </w:pPr>
      <w:r>
        <w:rPr>
          <w:snapToGrid w:val="0"/>
        </w:rPr>
        <w:tab/>
      </w:r>
      <w:r>
        <w:rPr>
          <w:snapToGrid w:val="0"/>
        </w:rPr>
        <w:tab/>
        <w:t>by dimensions and survey information obtained from a survey of the parcel; and</w:t>
      </w:r>
    </w:p>
    <w:p>
      <w:pPr>
        <w:pStyle w:val="yIndenti0"/>
        <w:rPr>
          <w:snapToGrid w:val="0"/>
        </w:rPr>
      </w:pPr>
      <w:r>
        <w:rPr>
          <w:snapToGrid w:val="0"/>
        </w:rPr>
        <w:tab/>
        <w:t>(ii)</w:t>
      </w:r>
      <w:r>
        <w:rPr>
          <w:snapToGrid w:val="0"/>
        </w:rPr>
        <w:tab/>
        <w:t>bearing a statement containing such particulars as may be necessary to identify the title to the parcel; and</w:t>
      </w:r>
    </w:p>
    <w:p>
      <w:pPr>
        <w:pStyle w:val="yIndenti0"/>
        <w:rPr>
          <w:snapToGrid w:val="0"/>
        </w:rPr>
      </w:pPr>
      <w:r>
        <w:rPr>
          <w:snapToGrid w:val="0"/>
        </w:rPr>
        <w:tab/>
        <w:t>(iii)</w:t>
      </w:r>
      <w:r>
        <w:rPr>
          <w:snapToGrid w:val="0"/>
        </w:rPr>
        <w:tab/>
        <w:t>showing the area of each lot and of any common property; and</w:t>
      </w:r>
    </w:p>
    <w:p>
      <w:pPr>
        <w:pStyle w:val="yIndenti0"/>
        <w:rPr>
          <w:snapToGrid w:val="0"/>
        </w:rPr>
      </w:pPr>
      <w:r>
        <w:rPr>
          <w:snapToGrid w:val="0"/>
        </w:rPr>
        <w:tab/>
        <w:t>(iv)</w:t>
      </w:r>
      <w:r>
        <w:rPr>
          <w:snapToGrid w:val="0"/>
        </w:rPr>
        <w:tab/>
        <w:t>having endorsed on it —</w:t>
      </w:r>
    </w:p>
    <w:p>
      <w:pPr>
        <w:pStyle w:val="yIndentI"/>
        <w:rPr>
          <w:snapToGrid w:val="0"/>
        </w:rPr>
      </w:pPr>
      <w:r>
        <w:rPr>
          <w:snapToGrid w:val="0"/>
        </w:rPr>
        <w:tab/>
        <w:t>(I)</w:t>
      </w:r>
      <w:r>
        <w:rPr>
          <w:snapToGrid w:val="0"/>
        </w:rPr>
        <w:tab/>
        <w:t>the name of the scheme; and</w:t>
      </w:r>
    </w:p>
    <w:p>
      <w:pPr>
        <w:pStyle w:val="yIndentI"/>
        <w:rPr>
          <w:snapToGrid w:val="0"/>
        </w:rPr>
      </w:pPr>
      <w:r>
        <w:rPr>
          <w:snapToGrid w:val="0"/>
        </w:rPr>
        <w:tab/>
        <w:t>(II)</w:t>
      </w:r>
      <w:r>
        <w:rPr>
          <w:snapToGrid w:val="0"/>
        </w:rPr>
        <w:tab/>
        <w:t>the address of the parcel;</w:t>
      </w:r>
    </w:p>
    <w:p>
      <w:pPr>
        <w:pStyle w:val="yIndenti0"/>
        <w:rPr>
          <w:snapToGrid w:val="0"/>
        </w:rPr>
      </w:pPr>
      <w:r>
        <w:rPr>
          <w:snapToGrid w:val="0"/>
        </w:rPr>
        <w:tab/>
      </w:r>
      <w:r>
        <w:rPr>
          <w:snapToGrid w:val="0"/>
        </w:rPr>
        <w:tab/>
        <w:t>and</w:t>
      </w:r>
    </w:p>
    <w:p>
      <w:pPr>
        <w:pStyle w:val="yIndenti0"/>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certificate given by a licensed surveyor in accordance with clause 31F; and</w:t>
      </w:r>
    </w:p>
    <w:p>
      <w:pPr>
        <w:pStyle w:val="yIndenta"/>
        <w:rPr>
          <w:snapToGrid w:val="0"/>
        </w:rPr>
      </w:pPr>
      <w:r>
        <w:rPr>
          <w:snapToGrid w:val="0"/>
        </w:rPr>
        <w:tab/>
        <w:t>(c)</w:t>
      </w:r>
      <w:r>
        <w:rPr>
          <w:snapToGrid w:val="0"/>
        </w:rPr>
        <w:tab/>
        <w:t>a schedule specifying, in a whole number —</w:t>
      </w:r>
    </w:p>
    <w:p>
      <w:pPr>
        <w:pStyle w:val="yIndenti0"/>
        <w:rPr>
          <w:snapToGrid w:val="0"/>
        </w:rPr>
      </w:pPr>
      <w:r>
        <w:rPr>
          <w:snapToGrid w:val="0"/>
        </w:rPr>
        <w:tab/>
        <w:t>(i)</w:t>
      </w:r>
      <w:r>
        <w:rPr>
          <w:snapToGrid w:val="0"/>
        </w:rPr>
        <w:tab/>
        <w:t>the proposed unit entitlement in respect of each lot; and</w:t>
      </w:r>
    </w:p>
    <w:p>
      <w:pPr>
        <w:pStyle w:val="yIndenti0"/>
        <w:rPr>
          <w:snapToGrid w:val="0"/>
        </w:rPr>
      </w:pPr>
      <w:r>
        <w:rPr>
          <w:snapToGrid w:val="0"/>
        </w:rPr>
        <w:tab/>
        <w:t>(ii)</w:t>
      </w:r>
      <w:r>
        <w:rPr>
          <w:snapToGrid w:val="0"/>
        </w:rPr>
        <w:tab/>
        <w:t>the sum of the unit entitlements of all the lots in the strata titles scheme;</w:t>
      </w:r>
    </w:p>
    <w:p>
      <w:pPr>
        <w:pStyle w:val="yIndenta"/>
        <w:rPr>
          <w:snapToGrid w:val="0"/>
        </w:rPr>
      </w:pPr>
      <w:r>
        <w:rPr>
          <w:snapToGrid w:val="0"/>
        </w:rPr>
        <w:tab/>
      </w:r>
      <w:r>
        <w:rPr>
          <w:snapToGrid w:val="0"/>
        </w:rPr>
        <w:tab/>
        <w:t>and</w:t>
      </w:r>
    </w:p>
    <w:p>
      <w:pPr>
        <w:pStyle w:val="yIndenta"/>
      </w:pPr>
      <w:r>
        <w:rPr>
          <w:snapToGrid w:val="0"/>
        </w:rPr>
        <w:tab/>
        <w:t>(d)</w:t>
      </w:r>
      <w:r>
        <w:rPr>
          <w:snapToGrid w:val="0"/>
        </w:rPr>
        <w:tab/>
        <w:t>a certificate of a licensed valuer as required for a schedule of unit entitlements; and</w:t>
      </w:r>
    </w:p>
    <w:p>
      <w:pPr>
        <w:pStyle w:val="yIndenta"/>
        <w:rPr>
          <w:snapToGrid w:val="0"/>
        </w:rPr>
      </w:pPr>
      <w:r>
        <w:rPr>
          <w:snapToGrid w:val="0"/>
        </w:rPr>
        <w:tab/>
        <w:t>(e)</w:t>
      </w:r>
      <w:r>
        <w:rPr>
          <w:snapToGrid w:val="0"/>
        </w:rPr>
        <w:tab/>
        <w:t>a certificate given by every person, other than the owner of a lot, who —</w:t>
      </w:r>
    </w:p>
    <w:p>
      <w:pPr>
        <w:pStyle w:val="yIndenti0"/>
        <w:rPr>
          <w:snapToGrid w:val="0"/>
        </w:rPr>
      </w:pPr>
      <w:r>
        <w:rPr>
          <w:snapToGrid w:val="0"/>
        </w:rPr>
        <w:tab/>
        <w:t>(i)</w:t>
      </w:r>
      <w:r>
        <w:rPr>
          <w:snapToGrid w:val="0"/>
        </w:rPr>
        <w:tab/>
        <w:t>has a registered interest in; or</w:t>
      </w:r>
    </w:p>
    <w:p>
      <w:pPr>
        <w:pStyle w:val="yIndenti0"/>
        <w:rPr>
          <w:snapToGrid w:val="0"/>
        </w:rPr>
      </w:pPr>
      <w:r>
        <w:rPr>
          <w:snapToGrid w:val="0"/>
        </w:rPr>
        <w:tab/>
        <w:t>(ii)</w:t>
      </w:r>
      <w:r>
        <w:rPr>
          <w:snapToGrid w:val="0"/>
        </w:rPr>
        <w:tab/>
        <w:t>is a caveator in respect of,</w:t>
      </w:r>
    </w:p>
    <w:p>
      <w:pPr>
        <w:pStyle w:val="yIndenta"/>
        <w:rPr>
          <w:snapToGrid w:val="0"/>
        </w:rPr>
      </w:pPr>
      <w:r>
        <w:rPr>
          <w:snapToGrid w:val="0"/>
        </w:rPr>
        <w:tab/>
      </w:r>
      <w:r>
        <w:rPr>
          <w:snapToGrid w:val="0"/>
        </w:rPr>
        <w:tab/>
        <w:t>a lot certifying the person’s consent to the proposed schedule of unit entitlements.</w:t>
      </w:r>
    </w:p>
    <w:p>
      <w:pPr>
        <w:pStyle w:val="ySubsection"/>
        <w:rPr>
          <w:snapToGrid w:val="0"/>
        </w:rPr>
      </w:pPr>
      <w:r>
        <w:rPr>
          <w:snapToGrid w:val="0"/>
        </w:rPr>
        <w:tab/>
        <w:t>(2)</w:t>
      </w:r>
      <w:r>
        <w:rPr>
          <w:snapToGrid w:val="0"/>
        </w:rPr>
        <w:tab/>
        <w:t xml:space="preserve">If the duplicate certificate of title issued for a lot is produced by a registered mortgagee of the lot for the registration of a notice of resolution under clause 31I, a certificate of that mortgagee is not required for the purposes of </w:t>
      </w:r>
      <w:r>
        <w:t>sub</w:t>
      </w:r>
      <w:r>
        <w:rPr>
          <w:snapToGrid w:val="0"/>
        </w:rPr>
        <w:t>clause (1)(e).</w:t>
      </w:r>
    </w:p>
    <w:p>
      <w:pPr>
        <w:pStyle w:val="yFootnotesection"/>
      </w:pPr>
      <w:r>
        <w:tab/>
        <w:t>[Clause 31E, formerly section 31E, inserted: No. 61 of 1996 s. 21; amended, redesignated as cl. 31E and relocated: No. 30 of 2018 s. 39 and 117.]</w:t>
      </w:r>
    </w:p>
    <w:p>
      <w:pPr>
        <w:pStyle w:val="yHeading5"/>
        <w:rPr>
          <w:snapToGrid w:val="0"/>
        </w:rPr>
      </w:pPr>
      <w:bookmarkStart w:id="922" w:name="_Toc106986947"/>
      <w:bookmarkStart w:id="923" w:name="_Toc100565245"/>
      <w:r>
        <w:rPr>
          <w:rStyle w:val="CharSClsNo"/>
        </w:rPr>
        <w:t>31F</w:t>
      </w:r>
      <w:r>
        <w:rPr>
          <w:snapToGrid w:val="0"/>
        </w:rPr>
        <w:t>.</w:t>
      </w:r>
      <w:r>
        <w:rPr>
          <w:snapToGrid w:val="0"/>
        </w:rPr>
        <w:tab/>
        <w:t>Certificate of licensed surveyor</w:t>
      </w:r>
      <w:bookmarkEnd w:id="922"/>
      <w:bookmarkEnd w:id="923"/>
    </w:p>
    <w:p>
      <w:pPr>
        <w:pStyle w:val="ySubsection"/>
        <w:rPr>
          <w:snapToGrid w:val="0"/>
        </w:rPr>
      </w:pPr>
      <w:r>
        <w:rPr>
          <w:snapToGrid w:val="0"/>
        </w:rPr>
        <w:tab/>
        <w:t>(1)</w:t>
      </w:r>
      <w:r>
        <w:rPr>
          <w:snapToGrid w:val="0"/>
        </w:rPr>
        <w:tab/>
        <w:t>The certificate of a licensed surveyor referred to in clause</w:t>
      </w:r>
      <w:r>
        <w:t> 31E(1)(b)</w:t>
      </w:r>
      <w:r>
        <w:rPr>
          <w:snapToGrid w:val="0"/>
        </w:rPr>
        <w:t xml:space="preserve"> is to comply with —</w:t>
      </w:r>
    </w:p>
    <w:p>
      <w:pPr>
        <w:pStyle w:val="yIndenta"/>
        <w:rPr>
          <w:snapToGrid w:val="0"/>
        </w:rPr>
      </w:pPr>
      <w:r>
        <w:rPr>
          <w:snapToGrid w:val="0"/>
        </w:rPr>
        <w:tab/>
        <w:t>(a)</w:t>
      </w:r>
      <w:r>
        <w:rPr>
          <w:snapToGrid w:val="0"/>
        </w:rPr>
        <w:tab/>
        <w:t>this clause; and</w:t>
      </w:r>
    </w:p>
    <w:p>
      <w:pPr>
        <w:pStyle w:val="yIndenta"/>
        <w:rPr>
          <w:snapToGrid w:val="0"/>
        </w:rPr>
      </w:pPr>
      <w:r>
        <w:rPr>
          <w:snapToGrid w:val="0"/>
        </w:rPr>
        <w:tab/>
        <w:t>(b)</w:t>
      </w:r>
      <w:r>
        <w:rPr>
          <w:snapToGrid w:val="0"/>
        </w:rPr>
        <w:tab/>
        <w:t>any requirement made by the regulations for the purposes of this clause.</w:t>
      </w:r>
    </w:p>
    <w:p>
      <w:pPr>
        <w:pStyle w:val="ySubsection"/>
        <w:rPr>
          <w:snapToGrid w:val="0"/>
        </w:rPr>
      </w:pPr>
      <w:r>
        <w:rPr>
          <w:snapToGrid w:val="0"/>
        </w:rPr>
        <w:tab/>
        <w:t>(2)</w:t>
      </w:r>
      <w:r>
        <w:rPr>
          <w:snapToGrid w:val="0"/>
        </w:rPr>
        <w:tab/>
        <w:t>The surveyor is to certify —</w:t>
      </w:r>
    </w:p>
    <w:p>
      <w:pPr>
        <w:pStyle w:val="y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y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y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yIndenta"/>
        <w:rPr>
          <w:snapToGrid w:val="0"/>
        </w:rPr>
      </w:pPr>
      <w:r>
        <w:rPr>
          <w:snapToGrid w:val="0"/>
        </w:rPr>
        <w:tab/>
        <w:t>(d)</w:t>
      </w:r>
      <w:r>
        <w:rPr>
          <w:snapToGrid w:val="0"/>
        </w:rPr>
        <w:tab/>
        <w:t>that if 2 lots have a common or party wall, the centre plane of that wall is on the boundary of the lots; and</w:t>
      </w:r>
    </w:p>
    <w:p>
      <w:pPr>
        <w:pStyle w:val="yIndenta"/>
        <w:rPr>
          <w:snapToGrid w:val="0"/>
        </w:rPr>
      </w:pPr>
      <w:r>
        <w:rPr>
          <w:snapToGrid w:val="0"/>
        </w:rPr>
        <w:tab/>
        <w:t>(e)</w:t>
      </w:r>
      <w:r>
        <w:rPr>
          <w:snapToGrid w:val="0"/>
        </w:rPr>
        <w:tab/>
        <w:t>in accordance with subclause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yIndenti0"/>
        <w:rPr>
          <w:snapToGrid w:val="0"/>
        </w:rPr>
      </w:pPr>
      <w:r>
        <w:rPr>
          <w:snapToGrid w:val="0"/>
        </w:rPr>
        <w:tab/>
        <w:t>(i)</w:t>
      </w:r>
      <w:r>
        <w:rPr>
          <w:snapToGrid w:val="0"/>
        </w:rPr>
        <w:tab/>
        <w:t>are provided for in accordance with that scheme at the time when the certificate is given; or</w:t>
      </w:r>
    </w:p>
    <w:p>
      <w:pPr>
        <w:pStyle w:val="yIndenti0"/>
        <w:rPr>
          <w:snapToGrid w:val="0"/>
        </w:rPr>
      </w:pPr>
      <w:r>
        <w:rPr>
          <w:snapToGrid w:val="0"/>
        </w:rPr>
        <w:tab/>
        <w:t>(ii)</w:t>
      </w:r>
      <w:r>
        <w:rPr>
          <w:snapToGrid w:val="0"/>
        </w:rPr>
        <w:tab/>
        <w:t>will be provided for when the notice of resolution and the documents referred to in clause 31H are registered.</w:t>
      </w:r>
    </w:p>
    <w:p>
      <w:pPr>
        <w:pStyle w:val="ySubsection"/>
        <w:rPr>
          <w:snapToGrid w:val="0"/>
        </w:rPr>
      </w:pPr>
      <w:r>
        <w:rPr>
          <w:snapToGrid w:val="0"/>
        </w:rPr>
        <w:tab/>
        <w:t>(3)</w:t>
      </w:r>
      <w:r>
        <w:rPr>
          <w:snapToGrid w:val="0"/>
        </w:rPr>
        <w:tab/>
        <w:t>The regulations may prescribe matters —</w:t>
      </w:r>
    </w:p>
    <w:p>
      <w:pPr>
        <w:pStyle w:val="yIndenta"/>
        <w:rPr>
          <w:snapToGrid w:val="0"/>
        </w:rPr>
      </w:pPr>
      <w:r>
        <w:rPr>
          <w:snapToGrid w:val="0"/>
        </w:rPr>
        <w:tab/>
        <w:t>(a)</w:t>
      </w:r>
      <w:r>
        <w:rPr>
          <w:snapToGrid w:val="0"/>
        </w:rPr>
        <w:tab/>
        <w:t>as to which the surveyor is to certify under subclause (2)(e); or</w:t>
      </w:r>
    </w:p>
    <w:p>
      <w:pPr>
        <w:pStyle w:val="yIndenta"/>
        <w:rPr>
          <w:snapToGrid w:val="0"/>
        </w:rPr>
      </w:pPr>
      <w:r>
        <w:rPr>
          <w:snapToGrid w:val="0"/>
        </w:rPr>
        <w:tab/>
        <w:t>(b)</w:t>
      </w:r>
      <w:r>
        <w:rPr>
          <w:snapToGrid w:val="0"/>
        </w:rPr>
        <w:tab/>
        <w:t>which are to be specifically dealt with in the certificate.</w:t>
      </w:r>
    </w:p>
    <w:p>
      <w:pPr>
        <w:pStyle w:val="ySubsection"/>
        <w:rPr>
          <w:snapToGrid w:val="0"/>
        </w:rPr>
      </w:pPr>
      <w:r>
        <w:rPr>
          <w:snapToGrid w:val="0"/>
        </w:rPr>
        <w:tab/>
        <w:t>(4)</w:t>
      </w:r>
      <w:r>
        <w:rPr>
          <w:snapToGrid w:val="0"/>
        </w:rPr>
        <w:tab/>
        <w:t xml:space="preserve">A certification under subclause (2)(e) is to relate to matters prescribed for the purposes of subclause (3)(a) and not to other matters arising under the relevant local planning scheme </w:t>
      </w:r>
      <w:r>
        <w:t>or improvement scheme.</w:t>
      </w:r>
    </w:p>
    <w:p>
      <w:pPr>
        <w:pStyle w:val="yFootnotesection"/>
      </w:pPr>
      <w:r>
        <w:tab/>
        <w:t>[Clause 31F, formerly section 31F, inserted: No. 61 of 1996 s. 21; amended: No. 38 of 2005 s. 15; No. 28 of 2010 s. 37(5) and (6); amended, redesignated as cl. 31F and relocated: No. 30 of 2018 s. 40 and 117.]</w:t>
      </w:r>
    </w:p>
    <w:p>
      <w:pPr>
        <w:pStyle w:val="yHeading5"/>
        <w:rPr>
          <w:snapToGrid w:val="0"/>
        </w:rPr>
      </w:pPr>
      <w:bookmarkStart w:id="924" w:name="_Toc106986948"/>
      <w:bookmarkStart w:id="925" w:name="_Toc100565246"/>
      <w:r>
        <w:rPr>
          <w:rStyle w:val="CharSClsNo"/>
        </w:rPr>
        <w:t>31G</w:t>
      </w:r>
      <w:r>
        <w:rPr>
          <w:snapToGrid w:val="0"/>
        </w:rPr>
        <w:t>.</w:t>
      </w:r>
      <w:r>
        <w:rPr>
          <w:snapToGrid w:val="0"/>
        </w:rPr>
        <w:tab/>
        <w:t>Creation of easements</w:t>
      </w:r>
      <w:bookmarkEnd w:id="924"/>
      <w:bookmarkEnd w:id="925"/>
    </w:p>
    <w:p>
      <w:pPr>
        <w:pStyle w:val="ySubsection"/>
        <w:rPr>
          <w:snapToGrid w:val="0"/>
        </w:rPr>
      </w:pPr>
      <w:r>
        <w:rPr>
          <w:snapToGrid w:val="0"/>
        </w:rPr>
        <w:tab/>
        <w:t>(1)</w:t>
      </w:r>
      <w:r>
        <w:rPr>
          <w:snapToGrid w:val="0"/>
        </w:rPr>
        <w:tab/>
        <w:t>The plan referred to in clause 31E(1)(a) may provide for a short form easement or restrictive covenant to be created under section 33, and any easement so provided for is created on the registration of the notice of resolution.</w:t>
      </w:r>
    </w:p>
    <w:p>
      <w:pPr>
        <w:pStyle w:val="ySubsection"/>
        <w:rPr>
          <w:snapToGrid w:val="0"/>
        </w:rPr>
      </w:pPr>
      <w:r>
        <w:tab/>
      </w:r>
      <w:r>
        <w:rPr>
          <w:snapToGrid w:val="0"/>
        </w:rPr>
        <w:t>(2)</w:t>
      </w:r>
      <w:r>
        <w:rPr>
          <w:snapToGrid w:val="0"/>
        </w:rPr>
        <w:tab/>
        <w:t>Section 33 also applies to the discharge of an easement that is created under subclause (1).</w:t>
      </w:r>
    </w:p>
    <w:p>
      <w:pPr>
        <w:pStyle w:val="yFootnotesection"/>
      </w:pPr>
      <w:r>
        <w:tab/>
        <w:t>[Clause 31G, formerly section 31G, inserted: No. 61 of 1996 s. 21; amended, redesignated as cl. 31G and relocated: No. 30 of 2018 s. 41 and 117.]</w:t>
      </w:r>
    </w:p>
    <w:p>
      <w:pPr>
        <w:pStyle w:val="yHeading5"/>
        <w:rPr>
          <w:snapToGrid w:val="0"/>
        </w:rPr>
      </w:pPr>
      <w:bookmarkStart w:id="926" w:name="_Toc106986949"/>
      <w:bookmarkStart w:id="927" w:name="_Toc100565247"/>
      <w:r>
        <w:rPr>
          <w:rStyle w:val="CharSClsNo"/>
        </w:rPr>
        <w:t>31H</w:t>
      </w:r>
      <w:r>
        <w:rPr>
          <w:snapToGrid w:val="0"/>
        </w:rPr>
        <w:t>.</w:t>
      </w:r>
      <w:r>
        <w:rPr>
          <w:snapToGrid w:val="0"/>
        </w:rPr>
        <w:tab/>
        <w:t>Transfers etc. to give effect to resolution</w:t>
      </w:r>
      <w:bookmarkEnd w:id="926"/>
      <w:bookmarkEnd w:id="927"/>
    </w:p>
    <w:p>
      <w:pPr>
        <w:pStyle w:val="ySubsection"/>
        <w:rPr>
          <w:snapToGrid w:val="0"/>
        </w:rPr>
      </w:pPr>
      <w:r>
        <w:rPr>
          <w:snapToGrid w:val="0"/>
        </w:rPr>
        <w:tab/>
        <w:t>(1)</w:t>
      </w:r>
      <w:r>
        <w:rPr>
          <w:snapToGrid w:val="0"/>
        </w:rPr>
        <w:tab/>
        <w:t>Subject to subclause (2A), every transfer or other document that is necessary to give effect to a notice of resolution is to be lodged for registration together with the notice.</w:t>
      </w:r>
    </w:p>
    <w:p>
      <w:pPr>
        <w:pStyle w:val="y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yIndenta"/>
        <w:rPr>
          <w:snapToGrid w:val="0"/>
        </w:rPr>
      </w:pPr>
      <w:r>
        <w:rPr>
          <w:snapToGrid w:val="0"/>
        </w:rPr>
        <w:tab/>
        <w:t>(a)</w:t>
      </w:r>
      <w:r>
        <w:rPr>
          <w:snapToGrid w:val="0"/>
        </w:rPr>
        <w:tab/>
        <w:t>by which various interests in land affected by the notice of resolution are disposed of or vested; and</w:t>
      </w:r>
    </w:p>
    <w:p>
      <w:pPr>
        <w:pStyle w:val="yIndenta"/>
        <w:rPr>
          <w:snapToGrid w:val="0"/>
        </w:rPr>
      </w:pPr>
      <w:r>
        <w:rPr>
          <w:snapToGrid w:val="0"/>
        </w:rPr>
        <w:tab/>
        <w:t>(b)</w:t>
      </w:r>
      <w:r>
        <w:rPr>
          <w:snapToGrid w:val="0"/>
        </w:rPr>
        <w:tab/>
        <w:t>by which encumbrances are attached to or discharged from any interest; and</w:t>
      </w:r>
    </w:p>
    <w:p>
      <w:pPr>
        <w:pStyle w:val="yIndenta"/>
        <w:rPr>
          <w:snapToGrid w:val="0"/>
        </w:rPr>
      </w:pPr>
      <w:r>
        <w:rPr>
          <w:snapToGrid w:val="0"/>
        </w:rPr>
        <w:tab/>
        <w:t>(c)</w:t>
      </w:r>
      <w:r>
        <w:rPr>
          <w:snapToGrid w:val="0"/>
        </w:rPr>
        <w:tab/>
        <w:t>in which any certificate required by clause 31E(1)(e) is set out.</w:t>
      </w:r>
    </w:p>
    <w:p>
      <w:pPr>
        <w:pStyle w:val="ySubsection"/>
        <w:rPr>
          <w:snapToGrid w:val="0"/>
        </w:rPr>
      </w:pPr>
      <w:r>
        <w:rPr>
          <w:snapToGrid w:val="0"/>
        </w:rPr>
        <w:tab/>
        <w:t>(2A)</w:t>
      </w:r>
      <w:r>
        <w:rPr>
          <w:snapToGrid w:val="0"/>
        </w:rPr>
        <w:tab/>
        <w:t>Subclause (1) does not apply if a disposition statement is lodged for registration with the notice of resolution.</w:t>
      </w:r>
    </w:p>
    <w:p>
      <w:pPr>
        <w:pStyle w:val="y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yIndenta"/>
        <w:rPr>
          <w:snapToGrid w:val="0"/>
        </w:rPr>
      </w:pPr>
      <w:r>
        <w:rPr>
          <w:snapToGrid w:val="0"/>
        </w:rPr>
        <w:tab/>
        <w:t>(a)</w:t>
      </w:r>
      <w:r>
        <w:rPr>
          <w:snapToGrid w:val="0"/>
        </w:rPr>
        <w:tab/>
        <w:t>the passing of property under the statement; or</w:t>
      </w:r>
    </w:p>
    <w:p>
      <w:pPr>
        <w:pStyle w:val="yIndenta"/>
      </w:pPr>
      <w:r>
        <w:tab/>
        <w:t>(b)</w:t>
      </w:r>
      <w:r>
        <w:tab/>
        <w:t xml:space="preserve">a transaction referred to in the </w:t>
      </w:r>
      <w:r>
        <w:rPr>
          <w:i/>
          <w:iCs/>
        </w:rPr>
        <w:t>Duties Act 2008</w:t>
      </w:r>
      <w:r>
        <w:t xml:space="preserve"> section 112(6).</w:t>
      </w:r>
    </w:p>
    <w:p>
      <w:pPr>
        <w:pStyle w:val="yFootnotesection"/>
      </w:pPr>
      <w:r>
        <w:tab/>
        <w:t>[Clause 31H, formerly section 31H, inserted: No. 61 of 1996 s. 21; amended: No. 12 of 2008 Sch. 1 cl. 36(2); amended, redesignated as cl. 31H and relocated: No. 30 of 2018 s. 42 and 117.]</w:t>
      </w:r>
    </w:p>
    <w:p>
      <w:pPr>
        <w:pStyle w:val="yHeading5"/>
        <w:rPr>
          <w:snapToGrid w:val="0"/>
        </w:rPr>
      </w:pPr>
      <w:bookmarkStart w:id="928" w:name="_Toc106986950"/>
      <w:bookmarkStart w:id="929" w:name="_Toc100565248"/>
      <w:r>
        <w:rPr>
          <w:rStyle w:val="CharSClsNo"/>
        </w:rPr>
        <w:t>31I</w:t>
      </w:r>
      <w:r>
        <w:rPr>
          <w:snapToGrid w:val="0"/>
        </w:rPr>
        <w:t>.</w:t>
      </w:r>
      <w:r>
        <w:rPr>
          <w:snapToGrid w:val="0"/>
        </w:rPr>
        <w:tab/>
        <w:t>Registration of notice of resolution</w:t>
      </w:r>
      <w:bookmarkEnd w:id="928"/>
      <w:bookmarkEnd w:id="929"/>
    </w:p>
    <w:p>
      <w:pPr>
        <w:pStyle w:val="ySubsection"/>
        <w:rPr>
          <w:snapToGrid w:val="0"/>
        </w:rPr>
      </w:pPr>
      <w:r>
        <w:rPr>
          <w:snapToGrid w:val="0"/>
        </w:rPr>
        <w:tab/>
      </w:r>
      <w:r>
        <w:rPr>
          <w:snapToGrid w:val="0"/>
        </w:rPr>
        <w:tab/>
        <w:t>The Registrar of Titles is to register a notice of resolution if the requirements of this Division are satisfied.</w:t>
      </w:r>
    </w:p>
    <w:p>
      <w:pPr>
        <w:pStyle w:val="yFootnotesection"/>
      </w:pPr>
      <w:r>
        <w:tab/>
        <w:t>[Clause 31I, formerly section 31I, inserted: No. 61 of 1996 s. 21; redesignated as cl. 31I and relocated: No. 30 of 2018 s. 117.]</w:t>
      </w:r>
    </w:p>
    <w:p>
      <w:pPr>
        <w:pStyle w:val="yHeading5"/>
        <w:rPr>
          <w:snapToGrid w:val="0"/>
        </w:rPr>
      </w:pPr>
      <w:bookmarkStart w:id="930" w:name="_Toc106986951"/>
      <w:bookmarkStart w:id="931" w:name="_Toc100565249"/>
      <w:r>
        <w:rPr>
          <w:rStyle w:val="CharSClsNo"/>
        </w:rPr>
        <w:t>31J</w:t>
      </w:r>
      <w:r>
        <w:rPr>
          <w:snapToGrid w:val="0"/>
        </w:rPr>
        <w:t>.</w:t>
      </w:r>
      <w:r>
        <w:rPr>
          <w:snapToGrid w:val="0"/>
        </w:rPr>
        <w:tab/>
        <w:t>Effect of registration</w:t>
      </w:r>
      <w:bookmarkEnd w:id="930"/>
      <w:bookmarkEnd w:id="931"/>
    </w:p>
    <w:p>
      <w:pPr>
        <w:pStyle w:val="ySubsection"/>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ySubsection"/>
        <w:rPr>
          <w:snapToGrid w:val="0"/>
        </w:rPr>
      </w:pPr>
      <w:r>
        <w:rPr>
          <w:snapToGrid w:val="0"/>
        </w:rPr>
        <w:tab/>
        <w:t>(2)</w:t>
      </w:r>
      <w:r>
        <w:rPr>
          <w:snapToGrid w:val="0"/>
        </w:rPr>
        <w:tab/>
        <w:t>In addition to —</w:t>
      </w:r>
    </w:p>
    <w:p>
      <w:pPr>
        <w:pStyle w:val="yIndenta"/>
        <w:rPr>
          <w:snapToGrid w:val="0"/>
        </w:rPr>
      </w:pPr>
      <w:r>
        <w:rPr>
          <w:snapToGrid w:val="0"/>
        </w:rPr>
        <w:tab/>
        <w:t>(a)</w:t>
      </w:r>
      <w:r>
        <w:rPr>
          <w:snapToGrid w:val="0"/>
        </w:rPr>
        <w:tab/>
        <w:t>the operation of any transfer, document or disposition statement referred to in clause 31H; and</w:t>
      </w:r>
    </w:p>
    <w:p>
      <w:pPr>
        <w:pStyle w:val="yIndenta"/>
        <w:rPr>
          <w:snapToGrid w:val="0"/>
        </w:rPr>
      </w:pPr>
      <w:r>
        <w:rPr>
          <w:snapToGrid w:val="0"/>
        </w:rPr>
        <w:tab/>
        <w:t>(b)</w:t>
      </w:r>
      <w:r>
        <w:rPr>
          <w:snapToGrid w:val="0"/>
        </w:rPr>
        <w:tab/>
        <w:t>the creation of a short form easement or restrictive covenant under section 33 as read with clause 31G,</w:t>
      </w:r>
    </w:p>
    <w:p>
      <w:pPr>
        <w:pStyle w:val="ySubsection"/>
        <w:rPr>
          <w:snapToGrid w:val="0"/>
        </w:rPr>
      </w:pPr>
      <w:r>
        <w:rPr>
          <w:snapToGrid w:val="0"/>
        </w:rPr>
        <w:tab/>
      </w:r>
      <w:r>
        <w:rPr>
          <w:snapToGrid w:val="0"/>
        </w:rPr>
        <w:tab/>
        <w:t>the registration of a notice of resolution also has the effects described in subclauses (3), (4), (5), (6) and (7).</w:t>
      </w:r>
    </w:p>
    <w:p>
      <w:pPr>
        <w:pStyle w:val="ySubsection"/>
        <w:rPr>
          <w:snapToGrid w:val="0"/>
        </w:rPr>
      </w:pPr>
      <w:r>
        <w:rPr>
          <w:snapToGrid w:val="0"/>
        </w:rPr>
        <w:tab/>
        <w:t>(3)</w:t>
      </w:r>
      <w:r>
        <w:rPr>
          <w:snapToGrid w:val="0"/>
        </w:rPr>
        <w:tab/>
        <w:t>If any area of land —</w:t>
      </w:r>
    </w:p>
    <w:p>
      <w:pPr>
        <w:pStyle w:val="yIndenta"/>
        <w:rPr>
          <w:snapToGrid w:val="0"/>
        </w:rPr>
      </w:pPr>
      <w:r>
        <w:rPr>
          <w:snapToGrid w:val="0"/>
        </w:rPr>
        <w:tab/>
        <w:t>(a)</w:t>
      </w:r>
      <w:r>
        <w:rPr>
          <w:snapToGrid w:val="0"/>
        </w:rPr>
        <w:tab/>
        <w:t>on registration of a notice of resolution becomes part of a lot; and</w:t>
      </w:r>
    </w:p>
    <w:p>
      <w:pPr>
        <w:pStyle w:val="yIndenta"/>
        <w:rPr>
          <w:snapToGrid w:val="0"/>
        </w:rPr>
      </w:pPr>
      <w:r>
        <w:rPr>
          <w:snapToGrid w:val="0"/>
        </w:rPr>
        <w:tab/>
        <w:t>(b)</w:t>
      </w:r>
      <w:r>
        <w:rPr>
          <w:snapToGrid w:val="0"/>
        </w:rPr>
        <w:tab/>
        <w:t>was before that registration subject to —</w:t>
      </w:r>
    </w:p>
    <w:p>
      <w:pPr>
        <w:pStyle w:val="yIndenti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yIndenti0"/>
      </w:pPr>
      <w:r>
        <w:rPr>
          <w:snapToGrid w:val="0"/>
        </w:rPr>
        <w:tab/>
        <w:t>(ii)</w:t>
      </w:r>
      <w:r>
        <w:rPr>
          <w:snapToGrid w:val="0"/>
        </w:rPr>
        <w:tab/>
        <w:t>exclusive use by</w:t>
      </w:r>
      <w:r>
        <w:rPr>
          <w:snapToGrid w:val="0"/>
        </w:rPr>
        <w:noBreakHyphen/>
        <w:t>laws,</w:t>
      </w:r>
    </w:p>
    <w:p>
      <w:pPr>
        <w:pStyle w:val="ySubsection"/>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ySubsection"/>
        <w:rPr>
          <w:snapToGrid w:val="0"/>
          <w:spacing w:val="-4"/>
        </w:rPr>
      </w:pPr>
      <w:r>
        <w:rPr>
          <w:snapToGrid w:val="0"/>
          <w:spacing w:val="-4"/>
        </w:rPr>
        <w:tab/>
        <w:t>(4)</w:t>
      </w:r>
      <w:r>
        <w:rPr>
          <w:snapToGrid w:val="0"/>
          <w:spacing w:val="-4"/>
        </w:rPr>
        <w:tab/>
        <w:t>On registration of the notice of resolution each lot is subject to —</w:t>
      </w:r>
    </w:p>
    <w:p>
      <w:pPr>
        <w:pStyle w:val="yIndenta"/>
        <w:rPr>
          <w:snapToGrid w:val="0"/>
        </w:rPr>
      </w:pPr>
      <w:r>
        <w:rPr>
          <w:snapToGrid w:val="0"/>
        </w:rPr>
        <w:tab/>
        <w:t>(a)</w:t>
      </w:r>
      <w:r>
        <w:rPr>
          <w:snapToGrid w:val="0"/>
        </w:rPr>
        <w:tab/>
        <w:t>any encumbrance that was registered; or</w:t>
      </w:r>
    </w:p>
    <w:p>
      <w:pPr>
        <w:pStyle w:val="yIndenta"/>
        <w:rPr>
          <w:snapToGrid w:val="0"/>
        </w:rPr>
      </w:pPr>
      <w:r>
        <w:rPr>
          <w:snapToGrid w:val="0"/>
        </w:rPr>
        <w:tab/>
        <w:t>(b)</w:t>
      </w:r>
      <w:r>
        <w:rPr>
          <w:snapToGrid w:val="0"/>
        </w:rPr>
        <w:tab/>
        <w:t>caveat that was lodged,</w:t>
      </w:r>
    </w:p>
    <w:p>
      <w:pPr>
        <w:pStyle w:val="ySubsection"/>
        <w:rPr>
          <w:snapToGrid w:val="0"/>
        </w:rPr>
      </w:pPr>
      <w:r>
        <w:rPr>
          <w:snapToGrid w:val="0"/>
        </w:rPr>
        <w:tab/>
      </w:r>
      <w:r>
        <w:rPr>
          <w:snapToGrid w:val="0"/>
        </w:rPr>
        <w:tab/>
        <w:t>with the Registrar of Titles against the lot before the registration of the notice of resolution.</w:t>
      </w:r>
    </w:p>
    <w:p>
      <w:pPr>
        <w:pStyle w:val="ySubsection"/>
        <w:rPr>
          <w:snapToGrid w:val="0"/>
        </w:rPr>
      </w:pPr>
      <w:r>
        <w:rPr>
          <w:snapToGrid w:val="0"/>
        </w:rPr>
        <w:tab/>
        <w:t>(5)</w:t>
      </w:r>
      <w:r>
        <w:rPr>
          <w:snapToGrid w:val="0"/>
        </w:rPr>
        <w:tab/>
        <w:t>Each lot or part of a lot that becomes common property on registration of the notice of resolution vests in the owners of the lots to be held by them as tenants in common in shares proportional to the unit entitlements of their respective lots.</w:t>
      </w:r>
    </w:p>
    <w:p>
      <w:pPr>
        <w:pStyle w:val="ySubsection"/>
        <w:rPr>
          <w:snapToGrid w:val="0"/>
        </w:rPr>
      </w:pPr>
      <w:r>
        <w:rPr>
          <w:snapToGrid w:val="0"/>
        </w:rPr>
        <w:tab/>
        <w:t>(6)</w:t>
      </w:r>
      <w:r>
        <w:rPr>
          <w:snapToGrid w:val="0"/>
        </w:rPr>
        <w:tab/>
        <w:t xml:space="preserve">The share of </w:t>
      </w:r>
      <w:r>
        <w:t xml:space="preserve">the </w:t>
      </w:r>
      <w:r>
        <w:rPr>
          <w:snapToGrid w:val="0"/>
        </w:rPr>
        <w:t xml:space="preserve">owner of a lot so vested is subject to any encumbrance registered or caveat lodged with the Registrar of Titles against </w:t>
      </w:r>
      <w:r>
        <w:t>the</w:t>
      </w:r>
      <w:r>
        <w:rPr>
          <w:snapToGrid w:val="0"/>
        </w:rPr>
        <w:t xml:space="preserve"> lot.</w:t>
      </w:r>
    </w:p>
    <w:p>
      <w:pPr>
        <w:pStyle w:val="ySubsection"/>
        <w:rPr>
          <w:snapToGrid w:val="0"/>
        </w:rPr>
      </w:pPr>
      <w:r>
        <w:rPr>
          <w:snapToGrid w:val="0"/>
        </w:rPr>
        <w:tab/>
        <w:t>(7)</w:t>
      </w:r>
      <w:r>
        <w:rPr>
          <w:snapToGrid w:val="0"/>
        </w:rPr>
        <w:tab/>
        <w:t xml:space="preserve">Any encumbrance or caveat referred to in </w:t>
      </w:r>
      <w:r>
        <w:t>this clause is</w:t>
      </w:r>
      <w:r>
        <w:rPr>
          <w:snapToGrid w:val="0"/>
        </w:rPr>
        <w:t xml:space="preserve"> taken to be amended to give effect to </w:t>
      </w:r>
      <w:r>
        <w:t>that clause.</w:t>
      </w:r>
    </w:p>
    <w:p>
      <w:pPr>
        <w:pStyle w:val="yFootnotesection"/>
      </w:pPr>
      <w:r>
        <w:tab/>
        <w:t>[Clause 31J, formerly section 31J, inserted: No. 61 of 1996 s. 21; amended, redesignated as cl. 31J and relocated: No. 30 of 2018 s. 43 and 117.]</w:t>
      </w:r>
    </w:p>
    <w:p>
      <w:pPr>
        <w:pStyle w:val="yHeading5"/>
        <w:rPr>
          <w:snapToGrid w:val="0"/>
        </w:rPr>
      </w:pPr>
      <w:bookmarkStart w:id="932" w:name="_Toc106986952"/>
      <w:bookmarkStart w:id="933" w:name="_Toc100565250"/>
      <w:r>
        <w:rPr>
          <w:rStyle w:val="CharSClsNo"/>
        </w:rPr>
        <w:t>31K</w:t>
      </w:r>
      <w:r>
        <w:rPr>
          <w:snapToGrid w:val="0"/>
        </w:rPr>
        <w:t>.</w:t>
      </w:r>
      <w:r>
        <w:rPr>
          <w:snapToGrid w:val="0"/>
        </w:rPr>
        <w:tab/>
        <w:t>Registrar of Titles to make necessary amendments</w:t>
      </w:r>
      <w:bookmarkEnd w:id="932"/>
      <w:bookmarkEnd w:id="933"/>
    </w:p>
    <w:p>
      <w:pPr>
        <w:pStyle w:val="ySubsection"/>
        <w:keepNext/>
        <w:keepLines/>
        <w:rPr>
          <w:snapToGrid w:val="0"/>
        </w:rPr>
      </w:pPr>
      <w:r>
        <w:rPr>
          <w:snapToGrid w:val="0"/>
        </w:rPr>
        <w:tab/>
        <w:t>(1)</w:t>
      </w:r>
      <w:r>
        <w:rPr>
          <w:snapToGrid w:val="0"/>
        </w:rPr>
        <w:tab/>
        <w:t>The Registrar of Titles is to amend —</w:t>
      </w:r>
    </w:p>
    <w:p>
      <w:pPr>
        <w:pStyle w:val="yIndenta"/>
        <w:rPr>
          <w:snapToGrid w:val="0"/>
        </w:rPr>
      </w:pPr>
      <w:r>
        <w:rPr>
          <w:snapToGrid w:val="0"/>
        </w:rPr>
        <w:tab/>
        <w:t>(a)</w:t>
      </w:r>
      <w:r>
        <w:rPr>
          <w:snapToGrid w:val="0"/>
        </w:rPr>
        <w:tab/>
        <w:t>the strata plan in the manner specified in the regulations to give effect to clauses 31G, 31H and 31J; and</w:t>
      </w:r>
    </w:p>
    <w:p>
      <w:pPr>
        <w:pStyle w:val="yIndenta"/>
        <w:rPr>
          <w:snapToGrid w:val="0"/>
        </w:rPr>
      </w:pPr>
      <w:r>
        <w:rPr>
          <w:snapToGrid w:val="0"/>
        </w:rPr>
        <w:tab/>
        <w:t>(b)</w:t>
      </w:r>
      <w:r>
        <w:rPr>
          <w:snapToGrid w:val="0"/>
        </w:rPr>
        <w:tab/>
        <w:t>the original certificates of title in respect of the lots.</w:t>
      </w:r>
    </w:p>
    <w:p>
      <w:pPr>
        <w:pStyle w:val="y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yFootnotesection"/>
      </w:pPr>
      <w:r>
        <w:tab/>
        <w:t>[Clause 31K, formerly section 31K, inserted: No. 61 of 1996 s. 21; amended: No. 60 of 2006 s. 160(5); amended, redesignated as cl. 31K and relocated: No. 30 of 2018 s. 44 and 117.]</w:t>
      </w:r>
    </w:p>
    <w:p>
      <w:pPr>
        <w:pStyle w:val="yHeading3"/>
      </w:pPr>
      <w:bookmarkStart w:id="934" w:name="_Toc106986517"/>
      <w:bookmarkStart w:id="935" w:name="_Toc106986953"/>
      <w:bookmarkStart w:id="936" w:name="_Toc100308531"/>
      <w:bookmarkStart w:id="937" w:name="_Toc100308967"/>
      <w:bookmarkStart w:id="938" w:name="_Toc100565251"/>
      <w:r>
        <w:rPr>
          <w:rStyle w:val="CharPartNo"/>
        </w:rPr>
        <w:t>Part 5</w:t>
      </w:r>
      <w:r>
        <w:t xml:space="preserve"> — </w:t>
      </w:r>
      <w:r>
        <w:rPr>
          <w:rStyle w:val="CharPartText"/>
        </w:rPr>
        <w:t>Insurance</w:t>
      </w:r>
      <w:bookmarkEnd w:id="934"/>
      <w:bookmarkEnd w:id="935"/>
      <w:bookmarkEnd w:id="936"/>
      <w:bookmarkEnd w:id="937"/>
      <w:bookmarkEnd w:id="938"/>
    </w:p>
    <w:p>
      <w:pPr>
        <w:pStyle w:val="yFootnoteheading"/>
      </w:pPr>
      <w:r>
        <w:tab/>
        <w:t>[Heading inserted: No. 30 of 2018 s. 114.]</w:t>
      </w:r>
    </w:p>
    <w:p>
      <w:pPr>
        <w:pStyle w:val="yHeading5"/>
        <w:rPr>
          <w:snapToGrid w:val="0"/>
        </w:rPr>
      </w:pPr>
      <w:bookmarkStart w:id="939" w:name="_Toc106986954"/>
      <w:bookmarkStart w:id="940" w:name="_Toc100565252"/>
      <w:r>
        <w:rPr>
          <w:rStyle w:val="CharSClsNo"/>
        </w:rPr>
        <w:t>53A</w:t>
      </w:r>
      <w:r>
        <w:rPr>
          <w:snapToGrid w:val="0"/>
        </w:rPr>
        <w:t>.</w:t>
      </w:r>
      <w:r>
        <w:rPr>
          <w:snapToGrid w:val="0"/>
        </w:rPr>
        <w:tab/>
        <w:t>References in this Part</w:t>
      </w:r>
      <w:bookmarkEnd w:id="939"/>
      <w:bookmarkEnd w:id="940"/>
    </w:p>
    <w:p>
      <w:pPr>
        <w:pStyle w:val="ySubsection"/>
        <w:rPr>
          <w:snapToGrid w:val="0"/>
        </w:rPr>
      </w:pPr>
      <w:r>
        <w:rPr>
          <w:snapToGrid w:val="0"/>
        </w:rPr>
        <w:tab/>
      </w:r>
      <w:r>
        <w:rPr>
          <w:snapToGrid w:val="0"/>
        </w:rPr>
        <w:tab/>
        <w:t xml:space="preserve">References in this </w:t>
      </w:r>
      <w:r>
        <w:t>Part —</w:t>
      </w:r>
    </w:p>
    <w:p>
      <w:pPr>
        <w:pStyle w:val="yIndenta"/>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yIndenta"/>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yIndenta"/>
        <w:keepNext/>
        <w:rPr>
          <w:snapToGrid w:val="0"/>
        </w:rPr>
      </w:pPr>
      <w:r>
        <w:rPr>
          <w:snapToGrid w:val="0"/>
        </w:rPr>
        <w:tab/>
        <w:t>(c)</w:t>
      </w:r>
      <w:r>
        <w:rPr>
          <w:snapToGrid w:val="0"/>
        </w:rPr>
        <w:tab/>
        <w:t xml:space="preserve">to </w:t>
      </w:r>
      <w:r>
        <w:t xml:space="preserve">an </w:t>
      </w:r>
      <w:r>
        <w:rPr>
          <w:rStyle w:val="CharDefText"/>
        </w:rPr>
        <w:t>owner of a lot</w:t>
      </w:r>
      <w:r>
        <w:t xml:space="preserve"> are to an owner </w:t>
      </w:r>
      <w:r>
        <w:rPr>
          <w:snapToGrid w:val="0"/>
        </w:rPr>
        <w:t>of a lot in such a scheme.</w:t>
      </w:r>
    </w:p>
    <w:p>
      <w:pPr>
        <w:pStyle w:val="yFootnotesection"/>
      </w:pPr>
      <w:r>
        <w:tab/>
        <w:t>[Clause 53A, formerly section 53A, inserted: No. 61 of 1996 s. 25; amended, redesignated as cl. 53A and relocated: No. 30 of 2018 s. 55 and 117.]</w:t>
      </w:r>
    </w:p>
    <w:p>
      <w:pPr>
        <w:pStyle w:val="yHeading5"/>
        <w:rPr>
          <w:snapToGrid w:val="0"/>
        </w:rPr>
      </w:pPr>
      <w:bookmarkStart w:id="941" w:name="_Toc106986955"/>
      <w:bookmarkStart w:id="942" w:name="_Toc100565253"/>
      <w:r>
        <w:rPr>
          <w:rStyle w:val="CharSClsNo"/>
        </w:rPr>
        <w:t>53B</w:t>
      </w:r>
      <w:r>
        <w:rPr>
          <w:snapToGrid w:val="0"/>
        </w:rPr>
        <w:t>.</w:t>
      </w:r>
      <w:r>
        <w:rPr>
          <w:snapToGrid w:val="0"/>
        </w:rPr>
        <w:tab/>
        <w:t>Insurance for lots in single tier strata schemes</w:t>
      </w:r>
      <w:bookmarkEnd w:id="941"/>
      <w:bookmarkEnd w:id="942"/>
    </w:p>
    <w:p>
      <w:pPr>
        <w:pStyle w:val="ySubsection"/>
        <w:rPr>
          <w:snapToGrid w:val="0"/>
        </w:rPr>
      </w:pPr>
      <w:r>
        <w:rPr>
          <w:snapToGrid w:val="0"/>
        </w:rPr>
        <w:tab/>
        <w:t>(1)</w:t>
      </w:r>
      <w:r>
        <w:rPr>
          <w:snapToGrid w:val="0"/>
        </w:rPr>
        <w:tab/>
        <w:t>For the purposes of this Act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insurable assets within a lot in a scheme; or</w:t>
      </w:r>
    </w:p>
    <w:p>
      <w:pPr>
        <w:pStyle w:val="yIndenti0"/>
        <w:rPr>
          <w:snapToGrid w:val="0"/>
        </w:rPr>
      </w:pPr>
      <w:r>
        <w:rPr>
          <w:snapToGrid w:val="0"/>
        </w:rPr>
        <w:tab/>
        <w:t>(ii)</w:t>
      </w:r>
      <w:r>
        <w:rPr>
          <w:snapToGrid w:val="0"/>
        </w:rPr>
        <w:tab/>
        <w:t>damage to property, death, bodily injury or illness for which the owner of a lot in a scheme could become liable in damages;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occurrences to be insured against by the </w:t>
      </w:r>
      <w:r>
        <w:t>owner of the lot</w:t>
      </w:r>
      <w:r>
        <w:rPr>
          <w:snapToGrid w:val="0"/>
        </w:rPr>
        <w:t xml:space="preserve"> in relation to those matters; and</w:t>
      </w:r>
    </w:p>
    <w:p>
      <w:pPr>
        <w:pStyle w:val="yIndenta"/>
        <w:rPr>
          <w:snapToGrid w:val="0"/>
        </w:rPr>
      </w:pPr>
      <w:r>
        <w:rPr>
          <w:snapToGrid w:val="0"/>
        </w:rPr>
        <w:tab/>
        <w:t>(c)</w:t>
      </w:r>
      <w:r>
        <w:rPr>
          <w:snapToGrid w:val="0"/>
        </w:rPr>
        <w:tab/>
        <w:t>the terms on which insurance is obtained,</w:t>
      </w:r>
    </w:p>
    <w:p>
      <w:pPr>
        <w:pStyle w:val="ySubsection"/>
        <w:rPr>
          <w:snapToGrid w:val="0"/>
        </w:rPr>
      </w:pPr>
      <w:r>
        <w:rPr>
          <w:snapToGrid w:val="0"/>
        </w:rPr>
        <w:tab/>
      </w:r>
      <w:r>
        <w:rPr>
          <w:snapToGrid w:val="0"/>
        </w:rPr>
        <w:tab/>
        <w:t>are, subject to this clause, at the discretion of the owner of the lot.</w:t>
      </w:r>
    </w:p>
    <w:p>
      <w:pPr>
        <w:pStyle w:val="y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ySubsection"/>
        <w:rPr>
          <w:snapToGrid w:val="0"/>
        </w:rPr>
      </w:pPr>
      <w:r>
        <w:rPr>
          <w:snapToGrid w:val="0"/>
        </w:rPr>
        <w:tab/>
        <w:t>(3)</w:t>
      </w:r>
      <w:r>
        <w:rPr>
          <w:snapToGrid w:val="0"/>
        </w:rPr>
        <w:tab/>
        <w:t>While such a resolution is in force, the strata company must comply with clause 53D.</w:t>
      </w:r>
    </w:p>
    <w:p>
      <w:pPr>
        <w:pStyle w:val="y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yFootnotesection"/>
      </w:pPr>
      <w:r>
        <w:tab/>
        <w:t>[Clause 53B, formerly section 53B, inserted: No. 61 of 1996 s. 25; amended, redesignated as cl. 53B and relocated: No. 50 of 2018 s. 56 and 117.]</w:t>
      </w:r>
    </w:p>
    <w:p>
      <w:pPr>
        <w:pStyle w:val="yHeading5"/>
        <w:rPr>
          <w:snapToGrid w:val="0"/>
        </w:rPr>
      </w:pPr>
      <w:bookmarkStart w:id="943" w:name="_Toc106986956"/>
      <w:bookmarkStart w:id="944" w:name="_Toc100565254"/>
      <w:r>
        <w:rPr>
          <w:rStyle w:val="CharSClsNo"/>
        </w:rPr>
        <w:t>53C</w:t>
      </w:r>
      <w:r>
        <w:rPr>
          <w:snapToGrid w:val="0"/>
        </w:rPr>
        <w:t>.</w:t>
      </w:r>
      <w:r>
        <w:rPr>
          <w:snapToGrid w:val="0"/>
        </w:rPr>
        <w:tab/>
        <w:t>Insurance for common property in single tier strata schemes</w:t>
      </w:r>
      <w:bookmarkEnd w:id="943"/>
      <w:bookmarkEnd w:id="944"/>
    </w:p>
    <w:p>
      <w:pPr>
        <w:pStyle w:val="ySubsection"/>
        <w:rPr>
          <w:snapToGrid w:val="0"/>
        </w:rPr>
      </w:pPr>
      <w:r>
        <w:rPr>
          <w:snapToGrid w:val="0"/>
        </w:rPr>
        <w:tab/>
        <w:t>(1)</w:t>
      </w:r>
      <w:r>
        <w:rPr>
          <w:snapToGrid w:val="0"/>
        </w:rPr>
        <w:tab/>
        <w:t xml:space="preserve">The strata company for a scheme </w:t>
      </w:r>
      <w:r>
        <w:t>must</w:t>
      </w:r>
      <w:r>
        <w:rPr>
          <w:snapToGrid w:val="0"/>
        </w:rPr>
        <w:t> —</w:t>
      </w:r>
    </w:p>
    <w:p>
      <w:pPr>
        <w:pStyle w:val="yIndenta"/>
        <w:rPr>
          <w:snapToGrid w:val="0"/>
        </w:rPr>
      </w:pPr>
      <w:r>
        <w:rPr>
          <w:snapToGrid w:val="0"/>
        </w:rPr>
        <w:tab/>
        <w:t>(a)</w:t>
      </w:r>
      <w:r>
        <w:rPr>
          <w:snapToGrid w:val="0"/>
        </w:rPr>
        <w:tab/>
        <w:t>insure and keep insured insurable assets that are within the common property; and</w:t>
      </w:r>
    </w:p>
    <w:p>
      <w:pPr>
        <w:pStyle w:val="yIndenta"/>
        <w:rPr>
          <w:snapToGrid w:val="0"/>
        </w:rPr>
      </w:pPr>
      <w:r>
        <w:rPr>
          <w:snapToGrid w:val="0"/>
        </w:rPr>
        <w:tab/>
        <w:t>(b)</w:t>
      </w:r>
      <w:r>
        <w:rPr>
          <w:snapToGrid w:val="0"/>
        </w:rPr>
        <w:tab/>
        <w:t xml:space="preserve">effect and maintain insurance in respect of damage to property, </w:t>
      </w:r>
      <w:r>
        <w:t>death, bodily injury or illness for which the owners</w:t>
      </w:r>
      <w:r>
        <w:rPr>
          <w:snapToGrid w:val="0"/>
        </w:rPr>
        <w:t xml:space="preserve"> of lots in the scheme could become liable in damages as holders of the common property.</w:t>
      </w:r>
    </w:p>
    <w:p>
      <w:pPr>
        <w:pStyle w:val="ySubsection"/>
        <w:rPr>
          <w:snapToGrid w:val="0"/>
        </w:rPr>
      </w:pPr>
      <w:r>
        <w:rPr>
          <w:snapToGrid w:val="0"/>
        </w:rPr>
        <w:tab/>
        <w:t>(2)</w:t>
      </w:r>
      <w:r>
        <w:rPr>
          <w:snapToGrid w:val="0"/>
        </w:rPr>
        <w:tab/>
        <w:t>The strata company does not have the obligations described in subclause (1) if —</w:t>
      </w:r>
    </w:p>
    <w:p>
      <w:pPr>
        <w:pStyle w:val="yIndenta"/>
        <w:rPr>
          <w:snapToGrid w:val="0"/>
        </w:rPr>
      </w:pPr>
      <w:r>
        <w:rPr>
          <w:snapToGrid w:val="0"/>
        </w:rPr>
        <w:tab/>
        <w:t>(a)</w:t>
      </w:r>
      <w:r>
        <w:rPr>
          <w:snapToGrid w:val="0"/>
        </w:rPr>
        <w:tab/>
        <w:t>there is no common property in the scheme except —</w:t>
      </w:r>
    </w:p>
    <w:p>
      <w:pPr>
        <w:pStyle w:val="yIndenti0"/>
        <w:rPr>
          <w:snapToGrid w:val="0"/>
        </w:rPr>
      </w:pPr>
      <w:r>
        <w:rPr>
          <w:snapToGrid w:val="0"/>
        </w:rPr>
        <w:tab/>
        <w:t>(i)</w:t>
      </w:r>
      <w:r>
        <w:rPr>
          <w:snapToGrid w:val="0"/>
        </w:rPr>
        <w:tab/>
        <w:t>cubic space in which there are no insurable assets above or below the horizontal boundary of any lot; or</w:t>
      </w:r>
    </w:p>
    <w:p>
      <w:pPr>
        <w:pStyle w:val="yIndenti0"/>
        <w:rPr>
          <w:snapToGrid w:val="0"/>
        </w:rPr>
      </w:pPr>
      <w:r>
        <w:rPr>
          <w:snapToGrid w:val="0"/>
        </w:rPr>
        <w:tab/>
        <w:t>(ii)</w:t>
      </w:r>
      <w:r>
        <w:rPr>
          <w:snapToGrid w:val="0"/>
        </w:rPr>
        <w:tab/>
        <w:t xml:space="preserve">fencing on the boundary of the parcel or any </w:t>
      </w:r>
      <w:r>
        <w:t>lot or on the boundary of temporary common property;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strata company has by resolution without dissent determined that subclause (1) is not to apply to the scheme.</w:t>
      </w:r>
    </w:p>
    <w:p>
      <w:pPr>
        <w:pStyle w:val="ySubsection"/>
        <w:rPr>
          <w:snapToGrid w:val="0"/>
        </w:rPr>
      </w:pPr>
      <w:r>
        <w:rPr>
          <w:snapToGrid w:val="0"/>
        </w:rPr>
        <w:tab/>
        <w:t>(3)</w:t>
      </w:r>
      <w:r>
        <w:rPr>
          <w:snapToGrid w:val="0"/>
        </w:rPr>
        <w:tab/>
        <w:t>A resolution under subclause (2)(b) remains in force until —</w:t>
      </w:r>
    </w:p>
    <w:p>
      <w:pPr>
        <w:pStyle w:val="yIndenta"/>
        <w:rPr>
          <w:snapToGrid w:val="0"/>
        </w:rPr>
      </w:pPr>
      <w:r>
        <w:rPr>
          <w:snapToGrid w:val="0"/>
        </w:rPr>
        <w:tab/>
        <w:t>(a)</w:t>
      </w:r>
      <w:r>
        <w:rPr>
          <w:snapToGrid w:val="0"/>
        </w:rPr>
        <w:tab/>
        <w:t>it is revoked; or</w:t>
      </w:r>
    </w:p>
    <w:p>
      <w:pPr>
        <w:pStyle w:val="yIndenta"/>
        <w:rPr>
          <w:snapToGrid w:val="0"/>
        </w:rPr>
      </w:pPr>
      <w:r>
        <w:rPr>
          <w:snapToGrid w:val="0"/>
        </w:rPr>
        <w:tab/>
        <w:t>(b)</w:t>
      </w:r>
      <w:r>
        <w:rPr>
          <w:snapToGrid w:val="0"/>
        </w:rPr>
        <w:tab/>
        <w:t>it ceases to have effect under subclause (5).</w:t>
      </w:r>
    </w:p>
    <w:p>
      <w:pPr>
        <w:pStyle w:val="ySubsection"/>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ySubsection"/>
      </w:pPr>
      <w:r>
        <w:tab/>
        <w:t>(5)</w:t>
      </w:r>
      <w:r>
        <w:tab/>
        <w:t>If the owner of a lot serves a notice under subclause (4), the resolution under subclause (2)(b) ceases to have effect at the end of the period of 1 month beginning on the day on which the notice was served.</w:t>
      </w:r>
    </w:p>
    <w:p>
      <w:pPr>
        <w:pStyle w:val="ySubsection"/>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yIndenta"/>
        <w:rPr>
          <w:snapToGrid w:val="0"/>
        </w:rPr>
      </w:pPr>
      <w:r>
        <w:rPr>
          <w:snapToGrid w:val="0"/>
        </w:rPr>
        <w:tab/>
        <w:t>(a)</w:t>
      </w:r>
      <w:r>
        <w:rPr>
          <w:snapToGrid w:val="0"/>
        </w:rPr>
        <w:tab/>
        <w:t>whether there is insurance in respect of —</w:t>
      </w:r>
    </w:p>
    <w:p>
      <w:pPr>
        <w:pStyle w:val="yIndenti0"/>
        <w:rPr>
          <w:snapToGrid w:val="0"/>
        </w:rPr>
      </w:pPr>
      <w:r>
        <w:rPr>
          <w:snapToGrid w:val="0"/>
        </w:rPr>
        <w:tab/>
        <w:t>(i)</w:t>
      </w:r>
      <w:r>
        <w:rPr>
          <w:snapToGrid w:val="0"/>
        </w:rPr>
        <w:tab/>
        <w:t>the share of the owner of a lot in insurable assets in the scheme that are within the common property; or</w:t>
      </w:r>
    </w:p>
    <w:p>
      <w:pPr>
        <w:pStyle w:val="yIndenti0"/>
        <w:rPr>
          <w:snapToGrid w:val="0"/>
        </w:rPr>
      </w:pPr>
      <w:r>
        <w:rPr>
          <w:snapToGrid w:val="0"/>
        </w:rPr>
        <w:tab/>
        <w:t>(ii)</w:t>
      </w:r>
      <w:r>
        <w:rPr>
          <w:snapToGrid w:val="0"/>
        </w:rPr>
        <w:tab/>
        <w:t>damage to property, death, bodily injury or illness for which an owner of a lot in the scheme could become liable in damages as the holder of a share in the common property;</w:t>
      </w:r>
    </w:p>
    <w:p>
      <w:pPr>
        <w:pStyle w:val="yIndenta"/>
        <w:rPr>
          <w:snapToGrid w:val="0"/>
        </w:rPr>
      </w:pPr>
      <w:r>
        <w:rPr>
          <w:snapToGrid w:val="0"/>
        </w:rPr>
        <w:tab/>
        <w:t>(b)</w:t>
      </w:r>
      <w:r>
        <w:rPr>
          <w:snapToGrid w:val="0"/>
        </w:rPr>
        <w:tab/>
        <w:t>the occurrences to be insured against by the owner of a lot in relation to those matters;</w:t>
      </w:r>
    </w:p>
    <w:p>
      <w:pPr>
        <w:pStyle w:val="yIndenta"/>
        <w:rPr>
          <w:snapToGrid w:val="0"/>
        </w:rPr>
      </w:pPr>
      <w:r>
        <w:rPr>
          <w:snapToGrid w:val="0"/>
        </w:rPr>
        <w:tab/>
        <w:t>(c)</w:t>
      </w:r>
      <w:r>
        <w:rPr>
          <w:snapToGrid w:val="0"/>
        </w:rPr>
        <w:tab/>
        <w:t>the terms on which insurance is obtained.</w:t>
      </w:r>
    </w:p>
    <w:p>
      <w:pPr>
        <w:pStyle w:val="yFootnotesection"/>
      </w:pPr>
      <w:r>
        <w:tab/>
        <w:t>[Clause 53C, formerly section 53C, inserted: No. 61 of 1996 s. 25; amended, redesignated as cl. 53C and relocated: No. 30 of 2018 s. 57 and 117.]</w:t>
      </w:r>
    </w:p>
    <w:p>
      <w:pPr>
        <w:pStyle w:val="yHeading5"/>
        <w:rPr>
          <w:snapToGrid w:val="0"/>
        </w:rPr>
      </w:pPr>
      <w:bookmarkStart w:id="945" w:name="_Toc106986957"/>
      <w:bookmarkStart w:id="946" w:name="_Toc100565255"/>
      <w:r>
        <w:rPr>
          <w:rStyle w:val="CharSClsNo"/>
        </w:rPr>
        <w:t>53D</w:t>
      </w:r>
      <w:r>
        <w:rPr>
          <w:snapToGrid w:val="0"/>
        </w:rPr>
        <w:t>.</w:t>
      </w:r>
      <w:r>
        <w:rPr>
          <w:snapToGrid w:val="0"/>
        </w:rPr>
        <w:tab/>
        <w:t>Strata company’s obligations if it has insurance function in single tier strata scheme</w:t>
      </w:r>
      <w:bookmarkEnd w:id="945"/>
      <w:bookmarkEnd w:id="946"/>
    </w:p>
    <w:p>
      <w:pPr>
        <w:pStyle w:val="ySubsection"/>
        <w:rPr>
          <w:snapToGrid w:val="0"/>
        </w:rPr>
      </w:pPr>
      <w:r>
        <w:rPr>
          <w:snapToGrid w:val="0"/>
        </w:rPr>
        <w:tab/>
        <w:t>(1)</w:t>
      </w:r>
      <w:r>
        <w:rPr>
          <w:snapToGrid w:val="0"/>
        </w:rPr>
        <w:tab/>
        <w:t>This clause applies if —</w:t>
      </w:r>
    </w:p>
    <w:p>
      <w:pPr>
        <w:pStyle w:val="yIndenta"/>
        <w:rPr>
          <w:snapToGrid w:val="0"/>
        </w:rPr>
      </w:pPr>
      <w:r>
        <w:rPr>
          <w:snapToGrid w:val="0"/>
        </w:rPr>
        <w:tab/>
        <w:t>(a)</w:t>
      </w:r>
      <w:r>
        <w:rPr>
          <w:snapToGrid w:val="0"/>
        </w:rPr>
        <w:tab/>
        <w:t>a resolution is in force under clause 53B(2); or</w:t>
      </w:r>
    </w:p>
    <w:p>
      <w:pPr>
        <w:pStyle w:val="yIndenta"/>
        <w:rPr>
          <w:snapToGrid w:val="0"/>
        </w:rPr>
      </w:pPr>
      <w:r>
        <w:rPr>
          <w:snapToGrid w:val="0"/>
        </w:rPr>
        <w:tab/>
        <w:t>(b)</w:t>
      </w:r>
      <w:r>
        <w:rPr>
          <w:snapToGrid w:val="0"/>
        </w:rPr>
        <w:tab/>
        <w:t>in accordance with clause 53C, a strata company has the obligations described in subclause (1) of that clause.</w:t>
      </w:r>
    </w:p>
    <w:p>
      <w:pPr>
        <w:pStyle w:val="y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ySubsection"/>
        <w:rPr>
          <w:snapToGrid w:val="0"/>
        </w:rPr>
      </w:pPr>
      <w:r>
        <w:rPr>
          <w:snapToGrid w:val="0"/>
        </w:rPr>
        <w:tab/>
        <w:t>(3)</w:t>
      </w:r>
      <w:r>
        <w:rPr>
          <w:snapToGrid w:val="0"/>
        </w:rPr>
        <w:tab/>
        <w:t>In those cases the strata company must —</w:t>
      </w:r>
    </w:p>
    <w:p>
      <w:pPr>
        <w:pStyle w:val="y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yIndenti0"/>
      </w:pPr>
      <w:r>
        <w:rPr>
          <w:snapToGrid w:val="0"/>
        </w:rPr>
        <w:tab/>
        <w:t>(i)</w:t>
      </w:r>
      <w:r>
        <w:rPr>
          <w:snapToGrid w:val="0"/>
        </w:rPr>
        <w:tab/>
      </w:r>
      <w:r>
        <w:t>to replacement value; or</w:t>
      </w:r>
    </w:p>
    <w:p>
      <w:pPr>
        <w:pStyle w:val="yIndenti0"/>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effect and maintain insurance in respect of damage to property, death, bodily injury or illness for not less than $10 000 000 or such other amount as may be specified in the regulations in place of that amount.</w:t>
      </w:r>
    </w:p>
    <w:p>
      <w:pPr>
        <w:pStyle w:val="yPenstart"/>
        <w:rPr>
          <w:snapToGrid w:val="0"/>
        </w:rPr>
      </w:pPr>
      <w:r>
        <w:rPr>
          <w:snapToGrid w:val="0"/>
        </w:rPr>
        <w:tab/>
        <w:t>Penalty for this subclause: a fine of $3 000.</w:t>
      </w:r>
    </w:p>
    <w:p>
      <w:pPr>
        <w:pStyle w:val="y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yFootnotesection"/>
        <w:tabs>
          <w:tab w:val="left" w:pos="3402"/>
        </w:tabs>
      </w:pPr>
      <w:r>
        <w:tab/>
        <w:t>[Clause 53D, formerly section 53D, inserted: No. 61 of 1996 s. 25; amended, redesignated as cl. 53D and relocated: No. 30 of 2018 s. 58 and 117.]</w:t>
      </w:r>
    </w:p>
    <w:p>
      <w:pPr>
        <w:pStyle w:val="yHeading5"/>
        <w:rPr>
          <w:snapToGrid w:val="0"/>
        </w:rPr>
      </w:pPr>
      <w:bookmarkStart w:id="947" w:name="_Toc106986958"/>
      <w:bookmarkStart w:id="948" w:name="_Toc100565256"/>
      <w:r>
        <w:rPr>
          <w:rStyle w:val="CharSClsNo"/>
        </w:rPr>
        <w:t>53E</w:t>
      </w:r>
      <w:r>
        <w:rPr>
          <w:snapToGrid w:val="0"/>
        </w:rPr>
        <w:t>.</w:t>
      </w:r>
      <w:r>
        <w:rPr>
          <w:snapToGrid w:val="0"/>
        </w:rPr>
        <w:tab/>
        <w:t>Recovery of premium by strata company or owner if no administrative fund in single tier strata schemes</w:t>
      </w:r>
      <w:bookmarkEnd w:id="947"/>
      <w:bookmarkEnd w:id="948"/>
    </w:p>
    <w:p>
      <w:pPr>
        <w:pStyle w:val="ySubsection"/>
      </w:pPr>
      <w:r>
        <w:tab/>
        <w:t>(1)</w:t>
      </w:r>
      <w:r>
        <w:tab/>
      </w:r>
      <w:r>
        <w:rPr>
          <w:snapToGrid w:val="0"/>
        </w:rPr>
        <w:t>If</w:t>
      </w:r>
      <w:r>
        <w:t> —</w:t>
      </w:r>
    </w:p>
    <w:p>
      <w:pPr>
        <w:pStyle w:val="yIndenta"/>
        <w:rPr>
          <w:snapToGrid w:val="0"/>
        </w:rPr>
      </w:pPr>
      <w:r>
        <w:rPr>
          <w:snapToGrid w:val="0"/>
        </w:rPr>
        <w:tab/>
        <w:t>(a)</w:t>
      </w:r>
      <w:r>
        <w:rPr>
          <w:snapToGrid w:val="0"/>
        </w:rPr>
        <w:tab/>
        <w:t>in accordance with section 140, an administrative fund is not maintained by a strata company under section 100(1)(a); and</w:t>
      </w:r>
    </w:p>
    <w:p>
      <w:pPr>
        <w:pStyle w:val="y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y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ySubsection"/>
      </w:pPr>
      <w:r>
        <w:tab/>
        <w:t>(2)</w:t>
      </w:r>
      <w:r>
        <w:tab/>
        <w:t>The share payable by the owner of a lot is —</w:t>
      </w:r>
    </w:p>
    <w:p>
      <w:pPr>
        <w:pStyle w:val="y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yIndenta"/>
        <w:rPr>
          <w:snapToGrid w:val="0"/>
        </w:rPr>
      </w:pPr>
      <w:r>
        <w:rPr>
          <w:snapToGrid w:val="0"/>
        </w:rPr>
        <w:tab/>
        <w:t>(b)</w:t>
      </w:r>
      <w:r>
        <w:rPr>
          <w:snapToGrid w:val="0"/>
        </w:rPr>
        <w:tab/>
        <w:t>if applicable, a sum fixed under the scheme by</w:t>
      </w:r>
      <w:r>
        <w:rPr>
          <w:snapToGrid w:val="0"/>
        </w:rPr>
        <w:noBreakHyphen/>
        <w:t>laws.</w:t>
      </w:r>
    </w:p>
    <w:p>
      <w:pPr>
        <w:pStyle w:val="ySubsection"/>
      </w:pPr>
      <w:r>
        <w:tab/>
        <w:t>(3)</w:t>
      </w:r>
      <w:r>
        <w:tab/>
        <w:t>If —</w:t>
      </w:r>
    </w:p>
    <w:p>
      <w:pPr>
        <w:pStyle w:val="yIndenta"/>
        <w:rPr>
          <w:snapToGrid w:val="0"/>
        </w:rPr>
      </w:pPr>
      <w:r>
        <w:rPr>
          <w:snapToGrid w:val="0"/>
        </w:rPr>
        <w:tab/>
        <w:t>(a)</w:t>
      </w:r>
      <w:r>
        <w:rPr>
          <w:snapToGrid w:val="0"/>
        </w:rPr>
        <w:tab/>
        <w:t>notice has been given to the owner of a lot under subclause (1); and</w:t>
      </w:r>
    </w:p>
    <w:p>
      <w:pPr>
        <w:pStyle w:val="yIndenta"/>
        <w:rPr>
          <w:snapToGrid w:val="0"/>
        </w:rPr>
      </w:pPr>
      <w:r>
        <w:rPr>
          <w:snapToGrid w:val="0"/>
        </w:rPr>
        <w:tab/>
        <w:t>(b)</w:t>
      </w:r>
      <w:r>
        <w:rPr>
          <w:snapToGrid w:val="0"/>
        </w:rPr>
        <w:tab/>
        <w:t xml:space="preserve">the amount of the </w:t>
      </w:r>
      <w:r>
        <w:t>owner’s</w:t>
      </w:r>
      <w:r>
        <w:rPr>
          <w:snapToGrid w:val="0"/>
        </w:rPr>
        <w:t xml:space="preserve"> share has not been paid to the strata company or the insurer before the specified time,</w:t>
      </w:r>
    </w:p>
    <w:p>
      <w:pPr>
        <w:pStyle w:val="ySubsection"/>
        <w:rPr>
          <w:snapToGrid w:val="0"/>
        </w:rPr>
      </w:pPr>
      <w:r>
        <w:rPr>
          <w:snapToGrid w:val="0"/>
        </w:rPr>
        <w:tab/>
      </w:r>
      <w:r>
        <w:rPr>
          <w:snapToGrid w:val="0"/>
        </w:rPr>
        <w:tab/>
        <w:t xml:space="preserve">that amount becomes a debt due by the </w:t>
      </w:r>
      <w:r>
        <w:t>owner</w:t>
      </w:r>
      <w:r>
        <w:rPr>
          <w:snapToGrid w:val="0"/>
        </w:rPr>
        <w:t xml:space="preserve"> to the strata company and may be recovered by it in a court of competent jurisdiction.</w:t>
      </w:r>
    </w:p>
    <w:p>
      <w:pPr>
        <w:pStyle w:val="ySubsection"/>
      </w:pPr>
      <w:r>
        <w:tab/>
        <w:t>(4)</w:t>
      </w:r>
      <w:r>
        <w:tab/>
        <w:t xml:space="preserve">If </w:t>
      </w:r>
      <w:r>
        <w:rPr>
          <w:snapToGrid w:val="0"/>
        </w:rPr>
        <w:t>the</w:t>
      </w:r>
      <w:r>
        <w:t xml:space="preserve"> amount of an owner’s share has become due to the strata company but has not been paid, the owner of another lot may —</w:t>
      </w:r>
    </w:p>
    <w:p>
      <w:pPr>
        <w:pStyle w:val="yIndenta"/>
        <w:rPr>
          <w:snapToGrid w:val="0"/>
        </w:rPr>
      </w:pPr>
      <w:r>
        <w:rPr>
          <w:snapToGrid w:val="0"/>
        </w:rPr>
        <w:tab/>
        <w:t>(a)</w:t>
      </w:r>
      <w:r>
        <w:rPr>
          <w:snapToGrid w:val="0"/>
        </w:rPr>
        <w:tab/>
        <w:t>pay the amount; and</w:t>
      </w:r>
    </w:p>
    <w:p>
      <w:pPr>
        <w:pStyle w:val="yIndenta"/>
        <w:keepNext/>
        <w:rPr>
          <w:snapToGrid w:val="0"/>
        </w:rPr>
      </w:pPr>
      <w:r>
        <w:rPr>
          <w:snapToGrid w:val="0"/>
        </w:rPr>
        <w:tab/>
        <w:t>(b)</w:t>
      </w:r>
      <w:r>
        <w:rPr>
          <w:snapToGrid w:val="0"/>
        </w:rPr>
        <w:tab/>
        <w:t>recover the amount as a debt on application to the Tribunal.</w:t>
      </w:r>
    </w:p>
    <w:p>
      <w:pPr>
        <w:pStyle w:val="yFootnotesection"/>
      </w:pPr>
      <w:r>
        <w:tab/>
        <w:t>[Clause 53E, formerly section 53E, inserted: No. 61 of 1996 s. 25; amended, redesignated as cl. 53E and relocated: No. 30 of 2018 s. 59 and 117.]</w:t>
      </w:r>
    </w:p>
    <w:p>
      <w:pPr>
        <w:pStyle w:val="yFootnoteheading"/>
      </w:pPr>
    </w:p>
    <w:p>
      <w:pPr>
        <w:pStyle w:val="yScheduleHeading"/>
      </w:pPr>
      <w:bookmarkStart w:id="949" w:name="_Toc106986523"/>
      <w:bookmarkStart w:id="950" w:name="_Toc106986959"/>
      <w:bookmarkStart w:id="951" w:name="_Toc100308537"/>
      <w:bookmarkStart w:id="952" w:name="_Toc100308973"/>
      <w:bookmarkStart w:id="953" w:name="_Toc100565257"/>
      <w:r>
        <w:rPr>
          <w:rStyle w:val="CharSchNo"/>
        </w:rPr>
        <w:t>Schedule 3</w:t>
      </w:r>
      <w:r>
        <w:rPr>
          <w:rStyle w:val="CharPartNo"/>
        </w:rPr>
        <w:t> </w:t>
      </w:r>
      <w:r>
        <w:t>—</w:t>
      </w:r>
      <w:r>
        <w:rPr>
          <w:rStyle w:val="CharPartText"/>
        </w:rPr>
        <w:t> </w:t>
      </w:r>
      <w:r>
        <w:rPr>
          <w:rStyle w:val="CharSchText"/>
        </w:rPr>
        <w:t xml:space="preserve">Transitional and savings provisions for transition from </w:t>
      </w:r>
      <w:r>
        <w:rPr>
          <w:rStyle w:val="CharSchText"/>
          <w:i/>
        </w:rPr>
        <w:t>Strata Titles Act 1966</w:t>
      </w:r>
      <w:r>
        <w:rPr>
          <w:rStyle w:val="CharSchText"/>
        </w:rPr>
        <w:t xml:space="preserve"> to this Act</w:t>
      </w:r>
      <w:bookmarkEnd w:id="949"/>
      <w:bookmarkEnd w:id="950"/>
      <w:bookmarkEnd w:id="951"/>
      <w:bookmarkEnd w:id="952"/>
      <w:bookmarkEnd w:id="953"/>
    </w:p>
    <w:p>
      <w:pPr>
        <w:pStyle w:val="yFootnoteheading"/>
        <w:spacing w:before="60"/>
      </w:pPr>
      <w:r>
        <w:tab/>
        <w:t>[Heading amended: No. 19 of 2010 s. 4; No. 30 of 2018 s. 115.]</w:t>
      </w:r>
    </w:p>
    <w:p>
      <w:pPr>
        <w:pStyle w:val="yHeading5"/>
      </w:pPr>
      <w:bookmarkStart w:id="954" w:name="_Toc106986960"/>
      <w:bookmarkStart w:id="955" w:name="_Toc100565258"/>
      <w:r>
        <w:rPr>
          <w:rStyle w:val="CharSClsNo"/>
        </w:rPr>
        <w:t>1</w:t>
      </w:r>
      <w:r>
        <w:t>.</w:t>
      </w:r>
      <w:r>
        <w:tab/>
        <w:t>Terms used</w:t>
      </w:r>
      <w:bookmarkEnd w:id="954"/>
      <w:bookmarkEnd w:id="955"/>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pPr>
      <w:bookmarkStart w:id="956" w:name="_Toc106986961"/>
      <w:bookmarkStart w:id="957" w:name="_Toc100565259"/>
      <w:r>
        <w:rPr>
          <w:rStyle w:val="CharSClsNo"/>
        </w:rPr>
        <w:t>2</w:t>
      </w:r>
      <w:r>
        <w:t>.</w:t>
      </w:r>
      <w:r>
        <w:tab/>
        <w:t>Registration of unregistered former strata plans</w:t>
      </w:r>
      <w:bookmarkEnd w:id="956"/>
      <w:bookmarkEnd w:id="957"/>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pPr>
      <w:bookmarkStart w:id="958" w:name="_Toc106986962"/>
      <w:bookmarkStart w:id="959" w:name="_Toc100565260"/>
      <w:r>
        <w:rPr>
          <w:rStyle w:val="CharSClsNo"/>
        </w:rPr>
        <w:t>3</w:t>
      </w:r>
      <w:r>
        <w:t>.</w:t>
      </w:r>
      <w:r>
        <w:tab/>
        <w:t>Former lots and former common property to be derived lots and derived common property</w:t>
      </w:r>
      <w:bookmarkEnd w:id="958"/>
      <w:bookmarkEnd w:id="959"/>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pPr>
      <w:bookmarkStart w:id="960" w:name="_Toc106986963"/>
      <w:bookmarkStart w:id="961" w:name="_Toc100565261"/>
      <w:r>
        <w:rPr>
          <w:rStyle w:val="CharSClsNo"/>
        </w:rPr>
        <w:t>4</w:t>
      </w:r>
      <w:r>
        <w:t>.</w:t>
      </w:r>
      <w:r>
        <w:tab/>
        <w:t>Continuation of companies</w:t>
      </w:r>
      <w:bookmarkEnd w:id="960"/>
      <w:bookmarkEnd w:id="961"/>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pPr>
      <w:bookmarkStart w:id="962" w:name="_Toc106986964"/>
      <w:bookmarkStart w:id="963" w:name="_Toc100565262"/>
      <w:r>
        <w:rPr>
          <w:rStyle w:val="CharSClsNo"/>
        </w:rPr>
        <w:t>5</w:t>
      </w:r>
      <w:r>
        <w:t>.</w:t>
      </w:r>
      <w:r>
        <w:tab/>
        <w:t>Continuation of estates or interests in former lots and former common property and rights in former common property</w:t>
      </w:r>
      <w:bookmarkEnd w:id="962"/>
      <w:bookmarkEnd w:id="963"/>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keepNext/>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pPr>
      <w:bookmarkStart w:id="964" w:name="_Toc106986965"/>
      <w:bookmarkStart w:id="965" w:name="_Toc100565263"/>
      <w:r>
        <w:rPr>
          <w:rStyle w:val="CharSClsNo"/>
        </w:rPr>
        <w:t>6</w:t>
      </w:r>
      <w:r>
        <w:t>.</w:t>
      </w:r>
      <w:r>
        <w:tab/>
        <w:t>Application of Act to former strata schemes, former parcels, derived lots and common property</w:t>
      </w:r>
      <w:bookmarkEnd w:id="964"/>
      <w:bookmarkEnd w:id="965"/>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pPr>
      <w:bookmarkStart w:id="966" w:name="_Toc106986966"/>
      <w:bookmarkStart w:id="967" w:name="_Toc100565264"/>
      <w:r>
        <w:rPr>
          <w:rStyle w:val="CharSClsNo"/>
        </w:rPr>
        <w:t>7</w:t>
      </w:r>
      <w:r>
        <w:t>.</w:t>
      </w:r>
      <w:r>
        <w:tab/>
        <w:t>Registration of transfers or leases of derived common property registrable under s. 10 of former Act</w:t>
      </w:r>
      <w:bookmarkEnd w:id="966"/>
      <w:bookmarkEnd w:id="967"/>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No. 60 of 2006 s. 160(10).]</w:t>
      </w:r>
    </w:p>
    <w:p>
      <w:pPr>
        <w:pStyle w:val="yHeading5"/>
      </w:pPr>
      <w:bookmarkStart w:id="968" w:name="_Toc106986967"/>
      <w:bookmarkStart w:id="969" w:name="_Toc100565265"/>
      <w:r>
        <w:rPr>
          <w:rStyle w:val="CharSClsNo"/>
        </w:rPr>
        <w:t>8</w:t>
      </w:r>
      <w:r>
        <w:t>.</w:t>
      </w:r>
      <w:r>
        <w:tab/>
        <w:t>Reallocation of unit entitlement</w:t>
      </w:r>
      <w:bookmarkEnd w:id="968"/>
      <w:bookmarkEnd w:id="969"/>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pPr>
      <w:bookmarkStart w:id="970" w:name="_Toc106986968"/>
      <w:bookmarkStart w:id="971" w:name="_Toc100565266"/>
      <w:r>
        <w:rPr>
          <w:rStyle w:val="CharSClsNo"/>
        </w:rPr>
        <w:t>9</w:t>
      </w:r>
      <w:r>
        <w:t>.</w:t>
      </w:r>
      <w:r>
        <w:tab/>
        <w:t>General meetings of certain continued companies</w:t>
      </w:r>
      <w:bookmarkEnd w:id="970"/>
      <w:bookmarkEnd w:id="971"/>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pPr>
      <w:bookmarkStart w:id="972" w:name="_Toc106986969"/>
      <w:bookmarkStart w:id="973" w:name="_Toc100565267"/>
      <w:r>
        <w:rPr>
          <w:rStyle w:val="CharSClsNo"/>
        </w:rPr>
        <w:t>10</w:t>
      </w:r>
      <w:r>
        <w:t>.</w:t>
      </w:r>
      <w:r>
        <w:tab/>
        <w:t>Meetings of former companies held within 2 months after appointed day</w:t>
      </w:r>
      <w:bookmarkEnd w:id="972"/>
      <w:bookmarkEnd w:id="973"/>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pPr>
      <w:bookmarkStart w:id="974" w:name="_Toc106986970"/>
      <w:bookmarkStart w:id="975" w:name="_Toc100565268"/>
      <w:r>
        <w:rPr>
          <w:rStyle w:val="CharSClsNo"/>
        </w:rPr>
        <w:t>11</w:t>
      </w:r>
      <w:r>
        <w:t>.</w:t>
      </w:r>
      <w:r>
        <w:tab/>
        <w:t>Notices served by public or local government authority before appointed day</w:t>
      </w:r>
      <w:bookmarkEnd w:id="974"/>
      <w:bookmarkEnd w:id="975"/>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pPr>
      <w:bookmarkStart w:id="976" w:name="_Toc106986971"/>
      <w:bookmarkStart w:id="977" w:name="_Toc100565269"/>
      <w:r>
        <w:rPr>
          <w:rStyle w:val="CharSClsNo"/>
        </w:rPr>
        <w:t>12</w:t>
      </w:r>
      <w:r>
        <w:t>.</w:t>
      </w:r>
      <w:r>
        <w:tab/>
        <w:t>Effect of former by</w:t>
      </w:r>
      <w:r>
        <w:noBreakHyphen/>
        <w:t>laws</w:t>
      </w:r>
      <w:bookmarkEnd w:id="976"/>
      <w:bookmarkEnd w:id="977"/>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pPr>
      <w:bookmarkStart w:id="978" w:name="_Toc106986972"/>
      <w:bookmarkStart w:id="979" w:name="_Toc100565270"/>
      <w:r>
        <w:rPr>
          <w:rStyle w:val="CharSClsNo"/>
        </w:rPr>
        <w:t>13</w:t>
      </w:r>
      <w:r>
        <w:t>.</w:t>
      </w:r>
      <w:r>
        <w:tab/>
        <w:t>Maintenance of exclusive use of, or special privileges in respect of, common property</w:t>
      </w:r>
      <w:bookmarkEnd w:id="978"/>
      <w:bookmarkEnd w:id="979"/>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pPr>
      <w:bookmarkStart w:id="980" w:name="_Toc106986973"/>
      <w:bookmarkStart w:id="981" w:name="_Toc100565271"/>
      <w:r>
        <w:rPr>
          <w:rStyle w:val="CharSClsNo"/>
        </w:rPr>
        <w:t>13A</w:t>
      </w:r>
      <w:r>
        <w:t>.</w:t>
      </w:r>
      <w:r>
        <w:tab/>
        <w:t>Exclusive use and privileges to lapse unless provided for by by</w:t>
      </w:r>
      <w:r>
        <w:noBreakHyphen/>
        <w:t>law or SAT’s order</w:t>
      </w:r>
      <w:bookmarkEnd w:id="980"/>
      <w:bookmarkEnd w:id="981"/>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pPr>
      <w:bookmarkStart w:id="982" w:name="_Toc106986974"/>
      <w:bookmarkStart w:id="983" w:name="_Toc100565272"/>
      <w:r>
        <w:rPr>
          <w:rStyle w:val="CharSClsNo"/>
        </w:rPr>
        <w:t>13B</w:t>
      </w:r>
      <w:r>
        <w:t>.</w:t>
      </w:r>
      <w:r>
        <w:tab/>
        <w:t>Strata companies to notify proprietors of operation of cl. 13A</w:t>
      </w:r>
      <w:bookmarkEnd w:id="982"/>
      <w:bookmarkEnd w:id="983"/>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pPr>
      <w:bookmarkStart w:id="984" w:name="_Toc106986975"/>
      <w:bookmarkStart w:id="985" w:name="_Toc100565273"/>
      <w:r>
        <w:rPr>
          <w:rStyle w:val="CharSClsNo"/>
        </w:rPr>
        <w:t>14</w:t>
      </w:r>
      <w:r>
        <w:t>.</w:t>
      </w:r>
      <w:r>
        <w:tab/>
        <w:t>Recovery of contributions levied under former Acts</w:t>
      </w:r>
      <w:bookmarkEnd w:id="984"/>
      <w:bookmarkEnd w:id="985"/>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pPr>
      <w:bookmarkStart w:id="986" w:name="_Toc106986976"/>
      <w:bookmarkStart w:id="987" w:name="_Toc100565274"/>
      <w:r>
        <w:rPr>
          <w:rStyle w:val="CharSClsNo"/>
        </w:rPr>
        <w:t>15</w:t>
      </w:r>
      <w:r>
        <w:t>.</w:t>
      </w:r>
      <w:r>
        <w:tab/>
        <w:t>Modification of s. 35(1)(j) in relation to companies</w:t>
      </w:r>
      <w:bookmarkEnd w:id="986"/>
      <w:bookmarkEnd w:id="987"/>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pPr>
      <w:bookmarkStart w:id="988" w:name="_Toc106986977"/>
      <w:bookmarkStart w:id="989" w:name="_Toc100565275"/>
      <w:r>
        <w:rPr>
          <w:rStyle w:val="CharSClsNo"/>
        </w:rPr>
        <w:t>16</w:t>
      </w:r>
      <w:r>
        <w:t>.</w:t>
      </w:r>
      <w:r>
        <w:tab/>
        <w:t>Inspection of former records etc.</w:t>
      </w:r>
      <w:bookmarkEnd w:id="988"/>
      <w:bookmarkEnd w:id="989"/>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pPr>
      <w:bookmarkStart w:id="990" w:name="_Toc106986978"/>
      <w:bookmarkStart w:id="991" w:name="_Toc100565276"/>
      <w:r>
        <w:rPr>
          <w:rStyle w:val="CharSClsNo"/>
        </w:rPr>
        <w:t>17</w:t>
      </w:r>
      <w:r>
        <w:t>.</w:t>
      </w:r>
      <w:r>
        <w:tab/>
        <w:t>Administrative funds of continued companies</w:t>
      </w:r>
      <w:bookmarkEnd w:id="990"/>
      <w:bookmarkEnd w:id="991"/>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pPr>
      <w:bookmarkStart w:id="992" w:name="_Toc106986979"/>
      <w:bookmarkStart w:id="993" w:name="_Toc100565277"/>
      <w:r>
        <w:rPr>
          <w:rStyle w:val="CharSClsNo"/>
        </w:rPr>
        <w:t>18</w:t>
      </w:r>
      <w:r>
        <w:t>.</w:t>
      </w:r>
      <w:r>
        <w:tab/>
        <w:t>Modification of s. 43(1)(c) in relation to continued companies</w:t>
      </w:r>
      <w:bookmarkEnd w:id="992"/>
      <w:bookmarkEnd w:id="993"/>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pPr>
      <w:bookmarkStart w:id="994" w:name="_Toc106986980"/>
      <w:bookmarkStart w:id="995" w:name="_Toc100565278"/>
      <w:r>
        <w:rPr>
          <w:rStyle w:val="CharSClsNo"/>
        </w:rPr>
        <w:t>19</w:t>
      </w:r>
      <w:r>
        <w:t>.</w:t>
      </w:r>
      <w:r>
        <w:tab/>
        <w:t>Continuation of councils of former companies</w:t>
      </w:r>
      <w:bookmarkEnd w:id="994"/>
      <w:bookmarkEnd w:id="995"/>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pPr>
      <w:bookmarkStart w:id="996" w:name="_Toc106986981"/>
      <w:bookmarkStart w:id="997" w:name="_Toc100565279"/>
      <w:r>
        <w:rPr>
          <w:rStyle w:val="CharSClsNo"/>
        </w:rPr>
        <w:t>20</w:t>
      </w:r>
      <w:r>
        <w:t>.</w:t>
      </w:r>
      <w:r>
        <w:tab/>
        <w:t>Ope</w:t>
      </w:r>
      <w:r>
        <w:rPr>
          <w:rStyle w:val="CharSClsNo"/>
        </w:rPr>
        <w:t>r</w:t>
      </w:r>
      <w:r>
        <w:t>ation of by</w:t>
      </w:r>
      <w:r>
        <w:noBreakHyphen/>
        <w:t>law 1, Part I of Sch. 1</w:t>
      </w:r>
      <w:bookmarkEnd w:id="996"/>
      <w:bookmarkEnd w:id="997"/>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pPr>
      <w:bookmarkStart w:id="998" w:name="_Toc106986982"/>
      <w:bookmarkStart w:id="999" w:name="_Toc100565280"/>
      <w:r>
        <w:rPr>
          <w:rStyle w:val="CharSClsNo"/>
        </w:rPr>
        <w:t>21</w:t>
      </w:r>
      <w:r>
        <w:t>.</w:t>
      </w:r>
      <w:r>
        <w:tab/>
      </w:r>
      <w:r>
        <w:rPr>
          <w:rStyle w:val="CharSClsNo"/>
        </w:rPr>
        <w:t>Modification</w:t>
      </w:r>
      <w:r>
        <w:t xml:space="preserve"> of Part IV Div. 4</w:t>
      </w:r>
      <w:bookmarkEnd w:id="998"/>
      <w:bookmarkEnd w:id="999"/>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pPr>
      <w:bookmarkStart w:id="1000" w:name="_Toc106986983"/>
      <w:bookmarkStart w:id="1001" w:name="_Toc100565281"/>
      <w:r>
        <w:rPr>
          <w:rStyle w:val="CharSClsNo"/>
        </w:rPr>
        <w:t>22</w:t>
      </w:r>
      <w:r>
        <w:t>.</w:t>
      </w:r>
      <w:r>
        <w:tab/>
        <w:t>Evidentiary effect under s. 61 of particulars furnished under s. 21(3) of former Act</w:t>
      </w:r>
      <w:bookmarkEnd w:id="1000"/>
      <w:bookmarkEnd w:id="1001"/>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pPr>
      <w:bookmarkStart w:id="1002" w:name="_Toc106986984"/>
      <w:bookmarkStart w:id="1003" w:name="_Toc100565282"/>
      <w:r>
        <w:rPr>
          <w:rStyle w:val="CharSClsNo"/>
        </w:rPr>
        <w:t>23</w:t>
      </w:r>
      <w:r>
        <w:t>.</w:t>
      </w:r>
      <w:r>
        <w:tab/>
        <w:t>Destruction of or damage to building under former Act</w:t>
      </w:r>
      <w:bookmarkEnd w:id="1002"/>
      <w:bookmarkEnd w:id="1003"/>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pPr>
      <w:bookmarkStart w:id="1004" w:name="_Toc106986985"/>
      <w:bookmarkStart w:id="1005" w:name="_Toc100565283"/>
      <w:r>
        <w:rPr>
          <w:rStyle w:val="CharSClsNo"/>
        </w:rPr>
        <w:t>24</w:t>
      </w:r>
      <w:r>
        <w:t>.</w:t>
      </w:r>
      <w:r>
        <w:tab/>
        <w:t>Administrators under former Act</w:t>
      </w:r>
      <w:bookmarkEnd w:id="1004"/>
      <w:bookmarkEnd w:id="1005"/>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pPr>
      <w:bookmarkStart w:id="1006" w:name="_Toc106986986"/>
      <w:bookmarkStart w:id="1007" w:name="_Toc100565284"/>
      <w:r>
        <w:rPr>
          <w:rStyle w:val="CharSClsNo"/>
        </w:rPr>
        <w:t>25</w:t>
      </w:r>
      <w:r>
        <w:t>.</w:t>
      </w:r>
      <w:r>
        <w:tab/>
        <w:t>Recovery of rates paid by company</w:t>
      </w:r>
      <w:bookmarkEnd w:id="1006"/>
      <w:bookmarkEnd w:id="1007"/>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pPr>
      <w:bookmarkStart w:id="1008" w:name="_Toc106986987"/>
      <w:bookmarkStart w:id="1009" w:name="_Toc100565285"/>
      <w:r>
        <w:rPr>
          <w:rStyle w:val="CharSClsNo"/>
        </w:rPr>
        <w:t>26</w:t>
      </w:r>
      <w:r>
        <w:t>.</w:t>
      </w:r>
      <w:r>
        <w:tab/>
        <w:t>Regulations — Transitional</w:t>
      </w:r>
      <w:bookmarkEnd w:id="1008"/>
      <w:bookmarkEnd w:id="1009"/>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pPr>
      <w:bookmarkStart w:id="1010" w:name="_Toc106986552"/>
      <w:bookmarkStart w:id="1011" w:name="_Toc106986988"/>
      <w:bookmarkStart w:id="1012" w:name="_Toc100308566"/>
      <w:bookmarkStart w:id="1013" w:name="_Toc100309002"/>
      <w:bookmarkStart w:id="1014" w:name="_Toc100565286"/>
      <w:r>
        <w:rPr>
          <w:rStyle w:val="CharSchNo"/>
        </w:rPr>
        <w:t>Schedule 4</w:t>
      </w:r>
      <w:r>
        <w:t> — </w:t>
      </w:r>
      <w:r>
        <w:rPr>
          <w:rStyle w:val="CharSchText"/>
        </w:rPr>
        <w:t xml:space="preserve">Transitional provisions for the </w:t>
      </w:r>
      <w:r>
        <w:rPr>
          <w:rStyle w:val="CharSchText"/>
          <w:i/>
        </w:rPr>
        <w:t>Strata Titles Amendment Act 1995</w:t>
      </w:r>
      <w:r>
        <w:rPr>
          <w:rStyle w:val="CharSchText"/>
        </w:rPr>
        <w:t xml:space="preserve"> for by</w:t>
      </w:r>
      <w:r>
        <w:rPr>
          <w:rStyle w:val="CharSchText"/>
        </w:rPr>
        <w:noBreakHyphen/>
        <w:t>laws of strata companies other than companies to which Schedule 3 applies</w:t>
      </w:r>
      <w:bookmarkEnd w:id="1010"/>
      <w:bookmarkEnd w:id="1011"/>
      <w:bookmarkEnd w:id="1012"/>
      <w:bookmarkEnd w:id="1013"/>
      <w:bookmarkEnd w:id="1014"/>
    </w:p>
    <w:p>
      <w:pPr>
        <w:pStyle w:val="yFootnoteheading"/>
        <w:tabs>
          <w:tab w:val="clear" w:pos="879"/>
          <w:tab w:val="left" w:pos="890"/>
        </w:tabs>
      </w:pPr>
      <w:r>
        <w:tab/>
        <w:t>[Heading inserted: No. 58 of 1995 s. 91; amended: No. 19 of 2010 s. 4; No. 30 of 2018 s. 116.]</w:t>
      </w:r>
    </w:p>
    <w:p>
      <w:pPr>
        <w:pStyle w:val="yHeading5"/>
        <w:rPr>
          <w:snapToGrid w:val="0"/>
        </w:rPr>
      </w:pPr>
      <w:bookmarkStart w:id="1015" w:name="_Toc106986989"/>
      <w:bookmarkStart w:id="1016" w:name="_Toc100565287"/>
      <w:r>
        <w:rPr>
          <w:rStyle w:val="CharSClsNo"/>
        </w:rPr>
        <w:t>1</w:t>
      </w:r>
      <w:r>
        <w:rPr>
          <w:snapToGrid w:val="0"/>
        </w:rPr>
        <w:t>.</w:t>
      </w:r>
      <w:r>
        <w:rPr>
          <w:snapToGrid w:val="0"/>
        </w:rPr>
        <w:tab/>
        <w:t>Terms used</w:t>
      </w:r>
      <w:bookmarkEnd w:id="1015"/>
      <w:bookmarkEnd w:id="1016"/>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1017" w:name="_Toc106986990"/>
      <w:bookmarkStart w:id="1018" w:name="_Toc100565288"/>
      <w:r>
        <w:rPr>
          <w:rStyle w:val="CharSClsNo"/>
        </w:rPr>
        <w:t>2</w:t>
      </w:r>
      <w:r>
        <w:rPr>
          <w:snapToGrid w:val="0"/>
        </w:rPr>
        <w:t>.</w:t>
      </w:r>
      <w:r>
        <w:rPr>
          <w:snapToGrid w:val="0"/>
        </w:rPr>
        <w:tab/>
        <w:t>Transitional provisions</w:t>
      </w:r>
      <w:bookmarkEnd w:id="1017"/>
      <w:bookmarkEnd w:id="1018"/>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yScheduleHeading"/>
      </w:pPr>
      <w:bookmarkStart w:id="1019" w:name="_Toc106986555"/>
      <w:bookmarkStart w:id="1020" w:name="_Toc106986991"/>
      <w:bookmarkStart w:id="1021" w:name="_Toc100308569"/>
      <w:bookmarkStart w:id="1022" w:name="_Toc100309005"/>
      <w:bookmarkStart w:id="1023" w:name="_Toc100565289"/>
      <w:r>
        <w:rPr>
          <w:rStyle w:val="CharSchNo"/>
        </w:rPr>
        <w:t>Schedule 5</w:t>
      </w:r>
      <w:r>
        <w:t> — </w:t>
      </w:r>
      <w:r>
        <w:rPr>
          <w:rStyle w:val="CharSchText"/>
        </w:rPr>
        <w:t xml:space="preserve">Transitional provisions for </w:t>
      </w:r>
      <w:r>
        <w:rPr>
          <w:rStyle w:val="CharSchText"/>
          <w:i/>
        </w:rPr>
        <w:t>Strata Titles Amendment Act 2018</w:t>
      </w:r>
      <w:bookmarkEnd w:id="1019"/>
      <w:bookmarkEnd w:id="1020"/>
      <w:bookmarkEnd w:id="1021"/>
      <w:bookmarkEnd w:id="1022"/>
      <w:bookmarkEnd w:id="1023"/>
    </w:p>
    <w:p>
      <w:pPr>
        <w:pStyle w:val="yFootnoteheading"/>
        <w:tabs>
          <w:tab w:val="clear" w:pos="879"/>
          <w:tab w:val="left" w:pos="890"/>
        </w:tabs>
      </w:pPr>
      <w:r>
        <w:tab/>
        <w:t>[Heading inserted: No. 30 of 2018 s. 119.]</w:t>
      </w:r>
    </w:p>
    <w:p>
      <w:pPr>
        <w:pStyle w:val="yHeading5"/>
        <w:rPr>
          <w:snapToGrid w:val="0"/>
        </w:rPr>
      </w:pPr>
      <w:bookmarkStart w:id="1024" w:name="_Toc106986992"/>
      <w:bookmarkStart w:id="1025" w:name="_Toc100565290"/>
      <w:r>
        <w:rPr>
          <w:rStyle w:val="CharSClsNo"/>
        </w:rPr>
        <w:t>1</w:t>
      </w:r>
      <w:r>
        <w:rPr>
          <w:snapToGrid w:val="0"/>
        </w:rPr>
        <w:t>.</w:t>
      </w:r>
      <w:r>
        <w:rPr>
          <w:snapToGrid w:val="0"/>
        </w:rPr>
        <w:tab/>
        <w:t>Terms used</w:t>
      </w:r>
      <w:bookmarkEnd w:id="1024"/>
      <w:bookmarkEnd w:id="1025"/>
    </w:p>
    <w:p>
      <w:pPr>
        <w:pStyle w:val="ySubsection"/>
        <w:rPr>
          <w:snapToGrid w:val="0"/>
        </w:rPr>
      </w:pPr>
      <w:r>
        <w:rPr>
          <w:snapToGrid w:val="0"/>
        </w:rPr>
        <w:tab/>
      </w:r>
      <w:r>
        <w:rPr>
          <w:snapToGrid w:val="0"/>
        </w:rPr>
        <w:tab/>
        <w:t>In this Schedule —</w:t>
      </w:r>
    </w:p>
    <w:p>
      <w:pPr>
        <w:pStyle w:val="yDefstart"/>
      </w:pPr>
      <w:r>
        <w:tab/>
      </w:r>
      <w:r>
        <w:rPr>
          <w:rStyle w:val="CharDefText"/>
        </w:rPr>
        <w:t>amending Act</w:t>
      </w:r>
      <w:r>
        <w:t xml:space="preserve"> means the </w:t>
      </w:r>
      <w:r>
        <w:rPr>
          <w:i/>
        </w:rPr>
        <w:t>Strata Titles Amendment Act 2018</w:t>
      </w:r>
      <w:r>
        <w:t>;</w:t>
      </w:r>
    </w:p>
    <w:p>
      <w:pPr>
        <w:pStyle w:val="yDefstart"/>
      </w:pPr>
      <w:r>
        <w:tab/>
      </w:r>
      <w:r>
        <w:rPr>
          <w:rStyle w:val="CharDefText"/>
        </w:rPr>
        <w:t>commencement day</w:t>
      </w:r>
      <w:r>
        <w:t xml:space="preserve"> means the day on which section 4 of the amending Act comes into operation.</w:t>
      </w:r>
    </w:p>
    <w:p>
      <w:pPr>
        <w:pStyle w:val="yFootnotesection"/>
      </w:pPr>
      <w:r>
        <w:tab/>
        <w:t>[Clause 1 inserted: No. 30 of 2018 s. 119.]</w:t>
      </w:r>
    </w:p>
    <w:p>
      <w:pPr>
        <w:pStyle w:val="yHeading5"/>
      </w:pPr>
      <w:bookmarkStart w:id="1026" w:name="_Toc106986993"/>
      <w:bookmarkStart w:id="1027" w:name="_Toc100565291"/>
      <w:r>
        <w:rPr>
          <w:rStyle w:val="CharSClsNo"/>
        </w:rPr>
        <w:t>2</w:t>
      </w:r>
      <w:r>
        <w:t>.</w:t>
      </w:r>
      <w:r>
        <w:tab/>
        <w:t>Continuance of strata titles schemes</w:t>
      </w:r>
      <w:bookmarkEnd w:id="1026"/>
      <w:bookmarkEnd w:id="1027"/>
    </w:p>
    <w:p>
      <w:pPr>
        <w:pStyle w:val="ySubsection"/>
      </w:pPr>
      <w:r>
        <w:tab/>
        <w:t>(1)</w:t>
      </w:r>
      <w:r>
        <w:tab/>
        <w:t>The coming into operation of the amending Act does not affect the continued existence of the following —</w:t>
      </w:r>
    </w:p>
    <w:p>
      <w:pPr>
        <w:pStyle w:val="yIndenta"/>
      </w:pPr>
      <w:r>
        <w:tab/>
        <w:t>(a)</w:t>
      </w:r>
      <w:r>
        <w:tab/>
        <w:t>a strata scheme or survey</w:t>
      </w:r>
      <w:r>
        <w:noBreakHyphen/>
        <w:t>strata scheme;</w:t>
      </w:r>
    </w:p>
    <w:p>
      <w:pPr>
        <w:pStyle w:val="yIndenta"/>
      </w:pPr>
      <w:r>
        <w:tab/>
        <w:t>(b)</w:t>
      </w:r>
      <w:r>
        <w:tab/>
        <w:t>a lot or common property in a strata scheme or survey</w:t>
      </w:r>
      <w:r>
        <w:noBreakHyphen/>
        <w:t>strata scheme;</w:t>
      </w:r>
    </w:p>
    <w:p>
      <w:pPr>
        <w:pStyle w:val="yIndenta"/>
      </w:pPr>
      <w:r>
        <w:tab/>
        <w:t>(c)</w:t>
      </w:r>
      <w:r>
        <w:tab/>
        <w:t>an estate or interest in a lot or common property in a strata scheme or survey</w:t>
      </w:r>
      <w:r>
        <w:noBreakHyphen/>
        <w:t>strata scheme;</w:t>
      </w:r>
    </w:p>
    <w:p>
      <w:pPr>
        <w:pStyle w:val="yIndenta"/>
      </w:pPr>
      <w:r>
        <w:tab/>
        <w:t>(d)</w:t>
      </w:r>
      <w:r>
        <w:tab/>
        <w:t>a strata company, its council or its officers.</w:t>
      </w:r>
    </w:p>
    <w:p>
      <w:pPr>
        <w:pStyle w:val="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yFootnotesection"/>
      </w:pPr>
      <w:r>
        <w:tab/>
        <w:t>[Clause 2 inserted: No. 30 of 2018 s. 119.]</w:t>
      </w:r>
    </w:p>
    <w:p>
      <w:pPr>
        <w:pStyle w:val="yHeading5"/>
      </w:pPr>
      <w:bookmarkStart w:id="1028" w:name="_Toc106986994"/>
      <w:bookmarkStart w:id="1029" w:name="_Toc100565292"/>
      <w:r>
        <w:rPr>
          <w:rStyle w:val="CharSClsNo"/>
        </w:rPr>
        <w:t>3</w:t>
      </w:r>
      <w:r>
        <w:t>.</w:t>
      </w:r>
      <w:r>
        <w:tab/>
        <w:t>Scheme notice</w:t>
      </w:r>
      <w:bookmarkEnd w:id="1028"/>
      <w:bookmarkEnd w:id="1029"/>
    </w:p>
    <w:p>
      <w:pPr>
        <w:pStyle w:val="ySubsection"/>
      </w:pPr>
      <w:r>
        <w:tab/>
      </w:r>
      <w:r>
        <w:tab/>
        <w:t>The name of a strata titles scheme and the address for service of a strata company remains as it is immediately before commencement day and may be amended as if specified in a scheme notice.</w:t>
      </w:r>
    </w:p>
    <w:p>
      <w:pPr>
        <w:pStyle w:val="yFootnotesection"/>
      </w:pPr>
      <w:r>
        <w:tab/>
        <w:t>[Clause 3 inserted: No. 30 of 2018 s. 119.]</w:t>
      </w:r>
    </w:p>
    <w:p>
      <w:pPr>
        <w:pStyle w:val="yHeading5"/>
      </w:pPr>
      <w:bookmarkStart w:id="1030" w:name="_Toc106986995"/>
      <w:bookmarkStart w:id="1031" w:name="_Toc100565293"/>
      <w:r>
        <w:rPr>
          <w:rStyle w:val="CharSClsNo"/>
        </w:rPr>
        <w:t>4</w:t>
      </w:r>
      <w:r>
        <w:t>.</w:t>
      </w:r>
      <w:r>
        <w:tab/>
        <w:t>Scheme by</w:t>
      </w:r>
      <w:r>
        <w:noBreakHyphen/>
        <w:t>laws</w:t>
      </w:r>
      <w:bookmarkEnd w:id="1030"/>
      <w:bookmarkEnd w:id="1031"/>
    </w:p>
    <w:p>
      <w:pPr>
        <w:pStyle w:val="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ySubsection"/>
      </w:pPr>
      <w:r>
        <w:tab/>
        <w:t>(3)</w:t>
      </w:r>
      <w:r>
        <w:tab/>
        <w:t>A by</w:t>
      </w:r>
      <w:r>
        <w:noBreakHyphen/>
        <w:t>law under section 42(8) as in force immediately before commencement day is taken to be an exclusive use by</w:t>
      </w:r>
      <w:r>
        <w:noBreakHyphen/>
        <w:t>law subject to this Act.</w:t>
      </w:r>
    </w:p>
    <w:p>
      <w:pPr>
        <w:pStyle w:val="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ySubsection"/>
      </w:pPr>
      <w:r>
        <w:tab/>
        <w:t>(5)</w:t>
      </w:r>
      <w:r>
        <w:tab/>
        <w:t>By</w:t>
      </w:r>
      <w:r>
        <w:noBreakHyphen/>
        <w:t>laws made by a strata company before commencement day in accordance with the Act as in force when the by</w:t>
      </w:r>
      <w:r>
        <w:noBreakHyphen/>
        <w:t>laws were made —</w:t>
      </w:r>
    </w:p>
    <w:p>
      <w:pPr>
        <w:pStyle w:val="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ySubsection"/>
        <w:keepNext/>
        <w:keepLines/>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yFootnotesection"/>
      </w:pPr>
      <w:r>
        <w:tab/>
        <w:t>[Clause 4 inserted: No. 30 of 2018 s. 119.]</w:t>
      </w:r>
    </w:p>
    <w:p>
      <w:pPr>
        <w:pStyle w:val="yHeading5"/>
      </w:pPr>
      <w:bookmarkStart w:id="1032" w:name="_Toc106986996"/>
      <w:bookmarkStart w:id="1033" w:name="_Toc100565294"/>
      <w:r>
        <w:rPr>
          <w:rStyle w:val="CharSClsNo"/>
        </w:rPr>
        <w:t>5</w:t>
      </w:r>
      <w:r>
        <w:t>.</w:t>
      </w:r>
      <w:r>
        <w:tab/>
        <w:t>Schedule of unit entitlements</w:t>
      </w:r>
      <w:bookmarkEnd w:id="1032"/>
      <w:bookmarkEnd w:id="1033"/>
    </w:p>
    <w:p>
      <w:pPr>
        <w:pStyle w:val="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yFootnotesection"/>
      </w:pPr>
      <w:r>
        <w:tab/>
        <w:t>[Clause 5 inserted: No. 30 of 2018 s. 119.]</w:t>
      </w:r>
    </w:p>
    <w:p>
      <w:pPr>
        <w:pStyle w:val="yHeading5"/>
      </w:pPr>
      <w:bookmarkStart w:id="1034" w:name="_Toc106986997"/>
      <w:bookmarkStart w:id="1035" w:name="_Toc100565295"/>
      <w:r>
        <w:rPr>
          <w:rStyle w:val="CharSClsNo"/>
        </w:rPr>
        <w:t>6</w:t>
      </w:r>
      <w:r>
        <w:t>.</w:t>
      </w:r>
      <w:r>
        <w:tab/>
        <w:t>Council members and officers</w:t>
      </w:r>
      <w:bookmarkEnd w:id="1034"/>
      <w:bookmarkEnd w:id="1035"/>
    </w:p>
    <w:p>
      <w:pPr>
        <w:pStyle w:val="ySubsection"/>
      </w:pPr>
      <w:r>
        <w:tab/>
        <w:t>(1)</w:t>
      </w:r>
      <w:r>
        <w:tab/>
        <w:t>A member of the council or officer of a strata company who continues in that capacity on commencement day —</w:t>
      </w:r>
    </w:p>
    <w:p>
      <w:pPr>
        <w:pStyle w:val="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yIndenta"/>
      </w:pPr>
      <w:r>
        <w:tab/>
        <w:t>(b)</w:t>
      </w:r>
      <w:r>
        <w:tab/>
        <w:t>in the case of a member of the council, must not vote on a matter in which the member has an interest required to be disclosed under paragraph (a).</w:t>
      </w:r>
    </w:p>
    <w:p>
      <w:pPr>
        <w:pStyle w:val="ySubsection"/>
      </w:pPr>
      <w:r>
        <w:tab/>
        <w:t>(2)</w:t>
      </w:r>
      <w:r>
        <w:tab/>
        <w:t>Subclause (1) does not apply to an interest arising solely from the fact that the member or officer is the owner of a lot in the strata titles scheme.</w:t>
      </w:r>
    </w:p>
    <w:p>
      <w:pPr>
        <w:pStyle w:val="ySubsection"/>
      </w:pPr>
      <w:r>
        <w:tab/>
        <w:t>(3)</w:t>
      </w:r>
      <w:r>
        <w:tab/>
        <w:t>Subclause (1)(a) does not apply to matters of which the member or officer has already informed the council in writing but subclause (1)(b) does apply to such matters.</w:t>
      </w:r>
    </w:p>
    <w:p>
      <w:pPr>
        <w:pStyle w:val="yFootnotesection"/>
      </w:pPr>
      <w:r>
        <w:tab/>
        <w:t>[Clause 6 inserted: No. 30 of 2018 s. 119.]</w:t>
      </w:r>
    </w:p>
    <w:p>
      <w:pPr>
        <w:pStyle w:val="yHeading5"/>
      </w:pPr>
      <w:bookmarkStart w:id="1036" w:name="_Toc106986998"/>
      <w:bookmarkStart w:id="1037" w:name="_Toc100565296"/>
      <w:r>
        <w:rPr>
          <w:rStyle w:val="CharSClsNo"/>
        </w:rPr>
        <w:t>7</w:t>
      </w:r>
      <w:r>
        <w:t>.</w:t>
      </w:r>
      <w:r>
        <w:tab/>
        <w:t>Applications lodged with Registrar of Titles before commencement day</w:t>
      </w:r>
      <w:bookmarkEnd w:id="1036"/>
      <w:bookmarkEnd w:id="1037"/>
    </w:p>
    <w:p>
      <w:pPr>
        <w:pStyle w:val="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yIndenta"/>
      </w:pPr>
      <w:r>
        <w:tab/>
        <w:t>(a)</w:t>
      </w:r>
      <w:r>
        <w:tab/>
        <w:t>application for registration of plan of re</w:t>
      </w:r>
      <w:r>
        <w:noBreakHyphen/>
        <w:t>subdivision under section 8A as in force immediately before commencement day;</w:t>
      </w:r>
    </w:p>
    <w:p>
      <w:pPr>
        <w:pStyle w:val="yIndenta"/>
      </w:pPr>
      <w:r>
        <w:tab/>
        <w:t>(b)</w:t>
      </w:r>
      <w:r>
        <w:tab/>
        <w:t>application for registration of strata/survey</w:t>
      </w:r>
      <w:r>
        <w:noBreakHyphen/>
        <w:t>strata plan of consolidation under section 9 as in force immediately before commencement day;</w:t>
      </w:r>
    </w:p>
    <w:p>
      <w:pPr>
        <w:pStyle w:val="yIndenta"/>
      </w:pPr>
      <w:r>
        <w:tab/>
        <w:t>(c)</w:t>
      </w:r>
      <w:r>
        <w:tab/>
        <w:t>application for registration of conversion of 1 or more lots into common property under section 10 as in force immediately before commencement day;</w:t>
      </w:r>
    </w:p>
    <w:p>
      <w:pPr>
        <w:pStyle w:val="yIndenta"/>
      </w:pPr>
      <w:r>
        <w:tab/>
        <w:t>(d)</w:t>
      </w:r>
      <w:r>
        <w:tab/>
        <w:t>application for registration of a transfer of land under section 18 as in force immediately before commencement day;</w:t>
      </w:r>
    </w:p>
    <w:p>
      <w:pPr>
        <w:pStyle w:val="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yIndenta"/>
      </w:pPr>
      <w:r>
        <w:tab/>
        <w:t>(f)</w:t>
      </w:r>
      <w:r>
        <w:tab/>
        <w:t>an application for registration of a transfer of common property under section 19 as in force immediately before commencement day;</w:t>
      </w:r>
    </w:p>
    <w:p>
      <w:pPr>
        <w:pStyle w:val="yIndenta"/>
      </w:pPr>
      <w:r>
        <w:tab/>
        <w:t>(g)</w:t>
      </w:r>
      <w:r>
        <w:tab/>
        <w:t>an application for registration of the creation or surrendering of an easement or restrictive covenant under section 20 as in force immediately before commencement day.</w:t>
      </w:r>
    </w:p>
    <w:p>
      <w:pPr>
        <w:pStyle w:val="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yFootnotesection"/>
      </w:pPr>
      <w:r>
        <w:tab/>
        <w:t>[Clause 7 inserted: No. 30 of 2018 s. 119.]</w:t>
      </w:r>
    </w:p>
    <w:p>
      <w:pPr>
        <w:pStyle w:val="yHeading5"/>
      </w:pPr>
      <w:bookmarkStart w:id="1038" w:name="_Toc106986999"/>
      <w:bookmarkStart w:id="1039" w:name="_Toc100565297"/>
      <w:r>
        <w:rPr>
          <w:rStyle w:val="CharSClsNo"/>
        </w:rPr>
        <w:t>8</w:t>
      </w:r>
      <w:r>
        <w:t>.</w:t>
      </w:r>
      <w:r>
        <w:tab/>
        <w:t>Approvals and certificates</w:t>
      </w:r>
      <w:bookmarkEnd w:id="1038"/>
      <w:bookmarkEnd w:id="1039"/>
    </w:p>
    <w:p>
      <w:pPr>
        <w:pStyle w:val="ySubsection"/>
      </w:pPr>
      <w:r>
        <w:tab/>
        <w:t>(1)</w:t>
      </w:r>
      <w:r>
        <w:tab/>
        <w:t>For the purposes of an application to the Registrar of Titles involving registration of scheme documents or amendments of scheme documents prepared before commencement day —</w:t>
      </w:r>
    </w:p>
    <w:p>
      <w:pPr>
        <w:pStyle w:val="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yFootnotesection"/>
      </w:pPr>
      <w:r>
        <w:tab/>
        <w:t>[Clause 8 inserted: No. 30 of 2018 s. 119.]</w:t>
      </w:r>
    </w:p>
    <w:p>
      <w:pPr>
        <w:pStyle w:val="yHeading5"/>
      </w:pPr>
      <w:bookmarkStart w:id="1040" w:name="_Toc106987000"/>
      <w:bookmarkStart w:id="1041" w:name="_Toc100565298"/>
      <w:r>
        <w:rPr>
          <w:rStyle w:val="CharSClsNo"/>
        </w:rPr>
        <w:t>9</w:t>
      </w:r>
      <w:r>
        <w:t>.</w:t>
      </w:r>
      <w:r>
        <w:tab/>
        <w:t>Utility service easement</w:t>
      </w:r>
      <w:bookmarkEnd w:id="1040"/>
      <w:bookmarkEnd w:id="1041"/>
    </w:p>
    <w:p>
      <w:pPr>
        <w:pStyle w:val="ySubsection"/>
      </w:pPr>
      <w:r>
        <w:tab/>
      </w:r>
      <w:r>
        <w:tab/>
        <w:t>A utility service easement applies to utility conduits whether installed before, on or after commencement day.</w:t>
      </w:r>
    </w:p>
    <w:p>
      <w:pPr>
        <w:pStyle w:val="yFootnotesection"/>
      </w:pPr>
      <w:r>
        <w:tab/>
        <w:t>[Clause 9 inserted: No. 30 of 2018 s. 119.]</w:t>
      </w:r>
    </w:p>
    <w:p>
      <w:pPr>
        <w:pStyle w:val="yHeading5"/>
      </w:pPr>
      <w:bookmarkStart w:id="1042" w:name="_Toc106987001"/>
      <w:bookmarkStart w:id="1043" w:name="_Toc100565299"/>
      <w:r>
        <w:rPr>
          <w:rStyle w:val="CharSClsNo"/>
        </w:rPr>
        <w:t>10</w:t>
      </w:r>
      <w:r>
        <w:t>.</w:t>
      </w:r>
      <w:r>
        <w:tab/>
        <w:t>Scheme developers</w:t>
      </w:r>
      <w:bookmarkEnd w:id="1042"/>
      <w:bookmarkEnd w:id="1043"/>
    </w:p>
    <w:p>
      <w:pPr>
        <w:pStyle w:val="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ySubsection"/>
        <w:keepNext/>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ySubsection"/>
      </w:pPr>
      <w:r>
        <w:tab/>
        <w:t>(3)</w:t>
      </w:r>
      <w:r>
        <w:tab/>
        <w:t>Subclause (2) does not apply to —</w:t>
      </w:r>
    </w:p>
    <w:p>
      <w:pPr>
        <w:pStyle w:val="yIndenta"/>
      </w:pPr>
      <w:r>
        <w:tab/>
        <w:t>(a)</w:t>
      </w:r>
      <w:r>
        <w:tab/>
        <w:t>matters of which the scheme developer has already informed the strata company in writing; or</w:t>
      </w:r>
    </w:p>
    <w:p>
      <w:pPr>
        <w:pStyle w:val="yIndenta"/>
      </w:pPr>
      <w:r>
        <w:tab/>
        <w:t>(b)</w:t>
      </w:r>
      <w:r>
        <w:tab/>
        <w:t>a contract, lease or licence relating to a subdivision given effect by registration of a strata titles scheme or an amendment of a strata titles scheme before commencement day.</w:t>
      </w:r>
    </w:p>
    <w:p>
      <w:pPr>
        <w:pStyle w:val="yFootnotesection"/>
      </w:pPr>
      <w:r>
        <w:tab/>
        <w:t>[Clause 10 inserted: No. 30 of 2018 s. 119.]</w:t>
      </w:r>
    </w:p>
    <w:p>
      <w:pPr>
        <w:pStyle w:val="yHeading5"/>
      </w:pPr>
      <w:bookmarkStart w:id="1044" w:name="_Toc106987002"/>
      <w:bookmarkStart w:id="1045" w:name="_Toc100565300"/>
      <w:r>
        <w:rPr>
          <w:rStyle w:val="CharSClsNo"/>
        </w:rPr>
        <w:t>11</w:t>
      </w:r>
      <w:r>
        <w:t>.</w:t>
      </w:r>
      <w:r>
        <w:tab/>
        <w:t>Structural alteration of lot</w:t>
      </w:r>
      <w:bookmarkEnd w:id="1044"/>
      <w:bookmarkEnd w:id="1045"/>
    </w:p>
    <w:p>
      <w:pPr>
        <w:pStyle w:val="ySubsection"/>
      </w:pPr>
      <w:r>
        <w:tab/>
      </w:r>
      <w:r>
        <w:tab/>
        <w:t>An application to the Tribunal under section 90 may relate to a structural alteration made before commencement day.</w:t>
      </w:r>
    </w:p>
    <w:p>
      <w:pPr>
        <w:pStyle w:val="yFootnotesection"/>
      </w:pPr>
      <w:r>
        <w:tab/>
        <w:t>[Clause 11 inserted: No. 30 of 2018 s. 119.]</w:t>
      </w:r>
    </w:p>
    <w:p>
      <w:pPr>
        <w:pStyle w:val="yHeading5"/>
      </w:pPr>
      <w:bookmarkStart w:id="1046" w:name="_Toc106987003"/>
      <w:bookmarkStart w:id="1047" w:name="_Toc100565301"/>
      <w:r>
        <w:rPr>
          <w:rStyle w:val="CharSClsNo"/>
        </w:rPr>
        <w:t>12</w:t>
      </w:r>
      <w:r>
        <w:t>.</w:t>
      </w:r>
      <w:r>
        <w:tab/>
        <w:t>Records and correspondence</w:t>
      </w:r>
      <w:bookmarkEnd w:id="1046"/>
      <w:bookmarkEnd w:id="1047"/>
    </w:p>
    <w:p>
      <w:pPr>
        <w:pStyle w:val="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yFootnotesection"/>
      </w:pPr>
      <w:r>
        <w:tab/>
        <w:t>[Clause 12 inserted: No. 30 of 2018 s. 119.]</w:t>
      </w:r>
    </w:p>
    <w:p>
      <w:pPr>
        <w:pStyle w:val="yHeading5"/>
      </w:pPr>
      <w:bookmarkStart w:id="1048" w:name="_Toc106987004"/>
      <w:bookmarkStart w:id="1049" w:name="_Toc100565302"/>
      <w:r>
        <w:rPr>
          <w:rStyle w:val="CharSClsNo"/>
        </w:rPr>
        <w:t>13</w:t>
      </w:r>
      <w:r>
        <w:t>.</w:t>
      </w:r>
      <w:r>
        <w:tab/>
        <w:t>Strata managers</w:t>
      </w:r>
      <w:bookmarkEnd w:id="1048"/>
      <w:bookmarkEnd w:id="1049"/>
    </w:p>
    <w:p>
      <w:pPr>
        <w:pStyle w:val="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ySubsection"/>
      </w:pPr>
      <w:r>
        <w:tab/>
        <w:t>(2)</w:t>
      </w:r>
      <w:r>
        <w:tab/>
        <w:t>Subclause (1) —</w:t>
      </w:r>
    </w:p>
    <w:p>
      <w:pPr>
        <w:pStyle w:val="yIndenta"/>
      </w:pPr>
      <w:r>
        <w:tab/>
        <w:t>(a)</w:t>
      </w:r>
      <w:r>
        <w:tab/>
        <w:t>applies even if the functions could not be authorised under a strata management contract and even if the strata manager does not meet the requirements set out in section 144; and</w:t>
      </w:r>
    </w:p>
    <w:p>
      <w:pPr>
        <w:pStyle w:val="yIndenta"/>
      </w:pPr>
      <w:r>
        <w:tab/>
        <w:t>(b)</w:t>
      </w:r>
      <w:r>
        <w:tab/>
        <w:t>is subject to the variation or termination of the contract or volunteer agreement.</w:t>
      </w:r>
    </w:p>
    <w:p>
      <w:pPr>
        <w:pStyle w:val="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ySubsection"/>
      </w:pPr>
      <w:r>
        <w:tab/>
        <w:t>(5)</w:t>
      </w:r>
      <w:r>
        <w:tab/>
        <w:t>A strata manager to whom this clause applies must inform the strata company in writing, as soon as practicable on or after commencement day, of —</w:t>
      </w:r>
    </w:p>
    <w:p>
      <w:pPr>
        <w:pStyle w:val="yIndenta"/>
      </w:pPr>
      <w:r>
        <w:tab/>
        <w:t>(a)</w:t>
      </w:r>
      <w:r>
        <w:tab/>
        <w:t>any direct or indirect pecuniary or other interest that the strata manager has that conflicts or may conflict with the performance of the strata manager’s functions; and</w:t>
      </w:r>
    </w:p>
    <w:p>
      <w:pPr>
        <w:pStyle w:val="yIndenta"/>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ySubsection"/>
        <w:keepNext/>
      </w:pPr>
      <w:r>
        <w:tab/>
        <w:t>(6)</w:t>
      </w:r>
      <w:r>
        <w:tab/>
        <w:t>Subclause (5) does not apply to —</w:t>
      </w:r>
    </w:p>
    <w:p>
      <w:pPr>
        <w:pStyle w:val="yIndenta"/>
      </w:pPr>
      <w:r>
        <w:tab/>
        <w:t>(a)</w:t>
      </w:r>
      <w:r>
        <w:tab/>
        <w:t>remuneration or any other benefit that is less than an amount or value specified in or calculated in accordance with the regulations; or</w:t>
      </w:r>
    </w:p>
    <w:p>
      <w:pPr>
        <w:pStyle w:val="yIndenta"/>
      </w:pPr>
      <w:r>
        <w:tab/>
        <w:t>(b)</w:t>
      </w:r>
      <w:r>
        <w:tab/>
        <w:t>matters of which the strata manager has already informed the strata company in writing.</w:t>
      </w:r>
    </w:p>
    <w:p>
      <w:pPr>
        <w:pStyle w:val="yFootnotesection"/>
      </w:pPr>
      <w:r>
        <w:tab/>
        <w:t>[Clause 13 inserted: No. 30 of 2018 s. 119.]</w:t>
      </w:r>
    </w:p>
    <w:p>
      <w:pPr>
        <w:pStyle w:val="yHeading5"/>
      </w:pPr>
      <w:bookmarkStart w:id="1050" w:name="_Toc106987005"/>
      <w:bookmarkStart w:id="1051" w:name="_Toc100565303"/>
      <w:r>
        <w:rPr>
          <w:rStyle w:val="CharSClsNo"/>
        </w:rPr>
        <w:t>14</w:t>
      </w:r>
      <w:r>
        <w:t>.</w:t>
      </w:r>
      <w:r>
        <w:tab/>
        <w:t>Scheme disputes</w:t>
      </w:r>
      <w:bookmarkEnd w:id="1050"/>
      <w:bookmarkEnd w:id="1051"/>
    </w:p>
    <w:p>
      <w:pPr>
        <w:pStyle w:val="ySubsection"/>
      </w:pPr>
      <w:r>
        <w:tab/>
        <w:t>(1)</w:t>
      </w:r>
      <w:r>
        <w:tab/>
        <w:t>A scheme dispute may involve an event that occurred, or a matter that arose, before commencement day.</w:t>
      </w:r>
    </w:p>
    <w:p>
      <w:pPr>
        <w:pStyle w:val="ySubsection"/>
      </w:pPr>
      <w:r>
        <w:tab/>
        <w:t>(2)</w:t>
      </w:r>
      <w:r>
        <w:tab/>
        <w:t>In determining a scheme dispute, the Tribunal may apply the objectives set out in section 119 as if that section had been in force when the event occurred or the matter arose.</w:t>
      </w:r>
    </w:p>
    <w:p>
      <w:pPr>
        <w:pStyle w:val="yFootnotesection"/>
      </w:pPr>
      <w:r>
        <w:tab/>
        <w:t>[Clause 14 inserted: No. 30 of 2018 s. 119.]</w:t>
      </w:r>
    </w:p>
    <w:p>
      <w:pPr>
        <w:pStyle w:val="yHeading5"/>
      </w:pPr>
      <w:bookmarkStart w:id="1052" w:name="_Toc106987006"/>
      <w:bookmarkStart w:id="1053" w:name="_Toc100565304"/>
      <w:r>
        <w:rPr>
          <w:rStyle w:val="CharSClsNo"/>
        </w:rPr>
        <w:t>15</w:t>
      </w:r>
      <w:r>
        <w:t>.</w:t>
      </w:r>
      <w:r>
        <w:tab/>
        <w:t>Administrators</w:t>
      </w:r>
      <w:bookmarkEnd w:id="1052"/>
      <w:bookmarkEnd w:id="1053"/>
    </w:p>
    <w:p>
      <w:pPr>
        <w:pStyle w:val="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yFootnotesection"/>
      </w:pPr>
      <w:r>
        <w:tab/>
        <w:t>[Clause 15 inserted: No. 30 of 2018 s. 119.]</w:t>
      </w:r>
    </w:p>
    <w:p>
      <w:pPr>
        <w:pStyle w:val="yHeading5"/>
      </w:pPr>
      <w:bookmarkStart w:id="1054" w:name="_Toc106987007"/>
      <w:bookmarkStart w:id="1055" w:name="_Toc100565305"/>
      <w:r>
        <w:rPr>
          <w:rStyle w:val="CharSClsNo"/>
        </w:rPr>
        <w:t>16</w:t>
      </w:r>
      <w:r>
        <w:t>.</w:t>
      </w:r>
      <w:r>
        <w:tab/>
        <w:t>Schedule 2A</w:t>
      </w:r>
      <w:bookmarkEnd w:id="1054"/>
      <w:bookmarkEnd w:id="1055"/>
    </w:p>
    <w:p>
      <w:pPr>
        <w:pStyle w:val="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yFootnotesection"/>
      </w:pPr>
      <w:r>
        <w:tab/>
        <w:t>[Clause 16 inserted: No. 30 of 2018 s. 119.]</w:t>
      </w:r>
    </w:p>
    <w:p>
      <w:pPr>
        <w:pStyle w:val="yHeading5"/>
      </w:pPr>
      <w:bookmarkStart w:id="1056" w:name="_Toc106987008"/>
      <w:bookmarkStart w:id="1057" w:name="_Toc100565306"/>
      <w:r>
        <w:rPr>
          <w:rStyle w:val="CharSClsNo"/>
        </w:rPr>
        <w:t>17</w:t>
      </w:r>
      <w:r>
        <w:t>.</w:t>
      </w:r>
      <w:r>
        <w:tab/>
        <w:t>Short form easements and restrictive covenants</w:t>
      </w:r>
      <w:bookmarkEnd w:id="1056"/>
      <w:bookmarkEnd w:id="1057"/>
    </w:p>
    <w:p>
      <w:pPr>
        <w:pStyle w:val="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yIndenta"/>
      </w:pPr>
      <w:r>
        <w:tab/>
        <w:t>(a)</w:t>
      </w:r>
      <w:r>
        <w:tab/>
        <w:t>an easement of that class that is in force immediately before commencement day is taken to be a short form easement or restrictive covenant of the specified kind; and</w:t>
      </w:r>
    </w:p>
    <w:p>
      <w:pPr>
        <w:pStyle w:val="yIndenta"/>
      </w:pPr>
      <w:r>
        <w:tab/>
        <w:t>(b)</w:t>
      </w:r>
      <w:r>
        <w:tab/>
        <w:t>the rights and obligations under the easement are those applicable to the specified short form easement or restrictive covenant.</w:t>
      </w:r>
    </w:p>
    <w:p>
      <w:pPr>
        <w:pStyle w:val="ySubsection"/>
      </w:pPr>
      <w:r>
        <w:tab/>
        <w:t>(2)</w:t>
      </w:r>
      <w:r>
        <w:tab/>
        <w:t>An easement created under section 5D to which subclause (1) does not apply and in force immediately before commencement day —</w:t>
      </w:r>
    </w:p>
    <w:p>
      <w:pPr>
        <w:pStyle w:val="yIndenta"/>
      </w:pPr>
      <w:r>
        <w:tab/>
        <w:t>(a)</w:t>
      </w:r>
      <w:r>
        <w:tab/>
        <w:t>continues in force on the same terms and conditions as if the amending Act had not been enacted; but</w:t>
      </w:r>
    </w:p>
    <w:p>
      <w:pPr>
        <w:pStyle w:val="yIndenta"/>
      </w:pPr>
      <w:r>
        <w:tab/>
        <w:t>(b)</w:t>
      </w:r>
      <w:r>
        <w:tab/>
        <w:t>may be discharged by amendment to the scheme plan as if it were a short form easement or restrictive covenant.</w:t>
      </w:r>
    </w:p>
    <w:p>
      <w:pPr>
        <w:pStyle w:val="yFootnotesection"/>
      </w:pPr>
      <w:r>
        <w:tab/>
        <w:t>[Clause 17 inserted: No. 30 of 2018 s. 119.]</w:t>
      </w:r>
    </w:p>
    <w:p>
      <w:pPr>
        <w:pStyle w:val="yHeading5"/>
      </w:pPr>
      <w:bookmarkStart w:id="1058" w:name="_Toc106987009"/>
      <w:bookmarkStart w:id="1059" w:name="_Toc100565307"/>
      <w:r>
        <w:rPr>
          <w:rStyle w:val="CharSClsNo"/>
        </w:rPr>
        <w:t>18</w:t>
      </w:r>
      <w:r>
        <w:t>.</w:t>
      </w:r>
      <w:r>
        <w:tab/>
        <w:t>Restricted use conditions</w:t>
      </w:r>
      <w:bookmarkEnd w:id="1058"/>
      <w:bookmarkEnd w:id="1059"/>
    </w:p>
    <w:p>
      <w:pPr>
        <w:pStyle w:val="ySubsection"/>
      </w:pPr>
      <w:r>
        <w:tab/>
        <w:t>(1)</w:t>
      </w:r>
      <w:r>
        <w:tab/>
        <w:t>A restriction on the use to which a parcel or part of a parcel may be put under section 6 as in force immediately before commencement day is taken to be a restricted use condition.</w:t>
      </w:r>
    </w:p>
    <w:p>
      <w:pPr>
        <w:pStyle w:val="ySubsection"/>
      </w:pPr>
      <w:r>
        <w:tab/>
        <w:t>(2)</w:t>
      </w:r>
      <w:r>
        <w:tab/>
        <w:t>A reference to a retired person in such a restricted use condition is a reference to that term within the meaning of section 6A as in force immediately before commencement day.</w:t>
      </w:r>
    </w:p>
    <w:p>
      <w:pPr>
        <w:pStyle w:val="yFootnotesection"/>
      </w:pPr>
      <w:r>
        <w:tab/>
        <w:t>[Clause 18 inserted: No. 30 of 2018 s. 119.]</w:t>
      </w:r>
    </w:p>
    <w:p>
      <w:pPr>
        <w:pStyle w:val="yHeading5"/>
      </w:pPr>
      <w:bookmarkStart w:id="1060" w:name="_Toc106987010"/>
      <w:bookmarkStart w:id="1061" w:name="_Toc100565308"/>
      <w:r>
        <w:rPr>
          <w:rStyle w:val="CharSClsNo"/>
        </w:rPr>
        <w:t>19</w:t>
      </w:r>
      <w:r>
        <w:t>.</w:t>
      </w:r>
      <w:r>
        <w:tab/>
        <w:t>Approvals for structural alterations</w:t>
      </w:r>
      <w:bookmarkEnd w:id="1060"/>
      <w:bookmarkEnd w:id="1061"/>
    </w:p>
    <w:p>
      <w:pPr>
        <w:pStyle w:val="ySubsection"/>
      </w:pPr>
      <w:r>
        <w:tab/>
      </w:r>
      <w:r>
        <w:tab/>
        <w:t>An approval under section 7 or 7A as in force immediately before commencement day is taken to be an approval under section 87 or 88 respectively.</w:t>
      </w:r>
    </w:p>
    <w:p>
      <w:pPr>
        <w:pStyle w:val="yFootnotesection"/>
      </w:pPr>
      <w:r>
        <w:tab/>
        <w:t>[Clause 19 inserted: No. 30 of 2018 s. 119.]</w:t>
      </w:r>
    </w:p>
    <w:p>
      <w:pPr>
        <w:pStyle w:val="yHeading5"/>
      </w:pPr>
      <w:bookmarkStart w:id="1062" w:name="_Toc106987011"/>
      <w:bookmarkStart w:id="1063" w:name="_Toc100565309"/>
      <w:r>
        <w:rPr>
          <w:rStyle w:val="CharSClsNo"/>
        </w:rPr>
        <w:t>20</w:t>
      </w:r>
      <w:r>
        <w:t>.</w:t>
      </w:r>
      <w:r>
        <w:tab/>
        <w:t>Temporary common property</w:t>
      </w:r>
      <w:bookmarkEnd w:id="1062"/>
      <w:bookmarkEnd w:id="1063"/>
    </w:p>
    <w:p>
      <w:pPr>
        <w:pStyle w:val="ySubsection"/>
      </w:pPr>
      <w:r>
        <w:tab/>
        <w:t>(1)</w:t>
      </w:r>
      <w:r>
        <w:tab/>
        <w:t>Land leased under section 18 as in force immediately before commencement day is taken to be leased under section 92.</w:t>
      </w:r>
    </w:p>
    <w:p>
      <w:pPr>
        <w:pStyle w:val="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yFootnotesection"/>
      </w:pPr>
      <w:r>
        <w:tab/>
        <w:t>[Clause 20 inserted: No. 30 of 2018 s. 119.]</w:t>
      </w:r>
    </w:p>
    <w:p>
      <w:pPr>
        <w:pStyle w:val="yHeading5"/>
      </w:pPr>
      <w:bookmarkStart w:id="1064" w:name="_Toc106987012"/>
      <w:bookmarkStart w:id="1065" w:name="_Toc100565310"/>
      <w:r>
        <w:rPr>
          <w:rStyle w:val="CharSClsNo"/>
        </w:rPr>
        <w:t>21</w:t>
      </w:r>
      <w:r>
        <w:t>.</w:t>
      </w:r>
      <w:r>
        <w:tab/>
        <w:t>Termination of strata scheme by unanimous resolution</w:t>
      </w:r>
      <w:bookmarkEnd w:id="1064"/>
      <w:bookmarkEnd w:id="1065"/>
    </w:p>
    <w:p>
      <w:pPr>
        <w:pStyle w:val="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yFootnotesection"/>
      </w:pPr>
      <w:r>
        <w:tab/>
        <w:t>[Clause 21 inserted: No. 30 of 2018 s. 119.]</w:t>
      </w:r>
    </w:p>
    <w:p>
      <w:pPr>
        <w:pStyle w:val="yHeading5"/>
      </w:pPr>
      <w:bookmarkStart w:id="1066" w:name="_Toc106987013"/>
      <w:bookmarkStart w:id="1067" w:name="_Toc100565311"/>
      <w:r>
        <w:rPr>
          <w:rStyle w:val="CharSClsNo"/>
        </w:rPr>
        <w:t>22</w:t>
      </w:r>
      <w:r>
        <w:t>.</w:t>
      </w:r>
      <w:r>
        <w:tab/>
        <w:t>Roll</w:t>
      </w:r>
      <w:bookmarkEnd w:id="1066"/>
      <w:bookmarkEnd w:id="1067"/>
    </w:p>
    <w:p>
      <w:pPr>
        <w:pStyle w:val="ySubsection"/>
      </w:pPr>
      <w:r>
        <w:tab/>
      </w:r>
      <w:r>
        <w:tab/>
        <w:t>A roll kept by a strata company under section 35A as in force immediately before commencement day is taken to be a roll kept under section 105.</w:t>
      </w:r>
    </w:p>
    <w:p>
      <w:pPr>
        <w:pStyle w:val="yFootnotesection"/>
      </w:pPr>
      <w:r>
        <w:tab/>
        <w:t>[Clause 22 inserted: No. 30 of 2018 s. 119.]</w:t>
      </w:r>
    </w:p>
    <w:p>
      <w:pPr>
        <w:pStyle w:val="yHeading5"/>
      </w:pPr>
      <w:bookmarkStart w:id="1068" w:name="_Toc106987014"/>
      <w:bookmarkStart w:id="1069" w:name="_Toc100565312"/>
      <w:r>
        <w:rPr>
          <w:rStyle w:val="CharSClsNo"/>
        </w:rPr>
        <w:t>23</w:t>
      </w:r>
      <w:r>
        <w:t>.</w:t>
      </w:r>
      <w:r>
        <w:tab/>
        <w:t>Financial management</w:t>
      </w:r>
      <w:bookmarkEnd w:id="1068"/>
      <w:bookmarkEnd w:id="1069"/>
    </w:p>
    <w:p>
      <w:pPr>
        <w:pStyle w:val="ySubsection"/>
      </w:pPr>
      <w:r>
        <w:tab/>
        <w:t>(1)</w:t>
      </w:r>
      <w:r>
        <w:tab/>
        <w:t>An administrative fund of a strata company established under section 36 as in force immediately before commencement day is taken to be an administrative fund established under section 100.</w:t>
      </w:r>
    </w:p>
    <w:p>
      <w:pPr>
        <w:pStyle w:val="ySubsection"/>
      </w:pPr>
      <w:r>
        <w:tab/>
        <w:t>(2)</w:t>
      </w:r>
      <w:r>
        <w:tab/>
        <w:t>A reserve fund of a strata company established under section 36 as in force immediately before commencement day is taken to be a reserve fund established under section 100.</w:t>
      </w:r>
    </w:p>
    <w:p>
      <w:pPr>
        <w:pStyle w:val="ySubsection"/>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ySubsection"/>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yFootnotesection"/>
      </w:pPr>
      <w:r>
        <w:tab/>
        <w:t>[Clause 23 inserted: No. 30 of 2018 s. 119.]</w:t>
      </w:r>
    </w:p>
    <w:p>
      <w:pPr>
        <w:pStyle w:val="yHeading5"/>
      </w:pPr>
      <w:bookmarkStart w:id="1070" w:name="_Toc106987015"/>
      <w:bookmarkStart w:id="1071" w:name="_Toc100565313"/>
      <w:r>
        <w:rPr>
          <w:rStyle w:val="CharSClsNo"/>
        </w:rPr>
        <w:t>24</w:t>
      </w:r>
      <w:r>
        <w:t>.</w:t>
      </w:r>
      <w:r>
        <w:tab/>
        <w:t>Extension of contract termination period</w:t>
      </w:r>
      <w:bookmarkEnd w:id="1070"/>
      <w:bookmarkEnd w:id="1071"/>
    </w:p>
    <w:p>
      <w:pPr>
        <w:pStyle w:val="ySubsection"/>
      </w:pPr>
      <w:r>
        <w:tab/>
      </w:r>
      <w:r>
        <w:tab/>
        <w:t>Any extension of a period applying to a contract under section 39A as in force immediately before commencement day is taken to have been made under section 115.</w:t>
      </w:r>
    </w:p>
    <w:p>
      <w:pPr>
        <w:pStyle w:val="yFootnotesection"/>
      </w:pPr>
      <w:r>
        <w:tab/>
        <w:t>[Clause 24 inserted: No. 30 of 2018 s. 119.]</w:t>
      </w:r>
    </w:p>
    <w:p>
      <w:pPr>
        <w:pStyle w:val="yHeading5"/>
      </w:pPr>
      <w:bookmarkStart w:id="1072" w:name="_Toc106987016"/>
      <w:bookmarkStart w:id="1073" w:name="_Toc100565314"/>
      <w:r>
        <w:rPr>
          <w:rStyle w:val="CharSClsNo"/>
        </w:rPr>
        <w:t>25</w:t>
      </w:r>
      <w:r>
        <w:t>.</w:t>
      </w:r>
      <w:r>
        <w:tab/>
        <w:t>Provision of information</w:t>
      </w:r>
      <w:bookmarkEnd w:id="1072"/>
      <w:bookmarkEnd w:id="1073"/>
    </w:p>
    <w:p>
      <w:pPr>
        <w:pStyle w:val="ySubsection"/>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yFootnotesection"/>
      </w:pPr>
      <w:r>
        <w:tab/>
        <w:t>[Clause 25 inserted: No. 30 of 2018 s. 119.]</w:t>
      </w:r>
    </w:p>
    <w:p>
      <w:pPr>
        <w:pStyle w:val="yHeading5"/>
      </w:pPr>
      <w:bookmarkStart w:id="1074" w:name="_Toc106987017"/>
      <w:bookmarkStart w:id="1075" w:name="_Toc100565315"/>
      <w:r>
        <w:rPr>
          <w:rStyle w:val="CharSClsNo"/>
        </w:rPr>
        <w:t>26</w:t>
      </w:r>
      <w:r>
        <w:t>.</w:t>
      </w:r>
      <w:r>
        <w:tab/>
        <w:t>Authorisation of body corporate</w:t>
      </w:r>
      <w:bookmarkEnd w:id="1074"/>
      <w:bookmarkEnd w:id="1075"/>
    </w:p>
    <w:p>
      <w:pPr>
        <w:pStyle w:val="ySubsection"/>
      </w:pPr>
      <w:r>
        <w:tab/>
      </w:r>
      <w:r>
        <w:tab/>
        <w:t>An authorisation of an individual under section 45 as in force immediately before commencement day is taken to have been given under section 136.</w:t>
      </w:r>
    </w:p>
    <w:p>
      <w:pPr>
        <w:pStyle w:val="yFootnotesection"/>
      </w:pPr>
      <w:r>
        <w:tab/>
        <w:t>[Clause 26 inserted: No. 30 of 2018 s. 119.]</w:t>
      </w:r>
    </w:p>
    <w:p>
      <w:pPr>
        <w:pStyle w:val="yHeading5"/>
      </w:pPr>
      <w:bookmarkStart w:id="1076" w:name="_Toc106987018"/>
      <w:bookmarkStart w:id="1077" w:name="_Toc100565316"/>
      <w:r>
        <w:rPr>
          <w:rStyle w:val="CharSClsNo"/>
        </w:rPr>
        <w:t>27</w:t>
      </w:r>
      <w:r>
        <w:t>.</w:t>
      </w:r>
      <w:r>
        <w:tab/>
        <w:t>Restrictions on powers of expenditure</w:t>
      </w:r>
      <w:bookmarkEnd w:id="1076"/>
      <w:bookmarkEnd w:id="1077"/>
    </w:p>
    <w:p>
      <w:pPr>
        <w:pStyle w:val="ySubsection"/>
      </w:pPr>
      <w:r>
        <w:tab/>
      </w:r>
      <w:r>
        <w:tab/>
        <w:t>A special resolution under section 47(1)(a) as in force immediately before commencement day is taken to be a special resolution under section 102(6)(a)(i).</w:t>
      </w:r>
    </w:p>
    <w:p>
      <w:pPr>
        <w:pStyle w:val="yFootnotesection"/>
      </w:pPr>
      <w:r>
        <w:tab/>
        <w:t>[Clause 27 inserted: No. 30 of 2018 s. 119.]</w:t>
      </w:r>
    </w:p>
    <w:p>
      <w:pPr>
        <w:pStyle w:val="yHeading5"/>
      </w:pPr>
      <w:bookmarkStart w:id="1078" w:name="_Toc106987019"/>
      <w:bookmarkStart w:id="1079" w:name="_Toc100565317"/>
      <w:r>
        <w:rPr>
          <w:rStyle w:val="CharSClsNo"/>
        </w:rPr>
        <w:t>28</w:t>
      </w:r>
      <w:r>
        <w:t>.</w:t>
      </w:r>
      <w:r>
        <w:tab/>
        <w:t>Insurance in transitional period</w:t>
      </w:r>
      <w:bookmarkEnd w:id="1078"/>
      <w:bookmarkEnd w:id="1079"/>
    </w:p>
    <w:p>
      <w:pPr>
        <w:pStyle w:val="y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yFootnotesection"/>
      </w:pPr>
      <w:r>
        <w:tab/>
        <w:t>[Clause 28 inserted: No. 30 of 2018 s. 119.]</w:t>
      </w:r>
    </w:p>
    <w:p>
      <w:pPr>
        <w:pStyle w:val="yHeading5"/>
      </w:pPr>
      <w:bookmarkStart w:id="1080" w:name="_Toc106987020"/>
      <w:bookmarkStart w:id="1081" w:name="_Toc100565318"/>
      <w:r>
        <w:rPr>
          <w:rStyle w:val="CharSClsNo"/>
        </w:rPr>
        <w:t>29</w:t>
      </w:r>
      <w:r>
        <w:t>.</w:t>
      </w:r>
      <w:r>
        <w:tab/>
        <w:t>Protection of buyers</w:t>
      </w:r>
      <w:bookmarkEnd w:id="1080"/>
      <w:bookmarkEnd w:id="1081"/>
    </w:p>
    <w:p>
      <w:pPr>
        <w:pStyle w:val="ySubsection"/>
      </w:pPr>
      <w:r>
        <w:tab/>
      </w:r>
      <w:r>
        <w:tab/>
        <w:t>Part 5 of the Act as in force immediately before commencement day continues to apply, as if the amending Act had not been enacted, to —</w:t>
      </w:r>
    </w:p>
    <w:p>
      <w:pPr>
        <w:pStyle w:val="yIndenta"/>
      </w:pPr>
      <w:r>
        <w:tab/>
        <w:t>(a)</w:t>
      </w:r>
      <w:r>
        <w:tab/>
        <w:t>a contract for the sale and purchase of a lot in a strata titles scheme entered into before commencement day; and</w:t>
      </w:r>
    </w:p>
    <w:p>
      <w:pPr>
        <w:pStyle w:val="yIndenta"/>
      </w:pPr>
      <w:r>
        <w:tab/>
        <w:t>(b)</w:t>
      </w:r>
      <w:r>
        <w:tab/>
        <w:t>the buyer and seller for the contract; and</w:t>
      </w:r>
    </w:p>
    <w:p>
      <w:pPr>
        <w:pStyle w:val="yIndenta"/>
      </w:pPr>
      <w:r>
        <w:tab/>
        <w:t>(c)</w:t>
      </w:r>
      <w:r>
        <w:tab/>
        <w:t>any person who has been paid money in relation to that contract.</w:t>
      </w:r>
    </w:p>
    <w:p>
      <w:pPr>
        <w:pStyle w:val="yFootnotesection"/>
      </w:pPr>
      <w:r>
        <w:tab/>
        <w:t>[Clause 29 inserted: No. 30 of 2018 s. 119.]</w:t>
      </w:r>
    </w:p>
    <w:p>
      <w:pPr>
        <w:pStyle w:val="yHeading5"/>
      </w:pPr>
      <w:bookmarkStart w:id="1082" w:name="_Toc106987021"/>
      <w:bookmarkStart w:id="1083" w:name="_Toc100565319"/>
      <w:r>
        <w:rPr>
          <w:rStyle w:val="CharSClsNo"/>
        </w:rPr>
        <w:t>30</w:t>
      </w:r>
      <w:r>
        <w:t>.</w:t>
      </w:r>
      <w:r>
        <w:tab/>
        <w:t>Proceedings</w:t>
      </w:r>
      <w:bookmarkEnd w:id="1082"/>
      <w:bookmarkEnd w:id="1083"/>
    </w:p>
    <w:p>
      <w:pPr>
        <w:pStyle w:val="ySubsection"/>
      </w:pPr>
      <w:r>
        <w:tab/>
        <w:t>(1)</w:t>
      </w:r>
      <w:r>
        <w:tab/>
        <w:t>A proceeding in the District Court or Tribunal under this Act commenced before commencement day must be dealt with as if the amending Act had not been enacted.</w:t>
      </w:r>
    </w:p>
    <w:p>
      <w:pPr>
        <w:pStyle w:val="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yFootnotesection"/>
      </w:pPr>
      <w:r>
        <w:tab/>
        <w:t>[Clause 30 inserted: No. 30 of 2018 s. 119.]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nHeading2"/>
      </w:pPr>
      <w:bookmarkStart w:id="1084" w:name="_Toc106986586"/>
      <w:bookmarkStart w:id="1085" w:name="_Toc106987022"/>
      <w:bookmarkStart w:id="1086" w:name="_Toc100308600"/>
      <w:bookmarkStart w:id="1087" w:name="_Toc100309036"/>
      <w:bookmarkStart w:id="1088" w:name="_Toc100565320"/>
      <w:r>
        <w:t>Notes</w:t>
      </w:r>
      <w:bookmarkEnd w:id="1084"/>
      <w:bookmarkEnd w:id="1085"/>
      <w:bookmarkEnd w:id="1086"/>
      <w:bookmarkEnd w:id="1087"/>
      <w:bookmarkEnd w:id="1088"/>
    </w:p>
    <w:p>
      <w:pPr>
        <w:pStyle w:val="nStatement"/>
      </w:pPr>
      <w:r>
        <w:t xml:space="preserve">This is a compilation of the </w:t>
      </w:r>
      <w:r>
        <w:rPr>
          <w:i/>
          <w:noProof/>
        </w:rPr>
        <w:t>Strata Titles Act 1985</w:t>
      </w:r>
      <w:r>
        <w:t xml:space="preserve"> and includes amendments made by other written laws </w:t>
      </w:r>
      <w:r>
        <w:rPr>
          <w:vertAlign w:val="superscript"/>
        </w:rPr>
        <w:t>9</w:t>
      </w:r>
      <w:r>
        <w:t>. For provisions that have come into operation, and for information about any reprints, see the compilation table. For provisions that have not yet come into operation see the uncommenced provisions table.</w:t>
      </w:r>
    </w:p>
    <w:p>
      <w:pPr>
        <w:pStyle w:val="nHeading3"/>
      </w:pPr>
      <w:bookmarkStart w:id="1089" w:name="_Toc106987023"/>
      <w:bookmarkStart w:id="1090" w:name="_Toc100565321"/>
      <w:r>
        <w:t>Compilation table</w:t>
      </w:r>
      <w:bookmarkEnd w:id="1089"/>
      <w:bookmarkEnd w:id="1090"/>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keepNext/>
              <w:spacing w:after="40"/>
              <w:rPr>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 xml:space="preserve">Heritage Act 2018 </w:t>
            </w:r>
            <w:r>
              <w:t>s. 187</w:t>
            </w:r>
          </w:p>
        </w:tc>
        <w:tc>
          <w:tcPr>
            <w:tcW w:w="1134" w:type="dxa"/>
            <w:gridSpan w:val="2"/>
            <w:shd w:val="clear" w:color="auto" w:fill="auto"/>
          </w:tcPr>
          <w:p>
            <w:pPr>
              <w:pStyle w:val="nTable"/>
              <w:spacing w:after="40"/>
            </w:pPr>
            <w:r>
              <w:t>22 of 2018</w:t>
            </w:r>
          </w:p>
        </w:tc>
        <w:tc>
          <w:tcPr>
            <w:tcW w:w="1134" w:type="dxa"/>
            <w:gridSpan w:val="2"/>
            <w:shd w:val="clear" w:color="auto" w:fill="auto"/>
          </w:tcPr>
          <w:p>
            <w:pPr>
              <w:pStyle w:val="nTable"/>
              <w:spacing w:after="40"/>
            </w:pPr>
            <w:r>
              <w:t>18 Sep 2018</w:t>
            </w:r>
          </w:p>
        </w:tc>
        <w:tc>
          <w:tcPr>
            <w:tcW w:w="2551" w:type="dxa"/>
            <w:gridSpan w:val="2"/>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gridAfter w:val="1"/>
          <w:wAfter w:w="6" w:type="dxa"/>
          <w:cantSplit/>
        </w:trPr>
        <w:tc>
          <w:tcPr>
            <w:tcW w:w="2268" w:type="dxa"/>
            <w:gridSpan w:val="2"/>
            <w:shd w:val="clear" w:color="auto" w:fill="auto"/>
          </w:tcPr>
          <w:p>
            <w:pPr>
              <w:pStyle w:val="nTable"/>
              <w:spacing w:after="40"/>
              <w:ind w:right="113"/>
              <w:rPr>
                <w:i/>
                <w:vertAlign w:val="superscript"/>
              </w:rPr>
            </w:pPr>
            <w:r>
              <w:rPr>
                <w:i/>
              </w:rPr>
              <w:t>Strata Titles Amendment Act 2018</w:t>
            </w:r>
            <w:r>
              <w:t xml:space="preserve"> Pt. 2 </w:t>
            </w:r>
            <w:r>
              <w:rPr>
                <w:vertAlign w:val="superscript"/>
              </w:rPr>
              <w:t>19</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51" w:type="dxa"/>
            <w:gridSpan w:val="2"/>
            <w:shd w:val="clear" w:color="auto" w:fill="auto"/>
          </w:tcPr>
          <w:p>
            <w:pPr>
              <w:pStyle w:val="nTable"/>
              <w:spacing w:after="40"/>
              <w:rPr>
                <w:snapToGrid w:val="0"/>
              </w:rPr>
            </w:pPr>
            <w:r>
              <w:rPr>
                <w:snapToGrid w:val="0"/>
              </w:rPr>
              <w:t>1 May 2020 (see s. 2(b) and SL 2020/39 cl. 2)</w:t>
            </w:r>
          </w:p>
        </w:tc>
      </w:tr>
      <w:tr>
        <w:trPr>
          <w:gridAfter w:val="1"/>
          <w:wAfter w:w="6" w:type="dxa"/>
          <w:cantSplit/>
        </w:trPr>
        <w:tc>
          <w:tcPr>
            <w:tcW w:w="2268" w:type="dxa"/>
            <w:gridSpan w:val="2"/>
            <w:tcBorders>
              <w:bottom w:val="single" w:sz="4" w:space="0" w:color="auto"/>
            </w:tcBorders>
            <w:shd w:val="clear" w:color="auto" w:fill="auto"/>
          </w:tcPr>
          <w:p>
            <w:pPr>
              <w:pStyle w:val="nTable"/>
              <w:spacing w:after="40"/>
              <w:ind w:right="113"/>
              <w:rPr>
                <w:i/>
              </w:rPr>
            </w:pPr>
            <w:r>
              <w:rPr>
                <w:i/>
                <w:snapToGrid w:val="0"/>
              </w:rPr>
              <w:t>Swan Valley Planning Act 2020</w:t>
            </w:r>
            <w:r>
              <w:rPr>
                <w:snapToGrid w:val="0"/>
              </w:rPr>
              <w:t xml:space="preserve"> Pt. 10 Div. 14</w:t>
            </w:r>
          </w:p>
        </w:tc>
        <w:tc>
          <w:tcPr>
            <w:tcW w:w="1134" w:type="dxa"/>
            <w:gridSpan w:val="2"/>
            <w:tcBorders>
              <w:bottom w:val="single" w:sz="4" w:space="0" w:color="auto"/>
            </w:tcBorders>
            <w:shd w:val="clear" w:color="auto" w:fill="auto"/>
          </w:tcPr>
          <w:p>
            <w:pPr>
              <w:pStyle w:val="nTable"/>
              <w:spacing w:after="40"/>
            </w:pPr>
            <w:r>
              <w:t>45 of 2020</w:t>
            </w:r>
          </w:p>
        </w:tc>
        <w:tc>
          <w:tcPr>
            <w:tcW w:w="1134" w:type="dxa"/>
            <w:gridSpan w:val="2"/>
            <w:tcBorders>
              <w:bottom w:val="single" w:sz="4" w:space="0" w:color="auto"/>
            </w:tcBorders>
            <w:shd w:val="clear" w:color="auto" w:fill="auto"/>
          </w:tcPr>
          <w:p>
            <w:pPr>
              <w:pStyle w:val="nTable"/>
              <w:spacing w:after="40"/>
            </w:pPr>
            <w:r>
              <w:t>9 Dec 2020</w:t>
            </w:r>
          </w:p>
        </w:tc>
        <w:tc>
          <w:tcPr>
            <w:tcW w:w="2551" w:type="dxa"/>
            <w:gridSpan w:val="2"/>
            <w:tcBorders>
              <w:bottom w:val="single" w:sz="4" w:space="0" w:color="auto"/>
            </w:tcBorders>
            <w:shd w:val="clear" w:color="auto" w:fill="auto"/>
          </w:tcPr>
          <w:p>
            <w:pPr>
              <w:pStyle w:val="nTable"/>
              <w:spacing w:after="40"/>
              <w:rPr>
                <w:snapToGrid w:val="0"/>
              </w:rPr>
            </w:pPr>
            <w:r>
              <w:t>1 Aug 2021 (see s. 2(1)(e) and SL 2021/124 cl. 2)</w:t>
            </w:r>
          </w:p>
        </w:tc>
      </w:tr>
    </w:tbl>
    <w:p>
      <w:pPr>
        <w:pStyle w:val="nHeading3"/>
      </w:pPr>
      <w:bookmarkStart w:id="1091" w:name="_Toc106987024"/>
      <w:bookmarkStart w:id="1092" w:name="_Toc100565322"/>
      <w:r>
        <w:t>Uncommenced provisions table</w:t>
      </w:r>
      <w:bookmarkEnd w:id="1091"/>
      <w:bookmarkEnd w:id="1092"/>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28" w:type="dxa"/>
        <w:tblLayout w:type="fixed"/>
        <w:tblCellMar>
          <w:left w:w="56" w:type="dxa"/>
          <w:right w:w="56" w:type="dxa"/>
        </w:tblCellMar>
        <w:tblLook w:val="0000" w:firstRow="0" w:lastRow="0" w:firstColumn="0" w:lastColumn="0" w:noHBand="0" w:noVBand="0"/>
      </w:tblPr>
      <w:tblGrid>
        <w:gridCol w:w="2273"/>
        <w:gridCol w:w="1137"/>
        <w:gridCol w:w="1137"/>
        <w:gridCol w:w="2564"/>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64"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p>
        </w:tc>
        <w:tc>
          <w:tcPr>
            <w:tcW w:w="1137" w:type="dxa"/>
            <w:tcBorders>
              <w:top w:val="single" w:sz="2" w:space="0" w:color="auto"/>
            </w:tcBorders>
          </w:tcPr>
          <w:p>
            <w:pPr>
              <w:pStyle w:val="nTable"/>
              <w:keepNext/>
              <w:spacing w:after="40"/>
            </w:pPr>
            <w:r>
              <w:t>43 of 2000</w:t>
            </w:r>
          </w:p>
        </w:tc>
        <w:tc>
          <w:tcPr>
            <w:tcW w:w="1137" w:type="dxa"/>
            <w:tcBorders>
              <w:top w:val="single" w:sz="2" w:space="0" w:color="auto"/>
            </w:tcBorders>
          </w:tcPr>
          <w:p>
            <w:pPr>
              <w:pStyle w:val="nTable"/>
              <w:keepNext/>
              <w:spacing w:after="40"/>
            </w:pPr>
            <w:r>
              <w:t>2 Nov 2000</w:t>
            </w:r>
          </w:p>
        </w:tc>
        <w:tc>
          <w:tcPr>
            <w:tcW w:w="2564" w:type="dxa"/>
            <w:tcBorders>
              <w:top w:val="single" w:sz="2" w:space="0" w:color="auto"/>
            </w:tcBorders>
          </w:tcPr>
          <w:p>
            <w:pPr>
              <w:pStyle w:val="nTable"/>
              <w:keepNext/>
              <w:spacing w:after="40"/>
            </w:pPr>
            <w:r>
              <w:t>To be proclaimed (see s. 2(2))</w:t>
            </w:r>
          </w:p>
        </w:tc>
      </w:tr>
      <w:tr>
        <w:trPr>
          <w:cantSplit/>
        </w:trPr>
        <w:tc>
          <w:tcPr>
            <w:tcW w:w="2273" w:type="dxa"/>
          </w:tcPr>
          <w:p>
            <w:pPr>
              <w:pStyle w:val="nTable"/>
              <w:spacing w:after="40"/>
              <w:ind w:right="113"/>
              <w:rPr>
                <w:i/>
                <w:snapToGrid w:val="0"/>
              </w:rPr>
            </w:pPr>
            <w:r>
              <w:rPr>
                <w:i/>
              </w:rPr>
              <w:t>Legal Profession Uniform Law Application Act 2022</w:t>
            </w:r>
            <w:r>
              <w:t xml:space="preserve"> Pt. 17 Div. 21</w:t>
            </w:r>
          </w:p>
        </w:tc>
        <w:tc>
          <w:tcPr>
            <w:tcW w:w="1137" w:type="dxa"/>
          </w:tcPr>
          <w:p>
            <w:pPr>
              <w:pStyle w:val="nTable"/>
              <w:keepNext/>
              <w:spacing w:after="40"/>
            </w:pPr>
            <w:r>
              <w:t>9 of 2022</w:t>
            </w:r>
          </w:p>
        </w:tc>
        <w:tc>
          <w:tcPr>
            <w:tcW w:w="1137" w:type="dxa"/>
          </w:tcPr>
          <w:p>
            <w:pPr>
              <w:pStyle w:val="nTable"/>
              <w:keepNext/>
              <w:spacing w:after="40"/>
            </w:pPr>
            <w:r>
              <w:t>14 Apr 2022</w:t>
            </w:r>
          </w:p>
        </w:tc>
        <w:tc>
          <w:tcPr>
            <w:tcW w:w="2564" w:type="dxa"/>
          </w:tcPr>
          <w:p>
            <w:pPr>
              <w:pStyle w:val="nTable"/>
              <w:keepNext/>
              <w:spacing w:after="40"/>
            </w:pPr>
            <w:r>
              <w:t>To be proclaimed (see s. 2(c))</w:t>
            </w:r>
          </w:p>
        </w:tc>
      </w:tr>
      <w:tr>
        <w:trPr>
          <w:cantSplit/>
          <w:ins w:id="1093" w:author="Master Repository Process" w:date="2022-06-24T17:50:00Z"/>
        </w:trPr>
        <w:tc>
          <w:tcPr>
            <w:tcW w:w="2273" w:type="dxa"/>
            <w:tcBorders>
              <w:bottom w:val="single" w:sz="4" w:space="0" w:color="auto"/>
            </w:tcBorders>
          </w:tcPr>
          <w:p>
            <w:pPr>
              <w:pStyle w:val="nTable"/>
              <w:spacing w:after="40"/>
              <w:ind w:right="113"/>
              <w:rPr>
                <w:ins w:id="1094" w:author="Master Repository Process" w:date="2022-06-24T17:50:00Z"/>
              </w:rPr>
            </w:pPr>
            <w:ins w:id="1095" w:author="Master Repository Process" w:date="2022-06-24T17:50:00Z">
              <w:r>
                <w:rPr>
                  <w:i/>
                </w:rPr>
                <w:t>Transfer of Land Amendment Act 2022</w:t>
              </w:r>
              <w:r>
                <w:t xml:space="preserve"> Pt. 3 Div. 7</w:t>
              </w:r>
            </w:ins>
          </w:p>
        </w:tc>
        <w:tc>
          <w:tcPr>
            <w:tcW w:w="1137" w:type="dxa"/>
            <w:tcBorders>
              <w:bottom w:val="single" w:sz="4" w:space="0" w:color="auto"/>
            </w:tcBorders>
          </w:tcPr>
          <w:p>
            <w:pPr>
              <w:pStyle w:val="nTable"/>
              <w:keepNext/>
              <w:spacing w:after="40"/>
              <w:rPr>
                <w:ins w:id="1096" w:author="Master Repository Process" w:date="2022-06-24T17:50:00Z"/>
              </w:rPr>
            </w:pPr>
            <w:ins w:id="1097" w:author="Master Repository Process" w:date="2022-06-24T17:50:00Z">
              <w:r>
                <w:t>21 of 2022</w:t>
              </w:r>
            </w:ins>
          </w:p>
        </w:tc>
        <w:tc>
          <w:tcPr>
            <w:tcW w:w="1137" w:type="dxa"/>
            <w:tcBorders>
              <w:bottom w:val="single" w:sz="4" w:space="0" w:color="auto"/>
            </w:tcBorders>
          </w:tcPr>
          <w:p>
            <w:pPr>
              <w:pStyle w:val="nTable"/>
              <w:keepNext/>
              <w:spacing w:after="40"/>
              <w:rPr>
                <w:ins w:id="1098" w:author="Master Repository Process" w:date="2022-06-24T17:50:00Z"/>
              </w:rPr>
            </w:pPr>
            <w:ins w:id="1099" w:author="Master Repository Process" w:date="2022-06-24T17:50:00Z">
              <w:r>
                <w:t>24 Jun 2022</w:t>
              </w:r>
            </w:ins>
          </w:p>
        </w:tc>
        <w:tc>
          <w:tcPr>
            <w:tcW w:w="2564" w:type="dxa"/>
            <w:tcBorders>
              <w:bottom w:val="single" w:sz="4" w:space="0" w:color="auto"/>
            </w:tcBorders>
          </w:tcPr>
          <w:p>
            <w:pPr>
              <w:pStyle w:val="nTable"/>
              <w:keepNext/>
              <w:spacing w:after="40"/>
              <w:rPr>
                <w:ins w:id="1100" w:author="Master Repository Process" w:date="2022-06-24T17:50:00Z"/>
              </w:rPr>
            </w:pPr>
            <w:ins w:id="1101" w:author="Master Repository Process" w:date="2022-06-24T17:50:00Z">
              <w:r>
                <w:t>To be proclaimed (see s. 2(b))</w:t>
              </w:r>
            </w:ins>
          </w:p>
        </w:tc>
      </w:tr>
    </w:tbl>
    <w:p>
      <w:pPr>
        <w:pStyle w:val="nHeading3"/>
      </w:pPr>
      <w:bookmarkStart w:id="1102" w:name="_Toc106987025"/>
      <w:bookmarkStart w:id="1103" w:name="_Toc100565323"/>
      <w:r>
        <w:t>Other notes</w:t>
      </w:r>
      <w:bookmarkEnd w:id="1102"/>
      <w:bookmarkEnd w:id="1103"/>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keepNext/>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Note"/>
      </w:pPr>
      <w:r>
        <w:rPr>
          <w:vertAlign w:val="superscript"/>
        </w:rPr>
        <w:t>18</w:t>
      </w:r>
      <w:r>
        <w:tab/>
        <w:t xml:space="preserve">The </w:t>
      </w:r>
      <w:r>
        <w:rPr>
          <w:i/>
        </w:rPr>
        <w:t>Land Legislation (Postponement of Expiry) Proclamation 2018</w:t>
      </w:r>
      <w:r>
        <w:t xml:space="preserve"> published by </w:t>
      </w:r>
      <w:r>
        <w:rPr>
          <w:i/>
        </w:rPr>
        <w:t>Gazette</w:t>
      </w:r>
      <w:r>
        <w:t xml:space="preserve"> 21 Dec 2018 p. 4845-6 provides that the expiry of former section 131A is postponed until the end of 31 December 2024.</w:t>
      </w:r>
    </w:p>
    <w:p>
      <w:pPr>
        <w:pStyle w:val="nNote"/>
      </w:pPr>
      <w:r>
        <w:rPr>
          <w:vertAlign w:val="superscript"/>
        </w:rPr>
        <w:t>19</w:t>
      </w:r>
      <w:r>
        <w:tab/>
        <w:t xml:space="preserve">Below is a list of the provisions of the </w:t>
      </w:r>
      <w:r>
        <w:rPr>
          <w:i/>
          <w:iCs/>
        </w:rPr>
        <w:t>Strata Titles Act 1985</w:t>
      </w:r>
      <w:r>
        <w:t xml:space="preserve"> that were renumbered and relocated by the </w:t>
      </w:r>
      <w:r>
        <w:rPr>
          <w:i/>
          <w:iCs/>
        </w:rPr>
        <w:t>Strata Titles Amendment Act 2018</w:t>
      </w:r>
      <w:r>
        <w:t>.  This table is intended as a general guide only.</w:t>
      </w:r>
    </w:p>
    <w:p>
      <w:pPr>
        <w:pStyle w:val="nNote"/>
        <w:jc w:val="center"/>
        <w:rPr>
          <w:b/>
        </w:rPr>
      </w:pPr>
      <w:r>
        <w:rPr>
          <w:b/>
        </w:rPr>
        <w:t>Finding chart for relocated provisions</w:t>
      </w:r>
    </w:p>
    <w:tbl>
      <w:tblPr>
        <w:tblStyle w:val="TableGrid"/>
        <w:tblW w:w="6291" w:type="dxa"/>
        <w:tblInd w:w="675" w:type="dxa"/>
        <w:tblLayout w:type="fixed"/>
        <w:tblLook w:val="04A0" w:firstRow="1" w:lastRow="0" w:firstColumn="1" w:lastColumn="0" w:noHBand="0" w:noVBand="1"/>
      </w:tblPr>
      <w:tblGrid>
        <w:gridCol w:w="1559"/>
        <w:gridCol w:w="1560"/>
        <w:gridCol w:w="3172"/>
      </w:tblGrid>
      <w:tr>
        <w:trPr>
          <w:cantSplit/>
          <w:tblHeader/>
        </w:trPr>
        <w:tc>
          <w:tcPr>
            <w:tcW w:w="1559" w:type="dxa"/>
          </w:tcPr>
          <w:p>
            <w:pPr>
              <w:pStyle w:val="TableAm"/>
              <w:rPr>
                <w:b/>
                <w:sz w:val="16"/>
                <w:szCs w:val="16"/>
              </w:rPr>
            </w:pPr>
            <w:r>
              <w:rPr>
                <w:b/>
                <w:sz w:val="16"/>
                <w:szCs w:val="16"/>
              </w:rPr>
              <w:t xml:space="preserve">Former section or </w:t>
            </w:r>
            <w:r>
              <w:rPr>
                <w:b/>
                <w:sz w:val="16"/>
                <w:szCs w:val="16"/>
              </w:rPr>
              <w:br/>
              <w:t>clause number</w:t>
            </w:r>
          </w:p>
        </w:tc>
        <w:tc>
          <w:tcPr>
            <w:tcW w:w="1560" w:type="dxa"/>
          </w:tcPr>
          <w:p>
            <w:pPr>
              <w:pStyle w:val="TableAm"/>
              <w:rPr>
                <w:b/>
                <w:sz w:val="16"/>
                <w:szCs w:val="16"/>
              </w:rPr>
            </w:pPr>
            <w:r>
              <w:rPr>
                <w:b/>
                <w:sz w:val="16"/>
                <w:szCs w:val="16"/>
              </w:rPr>
              <w:t>New section or</w:t>
            </w:r>
            <w:r>
              <w:rPr>
                <w:b/>
                <w:sz w:val="16"/>
                <w:szCs w:val="16"/>
              </w:rPr>
              <w:br/>
              <w:t>clause number</w:t>
            </w:r>
          </w:p>
        </w:tc>
        <w:tc>
          <w:tcPr>
            <w:tcW w:w="3172" w:type="dxa"/>
          </w:tcPr>
          <w:p>
            <w:pPr>
              <w:pStyle w:val="TableAm"/>
              <w:rPr>
                <w:b/>
                <w:sz w:val="16"/>
                <w:szCs w:val="16"/>
              </w:rPr>
            </w:pPr>
            <w:r>
              <w:rPr>
                <w:b/>
                <w:sz w:val="16"/>
                <w:szCs w:val="16"/>
              </w:rPr>
              <w:t xml:space="preserve">Location of new </w:t>
            </w:r>
            <w:r>
              <w:rPr>
                <w:b/>
                <w:sz w:val="16"/>
                <w:szCs w:val="16"/>
              </w:rPr>
              <w:br/>
              <w:t>section or clause</w:t>
            </w:r>
          </w:p>
        </w:tc>
      </w:tr>
      <w:tr>
        <w:trPr>
          <w:cantSplit/>
        </w:trPr>
        <w:tc>
          <w:tcPr>
            <w:tcW w:w="1559" w:type="dxa"/>
          </w:tcPr>
          <w:p>
            <w:pPr>
              <w:pStyle w:val="TableAm"/>
              <w:rPr>
                <w:sz w:val="16"/>
                <w:szCs w:val="16"/>
              </w:rPr>
            </w:pPr>
            <w:r>
              <w:rPr>
                <w:sz w:val="16"/>
                <w:szCs w:val="16"/>
              </w:rPr>
              <w:t>s. 3A</w:t>
            </w:r>
          </w:p>
        </w:tc>
        <w:tc>
          <w:tcPr>
            <w:tcW w:w="1560" w:type="dxa"/>
          </w:tcPr>
          <w:p>
            <w:pPr>
              <w:pStyle w:val="TableAm"/>
              <w:rPr>
                <w:sz w:val="16"/>
                <w:szCs w:val="16"/>
              </w:rPr>
            </w:pPr>
            <w:r>
              <w:rPr>
                <w:sz w:val="16"/>
                <w:szCs w:val="16"/>
              </w:rPr>
              <w:t>cl. 3A</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3AB</w:t>
            </w:r>
          </w:p>
        </w:tc>
        <w:tc>
          <w:tcPr>
            <w:tcW w:w="1560" w:type="dxa"/>
          </w:tcPr>
          <w:p>
            <w:pPr>
              <w:pStyle w:val="TableAm"/>
              <w:rPr>
                <w:sz w:val="16"/>
                <w:szCs w:val="16"/>
              </w:rPr>
            </w:pPr>
            <w:r>
              <w:rPr>
                <w:sz w:val="16"/>
                <w:szCs w:val="16"/>
              </w:rPr>
              <w:t>cl. 3AB</w:t>
            </w:r>
          </w:p>
        </w:tc>
        <w:tc>
          <w:tcPr>
            <w:tcW w:w="3172" w:type="dxa"/>
          </w:tcPr>
          <w:p>
            <w:pPr>
              <w:pStyle w:val="TableAm"/>
              <w:rPr>
                <w:sz w:val="16"/>
                <w:szCs w:val="16"/>
              </w:rPr>
            </w:pPr>
            <w:r>
              <w:rPr>
                <w:sz w:val="16"/>
                <w:szCs w:val="16"/>
              </w:rPr>
              <w:t>Schedule 2A Part 2</w:t>
            </w:r>
          </w:p>
        </w:tc>
      </w:tr>
      <w:tr>
        <w:trPr>
          <w:cantSplit/>
        </w:trPr>
        <w:tc>
          <w:tcPr>
            <w:tcW w:w="1559" w:type="dxa"/>
          </w:tcPr>
          <w:p>
            <w:pPr>
              <w:pStyle w:val="TableAm"/>
              <w:rPr>
                <w:sz w:val="16"/>
                <w:szCs w:val="16"/>
              </w:rPr>
            </w:pPr>
            <w:r>
              <w:rPr>
                <w:sz w:val="16"/>
                <w:szCs w:val="16"/>
              </w:rPr>
              <w:t>s. 7</w:t>
            </w:r>
          </w:p>
        </w:tc>
        <w:tc>
          <w:tcPr>
            <w:tcW w:w="1560" w:type="dxa"/>
          </w:tcPr>
          <w:p>
            <w:pPr>
              <w:pStyle w:val="TableAm"/>
              <w:rPr>
                <w:sz w:val="16"/>
                <w:szCs w:val="16"/>
              </w:rPr>
            </w:pPr>
            <w:r>
              <w:rPr>
                <w:sz w:val="16"/>
                <w:szCs w:val="16"/>
              </w:rPr>
              <w:t>s. 87</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7B</w:t>
            </w:r>
          </w:p>
        </w:tc>
        <w:tc>
          <w:tcPr>
            <w:tcW w:w="1560" w:type="dxa"/>
          </w:tcPr>
          <w:p>
            <w:pPr>
              <w:pStyle w:val="TableAm"/>
              <w:rPr>
                <w:sz w:val="16"/>
                <w:szCs w:val="16"/>
              </w:rPr>
            </w:pPr>
            <w:r>
              <w:rPr>
                <w:sz w:val="16"/>
                <w:szCs w:val="16"/>
              </w:rPr>
              <w:t>s. 89</w:t>
            </w:r>
          </w:p>
        </w:tc>
        <w:tc>
          <w:tcPr>
            <w:tcW w:w="3172" w:type="dxa"/>
          </w:tcPr>
          <w:p>
            <w:pPr>
              <w:pStyle w:val="TableAm"/>
              <w:rPr>
                <w:sz w:val="16"/>
                <w:szCs w:val="16"/>
              </w:rPr>
            </w:pPr>
            <w:r>
              <w:rPr>
                <w:sz w:val="16"/>
                <w:szCs w:val="16"/>
              </w:rPr>
              <w:t>Part 7 Division 2</w:t>
            </w:r>
          </w:p>
        </w:tc>
      </w:tr>
      <w:tr>
        <w:trPr>
          <w:cantSplit/>
        </w:trPr>
        <w:tc>
          <w:tcPr>
            <w:tcW w:w="1559" w:type="dxa"/>
          </w:tcPr>
          <w:p>
            <w:pPr>
              <w:pStyle w:val="TableAm"/>
              <w:rPr>
                <w:sz w:val="16"/>
                <w:szCs w:val="16"/>
              </w:rPr>
            </w:pPr>
            <w:r>
              <w:rPr>
                <w:sz w:val="16"/>
                <w:szCs w:val="16"/>
              </w:rPr>
              <w:t>s. 12A</w:t>
            </w:r>
          </w:p>
        </w:tc>
        <w:tc>
          <w:tcPr>
            <w:tcW w:w="1560" w:type="dxa"/>
          </w:tcPr>
          <w:p>
            <w:pPr>
              <w:pStyle w:val="TableAm"/>
              <w:rPr>
                <w:sz w:val="16"/>
                <w:szCs w:val="16"/>
              </w:rPr>
            </w:pPr>
            <w:r>
              <w:rPr>
                <w:sz w:val="16"/>
                <w:szCs w:val="16"/>
              </w:rPr>
              <w:t>cl. 12A</w:t>
            </w:r>
          </w:p>
        </w:tc>
        <w:tc>
          <w:tcPr>
            <w:tcW w:w="3172" w:type="dxa"/>
          </w:tcPr>
          <w:p>
            <w:pPr>
              <w:pStyle w:val="TableAm"/>
              <w:rPr>
                <w:sz w:val="16"/>
                <w:szCs w:val="16"/>
              </w:rPr>
            </w:pPr>
            <w:r>
              <w:rPr>
                <w:sz w:val="16"/>
                <w:szCs w:val="16"/>
              </w:rPr>
              <w:t>Schedule 2A Part 3</w:t>
            </w:r>
          </w:p>
        </w:tc>
      </w:tr>
      <w:tr>
        <w:trPr>
          <w:cantSplit/>
        </w:trPr>
        <w:tc>
          <w:tcPr>
            <w:tcW w:w="1559" w:type="dxa"/>
          </w:tcPr>
          <w:p>
            <w:pPr>
              <w:pStyle w:val="TableAm"/>
              <w:rPr>
                <w:sz w:val="16"/>
                <w:szCs w:val="16"/>
              </w:rPr>
            </w:pPr>
            <w:r>
              <w:rPr>
                <w:sz w:val="16"/>
                <w:szCs w:val="16"/>
              </w:rPr>
              <w:t>s. 21A</w:t>
            </w:r>
          </w:p>
        </w:tc>
        <w:tc>
          <w:tcPr>
            <w:tcW w:w="1560" w:type="dxa"/>
          </w:tcPr>
          <w:p>
            <w:pPr>
              <w:pStyle w:val="TableAm"/>
              <w:rPr>
                <w:sz w:val="16"/>
                <w:szCs w:val="16"/>
              </w:rPr>
            </w:pPr>
            <w:r>
              <w:rPr>
                <w:sz w:val="16"/>
                <w:szCs w:val="16"/>
              </w:rPr>
              <w:t>cl. 21A</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21B</w:t>
            </w:r>
          </w:p>
        </w:tc>
        <w:tc>
          <w:tcPr>
            <w:tcW w:w="1560" w:type="dxa"/>
          </w:tcPr>
          <w:p>
            <w:pPr>
              <w:pStyle w:val="TableAm"/>
              <w:rPr>
                <w:sz w:val="16"/>
                <w:szCs w:val="16"/>
              </w:rPr>
            </w:pPr>
            <w:r>
              <w:rPr>
                <w:sz w:val="16"/>
                <w:szCs w:val="16"/>
              </w:rPr>
              <w:t>cl. 21B</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21C</w:t>
            </w:r>
          </w:p>
        </w:tc>
        <w:tc>
          <w:tcPr>
            <w:tcW w:w="1560" w:type="dxa"/>
          </w:tcPr>
          <w:p>
            <w:pPr>
              <w:pStyle w:val="TableAm"/>
              <w:rPr>
                <w:sz w:val="16"/>
                <w:szCs w:val="16"/>
              </w:rPr>
            </w:pPr>
            <w:r>
              <w:rPr>
                <w:sz w:val="16"/>
                <w:szCs w:val="16"/>
              </w:rPr>
              <w:t>cl. 21C</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21D</w:t>
            </w:r>
          </w:p>
        </w:tc>
        <w:tc>
          <w:tcPr>
            <w:tcW w:w="1560" w:type="dxa"/>
          </w:tcPr>
          <w:p>
            <w:pPr>
              <w:pStyle w:val="TableAm"/>
              <w:rPr>
                <w:sz w:val="16"/>
                <w:szCs w:val="16"/>
              </w:rPr>
            </w:pPr>
            <w:r>
              <w:rPr>
                <w:sz w:val="16"/>
                <w:szCs w:val="16"/>
              </w:rPr>
              <w:t>cl. 21D</w:t>
            </w:r>
          </w:p>
        </w:tc>
        <w:tc>
          <w:tcPr>
            <w:tcW w:w="3172" w:type="dxa"/>
          </w:tcPr>
          <w:p>
            <w:pPr>
              <w:pStyle w:val="TableAm"/>
              <w:rPr>
                <w:sz w:val="16"/>
                <w:szCs w:val="16"/>
              </w:rPr>
            </w:pPr>
            <w:r>
              <w:rPr>
                <w:sz w:val="16"/>
                <w:szCs w:val="16"/>
              </w:rPr>
              <w:t>Schedule 2A Part 4 Division 1 Subdivision 1</w:t>
            </w:r>
          </w:p>
        </w:tc>
      </w:tr>
      <w:tr>
        <w:trPr>
          <w:cantSplit/>
        </w:trPr>
        <w:tc>
          <w:tcPr>
            <w:tcW w:w="1559" w:type="dxa"/>
          </w:tcPr>
          <w:p>
            <w:pPr>
              <w:pStyle w:val="TableAm"/>
              <w:rPr>
                <w:sz w:val="16"/>
                <w:szCs w:val="16"/>
              </w:rPr>
            </w:pPr>
            <w:r>
              <w:rPr>
                <w:sz w:val="16"/>
                <w:szCs w:val="16"/>
              </w:rPr>
              <w:t>s. 21E</w:t>
            </w:r>
          </w:p>
        </w:tc>
        <w:tc>
          <w:tcPr>
            <w:tcW w:w="1560" w:type="dxa"/>
          </w:tcPr>
          <w:p>
            <w:pPr>
              <w:pStyle w:val="TableAm"/>
              <w:rPr>
                <w:sz w:val="16"/>
                <w:szCs w:val="16"/>
              </w:rPr>
            </w:pPr>
            <w:r>
              <w:rPr>
                <w:sz w:val="16"/>
                <w:szCs w:val="16"/>
              </w:rPr>
              <w:t>cl. 21E</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21F</w:t>
            </w:r>
          </w:p>
        </w:tc>
        <w:tc>
          <w:tcPr>
            <w:tcW w:w="1560" w:type="dxa"/>
          </w:tcPr>
          <w:p>
            <w:pPr>
              <w:pStyle w:val="TableAm"/>
              <w:rPr>
                <w:sz w:val="16"/>
                <w:szCs w:val="16"/>
              </w:rPr>
            </w:pPr>
            <w:r>
              <w:rPr>
                <w:sz w:val="16"/>
                <w:szCs w:val="16"/>
              </w:rPr>
              <w:t>cl. 21F</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21G</w:t>
            </w:r>
          </w:p>
        </w:tc>
        <w:tc>
          <w:tcPr>
            <w:tcW w:w="1560" w:type="dxa"/>
          </w:tcPr>
          <w:p>
            <w:pPr>
              <w:pStyle w:val="TableAm"/>
              <w:rPr>
                <w:sz w:val="16"/>
                <w:szCs w:val="16"/>
              </w:rPr>
            </w:pPr>
            <w:r>
              <w:rPr>
                <w:sz w:val="16"/>
                <w:szCs w:val="16"/>
              </w:rPr>
              <w:t>cl. 21G</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21H</w:t>
            </w:r>
          </w:p>
        </w:tc>
        <w:tc>
          <w:tcPr>
            <w:tcW w:w="1560" w:type="dxa"/>
          </w:tcPr>
          <w:p>
            <w:pPr>
              <w:pStyle w:val="TableAm"/>
              <w:rPr>
                <w:sz w:val="16"/>
                <w:szCs w:val="16"/>
              </w:rPr>
            </w:pPr>
            <w:r>
              <w:rPr>
                <w:sz w:val="16"/>
                <w:szCs w:val="16"/>
              </w:rPr>
              <w:t>cl. 21H</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21I</w:t>
            </w:r>
          </w:p>
        </w:tc>
        <w:tc>
          <w:tcPr>
            <w:tcW w:w="1560" w:type="dxa"/>
          </w:tcPr>
          <w:p>
            <w:pPr>
              <w:pStyle w:val="TableAm"/>
              <w:rPr>
                <w:sz w:val="16"/>
                <w:szCs w:val="16"/>
              </w:rPr>
            </w:pPr>
            <w:r>
              <w:rPr>
                <w:sz w:val="16"/>
                <w:szCs w:val="16"/>
              </w:rPr>
              <w:t>cl. 21I</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21J</w:t>
            </w:r>
          </w:p>
        </w:tc>
        <w:tc>
          <w:tcPr>
            <w:tcW w:w="1560" w:type="dxa"/>
          </w:tcPr>
          <w:p>
            <w:pPr>
              <w:pStyle w:val="TableAm"/>
              <w:rPr>
                <w:sz w:val="16"/>
                <w:szCs w:val="16"/>
              </w:rPr>
            </w:pPr>
            <w:r>
              <w:rPr>
                <w:sz w:val="16"/>
                <w:szCs w:val="16"/>
              </w:rPr>
              <w:t>cl. 21J</w:t>
            </w:r>
          </w:p>
        </w:tc>
        <w:tc>
          <w:tcPr>
            <w:tcW w:w="3172" w:type="dxa"/>
          </w:tcPr>
          <w:p>
            <w:pPr>
              <w:pStyle w:val="TableAm"/>
              <w:rPr>
                <w:sz w:val="16"/>
                <w:szCs w:val="16"/>
              </w:rPr>
            </w:pPr>
            <w:r>
              <w:rPr>
                <w:sz w:val="16"/>
                <w:szCs w:val="16"/>
              </w:rPr>
              <w:t>Schedule 2A Part 4 Division 1 Subdivision 2</w:t>
            </w:r>
          </w:p>
        </w:tc>
      </w:tr>
      <w:tr>
        <w:trPr>
          <w:cantSplit/>
        </w:trPr>
        <w:tc>
          <w:tcPr>
            <w:tcW w:w="1559" w:type="dxa"/>
          </w:tcPr>
          <w:p>
            <w:pPr>
              <w:pStyle w:val="TableAm"/>
              <w:rPr>
                <w:sz w:val="16"/>
                <w:szCs w:val="16"/>
              </w:rPr>
            </w:pPr>
            <w:r>
              <w:rPr>
                <w:sz w:val="16"/>
                <w:szCs w:val="16"/>
              </w:rPr>
              <w:t>s. 21P</w:t>
            </w:r>
          </w:p>
        </w:tc>
        <w:tc>
          <w:tcPr>
            <w:tcW w:w="1560" w:type="dxa"/>
          </w:tcPr>
          <w:p>
            <w:pPr>
              <w:pStyle w:val="TableAm"/>
              <w:rPr>
                <w:sz w:val="16"/>
                <w:szCs w:val="16"/>
              </w:rPr>
            </w:pPr>
            <w:r>
              <w:rPr>
                <w:sz w:val="16"/>
                <w:szCs w:val="16"/>
              </w:rPr>
              <w:t>cl. 21P</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21Q</w:t>
            </w:r>
          </w:p>
        </w:tc>
        <w:tc>
          <w:tcPr>
            <w:tcW w:w="1560" w:type="dxa"/>
          </w:tcPr>
          <w:p>
            <w:pPr>
              <w:pStyle w:val="TableAm"/>
              <w:rPr>
                <w:sz w:val="16"/>
                <w:szCs w:val="16"/>
              </w:rPr>
            </w:pPr>
            <w:r>
              <w:rPr>
                <w:sz w:val="16"/>
                <w:szCs w:val="16"/>
              </w:rPr>
              <w:t>cl. 21Q</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21R</w:t>
            </w:r>
          </w:p>
        </w:tc>
        <w:tc>
          <w:tcPr>
            <w:tcW w:w="1560" w:type="dxa"/>
          </w:tcPr>
          <w:p>
            <w:pPr>
              <w:pStyle w:val="TableAm"/>
              <w:rPr>
                <w:sz w:val="16"/>
                <w:szCs w:val="16"/>
              </w:rPr>
            </w:pPr>
            <w:r>
              <w:rPr>
                <w:sz w:val="16"/>
                <w:szCs w:val="16"/>
              </w:rPr>
              <w:t>cl. 21R</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21S</w:t>
            </w:r>
          </w:p>
        </w:tc>
        <w:tc>
          <w:tcPr>
            <w:tcW w:w="1560" w:type="dxa"/>
          </w:tcPr>
          <w:p>
            <w:pPr>
              <w:pStyle w:val="TableAm"/>
              <w:rPr>
                <w:sz w:val="16"/>
                <w:szCs w:val="16"/>
              </w:rPr>
            </w:pPr>
            <w:r>
              <w:rPr>
                <w:sz w:val="16"/>
                <w:szCs w:val="16"/>
              </w:rPr>
              <w:t>cl. 21S</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21T</w:t>
            </w:r>
          </w:p>
        </w:tc>
        <w:tc>
          <w:tcPr>
            <w:tcW w:w="1560" w:type="dxa"/>
          </w:tcPr>
          <w:p>
            <w:pPr>
              <w:pStyle w:val="TableAm"/>
              <w:rPr>
                <w:sz w:val="16"/>
                <w:szCs w:val="16"/>
              </w:rPr>
            </w:pPr>
            <w:r>
              <w:rPr>
                <w:sz w:val="16"/>
                <w:szCs w:val="16"/>
              </w:rPr>
              <w:t>cl. 21T</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21U</w:t>
            </w:r>
          </w:p>
        </w:tc>
        <w:tc>
          <w:tcPr>
            <w:tcW w:w="1560" w:type="dxa"/>
          </w:tcPr>
          <w:p>
            <w:pPr>
              <w:pStyle w:val="TableAm"/>
              <w:rPr>
                <w:sz w:val="16"/>
                <w:szCs w:val="16"/>
              </w:rPr>
            </w:pPr>
            <w:r>
              <w:rPr>
                <w:sz w:val="16"/>
                <w:szCs w:val="16"/>
              </w:rPr>
              <w:t>cl. 21U</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21V</w:t>
            </w:r>
          </w:p>
        </w:tc>
        <w:tc>
          <w:tcPr>
            <w:tcW w:w="1560" w:type="dxa"/>
          </w:tcPr>
          <w:p>
            <w:pPr>
              <w:pStyle w:val="TableAm"/>
              <w:rPr>
                <w:sz w:val="16"/>
                <w:szCs w:val="16"/>
              </w:rPr>
            </w:pPr>
            <w:r>
              <w:rPr>
                <w:sz w:val="16"/>
                <w:szCs w:val="16"/>
              </w:rPr>
              <w:t>cl. 21V</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21W</w:t>
            </w:r>
          </w:p>
        </w:tc>
        <w:tc>
          <w:tcPr>
            <w:tcW w:w="1560" w:type="dxa"/>
          </w:tcPr>
          <w:p>
            <w:pPr>
              <w:pStyle w:val="TableAm"/>
              <w:rPr>
                <w:sz w:val="16"/>
                <w:szCs w:val="16"/>
              </w:rPr>
            </w:pPr>
            <w:r>
              <w:rPr>
                <w:sz w:val="16"/>
                <w:szCs w:val="16"/>
              </w:rPr>
              <w:t>cl. 21W</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21X</w:t>
            </w:r>
          </w:p>
        </w:tc>
        <w:tc>
          <w:tcPr>
            <w:tcW w:w="1560" w:type="dxa"/>
          </w:tcPr>
          <w:p>
            <w:pPr>
              <w:pStyle w:val="TableAm"/>
              <w:rPr>
                <w:sz w:val="16"/>
                <w:szCs w:val="16"/>
              </w:rPr>
            </w:pPr>
            <w:r>
              <w:rPr>
                <w:sz w:val="16"/>
                <w:szCs w:val="16"/>
              </w:rPr>
              <w:t>cl. 21X</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21Y</w:t>
            </w:r>
          </w:p>
        </w:tc>
        <w:tc>
          <w:tcPr>
            <w:tcW w:w="1560" w:type="dxa"/>
          </w:tcPr>
          <w:p>
            <w:pPr>
              <w:pStyle w:val="TableAm"/>
              <w:rPr>
                <w:sz w:val="16"/>
                <w:szCs w:val="16"/>
              </w:rPr>
            </w:pPr>
            <w:r>
              <w:rPr>
                <w:sz w:val="16"/>
                <w:szCs w:val="16"/>
              </w:rPr>
              <w:t>cl. 21Y</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21Z</w:t>
            </w:r>
          </w:p>
        </w:tc>
        <w:tc>
          <w:tcPr>
            <w:tcW w:w="1560" w:type="dxa"/>
          </w:tcPr>
          <w:p>
            <w:pPr>
              <w:pStyle w:val="TableAm"/>
              <w:rPr>
                <w:sz w:val="16"/>
                <w:szCs w:val="16"/>
              </w:rPr>
            </w:pPr>
            <w:r>
              <w:rPr>
                <w:sz w:val="16"/>
                <w:szCs w:val="16"/>
              </w:rPr>
              <w:t>cl. 21Z</w:t>
            </w:r>
          </w:p>
        </w:tc>
        <w:tc>
          <w:tcPr>
            <w:tcW w:w="3172" w:type="dxa"/>
          </w:tcPr>
          <w:p>
            <w:pPr>
              <w:pStyle w:val="TableAm"/>
              <w:rPr>
                <w:sz w:val="16"/>
                <w:szCs w:val="16"/>
              </w:rPr>
            </w:pPr>
            <w:r>
              <w:rPr>
                <w:sz w:val="16"/>
                <w:szCs w:val="16"/>
              </w:rPr>
              <w:t>Schedule 2A Part 4 Division 1 Subdivision 3</w:t>
            </w:r>
          </w:p>
        </w:tc>
      </w:tr>
      <w:tr>
        <w:trPr>
          <w:cantSplit/>
        </w:trPr>
        <w:tc>
          <w:tcPr>
            <w:tcW w:w="1559" w:type="dxa"/>
          </w:tcPr>
          <w:p>
            <w:pPr>
              <w:pStyle w:val="TableAm"/>
              <w:rPr>
                <w:sz w:val="16"/>
                <w:szCs w:val="16"/>
              </w:rPr>
            </w:pPr>
            <w:r>
              <w:rPr>
                <w:sz w:val="16"/>
                <w:szCs w:val="16"/>
              </w:rPr>
              <w:t>s. 24</w:t>
            </w:r>
          </w:p>
        </w:tc>
        <w:tc>
          <w:tcPr>
            <w:tcW w:w="1560" w:type="dxa"/>
          </w:tcPr>
          <w:p>
            <w:pPr>
              <w:pStyle w:val="TableAm"/>
              <w:rPr>
                <w:sz w:val="16"/>
                <w:szCs w:val="16"/>
              </w:rPr>
            </w:pPr>
          </w:p>
        </w:tc>
        <w:tc>
          <w:tcPr>
            <w:tcW w:w="3172" w:type="dxa"/>
          </w:tcPr>
          <w:p>
            <w:pPr>
              <w:pStyle w:val="TableAm"/>
              <w:rPr>
                <w:sz w:val="16"/>
                <w:szCs w:val="16"/>
              </w:rPr>
            </w:pPr>
            <w:r>
              <w:rPr>
                <w:sz w:val="16"/>
                <w:szCs w:val="16"/>
              </w:rPr>
              <w:t>Part 3 Division 2</w:t>
            </w:r>
          </w:p>
        </w:tc>
      </w:tr>
      <w:tr>
        <w:trPr>
          <w:cantSplit/>
        </w:trPr>
        <w:tc>
          <w:tcPr>
            <w:tcW w:w="1559" w:type="dxa"/>
          </w:tcPr>
          <w:p>
            <w:pPr>
              <w:pStyle w:val="TableAm"/>
              <w:rPr>
                <w:sz w:val="16"/>
                <w:szCs w:val="16"/>
              </w:rPr>
            </w:pPr>
            <w:r>
              <w:rPr>
                <w:sz w:val="16"/>
                <w:szCs w:val="16"/>
              </w:rPr>
              <w:t>s. 26</w:t>
            </w:r>
          </w:p>
        </w:tc>
        <w:tc>
          <w:tcPr>
            <w:tcW w:w="1560" w:type="dxa"/>
          </w:tcPr>
          <w:p>
            <w:pPr>
              <w:pStyle w:val="TableAm"/>
              <w:rPr>
                <w:sz w:val="16"/>
                <w:szCs w:val="16"/>
              </w:rPr>
            </w:pPr>
            <w:r>
              <w:rPr>
                <w:sz w:val="16"/>
                <w:szCs w:val="16"/>
              </w:rPr>
              <w:t>s. 28</w:t>
            </w:r>
          </w:p>
        </w:tc>
        <w:tc>
          <w:tcPr>
            <w:tcW w:w="3172" w:type="dxa"/>
          </w:tcPr>
          <w:p>
            <w:pPr>
              <w:pStyle w:val="TableAm"/>
              <w:rPr>
                <w:sz w:val="16"/>
                <w:szCs w:val="16"/>
              </w:rPr>
            </w:pPr>
            <w:r>
              <w:rPr>
                <w:sz w:val="16"/>
                <w:szCs w:val="16"/>
              </w:rPr>
              <w:t>Part 3 Division 4</w:t>
            </w:r>
          </w:p>
        </w:tc>
      </w:tr>
      <w:tr>
        <w:trPr>
          <w:cantSplit/>
        </w:trPr>
        <w:tc>
          <w:tcPr>
            <w:tcW w:w="1559" w:type="dxa"/>
          </w:tcPr>
          <w:p>
            <w:pPr>
              <w:pStyle w:val="TableAm"/>
              <w:rPr>
                <w:sz w:val="16"/>
                <w:szCs w:val="16"/>
              </w:rPr>
            </w:pPr>
            <w:r>
              <w:rPr>
                <w:sz w:val="16"/>
                <w:szCs w:val="16"/>
              </w:rPr>
              <w:t>s. 28</w:t>
            </w:r>
          </w:p>
        </w:tc>
        <w:tc>
          <w:tcPr>
            <w:tcW w:w="1560" w:type="dxa"/>
          </w:tcPr>
          <w:p>
            <w:pPr>
              <w:pStyle w:val="TableAm"/>
              <w:rPr>
                <w:sz w:val="16"/>
                <w:szCs w:val="16"/>
              </w:rPr>
            </w:pPr>
            <w:r>
              <w:rPr>
                <w:sz w:val="16"/>
                <w:szCs w:val="16"/>
              </w:rPr>
              <w:t>s. 166</w:t>
            </w:r>
          </w:p>
        </w:tc>
        <w:tc>
          <w:tcPr>
            <w:tcW w:w="3172" w:type="dxa"/>
          </w:tcPr>
          <w:p>
            <w:pPr>
              <w:pStyle w:val="TableAm"/>
              <w:rPr>
                <w:sz w:val="16"/>
                <w:szCs w:val="16"/>
              </w:rPr>
            </w:pPr>
            <w:r>
              <w:rPr>
                <w:sz w:val="16"/>
                <w:szCs w:val="16"/>
              </w:rPr>
              <w:t>Part 11 Division 1</w:t>
            </w:r>
          </w:p>
        </w:tc>
      </w:tr>
      <w:tr>
        <w:trPr>
          <w:cantSplit/>
        </w:trPr>
        <w:tc>
          <w:tcPr>
            <w:tcW w:w="1559" w:type="dxa"/>
          </w:tcPr>
          <w:p>
            <w:pPr>
              <w:pStyle w:val="TableAm"/>
              <w:rPr>
                <w:sz w:val="16"/>
                <w:szCs w:val="16"/>
              </w:rPr>
            </w:pPr>
            <w:r>
              <w:rPr>
                <w:sz w:val="16"/>
                <w:szCs w:val="16"/>
              </w:rPr>
              <w:t>s. 29</w:t>
            </w:r>
          </w:p>
        </w:tc>
        <w:tc>
          <w:tcPr>
            <w:tcW w:w="1560" w:type="dxa"/>
          </w:tcPr>
          <w:p>
            <w:pPr>
              <w:pStyle w:val="TableAm"/>
              <w:rPr>
                <w:sz w:val="16"/>
                <w:szCs w:val="16"/>
              </w:rPr>
            </w:pPr>
            <w:r>
              <w:rPr>
                <w:sz w:val="16"/>
                <w:szCs w:val="16"/>
              </w:rPr>
              <w:t>s. 167</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29A</w:t>
            </w:r>
          </w:p>
        </w:tc>
        <w:tc>
          <w:tcPr>
            <w:tcW w:w="1560" w:type="dxa"/>
          </w:tcPr>
          <w:p>
            <w:pPr>
              <w:pStyle w:val="TableAm"/>
              <w:rPr>
                <w:sz w:val="16"/>
                <w:szCs w:val="16"/>
              </w:rPr>
            </w:pPr>
            <w:r>
              <w:rPr>
                <w:sz w:val="16"/>
                <w:szCs w:val="16"/>
              </w:rPr>
              <w:t>s. 168</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29B</w:t>
            </w:r>
          </w:p>
        </w:tc>
        <w:tc>
          <w:tcPr>
            <w:tcW w:w="1560" w:type="dxa"/>
          </w:tcPr>
          <w:p>
            <w:pPr>
              <w:pStyle w:val="TableAm"/>
              <w:rPr>
                <w:sz w:val="16"/>
                <w:szCs w:val="16"/>
              </w:rPr>
            </w:pPr>
            <w:r>
              <w:rPr>
                <w:sz w:val="16"/>
                <w:szCs w:val="16"/>
              </w:rPr>
              <w:t>s. 169</w:t>
            </w:r>
          </w:p>
        </w:tc>
        <w:tc>
          <w:tcPr>
            <w:tcW w:w="3172" w:type="dxa"/>
          </w:tcPr>
          <w:p>
            <w:pPr>
              <w:pStyle w:val="TableAm"/>
              <w:rPr>
                <w:sz w:val="16"/>
                <w:szCs w:val="16"/>
              </w:rPr>
            </w:pPr>
            <w:r>
              <w:rPr>
                <w:sz w:val="16"/>
                <w:szCs w:val="16"/>
              </w:rPr>
              <w:t>Part 11 Division 2</w:t>
            </w:r>
          </w:p>
        </w:tc>
      </w:tr>
      <w:tr>
        <w:trPr>
          <w:cantSplit/>
        </w:trPr>
        <w:tc>
          <w:tcPr>
            <w:tcW w:w="1559" w:type="dxa"/>
          </w:tcPr>
          <w:p>
            <w:pPr>
              <w:pStyle w:val="TableAm"/>
              <w:rPr>
                <w:sz w:val="16"/>
                <w:szCs w:val="16"/>
              </w:rPr>
            </w:pPr>
            <w:r>
              <w:rPr>
                <w:sz w:val="16"/>
                <w:szCs w:val="16"/>
              </w:rPr>
              <w:t>s. 29C</w:t>
            </w:r>
          </w:p>
        </w:tc>
        <w:tc>
          <w:tcPr>
            <w:tcW w:w="1560" w:type="dxa"/>
          </w:tcPr>
          <w:p>
            <w:pPr>
              <w:pStyle w:val="TableAm"/>
              <w:rPr>
                <w:sz w:val="16"/>
                <w:szCs w:val="16"/>
              </w:rPr>
            </w:pPr>
            <w:r>
              <w:rPr>
                <w:sz w:val="16"/>
                <w:szCs w:val="16"/>
              </w:rPr>
              <w:t>s. 196</w:t>
            </w:r>
          </w:p>
        </w:tc>
        <w:tc>
          <w:tcPr>
            <w:tcW w:w="3172" w:type="dxa"/>
          </w:tcPr>
          <w:p>
            <w:pPr>
              <w:pStyle w:val="TableAm"/>
              <w:rPr>
                <w:sz w:val="16"/>
                <w:szCs w:val="16"/>
              </w:rPr>
            </w:pPr>
            <w:r>
              <w:rPr>
                <w:sz w:val="16"/>
                <w:szCs w:val="16"/>
              </w:rPr>
              <w:t>Part 12 Division 7</w:t>
            </w:r>
          </w:p>
        </w:tc>
      </w:tr>
      <w:tr>
        <w:trPr>
          <w:cantSplit/>
        </w:trPr>
        <w:tc>
          <w:tcPr>
            <w:tcW w:w="1559" w:type="dxa"/>
          </w:tcPr>
          <w:p>
            <w:pPr>
              <w:pStyle w:val="TableAm"/>
              <w:rPr>
                <w:sz w:val="16"/>
                <w:szCs w:val="16"/>
              </w:rPr>
            </w:pPr>
            <w:r>
              <w:rPr>
                <w:sz w:val="16"/>
                <w:szCs w:val="16"/>
              </w:rPr>
              <w:t>s. 31A</w:t>
            </w:r>
          </w:p>
        </w:tc>
        <w:tc>
          <w:tcPr>
            <w:tcW w:w="1560" w:type="dxa"/>
          </w:tcPr>
          <w:p>
            <w:pPr>
              <w:pStyle w:val="TableAm"/>
              <w:rPr>
                <w:sz w:val="16"/>
                <w:szCs w:val="16"/>
              </w:rPr>
            </w:pPr>
            <w:r>
              <w:rPr>
                <w:sz w:val="16"/>
                <w:szCs w:val="16"/>
              </w:rPr>
              <w:t>cl. 31A</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31B</w:t>
            </w:r>
          </w:p>
        </w:tc>
        <w:tc>
          <w:tcPr>
            <w:tcW w:w="1560" w:type="dxa"/>
          </w:tcPr>
          <w:p>
            <w:pPr>
              <w:pStyle w:val="TableAm"/>
              <w:rPr>
                <w:sz w:val="16"/>
                <w:szCs w:val="16"/>
              </w:rPr>
            </w:pPr>
            <w:r>
              <w:rPr>
                <w:sz w:val="16"/>
                <w:szCs w:val="16"/>
              </w:rPr>
              <w:t>cl. 31B</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31C</w:t>
            </w:r>
          </w:p>
        </w:tc>
        <w:tc>
          <w:tcPr>
            <w:tcW w:w="1560" w:type="dxa"/>
          </w:tcPr>
          <w:p>
            <w:pPr>
              <w:pStyle w:val="TableAm"/>
              <w:rPr>
                <w:sz w:val="16"/>
                <w:szCs w:val="16"/>
              </w:rPr>
            </w:pPr>
            <w:r>
              <w:rPr>
                <w:sz w:val="16"/>
                <w:szCs w:val="16"/>
              </w:rPr>
              <w:t>cl. 31C</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31D</w:t>
            </w:r>
          </w:p>
        </w:tc>
        <w:tc>
          <w:tcPr>
            <w:tcW w:w="1560" w:type="dxa"/>
          </w:tcPr>
          <w:p>
            <w:pPr>
              <w:pStyle w:val="TableAm"/>
              <w:rPr>
                <w:sz w:val="16"/>
                <w:szCs w:val="16"/>
              </w:rPr>
            </w:pPr>
            <w:r>
              <w:rPr>
                <w:sz w:val="16"/>
                <w:szCs w:val="16"/>
              </w:rPr>
              <w:t>cl. 31D</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31E</w:t>
            </w:r>
          </w:p>
        </w:tc>
        <w:tc>
          <w:tcPr>
            <w:tcW w:w="1560" w:type="dxa"/>
          </w:tcPr>
          <w:p>
            <w:pPr>
              <w:pStyle w:val="TableAm"/>
              <w:rPr>
                <w:sz w:val="16"/>
                <w:szCs w:val="16"/>
              </w:rPr>
            </w:pPr>
            <w:r>
              <w:rPr>
                <w:sz w:val="16"/>
                <w:szCs w:val="16"/>
              </w:rPr>
              <w:t>cl. 31E</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31F</w:t>
            </w:r>
          </w:p>
        </w:tc>
        <w:tc>
          <w:tcPr>
            <w:tcW w:w="1560" w:type="dxa"/>
          </w:tcPr>
          <w:p>
            <w:pPr>
              <w:pStyle w:val="TableAm"/>
              <w:rPr>
                <w:sz w:val="16"/>
                <w:szCs w:val="16"/>
              </w:rPr>
            </w:pPr>
            <w:r>
              <w:rPr>
                <w:sz w:val="16"/>
                <w:szCs w:val="16"/>
              </w:rPr>
              <w:t>cl. 31F</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31G</w:t>
            </w:r>
          </w:p>
        </w:tc>
        <w:tc>
          <w:tcPr>
            <w:tcW w:w="1560" w:type="dxa"/>
          </w:tcPr>
          <w:p>
            <w:pPr>
              <w:pStyle w:val="TableAm"/>
              <w:rPr>
                <w:sz w:val="16"/>
                <w:szCs w:val="16"/>
              </w:rPr>
            </w:pPr>
            <w:r>
              <w:rPr>
                <w:sz w:val="16"/>
                <w:szCs w:val="16"/>
              </w:rPr>
              <w:t>cl. 31G</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31H</w:t>
            </w:r>
          </w:p>
        </w:tc>
        <w:tc>
          <w:tcPr>
            <w:tcW w:w="1560" w:type="dxa"/>
          </w:tcPr>
          <w:p>
            <w:pPr>
              <w:pStyle w:val="TableAm"/>
              <w:rPr>
                <w:sz w:val="16"/>
                <w:szCs w:val="16"/>
              </w:rPr>
            </w:pPr>
            <w:r>
              <w:rPr>
                <w:sz w:val="16"/>
                <w:szCs w:val="16"/>
              </w:rPr>
              <w:t>cl. 31H</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31I</w:t>
            </w:r>
          </w:p>
        </w:tc>
        <w:tc>
          <w:tcPr>
            <w:tcW w:w="1560" w:type="dxa"/>
          </w:tcPr>
          <w:p>
            <w:pPr>
              <w:pStyle w:val="TableAm"/>
              <w:rPr>
                <w:sz w:val="16"/>
                <w:szCs w:val="16"/>
              </w:rPr>
            </w:pPr>
            <w:r>
              <w:rPr>
                <w:sz w:val="16"/>
                <w:szCs w:val="16"/>
              </w:rPr>
              <w:t>cl. 31I</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31J</w:t>
            </w:r>
          </w:p>
        </w:tc>
        <w:tc>
          <w:tcPr>
            <w:tcW w:w="1560" w:type="dxa"/>
          </w:tcPr>
          <w:p>
            <w:pPr>
              <w:pStyle w:val="TableAm"/>
              <w:rPr>
                <w:sz w:val="16"/>
                <w:szCs w:val="16"/>
              </w:rPr>
            </w:pPr>
            <w:r>
              <w:rPr>
                <w:sz w:val="16"/>
                <w:szCs w:val="16"/>
              </w:rPr>
              <w:t>cl. 31J</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31K</w:t>
            </w:r>
          </w:p>
        </w:tc>
        <w:tc>
          <w:tcPr>
            <w:tcW w:w="1560" w:type="dxa"/>
          </w:tcPr>
          <w:p>
            <w:pPr>
              <w:pStyle w:val="TableAm"/>
              <w:rPr>
                <w:sz w:val="16"/>
                <w:szCs w:val="16"/>
              </w:rPr>
            </w:pPr>
            <w:r>
              <w:rPr>
                <w:sz w:val="16"/>
                <w:szCs w:val="16"/>
              </w:rPr>
              <w:t>cl. 31K</w:t>
            </w:r>
          </w:p>
        </w:tc>
        <w:tc>
          <w:tcPr>
            <w:tcW w:w="3172" w:type="dxa"/>
          </w:tcPr>
          <w:p>
            <w:pPr>
              <w:pStyle w:val="TableAm"/>
              <w:rPr>
                <w:sz w:val="16"/>
                <w:szCs w:val="16"/>
              </w:rPr>
            </w:pPr>
            <w:r>
              <w:rPr>
                <w:sz w:val="16"/>
                <w:szCs w:val="16"/>
              </w:rPr>
              <w:t>Schedule 2A Part 4 Division 2</w:t>
            </w:r>
          </w:p>
        </w:tc>
      </w:tr>
      <w:tr>
        <w:trPr>
          <w:cantSplit/>
        </w:trPr>
        <w:tc>
          <w:tcPr>
            <w:tcW w:w="1559" w:type="dxa"/>
          </w:tcPr>
          <w:p>
            <w:pPr>
              <w:pStyle w:val="TableAm"/>
              <w:rPr>
                <w:sz w:val="16"/>
                <w:szCs w:val="16"/>
              </w:rPr>
            </w:pPr>
            <w:r>
              <w:rPr>
                <w:sz w:val="16"/>
                <w:szCs w:val="16"/>
              </w:rPr>
              <w:t>s. 33</w:t>
            </w:r>
          </w:p>
        </w:tc>
        <w:tc>
          <w:tcPr>
            <w:tcW w:w="1560" w:type="dxa"/>
          </w:tcPr>
          <w:p>
            <w:pPr>
              <w:pStyle w:val="TableAm"/>
              <w:rPr>
                <w:sz w:val="16"/>
                <w:szCs w:val="16"/>
              </w:rPr>
            </w:pPr>
            <w:r>
              <w:rPr>
                <w:sz w:val="16"/>
                <w:szCs w:val="16"/>
              </w:rPr>
              <w:t>s. 103</w:t>
            </w:r>
          </w:p>
        </w:tc>
        <w:tc>
          <w:tcPr>
            <w:tcW w:w="3172" w:type="dxa"/>
          </w:tcPr>
          <w:p>
            <w:pPr>
              <w:pStyle w:val="TableAm"/>
              <w:rPr>
                <w:sz w:val="16"/>
                <w:szCs w:val="16"/>
              </w:rPr>
            </w:pPr>
            <w:r>
              <w:rPr>
                <w:sz w:val="16"/>
                <w:szCs w:val="16"/>
              </w:rPr>
              <w:t>Part 8 Division 1 Subdivision 4</w:t>
            </w:r>
          </w:p>
        </w:tc>
      </w:tr>
      <w:tr>
        <w:trPr>
          <w:cantSplit/>
        </w:trPr>
        <w:tc>
          <w:tcPr>
            <w:tcW w:w="1559" w:type="dxa"/>
          </w:tcPr>
          <w:p>
            <w:pPr>
              <w:pStyle w:val="TableAm"/>
              <w:rPr>
                <w:sz w:val="16"/>
                <w:szCs w:val="16"/>
              </w:rPr>
            </w:pPr>
            <w:r>
              <w:rPr>
                <w:sz w:val="16"/>
                <w:szCs w:val="16"/>
              </w:rPr>
              <w:t>s. 34</w:t>
            </w:r>
          </w:p>
        </w:tc>
        <w:tc>
          <w:tcPr>
            <w:tcW w:w="1560" w:type="dxa"/>
          </w:tcPr>
          <w:p>
            <w:pPr>
              <w:pStyle w:val="TableAm"/>
              <w:rPr>
                <w:sz w:val="16"/>
                <w:szCs w:val="16"/>
              </w:rPr>
            </w:pPr>
            <w:r>
              <w:rPr>
                <w:sz w:val="16"/>
                <w:szCs w:val="16"/>
              </w:rPr>
              <w:t>s. 139</w:t>
            </w:r>
          </w:p>
        </w:tc>
        <w:tc>
          <w:tcPr>
            <w:tcW w:w="3172" w:type="dxa"/>
          </w:tcPr>
          <w:p>
            <w:pPr>
              <w:pStyle w:val="TableAm"/>
              <w:rPr>
                <w:sz w:val="16"/>
                <w:szCs w:val="16"/>
              </w:rPr>
            </w:pPr>
            <w:r>
              <w:rPr>
                <w:sz w:val="16"/>
                <w:szCs w:val="16"/>
              </w:rPr>
              <w:t>Part 8 Division 5</w:t>
            </w:r>
          </w:p>
        </w:tc>
      </w:tr>
      <w:tr>
        <w:trPr>
          <w:cantSplit/>
        </w:trPr>
        <w:tc>
          <w:tcPr>
            <w:tcW w:w="1559" w:type="dxa"/>
          </w:tcPr>
          <w:p>
            <w:pPr>
              <w:pStyle w:val="TableAm"/>
              <w:rPr>
                <w:sz w:val="16"/>
                <w:szCs w:val="16"/>
              </w:rPr>
            </w:pPr>
            <w:r>
              <w:rPr>
                <w:sz w:val="16"/>
                <w:szCs w:val="16"/>
              </w:rPr>
              <w:t>s. 35</w:t>
            </w:r>
          </w:p>
        </w:tc>
        <w:tc>
          <w:tcPr>
            <w:tcW w:w="1560" w:type="dxa"/>
          </w:tcPr>
          <w:p>
            <w:pPr>
              <w:pStyle w:val="TableAm"/>
              <w:rPr>
                <w:sz w:val="16"/>
                <w:szCs w:val="16"/>
              </w:rPr>
            </w:pPr>
            <w:r>
              <w:rPr>
                <w:sz w:val="16"/>
                <w:szCs w:val="16"/>
              </w:rPr>
              <w:t>s. 91</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35A</w:t>
            </w:r>
          </w:p>
        </w:tc>
        <w:tc>
          <w:tcPr>
            <w:tcW w:w="1560" w:type="dxa"/>
          </w:tcPr>
          <w:p>
            <w:pPr>
              <w:pStyle w:val="TableAm"/>
              <w:rPr>
                <w:sz w:val="16"/>
                <w:szCs w:val="16"/>
              </w:rPr>
            </w:pPr>
            <w:r>
              <w:rPr>
                <w:sz w:val="16"/>
                <w:szCs w:val="16"/>
              </w:rPr>
              <w:t>s. 105</w:t>
            </w:r>
          </w:p>
        </w:tc>
        <w:tc>
          <w:tcPr>
            <w:tcW w:w="3172" w:type="dxa"/>
          </w:tcPr>
          <w:p>
            <w:pPr>
              <w:pStyle w:val="TableAm"/>
              <w:rPr>
                <w:sz w:val="16"/>
                <w:szCs w:val="16"/>
              </w:rPr>
            </w:pPr>
            <w:r>
              <w:rPr>
                <w:sz w:val="16"/>
                <w:szCs w:val="16"/>
              </w:rPr>
              <w:t>Part 8 Division 1 Subdivision 5</w:t>
            </w:r>
          </w:p>
        </w:tc>
      </w:tr>
      <w:tr>
        <w:trPr>
          <w:cantSplit/>
        </w:trPr>
        <w:tc>
          <w:tcPr>
            <w:tcW w:w="1559" w:type="dxa"/>
          </w:tcPr>
          <w:p>
            <w:pPr>
              <w:pStyle w:val="TableAm"/>
              <w:rPr>
                <w:sz w:val="16"/>
                <w:szCs w:val="16"/>
              </w:rPr>
            </w:pPr>
            <w:r>
              <w:rPr>
                <w:sz w:val="16"/>
                <w:szCs w:val="16"/>
              </w:rPr>
              <w:t>s. 36</w:t>
            </w:r>
          </w:p>
        </w:tc>
        <w:tc>
          <w:tcPr>
            <w:tcW w:w="1560" w:type="dxa"/>
          </w:tcPr>
          <w:p>
            <w:pPr>
              <w:pStyle w:val="TableAm"/>
              <w:rPr>
                <w:sz w:val="16"/>
                <w:szCs w:val="16"/>
              </w:rPr>
            </w:pPr>
            <w:r>
              <w:rPr>
                <w:sz w:val="16"/>
                <w:szCs w:val="16"/>
              </w:rPr>
              <w:t>s. 100</w:t>
            </w:r>
          </w:p>
        </w:tc>
        <w:tc>
          <w:tcPr>
            <w:tcW w:w="3172" w:type="dxa"/>
          </w:tcPr>
          <w:p>
            <w:pPr>
              <w:pStyle w:val="TableAm"/>
              <w:rPr>
                <w:sz w:val="16"/>
                <w:szCs w:val="16"/>
              </w:rPr>
            </w:pPr>
            <w:r>
              <w:rPr>
                <w:sz w:val="16"/>
                <w:szCs w:val="16"/>
              </w:rPr>
              <w:t>Part 8 Division 1 Subdivision 3</w:t>
            </w:r>
          </w:p>
        </w:tc>
      </w:tr>
      <w:tr>
        <w:trPr>
          <w:cantSplit/>
        </w:trPr>
        <w:tc>
          <w:tcPr>
            <w:tcW w:w="1559" w:type="dxa"/>
          </w:tcPr>
          <w:p>
            <w:pPr>
              <w:pStyle w:val="TableAm"/>
              <w:rPr>
                <w:sz w:val="16"/>
                <w:szCs w:val="16"/>
              </w:rPr>
            </w:pPr>
            <w:r>
              <w:rPr>
                <w:sz w:val="16"/>
                <w:szCs w:val="16"/>
              </w:rPr>
              <w:t>s. 37</w:t>
            </w:r>
          </w:p>
        </w:tc>
        <w:tc>
          <w:tcPr>
            <w:tcW w:w="1560" w:type="dxa"/>
          </w:tcPr>
          <w:p>
            <w:pPr>
              <w:pStyle w:val="TableAm"/>
              <w:rPr>
                <w:sz w:val="16"/>
                <w:szCs w:val="16"/>
              </w:rPr>
            </w:pPr>
            <w:r>
              <w:rPr>
                <w:sz w:val="16"/>
                <w:szCs w:val="16"/>
              </w:rPr>
              <w:t>s. 116</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38</w:t>
            </w:r>
          </w:p>
        </w:tc>
        <w:tc>
          <w:tcPr>
            <w:tcW w:w="1560" w:type="dxa"/>
          </w:tcPr>
          <w:p>
            <w:pPr>
              <w:pStyle w:val="TableAm"/>
              <w:rPr>
                <w:sz w:val="16"/>
                <w:szCs w:val="16"/>
              </w:rPr>
            </w:pPr>
            <w:r>
              <w:rPr>
                <w:sz w:val="16"/>
                <w:szCs w:val="16"/>
              </w:rPr>
              <w:t>s. 94</w:t>
            </w:r>
          </w:p>
        </w:tc>
        <w:tc>
          <w:tcPr>
            <w:tcW w:w="3172" w:type="dxa"/>
          </w:tcPr>
          <w:p>
            <w:pPr>
              <w:pStyle w:val="TableAm"/>
              <w:rPr>
                <w:sz w:val="16"/>
                <w:szCs w:val="16"/>
              </w:rPr>
            </w:pPr>
            <w:r>
              <w:rPr>
                <w:sz w:val="16"/>
                <w:szCs w:val="16"/>
              </w:rPr>
              <w:t>Part 8 Division 1 Subdivision 1</w:t>
            </w:r>
          </w:p>
        </w:tc>
      </w:tr>
      <w:tr>
        <w:trPr>
          <w:cantSplit/>
        </w:trPr>
        <w:tc>
          <w:tcPr>
            <w:tcW w:w="1559" w:type="dxa"/>
          </w:tcPr>
          <w:p>
            <w:pPr>
              <w:pStyle w:val="TableAm"/>
              <w:rPr>
                <w:sz w:val="16"/>
                <w:szCs w:val="16"/>
              </w:rPr>
            </w:pPr>
            <w:r>
              <w:rPr>
                <w:sz w:val="16"/>
                <w:szCs w:val="16"/>
              </w:rPr>
              <w:t>s. 39A</w:t>
            </w:r>
          </w:p>
        </w:tc>
        <w:tc>
          <w:tcPr>
            <w:tcW w:w="1560" w:type="dxa"/>
          </w:tcPr>
          <w:p>
            <w:pPr>
              <w:pStyle w:val="TableAm"/>
              <w:rPr>
                <w:sz w:val="16"/>
                <w:szCs w:val="16"/>
              </w:rPr>
            </w:pPr>
            <w:r>
              <w:rPr>
                <w:sz w:val="16"/>
                <w:szCs w:val="16"/>
              </w:rPr>
              <w:t>s. 115</w:t>
            </w:r>
          </w:p>
        </w:tc>
        <w:tc>
          <w:tcPr>
            <w:tcW w:w="3172" w:type="dxa"/>
          </w:tcPr>
          <w:p>
            <w:pPr>
              <w:pStyle w:val="TableAm"/>
              <w:rPr>
                <w:sz w:val="16"/>
                <w:szCs w:val="16"/>
              </w:rPr>
            </w:pPr>
            <w:r>
              <w:rPr>
                <w:sz w:val="16"/>
                <w:szCs w:val="16"/>
              </w:rPr>
              <w:t>Part 8 Division 1 Subdivision 7</w:t>
            </w:r>
          </w:p>
        </w:tc>
      </w:tr>
      <w:tr>
        <w:trPr>
          <w:cantSplit/>
        </w:trPr>
        <w:tc>
          <w:tcPr>
            <w:tcW w:w="1559" w:type="dxa"/>
          </w:tcPr>
          <w:p>
            <w:pPr>
              <w:pStyle w:val="TableAm"/>
              <w:rPr>
                <w:sz w:val="16"/>
                <w:szCs w:val="16"/>
              </w:rPr>
            </w:pPr>
            <w:r>
              <w:rPr>
                <w:sz w:val="16"/>
                <w:szCs w:val="16"/>
              </w:rPr>
              <w:t>s. 44</w:t>
            </w:r>
          </w:p>
        </w:tc>
        <w:tc>
          <w:tcPr>
            <w:tcW w:w="1560" w:type="dxa"/>
          </w:tcPr>
          <w:p>
            <w:pPr>
              <w:pStyle w:val="TableAm"/>
              <w:rPr>
                <w:sz w:val="16"/>
                <w:szCs w:val="16"/>
              </w:rPr>
            </w:pPr>
            <w:r>
              <w:rPr>
                <w:sz w:val="16"/>
                <w:szCs w:val="16"/>
              </w:rPr>
              <w:t>s. 135</w:t>
            </w:r>
          </w:p>
        </w:tc>
        <w:tc>
          <w:tcPr>
            <w:tcW w:w="3172" w:type="dxa"/>
          </w:tcPr>
          <w:p>
            <w:pPr>
              <w:pStyle w:val="TableAm"/>
              <w:rPr>
                <w:sz w:val="16"/>
                <w:szCs w:val="16"/>
              </w:rPr>
            </w:pPr>
            <w:r>
              <w:rPr>
                <w:sz w:val="16"/>
                <w:szCs w:val="16"/>
              </w:rPr>
              <w:t xml:space="preserve">Part 8 Division 4 </w:t>
            </w:r>
          </w:p>
        </w:tc>
      </w:tr>
      <w:tr>
        <w:trPr>
          <w:cantSplit/>
        </w:trPr>
        <w:tc>
          <w:tcPr>
            <w:tcW w:w="1559" w:type="dxa"/>
          </w:tcPr>
          <w:p>
            <w:pPr>
              <w:pStyle w:val="TableAm"/>
              <w:rPr>
                <w:sz w:val="16"/>
                <w:szCs w:val="16"/>
              </w:rPr>
            </w:pPr>
            <w:r>
              <w:rPr>
                <w:sz w:val="16"/>
                <w:szCs w:val="16"/>
              </w:rPr>
              <w:t>s. 45</w:t>
            </w:r>
          </w:p>
        </w:tc>
        <w:tc>
          <w:tcPr>
            <w:tcW w:w="1560" w:type="dxa"/>
          </w:tcPr>
          <w:p>
            <w:pPr>
              <w:pStyle w:val="TableAm"/>
              <w:rPr>
                <w:sz w:val="16"/>
                <w:szCs w:val="16"/>
              </w:rPr>
            </w:pPr>
            <w:r>
              <w:rPr>
                <w:sz w:val="16"/>
                <w:szCs w:val="16"/>
              </w:rPr>
              <w:t xml:space="preserve">s. 136 </w:t>
            </w:r>
          </w:p>
        </w:tc>
        <w:tc>
          <w:tcPr>
            <w:tcW w:w="3172" w:type="dxa"/>
          </w:tcPr>
          <w:p>
            <w:pPr>
              <w:pStyle w:val="TableAm"/>
              <w:rPr>
                <w:sz w:val="16"/>
                <w:szCs w:val="16"/>
              </w:rPr>
            </w:pPr>
            <w:r>
              <w:rPr>
                <w:sz w:val="16"/>
                <w:szCs w:val="16"/>
              </w:rPr>
              <w:t>Part 8 Division 4</w:t>
            </w:r>
          </w:p>
        </w:tc>
      </w:tr>
      <w:tr>
        <w:trPr>
          <w:cantSplit/>
        </w:trPr>
        <w:tc>
          <w:tcPr>
            <w:tcW w:w="1559" w:type="dxa"/>
          </w:tcPr>
          <w:p>
            <w:pPr>
              <w:pStyle w:val="TableAm"/>
              <w:rPr>
                <w:sz w:val="16"/>
                <w:szCs w:val="16"/>
              </w:rPr>
            </w:pPr>
            <w:r>
              <w:rPr>
                <w:sz w:val="16"/>
                <w:szCs w:val="16"/>
              </w:rPr>
              <w:t>s. 53A</w:t>
            </w:r>
          </w:p>
        </w:tc>
        <w:tc>
          <w:tcPr>
            <w:tcW w:w="1560" w:type="dxa"/>
          </w:tcPr>
          <w:p>
            <w:pPr>
              <w:pStyle w:val="TableAm"/>
              <w:rPr>
                <w:sz w:val="16"/>
                <w:szCs w:val="16"/>
              </w:rPr>
            </w:pPr>
            <w:r>
              <w:rPr>
                <w:sz w:val="16"/>
                <w:szCs w:val="16"/>
              </w:rPr>
              <w:t>cl. 53A</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53B</w:t>
            </w:r>
          </w:p>
        </w:tc>
        <w:tc>
          <w:tcPr>
            <w:tcW w:w="1560" w:type="dxa"/>
          </w:tcPr>
          <w:p>
            <w:pPr>
              <w:pStyle w:val="TableAm"/>
              <w:rPr>
                <w:sz w:val="16"/>
                <w:szCs w:val="16"/>
              </w:rPr>
            </w:pPr>
            <w:r>
              <w:rPr>
                <w:sz w:val="16"/>
                <w:szCs w:val="16"/>
              </w:rPr>
              <w:t>cl. 53B</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53C</w:t>
            </w:r>
          </w:p>
        </w:tc>
        <w:tc>
          <w:tcPr>
            <w:tcW w:w="1560" w:type="dxa"/>
          </w:tcPr>
          <w:p>
            <w:pPr>
              <w:pStyle w:val="TableAm"/>
              <w:rPr>
                <w:sz w:val="16"/>
                <w:szCs w:val="16"/>
              </w:rPr>
            </w:pPr>
            <w:r>
              <w:rPr>
                <w:sz w:val="16"/>
                <w:szCs w:val="16"/>
              </w:rPr>
              <w:t>cl. 53C</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53D</w:t>
            </w:r>
          </w:p>
        </w:tc>
        <w:tc>
          <w:tcPr>
            <w:tcW w:w="1560" w:type="dxa"/>
          </w:tcPr>
          <w:p>
            <w:pPr>
              <w:pStyle w:val="TableAm"/>
              <w:rPr>
                <w:sz w:val="16"/>
                <w:szCs w:val="16"/>
              </w:rPr>
            </w:pPr>
            <w:r>
              <w:rPr>
                <w:sz w:val="16"/>
                <w:szCs w:val="16"/>
              </w:rPr>
              <w:t>cl. 53D</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53E</w:t>
            </w:r>
          </w:p>
        </w:tc>
        <w:tc>
          <w:tcPr>
            <w:tcW w:w="1560" w:type="dxa"/>
          </w:tcPr>
          <w:p>
            <w:pPr>
              <w:pStyle w:val="TableAm"/>
              <w:rPr>
                <w:sz w:val="16"/>
                <w:szCs w:val="16"/>
              </w:rPr>
            </w:pPr>
            <w:r>
              <w:rPr>
                <w:sz w:val="16"/>
                <w:szCs w:val="16"/>
              </w:rPr>
              <w:t>cl. 53E</w:t>
            </w:r>
          </w:p>
        </w:tc>
        <w:tc>
          <w:tcPr>
            <w:tcW w:w="3172" w:type="dxa"/>
          </w:tcPr>
          <w:p>
            <w:pPr>
              <w:pStyle w:val="TableAm"/>
              <w:rPr>
                <w:sz w:val="16"/>
                <w:szCs w:val="16"/>
              </w:rPr>
            </w:pPr>
            <w:r>
              <w:rPr>
                <w:sz w:val="16"/>
                <w:szCs w:val="16"/>
              </w:rPr>
              <w:t>Schedule 2A Part 5</w:t>
            </w:r>
          </w:p>
        </w:tc>
      </w:tr>
      <w:tr>
        <w:trPr>
          <w:cantSplit/>
        </w:trPr>
        <w:tc>
          <w:tcPr>
            <w:tcW w:w="1559" w:type="dxa"/>
          </w:tcPr>
          <w:p>
            <w:pPr>
              <w:pStyle w:val="TableAm"/>
              <w:rPr>
                <w:sz w:val="16"/>
                <w:szCs w:val="16"/>
              </w:rPr>
            </w:pPr>
            <w:r>
              <w:rPr>
                <w:sz w:val="16"/>
                <w:szCs w:val="16"/>
              </w:rPr>
              <w:t>s. 57</w:t>
            </w:r>
          </w:p>
        </w:tc>
        <w:tc>
          <w:tcPr>
            <w:tcW w:w="1560" w:type="dxa"/>
          </w:tcPr>
          <w:p>
            <w:pPr>
              <w:pStyle w:val="TableAm"/>
              <w:rPr>
                <w:sz w:val="16"/>
                <w:szCs w:val="16"/>
              </w:rPr>
            </w:pPr>
            <w:r>
              <w:rPr>
                <w:sz w:val="16"/>
                <w:szCs w:val="16"/>
              </w:rPr>
              <w:t>s. 84</w:t>
            </w:r>
          </w:p>
        </w:tc>
        <w:tc>
          <w:tcPr>
            <w:tcW w:w="3172" w:type="dxa"/>
          </w:tcPr>
          <w:p>
            <w:pPr>
              <w:pStyle w:val="TableAm"/>
              <w:rPr>
                <w:sz w:val="16"/>
                <w:szCs w:val="16"/>
              </w:rPr>
            </w:pPr>
            <w:r>
              <w:rPr>
                <w:sz w:val="16"/>
                <w:szCs w:val="16"/>
              </w:rPr>
              <w:t>Part 7 Division 1</w:t>
            </w:r>
          </w:p>
        </w:tc>
      </w:tr>
      <w:tr>
        <w:trPr>
          <w:cantSplit/>
        </w:trPr>
        <w:tc>
          <w:tcPr>
            <w:tcW w:w="1559" w:type="dxa"/>
          </w:tcPr>
          <w:p>
            <w:pPr>
              <w:pStyle w:val="TableAm"/>
              <w:rPr>
                <w:sz w:val="16"/>
                <w:szCs w:val="16"/>
              </w:rPr>
            </w:pPr>
            <w:r>
              <w:rPr>
                <w:sz w:val="16"/>
                <w:szCs w:val="16"/>
              </w:rPr>
              <w:t>s. 60</w:t>
            </w:r>
          </w:p>
        </w:tc>
        <w:tc>
          <w:tcPr>
            <w:tcW w:w="1560" w:type="dxa"/>
          </w:tcPr>
          <w:p>
            <w:pPr>
              <w:pStyle w:val="TableAm"/>
              <w:rPr>
                <w:sz w:val="16"/>
                <w:szCs w:val="16"/>
              </w:rPr>
            </w:pPr>
            <w:r>
              <w:rPr>
                <w:sz w:val="16"/>
                <w:szCs w:val="16"/>
              </w:rPr>
              <w:t>s. 67</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61</w:t>
            </w:r>
          </w:p>
        </w:tc>
        <w:tc>
          <w:tcPr>
            <w:tcW w:w="1560" w:type="dxa"/>
          </w:tcPr>
          <w:p>
            <w:pPr>
              <w:pStyle w:val="TableAm"/>
              <w:rPr>
                <w:sz w:val="16"/>
                <w:szCs w:val="16"/>
              </w:rPr>
            </w:pPr>
            <w:r>
              <w:rPr>
                <w:sz w:val="16"/>
                <w:szCs w:val="16"/>
              </w:rPr>
              <w:t>s. 68</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w:t>
            </w:r>
          </w:p>
        </w:tc>
        <w:tc>
          <w:tcPr>
            <w:tcW w:w="1560" w:type="dxa"/>
          </w:tcPr>
          <w:p>
            <w:pPr>
              <w:pStyle w:val="TableAm"/>
              <w:rPr>
                <w:sz w:val="16"/>
                <w:szCs w:val="16"/>
              </w:rPr>
            </w:pPr>
            <w:r>
              <w:rPr>
                <w:sz w:val="16"/>
                <w:szCs w:val="16"/>
              </w:rPr>
              <w:t>s. 69</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62A</w:t>
            </w:r>
          </w:p>
        </w:tc>
        <w:tc>
          <w:tcPr>
            <w:tcW w:w="1560" w:type="dxa"/>
          </w:tcPr>
          <w:p>
            <w:pPr>
              <w:pStyle w:val="TableAm"/>
              <w:rPr>
                <w:sz w:val="16"/>
                <w:szCs w:val="16"/>
              </w:rPr>
            </w:pPr>
            <w:r>
              <w:rPr>
                <w:sz w:val="16"/>
                <w:szCs w:val="16"/>
              </w:rPr>
              <w:t>s. 70</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63</w:t>
            </w:r>
          </w:p>
        </w:tc>
        <w:tc>
          <w:tcPr>
            <w:tcW w:w="1560" w:type="dxa"/>
          </w:tcPr>
          <w:p>
            <w:pPr>
              <w:pStyle w:val="TableAm"/>
              <w:rPr>
                <w:sz w:val="16"/>
                <w:szCs w:val="16"/>
              </w:rPr>
            </w:pPr>
            <w:r>
              <w:rPr>
                <w:sz w:val="16"/>
                <w:szCs w:val="16"/>
              </w:rPr>
              <w:t>s. 71</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64</w:t>
            </w:r>
          </w:p>
        </w:tc>
        <w:tc>
          <w:tcPr>
            <w:tcW w:w="1560" w:type="dxa"/>
          </w:tcPr>
          <w:p>
            <w:pPr>
              <w:pStyle w:val="TableAm"/>
              <w:rPr>
                <w:sz w:val="16"/>
                <w:szCs w:val="16"/>
              </w:rPr>
            </w:pPr>
            <w:r>
              <w:rPr>
                <w:sz w:val="16"/>
                <w:szCs w:val="16"/>
              </w:rPr>
              <w:t>s. 72</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w:t>
            </w:r>
          </w:p>
        </w:tc>
        <w:tc>
          <w:tcPr>
            <w:tcW w:w="1560" w:type="dxa"/>
          </w:tcPr>
          <w:p>
            <w:pPr>
              <w:pStyle w:val="TableAm"/>
              <w:rPr>
                <w:sz w:val="16"/>
                <w:szCs w:val="16"/>
              </w:rPr>
            </w:pPr>
            <w:r>
              <w:rPr>
                <w:sz w:val="16"/>
                <w:szCs w:val="16"/>
              </w:rPr>
              <w:t>s. 73</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65A</w:t>
            </w:r>
          </w:p>
        </w:tc>
        <w:tc>
          <w:tcPr>
            <w:tcW w:w="1560" w:type="dxa"/>
          </w:tcPr>
          <w:p>
            <w:pPr>
              <w:pStyle w:val="TableAm"/>
              <w:rPr>
                <w:sz w:val="16"/>
                <w:szCs w:val="16"/>
              </w:rPr>
            </w:pPr>
            <w:r>
              <w:rPr>
                <w:sz w:val="16"/>
                <w:szCs w:val="16"/>
              </w:rPr>
              <w:t>s. 74</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rPr>
                <w:sz w:val="16"/>
                <w:szCs w:val="16"/>
              </w:rPr>
            </w:pPr>
            <w:r>
              <w:rPr>
                <w:sz w:val="16"/>
                <w:szCs w:val="16"/>
              </w:rPr>
              <w:t>s. 66</w:t>
            </w:r>
          </w:p>
        </w:tc>
        <w:tc>
          <w:tcPr>
            <w:tcW w:w="1560" w:type="dxa"/>
          </w:tcPr>
          <w:p>
            <w:pPr>
              <w:pStyle w:val="TableAm"/>
              <w:rPr>
                <w:sz w:val="16"/>
                <w:szCs w:val="16"/>
              </w:rPr>
            </w:pPr>
            <w:r>
              <w:rPr>
                <w:sz w:val="16"/>
                <w:szCs w:val="16"/>
              </w:rPr>
              <w:t>s. 75</w:t>
            </w:r>
          </w:p>
        </w:tc>
        <w:tc>
          <w:tcPr>
            <w:tcW w:w="3172" w:type="dxa"/>
          </w:tcPr>
          <w:p>
            <w:pPr>
              <w:pStyle w:val="TableAm"/>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67</w:t>
            </w:r>
          </w:p>
        </w:tc>
        <w:tc>
          <w:tcPr>
            <w:tcW w:w="1560" w:type="dxa"/>
          </w:tcPr>
          <w:p>
            <w:pPr>
              <w:pStyle w:val="TableAm"/>
              <w:spacing w:before="100"/>
              <w:rPr>
                <w:sz w:val="16"/>
                <w:szCs w:val="16"/>
              </w:rPr>
            </w:pPr>
            <w:r>
              <w:rPr>
                <w:sz w:val="16"/>
                <w:szCs w:val="16"/>
              </w:rPr>
              <w:t>s. 76</w:t>
            </w:r>
          </w:p>
        </w:tc>
        <w:tc>
          <w:tcPr>
            <w:tcW w:w="3172" w:type="dxa"/>
          </w:tcPr>
          <w:p>
            <w:pPr>
              <w:pStyle w:val="TableAm"/>
              <w:spacing w:before="100"/>
              <w:rPr>
                <w:sz w:val="16"/>
                <w:szCs w:val="16"/>
              </w:rPr>
            </w:pPr>
            <w:r>
              <w:rPr>
                <w:sz w:val="16"/>
                <w:szCs w:val="16"/>
              </w:rPr>
              <w:t>Part 5 Division 4</w:t>
            </w:r>
          </w:p>
        </w:tc>
      </w:tr>
      <w:tr>
        <w:trPr>
          <w:cantSplit/>
        </w:trPr>
        <w:tc>
          <w:tcPr>
            <w:tcW w:w="1559" w:type="dxa"/>
          </w:tcPr>
          <w:p>
            <w:pPr>
              <w:pStyle w:val="TableAm"/>
              <w:spacing w:before="100"/>
              <w:rPr>
                <w:sz w:val="16"/>
                <w:szCs w:val="16"/>
              </w:rPr>
            </w:pPr>
            <w:r>
              <w:rPr>
                <w:sz w:val="16"/>
                <w:szCs w:val="16"/>
              </w:rPr>
              <w:t>s. 122</w:t>
            </w:r>
          </w:p>
        </w:tc>
        <w:tc>
          <w:tcPr>
            <w:tcW w:w="1560" w:type="dxa"/>
          </w:tcPr>
          <w:p>
            <w:pPr>
              <w:pStyle w:val="TableAm"/>
              <w:spacing w:before="100"/>
              <w:rPr>
                <w:sz w:val="16"/>
                <w:szCs w:val="16"/>
              </w:rPr>
            </w:pPr>
            <w:r>
              <w:rPr>
                <w:sz w:val="16"/>
                <w:szCs w:val="16"/>
              </w:rPr>
              <w:t>s. 211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122A</w:t>
            </w:r>
          </w:p>
        </w:tc>
        <w:tc>
          <w:tcPr>
            <w:tcW w:w="1560" w:type="dxa"/>
          </w:tcPr>
          <w:p>
            <w:pPr>
              <w:pStyle w:val="TableAm"/>
              <w:spacing w:before="100"/>
              <w:rPr>
                <w:sz w:val="16"/>
                <w:szCs w:val="16"/>
              </w:rPr>
            </w:pPr>
            <w:r>
              <w:rPr>
                <w:sz w:val="16"/>
                <w:szCs w:val="16"/>
              </w:rPr>
              <w:t>s. 212</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w:t>
            </w:r>
          </w:p>
        </w:tc>
        <w:tc>
          <w:tcPr>
            <w:tcW w:w="1560" w:type="dxa"/>
          </w:tcPr>
          <w:p>
            <w:pPr>
              <w:pStyle w:val="TableAm"/>
              <w:spacing w:before="100"/>
              <w:rPr>
                <w:sz w:val="16"/>
                <w:szCs w:val="16"/>
              </w:rPr>
            </w:pPr>
            <w:r>
              <w:rPr>
                <w:sz w:val="16"/>
                <w:szCs w:val="16"/>
              </w:rPr>
              <w:t>s. 213</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123B</w:t>
            </w:r>
          </w:p>
        </w:tc>
        <w:tc>
          <w:tcPr>
            <w:tcW w:w="1560" w:type="dxa"/>
          </w:tcPr>
          <w:p>
            <w:pPr>
              <w:pStyle w:val="TableAm"/>
              <w:spacing w:before="100"/>
              <w:rPr>
                <w:sz w:val="16"/>
                <w:szCs w:val="16"/>
              </w:rPr>
            </w:pPr>
            <w:r>
              <w:rPr>
                <w:sz w:val="16"/>
                <w:szCs w:val="16"/>
              </w:rPr>
              <w:t>s. 214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124</w:t>
            </w:r>
          </w:p>
        </w:tc>
        <w:tc>
          <w:tcPr>
            <w:tcW w:w="1560" w:type="dxa"/>
          </w:tcPr>
          <w:p>
            <w:pPr>
              <w:pStyle w:val="TableAm"/>
              <w:spacing w:before="100"/>
              <w:rPr>
                <w:sz w:val="16"/>
                <w:szCs w:val="16"/>
              </w:rPr>
            </w:pPr>
            <w:r>
              <w:rPr>
                <w:sz w:val="16"/>
                <w:szCs w:val="16"/>
              </w:rPr>
              <w:t>s. 170</w:t>
            </w:r>
          </w:p>
        </w:tc>
        <w:tc>
          <w:tcPr>
            <w:tcW w:w="3172" w:type="dxa"/>
          </w:tcPr>
          <w:p>
            <w:pPr>
              <w:pStyle w:val="TableAm"/>
              <w:spacing w:before="100"/>
              <w:rPr>
                <w:sz w:val="16"/>
                <w:szCs w:val="16"/>
              </w:rPr>
            </w:pPr>
            <w:r>
              <w:rPr>
                <w:sz w:val="16"/>
                <w:szCs w:val="16"/>
              </w:rPr>
              <w:t>Part 11 Division 3</w:t>
            </w:r>
          </w:p>
        </w:tc>
      </w:tr>
      <w:tr>
        <w:trPr>
          <w:cantSplit/>
        </w:trPr>
        <w:tc>
          <w:tcPr>
            <w:tcW w:w="1559" w:type="dxa"/>
          </w:tcPr>
          <w:p>
            <w:pPr>
              <w:pStyle w:val="TableAm"/>
              <w:spacing w:before="100"/>
              <w:rPr>
                <w:sz w:val="16"/>
                <w:szCs w:val="16"/>
              </w:rPr>
            </w:pPr>
            <w:r>
              <w:rPr>
                <w:sz w:val="16"/>
                <w:szCs w:val="16"/>
              </w:rPr>
              <w:t>s. 126</w:t>
            </w:r>
          </w:p>
        </w:tc>
        <w:tc>
          <w:tcPr>
            <w:tcW w:w="1560" w:type="dxa"/>
          </w:tcPr>
          <w:p>
            <w:pPr>
              <w:pStyle w:val="TableAm"/>
              <w:spacing w:before="100"/>
              <w:rPr>
                <w:sz w:val="16"/>
                <w:szCs w:val="16"/>
              </w:rPr>
            </w:pPr>
            <w:r>
              <w:rPr>
                <w:sz w:val="16"/>
                <w:szCs w:val="16"/>
              </w:rPr>
              <w:t>s. 217</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129B</w:t>
            </w:r>
          </w:p>
        </w:tc>
        <w:tc>
          <w:tcPr>
            <w:tcW w:w="1560" w:type="dxa"/>
          </w:tcPr>
          <w:p>
            <w:pPr>
              <w:pStyle w:val="TableAm"/>
              <w:spacing w:before="100"/>
              <w:rPr>
                <w:sz w:val="16"/>
                <w:szCs w:val="16"/>
              </w:rPr>
            </w:pPr>
            <w:r>
              <w:rPr>
                <w:sz w:val="16"/>
                <w:szCs w:val="16"/>
              </w:rPr>
              <w:t>s. 219</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129C</w:t>
            </w:r>
          </w:p>
        </w:tc>
        <w:tc>
          <w:tcPr>
            <w:tcW w:w="1560" w:type="dxa"/>
          </w:tcPr>
          <w:p>
            <w:pPr>
              <w:pStyle w:val="TableAm"/>
              <w:spacing w:before="100"/>
              <w:rPr>
                <w:sz w:val="16"/>
                <w:szCs w:val="16"/>
              </w:rPr>
            </w:pPr>
            <w:r>
              <w:rPr>
                <w:sz w:val="16"/>
                <w:szCs w:val="16"/>
              </w:rPr>
              <w:t>s. 220</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129D</w:t>
            </w:r>
          </w:p>
        </w:tc>
        <w:tc>
          <w:tcPr>
            <w:tcW w:w="1560" w:type="dxa"/>
          </w:tcPr>
          <w:p>
            <w:pPr>
              <w:pStyle w:val="TableAm"/>
              <w:spacing w:before="100"/>
              <w:rPr>
                <w:sz w:val="16"/>
                <w:szCs w:val="16"/>
              </w:rPr>
            </w:pPr>
            <w:r>
              <w:rPr>
                <w:sz w:val="16"/>
                <w:szCs w:val="16"/>
              </w:rPr>
              <w:t>s. 221</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130</w:t>
            </w:r>
          </w:p>
        </w:tc>
        <w:tc>
          <w:tcPr>
            <w:tcW w:w="1560" w:type="dxa"/>
          </w:tcPr>
          <w:p>
            <w:pPr>
              <w:pStyle w:val="TableAm"/>
              <w:spacing w:before="100"/>
              <w:rPr>
                <w:sz w:val="16"/>
                <w:szCs w:val="16"/>
              </w:rPr>
            </w:pPr>
            <w:r>
              <w:rPr>
                <w:sz w:val="16"/>
                <w:szCs w:val="16"/>
              </w:rPr>
              <w:t>s. 224</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131A</w:t>
            </w:r>
          </w:p>
        </w:tc>
        <w:tc>
          <w:tcPr>
            <w:tcW w:w="1560" w:type="dxa"/>
          </w:tcPr>
          <w:p>
            <w:pPr>
              <w:pStyle w:val="TableAm"/>
              <w:spacing w:before="100"/>
              <w:rPr>
                <w:sz w:val="16"/>
                <w:szCs w:val="16"/>
              </w:rPr>
            </w:pPr>
            <w:r>
              <w:rPr>
                <w:sz w:val="16"/>
                <w:szCs w:val="16"/>
              </w:rPr>
              <w:t>s. 225</w:t>
            </w:r>
          </w:p>
        </w:tc>
        <w:tc>
          <w:tcPr>
            <w:tcW w:w="3172" w:type="dxa"/>
          </w:tcPr>
          <w:p>
            <w:pPr>
              <w:pStyle w:val="TableAm"/>
              <w:spacing w:before="100"/>
              <w:rPr>
                <w:sz w:val="16"/>
                <w:szCs w:val="16"/>
              </w:rPr>
            </w:pPr>
            <w:r>
              <w:rPr>
                <w:sz w:val="16"/>
                <w:szCs w:val="16"/>
              </w:rPr>
              <w:t>Part 14</w:t>
            </w:r>
          </w:p>
        </w:tc>
      </w:tr>
      <w:tr>
        <w:trPr>
          <w:cantSplit/>
        </w:trPr>
        <w:tc>
          <w:tcPr>
            <w:tcW w:w="1559" w:type="dxa"/>
          </w:tcPr>
          <w:p>
            <w:pPr>
              <w:pStyle w:val="TableAm"/>
              <w:spacing w:before="100"/>
              <w:rPr>
                <w:sz w:val="16"/>
                <w:szCs w:val="16"/>
              </w:rPr>
            </w:pPr>
            <w:r>
              <w:rPr>
                <w:sz w:val="16"/>
                <w:szCs w:val="16"/>
              </w:rPr>
              <w:t>s. 131B</w:t>
            </w:r>
          </w:p>
        </w:tc>
        <w:tc>
          <w:tcPr>
            <w:tcW w:w="1560" w:type="dxa"/>
          </w:tcPr>
          <w:p>
            <w:pPr>
              <w:pStyle w:val="TableAm"/>
              <w:spacing w:before="100"/>
              <w:rPr>
                <w:sz w:val="16"/>
                <w:szCs w:val="16"/>
              </w:rPr>
            </w:pPr>
            <w:r>
              <w:rPr>
                <w:sz w:val="16"/>
                <w:szCs w:val="16"/>
              </w:rPr>
              <w:t>s. 226</w:t>
            </w:r>
          </w:p>
        </w:tc>
        <w:tc>
          <w:tcPr>
            <w:tcW w:w="3172" w:type="dxa"/>
          </w:tcPr>
          <w:p>
            <w:pPr>
              <w:pStyle w:val="TableAm"/>
              <w:spacing w:before="100"/>
              <w:rPr>
                <w:sz w:val="16"/>
                <w:szCs w:val="16"/>
              </w:rPr>
            </w:pPr>
            <w:r>
              <w:rPr>
                <w:sz w:val="16"/>
                <w:szCs w:val="16"/>
              </w:rPr>
              <w:t>Part 14</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03" w:name="Schedule"/>
    <w:bookmarkEnd w:id="8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Conduct by-laws</w:t>
          </w:r>
          <w: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14</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Conduct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4" w:name="Compilation"/>
    <w:bookmarkEnd w:id="11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5" w:name="Coversheet"/>
    <w:bookmarkEnd w:id="1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5204984"/>
    <w:multiLevelType w:val="hybridMultilevel"/>
    <w:tmpl w:val="33269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346F47"/>
    <w:multiLevelType w:val="hybridMultilevel"/>
    <w:tmpl w:val="75966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A968D2"/>
    <w:multiLevelType w:val="hybridMultilevel"/>
    <w:tmpl w:val="1826B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6FB40E1"/>
    <w:multiLevelType w:val="hybridMultilevel"/>
    <w:tmpl w:val="7696F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5A614C"/>
    <w:multiLevelType w:val="hybridMultilevel"/>
    <w:tmpl w:val="D37CF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08C34F0"/>
    <w:multiLevelType w:val="hybridMultilevel"/>
    <w:tmpl w:val="3AB6D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 w:numId="21">
    <w:abstractNumId w:val="22"/>
  </w:num>
  <w:num w:numId="22">
    <w:abstractNumId w:val="21"/>
  </w:num>
  <w:num w:numId="23">
    <w:abstractNumId w:val="10"/>
  </w:num>
  <w:num w:numId="24">
    <w:abstractNumId w:val="12"/>
  </w:num>
  <w:num w:numId="25">
    <w:abstractNumId w:val="15"/>
  </w:num>
  <w:num w:numId="26">
    <w:abstractNumId w:val="11"/>
  </w:num>
  <w:num w:numId="27">
    <w:abstractNumId w:val="13"/>
  </w:num>
  <w:num w:numId="28">
    <w:abstractNumId w:val="14"/>
  </w:num>
  <w:num w:numId="29">
    <w:abstractNumId w:val="25"/>
  </w:num>
  <w:num w:numId="30">
    <w:abstractNumId w:val="16"/>
  </w:num>
  <w:num w:numId="31">
    <w:abstractNumId w:val="23"/>
  </w:num>
  <w:num w:numId="32">
    <w:abstractNumId w:val="24"/>
  </w:num>
  <w:num w:numId="33">
    <w:abstractNumId w:val="18"/>
  </w:num>
  <w:num w:numId="34">
    <w:abstractNumId w:val="17"/>
  </w:num>
  <w:num w:numId="35">
    <w:abstractNumId w:val="19"/>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726"/>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1210090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717_GUID" w:val="0be2057e-0143-4004-8f2b-2774be29e351"/>
    <w:docVar w:name="WAFER_2021071512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18_GUID" w:val="1665361d-49dc-4d9d-b4cf-0fdc2190c6d0"/>
    <w:docVar w:name="WAFER_20210727123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16_GUID" w:val="a2892d7e-6fc9-4193-baec-69643e0a5346"/>
    <w:docVar w:name="WAFER_2022040810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5240_GUID" w:val="8fa2f9c5-59c9-4cfa-ac89-4eb2468203bf"/>
    <w:docVar w:name="WAFER_202206241657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726_GUID" w:val="3bdb6ec3-cace-44a6-901f-944806903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0F8CB9-4E98-416E-8A8B-3DFAC5DB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 w:id="158210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5B3FB-2826-418D-9E4E-346A91EA7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90913</Words>
  <Characters>422750</Characters>
  <Application>Microsoft Office Word</Application>
  <DocSecurity>0</DocSecurity>
  <Lines>11125</Lines>
  <Paragraphs>5972</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507691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07-k0-00 - 07-l0-00</dc:title>
  <dc:subject/>
  <dc:creator/>
  <cp:keywords/>
  <dc:description/>
  <cp:lastModifiedBy>Master Repository Process</cp:lastModifiedBy>
  <cp:revision>2</cp:revision>
  <cp:lastPrinted>2021-11-24T06:31:00Z</cp:lastPrinted>
  <dcterms:created xsi:type="dcterms:W3CDTF">2022-06-24T09:49:00Z</dcterms:created>
  <dcterms:modified xsi:type="dcterms:W3CDTF">2022-06-24T09:50:00Z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CommencementDate">
    <vt:lpwstr>20220624</vt:lpwstr>
  </property>
  <property fmtid="{D5CDD505-2E9C-101B-9397-08002B2CF9AE}" pid="8" name="FromSuffix">
    <vt:lpwstr>07-k0-00</vt:lpwstr>
  </property>
  <property fmtid="{D5CDD505-2E9C-101B-9397-08002B2CF9AE}" pid="9" name="FromAsAtDate">
    <vt:lpwstr>14 Apr 2022</vt:lpwstr>
  </property>
  <property fmtid="{D5CDD505-2E9C-101B-9397-08002B2CF9AE}" pid="10" name="ToSuffix">
    <vt:lpwstr>07-l0-00</vt:lpwstr>
  </property>
  <property fmtid="{D5CDD505-2E9C-101B-9397-08002B2CF9AE}" pid="11" name="ToAsAtDate">
    <vt:lpwstr>24 Jun 2022</vt:lpwstr>
  </property>
</Properties>
</file>