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Jun 2022</w:t>
      </w:r>
      <w:r>
        <w:fldChar w:fldCharType="end"/>
      </w:r>
      <w:r>
        <w:t xml:space="preserve">, </w:t>
      </w:r>
      <w:r>
        <w:fldChar w:fldCharType="begin"/>
      </w:r>
      <w:r>
        <w:instrText xml:space="preserve"> DocProperty FromSuffix </w:instrText>
      </w:r>
      <w:r>
        <w:fldChar w:fldCharType="separate"/>
      </w:r>
      <w:r>
        <w:t>03-i0-00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03-j0-00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107222964"/>
      <w:bookmarkStart w:id="2" w:name="_Toc107223613"/>
      <w:bookmarkStart w:id="3" w:name="_Toc107401863"/>
      <w:bookmarkStart w:id="4" w:name="_Toc106183865"/>
      <w:bookmarkStart w:id="5" w:name="_Toc106183991"/>
      <w:bookmarkStart w:id="6" w:name="_Toc10618595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p>
    <w:p>
      <w:pPr>
        <w:pStyle w:val="Heading5"/>
        <w:rPr>
          <w:snapToGrid w:val="0"/>
        </w:rPr>
      </w:pPr>
      <w:bookmarkStart w:id="8" w:name="_Toc107401864"/>
      <w:bookmarkStart w:id="9" w:name="_Toc106185953"/>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10" w:name="_Toc107401865"/>
      <w:bookmarkStart w:id="11" w:name="_Toc106185954"/>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2" w:name="_Toc107401866"/>
      <w:bookmarkStart w:id="13" w:name="_Toc106185955"/>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14" w:name="_Toc107401867"/>
      <w:bookmarkStart w:id="15" w:name="_Toc106185956"/>
      <w:r>
        <w:rPr>
          <w:rStyle w:val="CharSectno"/>
        </w:rPr>
        <w:t>4</w:t>
      </w:r>
      <w:r>
        <w:t>.</w:t>
      </w:r>
      <w:r>
        <w:tab/>
        <w:t>AAS, effect of</w:t>
      </w:r>
      <w:bookmarkEnd w:id="14"/>
      <w:bookmarkEnd w:id="15"/>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6" w:name="_Toc107222969"/>
      <w:bookmarkStart w:id="17" w:name="_Toc107223618"/>
      <w:bookmarkStart w:id="18" w:name="_Toc107401868"/>
      <w:bookmarkStart w:id="19" w:name="_Toc106183870"/>
      <w:bookmarkStart w:id="20" w:name="_Toc106183996"/>
      <w:bookmarkStart w:id="21" w:name="_Toc106185957"/>
      <w:r>
        <w:rPr>
          <w:rStyle w:val="CharPartNo"/>
        </w:rPr>
        <w:t>Part 2</w:t>
      </w:r>
      <w:r>
        <w:rPr>
          <w:rStyle w:val="CharDivNo"/>
        </w:rPr>
        <w:t> </w:t>
      </w:r>
      <w:r>
        <w:t>—</w:t>
      </w:r>
      <w:r>
        <w:rPr>
          <w:rStyle w:val="CharDivText"/>
        </w:rPr>
        <w:t> </w:t>
      </w:r>
      <w:r>
        <w:rPr>
          <w:rStyle w:val="CharPartText"/>
        </w:rPr>
        <w:t>General financial management — s. 6.10</w:t>
      </w:r>
      <w:bookmarkEnd w:id="16"/>
      <w:bookmarkEnd w:id="17"/>
      <w:bookmarkEnd w:id="18"/>
      <w:bookmarkEnd w:id="19"/>
      <w:bookmarkEnd w:id="20"/>
      <w:bookmarkEnd w:id="21"/>
    </w:p>
    <w:p>
      <w:pPr>
        <w:pStyle w:val="Heading5"/>
      </w:pPr>
      <w:bookmarkStart w:id="22" w:name="_Toc107401869"/>
      <w:bookmarkStart w:id="23" w:name="_Toc106185958"/>
      <w:r>
        <w:rPr>
          <w:rStyle w:val="CharSectno"/>
        </w:rPr>
        <w:t>5A</w:t>
      </w:r>
      <w:r>
        <w:t>.</w:t>
      </w:r>
      <w:r>
        <w:tab/>
        <w:t>Local governments to comply with AAS</w:t>
      </w:r>
      <w:bookmarkEnd w:id="22"/>
      <w:bookmarkEnd w:id="23"/>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24" w:name="_Toc107401870"/>
      <w:bookmarkStart w:id="25" w:name="_Toc106185959"/>
      <w:r>
        <w:rPr>
          <w:rStyle w:val="CharSectno"/>
        </w:rPr>
        <w:t>5</w:t>
      </w:r>
      <w:r>
        <w:rPr>
          <w:snapToGrid w:val="0"/>
        </w:rPr>
        <w:t>.</w:t>
      </w:r>
      <w:r>
        <w:rPr>
          <w:snapToGrid w:val="0"/>
        </w:rPr>
        <w:tab/>
        <w:t>CEO’s duties as to financial management</w:t>
      </w:r>
      <w:bookmarkEnd w:id="24"/>
      <w:bookmarkEnd w:id="25"/>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26" w:name="_Toc107401871"/>
      <w:bookmarkStart w:id="27" w:name="_Toc106185960"/>
      <w:r>
        <w:rPr>
          <w:rStyle w:val="CharSectno"/>
        </w:rPr>
        <w:t>6</w:t>
      </w:r>
      <w:r>
        <w:rPr>
          <w:snapToGrid w:val="0"/>
        </w:rPr>
        <w:t>.</w:t>
      </w:r>
      <w:r>
        <w:rPr>
          <w:snapToGrid w:val="0"/>
        </w:rPr>
        <w:tab/>
        <w:t>Audits and performance review of accounting staff etc., who may conduct</w:t>
      </w:r>
      <w:bookmarkEnd w:id="26"/>
      <w:bookmarkEnd w:id="27"/>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8" w:name="_Toc107401872"/>
      <w:bookmarkStart w:id="29" w:name="_Toc106185961"/>
      <w:r>
        <w:rPr>
          <w:rStyle w:val="CharSectno"/>
        </w:rPr>
        <w:t>7</w:t>
      </w:r>
      <w:r>
        <w:rPr>
          <w:snapToGrid w:val="0"/>
        </w:rPr>
        <w:t>.</w:t>
      </w:r>
      <w:r>
        <w:rPr>
          <w:snapToGrid w:val="0"/>
        </w:rPr>
        <w:tab/>
        <w:t>Separate ward accounts not to be kept etc.</w:t>
      </w:r>
      <w:bookmarkEnd w:id="28"/>
      <w:bookmarkEnd w:id="29"/>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30" w:name="_Toc107401873"/>
      <w:bookmarkStart w:id="31" w:name="_Toc106185962"/>
      <w:r>
        <w:rPr>
          <w:rStyle w:val="CharSectno"/>
        </w:rPr>
        <w:t>8</w:t>
      </w:r>
      <w:r>
        <w:rPr>
          <w:snapToGrid w:val="0"/>
        </w:rPr>
        <w:t>.</w:t>
      </w:r>
      <w:r>
        <w:rPr>
          <w:snapToGrid w:val="0"/>
        </w:rPr>
        <w:tab/>
        <w:t>Separate bank etc. accounts required for some moneys</w:t>
      </w:r>
      <w:bookmarkEnd w:id="30"/>
      <w:bookmarkEnd w:id="31"/>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32" w:name="_Toc107401874"/>
      <w:bookmarkStart w:id="33" w:name="_Toc106185963"/>
      <w:r>
        <w:rPr>
          <w:rStyle w:val="CharSectno"/>
        </w:rPr>
        <w:t>9</w:t>
      </w:r>
      <w:r>
        <w:rPr>
          <w:snapToGrid w:val="0"/>
        </w:rPr>
        <w:t>.</w:t>
      </w:r>
      <w:r>
        <w:rPr>
          <w:snapToGrid w:val="0"/>
        </w:rPr>
        <w:tab/>
        <w:t>Each trading undertaking and major land transaction to have separate financial records</w:t>
      </w:r>
      <w:bookmarkEnd w:id="32"/>
      <w:bookmarkEnd w:id="3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34" w:name="_Toc107401875"/>
      <w:bookmarkStart w:id="35" w:name="_Toc106185964"/>
      <w:r>
        <w:rPr>
          <w:rStyle w:val="CharSectno"/>
        </w:rPr>
        <w:t>10</w:t>
      </w:r>
      <w:r>
        <w:rPr>
          <w:snapToGrid w:val="0"/>
        </w:rPr>
        <w:t>.</w:t>
      </w:r>
      <w:r>
        <w:rPr>
          <w:snapToGrid w:val="0"/>
        </w:rPr>
        <w:tab/>
        <w:t>Money received, how to be dealt with</w:t>
      </w:r>
      <w:bookmarkEnd w:id="34"/>
      <w:bookmarkEnd w:id="3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6" w:name="_Toc107401876"/>
      <w:bookmarkStart w:id="37" w:name="_Toc106185965"/>
      <w:r>
        <w:rPr>
          <w:rStyle w:val="CharSectno"/>
        </w:rPr>
        <w:t>11</w:t>
      </w:r>
      <w:r>
        <w:rPr>
          <w:snapToGrid w:val="0"/>
        </w:rPr>
        <w:t>.</w:t>
      </w:r>
      <w:r>
        <w:rPr>
          <w:snapToGrid w:val="0"/>
        </w:rPr>
        <w:tab/>
        <w:t>Payments, procedures for making etc.</w:t>
      </w:r>
      <w:bookmarkEnd w:id="36"/>
      <w:bookmarkEnd w:id="37"/>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38" w:name="_Toc107401877"/>
      <w:bookmarkStart w:id="39" w:name="_Toc106185966"/>
      <w:r>
        <w:rPr>
          <w:rStyle w:val="CharSectno"/>
        </w:rPr>
        <w:t>12</w:t>
      </w:r>
      <w:r>
        <w:rPr>
          <w:snapToGrid w:val="0"/>
        </w:rPr>
        <w:t>.</w:t>
      </w:r>
      <w:r>
        <w:rPr>
          <w:snapToGrid w:val="0"/>
        </w:rPr>
        <w:tab/>
        <w:t>Payments from municipal fund or trust fund, restrictions on making</w:t>
      </w:r>
      <w:bookmarkEnd w:id="38"/>
      <w:bookmarkEnd w:id="39"/>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40" w:name="_Toc107401878"/>
      <w:bookmarkStart w:id="41" w:name="_Toc106185967"/>
      <w:r>
        <w:rPr>
          <w:rStyle w:val="CharSectno"/>
        </w:rPr>
        <w:t>13</w:t>
      </w:r>
      <w:r>
        <w:rPr>
          <w:snapToGrid w:val="0"/>
        </w:rPr>
        <w:t>.</w:t>
      </w:r>
      <w:r>
        <w:rPr>
          <w:snapToGrid w:val="0"/>
        </w:rPr>
        <w:tab/>
        <w:t>Payments from municipal fund or trust fund by CEO, CEO’s duties as to etc.</w:t>
      </w:r>
      <w:bookmarkEnd w:id="40"/>
      <w:bookmarkEnd w:id="41"/>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42" w:name="_Toc106185968"/>
      <w:bookmarkStart w:id="43" w:name="_Toc105152889"/>
      <w:bookmarkStart w:id="44" w:name="_Toc106101526"/>
      <w:bookmarkStart w:id="45" w:name="_Toc107401879"/>
      <w:r>
        <w:rPr>
          <w:rStyle w:val="CharSectno"/>
        </w:rPr>
        <w:t>14</w:t>
      </w:r>
      <w:r>
        <w:t>.</w:t>
      </w:r>
      <w:r>
        <w:tab/>
      </w:r>
      <w:del w:id="46" w:author="Master Repository Process" w:date="2022-06-30T10:01:00Z">
        <w:r>
          <w:delText>Operating</w:delText>
        </w:r>
      </w:del>
      <w:ins w:id="47" w:author="Master Repository Process" w:date="2022-06-30T10:01:00Z">
        <w:r>
          <w:t>Information about operating</w:t>
        </w:r>
      </w:ins>
      <w:r>
        <w:t xml:space="preserve"> revenue and expenses</w:t>
      </w:r>
      <w:del w:id="48" w:author="Master Repository Process" w:date="2022-06-30T10:01:00Z">
        <w:r>
          <w:delText>, disclosing</w:delText>
        </w:r>
      </w:del>
      <w:r>
        <w:t xml:space="preserve"> in annual budget </w:t>
      </w:r>
      <w:del w:id="49" w:author="Master Repository Process" w:date="2022-06-30T10:01:00Z">
        <w:r>
          <w:delText>etc.</w:delText>
        </w:r>
      </w:del>
      <w:bookmarkEnd w:id="42"/>
      <w:ins w:id="50" w:author="Master Repository Process" w:date="2022-06-30T10:01:00Z">
        <w:r>
          <w:t>and annual financial report</w:t>
        </w:r>
      </w:ins>
      <w:bookmarkEnd w:id="43"/>
      <w:bookmarkEnd w:id="44"/>
      <w:bookmarkEnd w:id="45"/>
    </w:p>
    <w:p>
      <w:pPr>
        <w:pStyle w:val="Subsection"/>
      </w:pPr>
      <w:del w:id="51" w:author="Master Repository Process" w:date="2022-06-30T10:01:00Z">
        <w:r>
          <w:tab/>
        </w:r>
        <w:r>
          <w:tab/>
          <w:delText>If the AAS require</w:delText>
        </w:r>
      </w:del>
      <w:ins w:id="52" w:author="Master Repository Process" w:date="2022-06-30T10:01:00Z">
        <w:r>
          <w:tab/>
        </w:r>
        <w:r>
          <w:tab/>
          <w:t>The information in a local government’s annual budget and annual financial report about</w:t>
        </w:r>
      </w:ins>
      <w:r>
        <w:t xml:space="preserve"> operating revenue </w:t>
      </w:r>
      <w:del w:id="53" w:author="Master Repository Process" w:date="2022-06-30T10:01:00Z">
        <w:r>
          <w:delText>or</w:delText>
        </w:r>
      </w:del>
      <w:ins w:id="54" w:author="Master Repository Process" w:date="2022-06-30T10:01:00Z">
        <w:r>
          <w:t>and</w:t>
        </w:r>
      </w:ins>
      <w:r>
        <w:t xml:space="preserve"> expenses </w:t>
      </w:r>
      <w:ins w:id="55" w:author="Master Repository Process" w:date="2022-06-30T10:01:00Z">
        <w:r>
          <w:t xml:space="preserve">must be shown according </w:t>
        </w:r>
      </w:ins>
      <w:r>
        <w:t xml:space="preserve">to </w:t>
      </w:r>
      <w:del w:id="56" w:author="Master Repository Process" w:date="2022-06-30T10:01:00Z">
        <w:r>
          <w:delText xml:space="preserve">be disclosed by </w:delText>
        </w:r>
      </w:del>
      <w:r>
        <w:t>nature or type classification</w:t>
      </w:r>
      <w:del w:id="57" w:author="Master Repository Process" w:date="2022-06-30T10:01:00Z">
        <w:r>
          <w:delText>, disclosure in accordance with those standards must be by means of notes to, or a separate statement accompanying, the annual budget and the annual financial report</w:delText>
        </w:r>
      </w:del>
      <w:r>
        <w:t>.</w:t>
      </w:r>
    </w:p>
    <w:p>
      <w:pPr>
        <w:pStyle w:val="Footnotesection"/>
      </w:pPr>
      <w:r>
        <w:tab/>
        <w:t>[Regulation</w:t>
      </w:r>
      <w:del w:id="58" w:author="Master Repository Process" w:date="2022-06-30T10:01:00Z">
        <w:r>
          <w:delText xml:space="preserve"> </w:delText>
        </w:r>
      </w:del>
      <w:ins w:id="59" w:author="Master Repository Process" w:date="2022-06-30T10:01:00Z">
        <w:r>
          <w:t> </w:t>
        </w:r>
      </w:ins>
      <w:r>
        <w:t xml:space="preserve">14 inserted: </w:t>
      </w:r>
      <w:del w:id="60" w:author="Master Repository Process" w:date="2022-06-30T10:01:00Z">
        <w:r>
          <w:delText>Gazette 20 Jun 2008 p. 2722</w:delText>
        </w:r>
      </w:del>
      <w:ins w:id="61" w:author="Master Repository Process" w:date="2022-06-30T10:01:00Z">
        <w:r>
          <w:t>SL 2022/88 r. 7</w:t>
        </w:r>
      </w:ins>
      <w:r>
        <w:t>.]</w:t>
      </w:r>
    </w:p>
    <w:p>
      <w:pPr>
        <w:pStyle w:val="Heading5"/>
        <w:spacing w:before="180"/>
        <w:rPr>
          <w:snapToGrid w:val="0"/>
        </w:rPr>
      </w:pPr>
      <w:bookmarkStart w:id="62" w:name="_Toc107401880"/>
      <w:bookmarkStart w:id="63" w:name="_Toc106185969"/>
      <w:r>
        <w:rPr>
          <w:rStyle w:val="CharSectno"/>
        </w:rPr>
        <w:t>15</w:t>
      </w:r>
      <w:r>
        <w:rPr>
          <w:snapToGrid w:val="0"/>
        </w:rPr>
        <w:t>.</w:t>
      </w:r>
      <w:r>
        <w:rPr>
          <w:snapToGrid w:val="0"/>
        </w:rPr>
        <w:tab/>
        <w:t>Rounding off figures in annual budget etc.</w:t>
      </w:r>
      <w:bookmarkEnd w:id="62"/>
      <w:bookmarkEnd w:id="63"/>
    </w:p>
    <w:p>
      <w:pPr>
        <w:pStyle w:val="Subsection"/>
        <w:keepNext/>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keepNext/>
        <w:spacing w:before="120"/>
        <w:rPr>
          <w:snapToGrid w:val="0"/>
        </w:rPr>
      </w:pPr>
      <w:r>
        <w:rPr>
          <w:snapToGrid w:val="0"/>
        </w:rPr>
        <w:tab/>
        <w:t>(3)</w:t>
      </w:r>
      <w:r>
        <w:rPr>
          <w:snapToGrid w:val="0"/>
        </w:rPr>
        <w:tab/>
        <w:t>Where, under this regulation, a local government rounds off any figures —</w:t>
      </w:r>
    </w:p>
    <w:p>
      <w:pPr>
        <w:pStyle w:val="Indenta"/>
        <w:keepNext/>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keepNext/>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keepNext/>
        <w:spacing w:before="70"/>
        <w:rPr>
          <w:snapToGrid w:val="0"/>
        </w:rPr>
      </w:pPr>
      <w:r>
        <w:rPr>
          <w:snapToGrid w:val="0"/>
        </w:rPr>
        <w:tab/>
        <w:t>(ii)</w:t>
      </w:r>
      <w:r>
        <w:rPr>
          <w:snapToGrid w:val="0"/>
        </w:rPr>
        <w:tab/>
        <w:t>the financial report for the relevant earlier financial period,</w:t>
      </w:r>
    </w:p>
    <w:p>
      <w:pPr>
        <w:pStyle w:val="Indenta"/>
        <w:keepNext/>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Ednotesection"/>
      </w:pPr>
      <w:r>
        <w:t>[</w:t>
      </w:r>
      <w:r>
        <w:rPr>
          <w:b/>
        </w:rPr>
        <w:t>16.</w:t>
      </w:r>
      <w:r>
        <w:tab/>
        <w:t>Deleted: SL 2020/219 r. 4.]</w:t>
      </w:r>
    </w:p>
    <w:p>
      <w:pPr>
        <w:pStyle w:val="Heading5"/>
        <w:spacing w:before="200"/>
      </w:pPr>
      <w:bookmarkStart w:id="64" w:name="_Toc107401881"/>
      <w:bookmarkStart w:id="65" w:name="_Toc106185970"/>
      <w:r>
        <w:rPr>
          <w:rStyle w:val="CharSectno"/>
        </w:rPr>
        <w:t>17A</w:t>
      </w:r>
      <w:r>
        <w:t>.</w:t>
      </w:r>
      <w:r>
        <w:tab/>
        <w:t>Valuation of certain assets for financial reports</w:t>
      </w:r>
      <w:bookmarkEnd w:id="64"/>
      <w:bookmarkEnd w:id="65"/>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fair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keepNext/>
      </w:pPr>
      <w:r>
        <w:tab/>
        <w:t>(4)</w:t>
      </w:r>
      <w:r>
        <w:tab/>
        <w:t>A local government must revalue a non</w:t>
      </w:r>
      <w:r>
        <w:noBreakHyphen/>
        <w:t xml:space="preserve">financial asset of the local government referred to in subregulation (2)(a)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no more than 5 years after the day on which the asset was last valued or revalued.</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w:t>
      </w:r>
    </w:p>
    <w:p>
      <w:pPr>
        <w:pStyle w:val="Heading5"/>
      </w:pPr>
      <w:bookmarkStart w:id="66" w:name="_Toc107401882"/>
      <w:bookmarkStart w:id="67" w:name="_Toc106185971"/>
      <w:r>
        <w:rPr>
          <w:rStyle w:val="CharSectno"/>
        </w:rPr>
        <w:t>17B</w:t>
      </w:r>
      <w:r>
        <w:t>.</w:t>
      </w:r>
      <w:r>
        <w:tab/>
        <w:t>CEO to take steps to protect excluded portable and attractive assets</w:t>
      </w:r>
      <w:bookmarkEnd w:id="66"/>
      <w:bookmarkEnd w:id="67"/>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68" w:name="_Toc107401883"/>
      <w:bookmarkStart w:id="69" w:name="_Toc106185972"/>
      <w:r>
        <w:rPr>
          <w:rStyle w:val="CharSectno"/>
        </w:rPr>
        <w:t>17</w:t>
      </w:r>
      <w:r>
        <w:rPr>
          <w:snapToGrid w:val="0"/>
        </w:rPr>
        <w:t>.</w:t>
      </w:r>
      <w:r>
        <w:rPr>
          <w:snapToGrid w:val="0"/>
        </w:rPr>
        <w:tab/>
        <w:t>Reserve accounts, title of etc.</w:t>
      </w:r>
      <w:bookmarkEnd w:id="68"/>
      <w:bookmarkEnd w:id="69"/>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70" w:name="_Toc107401884"/>
      <w:bookmarkStart w:id="71" w:name="_Toc106185973"/>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70"/>
      <w:bookmarkEnd w:id="71"/>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Footnotesection"/>
      </w:pPr>
      <w:r>
        <w:tab/>
        <w:t>[Regulation 18 amended: SL 2020/35 r. 5</w:t>
      </w:r>
    </w:p>
    <w:p>
      <w:pPr>
        <w:pStyle w:val="Heading5"/>
        <w:spacing w:before="190"/>
        <w:rPr>
          <w:snapToGrid w:val="0"/>
        </w:rPr>
      </w:pPr>
      <w:bookmarkStart w:id="72" w:name="_Toc107401885"/>
      <w:bookmarkStart w:id="73" w:name="_Toc106185974"/>
      <w:r>
        <w:rPr>
          <w:rStyle w:val="CharSectno"/>
        </w:rPr>
        <w:t>19</w:t>
      </w:r>
      <w:r>
        <w:rPr>
          <w:snapToGrid w:val="0"/>
        </w:rPr>
        <w:t>.</w:t>
      </w:r>
      <w:r>
        <w:rPr>
          <w:snapToGrid w:val="0"/>
        </w:rPr>
        <w:tab/>
        <w:t>Investments, control procedures for</w:t>
      </w:r>
      <w:bookmarkEnd w:id="72"/>
      <w:bookmarkEnd w:id="73"/>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74" w:name="_Toc107401886"/>
      <w:bookmarkStart w:id="75" w:name="_Toc106185975"/>
      <w:r>
        <w:rPr>
          <w:rStyle w:val="CharSectno"/>
        </w:rPr>
        <w:t>19AA</w:t>
      </w:r>
      <w:r>
        <w:t>.</w:t>
      </w:r>
      <w:r>
        <w:tab/>
        <w:t>Ministerial approval required to write off repayment of advance payment (Act s. 6.12(4))</w:t>
      </w:r>
      <w:bookmarkEnd w:id="74"/>
      <w:bookmarkEnd w:id="75"/>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76" w:name="_Toc107401887"/>
      <w:bookmarkStart w:id="77" w:name="_Toc106185976"/>
      <w:r>
        <w:rPr>
          <w:rStyle w:val="CharSectno"/>
        </w:rPr>
        <w:t>19A</w:t>
      </w:r>
      <w:r>
        <w:rPr>
          <w:snapToGrid w:val="0"/>
        </w:rPr>
        <w:t>.</w:t>
      </w:r>
      <w:r>
        <w:rPr>
          <w:snapToGrid w:val="0"/>
        </w:rPr>
        <w:tab/>
        <w:t>Maximum rate of interest prescribed (Act s. 6.13(3))</w:t>
      </w:r>
      <w:bookmarkEnd w:id="76"/>
      <w:bookmarkEnd w:id="77"/>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78" w:name="_Toc107401888"/>
      <w:bookmarkStart w:id="79" w:name="_Toc106185977"/>
      <w:r>
        <w:rPr>
          <w:rStyle w:val="CharSectno"/>
        </w:rPr>
        <w:t>19B</w:t>
      </w:r>
      <w:r>
        <w:rPr>
          <w:snapToGrid w:val="0"/>
        </w:rPr>
        <w:t>.</w:t>
      </w:r>
      <w:r>
        <w:rPr>
          <w:snapToGrid w:val="0"/>
        </w:rPr>
        <w:tab/>
        <w:t>Interest on money owing, calculating (Act s. 6.13)</w:t>
      </w:r>
      <w:bookmarkEnd w:id="78"/>
      <w:bookmarkEnd w:id="79"/>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80" w:name="_Toc107401889"/>
      <w:bookmarkStart w:id="81" w:name="_Toc106185978"/>
      <w:r>
        <w:rPr>
          <w:rStyle w:val="CharSectno"/>
        </w:rPr>
        <w:t>19C</w:t>
      </w:r>
      <w:r>
        <w:t>.</w:t>
      </w:r>
      <w:r>
        <w:tab/>
        <w:t>Investment of money, restrictions on (Act s. 6.14(2)(a))</w:t>
      </w:r>
      <w:bookmarkEnd w:id="80"/>
      <w:bookmarkEnd w:id="81"/>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82" w:name="_Toc107401890"/>
      <w:bookmarkStart w:id="83" w:name="_Toc106185979"/>
      <w:r>
        <w:rPr>
          <w:rStyle w:val="CharSectno"/>
        </w:rPr>
        <w:t>20</w:t>
      </w:r>
      <w:r>
        <w:t>.</w:t>
      </w:r>
      <w:r>
        <w:tab/>
        <w:t>When local public notice not required for exercise of power to borrow (Act s. 6.20(2)(a))</w:t>
      </w:r>
      <w:bookmarkEnd w:id="82"/>
      <w:bookmarkEnd w:id="83"/>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keepNext/>
      </w:pPr>
      <w:r>
        <w:tab/>
        <w:t>(c)</w:t>
      </w:r>
      <w:r>
        <w:tab/>
        <w:t>the decision and the reasons for it are recorded in the minutes of the meeting at which the decision is made.</w:t>
      </w:r>
    </w:p>
    <w:p>
      <w:pPr>
        <w:pStyle w:val="Footnotesection"/>
      </w:pPr>
      <w:r>
        <w:tab/>
        <w:t>[Regulation 20 inserted: SL 2020/35 r. 6.]</w:t>
      </w:r>
    </w:p>
    <w:p>
      <w:pPr>
        <w:pStyle w:val="Heading5"/>
      </w:pPr>
      <w:bookmarkStart w:id="84" w:name="_Toc107401891"/>
      <w:bookmarkStart w:id="85" w:name="_Toc106185980"/>
      <w:r>
        <w:rPr>
          <w:rStyle w:val="CharSectno"/>
        </w:rPr>
        <w:t>21</w:t>
      </w:r>
      <w:r>
        <w:t>.</w:t>
      </w:r>
      <w:r>
        <w:tab/>
        <w:t>When local public notice not required for change of use of borrowed money (Act s. 6.20(4)(b))</w:t>
      </w:r>
      <w:bookmarkEnd w:id="84"/>
      <w:bookmarkEnd w:id="85"/>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Footnotesection"/>
      </w:pPr>
      <w:r>
        <w:tab/>
        <w:t>[Regulation 21 inserted: SL 2020/35 r. 6.]</w:t>
      </w:r>
    </w:p>
    <w:p>
      <w:pPr>
        <w:pStyle w:val="Heading2"/>
      </w:pPr>
      <w:bookmarkStart w:id="86" w:name="_Toc107222993"/>
      <w:bookmarkStart w:id="87" w:name="_Toc107223642"/>
      <w:bookmarkStart w:id="88" w:name="_Toc107401892"/>
      <w:bookmarkStart w:id="89" w:name="_Toc106183894"/>
      <w:bookmarkStart w:id="90" w:name="_Toc106184020"/>
      <w:bookmarkStart w:id="91" w:name="_Toc106185981"/>
      <w:r>
        <w:rPr>
          <w:rStyle w:val="CharPartNo"/>
        </w:rPr>
        <w:t>Part 3</w:t>
      </w:r>
      <w:r>
        <w:rPr>
          <w:rStyle w:val="CharDivNo"/>
        </w:rPr>
        <w:t> </w:t>
      </w:r>
      <w:r>
        <w:t>—</w:t>
      </w:r>
      <w:r>
        <w:rPr>
          <w:rStyle w:val="CharDivText"/>
        </w:rPr>
        <w:t> </w:t>
      </w:r>
      <w:r>
        <w:rPr>
          <w:rStyle w:val="CharPartText"/>
        </w:rPr>
        <w:t>Annual budget — s. 6.2</w:t>
      </w:r>
      <w:bookmarkEnd w:id="86"/>
      <w:bookmarkEnd w:id="87"/>
      <w:bookmarkEnd w:id="88"/>
      <w:bookmarkEnd w:id="89"/>
      <w:bookmarkEnd w:id="90"/>
      <w:bookmarkEnd w:id="91"/>
    </w:p>
    <w:p>
      <w:pPr>
        <w:pStyle w:val="Heading5"/>
        <w:rPr>
          <w:snapToGrid w:val="0"/>
        </w:rPr>
      </w:pPr>
      <w:bookmarkStart w:id="92" w:name="_Toc107401893"/>
      <w:bookmarkStart w:id="93" w:name="_Toc106185982"/>
      <w:r>
        <w:rPr>
          <w:rStyle w:val="CharSectno"/>
        </w:rPr>
        <w:t>22</w:t>
      </w:r>
      <w:r>
        <w:rPr>
          <w:snapToGrid w:val="0"/>
        </w:rPr>
        <w:t>.</w:t>
      </w:r>
      <w:r>
        <w:rPr>
          <w:snapToGrid w:val="0"/>
        </w:rPr>
        <w:tab/>
        <w:t>Form and content of annual budget (Act s. 6.2(1))</w:t>
      </w:r>
      <w:bookmarkEnd w:id="92"/>
      <w:bookmarkEnd w:id="93"/>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94" w:name="_Toc107401894"/>
      <w:bookmarkStart w:id="95" w:name="_Toc106185983"/>
      <w:r>
        <w:rPr>
          <w:rStyle w:val="CharSectno"/>
        </w:rPr>
        <w:t>23</w:t>
      </w:r>
      <w:r>
        <w:rPr>
          <w:snapToGrid w:val="0"/>
        </w:rPr>
        <w:t>.</w:t>
      </w:r>
      <w:r>
        <w:rPr>
          <w:snapToGrid w:val="0"/>
        </w:rPr>
        <w:tab/>
        <w:t>Rates information required</w:t>
      </w:r>
      <w:bookmarkEnd w:id="94"/>
      <w:bookmarkEnd w:id="95"/>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96" w:name="_Toc107401895"/>
      <w:bookmarkStart w:id="97" w:name="_Toc106185984"/>
      <w:r>
        <w:rPr>
          <w:rStyle w:val="CharSectno"/>
        </w:rPr>
        <w:t>24</w:t>
      </w:r>
      <w:r>
        <w:rPr>
          <w:snapToGrid w:val="0"/>
        </w:rPr>
        <w:t>.</w:t>
      </w:r>
      <w:r>
        <w:rPr>
          <w:snapToGrid w:val="0"/>
        </w:rPr>
        <w:tab/>
        <w:t>Service charges information required</w:t>
      </w:r>
      <w:bookmarkEnd w:id="96"/>
      <w:bookmarkEnd w:id="97"/>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98" w:name="_Toc107401896"/>
      <w:bookmarkStart w:id="99" w:name="_Toc106185985"/>
      <w:r>
        <w:rPr>
          <w:rStyle w:val="CharSectno"/>
        </w:rPr>
        <w:t>25</w:t>
      </w:r>
      <w:r>
        <w:rPr>
          <w:snapToGrid w:val="0"/>
        </w:rPr>
        <w:t>.</w:t>
      </w:r>
      <w:r>
        <w:rPr>
          <w:snapToGrid w:val="0"/>
        </w:rPr>
        <w:tab/>
        <w:t>Revenue from fees and charges, estimate of required</w:t>
      </w:r>
      <w:bookmarkEnd w:id="98"/>
      <w:bookmarkEnd w:id="99"/>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00" w:name="_Toc107401897"/>
      <w:bookmarkStart w:id="101" w:name="_Toc106185986"/>
      <w:r>
        <w:rPr>
          <w:rStyle w:val="CharSectno"/>
        </w:rPr>
        <w:t>26</w:t>
      </w:r>
      <w:r>
        <w:rPr>
          <w:snapToGrid w:val="0"/>
        </w:rPr>
        <w:t>.</w:t>
      </w:r>
      <w:r>
        <w:rPr>
          <w:snapToGrid w:val="0"/>
        </w:rPr>
        <w:tab/>
        <w:t>Discounts for early payment etc., information about required</w:t>
      </w:r>
      <w:bookmarkEnd w:id="100"/>
      <w:bookmarkEnd w:id="101"/>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102" w:name="_Toc107401898"/>
      <w:bookmarkStart w:id="103" w:name="_Toc106185987"/>
      <w:r>
        <w:rPr>
          <w:rStyle w:val="CharSectno"/>
        </w:rPr>
        <w:t>27</w:t>
      </w:r>
      <w:r>
        <w:rPr>
          <w:snapToGrid w:val="0"/>
        </w:rPr>
        <w:t>.</w:t>
      </w:r>
      <w:r>
        <w:rPr>
          <w:snapToGrid w:val="0"/>
        </w:rPr>
        <w:tab/>
        <w:t>Notes to annual budget, when required</w:t>
      </w:r>
      <w:bookmarkEnd w:id="102"/>
      <w:bookmarkEnd w:id="103"/>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w:t>
      </w:r>
    </w:p>
    <w:p>
      <w:pPr>
        <w:pStyle w:val="Heading5"/>
        <w:rPr>
          <w:snapToGrid w:val="0"/>
        </w:rPr>
      </w:pPr>
      <w:bookmarkStart w:id="104" w:name="_Toc107401899"/>
      <w:bookmarkStart w:id="105" w:name="_Toc106185988"/>
      <w:r>
        <w:rPr>
          <w:rStyle w:val="CharSectno"/>
        </w:rPr>
        <w:t>28</w:t>
      </w:r>
      <w:r>
        <w:rPr>
          <w:snapToGrid w:val="0"/>
        </w:rPr>
        <w:t>.</w:t>
      </w:r>
      <w:r>
        <w:rPr>
          <w:snapToGrid w:val="0"/>
        </w:rPr>
        <w:tab/>
        <w:t>Investment information required in notes</w:t>
      </w:r>
      <w:bookmarkEnd w:id="104"/>
      <w:bookmarkEnd w:id="105"/>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06" w:name="_Toc107401900"/>
      <w:bookmarkStart w:id="107" w:name="_Toc106185989"/>
      <w:r>
        <w:rPr>
          <w:rStyle w:val="CharSectno"/>
        </w:rPr>
        <w:t>29</w:t>
      </w:r>
      <w:r>
        <w:rPr>
          <w:snapToGrid w:val="0"/>
        </w:rPr>
        <w:t>.</w:t>
      </w:r>
      <w:r>
        <w:rPr>
          <w:snapToGrid w:val="0"/>
        </w:rPr>
        <w:tab/>
        <w:t>Borrowings information required in notes</w:t>
      </w:r>
      <w:bookmarkEnd w:id="106"/>
      <w:bookmarkEnd w:id="107"/>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108" w:name="_Toc107401901"/>
      <w:bookmarkStart w:id="109" w:name="_Toc106185990"/>
      <w:r>
        <w:rPr>
          <w:rStyle w:val="CharSectno"/>
        </w:rPr>
        <w:t>30</w:t>
      </w:r>
      <w:r>
        <w:rPr>
          <w:snapToGrid w:val="0"/>
        </w:rPr>
        <w:t>.</w:t>
      </w:r>
      <w:r>
        <w:rPr>
          <w:snapToGrid w:val="0"/>
        </w:rPr>
        <w:tab/>
        <w:t>Previous financial year figures to be shown for comparison</w:t>
      </w:r>
      <w:bookmarkEnd w:id="108"/>
      <w:bookmarkEnd w:id="109"/>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110" w:name="_Toc107401902"/>
      <w:bookmarkStart w:id="111" w:name="_Toc106185991"/>
      <w:r>
        <w:rPr>
          <w:rStyle w:val="CharSectno"/>
        </w:rPr>
        <w:t>31</w:t>
      </w:r>
      <w:r>
        <w:rPr>
          <w:snapToGrid w:val="0"/>
        </w:rPr>
        <w:t>.</w:t>
      </w:r>
      <w:r>
        <w:rPr>
          <w:snapToGrid w:val="0"/>
        </w:rPr>
        <w:tab/>
        <w:t>Net current assets at start of financial year to be shown</w:t>
      </w:r>
      <w:bookmarkEnd w:id="110"/>
      <w:bookmarkEnd w:id="111"/>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112" w:name="_Toc107401903"/>
      <w:bookmarkStart w:id="113" w:name="_Toc106185992"/>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12"/>
      <w:bookmarkEnd w:id="113"/>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14" w:name="_Toc107401904"/>
      <w:bookmarkStart w:id="115" w:name="_Toc106185993"/>
      <w:r>
        <w:rPr>
          <w:rStyle w:val="CharSectno"/>
        </w:rPr>
        <w:t>33</w:t>
      </w:r>
      <w:r>
        <w:rPr>
          <w:snapToGrid w:val="0"/>
        </w:rPr>
        <w:t>.</w:t>
      </w:r>
      <w:r>
        <w:rPr>
          <w:snapToGrid w:val="0"/>
        </w:rPr>
        <w:tab/>
        <w:t>Annual budget to be lodged with Department</w:t>
      </w:r>
      <w:bookmarkEnd w:id="114"/>
      <w:bookmarkEnd w:id="115"/>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116" w:name="_Toc107401905"/>
      <w:bookmarkStart w:id="117" w:name="_Toc106185994"/>
      <w:r>
        <w:rPr>
          <w:rStyle w:val="CharSectno"/>
        </w:rPr>
        <w:t>33A</w:t>
      </w:r>
      <w:r>
        <w:t>.</w:t>
      </w:r>
      <w:r>
        <w:tab/>
        <w:t>Review of budget</w:t>
      </w:r>
      <w:bookmarkEnd w:id="116"/>
      <w:bookmarkEnd w:id="117"/>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118" w:name="_Toc107223007"/>
      <w:bookmarkStart w:id="119" w:name="_Toc107223656"/>
      <w:bookmarkStart w:id="120" w:name="_Toc107401906"/>
      <w:bookmarkStart w:id="121" w:name="_Toc106183908"/>
      <w:bookmarkStart w:id="122" w:name="_Toc106184034"/>
      <w:bookmarkStart w:id="123" w:name="_Toc106185995"/>
      <w:r>
        <w:rPr>
          <w:rStyle w:val="CharPartNo"/>
        </w:rPr>
        <w:t>Part 4</w:t>
      </w:r>
      <w:r>
        <w:rPr>
          <w:rStyle w:val="CharDivNo"/>
        </w:rPr>
        <w:t> </w:t>
      </w:r>
      <w:r>
        <w:t>—</w:t>
      </w:r>
      <w:r>
        <w:rPr>
          <w:rStyle w:val="CharDivText"/>
        </w:rPr>
        <w:t> </w:t>
      </w:r>
      <w:r>
        <w:rPr>
          <w:rStyle w:val="CharPartText"/>
        </w:rPr>
        <w:t>Financial reports — s. 6.4</w:t>
      </w:r>
      <w:bookmarkEnd w:id="118"/>
      <w:bookmarkEnd w:id="119"/>
      <w:bookmarkEnd w:id="120"/>
      <w:bookmarkEnd w:id="121"/>
      <w:bookmarkEnd w:id="122"/>
      <w:bookmarkEnd w:id="123"/>
    </w:p>
    <w:p>
      <w:pPr>
        <w:pStyle w:val="Heading5"/>
      </w:pPr>
      <w:bookmarkStart w:id="124" w:name="_Toc107401907"/>
      <w:bookmarkStart w:id="125" w:name="_Toc106185996"/>
      <w:r>
        <w:rPr>
          <w:rStyle w:val="CharSectno"/>
        </w:rPr>
        <w:t>34</w:t>
      </w:r>
      <w:r>
        <w:t>.</w:t>
      </w:r>
      <w:r>
        <w:tab/>
        <w:t>Financial activity statement required each month (Act s. 6.4)</w:t>
      </w:r>
      <w:bookmarkEnd w:id="124"/>
      <w:bookmarkEnd w:id="125"/>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 xml:space="preserve">The information in a statement of financial activity </w:t>
      </w:r>
      <w:del w:id="126" w:author="Master Repository Process" w:date="2022-06-30T10:01:00Z">
        <w:r>
          <w:delText>may</w:delText>
        </w:r>
      </w:del>
      <w:ins w:id="127" w:author="Master Repository Process" w:date="2022-06-30T10:01:00Z">
        <w:r>
          <w:t>must</w:t>
        </w:r>
      </w:ins>
      <w:r>
        <w:t xml:space="preserve"> be shown</w:t>
      </w:r>
      <w:del w:id="128" w:author="Master Repository Process" w:date="2022-06-30T10:01:00Z">
        <w:r>
          <w:delText> —</w:delText>
        </w:r>
      </w:del>
      <w:ins w:id="129" w:author="Master Repository Process" w:date="2022-06-30T10:01:00Z">
        <w:r>
          <w:t xml:space="preserve"> according to nature or type classification.</w:t>
        </w:r>
      </w:ins>
    </w:p>
    <w:p>
      <w:pPr>
        <w:pStyle w:val="Indenta"/>
        <w:rPr>
          <w:del w:id="130" w:author="Master Repository Process" w:date="2022-06-30T10:01:00Z"/>
        </w:rPr>
      </w:pPr>
      <w:del w:id="131" w:author="Master Repository Process" w:date="2022-06-30T10:01:00Z">
        <w:r>
          <w:tab/>
          <w:delText>(a)</w:delText>
        </w:r>
        <w:r>
          <w:tab/>
          <w:delText>according to nature and type classification; or</w:delText>
        </w:r>
      </w:del>
    </w:p>
    <w:p>
      <w:pPr>
        <w:pStyle w:val="Indenta"/>
        <w:rPr>
          <w:del w:id="132" w:author="Master Repository Process" w:date="2022-06-30T10:01:00Z"/>
        </w:rPr>
      </w:pPr>
      <w:del w:id="133" w:author="Master Repository Process" w:date="2022-06-30T10:01:00Z">
        <w:r>
          <w:tab/>
          <w:delText>(b)</w:delText>
        </w:r>
        <w:r>
          <w:tab/>
          <w:delText>by program; or</w:delText>
        </w:r>
      </w:del>
    </w:p>
    <w:p>
      <w:pPr>
        <w:pStyle w:val="Indenta"/>
        <w:rPr>
          <w:del w:id="134" w:author="Master Repository Process" w:date="2022-06-30T10:01:00Z"/>
        </w:rPr>
      </w:pPr>
      <w:del w:id="135" w:author="Master Repository Process" w:date="2022-06-30T10:01:00Z">
        <w:r>
          <w:tab/>
          <w:delText>(c)</w:delText>
        </w:r>
        <w:r>
          <w:tab/>
          <w:delText>by business unit.</w:delText>
        </w:r>
      </w:del>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ins w:id="136" w:author="Master Repository Process" w:date="2022-06-30T10:01:00Z">
        <w:r>
          <w:t>; SL 2022/88 r. 8</w:t>
        </w:r>
      </w:ins>
      <w:r>
        <w:t>.]</w:t>
      </w:r>
    </w:p>
    <w:p>
      <w:pPr>
        <w:pStyle w:val="Ednotesection"/>
      </w:pPr>
      <w:r>
        <w:t>[</w:t>
      </w:r>
      <w:r>
        <w:rPr>
          <w:b/>
          <w:bCs/>
        </w:rPr>
        <w:t>35.</w:t>
      </w:r>
      <w:r>
        <w:tab/>
        <w:t>Deleted: Gazette 31 Mar 2005 p. 1050.]</w:t>
      </w:r>
    </w:p>
    <w:p>
      <w:pPr>
        <w:pStyle w:val="Heading5"/>
        <w:rPr>
          <w:snapToGrid w:val="0"/>
        </w:rPr>
      </w:pPr>
      <w:bookmarkStart w:id="137" w:name="_Toc107401908"/>
      <w:bookmarkStart w:id="138" w:name="_Toc106185997"/>
      <w:r>
        <w:rPr>
          <w:rStyle w:val="CharSectno"/>
        </w:rPr>
        <w:t>36</w:t>
      </w:r>
      <w:r>
        <w:rPr>
          <w:snapToGrid w:val="0"/>
        </w:rPr>
        <w:t>.</w:t>
      </w:r>
      <w:r>
        <w:rPr>
          <w:snapToGrid w:val="0"/>
        </w:rPr>
        <w:tab/>
        <w:t>Annual financial report, content of (Act s. 6.4(2))</w:t>
      </w:r>
      <w:bookmarkEnd w:id="137"/>
      <w:bookmarkEnd w:id="138"/>
    </w:p>
    <w:p>
      <w:pPr>
        <w:pStyle w:val="Subsection"/>
        <w:keepNext/>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keepNext/>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keepNext/>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 xml:space="preserve">notes or statements containing the information set forth in regulations 37 to </w:t>
      </w:r>
      <w:del w:id="139" w:author="Master Repository Process" w:date="2022-06-30T10:01:00Z">
        <w:r>
          <w:rPr>
            <w:snapToGrid w:val="0"/>
          </w:rPr>
          <w:delText>50</w:delText>
        </w:r>
      </w:del>
      <w:ins w:id="140" w:author="Master Repository Process" w:date="2022-06-30T10:01:00Z">
        <w:r>
          <w:t>49</w:t>
        </w:r>
      </w:ins>
      <w:r>
        <w:t>.</w:t>
      </w:r>
    </w:p>
    <w:p>
      <w:pPr>
        <w:pStyle w:val="Subsection"/>
        <w:keepNext/>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keepNext/>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keepNext/>
            </w:pPr>
            <w:r>
              <w:t>r. 48(d)(vii)</w:t>
            </w:r>
          </w:p>
        </w:tc>
        <w:tc>
          <w:tcPr>
            <w:tcW w:w="1748" w:type="dxa"/>
            <w:tcBorders>
              <w:bottom w:val="single" w:sz="4" w:space="0" w:color="auto"/>
            </w:tcBorders>
          </w:tcPr>
          <w:p>
            <w:pPr>
              <w:pStyle w:val="Table"/>
              <w:keepNext/>
            </w:pPr>
            <w:r>
              <w:t>r. 48(f)(ii)-(v)</w:t>
            </w:r>
          </w:p>
        </w:tc>
        <w:tc>
          <w:tcPr>
            <w:tcW w:w="1749" w:type="dxa"/>
            <w:tcBorders>
              <w:bottom w:val="single" w:sz="4" w:space="0" w:color="auto"/>
            </w:tcBorders>
          </w:tcPr>
          <w:p>
            <w:pPr>
              <w:pStyle w:val="Table"/>
              <w:keepNext/>
            </w:pPr>
            <w:r>
              <w:t>r. 49</w:t>
            </w:r>
          </w:p>
        </w:tc>
      </w:tr>
    </w:tbl>
    <w:p>
      <w:pPr>
        <w:pStyle w:val="Footnotesection"/>
      </w:pPr>
      <w:r>
        <w:tab/>
        <w:t>[Regulation 36 amended: Gazette 20 Jun 1997 p. 2842; 19 Jun 1998 p. 3282; 31 Mar 2005 p. 1050</w:t>
      </w:r>
      <w:r>
        <w:noBreakHyphen/>
        <w:t>1; 20 Jun 2008 p. 2724-5</w:t>
      </w:r>
      <w:ins w:id="141" w:author="Master Repository Process" w:date="2022-06-30T10:01:00Z">
        <w:r>
          <w:t>; SL 2022/88 r. 9</w:t>
        </w:r>
      </w:ins>
      <w:r>
        <w:t>.]</w:t>
      </w:r>
    </w:p>
    <w:p>
      <w:pPr>
        <w:pStyle w:val="Heading5"/>
        <w:rPr>
          <w:snapToGrid w:val="0"/>
        </w:rPr>
      </w:pPr>
      <w:bookmarkStart w:id="142" w:name="_Toc107401909"/>
      <w:bookmarkStart w:id="143" w:name="_Toc106185998"/>
      <w:r>
        <w:rPr>
          <w:rStyle w:val="CharSectno"/>
        </w:rPr>
        <w:t>37</w:t>
      </w:r>
      <w:r>
        <w:rPr>
          <w:snapToGrid w:val="0"/>
        </w:rPr>
        <w:t>.</w:t>
      </w:r>
      <w:r>
        <w:rPr>
          <w:snapToGrid w:val="0"/>
        </w:rPr>
        <w:tab/>
        <w:t>Trust fund, information about in annual financial report</w:t>
      </w:r>
      <w:bookmarkEnd w:id="142"/>
      <w:bookmarkEnd w:id="143"/>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44" w:name="_Toc107401910"/>
      <w:bookmarkStart w:id="145" w:name="_Toc106185999"/>
      <w:r>
        <w:rPr>
          <w:rStyle w:val="CharSectno"/>
        </w:rPr>
        <w:t>38</w:t>
      </w:r>
      <w:r>
        <w:rPr>
          <w:snapToGrid w:val="0"/>
        </w:rPr>
        <w:t>.</w:t>
      </w:r>
      <w:r>
        <w:rPr>
          <w:snapToGrid w:val="0"/>
        </w:rPr>
        <w:tab/>
        <w:t>Reserve accounts, information about in annual financial report</w:t>
      </w:r>
      <w:bookmarkEnd w:id="144"/>
      <w:bookmarkEnd w:id="145"/>
    </w:p>
    <w:p>
      <w:pPr>
        <w:pStyle w:val="Subsection"/>
        <w:keepNext/>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keepNext/>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keepNext/>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146" w:name="_Toc107401911"/>
      <w:bookmarkStart w:id="147" w:name="_Toc106186000"/>
      <w:r>
        <w:rPr>
          <w:rStyle w:val="CharSectno"/>
        </w:rPr>
        <w:t>39</w:t>
      </w:r>
      <w:r>
        <w:rPr>
          <w:snapToGrid w:val="0"/>
        </w:rPr>
        <w:t>.</w:t>
      </w:r>
      <w:r>
        <w:rPr>
          <w:snapToGrid w:val="0"/>
        </w:rPr>
        <w:tab/>
        <w:t>Rates, information about in annual financial report</w:t>
      </w:r>
      <w:bookmarkEnd w:id="146"/>
      <w:bookmarkEnd w:id="147"/>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spacing w:before="70"/>
        <w:rPr>
          <w:snapToGrid w:val="0"/>
        </w:rPr>
      </w:pPr>
      <w:r>
        <w:rPr>
          <w:snapToGrid w:val="0"/>
        </w:rPr>
        <w:tab/>
        <w:t>(II)</w:t>
      </w:r>
      <w:r>
        <w:rPr>
          <w:snapToGrid w:val="0"/>
        </w:rPr>
        <w:tab/>
        <w:t>interim rates; and</w:t>
      </w:r>
    </w:p>
    <w:p>
      <w:pPr>
        <w:pStyle w:val="IndentI0"/>
        <w:keepNext/>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keepNext/>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keepNext/>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keepNext/>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keepNext/>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48" w:name="_Toc107401912"/>
      <w:bookmarkStart w:id="149" w:name="_Toc106186001"/>
      <w:r>
        <w:rPr>
          <w:rStyle w:val="CharSectno"/>
        </w:rPr>
        <w:t>40</w:t>
      </w:r>
      <w:r>
        <w:rPr>
          <w:snapToGrid w:val="0"/>
        </w:rPr>
        <w:t>.</w:t>
      </w:r>
      <w:r>
        <w:rPr>
          <w:snapToGrid w:val="0"/>
        </w:rPr>
        <w:tab/>
        <w:t>Service charges, information about in annual financial report</w:t>
      </w:r>
      <w:bookmarkEnd w:id="148"/>
      <w:bookmarkEnd w:id="149"/>
    </w:p>
    <w:p>
      <w:pPr>
        <w:pStyle w:val="Subsection"/>
        <w:keepNext/>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50" w:name="_Toc107401913"/>
      <w:bookmarkStart w:id="151" w:name="_Toc106186002"/>
      <w:r>
        <w:rPr>
          <w:rStyle w:val="CharSectno"/>
        </w:rPr>
        <w:t>41</w:t>
      </w:r>
      <w:r>
        <w:rPr>
          <w:snapToGrid w:val="0"/>
        </w:rPr>
        <w:t>.</w:t>
      </w:r>
      <w:r>
        <w:rPr>
          <w:snapToGrid w:val="0"/>
        </w:rPr>
        <w:tab/>
        <w:t>Fees and charges, information about in annual financial report</w:t>
      </w:r>
      <w:bookmarkEnd w:id="150"/>
      <w:bookmarkEnd w:id="151"/>
    </w:p>
    <w:p>
      <w:pPr>
        <w:pStyle w:val="Subsection"/>
        <w:keepNext/>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152" w:name="_Toc107401914"/>
      <w:bookmarkStart w:id="153" w:name="_Toc106186003"/>
      <w:r>
        <w:rPr>
          <w:rStyle w:val="CharSectno"/>
        </w:rPr>
        <w:t>42</w:t>
      </w:r>
      <w:r>
        <w:rPr>
          <w:snapToGrid w:val="0"/>
        </w:rPr>
        <w:t>.</w:t>
      </w:r>
      <w:r>
        <w:rPr>
          <w:snapToGrid w:val="0"/>
        </w:rPr>
        <w:tab/>
        <w:t>Discounts for early payment etc., information about in annual financial report</w:t>
      </w:r>
      <w:bookmarkEnd w:id="152"/>
      <w:bookmarkEnd w:id="153"/>
    </w:p>
    <w:p>
      <w:pPr>
        <w:pStyle w:val="Subsection"/>
        <w:keepNext/>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keepNext/>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keepNext/>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54" w:name="_Toc107401915"/>
      <w:bookmarkStart w:id="155" w:name="_Toc106186004"/>
      <w:r>
        <w:rPr>
          <w:rStyle w:val="CharSectno"/>
        </w:rPr>
        <w:t>43</w:t>
      </w:r>
      <w:r>
        <w:rPr>
          <w:snapToGrid w:val="0"/>
        </w:rPr>
        <w:t>.</w:t>
      </w:r>
      <w:r>
        <w:rPr>
          <w:snapToGrid w:val="0"/>
        </w:rPr>
        <w:tab/>
        <w:t>Interest charges etc., information about in annual financial report</w:t>
      </w:r>
      <w:bookmarkEnd w:id="154"/>
      <w:bookmarkEnd w:id="155"/>
    </w:p>
    <w:p>
      <w:pPr>
        <w:pStyle w:val="Subsection"/>
        <w:keepNext/>
        <w:rPr>
          <w:snapToGrid w:val="0"/>
        </w:rPr>
      </w:pPr>
      <w:r>
        <w:rPr>
          <w:snapToGrid w:val="0"/>
        </w:rPr>
        <w:tab/>
      </w:r>
      <w:r>
        <w:rPr>
          <w:snapToGrid w:val="0"/>
        </w:rPr>
        <w:tab/>
        <w:t>The annual financial report is to include in relation to —</w:t>
      </w:r>
    </w:p>
    <w:p>
      <w:pPr>
        <w:pStyle w:val="Indenta"/>
        <w:keepNext/>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56" w:name="_Toc107401916"/>
      <w:bookmarkStart w:id="157" w:name="_Toc106186005"/>
      <w:r>
        <w:rPr>
          <w:rStyle w:val="CharSectno"/>
        </w:rPr>
        <w:t>44</w:t>
      </w:r>
      <w:r>
        <w:rPr>
          <w:snapToGrid w:val="0"/>
        </w:rPr>
        <w:t>.</w:t>
      </w:r>
      <w:r>
        <w:rPr>
          <w:snapToGrid w:val="0"/>
        </w:rPr>
        <w:tab/>
        <w:t>Fees etc. to council members, information about in annual financial report</w:t>
      </w:r>
      <w:bookmarkEnd w:id="156"/>
      <w:bookmarkEnd w:id="157"/>
    </w:p>
    <w:p>
      <w:pPr>
        <w:pStyle w:val="Subsection"/>
        <w:keepNext/>
        <w:rPr>
          <w:snapToGrid w:val="0"/>
        </w:rPr>
      </w:pPr>
      <w:r>
        <w:rPr>
          <w:snapToGrid w:val="0"/>
        </w:rPr>
        <w:tab/>
      </w:r>
      <w:r>
        <w:rPr>
          <w:snapToGrid w:val="0"/>
        </w:rPr>
        <w:tab/>
        <w:t xml:space="preserve">In relation to fees, expenses or allowances paid to council members, the mayor or the president the annual financial report is to </w:t>
      </w:r>
      <w:r>
        <w:t xml:space="preserve">include, for each person — </w:t>
      </w:r>
    </w:p>
    <w:p>
      <w:pPr>
        <w:pStyle w:val="Indenta"/>
        <w:rPr>
          <w:snapToGrid w:val="0"/>
        </w:rPr>
      </w:pPr>
      <w:r>
        <w:rPr>
          <w:snapToGrid w:val="0"/>
        </w:rPr>
        <w:tab/>
        <w:t>(a)</w:t>
      </w:r>
      <w:r>
        <w:rPr>
          <w:snapToGrid w:val="0"/>
        </w:rPr>
        <w:tab/>
        <w:t>the nature of the fee, expense or allowance; and</w:t>
      </w:r>
    </w:p>
    <w:p>
      <w:pPr>
        <w:pStyle w:val="Indenta"/>
        <w:keepNext/>
        <w:rPr>
          <w:snapToGrid w:val="0"/>
        </w:rPr>
      </w:pPr>
      <w:r>
        <w:rPr>
          <w:snapToGrid w:val="0"/>
        </w:rPr>
        <w:tab/>
        <w:t>(b)</w:t>
      </w:r>
      <w:r>
        <w:rPr>
          <w:snapToGrid w:val="0"/>
        </w:rPr>
        <w:tab/>
        <w:t>the total amount or value of each class of fee, expense or allowance.</w:t>
      </w:r>
    </w:p>
    <w:p>
      <w:pPr>
        <w:pStyle w:val="Footnotesection"/>
      </w:pPr>
      <w:r>
        <w:tab/>
        <w:t>[Regulation 44 amended: SL 2020/213 r. 33.]</w:t>
      </w:r>
    </w:p>
    <w:p>
      <w:pPr>
        <w:pStyle w:val="Heading5"/>
        <w:rPr>
          <w:snapToGrid w:val="0"/>
        </w:rPr>
      </w:pPr>
      <w:bookmarkStart w:id="158" w:name="_Toc107401917"/>
      <w:bookmarkStart w:id="159" w:name="_Toc106186006"/>
      <w:r>
        <w:rPr>
          <w:rStyle w:val="CharSectno"/>
        </w:rPr>
        <w:t>45</w:t>
      </w:r>
      <w:r>
        <w:rPr>
          <w:snapToGrid w:val="0"/>
        </w:rPr>
        <w:t>.</w:t>
      </w:r>
      <w:r>
        <w:rPr>
          <w:snapToGrid w:val="0"/>
        </w:rPr>
        <w:tab/>
        <w:t>Trading undertakings, information about in annual financial report</w:t>
      </w:r>
      <w:bookmarkEnd w:id="158"/>
      <w:bookmarkEnd w:id="159"/>
    </w:p>
    <w:p>
      <w:pPr>
        <w:pStyle w:val="Subsection"/>
        <w:keepNext/>
        <w:keepLines/>
        <w:rPr>
          <w:snapToGrid w:val="0"/>
        </w:rPr>
      </w:pPr>
      <w:r>
        <w:rPr>
          <w:snapToGrid w:val="0"/>
        </w:rPr>
        <w:tab/>
      </w:r>
      <w:r>
        <w:rPr>
          <w:snapToGrid w:val="0"/>
        </w:rPr>
        <w:tab/>
        <w:t>The annual financial report is to include the following —</w:t>
      </w:r>
    </w:p>
    <w:p>
      <w:pPr>
        <w:pStyle w:val="Indenta"/>
        <w:keepNext/>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keepNext/>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160" w:name="_Toc107401918"/>
      <w:bookmarkStart w:id="161" w:name="_Toc106186007"/>
      <w:r>
        <w:rPr>
          <w:rStyle w:val="CharSectno"/>
        </w:rPr>
        <w:t>46</w:t>
      </w:r>
      <w:r>
        <w:rPr>
          <w:snapToGrid w:val="0"/>
        </w:rPr>
        <w:t>.</w:t>
      </w:r>
      <w:r>
        <w:rPr>
          <w:snapToGrid w:val="0"/>
        </w:rPr>
        <w:tab/>
        <w:t>Major land transactions, information about in annual financial report</w:t>
      </w:r>
      <w:bookmarkEnd w:id="160"/>
      <w:bookmarkEnd w:id="161"/>
    </w:p>
    <w:p>
      <w:pPr>
        <w:pStyle w:val="Subsection"/>
        <w:keepNext/>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keepNext/>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162" w:name="_Toc107401919"/>
      <w:bookmarkStart w:id="163" w:name="_Toc106186008"/>
      <w:r>
        <w:rPr>
          <w:rStyle w:val="CharSectno"/>
        </w:rPr>
        <w:t>47</w:t>
      </w:r>
      <w:r>
        <w:rPr>
          <w:snapToGrid w:val="0"/>
        </w:rPr>
        <w:t>.</w:t>
      </w:r>
      <w:r>
        <w:rPr>
          <w:snapToGrid w:val="0"/>
        </w:rPr>
        <w:tab/>
        <w:t>Completed major land transactions, information about in annual financial report</w:t>
      </w:r>
      <w:bookmarkEnd w:id="162"/>
      <w:bookmarkEnd w:id="163"/>
    </w:p>
    <w:p>
      <w:pPr>
        <w:pStyle w:val="Subsection"/>
        <w:keepNext/>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keepNext/>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keepNext/>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164" w:name="_Toc107401920"/>
      <w:bookmarkStart w:id="165" w:name="_Toc106186009"/>
      <w:r>
        <w:rPr>
          <w:rStyle w:val="CharSectno"/>
        </w:rPr>
        <w:t>48</w:t>
      </w:r>
      <w:r>
        <w:rPr>
          <w:snapToGrid w:val="0"/>
        </w:rPr>
        <w:t>.</w:t>
      </w:r>
      <w:r>
        <w:rPr>
          <w:snapToGrid w:val="0"/>
        </w:rPr>
        <w:tab/>
        <w:t>Borrowings, information about in annual financial report</w:t>
      </w:r>
      <w:bookmarkEnd w:id="164"/>
      <w:bookmarkEnd w:id="165"/>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166" w:name="_Toc107401921"/>
      <w:bookmarkStart w:id="167" w:name="_Toc106186010"/>
      <w:r>
        <w:rPr>
          <w:rStyle w:val="CharSectno"/>
        </w:rPr>
        <w:t>49</w:t>
      </w:r>
      <w:r>
        <w:rPr>
          <w:snapToGrid w:val="0"/>
        </w:rPr>
        <w:t>.</w:t>
      </w:r>
      <w:r>
        <w:rPr>
          <w:snapToGrid w:val="0"/>
        </w:rPr>
        <w:tab/>
        <w:t>Invested money, information about in annual financial report</w:t>
      </w:r>
      <w:bookmarkEnd w:id="166"/>
      <w:bookmarkEnd w:id="167"/>
    </w:p>
    <w:p>
      <w:pPr>
        <w:pStyle w:val="Subsection"/>
        <w:keepNext/>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del w:id="168" w:author="Master Repository Process" w:date="2022-06-30T10:01:00Z"/>
          <w:snapToGrid w:val="0"/>
        </w:rPr>
      </w:pPr>
      <w:bookmarkStart w:id="169" w:name="_Toc106186011"/>
      <w:del w:id="170" w:author="Master Repository Process" w:date="2022-06-30T10:01:00Z">
        <w:r>
          <w:rPr>
            <w:rStyle w:val="CharSectno"/>
          </w:rPr>
          <w:delText>50</w:delText>
        </w:r>
        <w:r>
          <w:rPr>
            <w:snapToGrid w:val="0"/>
          </w:rPr>
          <w:delText>.</w:delText>
        </w:r>
        <w:r>
          <w:rPr>
            <w:snapToGrid w:val="0"/>
          </w:rPr>
          <w:tab/>
          <w:delText>Financial ratios to be included in annual financial report</w:delText>
        </w:r>
        <w:bookmarkEnd w:id="169"/>
      </w:del>
    </w:p>
    <w:p>
      <w:pPr>
        <w:pStyle w:val="Subsection"/>
        <w:rPr>
          <w:del w:id="171" w:author="Master Repository Process" w:date="2022-06-30T10:01:00Z"/>
          <w:snapToGrid w:val="0"/>
        </w:rPr>
      </w:pPr>
      <w:del w:id="172" w:author="Master Repository Process" w:date="2022-06-30T10:01:00Z">
        <w:r>
          <w:rPr>
            <w:snapToGrid w:val="0"/>
          </w:rPr>
          <w:tab/>
          <w:delText>(1)</w:delText>
        </w:r>
        <w:r>
          <w:rPr>
            <w:snapToGrid w:val="0"/>
          </w:rPr>
          <w:tab/>
          <w:delText>The annual financial report is to include, for the financial year covered by the annual financial report and the 2 preceding financial years —</w:delText>
        </w:r>
      </w:del>
    </w:p>
    <w:p>
      <w:pPr>
        <w:pStyle w:val="Indenta"/>
        <w:spacing w:before="70"/>
        <w:rPr>
          <w:del w:id="173" w:author="Master Repository Process" w:date="2022-06-30T10:01:00Z"/>
          <w:snapToGrid w:val="0"/>
        </w:rPr>
      </w:pPr>
      <w:del w:id="174" w:author="Master Repository Process" w:date="2022-06-30T10:01:00Z">
        <w:r>
          <w:rPr>
            <w:snapToGrid w:val="0"/>
          </w:rPr>
          <w:tab/>
          <w:delText>(a)</w:delText>
        </w:r>
        <w:r>
          <w:rPr>
            <w:snapToGrid w:val="0"/>
          </w:rPr>
          <w:tab/>
          <w:delText>the current ratio; and</w:delText>
        </w:r>
      </w:del>
    </w:p>
    <w:p>
      <w:pPr>
        <w:pStyle w:val="Indenta"/>
        <w:spacing w:before="70"/>
        <w:rPr>
          <w:del w:id="175" w:author="Master Repository Process" w:date="2022-06-30T10:01:00Z"/>
        </w:rPr>
      </w:pPr>
      <w:del w:id="176" w:author="Master Repository Process" w:date="2022-06-30T10:01:00Z">
        <w:r>
          <w:tab/>
          <w:delText>(b)</w:delText>
        </w:r>
        <w:r>
          <w:tab/>
          <w:delText>the asset consumption ratio; and</w:delText>
        </w:r>
      </w:del>
    </w:p>
    <w:p>
      <w:pPr>
        <w:pStyle w:val="Indenta"/>
        <w:spacing w:before="70"/>
        <w:rPr>
          <w:del w:id="177" w:author="Master Repository Process" w:date="2022-06-30T10:01:00Z"/>
        </w:rPr>
      </w:pPr>
      <w:del w:id="178" w:author="Master Repository Process" w:date="2022-06-30T10:01:00Z">
        <w:r>
          <w:tab/>
          <w:delText>(c)</w:delText>
        </w:r>
        <w:r>
          <w:tab/>
          <w:delText>the asset renewal funding ratio; and</w:delText>
        </w:r>
      </w:del>
    </w:p>
    <w:p>
      <w:pPr>
        <w:pStyle w:val="Indenta"/>
        <w:spacing w:before="70"/>
        <w:rPr>
          <w:del w:id="179" w:author="Master Repository Process" w:date="2022-06-30T10:01:00Z"/>
          <w:snapToGrid w:val="0"/>
        </w:rPr>
      </w:pPr>
      <w:del w:id="180" w:author="Master Repository Process" w:date="2022-06-30T10:01:00Z">
        <w:r>
          <w:rPr>
            <w:snapToGrid w:val="0"/>
          </w:rPr>
          <w:tab/>
          <w:delText>(d)</w:delText>
        </w:r>
        <w:r>
          <w:rPr>
            <w:snapToGrid w:val="0"/>
          </w:rPr>
          <w:tab/>
          <w:delText>the asset sustainability ratio; and</w:delText>
        </w:r>
      </w:del>
    </w:p>
    <w:p>
      <w:pPr>
        <w:pStyle w:val="Indenta"/>
        <w:spacing w:before="70"/>
        <w:rPr>
          <w:del w:id="181" w:author="Master Repository Process" w:date="2022-06-30T10:01:00Z"/>
          <w:snapToGrid w:val="0"/>
        </w:rPr>
      </w:pPr>
      <w:del w:id="182" w:author="Master Repository Process" w:date="2022-06-30T10:01:00Z">
        <w:r>
          <w:rPr>
            <w:snapToGrid w:val="0"/>
          </w:rPr>
          <w:tab/>
          <w:delText>(e)</w:delText>
        </w:r>
        <w:r>
          <w:rPr>
            <w:snapToGrid w:val="0"/>
          </w:rPr>
          <w:tab/>
          <w:delText>the debt service cover ratio; and</w:delText>
        </w:r>
      </w:del>
    </w:p>
    <w:p>
      <w:pPr>
        <w:pStyle w:val="Indenta"/>
        <w:spacing w:before="70"/>
        <w:rPr>
          <w:del w:id="183" w:author="Master Repository Process" w:date="2022-06-30T10:01:00Z"/>
          <w:snapToGrid w:val="0"/>
        </w:rPr>
      </w:pPr>
      <w:del w:id="184" w:author="Master Repository Process" w:date="2022-06-30T10:01:00Z">
        <w:r>
          <w:rPr>
            <w:snapToGrid w:val="0"/>
          </w:rPr>
          <w:tab/>
          <w:delText>(f)</w:delText>
        </w:r>
        <w:r>
          <w:rPr>
            <w:snapToGrid w:val="0"/>
          </w:rPr>
          <w:tab/>
          <w:delText>the operating surplus ratio; and</w:delText>
        </w:r>
      </w:del>
    </w:p>
    <w:p>
      <w:pPr>
        <w:pStyle w:val="Indenta"/>
        <w:spacing w:before="70"/>
        <w:rPr>
          <w:del w:id="185" w:author="Master Repository Process" w:date="2022-06-30T10:01:00Z"/>
          <w:snapToGrid w:val="0"/>
        </w:rPr>
      </w:pPr>
      <w:del w:id="186" w:author="Master Repository Process" w:date="2022-06-30T10:01:00Z">
        <w:r>
          <w:rPr>
            <w:snapToGrid w:val="0"/>
          </w:rPr>
          <w:tab/>
          <w:delText>(g)</w:delText>
        </w:r>
        <w:r>
          <w:rPr>
            <w:snapToGrid w:val="0"/>
          </w:rPr>
          <w:tab/>
          <w:delText>the own source revenue coverage ratio.</w:delText>
        </w:r>
      </w:del>
    </w:p>
    <w:p>
      <w:pPr>
        <w:pStyle w:val="Subsection"/>
        <w:rPr>
          <w:del w:id="187" w:author="Master Repository Process" w:date="2022-06-30T10:01:00Z"/>
        </w:rPr>
      </w:pPr>
      <w:del w:id="188" w:author="Master Repository Process" w:date="2022-06-30T10:01:00Z">
        <w:r>
          <w:tab/>
          <w:delText>(1aa)</w:delText>
        </w:r>
        <w:r>
          <w:tab/>
          <w:delText>Despite subregulation (1), an annual financial report need not include the ratios referred to in subregulation (1)(b) or (c) for the financial years ending on 30 June 2011 or 30 June 2012.</w:delText>
        </w:r>
      </w:del>
    </w:p>
    <w:p>
      <w:pPr>
        <w:pStyle w:val="Subsection"/>
        <w:rPr>
          <w:del w:id="189" w:author="Master Repository Process" w:date="2022-06-30T10:01:00Z"/>
        </w:rPr>
      </w:pPr>
      <w:del w:id="190" w:author="Master Repository Process" w:date="2022-06-30T10:01:00Z">
        <w:r>
          <w:tab/>
          <w:delText>(1a)</w:delText>
        </w:r>
        <w:r>
          <w:tab/>
          <w:delText>The ratios referred to in subregulation (1) may also be expressed as percentages or factors of one.</w:delText>
        </w:r>
      </w:del>
    </w:p>
    <w:p>
      <w:pPr>
        <w:pStyle w:val="Subsection"/>
        <w:rPr>
          <w:del w:id="191" w:author="Master Repository Process" w:date="2022-06-30T10:01:00Z"/>
          <w:snapToGrid w:val="0"/>
        </w:rPr>
      </w:pPr>
      <w:del w:id="192" w:author="Master Repository Process" w:date="2022-06-30T10:01:00Z">
        <w:r>
          <w:rPr>
            <w:snapToGrid w:val="0"/>
          </w:rPr>
          <w:tab/>
          <w:delText>(2)</w:delText>
        </w:r>
        <w:r>
          <w:rPr>
            <w:snapToGrid w:val="0"/>
          </w:rPr>
          <w:tab/>
          <w:delText>In this regulation —</w:delText>
        </w:r>
      </w:del>
    </w:p>
    <w:p>
      <w:pPr>
        <w:pStyle w:val="Defstart"/>
        <w:rPr>
          <w:del w:id="193" w:author="Master Repository Process" w:date="2022-06-30T10:01:00Z"/>
        </w:rPr>
      </w:pPr>
      <w:del w:id="194" w:author="Master Repository Process" w:date="2022-06-30T10:01:00Z">
        <w:r>
          <w:tab/>
        </w:r>
        <w:r>
          <w:rPr>
            <w:rStyle w:val="CharDefText"/>
          </w:rPr>
          <w:delText>annual operating surplus before interest and depreciation</w:delText>
        </w:r>
        <w:r>
          <w:delText xml:space="preserve"> means operating revenue minus net operating expense;</w:delText>
        </w:r>
      </w:del>
    </w:p>
    <w:p>
      <w:pPr>
        <w:pStyle w:val="Defstart"/>
        <w:rPr>
          <w:del w:id="195" w:author="Master Repository Process" w:date="2022-06-30T10:01:00Z"/>
        </w:rPr>
      </w:pPr>
      <w:del w:id="196" w:author="Master Repository Process" w:date="2022-06-30T10:01:00Z">
        <w:r>
          <w:rPr>
            <w:b/>
          </w:rPr>
          <w:tab/>
        </w:r>
        <w:r>
          <w:rPr>
            <w:rStyle w:val="CharDefText"/>
          </w:rPr>
          <w:delText>asset consumption ratio</w:delText>
        </w:r>
        <w:r>
          <w:delText xml:space="preserve"> means the ratio determined as follows — </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del w:id="197" w:author="Master Repository Process" w:date="2022-06-30T10:01:00Z"/>
        </w:trPr>
        <w:tc>
          <w:tcPr>
            <w:tcW w:w="3740" w:type="dxa"/>
          </w:tcPr>
          <w:p>
            <w:pPr>
              <w:pStyle w:val="Equation"/>
              <w:jc w:val="center"/>
              <w:rPr>
                <w:del w:id="198" w:author="Master Repository Process" w:date="2022-06-30T10:01:00Z"/>
              </w:rPr>
            </w:pPr>
            <w:del w:id="199" w:author="Master Repository Process" w:date="2022-06-30T10:01:00Z">
              <w:r>
                <w:delText>depreciated replacement cost of depreciable assets</w:delText>
              </w:r>
            </w:del>
          </w:p>
        </w:tc>
      </w:tr>
      <w:tr>
        <w:trPr>
          <w:del w:id="200" w:author="Master Repository Process" w:date="2022-06-30T10:01:00Z"/>
        </w:trPr>
        <w:tc>
          <w:tcPr>
            <w:tcW w:w="3740" w:type="dxa"/>
          </w:tcPr>
          <w:p>
            <w:pPr>
              <w:pStyle w:val="Equation"/>
              <w:jc w:val="center"/>
              <w:rPr>
                <w:del w:id="201" w:author="Master Repository Process" w:date="2022-06-30T10:01:00Z"/>
              </w:rPr>
            </w:pPr>
            <w:del w:id="202" w:author="Master Repository Process" w:date="2022-06-30T10:01:00Z">
              <w:r>
                <w:delText>current replacement cost of depreciable assets;</w:delText>
              </w:r>
            </w:del>
          </w:p>
        </w:tc>
      </w:tr>
    </w:tbl>
    <w:p>
      <w:pPr>
        <w:pStyle w:val="Defstart"/>
        <w:rPr>
          <w:del w:id="203" w:author="Master Repository Process" w:date="2022-06-30T10:01:00Z"/>
        </w:rPr>
      </w:pPr>
      <w:del w:id="204" w:author="Master Repository Process" w:date="2022-06-30T10:01:00Z">
        <w:r>
          <w:rPr>
            <w:b/>
          </w:rPr>
          <w:tab/>
        </w:r>
        <w:r>
          <w:rPr>
            <w:rStyle w:val="CharDefText"/>
          </w:rPr>
          <w:delText>asset renewal funding ratio</w:delText>
        </w:r>
        <w:r>
          <w:delText xml:space="preserve"> means the ratio determined as follows — </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del w:id="205" w:author="Master Repository Process" w:date="2022-06-30T10:01:00Z"/>
        </w:trPr>
        <w:tc>
          <w:tcPr>
            <w:tcW w:w="3740" w:type="dxa"/>
          </w:tcPr>
          <w:p>
            <w:pPr>
              <w:pStyle w:val="Equation"/>
              <w:jc w:val="center"/>
              <w:rPr>
                <w:del w:id="206" w:author="Master Repository Process" w:date="2022-06-30T10:01:00Z"/>
              </w:rPr>
            </w:pPr>
            <w:del w:id="207" w:author="Master Repository Process" w:date="2022-06-30T10:01:00Z">
              <w:r>
                <w:delText>NPV of planned capital renewals over 10 years</w:delText>
              </w:r>
            </w:del>
          </w:p>
        </w:tc>
      </w:tr>
      <w:tr>
        <w:trPr>
          <w:del w:id="208" w:author="Master Repository Process" w:date="2022-06-30T10:01:00Z"/>
        </w:trPr>
        <w:tc>
          <w:tcPr>
            <w:tcW w:w="3740" w:type="dxa"/>
          </w:tcPr>
          <w:p>
            <w:pPr>
              <w:pStyle w:val="Equation"/>
              <w:jc w:val="center"/>
              <w:rPr>
                <w:del w:id="209" w:author="Master Repository Process" w:date="2022-06-30T10:01:00Z"/>
              </w:rPr>
            </w:pPr>
            <w:del w:id="210" w:author="Master Repository Process" w:date="2022-06-30T10:01:00Z">
              <w:r>
                <w:delText>NPV of required capital expenditure over 10 years;</w:delText>
              </w:r>
            </w:del>
          </w:p>
        </w:tc>
      </w:tr>
    </w:tbl>
    <w:p>
      <w:pPr>
        <w:pStyle w:val="Defstart"/>
        <w:rPr>
          <w:del w:id="211" w:author="Master Repository Process" w:date="2022-06-30T10:01:00Z"/>
        </w:rPr>
      </w:pPr>
      <w:del w:id="212" w:author="Master Repository Process" w:date="2022-06-30T10:01:00Z">
        <w:r>
          <w:rPr>
            <w:b/>
          </w:rPr>
          <w:tab/>
        </w:r>
        <w:r>
          <w:rPr>
            <w:rStyle w:val="CharDefText"/>
          </w:rPr>
          <w:delText>asset sustainability ratio</w:delText>
        </w:r>
        <w:r>
          <w:delText xml:space="preserve"> means the ratio determined as follows — </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del w:id="213" w:author="Master Repository Process" w:date="2022-06-30T10:01:00Z"/>
        </w:trPr>
        <w:tc>
          <w:tcPr>
            <w:tcW w:w="3740" w:type="dxa"/>
          </w:tcPr>
          <w:p>
            <w:pPr>
              <w:pStyle w:val="Equation"/>
              <w:jc w:val="center"/>
              <w:rPr>
                <w:del w:id="214" w:author="Master Repository Process" w:date="2022-06-30T10:01:00Z"/>
              </w:rPr>
            </w:pPr>
            <w:del w:id="215" w:author="Master Repository Process" w:date="2022-06-30T10:01:00Z">
              <w:r>
                <w:delText>capital renewal and replacement expenditure</w:delText>
              </w:r>
            </w:del>
          </w:p>
        </w:tc>
      </w:tr>
      <w:tr>
        <w:trPr>
          <w:del w:id="216" w:author="Master Repository Process" w:date="2022-06-30T10:01:00Z"/>
        </w:trPr>
        <w:tc>
          <w:tcPr>
            <w:tcW w:w="3740" w:type="dxa"/>
          </w:tcPr>
          <w:p>
            <w:pPr>
              <w:pStyle w:val="Equation"/>
              <w:jc w:val="center"/>
              <w:rPr>
                <w:del w:id="217" w:author="Master Repository Process" w:date="2022-06-30T10:01:00Z"/>
              </w:rPr>
            </w:pPr>
            <w:del w:id="218" w:author="Master Repository Process" w:date="2022-06-30T10:01:00Z">
              <w:r>
                <w:delText>depreciation;</w:delText>
              </w:r>
            </w:del>
          </w:p>
        </w:tc>
      </w:tr>
    </w:tbl>
    <w:p>
      <w:pPr>
        <w:pStyle w:val="Defstart"/>
        <w:rPr>
          <w:del w:id="219" w:author="Master Repository Process" w:date="2022-06-30T10:01:00Z"/>
        </w:rPr>
      </w:pPr>
      <w:del w:id="220" w:author="Master Repository Process" w:date="2022-06-30T10:01:00Z">
        <w:r>
          <w:rPr>
            <w:b/>
          </w:rPr>
          <w:tab/>
        </w:r>
        <w:r>
          <w:rPr>
            <w:rStyle w:val="CharDefText"/>
          </w:rPr>
          <w:delText>capital renewal and replacement expenditure</w:delText>
        </w:r>
        <w:r>
          <w:delText xml:space="preserve"> means expenditure to renew or replace existing assets;</w:delText>
        </w:r>
      </w:del>
    </w:p>
    <w:p>
      <w:pPr>
        <w:pStyle w:val="Defstart"/>
        <w:rPr>
          <w:del w:id="221" w:author="Master Repository Process" w:date="2022-06-30T10:01:00Z"/>
        </w:rPr>
      </w:pPr>
      <w:del w:id="222" w:author="Master Repository Process" w:date="2022-06-30T10:01:00Z">
        <w:r>
          <w:rPr>
            <w:b/>
          </w:rPr>
          <w:tab/>
        </w:r>
        <w:r>
          <w:rPr>
            <w:rStyle w:val="CharDefText"/>
          </w:rPr>
          <w:delText>current assets</w:delText>
        </w:r>
        <w:r>
          <w:delText xml:space="preserve"> means the total current assets as shown in the balance sheet;</w:delText>
        </w:r>
      </w:del>
    </w:p>
    <w:p>
      <w:pPr>
        <w:pStyle w:val="Defstart"/>
        <w:rPr>
          <w:del w:id="223" w:author="Master Repository Process" w:date="2022-06-30T10:01:00Z"/>
        </w:rPr>
      </w:pPr>
      <w:del w:id="224" w:author="Master Repository Process" w:date="2022-06-30T10:01:00Z">
        <w:r>
          <w:rPr>
            <w:b/>
          </w:rPr>
          <w:tab/>
        </w:r>
        <w:r>
          <w:rPr>
            <w:rStyle w:val="CharDefText"/>
          </w:rPr>
          <w:delText>current liabilities</w:delText>
        </w:r>
        <w:r>
          <w:delText xml:space="preserve"> means the total current liabilities as shown in the balance sheet;</w:delText>
        </w:r>
      </w:del>
    </w:p>
    <w:p>
      <w:pPr>
        <w:pStyle w:val="Defstart"/>
        <w:keepNext/>
        <w:spacing w:before="60"/>
        <w:rPr>
          <w:del w:id="225" w:author="Master Repository Process" w:date="2022-06-30T10:01:00Z"/>
        </w:rPr>
      </w:pPr>
      <w:del w:id="226" w:author="Master Repository Process" w:date="2022-06-30T10:01:00Z">
        <w:r>
          <w:rPr>
            <w:b/>
          </w:rPr>
          <w:tab/>
        </w:r>
        <w:r>
          <w:rPr>
            <w:rStyle w:val="CharDefText"/>
          </w:rPr>
          <w:delText>current ratio</w:delText>
        </w:r>
        <w:r>
          <w:delText xml:space="preserve"> means the ratio determined as follows —</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del w:id="227" w:author="Master Repository Process" w:date="2022-06-30T10:01:00Z"/>
        </w:trPr>
        <w:tc>
          <w:tcPr>
            <w:tcW w:w="3740" w:type="dxa"/>
          </w:tcPr>
          <w:p>
            <w:pPr>
              <w:pStyle w:val="Equation"/>
              <w:jc w:val="center"/>
              <w:rPr>
                <w:del w:id="228" w:author="Master Repository Process" w:date="2022-06-30T10:01:00Z"/>
              </w:rPr>
            </w:pPr>
            <w:del w:id="229" w:author="Master Repository Process" w:date="2022-06-30T10:01:00Z">
              <w:r>
                <w:delText>(current assets minus restricted assets)</w:delText>
              </w:r>
            </w:del>
          </w:p>
        </w:tc>
      </w:tr>
      <w:tr>
        <w:trPr>
          <w:del w:id="230" w:author="Master Repository Process" w:date="2022-06-30T10:01:00Z"/>
        </w:trPr>
        <w:tc>
          <w:tcPr>
            <w:tcW w:w="3740" w:type="dxa"/>
          </w:tcPr>
          <w:p>
            <w:pPr>
              <w:pStyle w:val="Equation"/>
              <w:jc w:val="center"/>
              <w:rPr>
                <w:del w:id="231" w:author="Master Repository Process" w:date="2022-06-30T10:01:00Z"/>
              </w:rPr>
            </w:pPr>
            <w:del w:id="232" w:author="Master Repository Process" w:date="2022-06-30T10:01:00Z">
              <w:r>
                <w:delText>(current liabilities minus liabilities</w:delText>
              </w:r>
              <w:r>
                <w:br/>
                <w:delText>associated with restricted assets);</w:delText>
              </w:r>
            </w:del>
          </w:p>
        </w:tc>
      </w:tr>
    </w:tbl>
    <w:p>
      <w:pPr>
        <w:pStyle w:val="Defstart"/>
        <w:rPr>
          <w:del w:id="233" w:author="Master Repository Process" w:date="2022-06-30T10:01:00Z"/>
        </w:rPr>
      </w:pPr>
      <w:del w:id="234" w:author="Master Repository Process" w:date="2022-06-30T10:01:00Z">
        <w:r>
          <w:rPr>
            <w:b/>
          </w:rPr>
          <w:tab/>
        </w:r>
        <w:r>
          <w:rPr>
            <w:rStyle w:val="CharDefText"/>
          </w:rPr>
          <w:delText>current replacement cost of depreciable assets</w:delText>
        </w:r>
        <w:r>
          <w:delText xml:space="preserve"> means the cost of replacing assets at current prices;</w:delText>
        </w:r>
      </w:del>
    </w:p>
    <w:p>
      <w:pPr>
        <w:pStyle w:val="Defstart"/>
        <w:keepNext/>
        <w:keepLines/>
        <w:rPr>
          <w:del w:id="235" w:author="Master Repository Process" w:date="2022-06-30T10:01:00Z"/>
        </w:rPr>
      </w:pPr>
      <w:del w:id="236" w:author="Master Repository Process" w:date="2022-06-30T10:01:00Z">
        <w:r>
          <w:rPr>
            <w:b/>
          </w:rPr>
          <w:tab/>
        </w:r>
        <w:r>
          <w:rPr>
            <w:rStyle w:val="CharDefText"/>
          </w:rPr>
          <w:delText>debt service cover ratio</w:delText>
        </w:r>
        <w:r>
          <w:delText xml:space="preserve"> means the ratio determined as follows —</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del w:id="237" w:author="Master Repository Process" w:date="2022-06-30T10:01:00Z"/>
        </w:trPr>
        <w:tc>
          <w:tcPr>
            <w:tcW w:w="3740" w:type="dxa"/>
          </w:tcPr>
          <w:p>
            <w:pPr>
              <w:pStyle w:val="Equation"/>
              <w:keepNext/>
              <w:keepLines/>
              <w:jc w:val="center"/>
              <w:rPr>
                <w:del w:id="238" w:author="Master Repository Process" w:date="2022-06-30T10:01:00Z"/>
              </w:rPr>
            </w:pPr>
            <w:del w:id="239" w:author="Master Repository Process" w:date="2022-06-30T10:01:00Z">
              <w:r>
                <w:delText>annual operating surplus before</w:delText>
              </w:r>
              <w:r>
                <w:br/>
                <w:delText>interest and depreciation</w:delText>
              </w:r>
            </w:del>
          </w:p>
        </w:tc>
      </w:tr>
      <w:tr>
        <w:trPr>
          <w:del w:id="240" w:author="Master Repository Process" w:date="2022-06-30T10:01:00Z"/>
        </w:trPr>
        <w:tc>
          <w:tcPr>
            <w:tcW w:w="3740" w:type="dxa"/>
          </w:tcPr>
          <w:p>
            <w:pPr>
              <w:pStyle w:val="Equation"/>
              <w:jc w:val="center"/>
              <w:rPr>
                <w:del w:id="241" w:author="Master Repository Process" w:date="2022-06-30T10:01:00Z"/>
              </w:rPr>
            </w:pPr>
            <w:del w:id="242" w:author="Master Repository Process" w:date="2022-06-30T10:01:00Z">
              <w:r>
                <w:delText>principal and interest;</w:delText>
              </w:r>
            </w:del>
          </w:p>
        </w:tc>
      </w:tr>
    </w:tbl>
    <w:p>
      <w:pPr>
        <w:pStyle w:val="Defstart"/>
        <w:keepNext/>
        <w:rPr>
          <w:del w:id="243" w:author="Master Repository Process" w:date="2022-06-30T10:01:00Z"/>
        </w:rPr>
      </w:pPr>
      <w:del w:id="244" w:author="Master Repository Process" w:date="2022-06-30T10:01:00Z">
        <w:r>
          <w:tab/>
        </w:r>
        <w:r>
          <w:rPr>
            <w:rStyle w:val="CharDefText"/>
          </w:rPr>
          <w:delText>depreciable assets</w:delText>
        </w:r>
        <w:r>
          <w:delText xml:space="preserve"> has the meaning given in the AAS;</w:delText>
        </w:r>
      </w:del>
    </w:p>
    <w:p>
      <w:pPr>
        <w:pStyle w:val="Defstart"/>
        <w:rPr>
          <w:del w:id="245" w:author="Master Repository Process" w:date="2022-06-30T10:01:00Z"/>
        </w:rPr>
      </w:pPr>
      <w:del w:id="246" w:author="Master Repository Process" w:date="2022-06-30T10:01:00Z">
        <w:r>
          <w:tab/>
        </w:r>
        <w:r>
          <w:rPr>
            <w:rStyle w:val="CharDefText"/>
          </w:rPr>
          <w:delText>depreciated replacement cost of assets</w:delText>
        </w:r>
        <w:r>
          <w:delText xml:space="preserve"> has the meaning given in the AAS;</w:delText>
        </w:r>
      </w:del>
    </w:p>
    <w:p>
      <w:pPr>
        <w:pStyle w:val="Defstart"/>
        <w:rPr>
          <w:del w:id="247" w:author="Master Repository Process" w:date="2022-06-30T10:01:00Z"/>
        </w:rPr>
      </w:pPr>
      <w:del w:id="248" w:author="Master Repository Process" w:date="2022-06-30T10:01:00Z">
        <w:r>
          <w:rPr>
            <w:b/>
            <w:i/>
          </w:rPr>
          <w:tab/>
        </w:r>
        <w:r>
          <w:rPr>
            <w:rStyle w:val="CharDefText"/>
          </w:rPr>
          <w:delText>depreciation</w:delText>
        </w:r>
        <w:r>
          <w:delText xml:space="preserve"> has the meaning given in the AAS;</w:delText>
        </w:r>
      </w:del>
    </w:p>
    <w:p>
      <w:pPr>
        <w:pStyle w:val="Defstart"/>
        <w:rPr>
          <w:del w:id="249" w:author="Master Repository Process" w:date="2022-06-30T10:01:00Z"/>
        </w:rPr>
      </w:pPr>
      <w:del w:id="250" w:author="Master Repository Process" w:date="2022-06-30T10:01:00Z">
        <w:r>
          <w:tab/>
        </w:r>
        <w:r>
          <w:rPr>
            <w:rStyle w:val="CharDefText"/>
          </w:rPr>
          <w:delText>interest</w:delText>
        </w:r>
        <w:r>
          <w:delText xml:space="preserve"> means interest expense for moneys borrowed, credit obtained or financial accommodation arranged under section 6.20;</w:delText>
        </w:r>
      </w:del>
    </w:p>
    <w:p>
      <w:pPr>
        <w:pStyle w:val="Defstart"/>
        <w:rPr>
          <w:del w:id="251" w:author="Master Repository Process" w:date="2022-06-30T10:01:00Z"/>
        </w:rPr>
      </w:pPr>
      <w:del w:id="252" w:author="Master Repository Process" w:date="2022-06-30T10:01:00Z">
        <w:r>
          <w:tab/>
        </w:r>
        <w:r>
          <w:rPr>
            <w:rStyle w:val="CharDefText"/>
          </w:rPr>
          <w:delText>liabilities associated with restricted assets</w:delText>
        </w:r>
        <w:r>
          <w:delText xml:space="preserve"> means the lesser value of a current liability or the cash component of restricted assets held to fund that liability;</w:delText>
        </w:r>
      </w:del>
    </w:p>
    <w:p>
      <w:pPr>
        <w:pStyle w:val="Defstart"/>
        <w:rPr>
          <w:del w:id="253" w:author="Master Repository Process" w:date="2022-06-30T10:01:00Z"/>
        </w:rPr>
      </w:pPr>
      <w:del w:id="254" w:author="Master Repository Process" w:date="2022-06-30T10:01:00Z">
        <w:r>
          <w:rPr>
            <w:b/>
          </w:rPr>
          <w:tab/>
        </w:r>
        <w:r>
          <w:rPr>
            <w:rStyle w:val="CharDefText"/>
          </w:rPr>
          <w:delText>net operating expense</w:delText>
        </w:r>
        <w:r>
          <w:delText xml:space="preserve"> means operating expense excluding interest and depreciation;</w:delText>
        </w:r>
      </w:del>
    </w:p>
    <w:p>
      <w:pPr>
        <w:pStyle w:val="Defstart"/>
        <w:rPr>
          <w:del w:id="255" w:author="Master Repository Process" w:date="2022-06-30T10:01:00Z"/>
        </w:rPr>
      </w:pPr>
      <w:del w:id="256" w:author="Master Repository Process" w:date="2022-06-30T10:01:00Z">
        <w:r>
          <w:rPr>
            <w:b/>
          </w:rPr>
          <w:tab/>
        </w:r>
        <w:r>
          <w:rPr>
            <w:rStyle w:val="CharDefText"/>
          </w:rPr>
          <w:delText>NPV</w:delText>
        </w:r>
        <w:r>
          <w:delText xml:space="preserve"> means net present value;</w:delText>
        </w:r>
      </w:del>
    </w:p>
    <w:p>
      <w:pPr>
        <w:pStyle w:val="Defstart"/>
        <w:rPr>
          <w:del w:id="257" w:author="Master Repository Process" w:date="2022-06-30T10:01:00Z"/>
          <w:b/>
        </w:rPr>
      </w:pPr>
      <w:del w:id="258" w:author="Master Repository Process" w:date="2022-06-30T10:01:00Z">
        <w:r>
          <w:rPr>
            <w:b/>
          </w:rPr>
          <w:tab/>
        </w:r>
        <w:r>
          <w:rPr>
            <w:rStyle w:val="CharDefText"/>
          </w:rPr>
          <w:delText>operating expense</w:delText>
        </w:r>
        <w:r>
          <w:delText xml:space="preserve"> means the expense that is operating expense for the purposes of the AAS;</w:delText>
        </w:r>
      </w:del>
    </w:p>
    <w:p>
      <w:pPr>
        <w:pStyle w:val="Defstart"/>
        <w:rPr>
          <w:del w:id="259" w:author="Master Repository Process" w:date="2022-06-30T10:01:00Z"/>
        </w:rPr>
      </w:pPr>
      <w:del w:id="260" w:author="Master Repository Process" w:date="2022-06-30T10:01:00Z">
        <w:r>
          <w:rPr>
            <w:b/>
          </w:rPr>
          <w:tab/>
        </w:r>
        <w:r>
          <w:rPr>
            <w:rStyle w:val="CharDefText"/>
          </w:rPr>
          <w:delText>operating revenue</w:delText>
        </w:r>
        <w:r>
          <w:delText xml:space="preserve"> means the revenue that is operating revenue for the purposes of the AAS, excluding — </w:delText>
        </w:r>
      </w:del>
    </w:p>
    <w:p>
      <w:pPr>
        <w:pStyle w:val="Defpara"/>
        <w:rPr>
          <w:del w:id="261" w:author="Master Repository Process" w:date="2022-06-30T10:01:00Z"/>
        </w:rPr>
      </w:pPr>
      <w:del w:id="262" w:author="Master Repository Process" w:date="2022-06-30T10:01:00Z">
        <w:r>
          <w:tab/>
          <w:delText>(a)</w:delText>
        </w:r>
        <w:r>
          <w:tab/>
          <w:delText>grants for the development or acquisition of assets; and</w:delText>
        </w:r>
      </w:del>
    </w:p>
    <w:p>
      <w:pPr>
        <w:pStyle w:val="Defpara"/>
        <w:rPr>
          <w:del w:id="263" w:author="Master Repository Process" w:date="2022-06-30T10:01:00Z"/>
        </w:rPr>
      </w:pPr>
      <w:del w:id="264" w:author="Master Repository Process" w:date="2022-06-30T10:01:00Z">
        <w:r>
          <w:tab/>
          <w:delText>(b)</w:delText>
        </w:r>
        <w:r>
          <w:tab/>
          <w:delText>contributions for the development or acquisition of assets;</w:delText>
        </w:r>
      </w:del>
    </w:p>
    <w:p>
      <w:pPr>
        <w:pStyle w:val="Ednotedefpara"/>
        <w:tabs>
          <w:tab w:val="left" w:pos="1276"/>
          <w:tab w:val="left" w:pos="1638"/>
        </w:tabs>
        <w:ind w:left="993" w:hanging="993"/>
        <w:jc w:val="both"/>
        <w:rPr>
          <w:del w:id="265" w:author="Master Repository Process" w:date="2022-06-30T10:01:00Z"/>
        </w:rPr>
      </w:pPr>
      <w:del w:id="266" w:author="Master Repository Process" w:date="2022-06-30T10:01:00Z">
        <w:r>
          <w:tab/>
          <w:delText>[(c)</w:delText>
        </w:r>
        <w:r>
          <w:tab/>
          <w:delText>deleted]</w:delText>
        </w:r>
      </w:del>
    </w:p>
    <w:p>
      <w:pPr>
        <w:pStyle w:val="Defstart"/>
        <w:rPr>
          <w:del w:id="267" w:author="Master Repository Process" w:date="2022-06-30T10:01:00Z"/>
        </w:rPr>
      </w:pPr>
      <w:del w:id="268" w:author="Master Repository Process" w:date="2022-06-30T10:01:00Z">
        <w:r>
          <w:rPr>
            <w:b/>
          </w:rPr>
          <w:tab/>
        </w:r>
        <w:r>
          <w:rPr>
            <w:rStyle w:val="CharDefText"/>
          </w:rPr>
          <w:delText>operating surplus ratio</w:delText>
        </w:r>
        <w:r>
          <w:delText xml:space="preserve"> means the ratio determined as follows — </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del w:id="269" w:author="Master Repository Process" w:date="2022-06-30T10:01:00Z"/>
        </w:trPr>
        <w:tc>
          <w:tcPr>
            <w:tcW w:w="3740" w:type="dxa"/>
          </w:tcPr>
          <w:p>
            <w:pPr>
              <w:pStyle w:val="Equation"/>
              <w:jc w:val="center"/>
              <w:rPr>
                <w:del w:id="270" w:author="Master Repository Process" w:date="2022-06-30T10:01:00Z"/>
              </w:rPr>
            </w:pPr>
            <w:del w:id="271" w:author="Master Repository Process" w:date="2022-06-30T10:01:00Z">
              <w:r>
                <w:delText>operating revenue minus operating expense</w:delText>
              </w:r>
            </w:del>
          </w:p>
        </w:tc>
      </w:tr>
      <w:tr>
        <w:trPr>
          <w:del w:id="272" w:author="Master Repository Process" w:date="2022-06-30T10:01:00Z"/>
        </w:trPr>
        <w:tc>
          <w:tcPr>
            <w:tcW w:w="3740" w:type="dxa"/>
          </w:tcPr>
          <w:p>
            <w:pPr>
              <w:pStyle w:val="Equation"/>
              <w:jc w:val="center"/>
              <w:rPr>
                <w:del w:id="273" w:author="Master Repository Process" w:date="2022-06-30T10:01:00Z"/>
              </w:rPr>
            </w:pPr>
            <w:del w:id="274" w:author="Master Repository Process" w:date="2022-06-30T10:01:00Z">
              <w:r>
                <w:delText>own source operating revenue;</w:delText>
              </w:r>
            </w:del>
          </w:p>
        </w:tc>
      </w:tr>
    </w:tbl>
    <w:p>
      <w:pPr>
        <w:pStyle w:val="Defstart"/>
        <w:rPr>
          <w:del w:id="275" w:author="Master Repository Process" w:date="2022-06-30T10:01:00Z"/>
        </w:rPr>
      </w:pPr>
      <w:del w:id="276" w:author="Master Repository Process" w:date="2022-06-30T10:01:00Z">
        <w:r>
          <w:rPr>
            <w:b/>
          </w:rPr>
          <w:tab/>
        </w:r>
        <w:r>
          <w:rPr>
            <w:rStyle w:val="CharDefText"/>
          </w:rPr>
          <w:delText>other comprehensive income</w:delText>
        </w:r>
        <w:r>
          <w:delText xml:space="preserve"> has the meaning given in the AAS;</w:delText>
        </w:r>
      </w:del>
    </w:p>
    <w:p>
      <w:pPr>
        <w:pStyle w:val="Defstart"/>
        <w:rPr>
          <w:del w:id="277" w:author="Master Repository Process" w:date="2022-06-30T10:01:00Z"/>
        </w:rPr>
      </w:pPr>
      <w:del w:id="278" w:author="Master Repository Process" w:date="2022-06-30T10:01:00Z">
        <w:r>
          <w:tab/>
        </w:r>
        <w:r>
          <w:rPr>
            <w:rStyle w:val="CharDefText"/>
          </w:rPr>
          <w:delText>own source operating revenue</w:delText>
        </w:r>
        <w:r>
          <w:delText xml:space="preserve"> means revenue from rates and service charges, fees and user charges, reimbursements and recoveries, interest income and profit on disposal of assets;</w:delText>
        </w:r>
      </w:del>
    </w:p>
    <w:p>
      <w:pPr>
        <w:pStyle w:val="Defstart"/>
        <w:keepNext/>
        <w:rPr>
          <w:del w:id="279" w:author="Master Repository Process" w:date="2022-06-30T10:01:00Z"/>
        </w:rPr>
      </w:pPr>
      <w:del w:id="280" w:author="Master Repository Process" w:date="2022-06-30T10:01:00Z">
        <w:r>
          <w:tab/>
        </w:r>
        <w:r>
          <w:rPr>
            <w:rStyle w:val="CharDefText"/>
          </w:rPr>
          <w:delText>own source revenue coverage ratio</w:delText>
        </w:r>
        <w:r>
          <w:delText xml:space="preserve"> means the ratio determined as follows — </w:delTex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del w:id="281" w:author="Master Repository Process" w:date="2022-06-30T10:01:00Z"/>
        </w:trPr>
        <w:tc>
          <w:tcPr>
            <w:tcW w:w="3740" w:type="dxa"/>
          </w:tcPr>
          <w:p>
            <w:pPr>
              <w:pStyle w:val="Equation"/>
              <w:jc w:val="center"/>
              <w:rPr>
                <w:del w:id="282" w:author="Master Repository Process" w:date="2022-06-30T10:01:00Z"/>
              </w:rPr>
            </w:pPr>
            <w:del w:id="283" w:author="Master Repository Process" w:date="2022-06-30T10:01:00Z">
              <w:r>
                <w:delText xml:space="preserve">own source operating revenue </w:delText>
              </w:r>
            </w:del>
          </w:p>
        </w:tc>
      </w:tr>
      <w:tr>
        <w:trPr>
          <w:del w:id="284" w:author="Master Repository Process" w:date="2022-06-30T10:01:00Z"/>
        </w:trPr>
        <w:tc>
          <w:tcPr>
            <w:tcW w:w="3740" w:type="dxa"/>
          </w:tcPr>
          <w:p>
            <w:pPr>
              <w:pStyle w:val="Equation"/>
              <w:jc w:val="center"/>
              <w:rPr>
                <w:del w:id="285" w:author="Master Repository Process" w:date="2022-06-30T10:01:00Z"/>
              </w:rPr>
            </w:pPr>
            <w:del w:id="286" w:author="Master Repository Process" w:date="2022-06-30T10:01:00Z">
              <w:r>
                <w:delText>operating expense;</w:delText>
              </w:r>
            </w:del>
          </w:p>
        </w:tc>
      </w:tr>
    </w:tbl>
    <w:p>
      <w:pPr>
        <w:pStyle w:val="Defstart"/>
        <w:rPr>
          <w:del w:id="287" w:author="Master Repository Process" w:date="2022-06-30T10:01:00Z"/>
        </w:rPr>
      </w:pPr>
      <w:del w:id="288" w:author="Master Repository Process" w:date="2022-06-30T10:01:00Z">
        <w:r>
          <w:rPr>
            <w:b/>
          </w:rPr>
          <w:tab/>
        </w:r>
        <w:r>
          <w:rPr>
            <w:rStyle w:val="CharDefText"/>
          </w:rPr>
          <w:delText>planned capital renewals</w:delText>
        </w:r>
        <w:r>
          <w:delText xml:space="preserve"> means capital renewal and replacement expenditure as estimated in the long</w:delText>
        </w:r>
        <w:r>
          <w:noBreakHyphen/>
          <w:delText>term financial plan;</w:delText>
        </w:r>
      </w:del>
    </w:p>
    <w:p>
      <w:pPr>
        <w:pStyle w:val="Defstart"/>
        <w:rPr>
          <w:del w:id="289" w:author="Master Repository Process" w:date="2022-06-30T10:01:00Z"/>
        </w:rPr>
      </w:pPr>
      <w:del w:id="290" w:author="Master Repository Process" w:date="2022-06-30T10:01:00Z">
        <w:r>
          <w:rPr>
            <w:b/>
          </w:rPr>
          <w:tab/>
        </w:r>
        <w:r>
          <w:rPr>
            <w:rStyle w:val="CharDefText"/>
          </w:rPr>
          <w:delText>principal and interest</w:delText>
        </w:r>
        <w:r>
          <w:delText xml:space="preserve"> means all principal and interest for moneys borrowed, credit obtained or financial accommodation arranged under section 6.20;</w:delText>
        </w:r>
      </w:del>
    </w:p>
    <w:p>
      <w:pPr>
        <w:pStyle w:val="Defstart"/>
        <w:rPr>
          <w:del w:id="291" w:author="Master Repository Process" w:date="2022-06-30T10:01:00Z"/>
        </w:rPr>
      </w:pPr>
      <w:del w:id="292" w:author="Master Repository Process" w:date="2022-06-30T10:01:00Z">
        <w:r>
          <w:rPr>
            <w:b/>
          </w:rPr>
          <w:tab/>
        </w:r>
        <w:r>
          <w:rPr>
            <w:rStyle w:val="CharDefText"/>
          </w:rPr>
          <w:delText>required capital expenditure</w:delText>
        </w:r>
        <w:r>
          <w:delText xml:space="preserve"> means capital renewal and replacement expenditure as estimated in the asset management plan.</w:delText>
        </w:r>
      </w:del>
    </w:p>
    <w:p>
      <w:pPr>
        <w:pStyle w:val="Footnotesection"/>
        <w:rPr>
          <w:del w:id="293" w:author="Master Repository Process" w:date="2022-06-30T10:01:00Z"/>
        </w:rPr>
      </w:pPr>
      <w:del w:id="294" w:author="Master Repository Process" w:date="2022-06-30T10:01:00Z">
        <w:r>
          <w:tab/>
          <w:delText>[Regulation 50 amended: Gazette 20 Jun 1997 p. 2842; 31 Mar 2005 p. 1051</w:delText>
        </w:r>
        <w:r>
          <w:noBreakHyphen/>
          <w:delText>2; 20 Jun 2008 p. 2726; 20 Apr 2012 p. 1701</w:delText>
        </w:r>
        <w:r>
          <w:noBreakHyphen/>
          <w:delText>4; 21 Jun 2013 p. 2451-2.]</w:delText>
        </w:r>
      </w:del>
    </w:p>
    <w:p>
      <w:pPr>
        <w:pStyle w:val="Ednotesection"/>
        <w:rPr>
          <w:ins w:id="295" w:author="Master Repository Process" w:date="2022-06-30T10:01:00Z"/>
        </w:rPr>
      </w:pPr>
      <w:ins w:id="296" w:author="Master Repository Process" w:date="2022-06-30T10:01:00Z">
        <w:r>
          <w:t>[</w:t>
        </w:r>
        <w:r>
          <w:rPr>
            <w:b/>
          </w:rPr>
          <w:t>50.</w:t>
        </w:r>
        <w:r>
          <w:tab/>
          <w:t>Deleted: SL 2022/88 r. 10.]</w:t>
        </w:r>
      </w:ins>
    </w:p>
    <w:p>
      <w:pPr>
        <w:pStyle w:val="Heading5"/>
        <w:rPr>
          <w:snapToGrid w:val="0"/>
        </w:rPr>
      </w:pPr>
      <w:bookmarkStart w:id="297" w:name="_Toc107401922"/>
      <w:bookmarkStart w:id="298" w:name="_Toc106186012"/>
      <w:r>
        <w:rPr>
          <w:rStyle w:val="CharSectno"/>
        </w:rPr>
        <w:t>51</w:t>
      </w:r>
      <w:r>
        <w:rPr>
          <w:snapToGrid w:val="0"/>
        </w:rPr>
        <w:t>.</w:t>
      </w:r>
      <w:r>
        <w:rPr>
          <w:snapToGrid w:val="0"/>
        </w:rPr>
        <w:tab/>
        <w:t>Annual financial report to be signed etc. by CEO and given to Department</w:t>
      </w:r>
      <w:bookmarkEnd w:id="297"/>
      <w:bookmarkEnd w:id="298"/>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keepNext/>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299" w:name="_Toc107223025"/>
      <w:bookmarkStart w:id="300" w:name="_Toc107223673"/>
      <w:bookmarkStart w:id="301" w:name="_Toc107401923"/>
      <w:bookmarkStart w:id="302" w:name="_Toc106183926"/>
      <w:bookmarkStart w:id="303" w:name="_Toc106184052"/>
      <w:bookmarkStart w:id="304" w:name="_Toc106186013"/>
      <w:r>
        <w:rPr>
          <w:rStyle w:val="CharPartNo"/>
        </w:rPr>
        <w:t>Part 5</w:t>
      </w:r>
      <w:r>
        <w:rPr>
          <w:rStyle w:val="CharDivNo"/>
        </w:rPr>
        <w:t> </w:t>
      </w:r>
      <w:r>
        <w:t>—</w:t>
      </w:r>
      <w:r>
        <w:rPr>
          <w:rStyle w:val="CharDivText"/>
        </w:rPr>
        <w:t> </w:t>
      </w:r>
      <w:r>
        <w:rPr>
          <w:rStyle w:val="CharPartText"/>
        </w:rPr>
        <w:t>Rates and service charges</w:t>
      </w:r>
      <w:bookmarkEnd w:id="299"/>
      <w:bookmarkEnd w:id="300"/>
      <w:bookmarkEnd w:id="301"/>
      <w:bookmarkEnd w:id="302"/>
      <w:bookmarkEnd w:id="303"/>
      <w:bookmarkEnd w:id="304"/>
    </w:p>
    <w:p>
      <w:pPr>
        <w:pStyle w:val="Heading5"/>
      </w:pPr>
      <w:bookmarkStart w:id="305" w:name="_Toc107401924"/>
      <w:bookmarkStart w:id="306" w:name="_Toc106186014"/>
      <w:r>
        <w:rPr>
          <w:rStyle w:val="CharSectno"/>
        </w:rPr>
        <w:t>52A</w:t>
      </w:r>
      <w:r>
        <w:t>.</w:t>
      </w:r>
      <w:r>
        <w:tab/>
        <w:t>Characteristics prescribed for differential general rates (Act s. 6.33)</w:t>
      </w:r>
      <w:bookmarkEnd w:id="305"/>
      <w:bookmarkEnd w:id="30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307" w:name="_Toc107401925"/>
      <w:bookmarkStart w:id="308" w:name="_Toc106186015"/>
      <w:r>
        <w:rPr>
          <w:rStyle w:val="CharSectno"/>
        </w:rPr>
        <w:t>52</w:t>
      </w:r>
      <w:r>
        <w:rPr>
          <w:snapToGrid w:val="0"/>
        </w:rPr>
        <w:t>.</w:t>
      </w:r>
      <w:r>
        <w:rPr>
          <w:snapToGrid w:val="0"/>
        </w:rPr>
        <w:tab/>
        <w:t>Percentage prescribed for minimum payment (Act s. 6.35(4))</w:t>
      </w:r>
      <w:bookmarkEnd w:id="307"/>
      <w:bookmarkEnd w:id="308"/>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309" w:name="_Toc107401926"/>
      <w:bookmarkStart w:id="310" w:name="_Toc106186016"/>
      <w:r>
        <w:rPr>
          <w:rStyle w:val="CharSectno"/>
        </w:rPr>
        <w:t>53</w:t>
      </w:r>
      <w:r>
        <w:rPr>
          <w:snapToGrid w:val="0"/>
        </w:rPr>
        <w:t>.</w:t>
      </w:r>
      <w:r>
        <w:rPr>
          <w:snapToGrid w:val="0"/>
        </w:rPr>
        <w:tab/>
        <w:t>Amount prescribed for minimum payment (Act s. </w:t>
      </w:r>
      <w:r>
        <w:rPr>
          <w:rStyle w:val="CharSectno"/>
        </w:rPr>
        <w:t>6</w:t>
      </w:r>
      <w:r>
        <w:rPr>
          <w:snapToGrid w:val="0"/>
        </w:rPr>
        <w:t>.35(4))</w:t>
      </w:r>
      <w:bookmarkEnd w:id="309"/>
      <w:bookmarkEnd w:id="310"/>
    </w:p>
    <w:p>
      <w:pPr>
        <w:pStyle w:val="Subsection"/>
        <w:rPr>
          <w:snapToGrid w:val="0"/>
        </w:rPr>
      </w:pPr>
      <w:r>
        <w:rPr>
          <w:snapToGrid w:val="0"/>
        </w:rPr>
        <w:tab/>
      </w:r>
      <w:r>
        <w:rPr>
          <w:snapToGrid w:val="0"/>
        </w:rPr>
        <w:tab/>
        <w:t>The amount prescribed for the purposes of section 6.35(4) is $200.</w:t>
      </w:r>
    </w:p>
    <w:p>
      <w:pPr>
        <w:pStyle w:val="Heading5"/>
      </w:pPr>
      <w:bookmarkStart w:id="311" w:name="_Toc107401927"/>
      <w:bookmarkStart w:id="312" w:name="_Toc106186017"/>
      <w:r>
        <w:rPr>
          <w:rStyle w:val="CharSectno"/>
        </w:rPr>
        <w:t>54</w:t>
      </w:r>
      <w:r>
        <w:t>.</w:t>
      </w:r>
      <w:r>
        <w:tab/>
      </w:r>
      <w:r>
        <w:rPr>
          <w:snapToGrid w:val="0"/>
        </w:rPr>
        <w:t>Works etc. prescribed for service charges on land (Act s. 6.38(1))</w:t>
      </w:r>
      <w:bookmarkEnd w:id="311"/>
      <w:bookmarkEnd w:id="312"/>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313" w:name="_Toc107401928"/>
      <w:bookmarkStart w:id="314" w:name="_Toc106186018"/>
      <w:r>
        <w:rPr>
          <w:rStyle w:val="CharSectno"/>
        </w:rPr>
        <w:t>55</w:t>
      </w:r>
      <w:r>
        <w:rPr>
          <w:snapToGrid w:val="0"/>
        </w:rPr>
        <w:t>.</w:t>
      </w:r>
      <w:r>
        <w:rPr>
          <w:snapToGrid w:val="0"/>
        </w:rPr>
        <w:tab/>
        <w:t>Rate record, form of etc. (Act s. 6.39(1))</w:t>
      </w:r>
      <w:bookmarkEnd w:id="313"/>
      <w:bookmarkEnd w:id="314"/>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315" w:name="_Toc107401929"/>
      <w:bookmarkStart w:id="316" w:name="_Toc106186019"/>
      <w:r>
        <w:rPr>
          <w:rStyle w:val="CharSectno"/>
        </w:rPr>
        <w:t>56</w:t>
      </w:r>
      <w:r>
        <w:rPr>
          <w:snapToGrid w:val="0"/>
        </w:rPr>
        <w:t>.</w:t>
      </w:r>
      <w:r>
        <w:rPr>
          <w:snapToGrid w:val="0"/>
        </w:rPr>
        <w:tab/>
        <w:t>Rate notice, content of etc. (Act s. 6.41)</w:t>
      </w:r>
      <w:bookmarkEnd w:id="315"/>
      <w:bookmarkEnd w:id="316"/>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317" w:name="_Toc107401930"/>
      <w:bookmarkStart w:id="318" w:name="_Toc106186020"/>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317"/>
      <w:bookmarkEnd w:id="318"/>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319" w:name="_Toc107401931"/>
      <w:bookmarkStart w:id="320" w:name="_Toc106186021"/>
      <w:r>
        <w:rPr>
          <w:rStyle w:val="CharSectno"/>
        </w:rPr>
        <w:t>58</w:t>
      </w:r>
      <w:r>
        <w:rPr>
          <w:snapToGrid w:val="0"/>
        </w:rPr>
        <w:t>.</w:t>
      </w:r>
      <w:r>
        <w:rPr>
          <w:snapToGrid w:val="0"/>
        </w:rPr>
        <w:tab/>
        <w:t>Instalments not available if land in arrears (Act s. 6.45)</w:t>
      </w:r>
      <w:bookmarkEnd w:id="319"/>
      <w:bookmarkEnd w:id="320"/>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321" w:name="_Toc107401932"/>
      <w:bookmarkStart w:id="322" w:name="_Toc106186022"/>
      <w:r>
        <w:rPr>
          <w:rStyle w:val="CharSectno"/>
        </w:rPr>
        <w:t>59</w:t>
      </w:r>
      <w:r>
        <w:rPr>
          <w:snapToGrid w:val="0"/>
        </w:rPr>
        <w:t>.</w:t>
      </w:r>
      <w:r>
        <w:rPr>
          <w:snapToGrid w:val="0"/>
        </w:rPr>
        <w:tab/>
        <w:t>Instalments not available if total less than $200 (Act s. 6.45)</w:t>
      </w:r>
      <w:bookmarkEnd w:id="321"/>
      <w:bookmarkEnd w:id="322"/>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323" w:name="_Toc107401933"/>
      <w:bookmarkStart w:id="324" w:name="_Toc106186023"/>
      <w:r>
        <w:rPr>
          <w:rStyle w:val="CharSectno"/>
        </w:rPr>
        <w:t>60</w:t>
      </w:r>
      <w:r>
        <w:rPr>
          <w:snapToGrid w:val="0"/>
        </w:rPr>
        <w:t>.</w:t>
      </w:r>
      <w:r>
        <w:rPr>
          <w:snapToGrid w:val="0"/>
        </w:rPr>
        <w:tab/>
        <w:t>Instalments, manner of electing to pay by (Act s. 6.45)</w:t>
      </w:r>
      <w:bookmarkEnd w:id="323"/>
      <w:bookmarkEnd w:id="32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325" w:name="_Toc107401934"/>
      <w:bookmarkStart w:id="326" w:name="_Toc106186024"/>
      <w:r>
        <w:rPr>
          <w:rStyle w:val="CharSectno"/>
        </w:rPr>
        <w:t>61</w:t>
      </w:r>
      <w:r>
        <w:rPr>
          <w:snapToGrid w:val="0"/>
        </w:rPr>
        <w:t>.</w:t>
      </w:r>
      <w:r>
        <w:rPr>
          <w:snapToGrid w:val="0"/>
        </w:rPr>
        <w:tab/>
        <w:t>Instalments, additional circumstance when rates may be paid by</w:t>
      </w:r>
      <w:bookmarkEnd w:id="325"/>
      <w:bookmarkEnd w:id="326"/>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327" w:name="_Toc107401935"/>
      <w:bookmarkStart w:id="328" w:name="_Toc106186025"/>
      <w:r>
        <w:rPr>
          <w:rStyle w:val="CharSectno"/>
        </w:rPr>
        <w:t>62</w:t>
      </w:r>
      <w:r>
        <w:rPr>
          <w:snapToGrid w:val="0"/>
        </w:rPr>
        <w:t>.</w:t>
      </w:r>
      <w:r>
        <w:rPr>
          <w:snapToGrid w:val="0"/>
        </w:rPr>
        <w:tab/>
        <w:t>Rates re-assessed under Act s. 6.40, when rates due etc.</w:t>
      </w:r>
      <w:bookmarkEnd w:id="327"/>
      <w:bookmarkEnd w:id="328"/>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329" w:name="_Toc107401936"/>
      <w:bookmarkStart w:id="330" w:name="_Toc106186026"/>
      <w:r>
        <w:rPr>
          <w:rStyle w:val="CharSectno"/>
        </w:rPr>
        <w:t>63</w:t>
      </w:r>
      <w:r>
        <w:rPr>
          <w:snapToGrid w:val="0"/>
        </w:rPr>
        <w:t>.</w:t>
      </w:r>
      <w:r>
        <w:rPr>
          <w:snapToGrid w:val="0"/>
        </w:rPr>
        <w:tab/>
        <w:t>Instalments, effect on if land sold</w:t>
      </w:r>
      <w:bookmarkEnd w:id="329"/>
      <w:bookmarkEnd w:id="330"/>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331" w:name="_Toc107401937"/>
      <w:bookmarkStart w:id="332" w:name="_Toc106186027"/>
      <w:r>
        <w:rPr>
          <w:rStyle w:val="CharSectno"/>
        </w:rPr>
        <w:t>64</w:t>
      </w:r>
      <w:r>
        <w:rPr>
          <w:snapToGrid w:val="0"/>
        </w:rPr>
        <w:t>.</w:t>
      </w:r>
      <w:r>
        <w:rPr>
          <w:snapToGrid w:val="0"/>
        </w:rPr>
        <w:tab/>
        <w:t>Instalments, when to be paid</w:t>
      </w:r>
      <w:bookmarkEnd w:id="331"/>
      <w:bookmarkEnd w:id="332"/>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333" w:name="_Toc107401938"/>
      <w:bookmarkStart w:id="334" w:name="_Toc106186028"/>
      <w:r>
        <w:rPr>
          <w:rStyle w:val="CharSectno"/>
        </w:rPr>
        <w:t>65</w:t>
      </w:r>
      <w:r>
        <w:rPr>
          <w:snapToGrid w:val="0"/>
        </w:rPr>
        <w:t>.</w:t>
      </w:r>
      <w:r>
        <w:rPr>
          <w:snapToGrid w:val="0"/>
        </w:rPr>
        <w:tab/>
        <w:t>Instalment due on public holiday, payment of</w:t>
      </w:r>
      <w:bookmarkEnd w:id="333"/>
      <w:bookmarkEnd w:id="334"/>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335" w:name="_Toc107401939"/>
      <w:bookmarkStart w:id="336" w:name="_Toc106186029"/>
      <w:r>
        <w:rPr>
          <w:rStyle w:val="CharSectno"/>
        </w:rPr>
        <w:t>66</w:t>
      </w:r>
      <w:r>
        <w:rPr>
          <w:snapToGrid w:val="0"/>
        </w:rPr>
        <w:t>.</w:t>
      </w:r>
      <w:r>
        <w:rPr>
          <w:snapToGrid w:val="0"/>
        </w:rPr>
        <w:tab/>
        <w:t>Instalments, when right to pay by ceases</w:t>
      </w:r>
      <w:bookmarkEnd w:id="335"/>
      <w:bookmarkEnd w:id="336"/>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337" w:name="_Toc107401940"/>
      <w:bookmarkStart w:id="338" w:name="_Toc106186030"/>
      <w:r>
        <w:rPr>
          <w:rStyle w:val="CharSectno"/>
        </w:rPr>
        <w:t>67</w:t>
      </w:r>
      <w:r>
        <w:t>.</w:t>
      </w:r>
      <w:r>
        <w:tab/>
        <w:t>Instalments, determining additional charge for payment by</w:t>
      </w:r>
      <w:bookmarkEnd w:id="337"/>
      <w:bookmarkEnd w:id="338"/>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339" w:name="_Toc107401941"/>
      <w:bookmarkStart w:id="340" w:name="_Toc106186031"/>
      <w:r>
        <w:rPr>
          <w:rStyle w:val="CharSectno"/>
        </w:rPr>
        <w:t>68</w:t>
      </w:r>
      <w:r>
        <w:rPr>
          <w:snapToGrid w:val="0"/>
        </w:rPr>
        <w:t>.</w:t>
      </w:r>
      <w:r>
        <w:rPr>
          <w:snapToGrid w:val="0"/>
        </w:rPr>
        <w:tab/>
        <w:t>Maximum interest component prescribed (Act s. 6.45)</w:t>
      </w:r>
      <w:bookmarkEnd w:id="339"/>
      <w:bookmarkEnd w:id="340"/>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341" w:name="_Toc107401942"/>
      <w:bookmarkStart w:id="342" w:name="_Toc106186032"/>
      <w:r>
        <w:rPr>
          <w:rStyle w:val="CharSectno"/>
        </w:rPr>
        <w:t>69</w:t>
      </w:r>
      <w:r>
        <w:rPr>
          <w:snapToGrid w:val="0"/>
        </w:rPr>
        <w:t>.</w:t>
      </w:r>
      <w:r>
        <w:rPr>
          <w:snapToGrid w:val="0"/>
        </w:rPr>
        <w:tab/>
        <w:t xml:space="preserve">Instalments, calculating interest for </w:t>
      </w:r>
      <w:r>
        <w:t>(Act s. 6.45(3))</w:t>
      </w:r>
      <w:bookmarkEnd w:id="341"/>
      <w:bookmarkEnd w:id="342"/>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343" w:name="_Toc107401943"/>
      <w:bookmarkStart w:id="344" w:name="_Toc106186033"/>
      <w:r>
        <w:rPr>
          <w:rStyle w:val="CharSectno"/>
        </w:rPr>
        <w:t>69A</w:t>
      </w:r>
      <w:r>
        <w:t>.</w:t>
      </w:r>
      <w:r>
        <w:tab/>
        <w:t>When concession under Act s. 6.47 can not be granted</w:t>
      </w:r>
      <w:bookmarkEnd w:id="343"/>
      <w:bookmarkEnd w:id="344"/>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345" w:name="_Toc107401944"/>
      <w:bookmarkStart w:id="346" w:name="_Toc106186034"/>
      <w:r>
        <w:rPr>
          <w:rStyle w:val="CharSectno"/>
        </w:rPr>
        <w:t>70</w:t>
      </w:r>
      <w:r>
        <w:rPr>
          <w:snapToGrid w:val="0"/>
        </w:rPr>
        <w:t>.</w:t>
      </w:r>
      <w:r>
        <w:rPr>
          <w:snapToGrid w:val="0"/>
        </w:rPr>
        <w:tab/>
        <w:t>Maximum rate of interest prescribed (Act s. </w:t>
      </w:r>
      <w:r>
        <w:rPr>
          <w:rStyle w:val="CharSectno"/>
        </w:rPr>
        <w:t>6</w:t>
      </w:r>
      <w:r>
        <w:rPr>
          <w:snapToGrid w:val="0"/>
        </w:rPr>
        <w:t>.51)</w:t>
      </w:r>
      <w:bookmarkEnd w:id="345"/>
      <w:bookmarkEnd w:id="346"/>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347" w:name="_Toc107401945"/>
      <w:bookmarkStart w:id="348" w:name="_Toc106186035"/>
      <w:r>
        <w:rPr>
          <w:rStyle w:val="CharSectno"/>
        </w:rPr>
        <w:t>71</w:t>
      </w:r>
      <w:r>
        <w:rPr>
          <w:snapToGrid w:val="0"/>
        </w:rPr>
        <w:t>.</w:t>
      </w:r>
      <w:r>
        <w:rPr>
          <w:snapToGrid w:val="0"/>
        </w:rPr>
        <w:tab/>
        <w:t>Overdue rates and service charges, calculating interest on</w:t>
      </w:r>
      <w:bookmarkEnd w:id="347"/>
      <w:bookmarkEnd w:id="348"/>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349" w:name="_Toc107401946"/>
      <w:bookmarkStart w:id="350" w:name="_Toc106186036"/>
      <w:r>
        <w:rPr>
          <w:rStyle w:val="CharSectno"/>
        </w:rPr>
        <w:t>72</w:t>
      </w:r>
      <w:r>
        <w:rPr>
          <w:snapToGrid w:val="0"/>
        </w:rPr>
        <w:t>.</w:t>
      </w:r>
      <w:r>
        <w:rPr>
          <w:snapToGrid w:val="0"/>
        </w:rPr>
        <w:tab/>
        <w:t>Notification prescribed (Act s. </w:t>
      </w:r>
      <w:r>
        <w:rPr>
          <w:rStyle w:val="CharSectno"/>
        </w:rPr>
        <w:t>6</w:t>
      </w:r>
      <w:r>
        <w:rPr>
          <w:snapToGrid w:val="0"/>
        </w:rPr>
        <w:t>.64(2))</w:t>
      </w:r>
      <w:bookmarkEnd w:id="349"/>
      <w:bookmarkEnd w:id="350"/>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351" w:name="_Toc107401947"/>
      <w:bookmarkStart w:id="352" w:name="_Toc106186037"/>
      <w:r>
        <w:rPr>
          <w:rStyle w:val="CharSectno"/>
        </w:rPr>
        <w:t>73</w:t>
      </w:r>
      <w:r>
        <w:rPr>
          <w:snapToGrid w:val="0"/>
        </w:rPr>
        <w:t>.</w:t>
      </w:r>
      <w:r>
        <w:rPr>
          <w:snapToGrid w:val="0"/>
        </w:rPr>
        <w:tab/>
        <w:t>Form of notice prescribed (Act s. </w:t>
      </w:r>
      <w:r>
        <w:rPr>
          <w:rStyle w:val="CharSectno"/>
        </w:rPr>
        <w:t>6</w:t>
      </w:r>
      <w:r>
        <w:rPr>
          <w:snapToGrid w:val="0"/>
        </w:rPr>
        <w:t>.64(2))</w:t>
      </w:r>
      <w:bookmarkEnd w:id="351"/>
      <w:bookmarkEnd w:id="352"/>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353" w:name="_Toc107401948"/>
      <w:bookmarkStart w:id="354" w:name="_Toc106186038"/>
      <w:r>
        <w:rPr>
          <w:rStyle w:val="CharSectno"/>
        </w:rPr>
        <w:t>74</w:t>
      </w:r>
      <w:r>
        <w:rPr>
          <w:snapToGrid w:val="0"/>
        </w:rPr>
        <w:t>.</w:t>
      </w:r>
      <w:r>
        <w:rPr>
          <w:snapToGrid w:val="0"/>
        </w:rPr>
        <w:tab/>
        <w:t>Form prescribed (Act Sch. 6.3 cl. 1(2)(e))</w:t>
      </w:r>
      <w:bookmarkEnd w:id="353"/>
      <w:bookmarkEnd w:id="354"/>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355" w:name="_Toc107401949"/>
      <w:bookmarkStart w:id="356" w:name="_Toc106186039"/>
      <w:r>
        <w:rPr>
          <w:rStyle w:val="CharSectno"/>
        </w:rPr>
        <w:t>75</w:t>
      </w:r>
      <w:r>
        <w:rPr>
          <w:snapToGrid w:val="0"/>
        </w:rPr>
        <w:t>.</w:t>
      </w:r>
      <w:r>
        <w:rPr>
          <w:snapToGrid w:val="0"/>
        </w:rPr>
        <w:tab/>
        <w:t>Form prescribed (Act Sch. 6.3 cl. 2(1)(a))</w:t>
      </w:r>
      <w:bookmarkEnd w:id="355"/>
      <w:bookmarkEnd w:id="356"/>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357" w:name="_Toc107401950"/>
      <w:bookmarkStart w:id="358" w:name="_Toc106186040"/>
      <w:r>
        <w:rPr>
          <w:rStyle w:val="CharSectno"/>
        </w:rPr>
        <w:t>76</w:t>
      </w:r>
      <w:r>
        <w:rPr>
          <w:snapToGrid w:val="0"/>
        </w:rPr>
        <w:t>.</w:t>
      </w:r>
      <w:r>
        <w:rPr>
          <w:snapToGrid w:val="0"/>
        </w:rPr>
        <w:tab/>
        <w:t>Local government to notify Registrar of Titles of payment (Act s. 6.69(3)); effect of notice</w:t>
      </w:r>
      <w:bookmarkEnd w:id="357"/>
      <w:bookmarkEnd w:id="358"/>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359" w:name="_Toc107401951"/>
      <w:bookmarkStart w:id="360" w:name="_Toc106186041"/>
      <w:r>
        <w:rPr>
          <w:rStyle w:val="CharSectno"/>
        </w:rPr>
        <w:t>77</w:t>
      </w:r>
      <w:r>
        <w:rPr>
          <w:snapToGrid w:val="0"/>
        </w:rPr>
        <w:t>.</w:t>
      </w:r>
      <w:r>
        <w:rPr>
          <w:snapToGrid w:val="0"/>
        </w:rPr>
        <w:tab/>
        <w:t>Application under Act s. 6.74, prerequisites to making</w:t>
      </w:r>
      <w:bookmarkEnd w:id="359"/>
      <w:bookmarkEnd w:id="360"/>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361" w:name="_Toc107401952"/>
      <w:bookmarkStart w:id="362" w:name="_Toc106186042"/>
      <w:r>
        <w:rPr>
          <w:rStyle w:val="CharSectno"/>
        </w:rPr>
        <w:t>78</w:t>
      </w:r>
      <w:r>
        <w:rPr>
          <w:snapToGrid w:val="0"/>
        </w:rPr>
        <w:t>.</w:t>
      </w:r>
      <w:r>
        <w:rPr>
          <w:snapToGrid w:val="0"/>
        </w:rPr>
        <w:tab/>
        <w:t>Form of application etc. prescribed (Act s. </w:t>
      </w:r>
      <w:r>
        <w:rPr>
          <w:rStyle w:val="CharSectno"/>
        </w:rPr>
        <w:t>6</w:t>
      </w:r>
      <w:r>
        <w:rPr>
          <w:snapToGrid w:val="0"/>
        </w:rPr>
        <w:t>.74)</w:t>
      </w:r>
      <w:bookmarkEnd w:id="361"/>
      <w:bookmarkEnd w:id="362"/>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63" w:name="_Toc107223055"/>
      <w:bookmarkStart w:id="364" w:name="_Toc107223703"/>
      <w:bookmarkStart w:id="365" w:name="_Toc107401953"/>
      <w:bookmarkStart w:id="366" w:name="_Toc106183956"/>
      <w:bookmarkStart w:id="367" w:name="_Toc106184082"/>
      <w:bookmarkStart w:id="368" w:name="_Toc106186043"/>
      <w:r>
        <w:rPr>
          <w:rStyle w:val="CharPartNo"/>
        </w:rPr>
        <w:t>Part 6</w:t>
      </w:r>
      <w:r>
        <w:rPr>
          <w:rStyle w:val="CharDivNo"/>
        </w:rPr>
        <w:t> </w:t>
      </w:r>
      <w:r>
        <w:t>—</w:t>
      </w:r>
      <w:r>
        <w:rPr>
          <w:rStyle w:val="CharDivText"/>
        </w:rPr>
        <w:t> </w:t>
      </w:r>
      <w:r>
        <w:rPr>
          <w:rStyle w:val="CharPartText"/>
        </w:rPr>
        <w:t>Transitional matters</w:t>
      </w:r>
      <w:bookmarkEnd w:id="363"/>
      <w:bookmarkEnd w:id="364"/>
      <w:bookmarkEnd w:id="365"/>
      <w:bookmarkEnd w:id="366"/>
      <w:bookmarkEnd w:id="367"/>
      <w:bookmarkEnd w:id="368"/>
    </w:p>
    <w:p>
      <w:pPr>
        <w:pStyle w:val="Footnoteheading"/>
      </w:pPr>
      <w:r>
        <w:tab/>
        <w:t>[Heading inserted: Gazette 20 Jun 2008 p. 2727.]</w:t>
      </w:r>
    </w:p>
    <w:p>
      <w:pPr>
        <w:pStyle w:val="Heading5"/>
      </w:pPr>
      <w:bookmarkStart w:id="369" w:name="_Toc107401954"/>
      <w:bookmarkStart w:id="370" w:name="_Toc106186044"/>
      <w:r>
        <w:rPr>
          <w:rStyle w:val="CharSectno"/>
        </w:rPr>
        <w:t>79</w:t>
      </w:r>
      <w:r>
        <w:t>.</w:t>
      </w:r>
      <w:r>
        <w:tab/>
      </w:r>
      <w:r>
        <w:rPr>
          <w:i/>
        </w:rPr>
        <w:t>Local Government (Financial Management) Amendment Regulations 2012</w:t>
      </w:r>
      <w:r>
        <w:rPr>
          <w:iCs/>
        </w:rPr>
        <w:t>, provisions for</w:t>
      </w:r>
      <w:bookmarkEnd w:id="369"/>
      <w:bookmarkEnd w:id="370"/>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rPr>
          <w:ins w:id="371" w:author="Master Repository Process" w:date="2022-06-30T10:01:00Z"/>
        </w:rPr>
      </w:pPr>
      <w:bookmarkStart w:id="372" w:name="_Toc105152894"/>
      <w:bookmarkStart w:id="373" w:name="_Toc106101531"/>
      <w:bookmarkStart w:id="374" w:name="_Toc107401955"/>
      <w:ins w:id="375" w:author="Master Repository Process" w:date="2022-06-30T10:01:00Z">
        <w:r>
          <w:rPr>
            <w:rStyle w:val="CharSectno"/>
          </w:rPr>
          <w:t>80</w:t>
        </w:r>
        <w:r>
          <w:t>.</w:t>
        </w:r>
        <w:r>
          <w:tab/>
          <w:t xml:space="preserve">Transitional provisions for </w:t>
        </w:r>
        <w:r>
          <w:rPr>
            <w:i/>
          </w:rPr>
          <w:t>Local Government Regulations Amendment (Financial Management and Audit) Regulations 2022</w:t>
        </w:r>
        <w:bookmarkEnd w:id="372"/>
        <w:bookmarkEnd w:id="373"/>
        <w:bookmarkEnd w:id="374"/>
      </w:ins>
    </w:p>
    <w:p>
      <w:pPr>
        <w:pStyle w:val="Subsection"/>
        <w:rPr>
          <w:ins w:id="376" w:author="Master Repository Process" w:date="2022-06-30T10:01:00Z"/>
        </w:rPr>
      </w:pPr>
      <w:ins w:id="377" w:author="Master Repository Process" w:date="2022-06-30T10:01:00Z">
        <w:r>
          <w:tab/>
          <w:t>(1)</w:t>
        </w:r>
        <w:r>
          <w:tab/>
          <w:t xml:space="preserve">In this regulation — </w:t>
        </w:r>
      </w:ins>
    </w:p>
    <w:p>
      <w:pPr>
        <w:pStyle w:val="Defstart"/>
        <w:rPr>
          <w:ins w:id="378" w:author="Master Repository Process" w:date="2022-06-30T10:01:00Z"/>
        </w:rPr>
      </w:pPr>
      <w:ins w:id="379" w:author="Master Repository Process" w:date="2022-06-30T10:01:00Z">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ins>
    </w:p>
    <w:p>
      <w:pPr>
        <w:pStyle w:val="Subsection"/>
        <w:rPr>
          <w:ins w:id="380" w:author="Master Repository Process" w:date="2022-06-30T10:01:00Z"/>
        </w:rPr>
      </w:pPr>
      <w:ins w:id="381" w:author="Master Repository Process" w:date="2022-06-30T10:01:00Z">
        <w:r>
          <w:tab/>
          <w:t>(2)</w:t>
        </w:r>
        <w:r>
          <w:tab/>
          <w:t>Regulations 14, 36(1)(f) and 50 as in force immediately before commencement day continue to apply in relation to the annual financial report of a local government for the financial year ending on 30 June 2021.</w:t>
        </w:r>
      </w:ins>
    </w:p>
    <w:p>
      <w:pPr>
        <w:pStyle w:val="Subsection"/>
        <w:rPr>
          <w:ins w:id="382" w:author="Master Repository Process" w:date="2022-06-30T10:01:00Z"/>
        </w:rPr>
      </w:pPr>
      <w:ins w:id="383" w:author="Master Repository Process" w:date="2022-06-30T10:01:00Z">
        <w:r>
          <w:tab/>
          <w:t>(3)</w:t>
        </w:r>
        <w:r>
          <w:tab/>
          <w:t>Regulation 14 as in force immediately before commencement day continues to apply in relation to the annual budget of a local government for the financial year ending on 30 June 2022.</w:t>
        </w:r>
      </w:ins>
    </w:p>
    <w:p>
      <w:pPr>
        <w:pStyle w:val="Footnotesection"/>
        <w:rPr>
          <w:ins w:id="384" w:author="Master Repository Process" w:date="2022-06-30T10:01:00Z"/>
        </w:rPr>
      </w:pPr>
      <w:ins w:id="385" w:author="Master Repository Process" w:date="2022-06-30T10:01:00Z">
        <w:r>
          <w:tab/>
          <w:t>[Regulation 80 inserted: SL 2022/88 r. 11.]</w:t>
        </w:r>
      </w:ins>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86" w:name="_Toc107223057"/>
      <w:bookmarkStart w:id="387" w:name="_Toc107223706"/>
      <w:bookmarkStart w:id="388" w:name="_Toc107401956"/>
      <w:bookmarkStart w:id="389" w:name="_Toc106183958"/>
      <w:bookmarkStart w:id="390" w:name="_Toc106184084"/>
      <w:bookmarkStart w:id="391" w:name="_Toc106186045"/>
      <w:r>
        <w:rPr>
          <w:rStyle w:val="CharSchNo"/>
        </w:rPr>
        <w:t>Schedule 1</w:t>
      </w:r>
      <w:bookmarkEnd w:id="386"/>
      <w:bookmarkEnd w:id="387"/>
      <w:bookmarkEnd w:id="388"/>
      <w:bookmarkEnd w:id="389"/>
      <w:bookmarkEnd w:id="390"/>
      <w:bookmarkEnd w:id="391"/>
    </w:p>
    <w:p>
      <w:pPr>
        <w:pStyle w:val="yShoulderClause"/>
        <w:rPr>
          <w:snapToGrid w:val="0"/>
        </w:rPr>
      </w:pPr>
      <w:r>
        <w:rPr>
          <w:snapToGrid w:val="0"/>
        </w:rPr>
        <w:t>[reg. 3]</w:t>
      </w:r>
    </w:p>
    <w:p>
      <w:pPr>
        <w:pStyle w:val="yHeading3"/>
        <w:spacing w:after="80"/>
        <w:rPr>
          <w:snapToGrid w:val="0"/>
        </w:rPr>
      </w:pPr>
      <w:bookmarkStart w:id="392" w:name="_Toc107223058"/>
      <w:bookmarkStart w:id="393" w:name="_Toc107223707"/>
      <w:bookmarkStart w:id="394" w:name="_Toc107401957"/>
      <w:bookmarkStart w:id="395" w:name="_Toc106183959"/>
      <w:bookmarkStart w:id="396" w:name="_Toc106184085"/>
      <w:bookmarkStart w:id="397" w:name="_Toc106186046"/>
      <w:r>
        <w:rPr>
          <w:rStyle w:val="CharSDivNo"/>
        </w:rPr>
        <w:t>Part 1</w:t>
      </w:r>
      <w:r>
        <w:rPr>
          <w:rStyle w:val="CharSchText"/>
        </w:rPr>
        <w:t> </w:t>
      </w:r>
      <w:r>
        <w:rPr>
          <w:snapToGrid w:val="0"/>
        </w:rPr>
        <w:t>— </w:t>
      </w:r>
      <w:r>
        <w:rPr>
          <w:rStyle w:val="CharSDivText"/>
        </w:rPr>
        <w:t>Local government program titles</w:t>
      </w:r>
      <w:bookmarkEnd w:id="392"/>
      <w:bookmarkEnd w:id="393"/>
      <w:bookmarkEnd w:id="394"/>
      <w:bookmarkEnd w:id="395"/>
      <w:bookmarkEnd w:id="396"/>
      <w:bookmarkEnd w:id="397"/>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398" w:name="_Toc107223059"/>
      <w:bookmarkStart w:id="399" w:name="_Toc107223708"/>
      <w:bookmarkStart w:id="400" w:name="_Toc107401958"/>
      <w:bookmarkStart w:id="401" w:name="_Toc106183960"/>
      <w:bookmarkStart w:id="402" w:name="_Toc106184086"/>
      <w:bookmarkStart w:id="403" w:name="_Toc106186047"/>
      <w:r>
        <w:rPr>
          <w:rStyle w:val="CharSDivNo"/>
        </w:rPr>
        <w:t>Part 2</w:t>
      </w:r>
      <w:r>
        <w:rPr>
          <w:b w:val="0"/>
        </w:rPr>
        <w:t> — </w:t>
      </w:r>
      <w:r>
        <w:rPr>
          <w:rStyle w:val="CharSDivText"/>
        </w:rPr>
        <w:t>Nature or type classifications</w:t>
      </w:r>
      <w:bookmarkEnd w:id="398"/>
      <w:bookmarkEnd w:id="399"/>
      <w:bookmarkEnd w:id="400"/>
      <w:bookmarkEnd w:id="401"/>
      <w:bookmarkEnd w:id="402"/>
      <w:bookmarkEnd w:id="403"/>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404" w:name="_Toc107223060"/>
      <w:bookmarkStart w:id="405" w:name="_Toc107223709"/>
      <w:bookmarkStart w:id="406" w:name="_Toc107401959"/>
      <w:bookmarkStart w:id="407" w:name="_Toc106183961"/>
      <w:bookmarkStart w:id="408" w:name="_Toc106184087"/>
      <w:bookmarkStart w:id="409" w:name="_Toc106186048"/>
      <w:r>
        <w:rPr>
          <w:rStyle w:val="CharSchNo"/>
        </w:rPr>
        <w:t>Schedule 2</w:t>
      </w:r>
      <w:bookmarkEnd w:id="404"/>
      <w:bookmarkEnd w:id="405"/>
      <w:bookmarkEnd w:id="406"/>
      <w:bookmarkEnd w:id="407"/>
      <w:bookmarkEnd w:id="408"/>
      <w:bookmarkEnd w:id="409"/>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411" w:name="_Toc107223061"/>
      <w:bookmarkStart w:id="412" w:name="_Toc107223710"/>
      <w:bookmarkStart w:id="413" w:name="_Toc107401960"/>
      <w:bookmarkStart w:id="414" w:name="_Toc106183962"/>
      <w:bookmarkStart w:id="415" w:name="_Toc106184088"/>
      <w:bookmarkStart w:id="416" w:name="_Toc106186049"/>
      <w:r>
        <w:t>Notes</w:t>
      </w:r>
      <w:bookmarkEnd w:id="411"/>
      <w:bookmarkEnd w:id="412"/>
      <w:bookmarkEnd w:id="413"/>
      <w:bookmarkEnd w:id="414"/>
      <w:bookmarkEnd w:id="415"/>
      <w:bookmarkEnd w:id="416"/>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del w:id="417" w:author="Master Repository Process" w:date="2022-06-30T10:01:00Z">
        <w:r>
          <w:delText xml:space="preserve"> For provisions that have not yet come into operation see the uncommenced provisions table.</w:delText>
        </w:r>
      </w:del>
    </w:p>
    <w:p>
      <w:pPr>
        <w:pStyle w:val="nHeading3"/>
      </w:pPr>
      <w:bookmarkStart w:id="418" w:name="_Toc107401961"/>
      <w:bookmarkStart w:id="419" w:name="_Toc106186050"/>
      <w:r>
        <w:t>Compilation table</w:t>
      </w:r>
      <w:bookmarkEnd w:id="418"/>
      <w:bookmarkEnd w:id="41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bl>
    <w:p>
      <w:pPr>
        <w:pStyle w:val="nHeading3"/>
        <w:rPr>
          <w:del w:id="420" w:author="Master Repository Process" w:date="2022-06-30T10:01:00Z"/>
        </w:rPr>
      </w:pPr>
      <w:bookmarkStart w:id="421" w:name="_Toc106186051"/>
      <w:del w:id="422" w:author="Master Repository Process" w:date="2022-06-30T10:01:00Z">
        <w:r>
          <w:delText>Uncommenced provisions table</w:delText>
        </w:r>
        <w:bookmarkEnd w:id="421"/>
      </w:del>
    </w:p>
    <w:p>
      <w:pPr>
        <w:pStyle w:val="nStatement"/>
        <w:keepNext/>
        <w:spacing w:after="240"/>
        <w:rPr>
          <w:del w:id="423" w:author="Master Repository Process" w:date="2022-06-30T10:01:00Z"/>
        </w:rPr>
      </w:pPr>
      <w:del w:id="424" w:author="Master Repository Process" w:date="2022-06-30T10:01: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25" w:author="Master Repository Process" w:date="2022-06-30T10:01:00Z"/>
        </w:trPr>
        <w:tc>
          <w:tcPr>
            <w:tcW w:w="3118" w:type="dxa"/>
          </w:tcPr>
          <w:p>
            <w:pPr>
              <w:pStyle w:val="nTable"/>
              <w:spacing w:after="40"/>
              <w:rPr>
                <w:del w:id="426" w:author="Master Repository Process" w:date="2022-06-30T10:01:00Z"/>
                <w:b/>
              </w:rPr>
            </w:pPr>
            <w:del w:id="427" w:author="Master Repository Process" w:date="2022-06-30T10:01:00Z">
              <w:r>
                <w:rPr>
                  <w:b/>
                </w:rPr>
                <w:delText>Citation</w:delText>
              </w:r>
            </w:del>
          </w:p>
        </w:tc>
        <w:tc>
          <w:tcPr>
            <w:tcW w:w="1276" w:type="dxa"/>
          </w:tcPr>
          <w:p>
            <w:pPr>
              <w:pStyle w:val="nTable"/>
              <w:spacing w:after="40"/>
              <w:rPr>
                <w:del w:id="428" w:author="Master Repository Process" w:date="2022-06-30T10:01:00Z"/>
                <w:b/>
              </w:rPr>
            </w:pPr>
            <w:del w:id="429" w:author="Master Repository Process" w:date="2022-06-30T10:01:00Z">
              <w:r>
                <w:rPr>
                  <w:b/>
                </w:rPr>
                <w:delText>Published</w:delText>
              </w:r>
            </w:del>
          </w:p>
        </w:tc>
        <w:tc>
          <w:tcPr>
            <w:tcW w:w="2693" w:type="dxa"/>
          </w:tcPr>
          <w:p>
            <w:pPr>
              <w:pStyle w:val="nTable"/>
              <w:spacing w:after="40"/>
              <w:rPr>
                <w:del w:id="430" w:author="Master Repository Process" w:date="2022-06-30T10:01:00Z"/>
                <w:b/>
              </w:rPr>
            </w:pPr>
            <w:del w:id="431" w:author="Master Repository Process" w:date="2022-06-30T10:01:00Z">
              <w:r>
                <w:rPr>
                  <w:b/>
                </w:rPr>
                <w:delText>Commencement</w:delText>
              </w:r>
            </w:del>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bottom w:val="single" w:sz="4" w:space="0" w:color="auto"/>
            </w:tcBorders>
            <w:shd w:val="clear" w:color="auto" w:fill="auto"/>
          </w:tcPr>
          <w:p>
            <w:pPr>
              <w:pStyle w:val="nTable"/>
              <w:spacing w:after="40"/>
            </w:pPr>
            <w:r>
              <w:t>SL 2022/88 17 Jun 2022</w:t>
            </w:r>
          </w:p>
        </w:tc>
        <w:tc>
          <w:tcPr>
            <w:tcW w:w="2693" w:type="dxa"/>
            <w:tcBorders>
              <w:bottom w:val="single" w:sz="4" w:space="0" w:color="auto"/>
            </w:tcBorders>
            <w:shd w:val="clear" w:color="auto" w:fill="auto"/>
          </w:tcPr>
          <w:p>
            <w:pPr>
              <w:pStyle w:val="nTable"/>
              <w:spacing w:after="40"/>
            </w:pPr>
            <w:r>
              <w:t>1 Jul 2022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2" w:name="Compilation"/>
    <w:bookmarkEnd w:id="4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3" w:name="Coversheet"/>
    <w:bookmarkEnd w:id="4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10" w:name="Schedule"/>
    <w:bookmarkEnd w:id="41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13727"/>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17213</Words>
  <Characters>85033</Characters>
  <Application>Microsoft Office Word</Application>
  <DocSecurity>0</DocSecurity>
  <Lines>2576</Lines>
  <Paragraphs>1649</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03-i0-00 - 03-j0-00</dc:title>
  <dc:subject/>
  <dc:creator/>
  <cp:keywords/>
  <dc:description/>
  <cp:lastModifiedBy>Master Repository Process</cp:lastModifiedBy>
  <cp:revision>2</cp:revision>
  <cp:lastPrinted>2018-06-27T03:09:00Z</cp:lastPrinted>
  <dcterms:created xsi:type="dcterms:W3CDTF">2022-06-30T02:01:00Z</dcterms:created>
  <dcterms:modified xsi:type="dcterms:W3CDTF">2022-06-30T02:01:00Z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20220701</vt:lpwstr>
  </property>
  <property fmtid="{D5CDD505-2E9C-101B-9397-08002B2CF9AE}" pid="8" name="FromSuffix">
    <vt:lpwstr>03-i0-00</vt:lpwstr>
  </property>
  <property fmtid="{D5CDD505-2E9C-101B-9397-08002B2CF9AE}" pid="9" name="FromAsAtDate">
    <vt:lpwstr>17 Jun 2022</vt:lpwstr>
  </property>
  <property fmtid="{D5CDD505-2E9C-101B-9397-08002B2CF9AE}" pid="10" name="ToSuffix">
    <vt:lpwstr>03-j0-00</vt:lpwstr>
  </property>
  <property fmtid="{D5CDD505-2E9C-101B-9397-08002B2CF9AE}" pid="11" name="ToAsAtDate">
    <vt:lpwstr>01 Jul 2022</vt:lpwstr>
  </property>
</Properties>
</file>