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Jun 2022</w:t>
      </w:r>
      <w:r>
        <w:fldChar w:fldCharType="end"/>
      </w:r>
      <w:r>
        <w:t xml:space="preserve">, </w:t>
      </w:r>
      <w:r>
        <w:fldChar w:fldCharType="begin"/>
      </w:r>
      <w:r>
        <w:instrText xml:space="preserve"> DocProperty FromSuffix </w:instrText>
      </w:r>
      <w:r>
        <w:fldChar w:fldCharType="separate"/>
      </w:r>
      <w:r>
        <w:t>16-i0-01</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16-j0-00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NameofActReg"/>
        <w:spacing w:before="1600" w:after="1400"/>
      </w:pPr>
      <w:r>
        <w:lastRenderedPageBreak/>
        <w:t>Industrial Relations Act 1979</w:t>
      </w:r>
    </w:p>
    <w:p>
      <w:pPr>
        <w:pStyle w:val="LongTitle"/>
        <w:rPr>
          <w:snapToGrid w:val="0"/>
        </w:rPr>
      </w:pPr>
      <w:r>
        <w:rPr>
          <w:snapToGrid w:val="0"/>
        </w:rPr>
        <w:t>A</w:t>
      </w:r>
      <w:bookmarkStart w:id="1" w:name="_GoBack"/>
      <w:bookmarkEnd w:id="1"/>
      <w:r>
        <w:rPr>
          <w:snapToGrid w:val="0"/>
        </w:rPr>
        <w:t>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2" w:name="_Toc107322198"/>
      <w:bookmarkStart w:id="3" w:name="_Toc107476327"/>
      <w:bookmarkStart w:id="4" w:name="_Toc105759947"/>
      <w:bookmarkStart w:id="5" w:name="_Toc106195188"/>
      <w:bookmarkStart w:id="6" w:name="_Toc106367130"/>
      <w:bookmarkStart w:id="7" w:name="_Toc106373861"/>
      <w:r>
        <w:rPr>
          <w:rStyle w:val="CharPartNo"/>
        </w:rPr>
        <w:t>Part I</w:t>
      </w:r>
      <w:r>
        <w:rPr>
          <w:rStyle w:val="CharDivNo"/>
        </w:rPr>
        <w:t> </w:t>
      </w:r>
      <w:r>
        <w:t>—</w:t>
      </w:r>
      <w:r>
        <w:rPr>
          <w:rStyle w:val="CharDivText"/>
        </w:rPr>
        <w:t> </w:t>
      </w:r>
      <w:r>
        <w:rPr>
          <w:rStyle w:val="CharPartText"/>
        </w:rPr>
        <w:t>Introductory</w:t>
      </w:r>
      <w:bookmarkEnd w:id="2"/>
      <w:bookmarkEnd w:id="3"/>
      <w:bookmarkEnd w:id="4"/>
      <w:bookmarkEnd w:id="5"/>
      <w:bookmarkEnd w:id="6"/>
      <w:bookmarkEnd w:id="7"/>
    </w:p>
    <w:p>
      <w:pPr>
        <w:pStyle w:val="Heading5"/>
        <w:spacing w:before="180"/>
        <w:rPr>
          <w:snapToGrid w:val="0"/>
        </w:rPr>
      </w:pPr>
      <w:bookmarkStart w:id="8" w:name="_Toc107476328"/>
      <w:bookmarkStart w:id="9" w:name="_Toc106373862"/>
      <w:r>
        <w:rPr>
          <w:rStyle w:val="CharSectno"/>
        </w:rPr>
        <w:t>1</w:t>
      </w:r>
      <w:r>
        <w:rPr>
          <w:snapToGrid w:val="0"/>
        </w:rPr>
        <w:t>.</w:t>
      </w:r>
      <w:r>
        <w:rPr>
          <w:snapToGrid w:val="0"/>
        </w:rPr>
        <w:tab/>
        <w:t>Short title</w:t>
      </w:r>
      <w:bookmarkEnd w:id="8"/>
      <w:bookmarkEnd w:id="9"/>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w:t>
      </w:r>
    </w:p>
    <w:p>
      <w:pPr>
        <w:pStyle w:val="Footnotesection"/>
      </w:pPr>
      <w:r>
        <w:tab/>
        <w:t>[Section 1 amended: No. 94 of 1984 s. 4.]</w:t>
      </w:r>
    </w:p>
    <w:p>
      <w:pPr>
        <w:pStyle w:val="Heading5"/>
        <w:spacing w:before="180"/>
        <w:rPr>
          <w:snapToGrid w:val="0"/>
        </w:rPr>
      </w:pPr>
      <w:bookmarkStart w:id="10" w:name="_Toc107476329"/>
      <w:bookmarkStart w:id="11" w:name="_Toc106373863"/>
      <w:r>
        <w:rPr>
          <w:rStyle w:val="CharSectno"/>
        </w:rPr>
        <w:t>2</w:t>
      </w:r>
      <w:r>
        <w:rPr>
          <w:snapToGrid w:val="0"/>
        </w:rPr>
        <w:t>.</w:t>
      </w:r>
      <w:r>
        <w:rPr>
          <w:snapToGrid w:val="0"/>
        </w:rPr>
        <w:tab/>
        <w:t>Commencement</w:t>
      </w:r>
      <w:bookmarkEnd w:id="10"/>
      <w:bookmarkEnd w:id="11"/>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pPr>
        <w:pStyle w:val="Heading5"/>
        <w:spacing w:before="180"/>
        <w:rPr>
          <w:snapToGrid w:val="0"/>
        </w:rPr>
      </w:pPr>
      <w:bookmarkStart w:id="12" w:name="_Toc107476330"/>
      <w:bookmarkStart w:id="13" w:name="_Toc106373864"/>
      <w:r>
        <w:rPr>
          <w:rStyle w:val="CharSectno"/>
        </w:rPr>
        <w:t>3</w:t>
      </w:r>
      <w:r>
        <w:rPr>
          <w:snapToGrid w:val="0"/>
        </w:rPr>
        <w:t>.</w:t>
      </w:r>
      <w:r>
        <w:rPr>
          <w:snapToGrid w:val="0"/>
        </w:rPr>
        <w:tab/>
        <w:t>Application of Act off</w:t>
      </w:r>
      <w:r>
        <w:rPr>
          <w:snapToGrid w:val="0"/>
        </w:rPr>
        <w:noBreakHyphen/>
        <w:t>shore</w:t>
      </w:r>
      <w:bookmarkEnd w:id="12"/>
      <w:bookmarkEnd w:id="13"/>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related industrial matter or industrial action, and any jurisdiction, function, duty, or power exercisable, imposed, or conferred by or under this Act extends to the matter or action.</w:t>
      </w:r>
    </w:p>
    <w:p>
      <w:pPr>
        <w:pStyle w:val="Subsection"/>
        <w:spacing w:before="120"/>
        <w:rPr>
          <w:snapToGrid w:val="0"/>
        </w:rPr>
      </w:pPr>
      <w:r>
        <w:rPr>
          <w:snapToGrid w:val="0"/>
        </w:rPr>
        <w:tab/>
        <w:t>(2)</w:t>
      </w:r>
      <w:r>
        <w:rPr>
          <w:snapToGrid w:val="0"/>
        </w:rPr>
        <w:tab/>
        <w:t>For the purposes of subsection (1), an employer is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is, in the absence of proof to the contrary, taken to be proved if it is either of the following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w:t>
      </w:r>
      <w:r>
        <w:t>(3).</w:t>
      </w:r>
    </w:p>
    <w:p>
      <w:pPr>
        <w:pStyle w:val="Subsection"/>
        <w:rPr>
          <w:snapToGrid w:val="0"/>
        </w:rPr>
      </w:pPr>
      <w:r>
        <w:rPr>
          <w:snapToGrid w:val="0"/>
        </w:rPr>
        <w:tab/>
        <w:t>(5)</w:t>
      </w:r>
      <w:r>
        <w:rPr>
          <w:snapToGrid w:val="0"/>
        </w:rPr>
        <w:tab/>
        <w:t xml:space="preserve">Subsections (1), (2), and (3) must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Subsections (1), (2), and (3) have effect only where this Act or any provision of this Act would not otherwise apply as a law of the State, or be applied as a law of the Commonwealth, to or in relation to any person, circumstance, thing, or place.</w:t>
      </w:r>
    </w:p>
    <w:p>
      <w:pPr>
        <w:pStyle w:val="Footnotesection"/>
      </w:pPr>
      <w:r>
        <w:tab/>
        <w:t>[Section 3 amended: No. 10 of 1982 s. 28; No. 10 of 2001 s. 111; No. 30 of 2021 s. 76(2) and (8), 78(1) and (7).]</w:t>
      </w:r>
    </w:p>
    <w:p>
      <w:pPr>
        <w:pStyle w:val="Heading5"/>
        <w:pageBreakBefore/>
        <w:spacing w:before="0"/>
        <w:rPr>
          <w:snapToGrid w:val="0"/>
        </w:rPr>
      </w:pPr>
      <w:bookmarkStart w:id="14" w:name="_Toc107476331"/>
      <w:bookmarkStart w:id="15" w:name="_Toc106373865"/>
      <w:r>
        <w:rPr>
          <w:rStyle w:val="CharSectno"/>
        </w:rPr>
        <w:t>4</w:t>
      </w:r>
      <w:r>
        <w:rPr>
          <w:snapToGrid w:val="0"/>
        </w:rPr>
        <w:t>.</w:t>
      </w:r>
      <w:r>
        <w:rPr>
          <w:snapToGrid w:val="0"/>
        </w:rPr>
        <w:tab/>
        <w:t>Repeal</w:t>
      </w:r>
      <w:bookmarkEnd w:id="14"/>
      <w:bookmarkEnd w:id="15"/>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repealed.</w:t>
      </w:r>
    </w:p>
    <w:p>
      <w:pPr>
        <w:pStyle w:val="Footnotesection"/>
      </w:pPr>
      <w:r>
        <w:tab/>
        <w:t>[Section 4 amended: No. 30 of 2021 s. 78(2).]</w:t>
      </w:r>
    </w:p>
    <w:p>
      <w:pPr>
        <w:pStyle w:val="Ednotesection"/>
      </w:pPr>
      <w:r>
        <w:t>[</w:t>
      </w:r>
      <w:r>
        <w:rPr>
          <w:b/>
        </w:rPr>
        <w:t>5.</w:t>
      </w:r>
      <w:r>
        <w:tab/>
        <w:t>Deleted: No. 79 of 1995 s. 66(2).]</w:t>
      </w:r>
    </w:p>
    <w:p>
      <w:pPr>
        <w:pStyle w:val="Heading5"/>
        <w:rPr>
          <w:snapToGrid w:val="0"/>
        </w:rPr>
      </w:pPr>
      <w:bookmarkStart w:id="16" w:name="_Toc107476332"/>
      <w:bookmarkStart w:id="17" w:name="_Toc106373866"/>
      <w:r>
        <w:rPr>
          <w:rStyle w:val="CharSectno"/>
        </w:rPr>
        <w:t>6</w:t>
      </w:r>
      <w:r>
        <w:rPr>
          <w:snapToGrid w:val="0"/>
        </w:rPr>
        <w:t>.</w:t>
      </w:r>
      <w:r>
        <w:rPr>
          <w:snapToGrid w:val="0"/>
        </w:rPr>
        <w:tab/>
        <w:t>Objects of Act</w:t>
      </w:r>
      <w:bookmarkEnd w:id="16"/>
      <w:bookmarkEnd w:id="17"/>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 xml:space="preserve">to encourage, and provide means for, conciliation with a view to amicable </w:t>
      </w:r>
      <w:r>
        <w:t>agreement and</w:t>
      </w:r>
      <w:r>
        <w:rPr>
          <w:snapToGrid w:val="0"/>
        </w:rPr>
        <w:t xml:space="preserve">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No. 94 of 1984 s. 5; amended: No. 20 of 2002 s. 114 and 127</w:t>
      </w:r>
      <w:bookmarkStart w:id="18" w:name="_Hlk106094328"/>
      <w:r>
        <w:t>; No. 30 of 2021 s. 4</w:t>
      </w:r>
      <w:bookmarkEnd w:id="18"/>
      <w:r>
        <w:t xml:space="preserve"> and 78(7).]</w:t>
      </w:r>
    </w:p>
    <w:p>
      <w:pPr>
        <w:pStyle w:val="Heading5"/>
        <w:rPr>
          <w:snapToGrid w:val="0"/>
        </w:rPr>
      </w:pPr>
      <w:bookmarkStart w:id="19" w:name="_Toc107476333"/>
      <w:bookmarkStart w:id="20" w:name="_Toc106373867"/>
      <w:r>
        <w:rPr>
          <w:rStyle w:val="CharSectno"/>
        </w:rPr>
        <w:t>7</w:t>
      </w:r>
      <w:r>
        <w:rPr>
          <w:snapToGrid w:val="0"/>
        </w:rPr>
        <w:t>.</w:t>
      </w:r>
      <w:r>
        <w:rPr>
          <w:snapToGrid w:val="0"/>
        </w:rPr>
        <w:tab/>
        <w:t>Terms used</w:t>
      </w:r>
      <w:bookmarkEnd w:id="19"/>
      <w:bookmarkEnd w:id="20"/>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tab/>
      </w:r>
      <w:r>
        <w:rPr>
          <w:rStyle w:val="CharDefText"/>
        </w:rPr>
        <w:t>approved form</w:t>
      </w:r>
      <w:r>
        <w:t xml:space="preserve"> means a form approved by the Chief Commissioner for the purposes of the provision in which the term is used;</w:t>
      </w:r>
    </w:p>
    <w:p>
      <w:pPr>
        <w:pStyle w:val="Defstart"/>
      </w:pPr>
      <w:r>
        <w:rPr>
          <w:b/>
        </w:rPr>
        <w:tab/>
      </w:r>
      <w:r>
        <w:rPr>
          <w:rStyle w:val="CharDefText"/>
        </w:rPr>
        <w:t>association</w:t>
      </w:r>
      <w:r>
        <w:t xml:space="preserve"> means an association that is registered under Division 4 of Part II;</w:t>
      </w:r>
    </w:p>
    <w:p>
      <w:pPr>
        <w:pStyle w:val="Defstart"/>
      </w:pPr>
      <w:r>
        <w:tab/>
      </w:r>
      <w:r>
        <w:rPr>
          <w:rStyle w:val="CharDefText"/>
        </w:rPr>
        <w:t>award</w:t>
      </w:r>
      <w:r>
        <w:t xml:space="preserve"> — </w:t>
      </w:r>
    </w:p>
    <w:p>
      <w:pPr>
        <w:pStyle w:val="Defpara"/>
      </w:pPr>
      <w:r>
        <w:tab/>
        <w:t>(a)</w:t>
      </w:r>
      <w:r>
        <w:tab/>
        <w:t>means an award made by the Commission under this Act; and</w:t>
      </w:r>
    </w:p>
    <w:p>
      <w:pPr>
        <w:pStyle w:val="Defpara"/>
      </w:pPr>
      <w:r>
        <w:tab/>
        <w:t>(b)</w:t>
      </w:r>
      <w:r>
        <w:tab/>
        <w:t>for the purposes of section 37C(1), includes an award made under a law of the Commonwealth, another State or a Territory extending to and binding employees;</w:t>
      </w:r>
    </w:p>
    <w:p>
      <w:pPr>
        <w:pStyle w:val="Defstart"/>
      </w:pPr>
      <w:r>
        <w:rPr>
          <w:b/>
        </w:rPr>
        <w:tab/>
      </w:r>
      <w:r>
        <w:rPr>
          <w:rStyle w:val="CharDefText"/>
        </w:rPr>
        <w:t>calling</w:t>
      </w:r>
      <w:r>
        <w:t xml:space="preserve"> means any trade, craft, occupation, or classification of an employee;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tab/>
      </w:r>
      <w:r>
        <w:rPr>
          <w:rStyle w:val="CharDefText"/>
        </w:rPr>
        <w:t>employee</w:t>
      </w:r>
      <w:r>
        <w:t xml:space="preserve"> means — </w:t>
      </w:r>
    </w:p>
    <w:p>
      <w:pPr>
        <w:pStyle w:val="Defpara"/>
      </w:pPr>
      <w:r>
        <w:tab/>
        <w:t>(a)</w:t>
      </w:r>
      <w:r>
        <w:tab/>
        <w:t>a person who is employed by an employer to do work for hire or reward, including as an apprentice; or</w:t>
      </w:r>
    </w:p>
    <w:p>
      <w:pPr>
        <w:pStyle w:val="Defpara"/>
      </w:pPr>
      <w:r>
        <w:tab/>
        <w:t>(b)</w:t>
      </w:r>
      <w:r>
        <w:tab/>
        <w:t>a person whose usual status is that of an employee;</w:t>
      </w:r>
    </w:p>
    <w:p>
      <w:pPr>
        <w:pStyle w:val="Defstart"/>
      </w:pPr>
      <w:r>
        <w:tab/>
      </w:r>
      <w:r>
        <w:rPr>
          <w:rStyle w:val="CharDefText"/>
        </w:rPr>
        <w:t>employer</w:t>
      </w:r>
      <w:r>
        <w:t xml:space="preserve"> means — </w:t>
      </w:r>
    </w:p>
    <w:p>
      <w:pPr>
        <w:pStyle w:val="Defpara"/>
      </w:pPr>
      <w:r>
        <w:tab/>
        <w:t>(a)</w:t>
      </w:r>
      <w:r>
        <w:tab/>
        <w:t>a person or public authority employing 1 or more employees; or</w:t>
      </w:r>
    </w:p>
    <w:p>
      <w:pPr>
        <w:pStyle w:val="Defpara"/>
      </w:pPr>
      <w:r>
        <w:tab/>
        <w:t>(b)</w:t>
      </w:r>
      <w:r>
        <w:tab/>
        <w:t xml:space="preserve">except as provided in the </w:t>
      </w:r>
      <w:r>
        <w:rPr>
          <w:i/>
        </w:rPr>
        <w:t>Foreign States Immunities Act 1985</w:t>
      </w:r>
      <w:r>
        <w:t xml:space="preserve"> (Commonwealth) section 12, a foreign state or consulate employing 1 or more employees; or</w:t>
      </w:r>
    </w:p>
    <w:p>
      <w:pPr>
        <w:pStyle w:val="Defpara"/>
      </w:pPr>
      <w:r>
        <w:tab/>
        <w:t>(c)</w:t>
      </w:r>
      <w:r>
        <w:tab/>
        <w:t>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pPr>
      <w:r>
        <w:tab/>
      </w:r>
      <w:r>
        <w:rPr>
          <w:rStyle w:val="CharDefText"/>
        </w:rPr>
        <w:t>enterprise award</w:t>
      </w:r>
      <w:r>
        <w:t xml:space="preserve"> means an award that extends to and binds a single employer who is not a body or entity referred to in the definition of public sector award;</w:t>
      </w:r>
    </w:p>
    <w:p>
      <w:pPr>
        <w:pStyle w:val="Defstart"/>
        <w:spacing w:before="90"/>
      </w:pPr>
      <w:r>
        <w:tab/>
      </w:r>
      <w:r>
        <w:rPr>
          <w:rStyle w:val="CharDefText"/>
        </w:rPr>
        <w:t>enterprise order</w:t>
      </w:r>
      <w:r>
        <w:t xml:space="preserve"> has the meaning given by section 42I(1);</w:t>
      </w:r>
    </w:p>
    <w:p>
      <w:pPr>
        <w:pStyle w:val="Defstart"/>
      </w:pPr>
      <w:r>
        <w:tab/>
      </w:r>
      <w:r>
        <w:rPr>
          <w:rStyle w:val="CharDefText"/>
        </w:rPr>
        <w:t>entitlement provision</w:t>
      </w:r>
      <w:r>
        <w:t xml:space="preserve"> means — </w:t>
      </w:r>
    </w:p>
    <w:p>
      <w:pPr>
        <w:pStyle w:val="Defpara"/>
      </w:pPr>
      <w:r>
        <w:tab/>
        <w:t>(a)</w:t>
      </w:r>
      <w:r>
        <w:tab/>
        <w:t xml:space="preserve">a provision of any of the following — </w:t>
      </w:r>
    </w:p>
    <w:p>
      <w:pPr>
        <w:pStyle w:val="Defsubpara"/>
      </w:pPr>
      <w:r>
        <w:tab/>
        <w:t>(i)</w:t>
      </w:r>
      <w:r>
        <w:tab/>
        <w:t>an award;</w:t>
      </w:r>
    </w:p>
    <w:p>
      <w:pPr>
        <w:pStyle w:val="Defsubpara"/>
      </w:pPr>
      <w:r>
        <w:tab/>
        <w:t>(ii)</w:t>
      </w:r>
      <w:r>
        <w:tab/>
        <w:t>an industrial agreement;</w:t>
      </w:r>
    </w:p>
    <w:p>
      <w:pPr>
        <w:pStyle w:val="Defsubpara"/>
      </w:pPr>
      <w:r>
        <w:tab/>
        <w:t>(iii)</w:t>
      </w:r>
      <w:r>
        <w:tab/>
        <w:t>an employer</w:t>
      </w:r>
      <w:r>
        <w:noBreakHyphen/>
        <w:t>employee agreement;</w:t>
      </w:r>
    </w:p>
    <w:p>
      <w:pPr>
        <w:pStyle w:val="Defsubpara"/>
      </w:pPr>
      <w:r>
        <w:tab/>
        <w:t>(iv)</w:t>
      </w:r>
      <w:r>
        <w:tab/>
        <w:t>an order made by the Commission, other than an order made under section 23A, 32(8), 44(6) or 66;</w:t>
      </w:r>
    </w:p>
    <w:p>
      <w:pPr>
        <w:pStyle w:val="Defpara"/>
      </w:pPr>
      <w:r>
        <w:tab/>
      </w:r>
      <w:r>
        <w:tab/>
        <w:t>or</w:t>
      </w:r>
    </w:p>
    <w:p>
      <w:pPr>
        <w:pStyle w:val="Defpara"/>
      </w:pPr>
      <w:r>
        <w:tab/>
        <w:t>(b)</w:t>
      </w:r>
      <w:r>
        <w:tab/>
        <w:t>a provision of the LSL Act Part III; or</w:t>
      </w:r>
    </w:p>
    <w:p>
      <w:pPr>
        <w:pStyle w:val="Defpara"/>
      </w:pPr>
      <w:r>
        <w:tab/>
        <w:t>(c)</w:t>
      </w:r>
      <w:r>
        <w:tab/>
        <w:t>a minimum condition of employment as defined in the MCE Act section 3(1);</w:t>
      </w:r>
    </w:p>
    <w:p>
      <w:pPr>
        <w:pStyle w:val="Defstart"/>
      </w:pPr>
      <w:r>
        <w:tab/>
      </w:r>
      <w:r>
        <w:rPr>
          <w:rStyle w:val="CharDefText"/>
        </w:rPr>
        <w:t>equal remuneration</w:t>
      </w:r>
      <w:r>
        <w:t xml:space="preserve"> means equal remuneration for men and women for work of equal or comparable value;</w:t>
      </w:r>
    </w:p>
    <w:p>
      <w:pPr>
        <w:pStyle w:val="Defstart"/>
      </w:pPr>
      <w:r>
        <w:tab/>
      </w:r>
      <w:r>
        <w:rPr>
          <w:rStyle w:val="CharDefText"/>
        </w:rPr>
        <w:t>equal remuneration order</w:t>
      </w:r>
      <w:r>
        <w:t xml:space="preserve"> has the meaning given in section 51O(2);</w:t>
      </w:r>
    </w:p>
    <w:p>
      <w:pPr>
        <w:pStyle w:val="Defstart"/>
      </w:pPr>
      <w:r>
        <w:tab/>
      </w:r>
      <w:r>
        <w:rPr>
          <w:rStyle w:val="CharDefText"/>
        </w:rPr>
        <w:t>federal organisation</w:t>
      </w:r>
      <w:r>
        <w:t xml:space="preserve"> means an organisation of employees registered under the FW (Registered Organisations) Act;</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pPr>
      <w:r>
        <w:tab/>
      </w:r>
      <w:r>
        <w:rPr>
          <w:rStyle w:val="CharDefText"/>
        </w:rPr>
        <w:t>FW Act</w:t>
      </w:r>
      <w:r>
        <w:t xml:space="preserve"> means the </w:t>
      </w:r>
      <w:r>
        <w:rPr>
          <w:i/>
        </w:rPr>
        <w:t>Fair Work Act 2009</w:t>
      </w:r>
      <w:r>
        <w:t xml:space="preserve"> (Commonwealth);</w:t>
      </w:r>
    </w:p>
    <w:p>
      <w:pPr>
        <w:pStyle w:val="Defstart"/>
      </w:pPr>
      <w:r>
        <w:tab/>
      </w:r>
      <w:r>
        <w:rPr>
          <w:rStyle w:val="CharDefText"/>
        </w:rPr>
        <w:t>FW Commission</w:t>
      </w:r>
      <w:r>
        <w:t xml:space="preserve"> means the body established by the FW Act section 575;</w:t>
      </w:r>
    </w:p>
    <w:p>
      <w:pPr>
        <w:pStyle w:val="Defstart"/>
      </w:pPr>
      <w:r>
        <w:tab/>
      </w:r>
      <w:r>
        <w:rPr>
          <w:rStyle w:val="CharDefText"/>
        </w:rPr>
        <w:t>FW (Registered Organisations) Act</w:t>
      </w:r>
      <w:r>
        <w:t xml:space="preserve"> means the </w:t>
      </w:r>
      <w:r>
        <w:rPr>
          <w:i/>
        </w:rPr>
        <w:t>Fair Work (Registered Organisations) Act 2009</w:t>
      </w:r>
      <w:r>
        <w:t xml:space="preserve"> (Commonwealth);</w:t>
      </w:r>
    </w:p>
    <w:p>
      <w:pPr>
        <w:pStyle w:val="Defstart"/>
      </w:pPr>
      <w:r>
        <w:tab/>
      </w:r>
      <w:r>
        <w:rPr>
          <w:rStyle w:val="CharDefText"/>
        </w:rPr>
        <w:t>FW (Transitional) Act</w:t>
      </w:r>
      <w:r>
        <w:t xml:space="preserve"> means the </w:t>
      </w:r>
      <w:r>
        <w:rPr>
          <w:i/>
        </w:rPr>
        <w:t>Fair Work (Transitional Provisions and Consequential Amendments) Act 2009</w:t>
      </w:r>
      <w:r>
        <w:t xml:space="preserve"> (Commonwealth);</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for the purposes of section 49D or in relation to a SWIIP — an employer</w:t>
      </w:r>
      <w:r>
        <w:noBreakHyphen/>
        <w:t>employee agreement;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in the industry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of an organisation or association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performance of the functions of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rPr>
          <w:del w:id="21" w:author="Master Repository Process" w:date="2022-06-30T14:38:00Z"/>
        </w:rPr>
      </w:pPr>
      <w:del w:id="22" w:author="Master Repository Process" w:date="2022-06-30T14:38:00Z">
        <w:r>
          <w:rPr>
            <w:b/>
          </w:rPr>
          <w:tab/>
        </w:r>
        <w:r>
          <w:rPr>
            <w:rStyle w:val="CharDefText"/>
          </w:rPr>
          <w:delText>legal practitioner</w:delText>
        </w:r>
        <w:r>
          <w:delText xml:space="preserve"> means an Australian legal practitioner within the meaning of that term in the </w:delText>
        </w:r>
        <w:r>
          <w:rPr>
            <w:i/>
            <w:iCs/>
          </w:rPr>
          <w:delText>Legal Profession Act 2008</w:delText>
        </w:r>
        <w:r>
          <w:delText xml:space="preserve"> section 3;</w:delText>
        </w:r>
      </w:del>
    </w:p>
    <w:p>
      <w:pPr>
        <w:pStyle w:val="Defstart"/>
      </w:pPr>
      <w:r>
        <w:tab/>
      </w:r>
      <w:r>
        <w:rPr>
          <w:rStyle w:val="CharDefText"/>
        </w:rPr>
        <w:t>LSL Act</w:t>
      </w:r>
      <w:r>
        <w:t xml:space="preserve"> means the </w:t>
      </w:r>
      <w:r>
        <w:rPr>
          <w:i/>
        </w:rPr>
        <w:t>Long Service Leave Act 1958</w:t>
      </w:r>
      <w:r>
        <w:t>;</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Commission under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tab/>
      </w:r>
      <w:r>
        <w:rPr>
          <w:rStyle w:val="CharDefText"/>
        </w:rPr>
        <w:t>presiding commissioner</w:t>
      </w:r>
      <w:r>
        <w:t>, of the Full Bench, means the presiding commissioner under section 15(1A);</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chairperson of that organisation or association;</w:t>
      </w:r>
    </w:p>
    <w:p>
      <w:pPr>
        <w:pStyle w:val="Defstart"/>
      </w:pPr>
      <w:r>
        <w:tab/>
      </w:r>
      <w:r>
        <w:rPr>
          <w:rStyle w:val="CharDefText"/>
        </w:rPr>
        <w:t>private sector award</w:t>
      </w:r>
      <w:r>
        <w:t xml:space="preserve"> means an award other than a public sector award or enterprise award;</w:t>
      </w:r>
    </w:p>
    <w:p>
      <w:pPr>
        <w:pStyle w:val="Defstart"/>
      </w:pPr>
      <w:r>
        <w:tab/>
      </w:r>
      <w:r>
        <w:rPr>
          <w:rStyle w:val="CharDefText"/>
        </w:rPr>
        <w:t>produce</w:t>
      </w:r>
      <w:r>
        <w:t xml:space="preserve"> includes exhibit, send or deliver;</w:t>
      </w:r>
    </w:p>
    <w:p>
      <w:pPr>
        <w:pStyle w:val="Defstart"/>
      </w:pPr>
      <w:r>
        <w:rPr>
          <w:b/>
        </w:rPr>
        <w:tab/>
      </w:r>
      <w:r>
        <w:rPr>
          <w:rStyle w:val="CharDefText"/>
        </w:rPr>
        <w:t>public authority</w:t>
      </w:r>
      <w:r>
        <w:t xml:space="preserve"> means the Crown,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the Governor’s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keepNext/>
      </w:pPr>
      <w:r>
        <w:tab/>
      </w:r>
      <w:r>
        <w:rPr>
          <w:rStyle w:val="CharDefText"/>
        </w:rPr>
        <w:t>public sector award</w:t>
      </w:r>
      <w:r>
        <w:t xml:space="preserve"> means an award that only extends to and binds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specified in the </w:t>
      </w:r>
      <w:r>
        <w:rPr>
          <w:i/>
        </w:rPr>
        <w:t>Public Sector Management Act 1994</w:t>
      </w:r>
      <w:r>
        <w:t xml:space="preserve"> Schedule 1 column 2;</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record</w:t>
      </w:r>
      <w:r>
        <w:rPr>
          <w:rStyle w:val="CharDefText"/>
        </w:rPr>
        <w:noBreakHyphen/>
        <w:t>related civil penalty provision</w:t>
      </w:r>
      <w:r>
        <w:t xml:space="preserve"> means the following — </w:t>
      </w:r>
    </w:p>
    <w:p>
      <w:pPr>
        <w:pStyle w:val="Defpara"/>
      </w:pPr>
      <w:r>
        <w:tab/>
        <w:t>(a)</w:t>
      </w:r>
      <w:r>
        <w:tab/>
        <w:t>section 49D(1), (6) or (8);</w:t>
      </w:r>
    </w:p>
    <w:p>
      <w:pPr>
        <w:pStyle w:val="Defpara"/>
      </w:pPr>
      <w:r>
        <w:tab/>
        <w:t>(b)</w:t>
      </w:r>
      <w:r>
        <w:tab/>
        <w:t>section 49DA(1) or (3);</w:t>
      </w:r>
    </w:p>
    <w:p>
      <w:pPr>
        <w:pStyle w:val="Defpara"/>
      </w:pPr>
      <w:r>
        <w:tab/>
        <w:t>(c)</w:t>
      </w:r>
      <w:r>
        <w:tab/>
        <w:t>section 49E(1);</w:t>
      </w:r>
    </w:p>
    <w:p>
      <w:pPr>
        <w:pStyle w:val="Defpara"/>
      </w:pPr>
      <w:r>
        <w:tab/>
        <w:t>(d)</w:t>
      </w:r>
      <w:r>
        <w:tab/>
        <w:t>section 102(1)(a);</w:t>
      </w:r>
    </w:p>
    <w:p>
      <w:pPr>
        <w:pStyle w:val="Defpara"/>
      </w:pPr>
      <w:r>
        <w:tab/>
        <w:t>(e)</w:t>
      </w:r>
      <w:r>
        <w:tab/>
        <w:t>the LSL Act section 7I(2), 26(1) or (2) or 26A(1);</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Commission in Court Session;</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tab/>
      </w:r>
      <w:r>
        <w:rPr>
          <w:rStyle w:val="CharDefText"/>
        </w:rPr>
        <w:t>secondary office</w:t>
      </w:r>
      <w:r>
        <w:t>, in relation to a person who holds the office of commissioner and is subsequently appointed to an office of the FW Commission under section 14A, means the office of member of the FW Commission;</w:t>
      </w:r>
    </w:p>
    <w:p>
      <w:pPr>
        <w:pStyle w:val="Defstart"/>
      </w:pPr>
      <w:r>
        <w:rPr>
          <w:b/>
        </w:rPr>
        <w:tab/>
      </w:r>
      <w:r>
        <w:rPr>
          <w:rStyle w:val="CharDefText"/>
        </w:rPr>
        <w:t>Senior Commissioner</w:t>
      </w:r>
      <w:r>
        <w:t xml:space="preserve"> includes an acting Senior Commissioner;</w:t>
      </w:r>
    </w:p>
    <w:p>
      <w:pPr>
        <w:pStyle w:val="Defstart"/>
      </w:pPr>
      <w:r>
        <w:tab/>
      </w:r>
      <w:r>
        <w:rPr>
          <w:rStyle w:val="CharDefText"/>
        </w:rPr>
        <w:t>serious contravention</w:t>
      </w:r>
      <w:r>
        <w:t xml:space="preserve"> has the meaning given in section 83EA(2);</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tab/>
      </w:r>
      <w:r>
        <w:rPr>
          <w:rStyle w:val="CharDefText"/>
        </w:rPr>
        <w:t>supported wage industrial instrument provision</w:t>
      </w:r>
      <w:r>
        <w:t xml:space="preserve"> or </w:t>
      </w:r>
      <w:r>
        <w:rPr>
          <w:rStyle w:val="CharDefText"/>
        </w:rPr>
        <w:t>SWIIP</w:t>
      </w:r>
      <w:r>
        <w:t xml:space="preserve"> means a provision of an industrial instrument that — </w:t>
      </w:r>
    </w:p>
    <w:p>
      <w:pPr>
        <w:pStyle w:val="Defpara"/>
      </w:pPr>
      <w:r>
        <w:tab/>
        <w:t>(a)</w:t>
      </w:r>
      <w:r>
        <w:tab/>
        <w:t>applies to an employee with a disability; and</w:t>
      </w:r>
    </w:p>
    <w:p>
      <w:pPr>
        <w:pStyle w:val="Defpara"/>
      </w:pPr>
      <w:r>
        <w:tab/>
        <w:t>(b)</w:t>
      </w:r>
      <w:r>
        <w:tab/>
        <w:t xml:space="preserve">provides a means (a </w:t>
      </w:r>
      <w:r>
        <w:rPr>
          <w:rStyle w:val="CharDefText"/>
        </w:rPr>
        <w:t>wage assessment tool</w:t>
      </w:r>
      <w:r>
        <w:t>) for the assessment of whether, and the extent to which, the employee’s productive capacity is reduced because of the disability; and</w:t>
      </w:r>
    </w:p>
    <w:p>
      <w:pPr>
        <w:pStyle w:val="Defpara"/>
      </w:pPr>
      <w:r>
        <w:tab/>
        <w:t>(c)</w:t>
      </w:r>
      <w:r>
        <w:tab/>
        <w:t xml:space="preserve">provides that the employer may pay a wage that — </w:t>
      </w:r>
    </w:p>
    <w:p>
      <w:pPr>
        <w:pStyle w:val="Defsubpara"/>
      </w:pPr>
      <w:r>
        <w:tab/>
        <w:t>(i)</w:t>
      </w:r>
      <w:r>
        <w:tab/>
        <w:t>relates to the employee’s productive capacity as assessed using the wage assessment tool; and</w:t>
      </w:r>
    </w:p>
    <w:p>
      <w:pPr>
        <w:pStyle w:val="Defsubpara"/>
      </w:pPr>
      <w:r>
        <w:tab/>
        <w:t>(ii)</w:t>
      </w:r>
      <w:r>
        <w:tab/>
        <w:t>may be less than the applicable minimum wage in the industrial instrument;</w:t>
      </w:r>
    </w:p>
    <w:p>
      <w:pPr>
        <w:pStyle w:val="Defstart"/>
      </w:pPr>
      <w:r>
        <w:tab/>
      </w:r>
      <w:r>
        <w:rPr>
          <w:rStyle w:val="CharDefText"/>
        </w:rPr>
        <w:t>Supported Wage System</w:t>
      </w:r>
      <w:r>
        <w:t xml:space="preserve"> or </w:t>
      </w:r>
      <w:r>
        <w:rPr>
          <w:rStyle w:val="CharDefText"/>
        </w:rPr>
        <w:t>SWS</w:t>
      </w:r>
      <w:r>
        <w:t xml:space="preserve"> means the scheme known by that name established by the Commonwealth Government to enable the assessment of whether, and the extent to which, a person’s productive capacity is reduced because of a disability;</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the employee’s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Subsection"/>
        <w:rPr>
          <w:snapToGrid w:val="0"/>
        </w:rPr>
      </w:pPr>
      <w:r>
        <w:rPr>
          <w:snapToGrid w:val="0"/>
        </w:rPr>
        <w:tab/>
        <w:t>(2)</w:t>
      </w:r>
      <w:r>
        <w:rPr>
          <w:snapToGrid w:val="0"/>
        </w:rPr>
        <w:tab/>
        <w:t xml:space="preserve">In subsection (2A) — </w:t>
      </w:r>
    </w:p>
    <w:p>
      <w:pPr>
        <w:pStyle w:val="Defstart"/>
      </w:pPr>
      <w:r>
        <w:tab/>
      </w:r>
      <w:r>
        <w:rPr>
          <w:rStyle w:val="CharDefText"/>
        </w:rPr>
        <w:t>bullying or sexual harassment</w:t>
      </w:r>
      <w:r>
        <w:t xml:space="preserve"> means behaviour to which section 51BI(1) or (3) applies;</w:t>
      </w:r>
    </w:p>
    <w:p>
      <w:pPr>
        <w:pStyle w:val="Defstart"/>
      </w:pPr>
      <w:r>
        <w:tab/>
      </w:r>
      <w:r>
        <w:rPr>
          <w:rStyle w:val="CharDefText"/>
        </w:rPr>
        <w:t>worker</w:t>
      </w:r>
      <w:r>
        <w:t xml:space="preserve"> has the meaning given in section 51BH.</w:t>
      </w:r>
    </w:p>
    <w:p>
      <w:pPr>
        <w:pStyle w:val="Subsection"/>
        <w:rPr>
          <w:snapToGrid w:val="0"/>
        </w:rPr>
      </w:pPr>
      <w:r>
        <w:rPr>
          <w:snapToGrid w:val="0"/>
        </w:rPr>
        <w:tab/>
        <w:t>(2A)</w:t>
      </w:r>
      <w:r>
        <w:rPr>
          <w:snapToGrid w:val="0"/>
        </w:rPr>
        <w:tab/>
        <w:t xml:space="preserve">A matter relating </w:t>
      </w:r>
      <w:r>
        <w:t xml:space="preserve">or pertaining </w:t>
      </w:r>
      <w:r>
        <w:rPr>
          <w:snapToGrid w:val="0"/>
        </w:rPr>
        <w:t>to the bullying or sexual harassment of a worker is an industrial matter.</w:t>
      </w:r>
    </w:p>
    <w:p>
      <w:pPr>
        <w:pStyle w:val="Subsection"/>
      </w:pPr>
      <w:r>
        <w:tab/>
        <w:t>(3)</w:t>
      </w:r>
      <w:r>
        <w:tab/>
        <w:t xml:space="preserve">Any matter within the Commission’s jurisdiction conferred by the </w:t>
      </w:r>
      <w:r>
        <w:rPr>
          <w:i/>
        </w:rPr>
        <w:t>Work Health and Safety Act 2020</w:t>
      </w:r>
      <w:r>
        <w:t xml:space="preserve"> Schedule 1 clause 27(1) is not an industrial matter.</w:t>
      </w:r>
    </w:p>
    <w:p>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or to any proceeding based on that determination, and in the determination of any application for a prerogative writ or declaratory judgment regard must not be had to the existence of any right of appeal under this Act.</w:t>
      </w:r>
    </w:p>
    <w:p>
      <w:pPr>
        <w:pStyle w:val="Ednotesubsection"/>
      </w:pPr>
      <w:r>
        <w:tab/>
        <w:t>[(5)</w:t>
      </w:r>
      <w:r>
        <w:tab/>
        <w:t>deleted]</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29(1)(d) to be referred to and dealt with by the Commission in respect of a person who would not be an employee but for the operation of subsection (6).</w:t>
      </w:r>
    </w:p>
    <w:p>
      <w:pPr>
        <w:pStyle w:val="Subsection"/>
        <w:keepNext/>
      </w:pPr>
      <w:r>
        <w:tab/>
        <w:t>(8)</w:t>
      </w:r>
      <w:r>
        <w:tab/>
        <w:t>Notes in this Act are provided to assist understanding and do not form part of the Act.</w:t>
      </w:r>
    </w:p>
    <w:p>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Gazette 15 Aug 2003 p. 3686;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No. 39 of 2018 s. 4; No. 36 of 2020 s. 358; No. 30 of 2021 s. 5, 75(1), 76(8), 77(1) and (13) and 78(7</w:t>
      </w:r>
      <w:del w:id="23" w:author="Master Repository Process" w:date="2022-06-30T14:38:00Z">
        <w:r>
          <w:delText>).]</w:delText>
        </w:r>
      </w:del>
      <w:ins w:id="24" w:author="Master Repository Process" w:date="2022-06-30T14:38:00Z">
        <w:r>
          <w:t>); No. 9 of 2022 s. 424.]</w:t>
        </w:r>
      </w:ins>
    </w:p>
    <w:p>
      <w:pPr>
        <w:pStyle w:val="Ednotepart"/>
      </w:pPr>
      <w:r>
        <w:t>[Part 1A (s. 7A</w:t>
      </w:r>
      <w:r>
        <w:noBreakHyphen/>
        <w:t>7G) deleted: No. 20 of 2002 s. 111(4) and 113(1).]</w:t>
      </w:r>
    </w:p>
    <w:p>
      <w:pPr>
        <w:pStyle w:val="Heading2"/>
      </w:pPr>
      <w:bookmarkStart w:id="25" w:name="_Toc107322205"/>
      <w:bookmarkStart w:id="26" w:name="_Toc107476334"/>
      <w:bookmarkStart w:id="27" w:name="_Toc105759954"/>
      <w:bookmarkStart w:id="28" w:name="_Toc106195195"/>
      <w:bookmarkStart w:id="29" w:name="_Toc106367137"/>
      <w:bookmarkStart w:id="30" w:name="_Toc106373868"/>
      <w:r>
        <w:rPr>
          <w:rStyle w:val="CharPartNo"/>
        </w:rPr>
        <w:t>Part II</w:t>
      </w:r>
      <w:r>
        <w:t> — </w:t>
      </w:r>
      <w:r>
        <w:rPr>
          <w:rStyle w:val="CharPartText"/>
        </w:rPr>
        <w:t>The Western Australian Industrial Relations Commission</w:t>
      </w:r>
      <w:bookmarkEnd w:id="25"/>
      <w:bookmarkEnd w:id="26"/>
      <w:bookmarkEnd w:id="27"/>
      <w:bookmarkEnd w:id="28"/>
      <w:bookmarkEnd w:id="29"/>
      <w:bookmarkEnd w:id="30"/>
    </w:p>
    <w:p>
      <w:pPr>
        <w:pStyle w:val="Footnoteheading"/>
        <w:tabs>
          <w:tab w:val="left" w:pos="966"/>
        </w:tabs>
        <w:rPr>
          <w:snapToGrid w:val="0"/>
        </w:rPr>
      </w:pPr>
      <w:r>
        <w:rPr>
          <w:snapToGrid w:val="0"/>
        </w:rPr>
        <w:tab/>
        <w:t>[Heading amended: No. 94 of 1984 s. 7.]</w:t>
      </w:r>
    </w:p>
    <w:p>
      <w:pPr>
        <w:pStyle w:val="Heading3"/>
        <w:rPr>
          <w:snapToGrid w:val="0"/>
        </w:rPr>
      </w:pPr>
      <w:bookmarkStart w:id="31" w:name="_Toc107322206"/>
      <w:bookmarkStart w:id="32" w:name="_Toc107476335"/>
      <w:bookmarkStart w:id="33" w:name="_Toc105759955"/>
      <w:bookmarkStart w:id="34" w:name="_Toc106195196"/>
      <w:bookmarkStart w:id="35" w:name="_Toc106367138"/>
      <w:bookmarkStart w:id="36" w:name="_Toc106373869"/>
      <w:r>
        <w:rPr>
          <w:rStyle w:val="CharDivNo"/>
        </w:rPr>
        <w:t>Division 1</w:t>
      </w:r>
      <w:r>
        <w:rPr>
          <w:snapToGrid w:val="0"/>
        </w:rPr>
        <w:t> — </w:t>
      </w:r>
      <w:r>
        <w:rPr>
          <w:rStyle w:val="CharDivText"/>
        </w:rPr>
        <w:t>Constitution of the Commission</w:t>
      </w:r>
      <w:bookmarkEnd w:id="31"/>
      <w:bookmarkEnd w:id="32"/>
      <w:bookmarkEnd w:id="33"/>
      <w:bookmarkEnd w:id="34"/>
      <w:bookmarkEnd w:id="35"/>
      <w:bookmarkEnd w:id="36"/>
    </w:p>
    <w:p>
      <w:pPr>
        <w:pStyle w:val="Heading5"/>
        <w:rPr>
          <w:snapToGrid w:val="0"/>
        </w:rPr>
      </w:pPr>
      <w:bookmarkStart w:id="37" w:name="_Toc107476336"/>
      <w:bookmarkStart w:id="38" w:name="_Toc106373870"/>
      <w:r>
        <w:rPr>
          <w:rStyle w:val="CharSectno"/>
        </w:rPr>
        <w:t>8</w:t>
      </w:r>
      <w:r>
        <w:rPr>
          <w:snapToGrid w:val="0"/>
        </w:rPr>
        <w:t>.</w:t>
      </w:r>
      <w:r>
        <w:rPr>
          <w:snapToGrid w:val="0"/>
        </w:rPr>
        <w:tab/>
        <w:t>Commission constituted</w:t>
      </w:r>
      <w:bookmarkEnd w:id="37"/>
      <w:bookmarkEnd w:id="38"/>
    </w:p>
    <w:p>
      <w:pPr>
        <w:pStyle w:val="Subsection"/>
        <w:rPr>
          <w:snapToGrid w:val="0"/>
        </w:rPr>
      </w:pPr>
      <w:r>
        <w:rPr>
          <w:snapToGrid w:val="0"/>
        </w:rPr>
        <w:tab/>
        <w:t>(1)</w:t>
      </w:r>
      <w:r>
        <w:rPr>
          <w:snapToGrid w:val="0"/>
        </w:rPr>
        <w:tab/>
        <w:t>The Commission by the name The Western Australian Industrial Commission established under the repealed Act is continued in existence subject to this Act under the name The Western Australian Industrial Relations Commission.</w:t>
      </w:r>
    </w:p>
    <w:p>
      <w:pPr>
        <w:pStyle w:val="Subsection"/>
        <w:rPr>
          <w:snapToGrid w:val="0"/>
        </w:rPr>
      </w:pPr>
      <w:r>
        <w:rPr>
          <w:snapToGrid w:val="0"/>
        </w:rPr>
        <w:tab/>
        <w:t>(2)</w:t>
      </w:r>
      <w:r>
        <w:rPr>
          <w:snapToGrid w:val="0"/>
        </w:rPr>
        <w:tab/>
        <w:t xml:space="preserve">The Commission </w:t>
      </w:r>
      <w:r>
        <w:t>is to consist of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pPr>
        <w:pStyle w:val="Subsection"/>
      </w:pPr>
      <w:r>
        <w:tab/>
        <w:t>(3A)</w:t>
      </w:r>
      <w:r>
        <w:tab/>
        <w:t xml:space="preserve">At least 1 commissioner must, in addition to the other attributes required for appointment, have — </w:t>
      </w:r>
    </w:p>
    <w:p>
      <w:pPr>
        <w:pStyle w:val="Indenta"/>
      </w:pPr>
      <w:r>
        <w:tab/>
        <w:t>(a)</w:t>
      </w:r>
      <w:r>
        <w:tab/>
        <w:t>knowledge of, or experience in, the field of work health and safety; and</w:t>
      </w:r>
    </w:p>
    <w:p>
      <w:pPr>
        <w:pStyle w:val="Indenta"/>
      </w:pPr>
      <w:r>
        <w:tab/>
        <w:t>(b)</w:t>
      </w:r>
      <w:r>
        <w:tab/>
        <w:t xml:space="preserve">knowledge of the </w:t>
      </w:r>
      <w:r>
        <w:rPr>
          <w:i/>
        </w:rPr>
        <w:t>Work Health and Safety Act 2020</w:t>
      </w:r>
      <w:r>
        <w:t>,</w:t>
      </w:r>
    </w:p>
    <w:p>
      <w:pPr>
        <w:pStyle w:val="Subsection"/>
      </w:pPr>
      <w:r>
        <w:tab/>
      </w:r>
      <w:r>
        <w:tab/>
        <w:t>sufficient for exercising the jurisdiction that the commissioner designated under section 16(2A) is required to exercise.</w:t>
      </w:r>
    </w:p>
    <w:p>
      <w:pPr>
        <w:pStyle w:val="Subsection"/>
        <w:keepNext/>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is assigned to them by the Governor when appointing them.</w:t>
      </w:r>
    </w:p>
    <w:p>
      <w:pPr>
        <w:pStyle w:val="Footnotesection"/>
      </w:pPr>
      <w:r>
        <w:tab/>
        <w:t>[Section 8 amended: No. 94 of 1984 s. 8 and 66; No. 51 of 2004 s. 70(3); No. 68 of 2004 s. 87(3); No. 13 of 2005 s. 49(3); No. 35 of 2007 s. 97(3); No. 36 of 2009 s. 18; No. 39 of 2018 s. 5; No. 36 of 2020 s. 359; No. 30 of 2021 s. 76(3) and 78(2).]</w:t>
      </w:r>
    </w:p>
    <w:p>
      <w:pPr>
        <w:pStyle w:val="Heading5"/>
        <w:rPr>
          <w:snapToGrid w:val="0"/>
        </w:rPr>
      </w:pPr>
      <w:bookmarkStart w:id="39" w:name="_Toc107476337"/>
      <w:bookmarkStart w:id="40" w:name="_Toc106373871"/>
      <w:r>
        <w:rPr>
          <w:rStyle w:val="CharSectno"/>
        </w:rPr>
        <w:t>9</w:t>
      </w:r>
      <w:r>
        <w:rPr>
          <w:snapToGrid w:val="0"/>
        </w:rPr>
        <w:t>.</w:t>
      </w:r>
      <w:r>
        <w:rPr>
          <w:snapToGrid w:val="0"/>
        </w:rPr>
        <w:tab/>
        <w:t>Qualifications for appointment of Chief Commissioner</w:t>
      </w:r>
      <w:bookmarkEnd w:id="39"/>
      <w:bookmarkEnd w:id="40"/>
    </w:p>
    <w:p>
      <w:pPr>
        <w:pStyle w:val="Ednotesubsection"/>
      </w:pPr>
      <w:r>
        <w:tab/>
        <w:t>[(1)-(1a)</w:t>
      </w:r>
      <w:r>
        <w:tab/>
      </w:r>
      <w:r>
        <w:tab/>
        <w:t>deleted]</w:t>
      </w:r>
    </w:p>
    <w:p>
      <w:pPr>
        <w:pStyle w:val="Subsection"/>
        <w:rPr>
          <w:snapToGrid w:val="0"/>
        </w:rPr>
      </w:pPr>
      <w:r>
        <w:rPr>
          <w:snapToGrid w:val="0"/>
        </w:rPr>
        <w:tab/>
        <w:t>(2)</w:t>
      </w:r>
      <w:r>
        <w:rPr>
          <w:snapToGrid w:val="0"/>
        </w:rPr>
        <w:tab/>
        <w:t>A person must not be appointed Chief Commissioner unless —</w:t>
      </w:r>
    </w:p>
    <w:p>
      <w:pPr>
        <w:pStyle w:val="Indenta"/>
        <w:spacing w:before="120"/>
        <w:rPr>
          <w:snapToGrid w:val="0"/>
        </w:rPr>
      </w:pPr>
      <w:r>
        <w:rPr>
          <w:snapToGrid w:val="0"/>
        </w:rPr>
        <w:tab/>
        <w:t>(a)</w:t>
      </w:r>
      <w:r>
        <w:rPr>
          <w:snapToGrid w:val="0"/>
        </w:rPr>
        <w:tab/>
        <w:t>the person has had experience at a high level in industrial relations; or</w:t>
      </w:r>
    </w:p>
    <w:p>
      <w:pPr>
        <w:pStyle w:val="Indenta"/>
        <w:spacing w:before="120"/>
        <w:rPr>
          <w:snapToGrid w:val="0"/>
        </w:rPr>
      </w:pPr>
      <w:r>
        <w:rPr>
          <w:snapToGrid w:val="0"/>
        </w:rPr>
        <w:tab/>
        <w:t>(b)</w:t>
      </w:r>
      <w:r>
        <w:rPr>
          <w:snapToGrid w:val="0"/>
        </w:rPr>
        <w:tab/>
        <w:t>the person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No. 94 of 1984 s. 9; amended: No. 99 of 1990 s. 5; No. 21 of 2008 s. 668(3); No. 39 of 2018 s. 6; No. 30 of 2021 s. 76(2) and 77(2).]</w:t>
      </w:r>
    </w:p>
    <w:p>
      <w:pPr>
        <w:pStyle w:val="Heading5"/>
        <w:rPr>
          <w:snapToGrid w:val="0"/>
        </w:rPr>
      </w:pPr>
      <w:bookmarkStart w:id="41" w:name="_Toc107476338"/>
      <w:bookmarkStart w:id="42" w:name="_Toc106373872"/>
      <w:r>
        <w:rPr>
          <w:rStyle w:val="CharSectno"/>
        </w:rPr>
        <w:t>10</w:t>
      </w:r>
      <w:r>
        <w:rPr>
          <w:snapToGrid w:val="0"/>
        </w:rPr>
        <w:t>.</w:t>
      </w:r>
      <w:r>
        <w:rPr>
          <w:snapToGrid w:val="0"/>
        </w:rPr>
        <w:tab/>
        <w:t>Age limit for commissioners</w:t>
      </w:r>
      <w:bookmarkEnd w:id="41"/>
      <w:bookmarkEnd w:id="42"/>
    </w:p>
    <w:p>
      <w:pPr>
        <w:pStyle w:val="Subsection"/>
        <w:keepNext/>
        <w:keepLines/>
        <w:rPr>
          <w:snapToGrid w:val="0"/>
        </w:rPr>
      </w:pPr>
      <w:r>
        <w:rPr>
          <w:snapToGrid w:val="0"/>
        </w:rPr>
        <w:tab/>
      </w:r>
      <w:r>
        <w:rPr>
          <w:snapToGrid w:val="0"/>
        </w:rPr>
        <w:tab/>
        <w:t xml:space="preserve">A person who has </w:t>
      </w:r>
      <w:r>
        <w:t>reached 70 years of age</w:t>
      </w:r>
      <w:r>
        <w:rPr>
          <w:snapToGrid w:val="0"/>
        </w:rPr>
        <w:t xml:space="preserve"> is ineligible for appointment as a </w:t>
      </w:r>
      <w:r>
        <w:t>commissioner and each commissioner must retire from</w:t>
      </w:r>
      <w:r>
        <w:rPr>
          <w:snapToGrid w:val="0"/>
        </w:rPr>
        <w:t xml:space="preserve"> office upon </w:t>
      </w:r>
      <w:r>
        <w:t>reaching 70 years of age.</w:t>
      </w:r>
    </w:p>
    <w:p>
      <w:pPr>
        <w:pStyle w:val="Footnotesection"/>
      </w:pPr>
      <w:r>
        <w:tab/>
        <w:t>[Section 10 inserted: No. 94 of 1984 s. 9; amended: No. 39 of 2018 s. 7; No. 30 of 2021 s. 6.]</w:t>
      </w:r>
    </w:p>
    <w:p>
      <w:pPr>
        <w:pStyle w:val="Heading5"/>
        <w:pageBreakBefore/>
        <w:spacing w:before="0"/>
        <w:rPr>
          <w:snapToGrid w:val="0"/>
        </w:rPr>
      </w:pPr>
      <w:bookmarkStart w:id="43" w:name="_Toc107476339"/>
      <w:bookmarkStart w:id="44" w:name="_Toc106373873"/>
      <w:r>
        <w:rPr>
          <w:rStyle w:val="CharSectno"/>
        </w:rPr>
        <w:t>11</w:t>
      </w:r>
      <w:r>
        <w:rPr>
          <w:snapToGrid w:val="0"/>
        </w:rPr>
        <w:t>.</w:t>
      </w:r>
      <w:r>
        <w:rPr>
          <w:snapToGrid w:val="0"/>
        </w:rPr>
        <w:tab/>
        <w:t>Oath of office and secrecy</w:t>
      </w:r>
      <w:bookmarkEnd w:id="43"/>
      <w:bookmarkEnd w:id="44"/>
    </w:p>
    <w:p>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 xml:space="preserve">When a commissioner is appointed the Chief Commissioner or the Senior Commissioner </w:t>
      </w:r>
      <w:r>
        <w:t>the commissioner</w:t>
      </w:r>
      <w:r>
        <w:rPr>
          <w:snapToGrid w:val="0"/>
        </w:rPr>
        <w:t xml:space="preserve"> is not required to make again the oath referred to in subsection (1).</w:t>
      </w:r>
    </w:p>
    <w:p>
      <w:pPr>
        <w:pStyle w:val="Footnotesection"/>
        <w:spacing w:before="80"/>
        <w:ind w:left="890" w:hanging="890"/>
      </w:pPr>
      <w:r>
        <w:tab/>
        <w:t>[Section 11 amended: No. 94 of 1984 s. 66; No. 39 of 2018 s. 8; No. 30 of 2021 s. 77(13).]</w:t>
      </w:r>
    </w:p>
    <w:p>
      <w:pPr>
        <w:pStyle w:val="Heading5"/>
        <w:rPr>
          <w:snapToGrid w:val="0"/>
        </w:rPr>
      </w:pPr>
      <w:bookmarkStart w:id="45" w:name="_Toc107476340"/>
      <w:bookmarkStart w:id="46" w:name="_Toc106373874"/>
      <w:r>
        <w:rPr>
          <w:rStyle w:val="CharSectno"/>
        </w:rPr>
        <w:t>12</w:t>
      </w:r>
      <w:r>
        <w:rPr>
          <w:snapToGrid w:val="0"/>
        </w:rPr>
        <w:t>.</w:t>
      </w:r>
      <w:r>
        <w:rPr>
          <w:snapToGrid w:val="0"/>
        </w:rPr>
        <w:tab/>
        <w:t>Commission is court of record etc.</w:t>
      </w:r>
      <w:bookmarkEnd w:id="45"/>
      <w:bookmarkEnd w:id="46"/>
    </w:p>
    <w:p>
      <w:pPr>
        <w:pStyle w:val="Subsection"/>
        <w:rPr>
          <w:snapToGrid w:val="0"/>
        </w:rPr>
      </w:pPr>
      <w:r>
        <w:rPr>
          <w:snapToGrid w:val="0"/>
        </w:rPr>
        <w:tab/>
        <w:t>(1)</w:t>
      </w:r>
      <w:r>
        <w:rPr>
          <w:snapToGrid w:val="0"/>
        </w:rPr>
        <w:tab/>
        <w:t>The Commission is a court of record and must have an official seal.</w:t>
      </w:r>
    </w:p>
    <w:p>
      <w:pPr>
        <w:pStyle w:val="Subsection"/>
        <w:rPr>
          <w:snapToGrid w:val="0"/>
        </w:rPr>
      </w:pPr>
      <w:r>
        <w:rPr>
          <w:snapToGrid w:val="0"/>
        </w:rPr>
        <w:tab/>
        <w:t>(2)</w:t>
      </w:r>
      <w:r>
        <w:rPr>
          <w:snapToGrid w:val="0"/>
        </w:rPr>
        <w:tab/>
        <w:t>All courts, judges, and persons acting judicially must take judicial notice of the seal of the Commission affixed to a document and must presume that it has been duly so affixed.</w:t>
      </w:r>
    </w:p>
    <w:p>
      <w:pPr>
        <w:pStyle w:val="Footnotesection"/>
        <w:spacing w:before="80"/>
        <w:ind w:left="890" w:hanging="890"/>
      </w:pPr>
      <w:r>
        <w:tab/>
        <w:t>[Section 12 amended: No. 30 of 2021 s. 76(2).]</w:t>
      </w:r>
    </w:p>
    <w:p>
      <w:pPr>
        <w:pStyle w:val="Heading5"/>
      </w:pPr>
      <w:bookmarkStart w:id="47" w:name="_Toc107476341"/>
      <w:bookmarkStart w:id="48" w:name="_Toc106373875"/>
      <w:r>
        <w:rPr>
          <w:rStyle w:val="CharSectno"/>
        </w:rPr>
        <w:t>13</w:t>
      </w:r>
      <w:r>
        <w:t>.</w:t>
      </w:r>
      <w:r>
        <w:tab/>
        <w:t>Protection of commissioners and others</w:t>
      </w:r>
      <w:bookmarkEnd w:id="47"/>
      <w:bookmarkEnd w:id="48"/>
    </w:p>
    <w:p>
      <w:pPr>
        <w:pStyle w:val="Subsection"/>
      </w:pPr>
      <w:r>
        <w:tab/>
      </w:r>
      <w:r>
        <w:tab/>
        <w:t xml:space="preserve">Each of the following persons has the same protection and immunity as a judge has when performing functions of a judge — </w:t>
      </w:r>
    </w:p>
    <w:p>
      <w:pPr>
        <w:pStyle w:val="Indenta"/>
      </w:pPr>
      <w:r>
        <w:tab/>
        <w:t>(a)</w:t>
      </w:r>
      <w:r>
        <w:tab/>
        <w:t>a commissioner when performing the functions of a commissioner;</w:t>
      </w:r>
    </w:p>
    <w:p>
      <w:pPr>
        <w:pStyle w:val="Indenta"/>
      </w:pPr>
      <w:r>
        <w:tab/>
        <w:t>(b)</w:t>
      </w:r>
      <w:r>
        <w:tab/>
        <w:t>an industrial magistrate appointed under section 81B when performing the functions of an industrial magistrate;</w:t>
      </w:r>
    </w:p>
    <w:p>
      <w:pPr>
        <w:pStyle w:val="Indenta"/>
      </w:pPr>
      <w:r>
        <w:tab/>
        <w:t>(c)</w:t>
      </w:r>
      <w:r>
        <w:tab/>
        <w:t>a member of a Board of Reference referred to in section 48 when performing the functions of a member of a Board of Reference;</w:t>
      </w:r>
    </w:p>
    <w:p>
      <w:pPr>
        <w:pStyle w:val="Indenta"/>
      </w:pPr>
      <w:r>
        <w:tab/>
        <w:t>(d)</w:t>
      </w:r>
      <w:r>
        <w:tab/>
        <w:t>a constituent authority or a member of a constituent authority, as the case requires, when performing the functions of a constituent authority or a member of a constituent authority.</w:t>
      </w:r>
    </w:p>
    <w:p>
      <w:pPr>
        <w:pStyle w:val="Footnotesection"/>
        <w:spacing w:before="80"/>
        <w:ind w:left="890" w:hanging="890"/>
      </w:pPr>
      <w:r>
        <w:tab/>
        <w:t>[Section 13 inserted: No. 39 of 2018 s. 9.]</w:t>
      </w:r>
    </w:p>
    <w:p>
      <w:pPr>
        <w:pStyle w:val="Heading5"/>
        <w:rPr>
          <w:snapToGrid w:val="0"/>
        </w:rPr>
      </w:pPr>
      <w:bookmarkStart w:id="49" w:name="_Toc107476342"/>
      <w:bookmarkStart w:id="50" w:name="_Toc106373876"/>
      <w:r>
        <w:rPr>
          <w:rStyle w:val="CharSectno"/>
        </w:rPr>
        <w:t>14</w:t>
      </w:r>
      <w:r>
        <w:rPr>
          <w:snapToGrid w:val="0"/>
        </w:rPr>
        <w:t>.</w:t>
      </w:r>
      <w:r>
        <w:rPr>
          <w:snapToGrid w:val="0"/>
        </w:rPr>
        <w:tab/>
        <w:t>Exercise of powers and jurisdiction of Commission</w:t>
      </w:r>
      <w:bookmarkEnd w:id="49"/>
      <w:bookmarkEnd w:id="50"/>
    </w:p>
    <w:p>
      <w:pPr>
        <w:pStyle w:val="Ednotesubsection"/>
      </w:pPr>
      <w:r>
        <w:tab/>
        <w:t>[(1)</w:t>
      </w:r>
      <w:r>
        <w:tab/>
        <w:t>deleted]</w:t>
      </w:r>
    </w:p>
    <w:p>
      <w:pPr>
        <w:pStyle w:val="Subsection"/>
        <w:rPr>
          <w:snapToGrid w:val="0"/>
        </w:rPr>
      </w:pPr>
      <w:r>
        <w:rPr>
          <w:snapToGrid w:val="0"/>
        </w:rPr>
        <w:tab/>
        <w:t>(2)</w:t>
      </w:r>
      <w:r>
        <w:rPr>
          <w:snapToGrid w:val="0"/>
        </w:rPr>
        <w:tab/>
        <w:t xml:space="preserve">A commissioner sitting or acting alone constitutes the Commission and, except as otherwise provided in this Act, </w:t>
      </w:r>
      <w:r>
        <w:t>the commissioner</w:t>
      </w:r>
      <w:r>
        <w:rPr>
          <w:snapToGrid w:val="0"/>
        </w:rPr>
        <w:t xml:space="preserve"> has and may exercise while so sitting or acting, all the powers and jurisdiction of the Commission.</w:t>
      </w:r>
    </w:p>
    <w:p>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pPr>
        <w:pStyle w:val="Footnotesection"/>
        <w:spacing w:before="80"/>
        <w:ind w:left="890" w:hanging="890"/>
      </w:pPr>
      <w:r>
        <w:tab/>
        <w:t>[Section 14 amended: No. 39 of 2018 s. 10; No. 30 of 2021 s. 77(13).]</w:t>
      </w:r>
    </w:p>
    <w:p>
      <w:pPr>
        <w:pStyle w:val="Heading5"/>
        <w:rPr>
          <w:snapToGrid w:val="0"/>
        </w:rPr>
      </w:pPr>
      <w:bookmarkStart w:id="51" w:name="_Toc107476343"/>
      <w:bookmarkStart w:id="52" w:name="_Toc106373877"/>
      <w:r>
        <w:rPr>
          <w:rStyle w:val="CharSectno"/>
        </w:rPr>
        <w:t>14A</w:t>
      </w:r>
      <w:r>
        <w:rPr>
          <w:snapToGrid w:val="0"/>
        </w:rPr>
        <w:t>.</w:t>
      </w:r>
      <w:r>
        <w:rPr>
          <w:snapToGrid w:val="0"/>
        </w:rPr>
        <w:tab/>
      </w:r>
      <w:r>
        <w:t>Dual federal and State appointments</w:t>
      </w:r>
      <w:bookmarkEnd w:id="51"/>
      <w:bookmarkEnd w:id="52"/>
    </w:p>
    <w:p>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FW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FW Commission but </w:t>
      </w:r>
      <w:r>
        <w:rPr>
          <w:snapToGrid w:val="0"/>
        </w:rPr>
        <w:t>not otherwise.</w:t>
      </w:r>
    </w:p>
    <w:p>
      <w:pPr>
        <w:pStyle w:val="Footnotesection"/>
      </w:pPr>
      <w:r>
        <w:tab/>
        <w:t>[Section 14A inserted: No. 99 of 1990 s. 6; amended: No. 53 of 2011 s. 39; No. 39 of 2018 s. 11; No. 30 of 2021 s. 75(1).]</w:t>
      </w:r>
    </w:p>
    <w:p>
      <w:pPr>
        <w:pStyle w:val="Heading5"/>
        <w:rPr>
          <w:snapToGrid w:val="0"/>
        </w:rPr>
      </w:pPr>
      <w:bookmarkStart w:id="53" w:name="_Toc107476344"/>
      <w:bookmarkStart w:id="54" w:name="_Toc106373878"/>
      <w:r>
        <w:rPr>
          <w:rStyle w:val="CharSectno"/>
        </w:rPr>
        <w:t>14B</w:t>
      </w:r>
      <w:r>
        <w:rPr>
          <w:snapToGrid w:val="0"/>
        </w:rPr>
        <w:t>.</w:t>
      </w:r>
      <w:r>
        <w:rPr>
          <w:snapToGrid w:val="0"/>
        </w:rPr>
        <w:tab/>
      </w:r>
      <w:r>
        <w:t>Performance of duties by dual federal and State appointees</w:t>
      </w:r>
      <w:bookmarkEnd w:id="53"/>
      <w:bookmarkEnd w:id="54"/>
    </w:p>
    <w:p>
      <w:pPr>
        <w:pStyle w:val="Subsection"/>
      </w:pPr>
      <w:r>
        <w:tab/>
        <w:t>(1)</w:t>
      </w:r>
      <w:r>
        <w:tab/>
        <w:t xml:space="preserve">As agreed from time to time by the Chief Commissioner and the President of the FW Commission, a person who holds the office of commissioner and an office of member of the FW Commission — </w:t>
      </w:r>
    </w:p>
    <w:p>
      <w:pPr>
        <w:pStyle w:val="Indenta"/>
      </w:pPr>
      <w:r>
        <w:tab/>
        <w:t>(a)</w:t>
      </w:r>
      <w:r>
        <w:tab/>
        <w:t>may perform the duties of the secondary office; and</w:t>
      </w:r>
    </w:p>
    <w:p>
      <w:pPr>
        <w:pStyle w:val="Indenta"/>
        <w:keepNext/>
      </w:pPr>
      <w:r>
        <w:tab/>
        <w:t>(b)</w:t>
      </w:r>
      <w:r>
        <w:tab/>
        <w:t xml:space="preserve">may exercise, in relation to a particular matter — </w:t>
      </w:r>
    </w:p>
    <w:p>
      <w:pPr>
        <w:pStyle w:val="Indenti"/>
      </w:pPr>
      <w:r>
        <w:tab/>
        <w:t>(i)</w:t>
      </w:r>
      <w:r>
        <w:tab/>
        <w:t>any powers that the person has as a commissioner; and</w:t>
      </w:r>
    </w:p>
    <w:p>
      <w:pPr>
        <w:pStyle w:val="Indenti"/>
      </w:pPr>
      <w:r>
        <w:tab/>
        <w:t>(ii)</w:t>
      </w:r>
      <w:r>
        <w:tab/>
        <w:t>any powers that the person has as a member of the FW Commission.</w:t>
      </w:r>
    </w:p>
    <w:p>
      <w:pPr>
        <w:pStyle w:val="Subsection"/>
        <w:rPr>
          <w:snapToGrid w:val="0"/>
        </w:rPr>
      </w:pPr>
      <w:r>
        <w:rPr>
          <w:snapToGrid w:val="0"/>
        </w:rPr>
        <w:tab/>
        <w:t>(2)</w:t>
      </w:r>
      <w:r>
        <w:rPr>
          <w:snapToGrid w:val="0"/>
        </w:rPr>
        <w:tab/>
        <w:t xml:space="preserve">The Minister may give directions in writing to the Chief Commissioner with respect to agreements under subsection (1) and the Chief Commissioner must give effect to every such direction and </w:t>
      </w:r>
      <w:r>
        <w:t>must</w:t>
      </w:r>
      <w:r>
        <w:rPr>
          <w:snapToGrid w:val="0"/>
        </w:rPr>
        <w:t xml:space="preserve"> not enter into any agreement under subsection (1) that is contrary to those directions.</w:t>
      </w:r>
    </w:p>
    <w:p>
      <w:pPr>
        <w:pStyle w:val="Subsection"/>
        <w:rPr>
          <w:snapToGrid w:val="0"/>
        </w:rPr>
      </w:pPr>
      <w:r>
        <w:rPr>
          <w:snapToGrid w:val="0"/>
        </w:rPr>
        <w:tab/>
        <w:t>(3)</w:t>
      </w:r>
      <w:r>
        <w:rPr>
          <w:snapToGrid w:val="0"/>
        </w:rPr>
        <w:tab/>
        <w:t xml:space="preserve">Directions under subsection (2) </w:t>
      </w:r>
      <w:r>
        <w:t>must</w:t>
      </w:r>
      <w:r>
        <w:rPr>
          <w:snapToGrid w:val="0"/>
        </w:rPr>
        <w:t xml:space="preserve"> be limited to matters of administration and </w:t>
      </w:r>
      <w:r>
        <w:t>must</w:t>
      </w:r>
      <w:r>
        <w:rPr>
          <w:snapToGrid w:val="0"/>
        </w:rPr>
        <w:t xml:space="preserve"> not deal with matters of conciliation or arbitration.</w:t>
      </w:r>
    </w:p>
    <w:p>
      <w:pPr>
        <w:pStyle w:val="Subsection"/>
        <w:rPr>
          <w:snapToGrid w:val="0"/>
        </w:rPr>
      </w:pPr>
      <w:r>
        <w:rPr>
          <w:snapToGrid w:val="0"/>
        </w:rPr>
        <w:tab/>
        <w:t>(4)</w:t>
      </w:r>
      <w:r>
        <w:rPr>
          <w:snapToGrid w:val="0"/>
        </w:rPr>
        <w:tab/>
        <w:t xml:space="preserve">The Minister </w:t>
      </w:r>
      <w:r>
        <w:t>must</w:t>
      </w:r>
      <w:r>
        <w:rPr>
          <w:snapToGrid w:val="0"/>
        </w:rPr>
        <w:t xml:space="preserve">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No. 99 of 1990 s. 6; amended: No. 53 of 2011 s. 39; No. 39 of 2018 s. 12; No. 30 of 2021 s. 75(1) and 76(2).]</w:t>
      </w:r>
    </w:p>
    <w:p>
      <w:pPr>
        <w:pStyle w:val="Heading5"/>
        <w:spacing w:before="200"/>
        <w:rPr>
          <w:snapToGrid w:val="0"/>
        </w:rPr>
      </w:pPr>
      <w:bookmarkStart w:id="55" w:name="_Toc107476345"/>
      <w:bookmarkStart w:id="56" w:name="_Toc106373879"/>
      <w:r>
        <w:rPr>
          <w:rStyle w:val="CharSectno"/>
        </w:rPr>
        <w:t>15</w:t>
      </w:r>
      <w:r>
        <w:rPr>
          <w:snapToGrid w:val="0"/>
        </w:rPr>
        <w:t>.</w:t>
      </w:r>
      <w:r>
        <w:rPr>
          <w:snapToGrid w:val="0"/>
        </w:rPr>
        <w:tab/>
        <w:t>Constitution of Full Bench and Commission in Court Session</w:t>
      </w:r>
      <w:bookmarkEnd w:id="55"/>
      <w:bookmarkEnd w:id="56"/>
    </w:p>
    <w:p>
      <w:pPr>
        <w:pStyle w:val="Subsection"/>
      </w:pPr>
      <w:r>
        <w:tab/>
        <w:t>(1)</w:t>
      </w:r>
      <w:r>
        <w:tab/>
        <w:t>The Full Bench is to be constituted by 3 commissioners, at least 1 of whom must be the Chief Commissioner or the Senior Commissioner, sitting or acting together.</w:t>
      </w:r>
    </w:p>
    <w:p>
      <w:pPr>
        <w:pStyle w:val="Subsection"/>
      </w:pPr>
      <w:r>
        <w:tab/>
        <w:t>(1A)</w:t>
      </w:r>
      <w:r>
        <w:tab/>
        <w:t>The presiding commissioner of the Full Bench is the most senior of the commissioners who constitute the Full Bench.</w:t>
      </w:r>
    </w:p>
    <w:p>
      <w:pPr>
        <w:pStyle w:val="Subsection"/>
        <w:spacing w:before="140"/>
        <w:rPr>
          <w:snapToGrid w:val="0"/>
        </w:rPr>
      </w:pPr>
      <w:r>
        <w:rPr>
          <w:snapToGrid w:val="0"/>
        </w:rPr>
        <w:tab/>
        <w:t>(2)</w:t>
      </w:r>
      <w:r>
        <w:rPr>
          <w:snapToGrid w:val="0"/>
        </w:rPr>
        <w:tab/>
        <w:t>The Commission in Court Session must be constituted by not less than 3 commissioners sitting or acting together.</w:t>
      </w:r>
    </w:p>
    <w:p>
      <w:pPr>
        <w:pStyle w:val="Footnotesection"/>
        <w:spacing w:before="100"/>
        <w:ind w:left="890" w:hanging="890"/>
      </w:pPr>
      <w:r>
        <w:tab/>
        <w:t>[Section 15 amended: No. 39 of 2018 s. 13; No. 30 of 2021 s. 76(2).]</w:t>
      </w:r>
    </w:p>
    <w:p>
      <w:pPr>
        <w:pStyle w:val="Heading5"/>
        <w:pageBreakBefore/>
        <w:spacing w:before="0"/>
        <w:rPr>
          <w:snapToGrid w:val="0"/>
        </w:rPr>
      </w:pPr>
      <w:bookmarkStart w:id="57" w:name="_Toc107476346"/>
      <w:bookmarkStart w:id="58" w:name="_Toc106373880"/>
      <w:r>
        <w:rPr>
          <w:rStyle w:val="CharSectno"/>
        </w:rPr>
        <w:t>16</w:t>
      </w:r>
      <w:r>
        <w:rPr>
          <w:snapToGrid w:val="0"/>
        </w:rPr>
        <w:t>.</w:t>
      </w:r>
      <w:r>
        <w:rPr>
          <w:snapToGrid w:val="0"/>
        </w:rPr>
        <w:tab/>
        <w:t>Chief Commissioner’s functions</w:t>
      </w:r>
      <w:bookmarkEnd w:id="57"/>
      <w:bookmarkEnd w:id="58"/>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 xml:space="preserve">The Chief Commissioner is responsible for matters of an administrative nature relating to the Commission and commissioners, including the following — </w:t>
      </w:r>
    </w:p>
    <w:p>
      <w:pPr>
        <w:pStyle w:val="Indenta"/>
      </w:pPr>
      <w:r>
        <w:tab/>
        <w:t>(a)</w:t>
      </w:r>
      <w:r>
        <w:tab/>
        <w:t>giving directions about the practices and procedures to be followed by the Commission;</w:t>
      </w:r>
    </w:p>
    <w:p>
      <w:pPr>
        <w:pStyle w:val="Indenta"/>
      </w:pPr>
      <w:r>
        <w:tab/>
        <w:t>(b)</w:t>
      </w:r>
      <w:r>
        <w:tab/>
        <w:t>developing and implementing performance standards and setting benchmarks for the Commission;</w:t>
      </w:r>
    </w:p>
    <w:p>
      <w:pPr>
        <w:pStyle w:val="Indenta"/>
      </w:pPr>
      <w:r>
        <w:tab/>
        <w:t>(c)</w:t>
      </w:r>
      <w:r>
        <w:tab/>
        <w:t>overseeing the proper use of the resources of the Commission;</w:t>
      </w:r>
    </w:p>
    <w:p>
      <w:pPr>
        <w:pStyle w:val="Indenta"/>
      </w:pPr>
      <w:r>
        <w:tab/>
        <w:t>(d)</w:t>
      </w:r>
      <w:r>
        <w:tab/>
        <w:t>managing the business of the Commission, including by ensuring that the Commission operates efficiently and effectively and continually improves the way in which it carries out its functions;</w:t>
      </w:r>
    </w:p>
    <w:p>
      <w:pPr>
        <w:pStyle w:val="Indenta"/>
      </w:pPr>
      <w:r>
        <w:tab/>
        <w:t>(e)</w:t>
      </w:r>
      <w:r>
        <w:tab/>
        <w:t>providing leadership and guidance to the Commission and engendering cohesiveness and collaboration amongst commissioners;</w:t>
      </w:r>
    </w:p>
    <w:p>
      <w:pPr>
        <w:pStyle w:val="Indenta"/>
      </w:pPr>
      <w:r>
        <w:tab/>
        <w:t>(f)</w:t>
      </w:r>
      <w:r>
        <w:tab/>
        <w:t>being responsible for promoting the training, education and professional development of commissioners.</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rPr>
          <w:snapToGrid w:val="0"/>
        </w:rPr>
      </w:pPr>
      <w:r>
        <w:rPr>
          <w:snapToGrid w:val="0"/>
        </w:rPr>
        <w:tab/>
        <w:t>(1AD)</w:t>
      </w:r>
      <w:r>
        <w:rPr>
          <w:snapToGrid w:val="0"/>
        </w:rPr>
        <w:tab/>
        <w:t xml:space="preserve">Except as provided in subsection (1AE), subsections (1AA) to (1ac) apply, with the necessary modifications, to commissioners appointed </w:t>
      </w:r>
      <w:r>
        <w:t xml:space="preserve">under section 81B(2A) </w:t>
      </w:r>
      <w:r>
        <w:rPr>
          <w:snapToGrid w:val="0"/>
        </w:rPr>
        <w:t>as industrial magistrates</w:t>
      </w:r>
      <w:r>
        <w:t>.</w:t>
      </w:r>
    </w:p>
    <w:p>
      <w:pPr>
        <w:pStyle w:val="Subsection"/>
        <w:rPr>
          <w:snapToGrid w:val="0"/>
        </w:rPr>
      </w:pPr>
      <w:r>
        <w:rPr>
          <w:snapToGrid w:val="0"/>
        </w:rPr>
        <w:tab/>
        <w:t>(1AE)</w:t>
      </w:r>
      <w:r>
        <w:rPr>
          <w:snapToGrid w:val="0"/>
        </w:rPr>
        <w:tab/>
        <w:t>Directions under subsection (1AA)(a) cannot limit the judicial independence of commissioners appointed as industrial magistrates.</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1 commissioner, who satisfies the additional requirements referred to in section 8(3A), to exercise the jurisdiction conferred by the </w:t>
      </w:r>
      <w:r>
        <w:rPr>
          <w:i/>
        </w:rPr>
        <w:t>Work Health and Safety Act 2020</w:t>
      </w:r>
      <w:r>
        <w:t xml:space="preserve"> Schedule 1 clause 27(1).</w:t>
      </w:r>
    </w:p>
    <w:p>
      <w:pPr>
        <w:pStyle w:val="Subsection"/>
      </w:pPr>
      <w:r>
        <w:tab/>
        <w:t>(2AA)</w:t>
      </w:r>
      <w:r>
        <w:tab/>
        <w:t>Without limiting subsection (2A), the Chief Commissioner may be designated under that subsection.</w:t>
      </w:r>
    </w:p>
    <w:p>
      <w:pPr>
        <w:pStyle w:val="Subsection"/>
        <w:keepNext/>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rPr>
        <w:t>Work Health and Safety Act 2020</w:t>
      </w:r>
      <w:r>
        <w:t xml:space="preserve"> Schedule 1 clause 27(1) does not preclude the commissioner from also performing other functions as a commissioner under this Act.</w:t>
      </w:r>
    </w:p>
    <w:p>
      <w:pPr>
        <w:pStyle w:val="Ednotesubsection"/>
      </w:pPr>
      <w:r>
        <w:tab/>
        <w:t>[(2D), (2E)</w:t>
      </w:r>
      <w:r>
        <w:tab/>
        <w:t>deleted]</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r>
      <w:r>
        <w:t>must</w:t>
      </w:r>
      <w:r>
        <w:rPr>
          <w:snapToGrid w:val="0"/>
        </w:rPr>
        <w:t>, before 1 October in each year, make a written report to the Minister relating to the operation of this Act up to the last preceding 30 June; and</w:t>
      </w:r>
    </w:p>
    <w:p>
      <w:pPr>
        <w:pStyle w:val="Ednotepara"/>
        <w:spacing w:before="80"/>
        <w:ind w:left="1610" w:hanging="1610"/>
        <w:rPr>
          <w:snapToGrid w:val="0"/>
        </w:rPr>
      </w:pPr>
      <w:r>
        <w:rPr>
          <w:snapToGrid w:val="0"/>
        </w:rPr>
        <w:tab/>
        <w:t>[(c)</w:t>
      </w:r>
      <w:r>
        <w:rPr>
          <w:snapToGrid w:val="0"/>
        </w:rPr>
        <w:tab/>
        <w:t>deleted]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duties under this Act, whether on account of illness or otherwise, or where there is a vacancy in the office of Chief Commissioner, the duties and powers of the Chief Commissioner devolve on the commissioner who is next in order of seniority and not absent or unable to perform those duties, unless the Governor appoints some other person to be acting Chief Commissioner.</w:t>
      </w:r>
    </w:p>
    <w:p>
      <w:pPr>
        <w:pStyle w:val="Subsection"/>
      </w:pPr>
      <w:r>
        <w:tab/>
        <w:t>(4)</w:t>
      </w:r>
      <w:r>
        <w:tab/>
        <w:t>The Chief Commissioner may do all things necessary or convenient to be done in the performance of the Chief Commissioner’s functions.</w:t>
      </w:r>
    </w:p>
    <w:p>
      <w:pPr>
        <w:pStyle w:val="Footnotesection"/>
      </w:pPr>
      <w:r>
        <w:tab/>
        <w:t>[Section 16 amended: No. 121 of 1982 s. 4; No. 94 of 1984 s. 10 and 66; No. 1 of 1995 s. 53; No. 14 of 2005 s. 4; No. 36 of 2009 s. 19; No. 39 of 2018 s. 14; No. 36 of 2020 s. 360; No. 30 of 2021 s. 7, 76(2) and 77(3) and (13).]</w:t>
      </w:r>
    </w:p>
    <w:p>
      <w:pPr>
        <w:pStyle w:val="Heading5"/>
      </w:pPr>
      <w:bookmarkStart w:id="59" w:name="_Toc107476347"/>
      <w:bookmarkStart w:id="60" w:name="_Toc106373881"/>
      <w:r>
        <w:rPr>
          <w:rStyle w:val="CharSectno"/>
        </w:rPr>
        <w:t>16A</w:t>
      </w:r>
      <w:r>
        <w:t>.</w:t>
      </w:r>
      <w:r>
        <w:tab/>
        <w:t>Delegation by Chief Commissioner</w:t>
      </w:r>
      <w:bookmarkEnd w:id="59"/>
      <w:bookmarkEnd w:id="60"/>
    </w:p>
    <w:p>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No. 14 of 2005 s. 5; amended: No. 39 of 2018 s. 15.]</w:t>
      </w:r>
    </w:p>
    <w:p>
      <w:pPr>
        <w:pStyle w:val="Heading5"/>
        <w:rPr>
          <w:snapToGrid w:val="0"/>
        </w:rPr>
      </w:pPr>
      <w:bookmarkStart w:id="61" w:name="_Toc107476348"/>
      <w:bookmarkStart w:id="62" w:name="_Toc106373882"/>
      <w:r>
        <w:rPr>
          <w:rStyle w:val="CharSectno"/>
        </w:rPr>
        <w:t>17</w:t>
      </w:r>
      <w:r>
        <w:rPr>
          <w:snapToGrid w:val="0"/>
        </w:rPr>
        <w:t>.</w:t>
      </w:r>
      <w:r>
        <w:rPr>
          <w:snapToGrid w:val="0"/>
        </w:rPr>
        <w:tab/>
        <w:t>Appointment of acting commissioners</w:t>
      </w:r>
      <w:bookmarkEnd w:id="61"/>
      <w:bookmarkEnd w:id="62"/>
    </w:p>
    <w:p>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Chief Commissioner, acting Senior Commissioner or an acting commissioner, as the case may require, for such period as the Governor determines.</w:t>
      </w:r>
    </w:p>
    <w:p>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No. 121 of 1982 s. 5; No. 94 of 1984 s. 11; No. 1 of 1995 s. 53; No. 14 of 2005 s. 6; No. 39 of 2018 s. 16.]</w:t>
      </w:r>
    </w:p>
    <w:p>
      <w:pPr>
        <w:pStyle w:val="Heading5"/>
        <w:rPr>
          <w:snapToGrid w:val="0"/>
        </w:rPr>
      </w:pPr>
      <w:bookmarkStart w:id="63" w:name="_Toc107476349"/>
      <w:bookmarkStart w:id="64" w:name="_Toc106373883"/>
      <w:r>
        <w:rPr>
          <w:rStyle w:val="CharSectno"/>
        </w:rPr>
        <w:t>18</w:t>
      </w:r>
      <w:r>
        <w:rPr>
          <w:snapToGrid w:val="0"/>
        </w:rPr>
        <w:t>.</w:t>
      </w:r>
      <w:r>
        <w:rPr>
          <w:snapToGrid w:val="0"/>
        </w:rPr>
        <w:tab/>
        <w:t>Extending appointments</w:t>
      </w:r>
      <w:bookmarkEnd w:id="63"/>
      <w:bookmarkEnd w:id="64"/>
    </w:p>
    <w:p>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pPr>
        <w:pStyle w:val="Subsection"/>
        <w:rPr>
          <w:snapToGrid w:val="0"/>
        </w:rPr>
      </w:pPr>
      <w:r>
        <w:rPr>
          <w:snapToGrid w:val="0"/>
        </w:rPr>
        <w:tab/>
        <w:t>(2)</w:t>
      </w:r>
      <w:r>
        <w:rPr>
          <w:snapToGrid w:val="0"/>
        </w:rPr>
        <w:tab/>
        <w:t xml:space="preserve">The Governor may from time to time extend any further period determined by </w:t>
      </w:r>
      <w:r>
        <w:t>the Governor</w:t>
      </w:r>
      <w:r>
        <w:rPr>
          <w:snapToGrid w:val="0"/>
        </w:rPr>
        <w:t xml:space="preserve"> under subsection (1) notwithstanding the expiry of that further period for such further period or periods as </w:t>
      </w:r>
      <w:r>
        <w:t>the Governor</w:t>
      </w:r>
      <w:r>
        <w:rPr>
          <w:snapToGrid w:val="0"/>
        </w:rPr>
        <w:t xml:space="preserve"> thinks fit.</w:t>
      </w:r>
    </w:p>
    <w:p>
      <w:pPr>
        <w:pStyle w:val="Subsection"/>
      </w:pPr>
      <w:r>
        <w:tab/>
        <w:t>(3)</w:t>
      </w:r>
      <w:r>
        <w:tab/>
        <w:t>The continuation in office of a retired commissioner under subsection (1) does not prevent the appointment of a person to fill the office from which the commissioner retired.</w:t>
      </w:r>
    </w:p>
    <w:p>
      <w:pPr>
        <w:pStyle w:val="Subsection"/>
      </w:pPr>
      <w:r>
        <w:tab/>
        <w:t>(4)</w:t>
      </w:r>
      <w:r>
        <w:tab/>
        <w:t>The continuation in office of an acting commissioner under subsection (1) does not prevent the appointment of another person to act in the office in which the acting commissioner acted.</w:t>
      </w:r>
    </w:p>
    <w:p>
      <w:pPr>
        <w:pStyle w:val="Footnotesection"/>
      </w:pPr>
      <w:r>
        <w:tab/>
        <w:t>[Section 18 amended: No. 94 of 1984 s. 12; No. 14 of 2005 s. 7; No. 39 of 2018 s. 17; No. 30 of 2021 s. 77(13).]</w:t>
      </w:r>
    </w:p>
    <w:p>
      <w:pPr>
        <w:pStyle w:val="Heading5"/>
      </w:pPr>
      <w:bookmarkStart w:id="65" w:name="_Toc107476350"/>
      <w:bookmarkStart w:id="66" w:name="_Toc106373884"/>
      <w:r>
        <w:rPr>
          <w:rStyle w:val="CharSectno"/>
        </w:rPr>
        <w:t>19</w:t>
      </w:r>
      <w:r>
        <w:t>.</w:t>
      </w:r>
      <w:r>
        <w:tab/>
        <w:t>Duty of commissioners</w:t>
      </w:r>
      <w:bookmarkEnd w:id="65"/>
      <w:bookmarkEnd w:id="66"/>
    </w:p>
    <w:p>
      <w:pPr>
        <w:pStyle w:val="Subsection"/>
      </w:pPr>
      <w:r>
        <w:tab/>
      </w:r>
      <w:r>
        <w:tab/>
        <w:t>Each commissioner must keep acquainted with industrial affairs and conditions.</w:t>
      </w:r>
    </w:p>
    <w:p>
      <w:pPr>
        <w:pStyle w:val="Footnotesection"/>
      </w:pPr>
      <w:r>
        <w:tab/>
        <w:t>[Section 19 inserted: No. 39 of 2018 s. 18.]</w:t>
      </w:r>
    </w:p>
    <w:p>
      <w:pPr>
        <w:pStyle w:val="Heading5"/>
        <w:keepLines w:val="0"/>
        <w:rPr>
          <w:snapToGrid w:val="0"/>
        </w:rPr>
      </w:pPr>
      <w:bookmarkStart w:id="67" w:name="_Toc107476351"/>
      <w:bookmarkStart w:id="68" w:name="_Toc106373885"/>
      <w:r>
        <w:rPr>
          <w:rStyle w:val="CharSectno"/>
        </w:rPr>
        <w:t>20</w:t>
      </w:r>
      <w:r>
        <w:rPr>
          <w:snapToGrid w:val="0"/>
        </w:rPr>
        <w:t>.</w:t>
      </w:r>
      <w:r>
        <w:rPr>
          <w:snapToGrid w:val="0"/>
        </w:rPr>
        <w:tab/>
        <w:t>Conditions of service of commissioners</w:t>
      </w:r>
      <w:bookmarkEnd w:id="67"/>
      <w:bookmarkEnd w:id="68"/>
    </w:p>
    <w:p>
      <w:pPr>
        <w:pStyle w:val="Ednotesubsection"/>
      </w:pPr>
      <w:r>
        <w:tab/>
        <w:t>[(1)</w:t>
      </w:r>
      <w:r>
        <w:tab/>
        <w:t>deleted]</w:t>
      </w:r>
    </w:p>
    <w:p>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pPr>
        <w:pStyle w:val="Subsection"/>
      </w:pPr>
      <w:r>
        <w:tab/>
        <w:t>(3)</w:t>
      </w:r>
      <w:r>
        <w:tab/>
        <w:t xml:space="preserve">If a commissioner has, under section 81B(2A), been appointed as an industrial magistrate, the commissioner’s remuneration must be the higher of that provided under — </w:t>
      </w:r>
    </w:p>
    <w:p>
      <w:pPr>
        <w:pStyle w:val="Indenta"/>
      </w:pPr>
      <w:r>
        <w:tab/>
        <w:t>(a)</w:t>
      </w:r>
      <w:r>
        <w:tab/>
        <w:t>subsection (2); or</w:t>
      </w:r>
    </w:p>
    <w:p>
      <w:pPr>
        <w:pStyle w:val="Indenta"/>
      </w:pPr>
      <w:r>
        <w:tab/>
        <w:t>(b)</w:t>
      </w:r>
      <w:r>
        <w:tab/>
        <w:t xml:space="preserve">the </w:t>
      </w:r>
      <w:r>
        <w:rPr>
          <w:i/>
        </w:rPr>
        <w:t>Magistrates Court Act 2004</w:t>
      </w:r>
      <w:r>
        <w:t xml:space="preserve"> Schedule 1 clause 5(2).</w:t>
      </w:r>
    </w:p>
    <w:p>
      <w:pPr>
        <w:pStyle w:val="Subsection"/>
      </w:pPr>
      <w:r>
        <w:tab/>
        <w:t>(4)</w:t>
      </w:r>
      <w:r>
        <w:tab/>
        <w:t>The Chief Commissioner may, in exceptional circumstances, approve the taking by a commissioner appointed as an industrial magistrate of paid sick leave in addition to any paid sick leave that the commissioner’s conditions of service may have entitled the commissioner to take.</w:t>
      </w:r>
    </w:p>
    <w:p>
      <w:pPr>
        <w:pStyle w:val="Subsection"/>
      </w:pPr>
      <w:r>
        <w:tab/>
        <w:t>(5)</w:t>
      </w:r>
      <w:r>
        <w:tab/>
        <w:t>A commissioner appointed as an industrial magistrate may, subject to section 22(3), at the same time hold the office of commissioner and industrial magistrate but not otherwise.</w:t>
      </w:r>
    </w:p>
    <w:p>
      <w:pPr>
        <w:pStyle w:val="Ednotesubsection"/>
      </w:pPr>
      <w:r>
        <w:tab/>
        <w:t>[(6), (7)</w:t>
      </w:r>
      <w:r>
        <w:tab/>
        <w:t>deleted]</w:t>
      </w:r>
    </w:p>
    <w:p>
      <w:pPr>
        <w:pStyle w:val="Subsection"/>
        <w:rPr>
          <w:snapToGrid w:val="0"/>
        </w:rPr>
      </w:pPr>
      <w:r>
        <w:rPr>
          <w:snapToGrid w:val="0"/>
        </w:rPr>
        <w:tab/>
        <w:t>(8)</w:t>
      </w:r>
      <w:r>
        <w:rPr>
          <w:snapToGrid w:val="0"/>
        </w:rPr>
        <w:tab/>
        <w:t xml:space="preserve">A commissioner holding office is taken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w:t>
      </w:r>
      <w:del w:id="69" w:author="Master Repository Process" w:date="2022-06-30T14:38:00Z">
        <w:r>
          <w:rPr>
            <w:i/>
          </w:rPr>
          <w:delText>1938</w:delText>
        </w:r>
        <w:r>
          <w:rPr>
            <w:i/>
            <w:vertAlign w:val="superscript"/>
          </w:rPr>
          <w:delText>6</w:delText>
        </w:r>
      </w:del>
      <w:ins w:id="70" w:author="Master Repository Process" w:date="2022-06-30T14:38:00Z">
        <w:r>
          <w:rPr>
            <w:i/>
          </w:rPr>
          <w:t>1938</w:t>
        </w:r>
        <w:r>
          <w:rPr>
            <w:vertAlign w:val="superscript"/>
          </w:rPr>
          <w:t> 6</w:t>
        </w:r>
      </w:ins>
      <w:r>
        <w:t xml:space="preserve">, </w:t>
      </w:r>
      <w:r>
        <w:rPr>
          <w:snapToGrid w:val="0"/>
        </w:rPr>
        <w:t>the following are taken to be increased by 100% —</w:t>
      </w:r>
    </w:p>
    <w:p>
      <w:pPr>
        <w:pStyle w:val="Indenta"/>
        <w:rPr>
          <w:snapToGrid w:val="0"/>
        </w:rPr>
      </w:pPr>
      <w:r>
        <w:rPr>
          <w:snapToGrid w:val="0"/>
        </w:rPr>
        <w:tab/>
        <w:t>(a)</w:t>
      </w:r>
      <w:r>
        <w:rPr>
          <w:snapToGrid w:val="0"/>
        </w:rPr>
        <w:tab/>
      </w:r>
      <w:r>
        <w:t>the period of any</w:t>
      </w:r>
      <w:r>
        <w:rPr>
          <w:snapToGrid w:val="0"/>
        </w:rPr>
        <w:t xml:space="preserve"> service by a person as a commissioner that occurs after the commencement day; and</w:t>
      </w:r>
    </w:p>
    <w:p>
      <w:pPr>
        <w:pStyle w:val="Indenta"/>
        <w:rPr>
          <w:snapToGrid w:val="0"/>
        </w:rPr>
      </w:pPr>
      <w:r>
        <w:rPr>
          <w:snapToGrid w:val="0"/>
        </w:rPr>
        <w:tab/>
        <w:t>(b)</w:t>
      </w:r>
      <w:r>
        <w:rPr>
          <w:snapToGrid w:val="0"/>
        </w:rPr>
        <w:tab/>
        <w:t xml:space="preserve">any period for which a person is </w:t>
      </w:r>
      <w:r>
        <w:t>taken</w:t>
      </w:r>
      <w:r>
        <w:rPr>
          <w:snapToGrid w:val="0"/>
        </w:rPr>
        <w:t xml:space="preserve"> to have continued in service under the State following retirement as a commissioner on or after the commencement day; and</w:t>
      </w:r>
    </w:p>
    <w:p>
      <w:pPr>
        <w:pStyle w:val="Indenta"/>
        <w:keepNext/>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r>
      <w:r>
        <w:t>the person’s</w:t>
      </w:r>
      <w:r>
        <w:rPr>
          <w:snapToGrid w:val="0"/>
        </w:rPr>
        <w:t xml:space="preserve"> death after the commencement day while serving as a commissioner; or</w:t>
      </w:r>
    </w:p>
    <w:p>
      <w:pPr>
        <w:pStyle w:val="Indenti"/>
        <w:rPr>
          <w:snapToGrid w:val="0"/>
        </w:rPr>
      </w:pPr>
      <w:r>
        <w:rPr>
          <w:snapToGrid w:val="0"/>
        </w:rPr>
        <w:tab/>
        <w:t>(ii)</w:t>
      </w:r>
      <w:r>
        <w:rPr>
          <w:snapToGrid w:val="0"/>
        </w:rPr>
        <w:tab/>
      </w:r>
      <w:r>
        <w:t>the person’s</w:t>
      </w:r>
      <w:r>
        <w:rPr>
          <w:snapToGrid w:val="0"/>
        </w:rPr>
        <w:t xml:space="preserve"> retirement as a commissioner on or after the commencement day on the ground of invalidity or physical or mental incapacity to perform </w:t>
      </w:r>
      <w:r>
        <w:t>the person’s</w:t>
      </w:r>
      <w:r>
        <w:rPr>
          <w:snapToGrid w:val="0"/>
        </w:rPr>
        <w:t xml:space="preserve"> </w:t>
      </w:r>
      <w:r>
        <w:t>duties.</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Subsection"/>
        <w:rPr>
          <w:snapToGrid w:val="0"/>
        </w:rPr>
      </w:pPr>
      <w:r>
        <w:rPr>
          <w:snapToGrid w:val="0"/>
        </w:rPr>
        <w:tab/>
        <w:t>(9)</w:t>
      </w:r>
      <w:r>
        <w:rPr>
          <w:snapToGrid w:val="0"/>
        </w:rPr>
        <w:tab/>
        <w:t xml:space="preserve">Where a commissioner was immediately before being appointed as a commissioner, an officer of the Public Service of the State, the commissioner retains any existing and accruing rights and for the purpose of determining those rights, </w:t>
      </w:r>
      <w:r>
        <w:t>the service</w:t>
      </w:r>
      <w:r>
        <w:rPr>
          <w:snapToGrid w:val="0"/>
        </w:rPr>
        <w:t xml:space="preserve"> as a commissioner </w:t>
      </w:r>
      <w:r>
        <w:t>must</w:t>
      </w:r>
      <w:r>
        <w:rPr>
          <w:snapToGrid w:val="0"/>
        </w:rPr>
        <w:t xml:space="preserve">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w:t>
      </w:r>
      <w:r>
        <w:t>cannot be</w:t>
      </w:r>
      <w:r>
        <w:rPr>
          <w:snapToGrid w:val="0"/>
        </w:rPr>
        <w:t xml:space="preserve"> less than those of a permanent officer under the </w:t>
      </w:r>
      <w:r>
        <w:rPr>
          <w:i/>
          <w:snapToGrid w:val="0"/>
        </w:rPr>
        <w:t>Public Sector Management Act 1994</w:t>
      </w:r>
      <w:r>
        <w:rPr>
          <w:snapToGrid w:val="0"/>
        </w:rPr>
        <w:t>.</w:t>
      </w:r>
    </w:p>
    <w:p>
      <w:pPr>
        <w:pStyle w:val="Footnotesection"/>
      </w:pPr>
      <w:r>
        <w:tab/>
        <w:t>[Section 20 amended: No. 121 of 1982 s. 6; No. 92 of 1984 s. 3 and 4; No. 82 of 1987 s. 8; No. 99 of 1990 s. 7; No. 20 of 2002 s. 186(1); No. 28 of 2003 s. 89; No. 39 of 2018 s. 19; No. 30 of 2021 s. 8, 76(2) and (8), 77(3), (4) and (13) and 78(3).]</w:t>
      </w:r>
    </w:p>
    <w:p>
      <w:pPr>
        <w:pStyle w:val="Heading5"/>
        <w:rPr>
          <w:snapToGrid w:val="0"/>
        </w:rPr>
      </w:pPr>
      <w:bookmarkStart w:id="71" w:name="_Toc107476352"/>
      <w:bookmarkStart w:id="72" w:name="_Toc106373886"/>
      <w:r>
        <w:rPr>
          <w:rStyle w:val="CharSectno"/>
        </w:rPr>
        <w:t>21</w:t>
      </w:r>
      <w:r>
        <w:rPr>
          <w:snapToGrid w:val="0"/>
        </w:rPr>
        <w:t>.</w:t>
      </w:r>
      <w:r>
        <w:rPr>
          <w:snapToGrid w:val="0"/>
        </w:rPr>
        <w:tab/>
        <w:t>Resignation from office</w:t>
      </w:r>
      <w:bookmarkEnd w:id="71"/>
      <w:bookmarkEnd w:id="72"/>
    </w:p>
    <w:p>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pPr>
        <w:pStyle w:val="Footnotesection"/>
      </w:pPr>
      <w:r>
        <w:tab/>
        <w:t>[Section 21 amended: No. 39 of 2018 s. 20.]</w:t>
      </w:r>
    </w:p>
    <w:p>
      <w:pPr>
        <w:pStyle w:val="Heading5"/>
        <w:pageBreakBefore/>
        <w:spacing w:before="0"/>
        <w:rPr>
          <w:snapToGrid w:val="0"/>
        </w:rPr>
      </w:pPr>
      <w:bookmarkStart w:id="73" w:name="_Toc107476353"/>
      <w:bookmarkStart w:id="74" w:name="_Toc106373887"/>
      <w:r>
        <w:rPr>
          <w:rStyle w:val="CharSectno"/>
        </w:rPr>
        <w:t>22</w:t>
      </w:r>
      <w:r>
        <w:rPr>
          <w:snapToGrid w:val="0"/>
        </w:rPr>
        <w:t>.</w:t>
      </w:r>
      <w:r>
        <w:rPr>
          <w:snapToGrid w:val="0"/>
        </w:rPr>
        <w:tab/>
        <w:t>Tenure subject to good behaviour</w:t>
      </w:r>
      <w:bookmarkEnd w:id="73"/>
      <w:bookmarkEnd w:id="74"/>
    </w:p>
    <w:p>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pPr>
        <w:pStyle w:val="Subsection"/>
      </w:pPr>
      <w:r>
        <w:tab/>
        <w:t>(2)</w:t>
      </w:r>
      <w:r>
        <w:tab/>
        <w:t xml:space="preserve">The office of a commissioner becomes vacant if the commissioner — </w:t>
      </w:r>
    </w:p>
    <w:p>
      <w:pPr>
        <w:pStyle w:val="Indenta"/>
      </w:pPr>
      <w:r>
        <w:tab/>
        <w:t>(a)</w:t>
      </w:r>
      <w:r>
        <w:tab/>
        <w:t>is removed from office under subsection (1); or</w:t>
      </w:r>
    </w:p>
    <w:p>
      <w:pPr>
        <w:pStyle w:val="Indenta"/>
      </w:pPr>
      <w:r>
        <w:tab/>
        <w:t>(b)</w:t>
      </w:r>
      <w:r>
        <w:tab/>
        <w:t>retires under section 10 or resigns under section 21; or</w:t>
      </w:r>
    </w:p>
    <w:p>
      <w:pPr>
        <w:pStyle w:val="Indenta"/>
      </w:pPr>
      <w:r>
        <w:tab/>
        <w:t>(c)</w:t>
      </w:r>
      <w:r>
        <w:tab/>
        <w:t>except with the approval of the Governor, accepts the office of member of the FW Commission.</w:t>
      </w:r>
    </w:p>
    <w:p>
      <w:pPr>
        <w:pStyle w:val="Subsection"/>
      </w:pPr>
      <w:r>
        <w:tab/>
        <w:t>(3)</w:t>
      </w:r>
      <w:r>
        <w:tab/>
        <w:t xml:space="preserve">A commissioner </w:t>
      </w:r>
      <w:r>
        <w:rPr>
          <w:snapToGrid w:val="0"/>
        </w:rPr>
        <w:t xml:space="preserve">appointed as an industrial magistrate </w:t>
      </w:r>
      <w:r>
        <w:t>must not work as a legal practitioner (whether for financial reward or not), or engage in other work for financial reward, outside the functions of a commissioner and industrial magistrate, unless permitted to do so by the Governor.</w:t>
      </w:r>
    </w:p>
    <w:p>
      <w:pPr>
        <w:pStyle w:val="Footnotesection"/>
        <w:ind w:left="890" w:hanging="890"/>
      </w:pPr>
      <w:r>
        <w:tab/>
        <w:t>[Section 22 amended: No. 94 of 1984 s. 13; No. 99 of 1990 s. 8; No. 1 of 1995 s. 53; No. 53 of 2011 s. 39; No. 39 of 2018 s. 21; No. 30 of 2021 s. 9 and 75(1).]</w:t>
      </w:r>
    </w:p>
    <w:p>
      <w:pPr>
        <w:pStyle w:val="Heading3"/>
      </w:pPr>
      <w:bookmarkStart w:id="75" w:name="_Toc107322225"/>
      <w:bookmarkStart w:id="76" w:name="_Toc107476354"/>
      <w:bookmarkStart w:id="77" w:name="_Toc105759974"/>
      <w:bookmarkStart w:id="78" w:name="_Toc106195215"/>
      <w:bookmarkStart w:id="79" w:name="_Toc106367157"/>
      <w:bookmarkStart w:id="80" w:name="_Toc106373888"/>
      <w:r>
        <w:rPr>
          <w:rStyle w:val="CharDivNo"/>
        </w:rPr>
        <w:t>Division 2</w:t>
      </w:r>
      <w:r>
        <w:rPr>
          <w:snapToGrid w:val="0"/>
        </w:rPr>
        <w:t> — </w:t>
      </w:r>
      <w:r>
        <w:rPr>
          <w:rStyle w:val="CharDivText"/>
        </w:rPr>
        <w:t>General jurisdiction and powers of the Commission</w:t>
      </w:r>
      <w:bookmarkEnd w:id="75"/>
      <w:bookmarkEnd w:id="76"/>
      <w:bookmarkEnd w:id="77"/>
      <w:bookmarkEnd w:id="78"/>
      <w:bookmarkEnd w:id="79"/>
      <w:bookmarkEnd w:id="80"/>
    </w:p>
    <w:p>
      <w:pPr>
        <w:pStyle w:val="Heading5"/>
        <w:rPr>
          <w:snapToGrid w:val="0"/>
        </w:rPr>
      </w:pPr>
      <w:bookmarkStart w:id="81" w:name="_Toc107476355"/>
      <w:bookmarkStart w:id="82" w:name="_Toc106373889"/>
      <w:r>
        <w:rPr>
          <w:rStyle w:val="CharSectno"/>
        </w:rPr>
        <w:t>22A</w:t>
      </w:r>
      <w:r>
        <w:rPr>
          <w:snapToGrid w:val="0"/>
        </w:rPr>
        <w:t>.</w:t>
      </w:r>
      <w:r>
        <w:rPr>
          <w:snapToGrid w:val="0"/>
        </w:rPr>
        <w:tab/>
        <w:t>Terms used</w:t>
      </w:r>
      <w:bookmarkEnd w:id="81"/>
      <w:bookmarkEnd w:id="82"/>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No. 94 of 1984 s. 14; amended: No. 20 of 2002 s. 121(1).]</w:t>
      </w:r>
    </w:p>
    <w:p>
      <w:pPr>
        <w:pStyle w:val="Heading5"/>
      </w:pPr>
      <w:bookmarkStart w:id="83" w:name="_Toc107476356"/>
      <w:bookmarkStart w:id="84" w:name="_Toc106373890"/>
      <w:r>
        <w:rPr>
          <w:rStyle w:val="CharSectno"/>
        </w:rPr>
        <w:t>22B</w:t>
      </w:r>
      <w:r>
        <w:t>.</w:t>
      </w:r>
      <w:r>
        <w:tab/>
        <w:t>Commission to act with due speed</w:t>
      </w:r>
      <w:bookmarkEnd w:id="83"/>
      <w:bookmarkEnd w:id="84"/>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No. 20 of 2002 s. 150.]</w:t>
      </w:r>
    </w:p>
    <w:p>
      <w:pPr>
        <w:pStyle w:val="Heading5"/>
        <w:spacing w:before="240"/>
        <w:rPr>
          <w:snapToGrid w:val="0"/>
        </w:rPr>
      </w:pPr>
      <w:bookmarkStart w:id="85" w:name="_Toc107476357"/>
      <w:bookmarkStart w:id="86" w:name="_Toc106373891"/>
      <w:r>
        <w:rPr>
          <w:rStyle w:val="CharSectno"/>
        </w:rPr>
        <w:t>23</w:t>
      </w:r>
      <w:r>
        <w:rPr>
          <w:snapToGrid w:val="0"/>
        </w:rPr>
        <w:t>.</w:t>
      </w:r>
      <w:r>
        <w:rPr>
          <w:snapToGrid w:val="0"/>
        </w:rPr>
        <w:tab/>
        <w:t>Jurisdiction of Commission</w:t>
      </w:r>
      <w:bookmarkEnd w:id="85"/>
      <w:bookmarkEnd w:id="86"/>
    </w:p>
    <w:p>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keepNext/>
        <w:spacing w:before="100"/>
        <w:rPr>
          <w:snapToGrid w:val="0"/>
        </w:rPr>
      </w:pPr>
      <w:r>
        <w:rPr>
          <w:snapToGrid w:val="0"/>
        </w:rPr>
        <w:tab/>
        <w:t>(3)</w:t>
      </w:r>
      <w:r>
        <w:rPr>
          <w:snapToGrid w:val="0"/>
        </w:rPr>
        <w:tab/>
        <w:t xml:space="preserve">The Commission in the exercise of the jurisdiction conferred on it by this Part </w:t>
      </w:r>
      <w:r>
        <w:t>must</w:t>
      </w:r>
      <w:r>
        <w:rPr>
          <w:snapToGrid w:val="0"/>
        </w:rPr>
        <w:t xml:space="preserve">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r>
      <w:r>
        <w:t xml:space="preserve">except as provided in section 49K(3), </w:t>
      </w:r>
      <w:r>
        <w:rPr>
          <w:snapToGrid w:val="0"/>
        </w:rPr>
        <w:t>make an award or order empowering a representative of an organisation to enter any part of —</w:t>
      </w:r>
    </w:p>
    <w:p>
      <w:pPr>
        <w:pStyle w:val="Indenti"/>
        <w:rPr>
          <w:snapToGrid w:val="0"/>
        </w:rPr>
      </w:pPr>
      <w:r>
        <w:rPr>
          <w:snapToGrid w:val="0"/>
        </w:rPr>
        <w:tab/>
        <w:t>(i)</w:t>
      </w:r>
      <w:r>
        <w:rPr>
          <w:snapToGrid w:val="0"/>
        </w:rPr>
        <w:tab/>
        <w:t xml:space="preserve">the premises of an employer, the principal use of which premises is for habitation by the employer and </w:t>
      </w:r>
      <w:r>
        <w:t>the employer’s</w:t>
      </w:r>
      <w:r>
        <w:rPr>
          <w:snapToGrid w:val="0"/>
        </w:rPr>
        <w:t xml:space="preserve">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 No. 30 of 2021 s. 10, 76(2) and 77(13).]</w:t>
      </w:r>
    </w:p>
    <w:p>
      <w:pPr>
        <w:pStyle w:val="Ednotesection"/>
      </w:pPr>
      <w:r>
        <w:t>[</w:t>
      </w:r>
      <w:r>
        <w:rPr>
          <w:b/>
        </w:rPr>
        <w:t>23AA.</w:t>
      </w:r>
      <w:r>
        <w:tab/>
        <w:t>Deleted: No. 3 of 1997 s. 22</w:t>
      </w:r>
      <w:r>
        <w:rPr>
          <w:i w:val="0"/>
          <w:vertAlign w:val="superscript"/>
        </w:rPr>
        <w:t> 5</w:t>
      </w:r>
      <w:r>
        <w:t>.]</w:t>
      </w:r>
    </w:p>
    <w:p>
      <w:pPr>
        <w:pStyle w:val="Heading5"/>
      </w:pPr>
      <w:bookmarkStart w:id="87" w:name="_Toc107476358"/>
      <w:bookmarkStart w:id="88" w:name="_Toc106373892"/>
      <w:r>
        <w:rPr>
          <w:rStyle w:val="CharSectno"/>
        </w:rPr>
        <w:t>23A</w:t>
      </w:r>
      <w:r>
        <w:t>.</w:t>
      </w:r>
      <w:r>
        <w:tab/>
        <w:t>Unfair dismissal claims, Commission’s powers on</w:t>
      </w:r>
      <w:bookmarkEnd w:id="87"/>
      <w:bookmarkEnd w:id="88"/>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must have regard to the following — </w:t>
      </w:r>
    </w:p>
    <w:p>
      <w:pPr>
        <w:pStyle w:val="Indenta"/>
      </w:pPr>
      <w:r>
        <w:tab/>
        <w:t>(a)</w:t>
      </w:r>
      <w:r>
        <w:tab/>
        <w:t xml:space="preserve">whether, at the time of the dismissal, the employee — </w:t>
      </w:r>
    </w:p>
    <w:p>
      <w:pPr>
        <w:pStyle w:val="Indenti"/>
      </w:pPr>
      <w:r>
        <w:tab/>
        <w:t>(i)</w:t>
      </w:r>
      <w:r>
        <w:tab/>
        <w:t xml:space="preserve">was employed for a probationary period agreed between the employer and employee; and </w:t>
      </w:r>
    </w:p>
    <w:p>
      <w:pPr>
        <w:pStyle w:val="Indenti"/>
      </w:pPr>
      <w:r>
        <w:tab/>
        <w:t>(ii)</w:t>
      </w:r>
      <w:r>
        <w:tab/>
        <w:t>had been employed on that basis for a period of less than 3 months;</w:t>
      </w:r>
    </w:p>
    <w:p>
      <w:pPr>
        <w:pStyle w:val="Indenta"/>
      </w:pPr>
      <w:r>
        <w:tab/>
        <w:t>(b)</w:t>
      </w:r>
      <w:r>
        <w:tab/>
        <w:t>whether, at the time of the dismissal, the employee was employed in a private home to provide services directly to the employer or a member of the employer’s family or household.</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No. 20 of 2002 s. 138(1); amended: No. 30 of 2021 s. 11.]</w:t>
      </w:r>
    </w:p>
    <w:p>
      <w:pPr>
        <w:pStyle w:val="Heading5"/>
      </w:pPr>
      <w:bookmarkStart w:id="89" w:name="_Toc107476359"/>
      <w:bookmarkStart w:id="90" w:name="_Toc106373893"/>
      <w:r>
        <w:rPr>
          <w:rStyle w:val="CharSectno"/>
        </w:rPr>
        <w:t>23B</w:t>
      </w:r>
      <w:r>
        <w:t>.</w:t>
      </w:r>
      <w:r>
        <w:tab/>
        <w:t>Third party involvement in employment claim, Commission’s powers to prevent etc.</w:t>
      </w:r>
      <w:bookmarkEnd w:id="89"/>
      <w:bookmarkEnd w:id="90"/>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No. 20 of 2002 s. 138(1).]</w:t>
      </w:r>
    </w:p>
    <w:p>
      <w:pPr>
        <w:pStyle w:val="Heading5"/>
        <w:rPr>
          <w:snapToGrid w:val="0"/>
        </w:rPr>
      </w:pPr>
      <w:bookmarkStart w:id="91" w:name="_Toc107476360"/>
      <w:bookmarkStart w:id="92" w:name="_Toc106373894"/>
      <w:r>
        <w:rPr>
          <w:rStyle w:val="CharSectno"/>
        </w:rPr>
        <w:t>24</w:t>
      </w:r>
      <w:r>
        <w:rPr>
          <w:snapToGrid w:val="0"/>
        </w:rPr>
        <w:t>.</w:t>
      </w:r>
      <w:r>
        <w:rPr>
          <w:snapToGrid w:val="0"/>
        </w:rPr>
        <w:tab/>
        <w:t>Industrial matters, Commission may decide what are</w:t>
      </w:r>
      <w:bookmarkEnd w:id="91"/>
      <w:bookmarkEnd w:id="92"/>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No. 15 of 1993 s. 8; amended: Gazette 15 Aug 2003 p. 3686.]</w:t>
      </w:r>
    </w:p>
    <w:p>
      <w:pPr>
        <w:pStyle w:val="Heading5"/>
        <w:rPr>
          <w:snapToGrid w:val="0"/>
        </w:rPr>
      </w:pPr>
      <w:bookmarkStart w:id="93" w:name="_Toc107476361"/>
      <w:bookmarkStart w:id="94" w:name="_Toc106373895"/>
      <w:r>
        <w:rPr>
          <w:rStyle w:val="CharSectno"/>
        </w:rPr>
        <w:t>25</w:t>
      </w:r>
      <w:r>
        <w:rPr>
          <w:snapToGrid w:val="0"/>
        </w:rPr>
        <w:t>.</w:t>
      </w:r>
      <w:r>
        <w:rPr>
          <w:snapToGrid w:val="0"/>
        </w:rPr>
        <w:tab/>
        <w:t>Allocation of industrial matters by Chief Commissioner</w:t>
      </w:r>
      <w:bookmarkEnd w:id="93"/>
      <w:bookmarkEnd w:id="94"/>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the Chief Commissioner has allocated a matter to a commissioner, revoke that allocation and allocate the matter to another commissioner or directly to the Commission in Court Session.</w:t>
      </w:r>
    </w:p>
    <w:p>
      <w:pPr>
        <w:pStyle w:val="Subsection"/>
        <w:keepLines/>
      </w:pPr>
      <w:r>
        <w:tab/>
        <w:t>(2)</w:t>
      </w:r>
      <w:r>
        <w:tab/>
        <w:t>Subsection (1) —</w:t>
      </w:r>
    </w:p>
    <w:p>
      <w:pPr>
        <w:pStyle w:val="Indenta"/>
        <w:keepLines/>
        <w:spacing w:before="60"/>
      </w:pPr>
      <w:r>
        <w:tab/>
        <w:t>(a)</w:t>
      </w:r>
      <w:r>
        <w:tab/>
        <w:t>has effect subject to any provision of this Division or Division 2A to 2G under which the Commission is to be constituted in a particular way; and</w:t>
      </w:r>
    </w:p>
    <w:p>
      <w:pPr>
        <w:pStyle w:val="Indenta"/>
        <w:keepNext/>
        <w:spacing w:before="60"/>
        <w:rPr>
          <w:snapToGrid w:val="0"/>
        </w:rPr>
      </w:pPr>
      <w:r>
        <w:tab/>
        <w:t>(b)</w:t>
      </w:r>
      <w:r>
        <w:tab/>
        <w:t>does not affect the operation of Part IIC.</w:t>
      </w:r>
    </w:p>
    <w:p>
      <w:pPr>
        <w:pStyle w:val="Footnotesection"/>
        <w:ind w:left="890" w:hanging="890"/>
      </w:pPr>
      <w:r>
        <w:tab/>
        <w:t>[Section 25 inserted: No. 94 of 1984 s. 16; amended: No. 20 of 2002 s. 121(2) and (3); No. 14 of 2005 s. 8; No. 30 of 2021 s. 77(13).]</w:t>
      </w:r>
    </w:p>
    <w:p>
      <w:pPr>
        <w:pStyle w:val="Heading5"/>
        <w:rPr>
          <w:snapToGrid w:val="0"/>
        </w:rPr>
      </w:pPr>
      <w:bookmarkStart w:id="95" w:name="_Toc107476362"/>
      <w:bookmarkStart w:id="96" w:name="_Toc106373896"/>
      <w:r>
        <w:rPr>
          <w:rStyle w:val="CharSectno"/>
        </w:rPr>
        <w:t>26</w:t>
      </w:r>
      <w:r>
        <w:rPr>
          <w:snapToGrid w:val="0"/>
        </w:rPr>
        <w:t>.</w:t>
      </w:r>
      <w:r>
        <w:rPr>
          <w:snapToGrid w:val="0"/>
        </w:rPr>
        <w:tab/>
        <w:t>Commission to act according to equity and good conscience</w:t>
      </w:r>
      <w:bookmarkEnd w:id="95"/>
      <w:bookmarkEnd w:id="96"/>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r>
      <w:r>
        <w:t>must</w:t>
      </w:r>
      <w:r>
        <w:rPr>
          <w:snapToGrid w:val="0"/>
        </w:rPr>
        <w:t xml:space="preserve">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r>
      <w:r>
        <w:t>must</w:t>
      </w:r>
      <w:r>
        <w:rPr>
          <w:snapToGrid w:val="0"/>
        </w:rPr>
        <w:t xml:space="preserve">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r>
      <w:r>
        <w:t>must</w:t>
      </w:r>
      <w:r>
        <w:rPr>
          <w:snapToGrid w:val="0"/>
        </w:rPr>
        <w:t xml:space="preserve">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r>
      <w:r>
        <w:t>must</w:t>
      </w:r>
      <w:r>
        <w:rPr>
          <w:snapToGrid w:val="0"/>
        </w:rPr>
        <w:t xml:space="preserve">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the state of the economy of Western Australia;</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keepNext/>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w:t>
      </w:r>
      <w:r>
        <w:rPr>
          <w:i/>
        </w:rPr>
        <w:t>Government 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(except an equal remuneration order) that will extend to and bind a public sector entity or its employing authority (as defined in the </w:t>
      </w:r>
      <w:r>
        <w:rPr>
          <w:i/>
        </w:rPr>
        <w:t>Public Sector Management Act 1994</w:t>
      </w:r>
      <w:r>
        <w:t xml:space="preserve"> section 5);</w:t>
      </w:r>
    </w:p>
    <w:p>
      <w:pPr>
        <w:pStyle w:val="Defstart"/>
        <w:keepNex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 xml:space="preserve">Where the Commission, in deciding any matter before it proposes or intends to take into account any matter or information that was not raised before it on the hearing of the matter, the Commission </w:t>
      </w:r>
      <w:r>
        <w:t>must</w:t>
      </w:r>
      <w:r>
        <w:rPr>
          <w:snapToGrid w:val="0"/>
        </w:rPr>
        <w:t>,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No. 121 of 1982 s. 9; No. 94 of 1984 s. 17; No. 79 of 1995 s. 9; No. 20 of 2002 s. 129; No. 36 of 2006 s. 10; No. 8 of 2014 s. 4; No. 30 of 2021 s. 12, 76(2) and 77(13).]</w:t>
      </w:r>
    </w:p>
    <w:p>
      <w:pPr>
        <w:pStyle w:val="Ednotesection"/>
        <w:ind w:left="890" w:hanging="890"/>
      </w:pPr>
      <w:r>
        <w:t>[</w:t>
      </w:r>
      <w:r>
        <w:rPr>
          <w:b/>
        </w:rPr>
        <w:t>26A.</w:t>
      </w:r>
      <w:r>
        <w:tab/>
        <w:t>Deleted: No. 20 of 2002 s. 111(6).]</w:t>
      </w:r>
    </w:p>
    <w:p>
      <w:pPr>
        <w:pStyle w:val="Heading5"/>
        <w:spacing w:before="240"/>
        <w:rPr>
          <w:snapToGrid w:val="0"/>
        </w:rPr>
      </w:pPr>
      <w:bookmarkStart w:id="97" w:name="_Toc107476363"/>
      <w:bookmarkStart w:id="98" w:name="_Toc106373897"/>
      <w:r>
        <w:rPr>
          <w:rStyle w:val="CharSectno"/>
        </w:rPr>
        <w:t>27</w:t>
      </w:r>
      <w:r>
        <w:rPr>
          <w:snapToGrid w:val="0"/>
        </w:rPr>
        <w:t>.</w:t>
      </w:r>
      <w:r>
        <w:rPr>
          <w:snapToGrid w:val="0"/>
        </w:rPr>
        <w:tab/>
        <w:t>Powers of Commission</w:t>
      </w:r>
      <w:bookmarkEnd w:id="97"/>
      <w:bookmarkEnd w:id="98"/>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 xml:space="preserve">at any stage of the proceedings dismiss the matter or any part </w:t>
      </w:r>
      <w:r>
        <w:t>of it</w:t>
      </w:r>
      <w:r>
        <w:rPr>
          <w:snapToGrid w:val="0"/>
        </w:rPr>
        <w:t xml:space="preserve">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 xml:space="preserve">that for any other reason the matter or part should be dismissed or the hearing </w:t>
      </w:r>
      <w:r>
        <w:t>of it</w:t>
      </w:r>
      <w:r>
        <w:rPr>
          <w:snapToGrid w:val="0"/>
        </w:rPr>
        <w:t xml:space="preserve">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are allowed for the services of any legal practitioner, or agent; and</w:t>
      </w:r>
    </w:p>
    <w:p>
      <w:pPr>
        <w:pStyle w:val="Indenta"/>
        <w:spacing w:before="60"/>
        <w:rPr>
          <w:snapToGrid w:val="0"/>
        </w:rPr>
      </w:pPr>
      <w:r>
        <w:rPr>
          <w:snapToGrid w:val="0"/>
        </w:rPr>
        <w:tab/>
        <w:t>(d)</w:t>
      </w:r>
      <w:r>
        <w:rPr>
          <w:snapToGrid w:val="0"/>
        </w:rPr>
        <w:tab/>
        <w:t xml:space="preserve">proceed to hear and determine the matter or any part </w:t>
      </w:r>
      <w:r>
        <w:t>of the matter</w:t>
      </w:r>
      <w:r>
        <w:rPr>
          <w:snapToGrid w:val="0"/>
        </w:rPr>
        <w:t xml:space="preserve"> in the absence of any party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 xml:space="preserve">direct any person, whether a witness or intending witness or not, to leave the place </w:t>
      </w:r>
      <w:r>
        <w:t>in which</w:t>
      </w:r>
      <w:r>
        <w:rPr>
          <w:snapToGrid w:val="0"/>
        </w:rPr>
        <w:t xml:space="preserve">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 xml:space="preserve">refer any matter to an expert and accept </w:t>
      </w:r>
      <w:r>
        <w:t>the expert’s</w:t>
      </w:r>
      <w:r>
        <w:rPr>
          <w:snapToGrid w:val="0"/>
        </w:rPr>
        <w:t xml:space="preserve">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 xml:space="preserve">working, ship or vessel, shed, place, or premises of any kind </w:t>
      </w:r>
      <w:r>
        <w:t>in,</w:t>
      </w:r>
      <w:r>
        <w:rPr>
          <w:snapToGrid w:val="0"/>
        </w:rPr>
        <w:t xml:space="preserve"> or in respect of which any industry is or is reputed to be carried on, or any work is being or has been done or commenced, or </w:t>
      </w:r>
      <w:r>
        <w:t>anything</w:t>
      </w:r>
      <w:r>
        <w:rPr>
          <w:snapToGrid w:val="0"/>
        </w:rPr>
        <w:t xml:space="preserve"> is taking or has taken place, which is the subject of, or related to, a matter before the Commission; and</w:t>
      </w:r>
    </w:p>
    <w:p>
      <w:pPr>
        <w:pStyle w:val="Indenta"/>
        <w:rPr>
          <w:snapToGrid w:val="0"/>
        </w:rPr>
      </w:pPr>
      <w:r>
        <w:rPr>
          <w:snapToGrid w:val="0"/>
        </w:rPr>
        <w:tab/>
        <w:t>(q)</w:t>
      </w:r>
      <w:r>
        <w:rPr>
          <w:snapToGrid w:val="0"/>
        </w:rPr>
        <w:tab/>
        <w:t>inspect and view any work, material machinery, appliance, article, book, record, document, matter, or other thing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 xml:space="preserve">Except as otherwise provided in this Act, the Commission </w:t>
      </w:r>
      <w:r>
        <w:t>must</w:t>
      </w:r>
      <w:r>
        <w:rPr>
          <w:snapToGrid w:val="0"/>
        </w:rPr>
        <w:t>,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No. 121 of 1982 s. 10; No. 94 of 1984 s. 18 and 66; No. 20 of 2002 s. 122; No. 39 of 2018 s. 22; No. 30 of 2021 s. 76(2) and (4), 77(13), 78(4), (5) and (7).]</w:t>
      </w:r>
    </w:p>
    <w:p>
      <w:pPr>
        <w:pStyle w:val="Heading5"/>
        <w:rPr>
          <w:snapToGrid w:val="0"/>
        </w:rPr>
      </w:pPr>
      <w:bookmarkStart w:id="99" w:name="_Toc107476364"/>
      <w:bookmarkStart w:id="100" w:name="_Toc106373898"/>
      <w:r>
        <w:rPr>
          <w:rStyle w:val="CharSectno"/>
        </w:rPr>
        <w:t>28</w:t>
      </w:r>
      <w:r>
        <w:rPr>
          <w:snapToGrid w:val="0"/>
        </w:rPr>
        <w:t>.</w:t>
      </w:r>
      <w:r>
        <w:rPr>
          <w:snapToGrid w:val="0"/>
        </w:rPr>
        <w:tab/>
        <w:t>Powers in s. 27 may be exercised at any time after matter lodged</w:t>
      </w:r>
      <w:bookmarkEnd w:id="99"/>
      <w:bookmarkEnd w:id="100"/>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101" w:name="_Toc107476365"/>
      <w:bookmarkStart w:id="102" w:name="_Toc106373899"/>
      <w:r>
        <w:rPr>
          <w:rStyle w:val="CharSectno"/>
        </w:rPr>
        <w:t>29</w:t>
      </w:r>
      <w:r>
        <w:rPr>
          <w:snapToGrid w:val="0"/>
        </w:rPr>
        <w:t>.</w:t>
      </w:r>
      <w:r>
        <w:rPr>
          <w:snapToGrid w:val="0"/>
        </w:rPr>
        <w:tab/>
        <w:t>Who may refer industrial matters to Commission</w:t>
      </w:r>
      <w:bookmarkEnd w:id="101"/>
      <w:bookmarkEnd w:id="102"/>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pPr>
      <w:r>
        <w:tab/>
        <w:t>(b)</w:t>
      </w:r>
      <w:r>
        <w:tab/>
        <w:t xml:space="preserve">except as provided in section 51Q(2), in the case of an equal remuneration order — by an application made by any of the following — </w:t>
      </w:r>
    </w:p>
    <w:p>
      <w:pPr>
        <w:pStyle w:val="Indenti"/>
      </w:pPr>
      <w:r>
        <w:tab/>
        <w:t>(i)</w:t>
      </w:r>
      <w:r>
        <w:tab/>
        <w:t>an employee to be covered by the order;</w:t>
      </w:r>
    </w:p>
    <w:p>
      <w:pPr>
        <w:pStyle w:val="Indenti"/>
      </w:pPr>
      <w:r>
        <w:tab/>
        <w:t>(ii)</w:t>
      </w:r>
      <w:r>
        <w:tab/>
        <w:t>an organisation in which employees to be covered by the order are eligible to be enrolled as members;</w:t>
      </w:r>
    </w:p>
    <w:p>
      <w:pPr>
        <w:pStyle w:val="Indenti"/>
      </w:pPr>
      <w:r>
        <w:tab/>
        <w:t>(iii)</w:t>
      </w:r>
      <w:r>
        <w:tab/>
        <w:t>an organisation in which employers of employees to be covered by the order are eligible to be enrolled as members;</w:t>
      </w:r>
    </w:p>
    <w:p>
      <w:pPr>
        <w:pStyle w:val="Indenti"/>
      </w:pPr>
      <w:r>
        <w:tab/>
        <w:t>(iv)</w:t>
      </w:r>
      <w:r>
        <w:tab/>
        <w:t>UnionsWA;</w:t>
      </w:r>
    </w:p>
    <w:p>
      <w:pPr>
        <w:pStyle w:val="Indenti"/>
      </w:pPr>
      <w:r>
        <w:tab/>
        <w:t>(v)</w:t>
      </w:r>
      <w:r>
        <w:tab/>
        <w:t>the Chamber;</w:t>
      </w:r>
    </w:p>
    <w:p>
      <w:pPr>
        <w:pStyle w:val="Indenti"/>
      </w:pPr>
      <w:r>
        <w:tab/>
        <w:t>(vi)</w:t>
      </w:r>
      <w:r>
        <w:tab/>
        <w:t>the Minister;</w:t>
      </w:r>
    </w:p>
    <w:p>
      <w:pPr>
        <w:pStyle w:val="Indenti"/>
      </w:pPr>
      <w:r>
        <w:tab/>
        <w:t>(vii)</w:t>
      </w:r>
      <w:r>
        <w:tab/>
        <w:t>the Commissioner for Equal Opportunity;</w:t>
      </w:r>
    </w:p>
    <w:p>
      <w:pPr>
        <w:pStyle w:val="Indenta"/>
      </w:pPr>
      <w:r>
        <w:tab/>
      </w:r>
      <w:r>
        <w:tab/>
        <w:t>and</w:t>
      </w:r>
    </w:p>
    <w:p>
      <w:pPr>
        <w:pStyle w:val="Indenta"/>
      </w:pPr>
      <w:r>
        <w:tab/>
        <w:t>(c)</w:t>
      </w:r>
      <w:r>
        <w:tab/>
        <w:t>in the case of a claim by an employee that the employee has been harshly, oppressively or unfairly dismissed from the employee’s employment — by the employee; and</w:t>
      </w:r>
    </w:p>
    <w:p>
      <w:pPr>
        <w:pStyle w:val="Indenta"/>
      </w:pPr>
      <w:r>
        <w:tab/>
        <w:t>(d)</w:t>
      </w:r>
      <w:r>
        <w:tab/>
        <w:t>in the case of a claim by an employee that the employer has not allowed the employee a benefit, other than a benefit under an award or order, to which the employee is entitled under the contract of employment — by the employee; and</w:t>
      </w:r>
    </w:p>
    <w:p>
      <w:pPr>
        <w:pStyle w:val="Indenta"/>
      </w:pPr>
      <w:r>
        <w:tab/>
        <w:t>(e)</w:t>
      </w:r>
      <w:r>
        <w:tab/>
        <w:t>in the case of an industrial matter mentioned in section 7(2A) — by the worker.</w:t>
      </w:r>
    </w:p>
    <w:p>
      <w:pPr>
        <w:pStyle w:val="Subsection"/>
        <w:keepNext/>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(1)(c) is to be made not later than 28 days after the day on which the employee’s employment is terminated.</w:t>
      </w:r>
    </w:p>
    <w:p>
      <w:pPr>
        <w:pStyle w:val="Subsection"/>
        <w:spacing w:before="120"/>
      </w:pPr>
      <w:r>
        <w:tab/>
        <w:t>(3)</w:t>
      </w:r>
      <w:r>
        <w:tab/>
        <w:t>The Commission may accept a referral by an employee under subsection (1)(c) that is out of time if the Commission considers that it would be unfair not to do so.</w:t>
      </w:r>
    </w:p>
    <w:p>
      <w:pPr>
        <w:pStyle w:val="Footnotesection"/>
        <w:spacing w:before="100"/>
        <w:ind w:left="890" w:hanging="890"/>
      </w:pPr>
      <w:r>
        <w:tab/>
        <w:t>[Section 29 inserted: No. 94 of 1984 s. 19; amended: No. 15 of 1993 s. 10; No. 1 of 1995 s. 7 and 43; No. 3 of 1997 s. 24; No. 36 of 1999 s. 247; No. 20 of 2002 s. 7 and 139; No. 30 of 2021 s. 13.]</w:t>
      </w:r>
    </w:p>
    <w:p>
      <w:pPr>
        <w:pStyle w:val="Heading5"/>
      </w:pPr>
      <w:bookmarkStart w:id="103" w:name="_Toc107476366"/>
      <w:bookmarkStart w:id="104" w:name="_Toc106373900"/>
      <w:r>
        <w:rPr>
          <w:rStyle w:val="CharSectno"/>
        </w:rPr>
        <w:t>29AA</w:t>
      </w:r>
      <w:r>
        <w:t>.</w:t>
      </w:r>
      <w:r>
        <w:tab/>
        <w:t>Certain claims not to be determined</w:t>
      </w:r>
      <w:bookmarkEnd w:id="103"/>
      <w:bookmarkEnd w:id="104"/>
    </w:p>
    <w:p>
      <w:pPr>
        <w:pStyle w:val="Subsection"/>
        <w:spacing w:before="120"/>
      </w:pPr>
      <w:r>
        <w:tab/>
        <w:t>(1)</w:t>
      </w:r>
      <w:r>
        <w:tab/>
        <w:t>Subject to subsection (2), the Commission must not determine a claim of harsh, oppressive or unfair dismissal from employment if the dismissed employee has lodged an application with the FW Commission for relief in respect of the termination of that employment.</w:t>
      </w:r>
    </w:p>
    <w:p>
      <w:pPr>
        <w:pStyle w:val="Subsection"/>
        <w:spacing w:before="120"/>
      </w:pPr>
      <w:r>
        <w:tab/>
        <w:t>(2)</w:t>
      </w:r>
      <w:r>
        <w:tab/>
        <w:t>Despite subsection (1) the Commission may determine the claim if the application to the FW Commission is —</w:t>
      </w:r>
    </w:p>
    <w:p>
      <w:pPr>
        <w:pStyle w:val="Indenta"/>
        <w:spacing w:before="60"/>
      </w:pPr>
      <w:r>
        <w:tab/>
        <w:t>(a)</w:t>
      </w:r>
      <w:r>
        <w:tab/>
        <w:t>withdrawn; or</w:t>
      </w:r>
    </w:p>
    <w:p>
      <w:pPr>
        <w:pStyle w:val="Indenta"/>
        <w:spacing w:before="60"/>
      </w:pPr>
      <w:r>
        <w:tab/>
        <w:t>(b)</w:t>
      </w:r>
      <w:r>
        <w:tab/>
        <w:t>rejected or dismissed on the ground that it is not within the jurisdiction of the FW Commission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an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No. 20 of 2002 s. 140(1); amended: No. 53 of 2011 s. 39; No. 39 of 2018 s. 23; amended: Gazette 15 Aug 2003 p. 3686; No. 30 of 2021 s. 75(1) and 77(13).]</w:t>
      </w:r>
    </w:p>
    <w:p>
      <w:pPr>
        <w:pStyle w:val="Heading5"/>
        <w:keepLines w:val="0"/>
        <w:rPr>
          <w:snapToGrid w:val="0"/>
        </w:rPr>
      </w:pPr>
      <w:bookmarkStart w:id="105" w:name="_Toc107476367"/>
      <w:bookmarkStart w:id="106" w:name="_Toc106373901"/>
      <w:r>
        <w:rPr>
          <w:rStyle w:val="CharSectno"/>
        </w:rPr>
        <w:t>29A</w:t>
      </w:r>
      <w:r>
        <w:rPr>
          <w:snapToGrid w:val="0"/>
        </w:rPr>
        <w:t>.</w:t>
      </w:r>
      <w:r>
        <w:rPr>
          <w:snapToGrid w:val="0"/>
        </w:rPr>
        <w:tab/>
        <w:t>Proposed award etc., service of etc.</w:t>
      </w:r>
      <w:bookmarkEnd w:id="105"/>
      <w:bookmarkEnd w:id="106"/>
    </w:p>
    <w:p>
      <w:pPr>
        <w:pStyle w:val="Subsection"/>
        <w:rPr>
          <w:snapToGrid w:val="0"/>
        </w:rPr>
      </w:pPr>
      <w:r>
        <w:rPr>
          <w:snapToGrid w:val="0"/>
        </w:rPr>
        <w:tab/>
        <w:t>(1)</w:t>
      </w:r>
      <w:r>
        <w:rPr>
          <w:snapToGrid w:val="0"/>
        </w:rPr>
        <w:tab/>
        <w:t xml:space="preserve">Where an industrial matter has been referred to the Commission pursuant to section 29, the claimant or applicant </w:t>
      </w:r>
      <w:r>
        <w:t>must</w:t>
      </w:r>
      <w:r>
        <w:rPr>
          <w:snapToGrid w:val="0"/>
        </w:rPr>
        <w:t xml:space="preserve">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the following must be published in the required manner —</w:t>
      </w:r>
    </w:p>
    <w:p>
      <w:pPr>
        <w:pStyle w:val="Indenta"/>
        <w:spacing w:before="70"/>
      </w:pPr>
      <w:r>
        <w:tab/>
        <w:t>(a)</w:t>
      </w:r>
      <w:r>
        <w:tab/>
        <w:t>area and scope provisions of a proposed award or industrial agreement; and</w:t>
      </w:r>
    </w:p>
    <w:p>
      <w:pPr>
        <w:pStyle w:val="Indenta"/>
        <w:keepNext/>
        <w:spacing w:before="70"/>
      </w:pPr>
      <w:r>
        <w:tab/>
        <w:t>(b)</w:t>
      </w:r>
      <w:r>
        <w:tab/>
        <w:t>proposed variations to the area and scope provisions of an existing award or industrial agreement.</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must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 xml:space="preserve">Unless otherwise directed by the Commission, where the reference of an industrial matter to the Commission seeks the variation of an award or industrial agreement, other than a variation of the kind mentioned in subsection (2), the Commission </w:t>
      </w:r>
      <w:r>
        <w:t>must</w:t>
      </w:r>
      <w:r>
        <w:rPr>
          <w:snapToGrid w:val="0"/>
        </w:rPr>
        <w:t xml:space="preserve">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 xml:space="preserve">Where the reference of an industrial matter to the Commission seeks the issuance or variation of an order or declaration, other than of a kind referred to in subsection (2) or (3) the Commission </w:t>
      </w:r>
      <w:r>
        <w:t>must</w:t>
      </w:r>
      <w:r>
        <w:rPr>
          <w:snapToGrid w:val="0"/>
        </w:rPr>
        <w:t xml:space="preserve"> not hear the claim or application until the persons sought to be bound by the decision in the proceedings have been served with a copy of the claim or application.</w:t>
      </w:r>
    </w:p>
    <w:p>
      <w:pPr>
        <w:pStyle w:val="Footnotesection"/>
        <w:ind w:left="890" w:hanging="890"/>
      </w:pPr>
      <w:r>
        <w:tab/>
        <w:t>[Section 29A inserted: No. 94 of 1984 s. 19; amended: No. 119 of 1987 s. 8; No. 15 of 1993 s. 31; No. 20 of 2002 s. 115; No. 53 of 2011 s. 41 and 48; No. 30 of 2021 s. 76(2) and (8).]</w:t>
      </w:r>
    </w:p>
    <w:p>
      <w:pPr>
        <w:pStyle w:val="Heading5"/>
        <w:spacing w:before="240"/>
        <w:rPr>
          <w:snapToGrid w:val="0"/>
        </w:rPr>
      </w:pPr>
      <w:bookmarkStart w:id="107" w:name="_Toc107476368"/>
      <w:bookmarkStart w:id="108" w:name="_Toc106373902"/>
      <w:r>
        <w:rPr>
          <w:rStyle w:val="CharSectno"/>
        </w:rPr>
        <w:t>29B</w:t>
      </w:r>
      <w:r>
        <w:rPr>
          <w:snapToGrid w:val="0"/>
        </w:rPr>
        <w:t>.</w:t>
      </w:r>
      <w:r>
        <w:rPr>
          <w:snapToGrid w:val="0"/>
        </w:rPr>
        <w:tab/>
        <w:t>Parties to proceedings</w:t>
      </w:r>
      <w:bookmarkEnd w:id="107"/>
      <w:bookmarkEnd w:id="108"/>
    </w:p>
    <w:p>
      <w:pPr>
        <w:pStyle w:val="Subsection"/>
        <w:rPr>
          <w:snapToGrid w:val="0"/>
        </w:rPr>
      </w:pPr>
      <w:r>
        <w:rPr>
          <w:snapToGrid w:val="0"/>
        </w:rPr>
        <w:tab/>
      </w:r>
      <w:r>
        <w:rPr>
          <w:snapToGrid w:val="0"/>
        </w:rPr>
        <w:tab/>
        <w:t>Subject to section 27(1)(j) the parties to proceedings before the Commission are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No. 94 of 1984 s. 19; amended: No. 30 of 2021 s. 76(4).]</w:t>
      </w:r>
    </w:p>
    <w:p>
      <w:pPr>
        <w:pStyle w:val="Heading5"/>
        <w:rPr>
          <w:snapToGrid w:val="0"/>
        </w:rPr>
      </w:pPr>
      <w:bookmarkStart w:id="109" w:name="_Toc107476369"/>
      <w:bookmarkStart w:id="110" w:name="_Toc106373903"/>
      <w:r>
        <w:rPr>
          <w:rStyle w:val="CharSectno"/>
        </w:rPr>
        <w:t>30</w:t>
      </w:r>
      <w:r>
        <w:rPr>
          <w:snapToGrid w:val="0"/>
        </w:rPr>
        <w:t>.</w:t>
      </w:r>
      <w:r>
        <w:rPr>
          <w:snapToGrid w:val="0"/>
        </w:rPr>
        <w:tab/>
        <w:t>Minister may intervene on behalf of State</w:t>
      </w:r>
      <w:bookmarkEnd w:id="109"/>
      <w:bookmarkEnd w:id="110"/>
    </w:p>
    <w:p>
      <w:pPr>
        <w:pStyle w:val="Subsection"/>
        <w:spacing w:before="120"/>
        <w:rPr>
          <w:snapToGrid w:val="0"/>
        </w:rPr>
      </w:pPr>
      <w:r>
        <w:rPr>
          <w:snapToGrid w:val="0"/>
        </w:rPr>
        <w:tab/>
        <w:t>(1)</w:t>
      </w:r>
      <w:r>
        <w:rPr>
          <w:snapToGrid w:val="0"/>
        </w:rPr>
        <w:tab/>
        <w:t>The Minister may, by giving the Registrar notice in writing of the Minister’s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No. 94 of 1984 s. 19; amended: No. 36 of 2006 s. 11; No. 30 of 2021 s. 77(13).]</w:t>
      </w:r>
    </w:p>
    <w:p>
      <w:pPr>
        <w:pStyle w:val="Heading5"/>
        <w:spacing w:before="180"/>
        <w:rPr>
          <w:snapToGrid w:val="0"/>
        </w:rPr>
      </w:pPr>
      <w:bookmarkStart w:id="111" w:name="_Toc107476370"/>
      <w:bookmarkStart w:id="112" w:name="_Toc106373904"/>
      <w:r>
        <w:rPr>
          <w:rStyle w:val="CharSectno"/>
        </w:rPr>
        <w:t>31</w:t>
      </w:r>
      <w:r>
        <w:rPr>
          <w:snapToGrid w:val="0"/>
        </w:rPr>
        <w:t>.</w:t>
      </w:r>
      <w:r>
        <w:rPr>
          <w:snapToGrid w:val="0"/>
        </w:rPr>
        <w:tab/>
        <w:t>Representation of parties to proceedings</w:t>
      </w:r>
      <w:bookmarkEnd w:id="111"/>
      <w:bookmarkEnd w:id="112"/>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keepNext/>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t>FW Act; or</w:t>
      </w:r>
    </w:p>
    <w:p>
      <w:pPr>
        <w:pStyle w:val="Indenti"/>
        <w:rPr>
          <w:snapToGrid w:val="0"/>
        </w:rPr>
      </w:pPr>
      <w:r>
        <w:rPr>
          <w:snapToGrid w:val="0"/>
        </w:rPr>
        <w:tab/>
        <w:t>(ii)</w:t>
      </w:r>
      <w:r>
        <w:rPr>
          <w:snapToGrid w:val="0"/>
        </w:rPr>
        <w:tab/>
        <w:t xml:space="preserve">the proceedings are in respect of a claim referred to the Commission under </w:t>
      </w:r>
      <w:r>
        <w:t>section 29(1)(c) or (d)</w:t>
      </w:r>
      <w:r>
        <w:rPr>
          <w:snapToGrid w:val="0"/>
        </w:rPr>
        <w:t xml:space="preserve">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keepNext/>
        <w:keepLines/>
        <w:rPr>
          <w:snapToGrid w:val="0"/>
        </w:rPr>
      </w:pPr>
      <w:r>
        <w:rPr>
          <w:snapToGrid w:val="0"/>
        </w:rPr>
        <w:tab/>
        <w:t>(iv)</w:t>
      </w:r>
      <w:r>
        <w:rPr>
          <w:snapToGrid w:val="0"/>
        </w:rPr>
        <w:tab/>
        <w:t>the Commission, under subsection (4), allows legal practitioners to appear and be heard in the proceedings,</w:t>
      </w:r>
    </w:p>
    <w:p>
      <w:pPr>
        <w:pStyle w:val="Indenta"/>
        <w:keepNext/>
        <w:keepLines/>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 xml:space="preserve">An organisation or association is </w:t>
      </w:r>
      <w:r>
        <w:t>taken</w:t>
      </w:r>
      <w:r>
        <w:rPr>
          <w:color w:val="000000"/>
          <w:szCs w:val="24"/>
        </w:rPr>
        <w:t xml:space="preserve">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No. 121 of 1982 s. 12; No. 94 of 1984 s. 20 and 66; No. 15 of 1993 s. 31; No. 1 of 1995 s. 8; No. 36 of 1999 s. 247; No. 21 of 2008 s. 668(4); No. 53 of 2011 s. 33 and 48; No. 30 of 2021 s. 14, 75(1), 76(3) and 78(3).]</w:t>
      </w:r>
    </w:p>
    <w:p>
      <w:pPr>
        <w:pStyle w:val="Heading5"/>
        <w:rPr>
          <w:snapToGrid w:val="0"/>
        </w:rPr>
      </w:pPr>
      <w:bookmarkStart w:id="113" w:name="_Toc107476371"/>
      <w:bookmarkStart w:id="114" w:name="_Toc106373905"/>
      <w:r>
        <w:rPr>
          <w:rStyle w:val="CharSectno"/>
        </w:rPr>
        <w:t>32</w:t>
      </w:r>
      <w:r>
        <w:rPr>
          <w:snapToGrid w:val="0"/>
        </w:rPr>
        <w:t>.</w:t>
      </w:r>
      <w:r>
        <w:rPr>
          <w:snapToGrid w:val="0"/>
        </w:rPr>
        <w:tab/>
        <w:t>Conciliation and arbitration of industrial matters</w:t>
      </w:r>
      <w:bookmarkEnd w:id="113"/>
      <w:bookmarkEnd w:id="114"/>
    </w:p>
    <w:p>
      <w:pPr>
        <w:pStyle w:val="Subsection"/>
        <w:rPr>
          <w:snapToGrid w:val="0"/>
        </w:rPr>
      </w:pPr>
      <w:r>
        <w:rPr>
          <w:snapToGrid w:val="0"/>
        </w:rPr>
        <w:tab/>
        <w:t>(1)</w:t>
      </w:r>
      <w:r>
        <w:rPr>
          <w:snapToGrid w:val="0"/>
        </w:rPr>
        <w:tab/>
        <w:t xml:space="preserve">Where an industrial matter has been referred to the Commission the Commission </w:t>
      </w:r>
      <w:r>
        <w:t>must</w:t>
      </w:r>
      <w:r>
        <w:rPr>
          <w:snapToGrid w:val="0"/>
        </w:rPr>
        <w:t>,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 xml:space="preserve">In endeavouring to resolve an industrial matter by conciliation the Commission </w:t>
      </w:r>
      <w:r>
        <w:t>must</w:t>
      </w:r>
      <w:r>
        <w:rPr>
          <w:snapToGrid w:val="0"/>
        </w:rPr>
        <w:t xml:space="preserve"> do all such things as appear to it to be right and proper to assist the parties to reach an agreement on terms for the resolution of the matter.</w:t>
      </w:r>
    </w:p>
    <w:p>
      <w:pPr>
        <w:pStyle w:val="Subsection"/>
        <w:keepNext/>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 xml:space="preserve">The Commission </w:t>
      </w:r>
      <w:r>
        <w:t>must</w:t>
      </w:r>
      <w:r>
        <w:rPr>
          <w:snapToGrid w:val="0"/>
        </w:rPr>
        <w:t>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any preamble to it,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keepNext/>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keepNext/>
        <w:keepLines/>
        <w:spacing w:before="130"/>
        <w:rPr>
          <w:snapToGrid w:val="0"/>
        </w:rPr>
      </w:pPr>
      <w:r>
        <w:rPr>
          <w:snapToGrid w:val="0"/>
        </w:rPr>
        <w:tab/>
        <w:t>(7)</w:t>
      </w:r>
      <w:r>
        <w:rPr>
          <w:snapToGrid w:val="0"/>
        </w:rPr>
        <w:tab/>
        <w:t xml:space="preserve">Where a matter is decided by arbitration the Commission </w:t>
      </w:r>
      <w:r>
        <w:t>must</w:t>
      </w:r>
      <w:r>
        <w:rPr>
          <w:snapToGrid w:val="0"/>
        </w:rPr>
        <w:t xml:space="preserve">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No. 94 of 1984 s. 21; amended: No. 119 of 1987 s. 9; No. 3 of 1997 s. 36; No. 20 of 2002 s. 187 and 194(3) and (4); No. 8 of 2009 s. 77(2)</w:t>
      </w:r>
      <w:r>
        <w:noBreakHyphen/>
        <w:t>(4); No. 30 of 2021 s. 76(2) and 78(7).]</w:t>
      </w:r>
    </w:p>
    <w:p>
      <w:pPr>
        <w:pStyle w:val="Heading5"/>
        <w:keepNext w:val="0"/>
        <w:spacing w:before="240"/>
      </w:pPr>
      <w:bookmarkStart w:id="115" w:name="_Toc107476372"/>
      <w:bookmarkStart w:id="116" w:name="_Toc106373906"/>
      <w:r>
        <w:rPr>
          <w:rStyle w:val="CharSectno"/>
        </w:rPr>
        <w:t>32A</w:t>
      </w:r>
      <w:r>
        <w:t>.</w:t>
      </w:r>
      <w:r>
        <w:tab/>
        <w:t>Conciliation and arbitration functions of Commission are unlimited</w:t>
      </w:r>
      <w:bookmarkEnd w:id="115"/>
      <w:bookmarkEnd w:id="116"/>
    </w:p>
    <w:p>
      <w:pPr>
        <w:pStyle w:val="Subsection"/>
        <w:spacing w:before="10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keepNext/>
      </w:pPr>
      <w:r>
        <w:tab/>
        <w:t>(2)</w:t>
      </w:r>
      <w:r>
        <w:tab/>
        <w:t>Without limiting subsection (1), nothing in this Act prevents the performance of conciliation functions merely because arbitration functions are being or have been performed.</w:t>
      </w:r>
    </w:p>
    <w:p>
      <w:pPr>
        <w:pStyle w:val="Footnotesection"/>
        <w:keepNext/>
      </w:pPr>
      <w:r>
        <w:tab/>
        <w:t>[Section 32A inserted: No. 20 of 2002 s. 123.]</w:t>
      </w:r>
    </w:p>
    <w:p>
      <w:pPr>
        <w:pStyle w:val="Heading5"/>
        <w:rPr>
          <w:snapToGrid w:val="0"/>
        </w:rPr>
      </w:pPr>
      <w:bookmarkStart w:id="117" w:name="_Toc107476373"/>
      <w:bookmarkStart w:id="118" w:name="_Toc106373907"/>
      <w:r>
        <w:rPr>
          <w:rStyle w:val="CharSectno"/>
        </w:rPr>
        <w:t>33</w:t>
      </w:r>
      <w:r>
        <w:rPr>
          <w:snapToGrid w:val="0"/>
        </w:rPr>
        <w:t>.</w:t>
      </w:r>
      <w:r>
        <w:rPr>
          <w:snapToGrid w:val="0"/>
        </w:rPr>
        <w:tab/>
        <w:t>Evidence before Commission</w:t>
      </w:r>
      <w:bookmarkEnd w:id="117"/>
      <w:bookmarkEnd w:id="118"/>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 xml:space="preserve">the Registrar </w:t>
      </w:r>
      <w:r>
        <w:t>must</w:t>
      </w:r>
      <w:r>
        <w:rPr>
          <w:snapToGrid w:val="0"/>
        </w:rPr>
        <w:t xml:space="preserve">, on the application of any party, or by direction of the Commission, issue a summons in the </w:t>
      </w:r>
      <w:r>
        <w:t>approved</w:t>
      </w:r>
      <w:r>
        <w:rPr>
          <w:snapToGrid w:val="0"/>
        </w:rPr>
        <w:t xml:space="preserve"> form to any person to appear and give evidence before the Commission and the summons may require that person to produce before the Commission any books, papers, or other documents in </w:t>
      </w:r>
      <w:r>
        <w:t>the person’s</w:t>
      </w:r>
      <w:r>
        <w:rPr>
          <w:snapToGrid w:val="0"/>
        </w:rPr>
        <w:t xml:space="preserve"> possession, or under </w:t>
      </w:r>
      <w:r>
        <w:t>the person’s</w:t>
      </w:r>
      <w:r>
        <w:rPr>
          <w:snapToGrid w:val="0"/>
        </w:rPr>
        <w:t xml:space="preserve"> control, in any way relating to the proceedings; and</w:t>
      </w:r>
    </w:p>
    <w:p>
      <w:pPr>
        <w:pStyle w:val="Indenta"/>
        <w:rPr>
          <w:snapToGrid w:val="0"/>
        </w:rPr>
      </w:pPr>
      <w:r>
        <w:rPr>
          <w:snapToGrid w:val="0"/>
        </w:rPr>
        <w:tab/>
        <w:t>(b)</w:t>
      </w:r>
      <w:r>
        <w:rPr>
          <w:snapToGrid w:val="0"/>
        </w:rPr>
        <w:tab/>
        <w:t>a person who attends the Commission in accordance with such summons is entitled to receive from the party at whose instance the person was summoned an allowance for expenses as determined by the Commission; and</w:t>
      </w:r>
    </w:p>
    <w:p>
      <w:pPr>
        <w:pStyle w:val="Indenta"/>
        <w:rPr>
          <w:snapToGrid w:val="0"/>
        </w:rPr>
      </w:pPr>
      <w:r>
        <w:rPr>
          <w:snapToGrid w:val="0"/>
        </w:rPr>
        <w:tab/>
        <w:t>(c)</w:t>
      </w:r>
      <w:r>
        <w:rPr>
          <w:snapToGrid w:val="0"/>
        </w:rPr>
        <w:tab/>
        <w:t xml:space="preserve">subject to subsection (2), a person duly served with such summons, </w:t>
      </w:r>
      <w:r>
        <w:t>must</w:t>
      </w:r>
      <w:r>
        <w:rPr>
          <w:snapToGrid w:val="0"/>
        </w:rPr>
        <w:t xml:space="preserve"> not without good cause, proof of which is on </w:t>
      </w:r>
      <w:r>
        <w:t>the person</w:t>
      </w:r>
      <w:r>
        <w:rPr>
          <w:snapToGrid w:val="0"/>
        </w:rPr>
        <w:t>, fail to attend or to duly produce any book, paper, or document as required or refuse to be sworn as a witness or to answer any question which the person is required by the Commission to answer; and</w:t>
      </w:r>
    </w:p>
    <w:p>
      <w:pPr>
        <w:pStyle w:val="Indenta"/>
        <w:rPr>
          <w:snapToGrid w:val="0"/>
        </w:rPr>
      </w:pPr>
      <w:r>
        <w:rPr>
          <w:snapToGrid w:val="0"/>
        </w:rPr>
        <w:tab/>
        <w:t>(d)</w:t>
      </w:r>
      <w:r>
        <w:rPr>
          <w:snapToGrid w:val="0"/>
        </w:rPr>
        <w:tab/>
        <w:t>the Commission may, if the Commission considers it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 xml:space="preserve">the Commission </w:t>
      </w:r>
      <w:r>
        <w:t>must</w:t>
      </w:r>
      <w:r>
        <w:rPr>
          <w:snapToGrid w:val="0"/>
        </w:rPr>
        <w:t xml:space="preserve"> take evidence on oath or affirmation.</w:t>
      </w:r>
    </w:p>
    <w:p>
      <w:pPr>
        <w:pStyle w:val="Subsection"/>
        <w:rPr>
          <w:snapToGrid w:val="0"/>
        </w:rPr>
      </w:pPr>
      <w:r>
        <w:rPr>
          <w:snapToGrid w:val="0"/>
        </w:rPr>
        <w:tab/>
        <w:t>(2)</w:t>
      </w:r>
      <w:r>
        <w:rPr>
          <w:snapToGrid w:val="0"/>
        </w:rPr>
        <w:tab/>
        <w:t xml:space="preserve">Where a summons is issued to, and duly served on, a person to appear and give evidence before the Commission, the person may make application to the Commission for cause to be shown for </w:t>
      </w:r>
      <w:r>
        <w:t>the person</w:t>
      </w:r>
      <w:r>
        <w:rPr>
          <w:snapToGrid w:val="0"/>
        </w:rPr>
        <w:t xml:space="preserve"> to so appear and, if on the hearing of the application such cause is not shown, the person is not required to so appear.</w:t>
      </w:r>
    </w:p>
    <w:p>
      <w:pPr>
        <w:pStyle w:val="Subsection"/>
        <w:rPr>
          <w:snapToGrid w:val="0"/>
        </w:rPr>
      </w:pPr>
      <w:r>
        <w:rPr>
          <w:snapToGrid w:val="0"/>
        </w:rPr>
        <w:tab/>
        <w:t>(3)</w:t>
      </w:r>
      <w:r>
        <w:rPr>
          <w:snapToGrid w:val="0"/>
        </w:rPr>
        <w:tab/>
        <w:t xml:space="preserve">Evidence relating to any trade secret, or to the profits or financial position of any witness or party, </w:t>
      </w:r>
      <w:r>
        <w:t>must</w:t>
      </w:r>
      <w:r>
        <w:rPr>
          <w:snapToGrid w:val="0"/>
        </w:rPr>
        <w:t xml:space="preserve">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 xml:space="preserve">The evidence referred to in subsection (3) </w:t>
      </w:r>
      <w:r>
        <w:t>must</w:t>
      </w:r>
      <w:r>
        <w:rPr>
          <w:snapToGrid w:val="0"/>
        </w:rPr>
        <w:t>, if the witness or party so requests, be taken in private.</w:t>
      </w:r>
    </w:p>
    <w:p>
      <w:pPr>
        <w:pStyle w:val="Subsection"/>
        <w:rPr>
          <w:snapToGrid w:val="0"/>
        </w:rPr>
      </w:pPr>
      <w:r>
        <w:rPr>
          <w:snapToGrid w:val="0"/>
        </w:rPr>
        <w:tab/>
        <w:t>(5)</w:t>
      </w:r>
      <w:r>
        <w:rPr>
          <w:snapToGrid w:val="0"/>
        </w:rPr>
        <w:tab/>
        <w:t xml:space="preserve">All books, papers, and other documents produced in evidence before the Commission may be inspected by the Commission and also by such of the parties as the Commission allows, but the information obtained </w:t>
      </w:r>
      <w:r>
        <w:t>from the documents</w:t>
      </w:r>
      <w:r>
        <w:rPr>
          <w:snapToGrid w:val="0"/>
        </w:rPr>
        <w:t xml:space="preserve"> </w:t>
      </w:r>
      <w:r>
        <w:t>must</w:t>
      </w:r>
      <w:r>
        <w:rPr>
          <w:snapToGrid w:val="0"/>
        </w:rPr>
        <w:t xml:space="preserve">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w:t>
      </w:r>
      <w:r>
        <w:t>must</w:t>
      </w:r>
      <w:r>
        <w:rPr>
          <w:snapToGrid w:val="0"/>
        </w:rPr>
        <w:t xml:space="preserve">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No. 121 of 1982 s. 13; No. 94 of 1984 s. 22 and 65; No. 30 of 2021 s. 73, 76(2), (3) and (8), 77(2), (4) and (5) and 78(7).]</w:t>
      </w:r>
    </w:p>
    <w:p>
      <w:pPr>
        <w:pStyle w:val="Heading5"/>
        <w:rPr>
          <w:snapToGrid w:val="0"/>
        </w:rPr>
      </w:pPr>
      <w:bookmarkStart w:id="119" w:name="_Toc107476374"/>
      <w:bookmarkStart w:id="120" w:name="_Toc106373908"/>
      <w:r>
        <w:rPr>
          <w:rStyle w:val="CharSectno"/>
        </w:rPr>
        <w:t>34</w:t>
      </w:r>
      <w:r>
        <w:rPr>
          <w:snapToGrid w:val="0"/>
        </w:rPr>
        <w:t>.</w:t>
      </w:r>
      <w:r>
        <w:rPr>
          <w:snapToGrid w:val="0"/>
        </w:rPr>
        <w:tab/>
        <w:t>Decisions of Commission, form of and review of</w:t>
      </w:r>
      <w:bookmarkEnd w:id="119"/>
      <w:bookmarkEnd w:id="120"/>
    </w:p>
    <w:p>
      <w:pPr>
        <w:pStyle w:val="Subsection"/>
        <w:keepNext/>
        <w:keepLines/>
      </w:pPr>
      <w:r>
        <w:tab/>
        <w:t>(1)</w:t>
      </w:r>
      <w:r>
        <w:tab/>
        <w:t>The decision of the Commission must be made in the form of an award, order or declaration and must be signed and dated at the time it is made —</w:t>
      </w:r>
    </w:p>
    <w:p>
      <w:pPr>
        <w:pStyle w:val="Indenta"/>
        <w:keepNext/>
        <w:keepLines/>
      </w:pPr>
      <w:r>
        <w:tab/>
        <w:t>(a)</w:t>
      </w:r>
      <w:r>
        <w:tab/>
        <w:t>in the case of a decision made by the Commission constituted by a single commissioner — by the commissioner; or</w:t>
      </w:r>
    </w:p>
    <w:p>
      <w:pPr>
        <w:pStyle w:val="Indenta"/>
      </w:pPr>
      <w:r>
        <w:tab/>
        <w:t>(b)</w:t>
      </w:r>
      <w:r>
        <w:tab/>
        <w:t xml:space="preserve">in the case of a decision of the Commission in Court Session — by the most senior commissioner of the commissioners who constitute the Commission in Court Session; or </w:t>
      </w:r>
    </w:p>
    <w:p>
      <w:pPr>
        <w:pStyle w:val="Indenta"/>
      </w:pPr>
      <w:r>
        <w:tab/>
        <w:t>(c)</w:t>
      </w:r>
      <w:r>
        <w:tab/>
        <w:t>in the case of a decision by the Full Bench or its presiding commissioner — by the presiding commissioner of the Full Bench.</w:t>
      </w:r>
    </w:p>
    <w:p>
      <w:pPr>
        <w:pStyle w:val="Subsection"/>
      </w:pPr>
      <w:r>
        <w:tab/>
        <w:t>(1A)</w:t>
      </w:r>
      <w:r>
        <w:tab/>
        <w:t>A decision of the Commission must be sealed with the seal of the Commission.</w:t>
      </w:r>
    </w:p>
    <w:p>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pPr>
        <w:pStyle w:val="Subsection"/>
      </w:pPr>
      <w:r>
        <w:rPr>
          <w:snapToGrid w:val="0"/>
        </w:rPr>
        <w:tab/>
        <w:t>(3)</w:t>
      </w:r>
      <w:r>
        <w:rPr>
          <w:snapToGrid w:val="0"/>
        </w:rPr>
        <w:tab/>
        <w:t xml:space="preserve">Proceedings before the Commission cannot be impeached or held bad for want of form nor </w:t>
      </w:r>
      <w:r>
        <w:t>can they</w:t>
      </w:r>
      <w:r>
        <w:rPr>
          <w:snapToGrid w:val="0"/>
        </w:rPr>
        <w:t xml:space="preserve">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Commission is liable to be challenged, appealed against, reviewed, quashed, or called in </w:t>
      </w:r>
      <w:r>
        <w:t>question by or in any</w:t>
      </w:r>
      <w:r>
        <w:rPr>
          <w:snapToGrid w:val="0"/>
        </w:rPr>
        <w:t xml:space="preserve">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No. 94 of 1984 s. 23; No. 20 of 2002 s. 124; No. 39 of 2018 s. 24; No. 30 of 2021 s. 76(3), (5) and (8).]</w:t>
      </w:r>
    </w:p>
    <w:p>
      <w:pPr>
        <w:pStyle w:val="Heading5"/>
        <w:keepNext w:val="0"/>
        <w:spacing w:before="240"/>
        <w:rPr>
          <w:snapToGrid w:val="0"/>
        </w:rPr>
      </w:pPr>
      <w:bookmarkStart w:id="121" w:name="_Toc107476375"/>
      <w:bookmarkStart w:id="122" w:name="_Toc106373909"/>
      <w:r>
        <w:rPr>
          <w:rStyle w:val="CharSectno"/>
        </w:rPr>
        <w:t>35</w:t>
      </w:r>
      <w:r>
        <w:rPr>
          <w:snapToGrid w:val="0"/>
        </w:rPr>
        <w:t>.</w:t>
      </w:r>
      <w:r>
        <w:rPr>
          <w:snapToGrid w:val="0"/>
        </w:rPr>
        <w:tab/>
        <w:t>Decision to be first drawn up as minutes</w:t>
      </w:r>
      <w:bookmarkEnd w:id="121"/>
      <w:bookmarkEnd w:id="122"/>
    </w:p>
    <w:p>
      <w:pPr>
        <w:pStyle w:val="Subsection"/>
      </w:pPr>
      <w:r>
        <w:tab/>
        <w:t>(1A)</w:t>
      </w:r>
      <w:r>
        <w:tab/>
        <w:t xml:space="preserve">In this section — </w:t>
      </w:r>
    </w:p>
    <w:p>
      <w:pPr>
        <w:pStyle w:val="Defstart"/>
      </w:pPr>
      <w:r>
        <w:tab/>
      </w:r>
      <w:r>
        <w:rPr>
          <w:rStyle w:val="CharDefText"/>
        </w:rPr>
        <w:t>final decision</w:t>
      </w:r>
      <w:r>
        <w:t xml:space="preserve"> means a decision, determination or ruling in proceedings that finally decides, determines or disposes of the matter to which the proceedings relate.</w:t>
      </w:r>
    </w:p>
    <w:p>
      <w:pPr>
        <w:pStyle w:val="Subsection"/>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pPr>
        <w:pStyle w:val="Subsection"/>
      </w:pPr>
      <w:r>
        <w:tab/>
        <w:t>(1AB)</w:t>
      </w:r>
      <w:r>
        <w:tab/>
        <w:t xml:space="preserve">Subsection (1) does not apply to an order made for the purposes of section 27(1)(a) or an </w:t>
      </w:r>
      <w:r>
        <w:rPr>
          <w:snapToGrid w:val="0"/>
        </w:rPr>
        <w:t>order or declaration made under section 32(8).</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 xml:space="preserve">The parties concerned are, at a time fixed by the Commission, entitled to speak to matters contained in the minutes of the decision and the Commission may, after hearing the parties, vary the terms of those minutes before </w:t>
      </w:r>
      <w:r>
        <w:t>the final decision is made in the terms of the minutes.</w:t>
      </w:r>
    </w:p>
    <w:p>
      <w:pPr>
        <w:pStyle w:val="Subsection"/>
        <w:keepNext/>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prescribed in this section are inappropriate or unnecessary.</w:t>
      </w:r>
    </w:p>
    <w:p>
      <w:pPr>
        <w:pStyle w:val="Footnotesection"/>
      </w:pPr>
      <w:r>
        <w:tab/>
        <w:t>[Section 35 amended: No. 121 of 1982 s. 14; No. 94 of 1984 s. 24 and 66; No. 39 of 2018 s. 25; No. 30 of 2021 s. 76(8) and 78(7).]</w:t>
      </w:r>
    </w:p>
    <w:p>
      <w:pPr>
        <w:pStyle w:val="Heading5"/>
      </w:pPr>
      <w:bookmarkStart w:id="123" w:name="_Toc107476376"/>
      <w:bookmarkStart w:id="124" w:name="_Toc106373910"/>
      <w:r>
        <w:rPr>
          <w:rStyle w:val="CharSectno"/>
        </w:rPr>
        <w:t>36</w:t>
      </w:r>
      <w:r>
        <w:t>.</w:t>
      </w:r>
      <w:r>
        <w:tab/>
        <w:t>Copy of decision must be given to parties and be available for inspection</w:t>
      </w:r>
      <w:bookmarkEnd w:id="123"/>
      <w:bookmarkEnd w:id="124"/>
    </w:p>
    <w:p>
      <w:pPr>
        <w:pStyle w:val="Subsection"/>
      </w:pPr>
      <w:r>
        <w:tab/>
        <w:t>(1)</w:t>
      </w:r>
      <w:r>
        <w:tab/>
        <w:t xml:space="preserve">The Commission must, as soon as practicable after making a decision — </w:t>
      </w:r>
    </w:p>
    <w:p>
      <w:pPr>
        <w:pStyle w:val="Indenta"/>
      </w:pPr>
      <w:r>
        <w:tab/>
        <w:t>(a)</w:t>
      </w:r>
      <w:r>
        <w:tab/>
        <w:t>give a copy of the decision to each party to the proceeding; and</w:t>
      </w:r>
    </w:p>
    <w:p>
      <w:pPr>
        <w:pStyle w:val="Indenta"/>
      </w:pPr>
      <w:r>
        <w:tab/>
        <w:t>(b)</w:t>
      </w:r>
      <w:r>
        <w:tab/>
        <w:t>deposit a copy of the decision in the office of the Registrar.</w:t>
      </w:r>
    </w:p>
    <w:p>
      <w:pPr>
        <w:pStyle w:val="Subsection"/>
      </w:pPr>
      <w:r>
        <w:tab/>
        <w:t>(2)</w:t>
      </w:r>
      <w:r>
        <w:tab/>
        <w:t>A copy of each decision of the Commission lodged in the office of the Registrar must be open to inspection without charge during office hours by any person interested.</w:t>
      </w:r>
    </w:p>
    <w:p>
      <w:pPr>
        <w:pStyle w:val="Footnotesection"/>
      </w:pPr>
      <w:r>
        <w:tab/>
        <w:t>[Section 36 inserted: No. 39 of 2018 s. 26.]</w:t>
      </w:r>
    </w:p>
    <w:p>
      <w:pPr>
        <w:pStyle w:val="Heading3"/>
      </w:pPr>
      <w:bookmarkStart w:id="125" w:name="_Toc107322248"/>
      <w:bookmarkStart w:id="126" w:name="_Toc107476377"/>
      <w:bookmarkStart w:id="127" w:name="_Toc105759997"/>
      <w:bookmarkStart w:id="128" w:name="_Toc106195238"/>
      <w:bookmarkStart w:id="129" w:name="_Toc106367180"/>
      <w:bookmarkStart w:id="130" w:name="_Toc106373911"/>
      <w:r>
        <w:rPr>
          <w:rStyle w:val="CharDivNo"/>
        </w:rPr>
        <w:t>Division 2A</w:t>
      </w:r>
      <w:r>
        <w:t xml:space="preserve"> — </w:t>
      </w:r>
      <w:r>
        <w:rPr>
          <w:rStyle w:val="CharDivText"/>
        </w:rPr>
        <w:t>Awards</w:t>
      </w:r>
      <w:bookmarkEnd w:id="125"/>
      <w:bookmarkEnd w:id="126"/>
      <w:bookmarkEnd w:id="127"/>
      <w:bookmarkEnd w:id="128"/>
      <w:bookmarkEnd w:id="129"/>
      <w:bookmarkEnd w:id="130"/>
    </w:p>
    <w:p>
      <w:pPr>
        <w:pStyle w:val="Footnoteheading"/>
        <w:keepNext/>
        <w:tabs>
          <w:tab w:val="left" w:pos="851"/>
        </w:tabs>
      </w:pPr>
      <w:r>
        <w:tab/>
        <w:t>[Heading inserted: No. 20 of 2002 s. 116.]</w:t>
      </w:r>
    </w:p>
    <w:p>
      <w:pPr>
        <w:pStyle w:val="Heading5"/>
      </w:pPr>
      <w:bookmarkStart w:id="131" w:name="_Toc107476378"/>
      <w:bookmarkStart w:id="132" w:name="_Toc106373912"/>
      <w:r>
        <w:rPr>
          <w:rStyle w:val="CharSectno"/>
        </w:rPr>
        <w:t>36A</w:t>
      </w:r>
      <w:r>
        <w:t>.</w:t>
      </w:r>
      <w:r>
        <w:tab/>
        <w:t>Non</w:t>
      </w:r>
      <w:r>
        <w:noBreakHyphen/>
        <w:t>award employees, interim award for etc.</w:t>
      </w:r>
      <w:bookmarkEnd w:id="131"/>
      <w:bookmarkEnd w:id="132"/>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keepNext/>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No. 20 of 2002 s. 116.]</w:t>
      </w:r>
    </w:p>
    <w:p>
      <w:pPr>
        <w:pStyle w:val="Heading5"/>
        <w:rPr>
          <w:snapToGrid w:val="0"/>
        </w:rPr>
      </w:pPr>
      <w:bookmarkStart w:id="133" w:name="_Toc107476379"/>
      <w:bookmarkStart w:id="134" w:name="_Toc106373913"/>
      <w:r>
        <w:rPr>
          <w:rStyle w:val="CharSectno"/>
        </w:rPr>
        <w:t>37</w:t>
      </w:r>
      <w:r>
        <w:rPr>
          <w:snapToGrid w:val="0"/>
        </w:rPr>
        <w:t>.</w:t>
      </w:r>
      <w:r>
        <w:rPr>
          <w:snapToGrid w:val="0"/>
        </w:rPr>
        <w:tab/>
      </w:r>
      <w:r>
        <w:t>Effect, area of operation and duration of award</w:t>
      </w:r>
      <w:bookmarkEnd w:id="133"/>
      <w:bookmarkEnd w:id="134"/>
    </w:p>
    <w:p>
      <w:pPr>
        <w:pStyle w:val="Subsection"/>
        <w:rPr>
          <w:snapToGrid w:val="0"/>
        </w:rPr>
      </w:pPr>
      <w:r>
        <w:rPr>
          <w:snapToGrid w:val="0"/>
        </w:rPr>
        <w:tab/>
        <w:t>(1)</w:t>
      </w:r>
      <w:r>
        <w:rPr>
          <w:snapToGrid w:val="0"/>
        </w:rPr>
        <w:tab/>
        <w:t xml:space="preserve">An award has effect according to its terms. </w:t>
      </w:r>
    </w:p>
    <w:p>
      <w:pPr>
        <w:pStyle w:val="Subsection"/>
        <w:rPr>
          <w:snapToGrid w:val="0"/>
        </w:rPr>
      </w:pPr>
      <w:r>
        <w:rPr>
          <w:snapToGrid w:val="0"/>
        </w:rPr>
        <w:tab/>
        <w:t>(2)</w:t>
      </w:r>
      <w:r>
        <w:rPr>
          <w:snapToGrid w:val="0"/>
        </w:rPr>
        <w:tab/>
        <w:t>Except as provided in its terms, an award operates throughout the State, other than in the areas to which section 3(1) applies.</w:t>
      </w:r>
    </w:p>
    <w:p>
      <w:pPr>
        <w:pStyle w:val="Ednotesubsection"/>
      </w:pPr>
      <w:r>
        <w:tab/>
        <w:t>[(3)</w:t>
      </w:r>
      <w:r>
        <w:tab/>
        <w:t>deleted]</w:t>
      </w:r>
    </w:p>
    <w:p>
      <w:pPr>
        <w:pStyle w:val="Subsection"/>
        <w:rPr>
          <w:snapToGrid w:val="0"/>
        </w:rPr>
      </w:pPr>
      <w:r>
        <w:rPr>
          <w:snapToGrid w:val="0"/>
        </w:rPr>
        <w:tab/>
        <w:t>(4)</w:t>
      </w:r>
      <w:r>
        <w:rPr>
          <w:snapToGrid w:val="0"/>
        </w:rPr>
        <w:tab/>
        <w:t xml:space="preserve">Subject to any variation made under this Act, an award, and any provision of an award, whether or not it has been made for a specified term, remains in force until cancelled, suspended, or replaced under this Act unless, in the case of an award or a provision made for a specified term, it is expressly provided that the award or the provision, as the case may be, </w:t>
      </w:r>
      <w:r>
        <w:t>ceases</w:t>
      </w:r>
      <w:r>
        <w:rPr>
          <w:snapToGrid w:val="0"/>
        </w:rPr>
        <w:t xml:space="preserve"> to operate upon the expiration of that term.</w:t>
      </w:r>
    </w:p>
    <w:p>
      <w:pPr>
        <w:pStyle w:val="Subsection"/>
        <w:keepNext/>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No. 94 of 1984 s. 66; No. 30 of 2021 s. 15 and 76(8).]</w:t>
      </w:r>
    </w:p>
    <w:p>
      <w:pPr>
        <w:pStyle w:val="Heading5"/>
      </w:pPr>
      <w:bookmarkStart w:id="135" w:name="_Toc107476380"/>
      <w:bookmarkStart w:id="136" w:name="_Toc90558219"/>
      <w:bookmarkStart w:id="137" w:name="_Toc95209300"/>
      <w:bookmarkStart w:id="138" w:name="_Toc106373914"/>
      <w:r>
        <w:rPr>
          <w:rStyle w:val="CharSectno"/>
        </w:rPr>
        <w:t>37A</w:t>
      </w:r>
      <w:r>
        <w:t>.</w:t>
      </w:r>
      <w:r>
        <w:tab/>
        <w:t>Public sector awards and enterprise awards</w:t>
      </w:r>
      <w:bookmarkEnd w:id="135"/>
      <w:bookmarkEnd w:id="136"/>
      <w:bookmarkEnd w:id="137"/>
      <w:bookmarkEnd w:id="138"/>
    </w:p>
    <w:p>
      <w:pPr>
        <w:pStyle w:val="Subsection"/>
        <w:rPr>
          <w:snapToGrid w:val="0"/>
        </w:rPr>
      </w:pPr>
      <w:r>
        <w:rPr>
          <w:snapToGrid w:val="0"/>
        </w:rPr>
        <w:tab/>
      </w:r>
      <w:r>
        <w:rPr>
          <w:snapToGrid w:val="0"/>
        </w:rPr>
        <w:tab/>
        <w:t>Except as provided in its terms, a public sector award or enterprise award extends to and binds —</w:t>
      </w:r>
    </w:p>
    <w:p>
      <w:pPr>
        <w:pStyle w:val="Indenta"/>
      </w:pPr>
      <w:r>
        <w:tab/>
        <w:t>(a)</w:t>
      </w:r>
      <w:r>
        <w:tab/>
        <w:t>employees employed in a calling specified in the award in the industry or industries to which the award applies; and</w:t>
      </w:r>
    </w:p>
    <w:p>
      <w:pPr>
        <w:pStyle w:val="Indenta"/>
      </w:pPr>
      <w:r>
        <w:tab/>
        <w:t>(b)</w:t>
      </w:r>
      <w:r>
        <w:tab/>
        <w:t>employers employing those employees.</w:t>
      </w:r>
    </w:p>
    <w:p>
      <w:pPr>
        <w:pStyle w:val="Footnotesection"/>
      </w:pPr>
      <w:bookmarkStart w:id="139" w:name="_Toc90558220"/>
      <w:bookmarkStart w:id="140" w:name="_Toc95209301"/>
      <w:r>
        <w:tab/>
        <w:t>[Section 37A inserted: No. 30 of 2021 s. 16.]</w:t>
      </w:r>
    </w:p>
    <w:p>
      <w:pPr>
        <w:pStyle w:val="Heading5"/>
      </w:pPr>
      <w:bookmarkStart w:id="141" w:name="_Toc107476381"/>
      <w:bookmarkStart w:id="142" w:name="_Toc106373915"/>
      <w:r>
        <w:rPr>
          <w:rStyle w:val="CharSectno"/>
        </w:rPr>
        <w:t>37B</w:t>
      </w:r>
      <w:r>
        <w:t>.</w:t>
      </w:r>
      <w:r>
        <w:tab/>
        <w:t>Private sector awards: general</w:t>
      </w:r>
      <w:bookmarkEnd w:id="141"/>
      <w:bookmarkEnd w:id="139"/>
      <w:bookmarkEnd w:id="140"/>
      <w:bookmarkEnd w:id="142"/>
    </w:p>
    <w:p>
      <w:pPr>
        <w:pStyle w:val="Subsection"/>
        <w:rPr>
          <w:snapToGrid w:val="0"/>
        </w:rPr>
      </w:pPr>
      <w:r>
        <w:rPr>
          <w:snapToGrid w:val="0"/>
        </w:rPr>
        <w:tab/>
        <w:t>(1)</w:t>
      </w:r>
      <w:r>
        <w:rPr>
          <w:snapToGrid w:val="0"/>
        </w:rPr>
        <w:tab/>
        <w:t xml:space="preserve">Except as provided in its terms, a private sector award extends to and binds — </w:t>
      </w:r>
    </w:p>
    <w:p>
      <w:pPr>
        <w:pStyle w:val="Indenta"/>
      </w:pPr>
      <w:r>
        <w:tab/>
        <w:t>(a)</w:t>
      </w:r>
      <w:r>
        <w:tab/>
        <w:t xml:space="preserve">employers — </w:t>
      </w:r>
    </w:p>
    <w:p>
      <w:pPr>
        <w:pStyle w:val="Indenti"/>
      </w:pPr>
      <w:r>
        <w:tab/>
        <w:t>(i)</w:t>
      </w:r>
      <w:r>
        <w:tab/>
        <w:t>of a class or classes specified in the award; or</w:t>
      </w:r>
    </w:p>
    <w:p>
      <w:pPr>
        <w:pStyle w:val="Indenti"/>
      </w:pPr>
      <w:r>
        <w:tab/>
        <w:t>(ii)</w:t>
      </w:r>
      <w:r>
        <w:tab/>
        <w:t>specified by name in the award;</w:t>
      </w:r>
    </w:p>
    <w:p>
      <w:pPr>
        <w:pStyle w:val="Indenta"/>
      </w:pPr>
      <w:r>
        <w:tab/>
      </w:r>
      <w:r>
        <w:tab/>
        <w:t>and</w:t>
      </w:r>
    </w:p>
    <w:p>
      <w:pPr>
        <w:pStyle w:val="Indenta"/>
      </w:pPr>
      <w:r>
        <w:tab/>
        <w:t>(b)</w:t>
      </w:r>
      <w:r>
        <w:tab/>
        <w:t xml:space="preserve">employees — </w:t>
      </w:r>
    </w:p>
    <w:p>
      <w:pPr>
        <w:pStyle w:val="Indenti"/>
      </w:pPr>
      <w:r>
        <w:tab/>
        <w:t>(i)</w:t>
      </w:r>
      <w:r>
        <w:tab/>
        <w:t>of employers referred to in paragraph (a); and</w:t>
      </w:r>
    </w:p>
    <w:p>
      <w:pPr>
        <w:pStyle w:val="Indenti"/>
      </w:pPr>
      <w:r>
        <w:tab/>
        <w:t>(ii)</w:t>
      </w:r>
      <w:r>
        <w:tab/>
        <w:t>of a class or classes specified in the award.</w:t>
      </w:r>
    </w:p>
    <w:p>
      <w:pPr>
        <w:pStyle w:val="Subsection"/>
      </w:pPr>
      <w:r>
        <w:tab/>
        <w:t>(2)</w:t>
      </w:r>
      <w:r>
        <w:tab/>
        <w:t xml:space="preserve">For the </w:t>
      </w:r>
      <w:r>
        <w:rPr>
          <w:snapToGrid w:val="0"/>
        </w:rPr>
        <w:t>purposes</w:t>
      </w:r>
      <w:r>
        <w:t xml:space="preserve"> of subsection (1)(a)(i) and (b)(ii), the class may be described by reference to</w:t>
      </w:r>
      <w:r>
        <w:rPr>
          <w:color w:val="7030A0"/>
        </w:rPr>
        <w:t> </w:t>
      </w:r>
      <w:r>
        <w:t xml:space="preserve">— </w:t>
      </w:r>
    </w:p>
    <w:p>
      <w:pPr>
        <w:pStyle w:val="Indenta"/>
      </w:pPr>
      <w:r>
        <w:tab/>
        <w:t>(a)</w:t>
      </w:r>
      <w:r>
        <w:tab/>
        <w:t xml:space="preserve">a particular industry or part of an industry; or </w:t>
      </w:r>
    </w:p>
    <w:p>
      <w:pPr>
        <w:pStyle w:val="Indenta"/>
      </w:pPr>
      <w:r>
        <w:tab/>
        <w:t>(b)</w:t>
      </w:r>
      <w:r>
        <w:tab/>
        <w:t>a particular kind of work.</w:t>
      </w:r>
    </w:p>
    <w:p>
      <w:pPr>
        <w:pStyle w:val="Subsection"/>
        <w:keepNext/>
        <w:rPr>
          <w:snapToGrid w:val="0"/>
        </w:rPr>
      </w:pPr>
      <w:r>
        <w:rPr>
          <w:snapToGrid w:val="0"/>
        </w:rPr>
        <w:tab/>
        <w:t>(3)</w:t>
      </w:r>
      <w:r>
        <w:rPr>
          <w:snapToGrid w:val="0"/>
        </w:rPr>
        <w:tab/>
        <w:t xml:space="preserve">A private sector award may be made or varied to — </w:t>
      </w:r>
    </w:p>
    <w:p>
      <w:pPr>
        <w:pStyle w:val="Indenta"/>
        <w:rPr>
          <w:snapToGrid w:val="0"/>
        </w:rPr>
      </w:pPr>
      <w:r>
        <w:rPr>
          <w:snapToGrid w:val="0"/>
        </w:rPr>
        <w:tab/>
        <w:t>(a)</w:t>
      </w:r>
      <w:r>
        <w:rPr>
          <w:snapToGrid w:val="0"/>
        </w:rPr>
        <w:tab/>
      </w:r>
      <w:r>
        <w:t>prevent</w:t>
      </w:r>
      <w:r>
        <w:rPr>
          <w:snapToGrid w:val="0"/>
        </w:rPr>
        <w:t xml:space="preserve"> any overlap with another award; and</w:t>
      </w:r>
    </w:p>
    <w:p>
      <w:pPr>
        <w:pStyle w:val="Indenta"/>
        <w:rPr>
          <w:snapToGrid w:val="0"/>
        </w:rPr>
      </w:pPr>
      <w:r>
        <w:rPr>
          <w:snapToGrid w:val="0"/>
        </w:rPr>
        <w:tab/>
        <w:t>(b)</w:t>
      </w:r>
      <w:r>
        <w:rPr>
          <w:snapToGrid w:val="0"/>
        </w:rPr>
        <w:tab/>
        <w:t xml:space="preserve">extend to and bind a labour hire agency, and any </w:t>
      </w:r>
      <w:r>
        <w:t>employees</w:t>
      </w:r>
      <w:r>
        <w:rPr>
          <w:snapToGrid w:val="0"/>
        </w:rPr>
        <w:t xml:space="preserve"> of a labour hire agency, conducting business — </w:t>
      </w:r>
    </w:p>
    <w:p>
      <w:pPr>
        <w:pStyle w:val="Indenti"/>
      </w:pPr>
      <w:r>
        <w:tab/>
        <w:t>(i)</w:t>
      </w:r>
      <w:r>
        <w:tab/>
        <w:t>in an industry to which the award relates; and</w:t>
      </w:r>
    </w:p>
    <w:p>
      <w:pPr>
        <w:pStyle w:val="Indenti"/>
      </w:pPr>
      <w:r>
        <w:tab/>
        <w:t>(ii)</w:t>
      </w:r>
      <w:r>
        <w:tab/>
        <w:t>in relation to employees to whom a classification in the award applies.</w:t>
      </w:r>
    </w:p>
    <w:p>
      <w:pPr>
        <w:pStyle w:val="Footnotesection"/>
      </w:pPr>
      <w:bookmarkStart w:id="143" w:name="_Toc90558221"/>
      <w:bookmarkStart w:id="144" w:name="_Toc95209302"/>
      <w:r>
        <w:tab/>
        <w:t>[Section 37B inserted: No. 30 of 2021 s. 16.]</w:t>
      </w:r>
    </w:p>
    <w:p>
      <w:pPr>
        <w:pStyle w:val="Heading5"/>
      </w:pPr>
      <w:bookmarkStart w:id="145" w:name="_Toc107476382"/>
      <w:bookmarkStart w:id="146" w:name="_Toc106373916"/>
      <w:r>
        <w:rPr>
          <w:rStyle w:val="CharSectno"/>
        </w:rPr>
        <w:t>37C</w:t>
      </w:r>
      <w:r>
        <w:t>.</w:t>
      </w:r>
      <w:r>
        <w:tab/>
        <w:t>Private sector awards: limitations on making and varying</w:t>
      </w:r>
      <w:bookmarkEnd w:id="145"/>
      <w:bookmarkEnd w:id="143"/>
      <w:bookmarkEnd w:id="144"/>
      <w:bookmarkEnd w:id="146"/>
    </w:p>
    <w:p>
      <w:pPr>
        <w:pStyle w:val="Subsection"/>
        <w:rPr>
          <w:snapToGrid w:val="0"/>
        </w:rPr>
      </w:pPr>
      <w:r>
        <w:rPr>
          <w:snapToGrid w:val="0"/>
        </w:rPr>
        <w:tab/>
        <w:t>(1)</w:t>
      </w:r>
      <w:r>
        <w:rPr>
          <w:snapToGrid w:val="0"/>
        </w:rPr>
        <w:tab/>
        <w:t xml:space="preserve">A private sector award must not be made or varied to extend to and bind a class of employees — </w:t>
      </w:r>
    </w:p>
    <w:p>
      <w:pPr>
        <w:pStyle w:val="Indenta"/>
        <w:rPr>
          <w:snapToGrid w:val="0"/>
        </w:rPr>
      </w:pPr>
      <w:r>
        <w:rPr>
          <w:snapToGrid w:val="0"/>
        </w:rPr>
        <w:tab/>
        <w:t>(a)</w:t>
      </w:r>
      <w:r>
        <w:rPr>
          <w:snapToGrid w:val="0"/>
        </w:rPr>
        <w:tab/>
        <w:t xml:space="preserve">who, because of the seniority of their role, have traditionally not been covered by awards (whether made under laws of the </w:t>
      </w:r>
      <w:r>
        <w:t>State, the Commonwealth, another State or a Territory</w:t>
      </w:r>
      <w:r>
        <w:rPr>
          <w:snapToGrid w:val="0"/>
        </w:rPr>
        <w:t>); or</w:t>
      </w:r>
    </w:p>
    <w:p>
      <w:pPr>
        <w:pStyle w:val="Indenta"/>
        <w:rPr>
          <w:snapToGrid w:val="0"/>
        </w:rPr>
      </w:pPr>
      <w:r>
        <w:rPr>
          <w:snapToGrid w:val="0"/>
        </w:rPr>
        <w:tab/>
        <w:t>(b)</w:t>
      </w:r>
      <w:r>
        <w:rPr>
          <w:snapToGrid w:val="0"/>
        </w:rPr>
        <w:tab/>
        <w:t>who perform work that is not of a similar nature to work that has traditionally been regulated by such awards.</w:t>
      </w:r>
    </w:p>
    <w:p>
      <w:pPr>
        <w:pStyle w:val="PermNoteHeading"/>
      </w:pPr>
      <w:r>
        <w:tab/>
        <w:t>Example for this subsection:</w:t>
      </w:r>
    </w:p>
    <w:p>
      <w:pPr>
        <w:pStyle w:val="PermNoteText"/>
      </w:pPr>
      <w:r>
        <w:tab/>
      </w:r>
      <w:r>
        <w:tab/>
        <w:t>In some industries, managerial employees have traditionally not been covered by awards.</w:t>
      </w:r>
    </w:p>
    <w:p>
      <w:pPr>
        <w:pStyle w:val="Subsection"/>
        <w:rPr>
          <w:snapToGrid w:val="0"/>
        </w:rPr>
      </w:pPr>
      <w:r>
        <w:rPr>
          <w:snapToGrid w:val="0"/>
        </w:rPr>
        <w:tab/>
        <w:t>(2)</w:t>
      </w:r>
      <w:r>
        <w:rPr>
          <w:snapToGrid w:val="0"/>
        </w:rPr>
        <w:tab/>
        <w:t>The scope of a private sector award must not be fixed by reference to an industry or part of an industry carried on by an employer if the Commission makes or varies the private sector award to extend to and bind an employer specified by name in the award.</w:t>
      </w:r>
    </w:p>
    <w:p>
      <w:pPr>
        <w:pStyle w:val="Subsection"/>
        <w:rPr>
          <w:snapToGrid w:val="0"/>
        </w:rPr>
      </w:pPr>
      <w:r>
        <w:rPr>
          <w:snapToGrid w:val="0"/>
        </w:rPr>
        <w:tab/>
        <w:t>(3)</w:t>
      </w:r>
      <w:r>
        <w:rPr>
          <w:snapToGrid w:val="0"/>
        </w:rPr>
        <w:tab/>
        <w:t xml:space="preserve">A private sector award must not be made or varied to extend to and bind an employee and employer if a </w:t>
      </w:r>
      <w:r>
        <w:t>public sector award or enterprise award extends to and binds the employee and employer</w:t>
      </w:r>
      <w:r>
        <w:rPr>
          <w:snapToGrid w:val="0"/>
        </w:rPr>
        <w:t>.</w:t>
      </w:r>
    </w:p>
    <w:p>
      <w:pPr>
        <w:pStyle w:val="Footnotesection"/>
      </w:pPr>
      <w:bookmarkStart w:id="147" w:name="_Toc90558222"/>
      <w:bookmarkStart w:id="148" w:name="_Toc95209303"/>
      <w:r>
        <w:tab/>
        <w:t>[Section 37C inserted: No. 30 of 2021 s. 16.]</w:t>
      </w:r>
    </w:p>
    <w:p>
      <w:pPr>
        <w:pStyle w:val="Heading5"/>
      </w:pPr>
      <w:bookmarkStart w:id="149" w:name="_Toc107476383"/>
      <w:bookmarkStart w:id="150" w:name="_Toc106373917"/>
      <w:r>
        <w:rPr>
          <w:rStyle w:val="CharSectno"/>
        </w:rPr>
        <w:t>37D</w:t>
      </w:r>
      <w:r>
        <w:t>.</w:t>
      </w:r>
      <w:r>
        <w:tab/>
        <w:t>Private sector awards: variations of the Commission’s own motion</w:t>
      </w:r>
      <w:bookmarkEnd w:id="149"/>
      <w:bookmarkEnd w:id="147"/>
      <w:bookmarkEnd w:id="148"/>
      <w:bookmarkEnd w:id="150"/>
    </w:p>
    <w:p>
      <w:pPr>
        <w:pStyle w:val="Subsection"/>
        <w:rPr>
          <w:snapToGrid w:val="0"/>
        </w:rPr>
      </w:pPr>
      <w:r>
        <w:rPr>
          <w:snapToGrid w:val="0"/>
        </w:rPr>
        <w:tab/>
        <w:t>(1)</w:t>
      </w:r>
      <w:r>
        <w:rPr>
          <w:snapToGrid w:val="0"/>
        </w:rPr>
        <w:tab/>
        <w:t>Except as provided in this section, the Commission may vary the scope of a private sector award of its own motion.</w:t>
      </w:r>
    </w:p>
    <w:p>
      <w:pPr>
        <w:pStyle w:val="Subsection"/>
        <w:rPr>
          <w:snapToGrid w:val="0"/>
        </w:rPr>
      </w:pPr>
      <w:r>
        <w:rPr>
          <w:snapToGrid w:val="0"/>
        </w:rPr>
        <w:tab/>
        <w:t>(2)</w:t>
      </w:r>
      <w:r>
        <w:rPr>
          <w:snapToGrid w:val="0"/>
        </w:rPr>
        <w:tab/>
        <w:t xml:space="preserve">A variation must not be made in relation to — </w:t>
      </w:r>
    </w:p>
    <w:p>
      <w:pPr>
        <w:pStyle w:val="Indenta"/>
        <w:rPr>
          <w:snapToGrid w:val="0"/>
        </w:rPr>
      </w:pPr>
      <w:r>
        <w:rPr>
          <w:snapToGrid w:val="0"/>
        </w:rPr>
        <w:tab/>
        <w:t>(a)</w:t>
      </w:r>
      <w:r>
        <w:rPr>
          <w:snapToGrid w:val="0"/>
        </w:rPr>
        <w:tab/>
        <w:t>an application under section 50(2) that does not seek the variation of the scope of the private sector award; or</w:t>
      </w:r>
    </w:p>
    <w:p>
      <w:pPr>
        <w:pStyle w:val="Indenta"/>
        <w:rPr>
          <w:snapToGrid w:val="0"/>
        </w:rPr>
      </w:pPr>
      <w:r>
        <w:rPr>
          <w:snapToGrid w:val="0"/>
        </w:rPr>
        <w:tab/>
        <w:t>(b)</w:t>
      </w:r>
      <w:r>
        <w:rPr>
          <w:snapToGrid w:val="0"/>
        </w:rPr>
        <w:tab/>
        <w:t>a State Wage order under section 50A.</w:t>
      </w:r>
    </w:p>
    <w:p>
      <w:pPr>
        <w:pStyle w:val="Subsection"/>
      </w:pPr>
      <w:r>
        <w:tab/>
        <w:t>(3)</w:t>
      </w:r>
      <w:r>
        <w:tab/>
        <w:t xml:space="preserve">A variation must specify that the scope of the private sector award extends to and binds — </w:t>
      </w:r>
    </w:p>
    <w:p>
      <w:pPr>
        <w:pStyle w:val="Indenta"/>
      </w:pPr>
      <w:r>
        <w:tab/>
        <w:t>(a)</w:t>
      </w:r>
      <w:r>
        <w:tab/>
        <w:t>employers of a class or classes specified in the award, whether or not the employers are also specified by name in the award; and</w:t>
      </w:r>
    </w:p>
    <w:p>
      <w:pPr>
        <w:pStyle w:val="Indenta"/>
      </w:pPr>
      <w:r>
        <w:tab/>
        <w:t>(b)</w:t>
      </w:r>
      <w:r>
        <w:tab/>
        <w:t xml:space="preserve">employees — </w:t>
      </w:r>
    </w:p>
    <w:p>
      <w:pPr>
        <w:pStyle w:val="Indenti"/>
      </w:pPr>
      <w:r>
        <w:tab/>
        <w:t>(i)</w:t>
      </w:r>
      <w:r>
        <w:tab/>
        <w:t>of employers referred to in paragraph (a); and</w:t>
      </w:r>
    </w:p>
    <w:p>
      <w:pPr>
        <w:pStyle w:val="Indenti"/>
      </w:pPr>
      <w:r>
        <w:tab/>
        <w:t>(ii)</w:t>
      </w:r>
      <w:r>
        <w:tab/>
        <w:t>of a class or classes specified in the award.</w:t>
      </w:r>
    </w:p>
    <w:p>
      <w:pPr>
        <w:pStyle w:val="Subsection"/>
      </w:pPr>
      <w:r>
        <w:tab/>
        <w:t>(4)</w:t>
      </w:r>
      <w:r>
        <w:tab/>
        <w:t>For the purposes of subsection (3)(a) and (b)(ii), the class may be described by reference to</w:t>
      </w:r>
      <w:r>
        <w:rPr>
          <w:color w:val="7030A0"/>
        </w:rPr>
        <w:t> </w:t>
      </w:r>
      <w:r>
        <w:t xml:space="preserve">— </w:t>
      </w:r>
    </w:p>
    <w:p>
      <w:pPr>
        <w:pStyle w:val="Indenta"/>
      </w:pPr>
      <w:r>
        <w:tab/>
        <w:t>(a)</w:t>
      </w:r>
      <w:r>
        <w:tab/>
        <w:t xml:space="preserve">a particular industry or part of an industry; or </w:t>
      </w:r>
    </w:p>
    <w:p>
      <w:pPr>
        <w:pStyle w:val="Indenta"/>
      </w:pPr>
      <w:r>
        <w:tab/>
        <w:t>(b)</w:t>
      </w:r>
      <w:r>
        <w:tab/>
        <w:t>a particular kind of work.</w:t>
      </w:r>
    </w:p>
    <w:p>
      <w:pPr>
        <w:pStyle w:val="Subsection"/>
        <w:rPr>
          <w:snapToGrid w:val="0"/>
        </w:rPr>
      </w:pPr>
      <w:r>
        <w:rPr>
          <w:snapToGrid w:val="0"/>
        </w:rPr>
        <w:tab/>
        <w:t>(5)</w:t>
      </w:r>
      <w:r>
        <w:rPr>
          <w:snapToGrid w:val="0"/>
        </w:rPr>
        <w:tab/>
        <w:t>A variation that stops the private sector award from extending to and binding particular employers or employees must not be made unless the Commission is satisfied that another appropriate award will extend to and bind them.</w:t>
      </w:r>
    </w:p>
    <w:p>
      <w:pPr>
        <w:pStyle w:val="Subsection"/>
      </w:pPr>
      <w:r>
        <w:tab/>
        <w:t>(6)</w:t>
      </w:r>
      <w:r>
        <w:tab/>
        <w:t xml:space="preserve">The Commission must not make a variation under this section until it has — </w:t>
      </w:r>
    </w:p>
    <w:p>
      <w:pPr>
        <w:pStyle w:val="Indenta"/>
      </w:pPr>
      <w:r>
        <w:tab/>
        <w:t>(a)</w:t>
      </w:r>
      <w:r>
        <w:tab/>
        <w:t>published the proposed variation in the required manner; and</w:t>
      </w:r>
    </w:p>
    <w:p>
      <w:pPr>
        <w:pStyle w:val="Indenta"/>
      </w:pPr>
      <w:r>
        <w:tab/>
        <w:t>(b)</w:t>
      </w:r>
      <w:r>
        <w:tab/>
        <w:t xml:space="preserve">given notice of the proposed variation to — </w:t>
      </w:r>
    </w:p>
    <w:p>
      <w:pPr>
        <w:pStyle w:val="Indenti"/>
      </w:pPr>
      <w:r>
        <w:tab/>
        <w:t>(i)</w:t>
      </w:r>
      <w:r>
        <w:tab/>
        <w:t>UnionsWA, the Chamber, the Mines and Metals Association and the Minister; and</w:t>
      </w:r>
    </w:p>
    <w:p>
      <w:pPr>
        <w:pStyle w:val="Indenti"/>
      </w:pPr>
      <w:r>
        <w:tab/>
        <w:t>(ii)</w:t>
      </w:r>
      <w:r>
        <w:tab/>
        <w:t>any organisations, associations and employers as the Commission may direct (being, in the case of employers, employers constituting, in the opinion of the Commission, a sufficient number of employers reasonably representative of the employers who would be bound by the proposed variation);</w:t>
      </w:r>
    </w:p>
    <w:p>
      <w:pPr>
        <w:pStyle w:val="Indenta"/>
      </w:pPr>
      <w:r>
        <w:tab/>
      </w:r>
      <w:r>
        <w:tab/>
        <w:t>and</w:t>
      </w:r>
    </w:p>
    <w:p>
      <w:pPr>
        <w:pStyle w:val="Indenta"/>
      </w:pPr>
      <w:r>
        <w:tab/>
        <w:t>(c)</w:t>
      </w:r>
      <w:r>
        <w:tab/>
        <w:t>afforded the persons or bodies referred to in paragraph (b) an opportunity to be heard in relation to the proposed variation.</w:t>
      </w:r>
    </w:p>
    <w:p>
      <w:pPr>
        <w:pStyle w:val="Footnotesection"/>
      </w:pPr>
      <w:r>
        <w:tab/>
        <w:t>[Section 37D inserted: No. 30 of 2021 s. 16.]</w:t>
      </w:r>
    </w:p>
    <w:p>
      <w:pPr>
        <w:pStyle w:val="Heading5"/>
      </w:pPr>
      <w:bookmarkStart w:id="151" w:name="_Toc107476384"/>
      <w:bookmarkStart w:id="152" w:name="_Toc106373918"/>
      <w:r>
        <w:rPr>
          <w:rStyle w:val="CharSectno"/>
        </w:rPr>
        <w:t>38</w:t>
      </w:r>
      <w:r>
        <w:t>.</w:t>
      </w:r>
      <w:r>
        <w:tab/>
        <w:t>Named parties to awards</w:t>
      </w:r>
      <w:bookmarkEnd w:id="151"/>
      <w:bookmarkEnd w:id="152"/>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must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 public sector award or enterprise award under subsection (2) is, at the time of that addition, engaged in an industry to which the award did not previously apply and the scope of the award is varied by virtue of that addition, the variation is expressly limited to that industry for the purposes of section 37A.</w:t>
      </w:r>
    </w:p>
    <w:p>
      <w:pPr>
        <w:pStyle w:val="Subsection"/>
        <w:spacing w:before="180"/>
        <w:rPr>
          <w:snapToGrid w:val="0"/>
        </w:rPr>
      </w:pPr>
      <w:r>
        <w:tab/>
        <w:t>(4)</w:t>
      </w:r>
      <w:r>
        <w:tab/>
        <w:t>An employer is not to be added as a named party to a public sector award or enterprise award under subsection (2) if that addition would have the effect of extending the award to employees to whom another award already extends.</w:t>
      </w:r>
    </w:p>
    <w:p>
      <w:pPr>
        <w:pStyle w:val="Footnotesection"/>
      </w:pPr>
      <w:r>
        <w:tab/>
        <w:t>[Section 38 inserted: No. 94 of 1984 s. 25; amended: No. 15 of 1993 s. 12 and 31; No. 20 of 2002 s. 117(1); No. 53 of 2011 s. 48; No. 30 of 2021 s. 17 and 76(2).]</w:t>
      </w:r>
    </w:p>
    <w:p>
      <w:pPr>
        <w:pStyle w:val="Heading5"/>
        <w:rPr>
          <w:snapToGrid w:val="0"/>
        </w:rPr>
      </w:pPr>
      <w:bookmarkStart w:id="153" w:name="_Toc107476385"/>
      <w:bookmarkStart w:id="154" w:name="_Toc106373919"/>
      <w:r>
        <w:rPr>
          <w:rStyle w:val="CharSectno"/>
        </w:rPr>
        <w:t>39</w:t>
      </w:r>
      <w:r>
        <w:rPr>
          <w:snapToGrid w:val="0"/>
        </w:rPr>
        <w:t>.</w:t>
      </w:r>
      <w:r>
        <w:rPr>
          <w:snapToGrid w:val="0"/>
        </w:rPr>
        <w:tab/>
        <w:t>When award operates</w:t>
      </w:r>
      <w:bookmarkEnd w:id="153"/>
      <w:bookmarkEnd w:id="154"/>
    </w:p>
    <w:p>
      <w:pPr>
        <w:pStyle w:val="Subsection"/>
        <w:rPr>
          <w:snapToGrid w:val="0"/>
        </w:rPr>
      </w:pPr>
      <w:r>
        <w:tab/>
        <w:t>(1)</w:t>
      </w:r>
      <w:r>
        <w:tab/>
      </w:r>
      <w:r>
        <w:rPr>
          <w:snapToGrid w:val="0"/>
        </w:rPr>
        <w:t xml:space="preserve">An award comes into operation — </w:t>
      </w:r>
    </w:p>
    <w:p>
      <w:pPr>
        <w:pStyle w:val="Indenta"/>
        <w:rPr>
          <w:snapToGrid w:val="0"/>
        </w:rPr>
      </w:pPr>
      <w:r>
        <w:rPr>
          <w:snapToGrid w:val="0"/>
        </w:rPr>
        <w:tab/>
        <w:t>(a)</w:t>
      </w:r>
      <w:r>
        <w:rPr>
          <w:snapToGrid w:val="0"/>
        </w:rPr>
        <w:tab/>
        <w:t>on the day on which it is made; or</w:t>
      </w:r>
    </w:p>
    <w:p>
      <w:pPr>
        <w:pStyle w:val="Indenta"/>
        <w:rPr>
          <w:snapToGrid w:val="0"/>
        </w:rPr>
      </w:pPr>
      <w:r>
        <w:rPr>
          <w:snapToGrid w:val="0"/>
        </w:rPr>
        <w:tab/>
        <w:t>(b)</w:t>
      </w:r>
      <w:r>
        <w:rPr>
          <w:snapToGrid w:val="0"/>
        </w:rPr>
        <w:tab/>
        <w:t>on such day or days as the Commission fixes and specifies in the award.</w:t>
      </w:r>
    </w:p>
    <w:p>
      <w:pPr>
        <w:pStyle w:val="Ednotesubsection"/>
      </w:pPr>
      <w:r>
        <w:tab/>
        <w:t>[(2)</w:t>
      </w:r>
      <w:r>
        <w:tab/>
        <w:t>deleted]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keepNext/>
        <w:rPr>
          <w:snapToGrid w:val="0"/>
        </w:rPr>
      </w:pPr>
      <w:r>
        <w:rPr>
          <w:snapToGrid w:val="0"/>
        </w:rPr>
        <w:tab/>
        <w:t>(4)</w:t>
      </w:r>
      <w:r>
        <w:rPr>
          <w:snapToGrid w:val="0"/>
        </w:rPr>
        <w:tab/>
        <w:t xml:space="preserve">For the purpose of subsection (3), an award or a provision of it has retrospective effect if and only if it has effect from a date earlier than the day on which the award is </w:t>
      </w:r>
      <w:r>
        <w:t>made.</w:t>
      </w:r>
    </w:p>
    <w:p>
      <w:pPr>
        <w:pStyle w:val="Footnotesection"/>
      </w:pPr>
      <w:r>
        <w:tab/>
        <w:t>[Section 39 amended: No. 39 of 2018 s. 27.]</w:t>
      </w:r>
    </w:p>
    <w:p>
      <w:pPr>
        <w:pStyle w:val="Heading5"/>
        <w:keepNext w:val="0"/>
        <w:keepLines w:val="0"/>
        <w:rPr>
          <w:snapToGrid w:val="0"/>
        </w:rPr>
      </w:pPr>
      <w:bookmarkStart w:id="155" w:name="_Toc107476386"/>
      <w:bookmarkStart w:id="156" w:name="_Toc106373920"/>
      <w:r>
        <w:rPr>
          <w:rStyle w:val="CharSectno"/>
        </w:rPr>
        <w:t>40</w:t>
      </w:r>
      <w:r>
        <w:rPr>
          <w:snapToGrid w:val="0"/>
        </w:rPr>
        <w:t>.</w:t>
      </w:r>
      <w:r>
        <w:rPr>
          <w:snapToGrid w:val="0"/>
        </w:rPr>
        <w:tab/>
      </w:r>
      <w:r>
        <w:t>Varying and cancelling awards generally</w:t>
      </w:r>
      <w:bookmarkEnd w:id="155"/>
      <w:bookmarkEnd w:id="156"/>
    </w:p>
    <w:p>
      <w:pPr>
        <w:pStyle w:val="Subsection"/>
        <w:spacing w:before="120"/>
        <w:rPr>
          <w:snapToGrid w:val="0"/>
        </w:rPr>
      </w:pPr>
      <w:r>
        <w:rPr>
          <w:snapToGrid w:val="0"/>
        </w:rPr>
        <w:tab/>
        <w:t>(1)</w:t>
      </w:r>
      <w:r>
        <w:rPr>
          <w:snapToGrid w:val="0"/>
        </w:rPr>
        <w:tab/>
        <w:t xml:space="preserve">Subject to subsections (2), (3) and (4) and to </w:t>
      </w:r>
      <w:r>
        <w:t>sections 29A, 37C, 37D(5)</w:t>
      </w:r>
      <w:r>
        <w:rPr>
          <w:snapToGrid w:val="0"/>
        </w:rPr>
        <w:t xml:space="preserve">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pPr>
      <w:r>
        <w:tab/>
        <w:t>(2A)</w:t>
      </w:r>
      <w:r>
        <w:tab/>
        <w:t xml:space="preserve">A variation to the scope of </w:t>
      </w:r>
      <w:r>
        <w:rPr>
          <w:snapToGrid w:val="0"/>
        </w:rPr>
        <w:t>a private sector award</w:t>
      </w:r>
      <w:r>
        <w:t xml:space="preserve"> must specify that it extends to and binds — </w:t>
      </w:r>
    </w:p>
    <w:p>
      <w:pPr>
        <w:pStyle w:val="Indenta"/>
      </w:pPr>
      <w:r>
        <w:tab/>
        <w:t>(a)</w:t>
      </w:r>
      <w:r>
        <w:tab/>
        <w:t>employers of a class or classes specified in the award, whether or not the employers are also specified by name in the award; and</w:t>
      </w:r>
    </w:p>
    <w:p>
      <w:pPr>
        <w:pStyle w:val="Indenta"/>
      </w:pPr>
      <w:r>
        <w:tab/>
        <w:t>(b)</w:t>
      </w:r>
      <w:r>
        <w:tab/>
        <w:t xml:space="preserve">employees — </w:t>
      </w:r>
    </w:p>
    <w:p>
      <w:pPr>
        <w:pStyle w:val="Indenti"/>
      </w:pPr>
      <w:r>
        <w:tab/>
        <w:t>(i)</w:t>
      </w:r>
      <w:r>
        <w:tab/>
        <w:t>of employers referred to in paragraph (a); and</w:t>
      </w:r>
    </w:p>
    <w:p>
      <w:pPr>
        <w:pStyle w:val="Indenti"/>
      </w:pPr>
      <w:r>
        <w:tab/>
        <w:t>(ii)</w:t>
      </w:r>
      <w:r>
        <w:tab/>
        <w:t>of a class or classes specified in the award.</w:t>
      </w:r>
    </w:p>
    <w:p>
      <w:pPr>
        <w:pStyle w:val="Subsection"/>
      </w:pPr>
      <w:r>
        <w:tab/>
        <w:t>(2B)</w:t>
      </w:r>
      <w:r>
        <w:tab/>
        <w:t>For the purposes of subsection (2A)(a) and (b)(ii), the class may be described by reference to</w:t>
      </w:r>
      <w:r>
        <w:rPr>
          <w:color w:val="7030A0"/>
        </w:rPr>
        <w:t> </w:t>
      </w:r>
      <w:r>
        <w:t xml:space="preserve">— </w:t>
      </w:r>
    </w:p>
    <w:p>
      <w:pPr>
        <w:pStyle w:val="Indenta"/>
      </w:pPr>
      <w:r>
        <w:tab/>
        <w:t>(a)</w:t>
      </w:r>
      <w:r>
        <w:tab/>
        <w:t xml:space="preserve">a particular industry or part of an industry; or </w:t>
      </w:r>
    </w:p>
    <w:p>
      <w:pPr>
        <w:pStyle w:val="Indenta"/>
      </w:pPr>
      <w:r>
        <w:tab/>
        <w:t>(b)</w:t>
      </w:r>
      <w:r>
        <w:tab/>
        <w:t>a particular kind of work.</w:t>
      </w:r>
    </w:p>
    <w:p>
      <w:pPr>
        <w:pStyle w:val="Subsection"/>
        <w:keepNext/>
        <w:rPr>
          <w:snapToGrid w:val="0"/>
        </w:rPr>
      </w:pPr>
      <w:r>
        <w:rPr>
          <w:snapToGrid w:val="0"/>
        </w:rPr>
        <w:tab/>
        <w:t>(3)</w:t>
      </w:r>
      <w:r>
        <w:rPr>
          <w:snapToGrid w:val="0"/>
        </w:rPr>
        <w:tab/>
        <w:t xml:space="preserve">Where an award or any provision </w:t>
      </w:r>
      <w:r>
        <w:t>of it</w:t>
      </w:r>
      <w:r>
        <w:rPr>
          <w:snapToGrid w:val="0"/>
        </w:rPr>
        <w:t xml:space="preserve">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must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keepNext/>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No. 94 of 1984 s. 66; No. 30 of 2021 s. 18, 76(2) and 78(7).]</w:t>
      </w:r>
    </w:p>
    <w:p>
      <w:pPr>
        <w:pStyle w:val="Heading5"/>
      </w:pPr>
      <w:bookmarkStart w:id="157" w:name="_Toc107476387"/>
      <w:bookmarkStart w:id="158" w:name="_Toc106373921"/>
      <w:r>
        <w:rPr>
          <w:rStyle w:val="CharSectno"/>
        </w:rPr>
        <w:t>40A</w:t>
      </w:r>
      <w:r>
        <w:t>.</w:t>
      </w:r>
      <w:r>
        <w:tab/>
        <w:t>Incorporation of industrial agreement provisions into awards by consent</w:t>
      </w:r>
      <w:bookmarkEnd w:id="157"/>
      <w:bookmarkEnd w:id="158"/>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must by order vary the award by incorporating those provisions of the agreement into the award, but the variation must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No. 20 of 2002 s. 118; amended: No. 30 of 2021 s. 76(2).]</w:t>
      </w:r>
    </w:p>
    <w:p>
      <w:pPr>
        <w:pStyle w:val="Heading5"/>
      </w:pPr>
      <w:bookmarkStart w:id="159" w:name="_Toc107476388"/>
      <w:bookmarkStart w:id="160" w:name="_Toc106373922"/>
      <w:r>
        <w:rPr>
          <w:rStyle w:val="CharSectno"/>
        </w:rPr>
        <w:t>40B</w:t>
      </w:r>
      <w:r>
        <w:t>.</w:t>
      </w:r>
      <w:r>
        <w:tab/>
        <w:t>Power to vary awards to reflect statutory etc. requirements, to promote efficiency and to facilitate implementation</w:t>
      </w:r>
      <w:bookmarkEnd w:id="159"/>
      <w:bookmarkEnd w:id="160"/>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must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must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No. 20 of 2002 s. 118; amended: No. 36 of 2006 s. 12; No. 53 of 2011 s. 48; No. 30 of 2021 s. 76(2).]</w:t>
      </w:r>
    </w:p>
    <w:p>
      <w:pPr>
        <w:pStyle w:val="Heading3"/>
        <w:keepNext w:val="0"/>
        <w:keepLines/>
        <w:spacing w:before="220"/>
      </w:pPr>
      <w:bookmarkStart w:id="161" w:name="_Toc107322260"/>
      <w:bookmarkStart w:id="162" w:name="_Toc107476389"/>
      <w:bookmarkStart w:id="163" w:name="_Toc105760005"/>
      <w:bookmarkStart w:id="164" w:name="_Toc106195249"/>
      <w:bookmarkStart w:id="165" w:name="_Toc106367192"/>
      <w:bookmarkStart w:id="166" w:name="_Toc106373923"/>
      <w:r>
        <w:rPr>
          <w:rStyle w:val="CharDivNo"/>
        </w:rPr>
        <w:t>Division 2B</w:t>
      </w:r>
      <w:r>
        <w:t xml:space="preserve"> — </w:t>
      </w:r>
      <w:r>
        <w:rPr>
          <w:rStyle w:val="CharDivText"/>
        </w:rPr>
        <w:t>Industrial agreements</w:t>
      </w:r>
      <w:bookmarkEnd w:id="161"/>
      <w:bookmarkEnd w:id="162"/>
      <w:bookmarkEnd w:id="163"/>
      <w:bookmarkEnd w:id="164"/>
      <w:bookmarkEnd w:id="165"/>
      <w:bookmarkEnd w:id="166"/>
    </w:p>
    <w:p>
      <w:pPr>
        <w:pStyle w:val="Footnoteheading"/>
        <w:keepLines/>
        <w:tabs>
          <w:tab w:val="left" w:pos="851"/>
        </w:tabs>
      </w:pPr>
      <w:r>
        <w:tab/>
        <w:t>[Heading inserted: No. 20 of 2002 s. 130.]</w:t>
      </w:r>
    </w:p>
    <w:p>
      <w:pPr>
        <w:pStyle w:val="Heading5"/>
        <w:keepNext w:val="0"/>
      </w:pPr>
      <w:bookmarkStart w:id="167" w:name="_Toc107476390"/>
      <w:bookmarkStart w:id="168" w:name="_Toc106373924"/>
      <w:r>
        <w:rPr>
          <w:rStyle w:val="CharSectno"/>
        </w:rPr>
        <w:t>40C</w:t>
      </w:r>
      <w:r>
        <w:t>.</w:t>
      </w:r>
      <w:r>
        <w:tab/>
        <w:t>Terms used</w:t>
      </w:r>
      <w:bookmarkEnd w:id="167"/>
      <w:bookmarkEnd w:id="168"/>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No. 20 of 2002 s. 130.]</w:t>
      </w:r>
    </w:p>
    <w:p>
      <w:pPr>
        <w:pStyle w:val="Heading5"/>
        <w:rPr>
          <w:snapToGrid w:val="0"/>
        </w:rPr>
      </w:pPr>
      <w:bookmarkStart w:id="169" w:name="_Toc107476391"/>
      <w:bookmarkStart w:id="170" w:name="_Toc106373925"/>
      <w:r>
        <w:rPr>
          <w:rStyle w:val="CharSectno"/>
        </w:rPr>
        <w:t>41</w:t>
      </w:r>
      <w:r>
        <w:rPr>
          <w:snapToGrid w:val="0"/>
        </w:rPr>
        <w:t>.</w:t>
      </w:r>
      <w:r>
        <w:rPr>
          <w:snapToGrid w:val="0"/>
        </w:rPr>
        <w:tab/>
        <w:t>Industrial agreements, making, registration and effect of</w:t>
      </w:r>
      <w:bookmarkEnd w:id="169"/>
      <w:bookmarkEnd w:id="170"/>
    </w:p>
    <w:p>
      <w:pPr>
        <w:pStyle w:val="Subsection"/>
        <w:rPr>
          <w:snapToGrid w:val="0"/>
        </w:rPr>
      </w:pPr>
      <w:r>
        <w:rPr>
          <w:snapToGrid w:val="0"/>
        </w:rPr>
        <w:tab/>
        <w:t>(1)</w:t>
      </w:r>
      <w:r>
        <w:rPr>
          <w:snapToGrid w:val="0"/>
        </w:rPr>
        <w:tab/>
        <w:t>An agreement with respect to any industrial matter or for the prevention or resolution under this Act of any related disputes, disagreements, or questions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must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must be expressly so limited in the industrial agreement.</w:t>
      </w:r>
    </w:p>
    <w:p>
      <w:pPr>
        <w:pStyle w:val="Subsection"/>
        <w:keepNext/>
        <w:rPr>
          <w:snapToGrid w:val="0"/>
        </w:rPr>
      </w:pPr>
      <w:r>
        <w:rPr>
          <w:snapToGrid w:val="0"/>
        </w:rPr>
        <w:tab/>
        <w:t>(5)</w:t>
      </w:r>
      <w:r>
        <w:rPr>
          <w:snapToGrid w:val="0"/>
        </w:rPr>
        <w:tab/>
        <w:t>An industrial agreement operates —</w:t>
      </w:r>
    </w:p>
    <w:p>
      <w:pPr>
        <w:pStyle w:val="Indenta"/>
        <w:rPr>
          <w:snapToGrid w:val="0"/>
        </w:rPr>
      </w:pPr>
      <w:r>
        <w:rPr>
          <w:snapToGrid w:val="0"/>
        </w:rPr>
        <w:tab/>
        <w:t>(a)</w:t>
      </w:r>
      <w:r>
        <w:rPr>
          <w:snapToGrid w:val="0"/>
        </w:rPr>
        <w:tab/>
        <w:t xml:space="preserve">in the area specified </w:t>
      </w:r>
      <w:r>
        <w:t>in the agreement</w:t>
      </w:r>
      <w:r>
        <w:rPr>
          <w:snapToGrid w:val="0"/>
        </w:rPr>
        <w:t>; and</w:t>
      </w:r>
    </w:p>
    <w:p>
      <w:pPr>
        <w:pStyle w:val="Indenta"/>
        <w:rPr>
          <w:snapToGrid w:val="0"/>
        </w:rPr>
      </w:pPr>
      <w:r>
        <w:rPr>
          <w:snapToGrid w:val="0"/>
        </w:rPr>
        <w:tab/>
        <w:t>(b)</w:t>
      </w:r>
      <w:r>
        <w:rPr>
          <w:snapToGrid w:val="0"/>
        </w:rPr>
        <w:tab/>
        <w:t xml:space="preserve">for the term specified </w:t>
      </w:r>
      <w:r>
        <w:t>in the agreement</w:t>
      </w:r>
      <w:r>
        <w:rPr>
          <w:snapToGrid w:val="0"/>
        </w:rPr>
        <w:t>.</w:t>
      </w:r>
    </w:p>
    <w:p>
      <w:pPr>
        <w:pStyle w:val="Subsection"/>
        <w:rPr>
          <w:snapToGrid w:val="0"/>
        </w:rPr>
      </w:pPr>
      <w:r>
        <w:rPr>
          <w:snapToGrid w:val="0"/>
        </w:rPr>
        <w:tab/>
        <w:t>(6)</w:t>
      </w:r>
      <w:r>
        <w:rPr>
          <w:snapToGrid w:val="0"/>
        </w:rPr>
        <w:tab/>
        <w:t xml:space="preserve">Notwithstanding the expiry of the term of an industrial agreement, it continues in force in respect of all parties </w:t>
      </w:r>
      <w:r>
        <w:t>to the agreement</w:t>
      </w:r>
      <w:r>
        <w:rPr>
          <w:snapToGrid w:val="0"/>
        </w:rPr>
        <w:t xml:space="preserve">, except those who retire </w:t>
      </w:r>
      <w:r>
        <w:t>from the agreement</w:t>
      </w:r>
      <w:r>
        <w:rPr>
          <w:snapToGrid w:val="0"/>
        </w:rPr>
        <w:t>,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 xml:space="preserve">At any time after, or not more than 30 days before, the expiry of an industrial agreement any party </w:t>
      </w:r>
      <w:r>
        <w:t>to the agreement</w:t>
      </w:r>
      <w:r>
        <w:rPr>
          <w:snapToGrid w:val="0"/>
        </w:rPr>
        <w:t xml:space="preserve"> may file in the office of the Registrar a notice in the </w:t>
      </w:r>
      <w:r>
        <w:t>approved</w:t>
      </w:r>
      <w:r>
        <w:rPr>
          <w:snapToGrid w:val="0"/>
        </w:rPr>
        <w:t xml:space="preserve"> form signifying </w:t>
      </w:r>
      <w:r>
        <w:t>the party’s</w:t>
      </w:r>
      <w:r>
        <w:rPr>
          <w:snapToGrid w:val="0"/>
        </w:rPr>
        <w:t xml:space="preserve"> intention to retire </w:t>
      </w:r>
      <w:r>
        <w:t>from the agreement</w:t>
      </w:r>
      <w:r>
        <w:rPr>
          <w:snapToGrid w:val="0"/>
        </w:rPr>
        <w:t xml:space="preserve"> at the expiration of 30 days from the date of the filing, and, on the expiration of that period, the party ceases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No. 94 of 1984 s. 26; amended: No. 15 of 1993 s. 13; No. 20 of 2002 s. 131 and 144; No. 30 of 2021 s. 73, 76(2) and (8), 77(13), 78(4) and (7).]</w:t>
      </w:r>
    </w:p>
    <w:p>
      <w:pPr>
        <w:pStyle w:val="Heading5"/>
      </w:pPr>
      <w:bookmarkStart w:id="171" w:name="_Toc107476392"/>
      <w:bookmarkStart w:id="172" w:name="_Toc106373926"/>
      <w:r>
        <w:rPr>
          <w:rStyle w:val="CharSectno"/>
        </w:rPr>
        <w:t>41A</w:t>
      </w:r>
      <w:r>
        <w:t>.</w:t>
      </w:r>
      <w:r>
        <w:tab/>
        <w:t>Which industrial agreements must not be registered under s. 41</w:t>
      </w:r>
      <w:bookmarkEnd w:id="171"/>
      <w:bookmarkEnd w:id="172"/>
    </w:p>
    <w:p>
      <w:pPr>
        <w:pStyle w:val="Subsection"/>
      </w:pPr>
      <w:r>
        <w:tab/>
        <w:t>(1)</w:t>
      </w:r>
      <w:r>
        <w:tab/>
        <w:t>The Commission must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must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No. 20 of 2002 s. 132; amended: No. 30 of 2021 s. 76(2).]</w:t>
      </w:r>
    </w:p>
    <w:p>
      <w:pPr>
        <w:pStyle w:val="Heading5"/>
      </w:pPr>
      <w:bookmarkStart w:id="173" w:name="_Toc107476393"/>
      <w:bookmarkStart w:id="174" w:name="_Toc106373927"/>
      <w:r>
        <w:rPr>
          <w:rStyle w:val="CharSectno"/>
        </w:rPr>
        <w:t>42</w:t>
      </w:r>
      <w:r>
        <w:t>.</w:t>
      </w:r>
      <w:r>
        <w:tab/>
        <w:t>Bargaining for industrial agreement, initiating</w:t>
      </w:r>
      <w:bookmarkEnd w:id="173"/>
      <w:bookmarkEnd w:id="174"/>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No. 20 of 2002 s. 133.]</w:t>
      </w:r>
    </w:p>
    <w:p>
      <w:pPr>
        <w:pStyle w:val="Heading5"/>
      </w:pPr>
      <w:bookmarkStart w:id="175" w:name="_Toc107476394"/>
      <w:bookmarkStart w:id="176" w:name="_Toc106373928"/>
      <w:r>
        <w:rPr>
          <w:rStyle w:val="CharSectno"/>
        </w:rPr>
        <w:t>42A</w:t>
      </w:r>
      <w:r>
        <w:t>.</w:t>
      </w:r>
      <w:r>
        <w:tab/>
        <w:t>Response to initiation of bargaining</w:t>
      </w:r>
      <w:bookmarkEnd w:id="175"/>
      <w:bookmarkEnd w:id="176"/>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No. 20 of 2002 s. 133.]</w:t>
      </w:r>
    </w:p>
    <w:p>
      <w:pPr>
        <w:pStyle w:val="Heading5"/>
      </w:pPr>
      <w:bookmarkStart w:id="177" w:name="_Toc107476395"/>
      <w:bookmarkStart w:id="178" w:name="_Toc106373929"/>
      <w:r>
        <w:rPr>
          <w:rStyle w:val="CharSectno"/>
        </w:rPr>
        <w:t>42B</w:t>
      </w:r>
      <w:r>
        <w:t>.</w:t>
      </w:r>
      <w:r>
        <w:tab/>
        <w:t>Bargaining for industrial agreements, good faith required etc.</w:t>
      </w:r>
      <w:bookmarkEnd w:id="177"/>
      <w:bookmarkEnd w:id="178"/>
    </w:p>
    <w:p>
      <w:pPr>
        <w:pStyle w:val="Subsection"/>
      </w:pPr>
      <w:r>
        <w:tab/>
        <w:t>(1)</w:t>
      </w:r>
      <w:r>
        <w:tab/>
        <w:t>When bargaining for an industrial agreement, a negotiating party must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r>
      <w:del w:id="179" w:author="Master Repository Process" w:date="2022-06-30T14:38:00Z">
        <w:r>
          <w:delText>For the purposes of section 12 of</w:delText>
        </w:r>
      </w:del>
      <w:ins w:id="180" w:author="Master Repository Process" w:date="2022-06-30T14:38:00Z">
        <w:r>
          <w:t>Despite</w:t>
        </w:r>
      </w:ins>
      <w:r>
        <w:t xml:space="preserve"> the </w:t>
      </w:r>
      <w:r>
        <w:rPr>
          <w:i/>
        </w:rPr>
        <w:t xml:space="preserve">Legal Profession </w:t>
      </w:r>
      <w:del w:id="181" w:author="Master Repository Process" w:date="2022-06-30T14:38:00Z">
        <w:r>
          <w:rPr>
            <w:i/>
            <w:iCs/>
          </w:rPr>
          <w:delText>Act 2008</w:delText>
        </w:r>
      </w:del>
      <w:ins w:id="182" w:author="Master Repository Process" w:date="2022-06-30T14:38:00Z">
        <w:r>
          <w:rPr>
            <w:i/>
          </w:rPr>
          <w:t>Uniform Law (WA)</w:t>
        </w:r>
        <w:r>
          <w:t xml:space="preserve"> section 10,</w:t>
        </w:r>
      </w:ins>
      <w:r>
        <w:t xml:space="preserve"> 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No. 20 of 2002 s. 133; amended: No. 65 of 2003 s. 41(3); No. 21 of 2008 s. 668(5); No. 30 of 2021 s. 76(2</w:t>
      </w:r>
      <w:del w:id="183" w:author="Master Repository Process" w:date="2022-06-30T14:38:00Z">
        <w:r>
          <w:delText>).]</w:delText>
        </w:r>
      </w:del>
      <w:ins w:id="184" w:author="Master Repository Process" w:date="2022-06-30T14:38:00Z">
        <w:r>
          <w:t>); No. 9 of 2022 s. 424.]</w:t>
        </w:r>
      </w:ins>
    </w:p>
    <w:p>
      <w:pPr>
        <w:pStyle w:val="Heading5"/>
        <w:spacing w:before="240"/>
      </w:pPr>
      <w:bookmarkStart w:id="185" w:name="_Toc107476396"/>
      <w:bookmarkStart w:id="186" w:name="_Toc106373930"/>
      <w:r>
        <w:rPr>
          <w:rStyle w:val="CharSectno"/>
        </w:rPr>
        <w:t>42C</w:t>
      </w:r>
      <w:r>
        <w:t>.</w:t>
      </w:r>
      <w:r>
        <w:tab/>
        <w:t>Code of good faith</w:t>
      </w:r>
      <w:bookmarkEnd w:id="185"/>
      <w:bookmarkEnd w:id="186"/>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must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must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No. 20 of 2002 s. 133; amended: No. 30 of 2021 s. 76(2).]</w:t>
      </w:r>
    </w:p>
    <w:p>
      <w:pPr>
        <w:pStyle w:val="Heading5"/>
      </w:pPr>
      <w:bookmarkStart w:id="187" w:name="_Toc107476397"/>
      <w:bookmarkStart w:id="188" w:name="_Toc106373931"/>
      <w:r>
        <w:rPr>
          <w:rStyle w:val="CharSectno"/>
        </w:rPr>
        <w:t>42D</w:t>
      </w:r>
      <w:r>
        <w:t>.</w:t>
      </w:r>
      <w:r>
        <w:tab/>
        <w:t>Duty of good faith does not require concluded industrial agreement</w:t>
      </w:r>
      <w:bookmarkEnd w:id="187"/>
      <w:bookmarkEnd w:id="188"/>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No. 20 of 2002 s. 133.]</w:t>
      </w:r>
    </w:p>
    <w:p>
      <w:pPr>
        <w:pStyle w:val="Heading5"/>
        <w:spacing w:before="240"/>
      </w:pPr>
      <w:bookmarkStart w:id="189" w:name="_Toc107476398"/>
      <w:bookmarkStart w:id="190" w:name="_Toc106373932"/>
      <w:r>
        <w:rPr>
          <w:rStyle w:val="CharSectno"/>
        </w:rPr>
        <w:t>42E</w:t>
      </w:r>
      <w:r>
        <w:t>.</w:t>
      </w:r>
      <w:r>
        <w:tab/>
        <w:t>Commission may assist bargaining</w:t>
      </w:r>
      <w:bookmarkEnd w:id="189"/>
      <w:bookmarkEnd w:id="190"/>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No. 20 of 2002 s. 133.]</w:t>
      </w:r>
    </w:p>
    <w:p>
      <w:pPr>
        <w:pStyle w:val="Heading5"/>
      </w:pPr>
      <w:bookmarkStart w:id="191" w:name="_Toc107476399"/>
      <w:bookmarkStart w:id="192" w:name="_Toc106373933"/>
      <w:r>
        <w:rPr>
          <w:rStyle w:val="CharSectno"/>
        </w:rPr>
        <w:t>42F</w:t>
      </w:r>
      <w:r>
        <w:t>.</w:t>
      </w:r>
      <w:r>
        <w:tab/>
        <w:t>Commission’s power over negotiating parties restricted</w:t>
      </w:r>
      <w:bookmarkEnd w:id="191"/>
      <w:bookmarkEnd w:id="192"/>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No. 20 of 2002 s. 133.]</w:t>
      </w:r>
    </w:p>
    <w:p>
      <w:pPr>
        <w:pStyle w:val="Heading5"/>
        <w:spacing w:before="180"/>
      </w:pPr>
      <w:bookmarkStart w:id="193" w:name="_Toc107476400"/>
      <w:bookmarkStart w:id="194" w:name="_Toc106373934"/>
      <w:r>
        <w:rPr>
          <w:rStyle w:val="CharSectno"/>
        </w:rPr>
        <w:t>42G</w:t>
      </w:r>
      <w:r>
        <w:t>.</w:t>
      </w:r>
      <w:r>
        <w:tab/>
        <w:t>Parties may agree to Commission making orders as to terms of agreement</w:t>
      </w:r>
      <w:bookmarkEnd w:id="193"/>
      <w:bookmarkEnd w:id="194"/>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No. 20 of 2002 s. 133.]</w:t>
      </w:r>
    </w:p>
    <w:p>
      <w:pPr>
        <w:pStyle w:val="Heading5"/>
        <w:spacing w:before="180"/>
      </w:pPr>
      <w:bookmarkStart w:id="195" w:name="_Toc107476401"/>
      <w:bookmarkStart w:id="196" w:name="_Toc106373935"/>
      <w:r>
        <w:rPr>
          <w:rStyle w:val="CharSectno"/>
        </w:rPr>
        <w:t>42H</w:t>
      </w:r>
      <w:r>
        <w:t>.</w:t>
      </w:r>
      <w:r>
        <w:tab/>
        <w:t>Commission may declare that bargaining has ended</w:t>
      </w:r>
      <w:bookmarkEnd w:id="195"/>
      <w:bookmarkEnd w:id="196"/>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No. 20 of 2002 s. 133.]</w:t>
      </w:r>
    </w:p>
    <w:p>
      <w:pPr>
        <w:pStyle w:val="Heading5"/>
        <w:spacing w:before="240"/>
      </w:pPr>
      <w:bookmarkStart w:id="197" w:name="_Toc107476402"/>
      <w:bookmarkStart w:id="198" w:name="_Toc106373936"/>
      <w:r>
        <w:rPr>
          <w:rStyle w:val="CharSectno"/>
        </w:rPr>
        <w:t>42I</w:t>
      </w:r>
      <w:r>
        <w:t>.</w:t>
      </w:r>
      <w:r>
        <w:tab/>
        <w:t>Enterprise order, applying for and making</w:t>
      </w:r>
      <w:bookmarkEnd w:id="197"/>
      <w:bookmarkEnd w:id="198"/>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No. 20 of 2002 s. 133.]</w:t>
      </w:r>
    </w:p>
    <w:p>
      <w:pPr>
        <w:pStyle w:val="Heading5"/>
      </w:pPr>
      <w:bookmarkStart w:id="199" w:name="_Toc107476403"/>
      <w:bookmarkStart w:id="200" w:name="_Toc106373937"/>
      <w:r>
        <w:rPr>
          <w:rStyle w:val="CharSectno"/>
        </w:rPr>
        <w:t>42J</w:t>
      </w:r>
      <w:r>
        <w:t>.</w:t>
      </w:r>
      <w:r>
        <w:tab/>
        <w:t>Enterprise order, effect of</w:t>
      </w:r>
      <w:bookmarkEnd w:id="199"/>
      <w:bookmarkEnd w:id="200"/>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No. 20 of 2002 s. 133.]</w:t>
      </w:r>
    </w:p>
    <w:p>
      <w:pPr>
        <w:pStyle w:val="Heading5"/>
      </w:pPr>
      <w:bookmarkStart w:id="201" w:name="_Toc107476404"/>
      <w:bookmarkStart w:id="202" w:name="_Toc106373938"/>
      <w:r>
        <w:rPr>
          <w:rStyle w:val="CharSectno"/>
        </w:rPr>
        <w:t>42K</w:t>
      </w:r>
      <w:r>
        <w:t>.</w:t>
      </w:r>
      <w:r>
        <w:tab/>
        <w:t>Enterprise order, term of and varying etc.</w:t>
      </w:r>
      <w:bookmarkEnd w:id="201"/>
      <w:bookmarkEnd w:id="202"/>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No. 20 of 2002 s. 133.]</w:t>
      </w:r>
    </w:p>
    <w:p>
      <w:pPr>
        <w:pStyle w:val="Heading5"/>
      </w:pPr>
      <w:bookmarkStart w:id="203" w:name="_Toc107476405"/>
      <w:bookmarkStart w:id="204" w:name="_Toc106373939"/>
      <w:r>
        <w:rPr>
          <w:rStyle w:val="CharSectno"/>
        </w:rPr>
        <w:t>42L</w:t>
      </w:r>
      <w:r>
        <w:t>.</w:t>
      </w:r>
      <w:r>
        <w:tab/>
        <w:t>When bargaining ends</w:t>
      </w:r>
      <w:bookmarkEnd w:id="203"/>
      <w:bookmarkEnd w:id="204"/>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No. 20 of 2002 s. 133.]</w:t>
      </w:r>
    </w:p>
    <w:p>
      <w:pPr>
        <w:pStyle w:val="Heading5"/>
        <w:spacing w:before="240"/>
      </w:pPr>
      <w:bookmarkStart w:id="205" w:name="_Toc107476406"/>
      <w:bookmarkStart w:id="206" w:name="_Toc106373940"/>
      <w:r>
        <w:rPr>
          <w:rStyle w:val="CharSectno"/>
        </w:rPr>
        <w:t>42M</w:t>
      </w:r>
      <w:r>
        <w:t>.</w:t>
      </w:r>
      <w:r>
        <w:tab/>
        <w:t>Regulations for this Division</w:t>
      </w:r>
      <w:bookmarkEnd w:id="205"/>
      <w:bookmarkEnd w:id="206"/>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No. 20 of 2002 s. 133.]</w:t>
      </w:r>
    </w:p>
    <w:p>
      <w:pPr>
        <w:pStyle w:val="Heading5"/>
        <w:spacing w:before="240"/>
        <w:rPr>
          <w:snapToGrid w:val="0"/>
        </w:rPr>
      </w:pPr>
      <w:bookmarkStart w:id="207" w:name="_Toc107476407"/>
      <w:bookmarkStart w:id="208" w:name="_Toc106373941"/>
      <w:r>
        <w:rPr>
          <w:rStyle w:val="CharSectno"/>
        </w:rPr>
        <w:t>43</w:t>
      </w:r>
      <w:r>
        <w:rPr>
          <w:snapToGrid w:val="0"/>
        </w:rPr>
        <w:t>.</w:t>
      </w:r>
      <w:r>
        <w:rPr>
          <w:snapToGrid w:val="0"/>
        </w:rPr>
        <w:tab/>
        <w:t>Industrial agreement, varying, renewing and cancelling</w:t>
      </w:r>
      <w:bookmarkEnd w:id="207"/>
      <w:bookmarkEnd w:id="208"/>
    </w:p>
    <w:p>
      <w:pPr>
        <w:pStyle w:val="Subsection"/>
        <w:rPr>
          <w:snapToGrid w:val="0"/>
        </w:rPr>
      </w:pPr>
      <w:r>
        <w:rPr>
          <w:snapToGrid w:val="0"/>
        </w:rPr>
        <w:tab/>
        <w:t>(1)</w:t>
      </w:r>
      <w:r>
        <w:rPr>
          <w:snapToGrid w:val="0"/>
        </w:rPr>
        <w:tab/>
        <w:t>An industrial agreement may be varied, renewed, or cancelled by a subsequent agreement made by and between all the parties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No. 94 of 1984 s. 26; amended: No. 15 of 1993 s. 16; No. 1 of 1995 s. 50; No. 30 of 2021 s. 78(4).]</w:t>
      </w:r>
    </w:p>
    <w:p>
      <w:pPr>
        <w:pStyle w:val="Heading3"/>
        <w:keepLines/>
      </w:pPr>
      <w:bookmarkStart w:id="209" w:name="_Toc107322279"/>
      <w:bookmarkStart w:id="210" w:name="_Toc107476408"/>
      <w:bookmarkStart w:id="211" w:name="_Toc105760024"/>
      <w:bookmarkStart w:id="212" w:name="_Toc106195268"/>
      <w:bookmarkStart w:id="213" w:name="_Toc106367211"/>
      <w:bookmarkStart w:id="214" w:name="_Toc106373942"/>
      <w:r>
        <w:rPr>
          <w:rStyle w:val="CharDivNo"/>
        </w:rPr>
        <w:t>Division 2C</w:t>
      </w:r>
      <w:r>
        <w:t xml:space="preserve"> — </w:t>
      </w:r>
      <w:r>
        <w:rPr>
          <w:rStyle w:val="CharDivText"/>
        </w:rPr>
        <w:t>Holding of compulsory conferences</w:t>
      </w:r>
      <w:bookmarkEnd w:id="209"/>
      <w:bookmarkEnd w:id="210"/>
      <w:bookmarkEnd w:id="211"/>
      <w:bookmarkEnd w:id="212"/>
      <w:bookmarkEnd w:id="213"/>
      <w:bookmarkEnd w:id="214"/>
    </w:p>
    <w:p>
      <w:pPr>
        <w:pStyle w:val="Footnoteheading"/>
        <w:keepNext/>
        <w:keepLines/>
        <w:tabs>
          <w:tab w:val="left" w:pos="851"/>
        </w:tabs>
      </w:pPr>
      <w:r>
        <w:tab/>
        <w:t>[Heading inserted: No. 20 of 2002 s. 119(1).]</w:t>
      </w:r>
    </w:p>
    <w:p>
      <w:pPr>
        <w:pStyle w:val="Heading5"/>
        <w:rPr>
          <w:snapToGrid w:val="0"/>
        </w:rPr>
      </w:pPr>
      <w:bookmarkStart w:id="215" w:name="_Toc107476409"/>
      <w:bookmarkStart w:id="216" w:name="_Toc106373943"/>
      <w:r>
        <w:rPr>
          <w:rStyle w:val="CharSectno"/>
        </w:rPr>
        <w:t>44</w:t>
      </w:r>
      <w:r>
        <w:rPr>
          <w:snapToGrid w:val="0"/>
        </w:rPr>
        <w:t>.</w:t>
      </w:r>
      <w:r>
        <w:rPr>
          <w:snapToGrid w:val="0"/>
        </w:rPr>
        <w:tab/>
        <w:t>Compulsory conference, summoning, holding etc.</w:t>
      </w:r>
      <w:bookmarkEnd w:id="215"/>
      <w:bookmarkEnd w:id="216"/>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 xml:space="preserve">when so given </w:t>
      </w:r>
      <w:r>
        <w:t>is, in any proceedings under this Act relating to the summons,</w:t>
      </w:r>
      <w:r>
        <w:rPr>
          <w:snapToGrid w:val="0"/>
        </w:rPr>
        <w:t xml:space="preserve"> </w:t>
      </w:r>
      <w:r>
        <w:t>taken</w:t>
      </w:r>
      <w:r>
        <w:rPr>
          <w:snapToGrid w:val="0"/>
        </w:rPr>
        <w:t xml:space="preserve"> to have been served on the person to whom it is directed unless that person, in those proceedings, satisfies the commissioner who caused the summons to be given or the Full Bench, as the case may be, that the person did not receive the summons.</w:t>
      </w:r>
    </w:p>
    <w:p>
      <w:pPr>
        <w:pStyle w:val="Subsection"/>
        <w:spacing w:before="140"/>
        <w:rPr>
          <w:snapToGrid w:val="0"/>
        </w:rPr>
      </w:pPr>
      <w:r>
        <w:rPr>
          <w:snapToGrid w:val="0"/>
        </w:rPr>
        <w:tab/>
        <w:t>(3)</w:t>
      </w:r>
      <w:r>
        <w:rPr>
          <w:snapToGrid w:val="0"/>
        </w:rPr>
        <w:tab/>
        <w:t xml:space="preserve">Any person so summoned must, except for good cause, proof of which is on </w:t>
      </w:r>
      <w:r>
        <w:t>the person</w:t>
      </w:r>
      <w:r>
        <w:rPr>
          <w:snapToGrid w:val="0"/>
        </w:rPr>
        <w:t xml:space="preserve">, attend the conference at the time and place specified in the summons and continue </w:t>
      </w:r>
      <w:r>
        <w:t>that</w:t>
      </w:r>
      <w:r>
        <w:rPr>
          <w:snapToGrid w:val="0"/>
        </w:rPr>
        <w:t xml:space="preserve"> attendance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must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must do all such things as appear to it to be right and proper to assist the parties to a conference under this section to reach an agreement on terms for the resolution of the matter.</w:t>
      </w:r>
    </w:p>
    <w:p>
      <w:pPr>
        <w:pStyle w:val="Subsection"/>
        <w:keepNext/>
        <w:keepLines/>
        <w:rPr>
          <w:snapToGrid w:val="0"/>
        </w:rPr>
      </w:pPr>
      <w:r>
        <w:rPr>
          <w:snapToGrid w:val="0"/>
        </w:rPr>
        <w:tab/>
        <w:t>(6)</w:t>
      </w:r>
      <w:r>
        <w:rPr>
          <w:snapToGrid w:val="0"/>
        </w:rPr>
        <w:tab/>
        <w:t xml:space="preserve">The Commission may, at or in relation to a conference under this section, make such suggestions and give such directions as it considers appropriate and, without limiting the generality of </w:t>
      </w:r>
      <w:r>
        <w:t>this subsection,</w:t>
      </w:r>
      <w:r>
        <w:rPr>
          <w:snapToGrid w:val="0"/>
        </w:rPr>
        <w:t xml:space="preserve"> may —</w:t>
      </w:r>
    </w:p>
    <w:p>
      <w:pPr>
        <w:pStyle w:val="Indenta"/>
        <w:rPr>
          <w:snapToGrid w:val="0"/>
        </w:rPr>
      </w:pPr>
      <w:r>
        <w:rPr>
          <w:snapToGrid w:val="0"/>
        </w:rPr>
        <w:tab/>
        <w:t>(a)</w:t>
      </w:r>
      <w:r>
        <w:rPr>
          <w:snapToGrid w:val="0"/>
        </w:rPr>
        <w:tab/>
        <w:t xml:space="preserve">direct the parties or any of them to confer with one another or with any other person and without a </w:t>
      </w:r>
      <w:r>
        <w:t>chairperson</w:t>
      </w:r>
      <w:r>
        <w:rPr>
          <w:snapToGrid w:val="0"/>
        </w:rPr>
        <w:t xml:space="preserve"> or with the Registrar or a deputy registrar as </w:t>
      </w:r>
      <w:r>
        <w:t>chairperson</w:t>
      </w:r>
      <w:r>
        <w:rPr>
          <w:snapToGrid w:val="0"/>
        </w:rPr>
        <w:t>;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 xml:space="preserve">an employee in respect of a dispute relating to </w:t>
      </w:r>
      <w:r>
        <w:t>an</w:t>
      </w:r>
      <w:r>
        <w:rPr>
          <w:snapToGrid w:val="0"/>
        </w:rPr>
        <w:t xml:space="preserve">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 xml:space="preserve">Where the commissioner referred to in subsection (10) proposes to constitute the Commission for the purpose mentioned in that subsection, </w:t>
      </w:r>
      <w:r>
        <w:t>the commissioner</w:t>
      </w:r>
      <w:r>
        <w:rPr>
          <w:snapToGrid w:val="0"/>
        </w:rPr>
        <w:t xml:space="preserve"> must, at the conclusion of the conference advise the parties of </w:t>
      </w:r>
      <w:r>
        <w:t>the commissioner’s</w:t>
      </w:r>
      <w:r>
        <w:rPr>
          <w:snapToGrid w:val="0"/>
        </w:rPr>
        <w:t xml:space="preserve"> intention so to do, and, if any party objects to the Commission being so constituted for that purpose, that commissioner must not enter upon the hearing of the matter concerned unless —</w:t>
      </w:r>
    </w:p>
    <w:p>
      <w:pPr>
        <w:pStyle w:val="Indenta"/>
        <w:rPr>
          <w:snapToGrid w:val="0"/>
        </w:rPr>
      </w:pPr>
      <w:r>
        <w:rPr>
          <w:snapToGrid w:val="0"/>
        </w:rPr>
        <w:tab/>
        <w:t>(a)</w:t>
      </w:r>
      <w:r>
        <w:rPr>
          <w:snapToGrid w:val="0"/>
        </w:rPr>
        <w:tab/>
      </w:r>
      <w:r>
        <w:t>the commissioner</w:t>
      </w:r>
      <w:r>
        <w:rPr>
          <w:snapToGrid w:val="0"/>
        </w:rPr>
        <w:t xml:space="preserve"> has discussed with the Chief Commissioner the propriety of so doing; and</w:t>
      </w:r>
    </w:p>
    <w:p>
      <w:pPr>
        <w:pStyle w:val="Indenta"/>
        <w:rPr>
          <w:snapToGrid w:val="0"/>
        </w:rPr>
      </w:pPr>
      <w:r>
        <w:rPr>
          <w:snapToGrid w:val="0"/>
        </w:rPr>
        <w:tab/>
        <w:t>(b)</w:t>
      </w:r>
      <w:r>
        <w:rPr>
          <w:snapToGrid w:val="0"/>
        </w:rPr>
        <w:tab/>
        <w:t xml:space="preserve">the Chief Commissioner, after interviewing the objecting party, has directed </w:t>
      </w:r>
      <w:r>
        <w:t>the commissioner</w:t>
      </w:r>
      <w:r>
        <w:rPr>
          <w:snapToGrid w:val="0"/>
        </w:rPr>
        <w:t xml:space="preserve"> so to do.</w:t>
      </w:r>
    </w:p>
    <w:p>
      <w:pPr>
        <w:pStyle w:val="Subsection"/>
        <w:rPr>
          <w:snapToGrid w:val="0"/>
        </w:rPr>
      </w:pPr>
      <w:r>
        <w:rPr>
          <w:snapToGrid w:val="0"/>
        </w:rPr>
        <w:tab/>
        <w:t>(12)</w:t>
      </w:r>
      <w:r>
        <w:rPr>
          <w:snapToGrid w:val="0"/>
        </w:rPr>
        <w:tab/>
        <w:t>Where the Chief Commissioner does not give the direction referred to in subsection (11)(b), the Chief Commissioner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the Chief Commissioner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an appeal does not lie from an order made under subsection (12a).</w:t>
      </w:r>
    </w:p>
    <w:p>
      <w:pPr>
        <w:pStyle w:val="Subsection"/>
        <w:spacing w:before="140"/>
      </w:pPr>
      <w:r>
        <w:tab/>
        <w:t>(12d)</w:t>
      </w:r>
      <w:r>
        <w:tab/>
        <w:t>As soon as is practicable after giving or making a direction, order or declaration orally under this section, the Commission must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No. 121 of 1982 s. 18; No. 94 of 1984 s. 27, 65 and 66; No. 119 of 1987 s. 10; No. 15 of 1993 s. 17; No. 3 of 1997 s. 37; No. 20 of 2002 s. 141(1), 151 and 194(5); Gazette 15 Aug 2003 p. 3686; No. 30 of 2021 s. 76(2) and (8), 77(1)</w:t>
      </w:r>
      <w:r>
        <w:noBreakHyphen/>
        <w:t>(3), (5) and (13), 78(3), (4) and (7).]</w:t>
      </w:r>
    </w:p>
    <w:p>
      <w:pPr>
        <w:pStyle w:val="Ednotesection"/>
      </w:pPr>
      <w:r>
        <w:t>[</w:t>
      </w:r>
      <w:r>
        <w:rPr>
          <w:b/>
        </w:rPr>
        <w:t>45.</w:t>
      </w:r>
      <w:r>
        <w:tab/>
        <w:t>Deleted: No. 94 of 1984 s. 66.]</w:t>
      </w:r>
    </w:p>
    <w:p>
      <w:pPr>
        <w:pStyle w:val="Heading3"/>
      </w:pPr>
      <w:bookmarkStart w:id="217" w:name="_Toc107322281"/>
      <w:bookmarkStart w:id="218" w:name="_Toc107476410"/>
      <w:bookmarkStart w:id="219" w:name="_Toc105760026"/>
      <w:bookmarkStart w:id="220" w:name="_Toc106195270"/>
      <w:bookmarkStart w:id="221" w:name="_Toc106367213"/>
      <w:bookmarkStart w:id="222" w:name="_Toc106373944"/>
      <w:r>
        <w:rPr>
          <w:rStyle w:val="CharDivNo"/>
        </w:rPr>
        <w:t>Division 2D</w:t>
      </w:r>
      <w:r>
        <w:t xml:space="preserve"> — </w:t>
      </w:r>
      <w:r>
        <w:rPr>
          <w:rStyle w:val="CharDivText"/>
        </w:rPr>
        <w:t>Miscellaneous provisions relating to awards, orders and agreements</w:t>
      </w:r>
      <w:bookmarkEnd w:id="217"/>
      <w:bookmarkEnd w:id="218"/>
      <w:bookmarkEnd w:id="219"/>
      <w:bookmarkEnd w:id="220"/>
      <w:bookmarkEnd w:id="221"/>
      <w:bookmarkEnd w:id="222"/>
    </w:p>
    <w:p>
      <w:pPr>
        <w:pStyle w:val="Footnoteheading"/>
        <w:tabs>
          <w:tab w:val="left" w:pos="851"/>
        </w:tabs>
      </w:pPr>
      <w:r>
        <w:tab/>
        <w:t>[Heading inserted: No. 20 of 2002 s. 119(2).]</w:t>
      </w:r>
    </w:p>
    <w:p>
      <w:pPr>
        <w:pStyle w:val="Heading5"/>
        <w:keepNext w:val="0"/>
        <w:keepLines w:val="0"/>
        <w:rPr>
          <w:snapToGrid w:val="0"/>
        </w:rPr>
      </w:pPr>
      <w:bookmarkStart w:id="223" w:name="_Toc107476411"/>
      <w:bookmarkStart w:id="224" w:name="_Toc106373945"/>
      <w:r>
        <w:rPr>
          <w:rStyle w:val="CharSectno"/>
        </w:rPr>
        <w:t>46</w:t>
      </w:r>
      <w:r>
        <w:rPr>
          <w:snapToGrid w:val="0"/>
        </w:rPr>
        <w:t>.</w:t>
      </w:r>
      <w:r>
        <w:rPr>
          <w:snapToGrid w:val="0"/>
        </w:rPr>
        <w:tab/>
        <w:t>Interpretation of awards and orders by Commission</w:t>
      </w:r>
      <w:bookmarkEnd w:id="223"/>
      <w:bookmarkEnd w:id="224"/>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in, or giving fuller effect to, the provision.</w:t>
      </w:r>
    </w:p>
    <w:p>
      <w:pPr>
        <w:pStyle w:val="Subsection"/>
        <w:keepLines/>
        <w:rPr>
          <w:snapToGrid w:val="0"/>
        </w:rPr>
      </w:pPr>
      <w:r>
        <w:rPr>
          <w:snapToGrid w:val="0"/>
        </w:rPr>
        <w:tab/>
        <w:t>(2)</w:t>
      </w:r>
      <w:r>
        <w:rPr>
          <w:snapToGrid w:val="0"/>
        </w:rPr>
        <w:tab/>
        <w:t>A declaration under this section may be made in the Commission’s reasons for decision but must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No. 94 of 1984 s. 66; No. 30 of 2021 s. 76(2) and 78(7).]</w:t>
      </w:r>
    </w:p>
    <w:p>
      <w:pPr>
        <w:pStyle w:val="Heading5"/>
        <w:spacing w:before="200"/>
        <w:rPr>
          <w:snapToGrid w:val="0"/>
        </w:rPr>
      </w:pPr>
      <w:bookmarkStart w:id="225" w:name="_Toc107476412"/>
      <w:bookmarkStart w:id="226" w:name="_Toc106373946"/>
      <w:r>
        <w:rPr>
          <w:rStyle w:val="CharSectno"/>
        </w:rPr>
        <w:t>47</w:t>
      </w:r>
      <w:r>
        <w:rPr>
          <w:snapToGrid w:val="0"/>
        </w:rPr>
        <w:t>.</w:t>
      </w:r>
      <w:r>
        <w:rPr>
          <w:snapToGrid w:val="0"/>
        </w:rPr>
        <w:tab/>
        <w:t>Defunct awards etc., cancelling; employers not in business etc., deleting from awards etc.</w:t>
      </w:r>
      <w:bookmarkEnd w:id="225"/>
      <w:bookmarkEnd w:id="226"/>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keepNext/>
        <w:spacing w:before="120"/>
        <w:rPr>
          <w:snapToGrid w:val="0"/>
        </w:rPr>
      </w:pPr>
      <w:r>
        <w:rPr>
          <w:snapToGrid w:val="0"/>
        </w:rPr>
        <w:tab/>
        <w:t>(3)</w:t>
      </w:r>
      <w:r>
        <w:rPr>
          <w:snapToGrid w:val="0"/>
        </w:rPr>
        <w:tab/>
        <w:t>The Commission must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must, as soon as practicable,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r>
        <w:t>; No. 30 of 2021 s. 76(2) and 78(7)</w:t>
      </w:r>
      <w:r>
        <w:rPr>
          <w:spacing w:val="-4"/>
        </w:rPr>
        <w:t>.]</w:t>
      </w:r>
    </w:p>
    <w:p>
      <w:pPr>
        <w:pStyle w:val="Heading5"/>
        <w:rPr>
          <w:snapToGrid w:val="0"/>
        </w:rPr>
      </w:pPr>
      <w:bookmarkStart w:id="227" w:name="_Toc107476413"/>
      <w:bookmarkStart w:id="228" w:name="_Toc106373947"/>
      <w:r>
        <w:rPr>
          <w:rStyle w:val="CharSectno"/>
        </w:rPr>
        <w:t>48</w:t>
      </w:r>
      <w:r>
        <w:rPr>
          <w:snapToGrid w:val="0"/>
        </w:rPr>
        <w:t>.</w:t>
      </w:r>
      <w:r>
        <w:rPr>
          <w:snapToGrid w:val="0"/>
        </w:rPr>
        <w:tab/>
        <w:t>Board of Reference for each award</w:t>
      </w:r>
      <w:bookmarkEnd w:id="227"/>
      <w:bookmarkEnd w:id="228"/>
    </w:p>
    <w:p>
      <w:pPr>
        <w:pStyle w:val="Subsection"/>
        <w:rPr>
          <w:snapToGrid w:val="0"/>
        </w:rPr>
      </w:pPr>
      <w:r>
        <w:rPr>
          <w:snapToGrid w:val="0"/>
        </w:rPr>
        <w:tab/>
        <w:t>(1)</w:t>
      </w:r>
      <w:r>
        <w:rPr>
          <w:snapToGrid w:val="0"/>
        </w:rPr>
        <w:tab/>
        <w:t xml:space="preserve">For each award in force under this Act there </w:t>
      </w:r>
      <w:r>
        <w:t>is established</w:t>
      </w:r>
      <w:r>
        <w:rPr>
          <w:snapToGrid w:val="0"/>
        </w:rPr>
        <w:t xml:space="preserve"> a Board of Reference.</w:t>
      </w:r>
    </w:p>
    <w:p>
      <w:pPr>
        <w:pStyle w:val="Subsection"/>
        <w:rPr>
          <w:snapToGrid w:val="0"/>
        </w:rPr>
      </w:pPr>
      <w:r>
        <w:rPr>
          <w:snapToGrid w:val="0"/>
        </w:rPr>
        <w:tab/>
        <w:t>(2)</w:t>
      </w:r>
      <w:r>
        <w:rPr>
          <w:snapToGrid w:val="0"/>
        </w:rPr>
        <w:tab/>
        <w:t xml:space="preserve">Subject to subsection (5), each Board of Reference must consist of a </w:t>
      </w:r>
      <w:r>
        <w:t>chairperson</w:t>
      </w:r>
      <w:r>
        <w:rPr>
          <w:snapToGrid w:val="0"/>
        </w:rPr>
        <w:t xml:space="preserve">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 xml:space="preserve">The Chief Commissioner may appoint a person as </w:t>
      </w:r>
      <w:r>
        <w:t>chairperson</w:t>
      </w:r>
      <w:r>
        <w:rPr>
          <w:snapToGrid w:val="0"/>
        </w:rPr>
        <w:t xml:space="preserve">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r>
      <w:r>
        <w:t>anything</w:t>
      </w:r>
      <w:r>
        <w:rPr>
          <w:snapToGrid w:val="0"/>
        </w:rPr>
        <w:t xml:space="preserve"> that, under the award, may require to be allowed, approved, fixed, determined, or dealt with by a Board of Reference; and</w:t>
      </w:r>
    </w:p>
    <w:p>
      <w:pPr>
        <w:pStyle w:val="Indenta"/>
        <w:rPr>
          <w:snapToGrid w:val="0"/>
        </w:rPr>
      </w:pPr>
      <w:r>
        <w:rPr>
          <w:snapToGrid w:val="0"/>
        </w:rPr>
        <w:tab/>
        <w:t>(b)</w:t>
      </w:r>
      <w:r>
        <w:rPr>
          <w:snapToGrid w:val="0"/>
        </w:rPr>
        <w:tab/>
      </w:r>
      <w:r>
        <w:t>anything</w:t>
      </w:r>
      <w:r>
        <w:rPr>
          <w:snapToGrid w:val="0"/>
        </w:rPr>
        <w:t xml:space="preserve">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 xml:space="preserve">Where the nominated employers’ and employees’ members of a Board of Reference are equally divided in opinion on any matter before the Board of Reference the decision of the Board of Reference must be in accordance with the opinion of the </w:t>
      </w:r>
      <w:r>
        <w:t>chairperson</w:t>
      </w:r>
      <w:r>
        <w:rPr>
          <w:snapToGrid w:val="0"/>
        </w:rPr>
        <w:t>.</w:t>
      </w:r>
    </w:p>
    <w:p>
      <w:pPr>
        <w:pStyle w:val="Subsection"/>
        <w:rPr>
          <w:snapToGrid w:val="0"/>
        </w:rPr>
      </w:pPr>
      <w:r>
        <w:rPr>
          <w:snapToGrid w:val="0"/>
        </w:rPr>
        <w:tab/>
        <w:t>(9)</w:t>
      </w:r>
      <w:r>
        <w:rPr>
          <w:snapToGrid w:val="0"/>
        </w:rPr>
        <w:tab/>
        <w:t xml:space="preserve">The </w:t>
      </w:r>
      <w:r>
        <w:t>chairperson</w:t>
      </w:r>
      <w:r>
        <w:rPr>
          <w:snapToGrid w:val="0"/>
        </w:rPr>
        <w:t xml:space="preserve"> must, after consultation with the nominated members, record in a memorandum signed by </w:t>
      </w:r>
      <w:r>
        <w:t>the chairperson</w:t>
      </w:r>
      <w:r>
        <w:rPr>
          <w:snapToGrid w:val="0"/>
        </w:rPr>
        <w:t>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 xml:space="preserve">and must forward that memorandum to the Registrar for filing in </w:t>
      </w:r>
      <w:r>
        <w:t>the Registrar’s</w:t>
      </w:r>
      <w:r>
        <w:rPr>
          <w:snapToGrid w:val="0"/>
        </w:rPr>
        <w:t xml:space="preserve"> office.</w:t>
      </w:r>
    </w:p>
    <w:p>
      <w:pPr>
        <w:pStyle w:val="Subsection"/>
        <w:rPr>
          <w:snapToGrid w:val="0"/>
        </w:rPr>
      </w:pPr>
      <w:r>
        <w:rPr>
          <w:snapToGrid w:val="0"/>
        </w:rPr>
        <w:tab/>
        <w:t>(10)</w:t>
      </w:r>
      <w:r>
        <w:rPr>
          <w:snapToGrid w:val="0"/>
        </w:rPr>
        <w:tab/>
        <w:t>Subject to subsection (11), the decision referred to in subsection (9) is upon being filed in accordance with that subsection,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must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 xml:space="preserve">The Commission may, in any order made by it under this Act, provide that </w:t>
      </w:r>
      <w:r>
        <w:t>anything</w:t>
      </w:r>
      <w:r>
        <w:rPr>
          <w:snapToGrid w:val="0"/>
        </w:rPr>
        <w:t xml:space="preserve">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No. 94 of 1984 s. 29 and 66; No. 119 of 1987 s. 11; No. 30 of 2021 s. 76(2) and (8), 77(1), (6) and (13), 78(5) and (7).]</w:t>
      </w:r>
    </w:p>
    <w:p>
      <w:pPr>
        <w:pStyle w:val="Heading5"/>
        <w:rPr>
          <w:snapToGrid w:val="0"/>
        </w:rPr>
      </w:pPr>
      <w:bookmarkStart w:id="229" w:name="_Toc107476414"/>
      <w:bookmarkStart w:id="230" w:name="_Toc106373948"/>
      <w:r>
        <w:rPr>
          <w:rStyle w:val="CharSectno"/>
        </w:rPr>
        <w:t>48A</w:t>
      </w:r>
      <w:r>
        <w:rPr>
          <w:snapToGrid w:val="0"/>
        </w:rPr>
        <w:t xml:space="preserve">. </w:t>
      </w:r>
      <w:r>
        <w:rPr>
          <w:snapToGrid w:val="0"/>
        </w:rPr>
        <w:tab/>
        <w:t>Awards etc. to provide for dispute resolution</w:t>
      </w:r>
      <w:bookmarkEnd w:id="229"/>
      <w:bookmarkEnd w:id="230"/>
    </w:p>
    <w:p>
      <w:pPr>
        <w:pStyle w:val="Subsection"/>
        <w:spacing w:before="120"/>
        <w:rPr>
          <w:snapToGrid w:val="0"/>
        </w:rPr>
      </w:pPr>
      <w:r>
        <w:rPr>
          <w:snapToGrid w:val="0"/>
        </w:rPr>
        <w:tab/>
        <w:t>(1)</w:t>
      </w:r>
      <w:r>
        <w:rPr>
          <w:snapToGrid w:val="0"/>
        </w:rPr>
        <w:tab/>
        <w:t>In exercising its jurisdiction under this Part the Commission must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must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 No. 30 of 2021 s. 76(2).]</w:t>
      </w:r>
    </w:p>
    <w:p>
      <w:pPr>
        <w:pStyle w:val="Heading5"/>
      </w:pPr>
      <w:bookmarkStart w:id="231" w:name="_Toc107476415"/>
      <w:bookmarkStart w:id="232" w:name="_Toc106373949"/>
      <w:r>
        <w:rPr>
          <w:rStyle w:val="CharSectno"/>
        </w:rPr>
        <w:t>48B</w:t>
      </w:r>
      <w:r>
        <w:t>.</w:t>
      </w:r>
      <w:r>
        <w:tab/>
        <w:t>Superannuation, provisions about in awards etc.</w:t>
      </w:r>
      <w:bookmarkEnd w:id="231"/>
      <w:bookmarkEnd w:id="232"/>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must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must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must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 for this subsection:</w:t>
      </w:r>
    </w:p>
    <w:p>
      <w:pPr>
        <w:pStyle w:val="Penpara"/>
      </w:pPr>
      <w:r>
        <w:tab/>
        <w:t>(a)</w:t>
      </w:r>
      <w:r>
        <w:tab/>
        <w:t>in the case of an individual — a fine of $1 000;</w:t>
      </w:r>
    </w:p>
    <w:p>
      <w:pPr>
        <w:pStyle w:val="Penpara"/>
      </w:pPr>
      <w:r>
        <w:tab/>
        <w:t>(b)</w:t>
      </w:r>
      <w:r>
        <w:tab/>
        <w:t>in any other case — a fine of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No. 79 of 1995 s. 13(1); renumbered as section 48B: No. 20 of 2002 s. 120; No. 30 of 2021 s. 72(1), 76(2) and 78(1).]</w:t>
      </w:r>
    </w:p>
    <w:p>
      <w:pPr>
        <w:pStyle w:val="Heading3"/>
        <w:keepLines/>
      </w:pPr>
      <w:bookmarkStart w:id="233" w:name="_Toc107322287"/>
      <w:bookmarkStart w:id="234" w:name="_Toc107476416"/>
      <w:bookmarkStart w:id="235" w:name="_Toc105760032"/>
      <w:bookmarkStart w:id="236" w:name="_Toc106195276"/>
      <w:bookmarkStart w:id="237" w:name="_Toc106367219"/>
      <w:bookmarkStart w:id="238" w:name="_Toc106373950"/>
      <w:r>
        <w:rPr>
          <w:rStyle w:val="CharDivNo"/>
        </w:rPr>
        <w:t>Division 2E</w:t>
      </w:r>
      <w:r>
        <w:t xml:space="preserve"> — </w:t>
      </w:r>
      <w:r>
        <w:rPr>
          <w:rStyle w:val="CharDivText"/>
        </w:rPr>
        <w:t>Appeals to the Full Bench</w:t>
      </w:r>
      <w:bookmarkEnd w:id="233"/>
      <w:bookmarkEnd w:id="234"/>
      <w:bookmarkEnd w:id="235"/>
      <w:bookmarkEnd w:id="236"/>
      <w:bookmarkEnd w:id="237"/>
      <w:bookmarkEnd w:id="238"/>
    </w:p>
    <w:p>
      <w:pPr>
        <w:pStyle w:val="Footnoteheading"/>
        <w:keepNext/>
        <w:keepLines/>
        <w:tabs>
          <w:tab w:val="left" w:pos="851"/>
        </w:tabs>
      </w:pPr>
      <w:r>
        <w:tab/>
        <w:t>[Heading inserted: No. 20 of 2002 s. 119(3).]</w:t>
      </w:r>
    </w:p>
    <w:p>
      <w:pPr>
        <w:pStyle w:val="Heading5"/>
        <w:rPr>
          <w:snapToGrid w:val="0"/>
        </w:rPr>
      </w:pPr>
      <w:bookmarkStart w:id="239" w:name="_Toc107476417"/>
      <w:bookmarkStart w:id="240" w:name="_Toc106373951"/>
      <w:r>
        <w:rPr>
          <w:rStyle w:val="CharSectno"/>
        </w:rPr>
        <w:t>49</w:t>
      </w:r>
      <w:r>
        <w:rPr>
          <w:snapToGrid w:val="0"/>
        </w:rPr>
        <w:t>.</w:t>
      </w:r>
      <w:r>
        <w:rPr>
          <w:snapToGrid w:val="0"/>
        </w:rPr>
        <w:tab/>
        <w:t>Appeal from Commission’s decision</w:t>
      </w:r>
      <w:bookmarkEnd w:id="239"/>
      <w:bookmarkEnd w:id="240"/>
    </w:p>
    <w:p>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must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 xml:space="preserve">any party to the proceedings </w:t>
      </w:r>
      <w:r>
        <w:t>in which</w:t>
      </w:r>
      <w:r>
        <w:rPr>
          <w:snapToGrid w:val="0"/>
        </w:rPr>
        <w:t xml:space="preserve">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keepNext/>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must be heard and determined on the evidence and matters raised in the proceedings before the Commission; and</w:t>
      </w:r>
    </w:p>
    <w:p>
      <w:pPr>
        <w:pStyle w:val="Indenta"/>
        <w:spacing w:before="70"/>
        <w:rPr>
          <w:snapToGrid w:val="0"/>
        </w:rPr>
      </w:pPr>
      <w:r>
        <w:rPr>
          <w:snapToGrid w:val="0"/>
        </w:rPr>
        <w:tab/>
        <w:t>(b)</w:t>
      </w:r>
      <w:r>
        <w:rPr>
          <w:snapToGrid w:val="0"/>
        </w:rPr>
        <w:tab/>
        <w:t>must,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must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Ednotesubsection"/>
      </w:pPr>
      <w:r>
        <w:tab/>
        <w:t>[(7)</w:t>
      </w:r>
      <w:r>
        <w:tab/>
        <w:t>deleted]</w:t>
      </w:r>
    </w:p>
    <w:p>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pPr>
        <w:pStyle w:val="Footnotesection"/>
      </w:pPr>
      <w:r>
        <w:tab/>
        <w:t>[Section 49 amended: No. 121 of 1982 s. 20; No. 94 of 1984 s. 30 and 66; No. 119 of 1987 s. 12; No. 1 of 1995 s. 9; No. 36 of 1999 s. 247; No. 20 of 2002 s. 8 and 125; No. 39 of 2018 s. 28; No. 30 of 2021 s. 76(2) and 78(7).]</w:t>
      </w:r>
    </w:p>
    <w:p>
      <w:pPr>
        <w:pStyle w:val="Ednotesection"/>
        <w:spacing w:before="240"/>
        <w:ind w:left="890" w:hanging="890"/>
      </w:pPr>
      <w:r>
        <w:t>[</w:t>
      </w:r>
      <w:r>
        <w:rPr>
          <w:b/>
        </w:rPr>
        <w:t>49A.</w:t>
      </w:r>
      <w:r>
        <w:tab/>
        <w:t>Renumbered as section 48A: No. 20 of 2002 s. 120.]</w:t>
      </w:r>
    </w:p>
    <w:p>
      <w:pPr>
        <w:pStyle w:val="Ednotesection"/>
        <w:spacing w:before="240"/>
        <w:ind w:left="890" w:hanging="890"/>
      </w:pPr>
      <w:r>
        <w:t>[</w:t>
      </w:r>
      <w:r>
        <w:rPr>
          <w:b/>
        </w:rPr>
        <w:t>49AB,</w:t>
      </w:r>
      <w:r>
        <w:t xml:space="preserve"> </w:t>
      </w:r>
      <w:r>
        <w:rPr>
          <w:b/>
        </w:rPr>
        <w:t>49B.</w:t>
      </w:r>
      <w:r>
        <w:rPr>
          <w:b/>
        </w:rPr>
        <w:tab/>
      </w:r>
      <w:r>
        <w:t>Deleted: No. 20 of 2002 s. 145.]</w:t>
      </w:r>
    </w:p>
    <w:p>
      <w:pPr>
        <w:pStyle w:val="Ednotesection"/>
        <w:spacing w:before="240"/>
        <w:ind w:left="890" w:hanging="890"/>
      </w:pPr>
      <w:r>
        <w:t>[</w:t>
      </w:r>
      <w:r>
        <w:rPr>
          <w:b/>
        </w:rPr>
        <w:t>49C.</w:t>
      </w:r>
      <w:r>
        <w:tab/>
        <w:t>Renumbered as section 48B: No. 20 of 2002 s. 120.]</w:t>
      </w:r>
    </w:p>
    <w:p>
      <w:pPr>
        <w:pStyle w:val="Heading3"/>
        <w:keepLines/>
      </w:pPr>
      <w:bookmarkStart w:id="241" w:name="_Toc105760034"/>
      <w:bookmarkStart w:id="242" w:name="_Toc107322289"/>
      <w:bookmarkStart w:id="243" w:name="_Toc107476418"/>
      <w:bookmarkStart w:id="244" w:name="_Toc106195278"/>
      <w:bookmarkStart w:id="245" w:name="_Toc106367221"/>
      <w:bookmarkStart w:id="246" w:name="_Toc106373952"/>
      <w:r>
        <w:rPr>
          <w:rStyle w:val="CharDivNo"/>
        </w:rPr>
        <w:t>Division 2F</w:t>
      </w:r>
      <w:r>
        <w:t xml:space="preserve"> — </w:t>
      </w:r>
      <w:r>
        <w:rPr>
          <w:rStyle w:val="CharDivText"/>
        </w:rPr>
        <w:t>Keeping of and access to employment records</w:t>
      </w:r>
      <w:bookmarkEnd w:id="241"/>
      <w:r>
        <w:rPr>
          <w:rStyle w:val="CharDivText"/>
        </w:rPr>
        <w:t xml:space="preserve"> and pay slips</w:t>
      </w:r>
      <w:bookmarkEnd w:id="242"/>
      <w:bookmarkEnd w:id="243"/>
      <w:bookmarkEnd w:id="244"/>
      <w:bookmarkEnd w:id="245"/>
      <w:bookmarkEnd w:id="246"/>
    </w:p>
    <w:p>
      <w:pPr>
        <w:pStyle w:val="Footnoteheading"/>
        <w:keepNext/>
        <w:keepLines/>
        <w:tabs>
          <w:tab w:val="left" w:pos="851"/>
        </w:tabs>
      </w:pPr>
      <w:r>
        <w:tab/>
        <w:t>[Heading inserted: No. 20 of 2002 s. 146(1); amended: No. 30 of 2021 s. 19.]</w:t>
      </w:r>
    </w:p>
    <w:p>
      <w:pPr>
        <w:pStyle w:val="Heading5"/>
      </w:pPr>
      <w:bookmarkStart w:id="247" w:name="_Toc107476419"/>
      <w:bookmarkStart w:id="248" w:name="_Toc106373953"/>
      <w:r>
        <w:rPr>
          <w:rStyle w:val="CharSectno"/>
        </w:rPr>
        <w:t>49D</w:t>
      </w:r>
      <w:r>
        <w:t>.</w:t>
      </w:r>
      <w:r>
        <w:tab/>
        <w:t>Employer’s duties as to employment records</w:t>
      </w:r>
      <w:bookmarkEnd w:id="247"/>
      <w:bookmarkEnd w:id="248"/>
    </w:p>
    <w:p>
      <w:pPr>
        <w:pStyle w:val="Subsection"/>
        <w:keepNext/>
      </w:pPr>
      <w:r>
        <w:tab/>
        <w:t>(1)</w:t>
      </w:r>
      <w:r>
        <w:tab/>
        <w:t>Employment records relating to an employee must be kept in accordance with this section.</w:t>
      </w:r>
    </w:p>
    <w:p>
      <w:pPr>
        <w:pStyle w:val="Subsection"/>
        <w:keepNext/>
      </w:pPr>
      <w:r>
        <w:tab/>
        <w:t>(2)</w:t>
      </w:r>
      <w:r>
        <w:tab/>
        <w:t>An employer must ensure that the following employment records are kept —</w:t>
      </w:r>
    </w:p>
    <w:p>
      <w:pPr>
        <w:pStyle w:val="Indenta"/>
      </w:pPr>
      <w:r>
        <w:tab/>
        <w:t>(a)</w:t>
      </w:r>
      <w:r>
        <w:tab/>
        <w:t>the employee’s name and, if the employee is under 21 years of age, the employee’s date of birth;</w:t>
      </w:r>
    </w:p>
    <w:p>
      <w:pPr>
        <w:pStyle w:val="Indenta"/>
      </w:pPr>
      <w:r>
        <w:tab/>
        <w:t>(aa)</w:t>
      </w:r>
      <w:r>
        <w:tab/>
        <w:t>the employer’s name and Australian Business Number (if any);</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an industrial instrument or the MCE Act and any amount withheld as tax; and</w:t>
      </w:r>
    </w:p>
    <w:p>
      <w:pPr>
        <w:pStyle w:val="Indenti"/>
      </w:pPr>
      <w:r>
        <w:tab/>
        <w:t>(iii)</w:t>
      </w:r>
      <w:r>
        <w:tab/>
        <w:t>all deductions and the reasons for them;</w:t>
      </w:r>
    </w:p>
    <w:p>
      <w:pPr>
        <w:pStyle w:val="Indenta"/>
      </w:pPr>
      <w:r>
        <w:tab/>
        <w:t>(ea)</w:t>
      </w:r>
      <w:r>
        <w:tab/>
        <w:t xml:space="preserve">any incentive based payment, bonus, loading, penalty rates or another monetary allowance or separately identifiable entitlement; </w:t>
      </w:r>
    </w:p>
    <w:p>
      <w:pPr>
        <w:pStyle w:val="Indenta"/>
      </w:pPr>
      <w:r>
        <w:tab/>
        <w:t>(f)</w:t>
      </w:r>
      <w:r>
        <w:tab/>
        <w:t>all leave taken by the employee, whether paid, partly paid or unpaid;</w:t>
      </w:r>
    </w:p>
    <w:p>
      <w:pPr>
        <w:pStyle w:val="Indenta"/>
      </w:pPr>
      <w:r>
        <w:tab/>
        <w:t>(fa)</w:t>
      </w:r>
      <w:r>
        <w:tab/>
        <w:t xml:space="preserve">any agreement under the MCE Act section 8(1), including details of — </w:t>
      </w:r>
    </w:p>
    <w:p>
      <w:pPr>
        <w:pStyle w:val="Indenti"/>
      </w:pPr>
      <w:r>
        <w:tab/>
        <w:t>(i)</w:t>
      </w:r>
      <w:r>
        <w:tab/>
        <w:t>the benefit for, and the amount of, annual leave that was foregone; and</w:t>
      </w:r>
    </w:p>
    <w:p>
      <w:pPr>
        <w:pStyle w:val="Indenti"/>
      </w:pPr>
      <w:r>
        <w:tab/>
        <w:t>(ii)</w:t>
      </w:r>
      <w:r>
        <w:tab/>
        <w:t>when the benefit was paid;</w:t>
      </w:r>
    </w:p>
    <w:p>
      <w:pPr>
        <w:pStyle w:val="Indenta"/>
      </w:pPr>
      <w:r>
        <w:tab/>
        <w:t>(g)</w:t>
      </w:r>
      <w:r>
        <w:tab/>
        <w:t xml:space="preserve">the information necessary for the calculation of, and payment for, long service leave under the LSL Act, the </w:t>
      </w:r>
      <w:r>
        <w:rPr>
          <w:i/>
        </w:rPr>
        <w:t>Construction Industry Portable Paid Long Service Leave Act 1985</w:t>
      </w:r>
      <w:r>
        <w:t xml:space="preserve"> or an industrial instrument;</w:t>
      </w:r>
    </w:p>
    <w:p>
      <w:pPr>
        <w:pStyle w:val="Indenta"/>
      </w:pPr>
      <w:r>
        <w:tab/>
        <w:t>(h)</w:t>
      </w:r>
      <w:r>
        <w:tab/>
        <w:t>any other information in respect of the employee required under an industrial instrument to be recorded;</w:t>
      </w:r>
    </w:p>
    <w:p>
      <w:pPr>
        <w:pStyle w:val="Indenta"/>
      </w:pPr>
      <w:r>
        <w:tab/>
        <w:t>(i)</w:t>
      </w:r>
      <w:r>
        <w:tab/>
        <w:t>any information, not otherwise covered by this subsection, that is necessary to show that the remuneration and benefits received by the employee comply with an industrial instrument or other entitlement provision;</w:t>
      </w:r>
    </w:p>
    <w:p>
      <w:pPr>
        <w:pStyle w:val="Indenta"/>
      </w:pPr>
      <w:r>
        <w:tab/>
        <w:t>(j)</w:t>
      </w:r>
      <w:r>
        <w:tab/>
        <w:t xml:space="preserve">the following matters relating to superannuation — </w:t>
      </w:r>
    </w:p>
    <w:p>
      <w:pPr>
        <w:pStyle w:val="Indenti"/>
      </w:pPr>
      <w:r>
        <w:tab/>
        <w:t>(i)</w:t>
      </w:r>
      <w:r>
        <w:tab/>
        <w:t>the amount of the superannuation contributions made;</w:t>
      </w:r>
    </w:p>
    <w:p>
      <w:pPr>
        <w:pStyle w:val="Indenti"/>
      </w:pPr>
      <w:r>
        <w:tab/>
        <w:t>(ii)</w:t>
      </w:r>
      <w:r>
        <w:tab/>
        <w:t>the period over which the superannuation contributions were made;</w:t>
      </w:r>
    </w:p>
    <w:p>
      <w:pPr>
        <w:pStyle w:val="Indenti"/>
      </w:pPr>
      <w:r>
        <w:tab/>
        <w:t>(iii)</w:t>
      </w:r>
      <w:r>
        <w:tab/>
        <w:t>the date on which each superannuation contribution was made;</w:t>
      </w:r>
    </w:p>
    <w:p>
      <w:pPr>
        <w:pStyle w:val="Indenti"/>
      </w:pPr>
      <w:r>
        <w:tab/>
        <w:t>(iv)</w:t>
      </w:r>
      <w:r>
        <w:tab/>
        <w:t>the name of any fund to which a superannuation contribution was made;</w:t>
      </w:r>
    </w:p>
    <w:p>
      <w:pPr>
        <w:pStyle w:val="Indenti"/>
      </w:pPr>
      <w:r>
        <w:tab/>
        <w:t>(v)</w:t>
      </w:r>
      <w:r>
        <w:tab/>
        <w:t>how the employer worked out the amount of superannuation owed;</w:t>
      </w:r>
    </w:p>
    <w:p>
      <w:pPr>
        <w:pStyle w:val="Indenti"/>
      </w:pPr>
      <w:r>
        <w:tab/>
        <w:t>(vi)</w:t>
      </w:r>
      <w:r>
        <w:tab/>
        <w:t xml:space="preserve">any election made by the employee as to the fund to which the contributions are to be made and the date the election was made; </w:t>
      </w:r>
    </w:p>
    <w:p>
      <w:pPr>
        <w:pStyle w:val="Indenta"/>
        <w:keepNext/>
      </w:pPr>
      <w:r>
        <w:tab/>
        <w:t>(k)</w:t>
      </w:r>
      <w:r>
        <w:tab/>
        <w:t>termination</w:t>
      </w:r>
      <w:r>
        <w:noBreakHyphen/>
        <w:t xml:space="preserve">related matters, including — </w:t>
      </w:r>
    </w:p>
    <w:p>
      <w:pPr>
        <w:pStyle w:val="Indenti"/>
      </w:pPr>
      <w:r>
        <w:tab/>
        <w:t>(i)</w:t>
      </w:r>
      <w:r>
        <w:tab/>
        <w:t xml:space="preserve">whether the employee’s employment was terminated by consent, notice, summarily or in some other specified manner; and </w:t>
      </w:r>
    </w:p>
    <w:p>
      <w:pPr>
        <w:pStyle w:val="Indenti"/>
      </w:pPr>
      <w:r>
        <w:tab/>
        <w:t>(ii)</w:t>
      </w:r>
      <w:r>
        <w:tab/>
        <w:t>the name of the person who terminated the employee’s employment.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annual and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employment record is retained for not less than 7 years after it is made.</w:t>
      </w:r>
    </w:p>
    <w:p>
      <w:pPr>
        <w:pStyle w:val="Subsection"/>
      </w:pPr>
      <w:r>
        <w:tab/>
        <w:t>(4)</w:t>
      </w:r>
      <w:r>
        <w:tab/>
        <w:t>An employer who enters into an agreement under the MCE Act section 8(1) must ensure that a copy of the agreement is kept as an employment record.</w:t>
      </w:r>
    </w:p>
    <w:p>
      <w:pPr>
        <w:pStyle w:val="Subsection"/>
      </w:pPr>
      <w:r>
        <w:tab/>
        <w:t>(5)</w:t>
      </w:r>
      <w:r>
        <w:tab/>
        <w:t xml:space="preserve">If the SWS or a SWIIP applies to an employee with a disability, an employer must ensure that the following are kept as employment records in relation to the employee — </w:t>
      </w:r>
    </w:p>
    <w:p>
      <w:pPr>
        <w:pStyle w:val="Indenta"/>
      </w:pPr>
      <w:r>
        <w:tab/>
        <w:t>(a)</w:t>
      </w:r>
      <w:r>
        <w:tab/>
        <w:t>any agreement entered into under the SWS or a SWIIP by the employer and the employee;</w:t>
      </w:r>
    </w:p>
    <w:p>
      <w:pPr>
        <w:pStyle w:val="Indenta"/>
      </w:pPr>
      <w:r>
        <w:tab/>
        <w:t>(b)</w:t>
      </w:r>
      <w:r>
        <w:tab/>
        <w:t>any other document required to be kept by the SWS or a SWIIP relating to the determination of a wage for the employee.</w:t>
      </w:r>
    </w:p>
    <w:p>
      <w:pPr>
        <w:pStyle w:val="Subsection"/>
      </w:pPr>
      <w:r>
        <w:tab/>
        <w:t>(6)</w:t>
      </w:r>
      <w:r>
        <w:tab/>
        <w:t>The employer must, as soon as practicable, lodge with the Registrar a copy of an agreement entered into under the SWS that is required to be kept under subsection (5)(a).</w:t>
      </w:r>
    </w:p>
    <w:p>
      <w:pPr>
        <w:pStyle w:val="Subsection"/>
      </w:pPr>
      <w:r>
        <w:tab/>
        <w:t>(7)</w:t>
      </w:r>
      <w:r>
        <w:tab/>
        <w:t xml:space="preserve">If an employer makes a payment to an employee in cash, the employer must provide a record of payment to the employee and ensure that a copy of the record of payment is kept as an employment record. </w:t>
      </w:r>
    </w:p>
    <w:p>
      <w:pPr>
        <w:pStyle w:val="Subsection"/>
      </w:pPr>
      <w:r>
        <w:tab/>
        <w:t>(8)</w:t>
      </w:r>
      <w:r>
        <w:tab/>
        <w:t>An employer must not make or keep an employment record for the purposes of this section that the employer knows, or could reasonably be expected to know, is false or misleading.</w:t>
      </w:r>
    </w:p>
    <w:p>
      <w:pPr>
        <w:pStyle w:val="Subsection"/>
      </w:pPr>
      <w:r>
        <w:tab/>
        <w:t>(9)</w:t>
      </w:r>
      <w:r>
        <w:tab/>
        <w:t>Subsection (8) does not apply if the employment record is not false or misleading in a material particular.</w:t>
      </w:r>
    </w:p>
    <w:p>
      <w:pPr>
        <w:pStyle w:val="Footnotesection"/>
      </w:pPr>
      <w:r>
        <w:tab/>
        <w:t>[Section 49D inserted: No. 20 of 2002 s. 146(1); amended: No. 30 of 2021 s. 20 and 77(7).]</w:t>
      </w:r>
    </w:p>
    <w:p>
      <w:pPr>
        <w:pStyle w:val="Heading5"/>
      </w:pPr>
      <w:bookmarkStart w:id="249" w:name="_Toc107476420"/>
      <w:bookmarkStart w:id="250" w:name="_Toc90558228"/>
      <w:bookmarkStart w:id="251" w:name="_Toc95209309"/>
      <w:bookmarkStart w:id="252" w:name="_Toc106373954"/>
      <w:r>
        <w:rPr>
          <w:rStyle w:val="CharSectno"/>
        </w:rPr>
        <w:t>49DA</w:t>
      </w:r>
      <w:r>
        <w:t>.</w:t>
      </w:r>
      <w:r>
        <w:tab/>
        <w:t>Employer obligations in relation to pay slips</w:t>
      </w:r>
      <w:bookmarkEnd w:id="249"/>
      <w:bookmarkEnd w:id="250"/>
      <w:bookmarkEnd w:id="251"/>
      <w:bookmarkEnd w:id="252"/>
    </w:p>
    <w:p>
      <w:pPr>
        <w:pStyle w:val="Subsection"/>
      </w:pPr>
      <w:r>
        <w:tab/>
        <w:t>(1)</w:t>
      </w:r>
      <w:r>
        <w:tab/>
        <w:t>An employer must, in accordance with this section, give a pay slip (in hard copy or electronic form) to each employee within 1 working day after paying an amount to the employee in relation to the performance of work.</w:t>
      </w:r>
    </w:p>
    <w:p>
      <w:pPr>
        <w:pStyle w:val="Subsection"/>
      </w:pPr>
      <w:r>
        <w:tab/>
        <w:t>(2)</w:t>
      </w:r>
      <w:r>
        <w:tab/>
        <w:t xml:space="preserve">The pay slip must include the following information — </w:t>
      </w:r>
    </w:p>
    <w:p>
      <w:pPr>
        <w:pStyle w:val="Indenta"/>
      </w:pPr>
      <w:r>
        <w:tab/>
        <w:t>(a)</w:t>
      </w:r>
      <w:r>
        <w:tab/>
        <w:t xml:space="preserve">the employer’s name and Australian Business Number (if any); </w:t>
      </w:r>
    </w:p>
    <w:p>
      <w:pPr>
        <w:pStyle w:val="Indenta"/>
      </w:pPr>
      <w:r>
        <w:tab/>
        <w:t>(b)</w:t>
      </w:r>
      <w:r>
        <w:tab/>
        <w:t xml:space="preserve">the employee’s name; </w:t>
      </w:r>
    </w:p>
    <w:p>
      <w:pPr>
        <w:pStyle w:val="Indenta"/>
      </w:pPr>
      <w:r>
        <w:tab/>
        <w:t>(c)</w:t>
      </w:r>
      <w:r>
        <w:tab/>
        <w:t xml:space="preserve">the period to which the pay slip relates; </w:t>
      </w:r>
    </w:p>
    <w:p>
      <w:pPr>
        <w:pStyle w:val="Indenta"/>
      </w:pPr>
      <w:r>
        <w:tab/>
        <w:t>(d)</w:t>
      </w:r>
      <w:r>
        <w:tab/>
        <w:t xml:space="preserve">the date on which the payment referred to in the pay slip was made; </w:t>
      </w:r>
    </w:p>
    <w:p>
      <w:pPr>
        <w:pStyle w:val="Indenta"/>
      </w:pPr>
      <w:r>
        <w:tab/>
        <w:t>(e)</w:t>
      </w:r>
      <w:r>
        <w:tab/>
        <w:t xml:space="preserve">the gross and net amounts of the payment and any amount withheld as tax; </w:t>
      </w:r>
    </w:p>
    <w:p>
      <w:pPr>
        <w:pStyle w:val="Indenta"/>
      </w:pPr>
      <w:r>
        <w:tab/>
        <w:t>(f)</w:t>
      </w:r>
      <w:r>
        <w:tab/>
        <w:t>any incentive based payment, or payment of a bonus, loading, penalty rates or another monetary allowance or separately identifiable entitlement;</w:t>
      </w:r>
    </w:p>
    <w:p>
      <w:pPr>
        <w:pStyle w:val="Indenta"/>
        <w:keepNext/>
      </w:pPr>
      <w:r>
        <w:tab/>
        <w:t>(g)</w:t>
      </w:r>
      <w:r>
        <w:tab/>
        <w:t xml:space="preserve">if an amount is deducted from the gross amount of the payment — </w:t>
      </w:r>
    </w:p>
    <w:p>
      <w:pPr>
        <w:pStyle w:val="Indenti"/>
      </w:pPr>
      <w:r>
        <w:tab/>
        <w:t>(i)</w:t>
      </w:r>
      <w:r>
        <w:tab/>
        <w:t>the name of the person in relation to whom or which the deduction was made; and</w:t>
      </w:r>
    </w:p>
    <w:p>
      <w:pPr>
        <w:pStyle w:val="Indenti"/>
      </w:pPr>
      <w:r>
        <w:tab/>
        <w:t>(ii)</w:t>
      </w:r>
      <w:r>
        <w:tab/>
        <w:t>if the deduction was paid into a fund or account — the name, or the name and number, of the fund or account; and</w:t>
      </w:r>
    </w:p>
    <w:p>
      <w:pPr>
        <w:pStyle w:val="Indenti"/>
      </w:pPr>
      <w:r>
        <w:tab/>
        <w:t>(iii)</w:t>
      </w:r>
      <w:r>
        <w:tab/>
        <w:t>the purpose of the deduction;</w:t>
      </w:r>
    </w:p>
    <w:p>
      <w:pPr>
        <w:pStyle w:val="Indenta"/>
      </w:pPr>
      <w:r>
        <w:tab/>
        <w:t>(h)</w:t>
      </w:r>
      <w:r>
        <w:tab/>
        <w:t xml:space="preserve">if the employee is paid at an hourly rate of pay — </w:t>
      </w:r>
    </w:p>
    <w:p>
      <w:pPr>
        <w:pStyle w:val="Indenti"/>
      </w:pPr>
      <w:r>
        <w:tab/>
        <w:t>(i)</w:t>
      </w:r>
      <w:r>
        <w:tab/>
        <w:t>the rate of pay for the employee’s ordinary hours; and</w:t>
      </w:r>
    </w:p>
    <w:p>
      <w:pPr>
        <w:pStyle w:val="Indenti"/>
      </w:pPr>
      <w:r>
        <w:tab/>
        <w:t>(ii)</w:t>
      </w:r>
      <w:r>
        <w:tab/>
        <w:t>the number of hours worked during the period to which the pay slip relates; and</w:t>
      </w:r>
    </w:p>
    <w:p>
      <w:pPr>
        <w:pStyle w:val="Indenti"/>
      </w:pPr>
      <w:r>
        <w:tab/>
        <w:t>(iii)</w:t>
      </w:r>
      <w:r>
        <w:tab/>
        <w:t xml:space="preserve">the amount of the payment made at that rate; </w:t>
      </w:r>
    </w:p>
    <w:p>
      <w:pPr>
        <w:pStyle w:val="Indenta"/>
      </w:pPr>
      <w:r>
        <w:tab/>
        <w:t>(i)</w:t>
      </w:r>
      <w:r>
        <w:tab/>
        <w:t>if the employee is paid at a weekly or an annual rate of pay — the rate as at the latest date to which the payment relates;</w:t>
      </w:r>
    </w:p>
    <w:p>
      <w:pPr>
        <w:pStyle w:val="Indenta"/>
      </w:pPr>
      <w:r>
        <w:tab/>
        <w:t>(j)</w:t>
      </w:r>
      <w:r>
        <w:tab/>
        <w:t xml:space="preserve">if the employer is required to make superannuation contributions for the benefit of the employee — </w:t>
      </w:r>
    </w:p>
    <w:p>
      <w:pPr>
        <w:pStyle w:val="Indenti"/>
      </w:pPr>
      <w:r>
        <w:tab/>
        <w:t>(i)</w:t>
      </w:r>
      <w:r>
        <w:tab/>
        <w:t>the amount of each contribution that the employer made during the period to which the pay slip relates and the name, or the name and number, of any fund to which the contribution was made; or</w:t>
      </w:r>
    </w:p>
    <w:p>
      <w:pPr>
        <w:pStyle w:val="Indenti"/>
      </w:pPr>
      <w:r>
        <w:tab/>
        <w:t>(ii)</w:t>
      </w:r>
      <w:r>
        <w:tab/>
        <w:t xml:space="preserve">the amounts of contributions that the employer is liable to make in relation to the period to which the pay slip relates, and the name, or the name and number, of any fund to which the contributions will be made. </w:t>
      </w:r>
    </w:p>
    <w:p>
      <w:pPr>
        <w:pStyle w:val="Subsection"/>
      </w:pPr>
      <w:r>
        <w:tab/>
        <w:t>(3)</w:t>
      </w:r>
      <w:r>
        <w:tab/>
        <w:t>An employer must not give a pay slip for the purposes of this section if the pay slip is false or misleading.</w:t>
      </w:r>
    </w:p>
    <w:p>
      <w:pPr>
        <w:pStyle w:val="Subsection"/>
        <w:keepNext/>
      </w:pPr>
      <w:r>
        <w:tab/>
        <w:t>(4)</w:t>
      </w:r>
      <w:r>
        <w:tab/>
        <w:t xml:space="preserve">Subsection (3) does not apply if — </w:t>
      </w:r>
    </w:p>
    <w:p>
      <w:pPr>
        <w:pStyle w:val="Indenta"/>
      </w:pPr>
      <w:r>
        <w:tab/>
        <w:t>(a)</w:t>
      </w:r>
      <w:r>
        <w:tab/>
        <w:t>the employer gives the pay slip without knowing, or being reasonably expected to know, that it is false or misleading; or</w:t>
      </w:r>
    </w:p>
    <w:p>
      <w:pPr>
        <w:pStyle w:val="Indenta"/>
      </w:pPr>
      <w:r>
        <w:tab/>
        <w:t>(b)</w:t>
      </w:r>
      <w:r>
        <w:tab/>
        <w:t>the pay slip is not false or misleading in a material particular.</w:t>
      </w:r>
    </w:p>
    <w:p>
      <w:pPr>
        <w:pStyle w:val="Footnotesection"/>
      </w:pPr>
      <w:r>
        <w:tab/>
        <w:t>[Section 49DA inserted: No. 30 of 2021 s. 21.]</w:t>
      </w:r>
    </w:p>
    <w:p>
      <w:pPr>
        <w:pStyle w:val="Heading5"/>
        <w:spacing w:before="240"/>
      </w:pPr>
      <w:bookmarkStart w:id="253" w:name="_Toc107476421"/>
      <w:bookmarkStart w:id="254" w:name="_Toc106373955"/>
      <w:r>
        <w:rPr>
          <w:rStyle w:val="CharSectno"/>
        </w:rPr>
        <w:t>49E</w:t>
      </w:r>
      <w:r>
        <w:t>.</w:t>
      </w:r>
      <w:r>
        <w:tab/>
        <w:t>Access to employment records</w:t>
      </w:r>
      <w:bookmarkEnd w:id="253"/>
      <w:bookmarkEnd w:id="254"/>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employment records are required to be kept under section 49D; and</w:t>
      </w:r>
    </w:p>
    <w:p>
      <w:pPr>
        <w:pStyle w:val="Indenta"/>
      </w:pPr>
      <w:r>
        <w:tab/>
        <w:t>(b)</w:t>
      </w:r>
      <w:r>
        <w:tab/>
        <w:t>is not affected by the fact that the employee is no longer employed by the employer or that the industrial instrument no longer applies to the employee;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the employee’s representative; and</w:t>
      </w:r>
    </w:p>
    <w:p>
      <w:pPr>
        <w:pStyle w:val="Defpara"/>
      </w:pPr>
      <w:r>
        <w:tab/>
        <w:t>(c)</w:t>
      </w:r>
      <w:r>
        <w:tab/>
        <w:t>a person authorised in writing by the employee; and</w:t>
      </w:r>
    </w:p>
    <w:p>
      <w:pPr>
        <w:pStyle w:val="Defpara"/>
      </w:pPr>
      <w:r>
        <w:tab/>
        <w:t>(d)</w:t>
      </w:r>
      <w:r>
        <w:tab/>
        <w:t>a Registrar’s Department officer authorised in writing by the Registrar.</w:t>
      </w:r>
    </w:p>
    <w:p>
      <w:pPr>
        <w:pStyle w:val="Footnotesection"/>
        <w:ind w:left="890" w:hanging="890"/>
      </w:pPr>
      <w:r>
        <w:tab/>
        <w:t>[Section 49E inserted: No. 20 of 2002 s. 146(1); amended: No. 39 of 2018 s. 29; No. 30 of 2021 s. 22 and 77(7) and (13).]</w:t>
      </w:r>
    </w:p>
    <w:p>
      <w:pPr>
        <w:pStyle w:val="Heading5"/>
      </w:pPr>
      <w:bookmarkStart w:id="255" w:name="_Toc107476422"/>
      <w:bookmarkStart w:id="256" w:name="_Toc106373956"/>
      <w:r>
        <w:rPr>
          <w:rStyle w:val="CharSectno"/>
        </w:rPr>
        <w:t>49F</w:t>
      </w:r>
      <w:r>
        <w:t>.</w:t>
      </w:r>
      <w:r>
        <w:tab/>
        <w:t>Enforcement of this Division</w:t>
      </w:r>
      <w:bookmarkEnd w:id="255"/>
      <w:bookmarkEnd w:id="256"/>
    </w:p>
    <w:p>
      <w:pPr>
        <w:pStyle w:val="Subsection"/>
      </w:pPr>
      <w:r>
        <w:tab/>
      </w:r>
      <w:r>
        <w:tab/>
        <w:t>A contravention of section 49D(1), (6) or (8), 49DA(1) or (3) or 49E(1) is not an offence but those subsections are civil penalty provisions for the purposes of section 83E.</w:t>
      </w:r>
    </w:p>
    <w:p>
      <w:pPr>
        <w:pStyle w:val="Footnotesection"/>
      </w:pPr>
      <w:r>
        <w:tab/>
        <w:t>[Section 49F inserted: No. 20 of 2002 s. 146(1); amended: No. 30 of 2021 s. 23.]</w:t>
      </w:r>
    </w:p>
    <w:p>
      <w:pPr>
        <w:pStyle w:val="Heading3"/>
        <w:spacing w:before="300"/>
      </w:pPr>
      <w:bookmarkStart w:id="257" w:name="_Toc107322294"/>
      <w:bookmarkStart w:id="258" w:name="_Toc107476423"/>
      <w:bookmarkStart w:id="259" w:name="_Toc105760038"/>
      <w:bookmarkStart w:id="260" w:name="_Toc106195283"/>
      <w:bookmarkStart w:id="261" w:name="_Toc106367226"/>
      <w:bookmarkStart w:id="262" w:name="_Toc106373957"/>
      <w:r>
        <w:rPr>
          <w:rStyle w:val="CharDivNo"/>
        </w:rPr>
        <w:t>Division 2G</w:t>
      </w:r>
      <w:r>
        <w:t xml:space="preserve"> — </w:t>
      </w:r>
      <w:r>
        <w:rPr>
          <w:rStyle w:val="CharDivText"/>
        </w:rPr>
        <w:t>Right of entry and inspection by authorised representatives</w:t>
      </w:r>
      <w:bookmarkEnd w:id="257"/>
      <w:bookmarkEnd w:id="258"/>
      <w:bookmarkEnd w:id="259"/>
      <w:bookmarkEnd w:id="260"/>
      <w:bookmarkEnd w:id="261"/>
      <w:bookmarkEnd w:id="262"/>
    </w:p>
    <w:p>
      <w:pPr>
        <w:pStyle w:val="Footnoteheading"/>
        <w:tabs>
          <w:tab w:val="left" w:pos="851"/>
        </w:tabs>
      </w:pPr>
      <w:r>
        <w:tab/>
        <w:t>[Heading inserted: No. 20 of 2002 s. 146(1).]</w:t>
      </w:r>
    </w:p>
    <w:p>
      <w:pPr>
        <w:pStyle w:val="Heading5"/>
      </w:pPr>
      <w:bookmarkStart w:id="263" w:name="_Toc107476424"/>
      <w:bookmarkStart w:id="264" w:name="_Toc106373958"/>
      <w:r>
        <w:rPr>
          <w:rStyle w:val="CharSectno"/>
        </w:rPr>
        <w:t>49G</w:t>
      </w:r>
      <w:r>
        <w:t>.</w:t>
      </w:r>
      <w:r>
        <w:tab/>
        <w:t>Terms used</w:t>
      </w:r>
      <w:bookmarkEnd w:id="263"/>
      <w:bookmarkEnd w:id="264"/>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No. 20 of 2002 s. 146(1).]</w:t>
      </w:r>
    </w:p>
    <w:p>
      <w:pPr>
        <w:pStyle w:val="Heading5"/>
      </w:pPr>
      <w:bookmarkStart w:id="265" w:name="_Toc107476425"/>
      <w:bookmarkStart w:id="266" w:name="_Toc106373959"/>
      <w:r>
        <w:rPr>
          <w:rStyle w:val="CharSectno"/>
        </w:rPr>
        <w:t>49H</w:t>
      </w:r>
      <w:r>
        <w:t>.</w:t>
      </w:r>
      <w:r>
        <w:tab/>
        <w:t>Entry for discussions with employees</w:t>
      </w:r>
      <w:bookmarkEnd w:id="265"/>
      <w:bookmarkEnd w:id="266"/>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No. 20 of 2002 s. 146(1).]</w:t>
      </w:r>
    </w:p>
    <w:p>
      <w:pPr>
        <w:pStyle w:val="Heading5"/>
      </w:pPr>
      <w:bookmarkStart w:id="267" w:name="_Toc107476426"/>
      <w:bookmarkStart w:id="268" w:name="_Toc106373960"/>
      <w:r>
        <w:rPr>
          <w:rStyle w:val="CharSectno"/>
        </w:rPr>
        <w:t>49I</w:t>
      </w:r>
      <w:r>
        <w:t>.</w:t>
      </w:r>
      <w:r>
        <w:tab/>
        <w:t>Entry to investigate certain breaches</w:t>
      </w:r>
      <w:bookmarkEnd w:id="267"/>
      <w:bookmarkEnd w:id="268"/>
    </w:p>
    <w:p>
      <w:pPr>
        <w:pStyle w:val="Subsection"/>
      </w:pPr>
      <w:r>
        <w:tab/>
        <w:t>(1)</w:t>
      </w:r>
      <w:r>
        <w:tab/>
        <w:t xml:space="preserve">An authorised representative of an organisation may enter, during working hours, any premises where relevant employees work, for the purpose of investigating any suspected breach of this Act, the LSL Act, the MCE Act, the </w:t>
      </w:r>
      <w:r>
        <w:rPr>
          <w:i/>
        </w:rPr>
        <w:t>Work Health and Safety Act 2020</w:t>
      </w:r>
      <w:r>
        <w:t xml:space="preserve">, the </w:t>
      </w:r>
      <w:r>
        <w:rPr>
          <w:i/>
        </w:rPr>
        <w:t>Construction Industry Portable Paid Long Service Leave Act 1985</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and take photographs, films and audio, video or other recordings of,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No. 20 of 2002 s. 146(1); amended: Gazette 15 Aug 2003 p. 3686; No. 36 of 2020 s. 361; No. 30 of 2021 s. 24.]</w:t>
      </w:r>
    </w:p>
    <w:p>
      <w:pPr>
        <w:pStyle w:val="Heading5"/>
      </w:pPr>
      <w:bookmarkStart w:id="269" w:name="_Toc107476427"/>
      <w:bookmarkStart w:id="270" w:name="_Toc106373961"/>
      <w:r>
        <w:rPr>
          <w:rStyle w:val="CharSectno"/>
        </w:rPr>
        <w:t>49J</w:t>
      </w:r>
      <w:r>
        <w:t>.</w:t>
      </w:r>
      <w:r>
        <w:tab/>
        <w:t>Authorising authorised representatives</w:t>
      </w:r>
      <w:bookmarkEnd w:id="269"/>
      <w:bookmarkEnd w:id="270"/>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keepNext/>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keepNext/>
      </w:pPr>
      <w:r>
        <w:tab/>
        <w:t>(9)</w:t>
      </w:r>
      <w:r>
        <w:tab/>
        <w:t>A person to whom an authority has been issued under this section must, within 14 days after the revocation of the authority, return the authority to the Registrar.</w:t>
      </w:r>
    </w:p>
    <w:p>
      <w:pPr>
        <w:pStyle w:val="Footnotesection"/>
      </w:pPr>
      <w:r>
        <w:tab/>
        <w:t>[Section 49J inserted: No. 20 of 2002 s. 146(1); amended: No. 36 of 2006 s. 8.]</w:t>
      </w:r>
    </w:p>
    <w:p>
      <w:pPr>
        <w:pStyle w:val="Heading5"/>
      </w:pPr>
      <w:bookmarkStart w:id="271" w:name="_Toc107476428"/>
      <w:bookmarkStart w:id="272" w:name="_Toc90558233"/>
      <w:bookmarkStart w:id="273" w:name="_Toc95209314"/>
      <w:bookmarkStart w:id="274" w:name="_Toc106373962"/>
      <w:r>
        <w:rPr>
          <w:rStyle w:val="CharSectno"/>
        </w:rPr>
        <w:t>49K</w:t>
      </w:r>
      <w:r>
        <w:t>.</w:t>
      </w:r>
      <w:r>
        <w:tab/>
        <w:t>No entry to premises used for habitation</w:t>
      </w:r>
      <w:bookmarkEnd w:id="271"/>
      <w:bookmarkEnd w:id="272"/>
      <w:bookmarkEnd w:id="273"/>
      <w:bookmarkEnd w:id="274"/>
    </w:p>
    <w:p>
      <w:pPr>
        <w:pStyle w:val="Subsection"/>
      </w:pPr>
      <w:r>
        <w:tab/>
        <w:t>(1)</w:t>
      </w:r>
      <w:r>
        <w:tab/>
        <w:t>Except as provided in subsection (3), an authorised representative does not have authority under this Division to enter any part of premises principally used for habitation by an employer or a member of the employer’s household (</w:t>
      </w:r>
      <w:r>
        <w:rPr>
          <w:rStyle w:val="CharDefText"/>
        </w:rPr>
        <w:t>habitation premises</w:t>
      </w:r>
      <w:r>
        <w:t>).</w:t>
      </w:r>
    </w:p>
    <w:p>
      <w:pPr>
        <w:pStyle w:val="Subsection"/>
      </w:pPr>
      <w:r>
        <w:tab/>
        <w:t>(2)</w:t>
      </w:r>
      <w:r>
        <w:tab/>
        <w:t>An authorised representative may apply to the Commission for an order permitting the authorised representative to enter habitation premises under section 49I(1).</w:t>
      </w:r>
    </w:p>
    <w:p>
      <w:pPr>
        <w:pStyle w:val="Subsection"/>
      </w:pPr>
      <w:r>
        <w:tab/>
        <w:t>(3)</w:t>
      </w:r>
      <w:r>
        <w:tab/>
        <w:t>The Commission may make the order only if it is satisfied that exceptional circumstances exist warranting the making of the order.</w:t>
      </w:r>
    </w:p>
    <w:p>
      <w:pPr>
        <w:pStyle w:val="Footnotesection"/>
        <w:spacing w:before="80"/>
        <w:ind w:left="890" w:hanging="890"/>
      </w:pPr>
      <w:r>
        <w:tab/>
        <w:t>[Section 49K inserted: No. 30 of 2021 s. 25.]</w:t>
      </w:r>
    </w:p>
    <w:p>
      <w:pPr>
        <w:pStyle w:val="Heading5"/>
        <w:spacing w:before="260"/>
      </w:pPr>
      <w:bookmarkStart w:id="275" w:name="_Toc107476429"/>
      <w:bookmarkStart w:id="276" w:name="_Toc106373963"/>
      <w:r>
        <w:rPr>
          <w:rStyle w:val="CharSectno"/>
        </w:rPr>
        <w:t>49L</w:t>
      </w:r>
      <w:r>
        <w:t>.</w:t>
      </w:r>
      <w:r>
        <w:tab/>
        <w:t>Authority must be shown on request</w:t>
      </w:r>
      <w:bookmarkEnd w:id="275"/>
      <w:bookmarkEnd w:id="276"/>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pPr>
      <w:r>
        <w:tab/>
        <w:t>(b)</w:t>
      </w:r>
      <w:r>
        <w:tab/>
        <w:t>the occupier requests the person to show the person’s authority,</w:t>
      </w:r>
    </w:p>
    <w:p>
      <w:pPr>
        <w:pStyle w:val="Subsection"/>
      </w:pPr>
      <w:r>
        <w:tab/>
      </w:r>
      <w:r>
        <w:tab/>
        <w:t>the person is not entitled under that section to enter or remain on the premises unless the person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No. 20 of 2002 s. 146(1); amended: No. 30 of 2021 s. 77(8) and (9).]</w:t>
      </w:r>
    </w:p>
    <w:p>
      <w:pPr>
        <w:pStyle w:val="Heading5"/>
        <w:spacing w:before="260"/>
      </w:pPr>
      <w:bookmarkStart w:id="277" w:name="_Toc107476430"/>
      <w:bookmarkStart w:id="278" w:name="_Toc106373964"/>
      <w:r>
        <w:rPr>
          <w:rStyle w:val="CharSectno"/>
        </w:rPr>
        <w:t>49M</w:t>
      </w:r>
      <w:r>
        <w:t>.</w:t>
      </w:r>
      <w:r>
        <w:tab/>
        <w:t>Obstructing etc. rights etc. under this Division etc.</w:t>
      </w:r>
      <w:bookmarkEnd w:id="277"/>
      <w:bookmarkEnd w:id="278"/>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No. 20 of 2002 s. 146(1).]</w:t>
      </w:r>
    </w:p>
    <w:p>
      <w:pPr>
        <w:pStyle w:val="Heading5"/>
        <w:keepLines w:val="0"/>
        <w:spacing w:before="260"/>
      </w:pPr>
      <w:bookmarkStart w:id="279" w:name="_Toc107476431"/>
      <w:bookmarkStart w:id="280" w:name="_Toc106373965"/>
      <w:r>
        <w:rPr>
          <w:rStyle w:val="CharSectno"/>
        </w:rPr>
        <w:t>49N</w:t>
      </w:r>
      <w:r>
        <w:t>.</w:t>
      </w:r>
      <w:r>
        <w:tab/>
        <w:t>Entry and inspection, provisions in awards etc. as to</w:t>
      </w:r>
      <w:bookmarkEnd w:id="279"/>
      <w:bookmarkEnd w:id="280"/>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No. 20 of 2002 s. 146(1); amended: No. 50 of 2016 s. 16.]</w:t>
      </w:r>
    </w:p>
    <w:p>
      <w:pPr>
        <w:pStyle w:val="Heading5"/>
        <w:keepNext w:val="0"/>
        <w:keepLines w:val="0"/>
        <w:spacing w:before="260"/>
      </w:pPr>
      <w:bookmarkStart w:id="281" w:name="_Toc107476432"/>
      <w:bookmarkStart w:id="282" w:name="_Toc106373966"/>
      <w:r>
        <w:rPr>
          <w:rStyle w:val="CharSectno"/>
        </w:rPr>
        <w:t>49O</w:t>
      </w:r>
      <w:r>
        <w:t>.</w:t>
      </w:r>
      <w:r>
        <w:tab/>
        <w:t>Enforcement of this Division</w:t>
      </w:r>
      <w:bookmarkEnd w:id="281"/>
      <w:bookmarkEnd w:id="282"/>
    </w:p>
    <w:p>
      <w:pPr>
        <w:pStyle w:val="Subsection"/>
      </w:pPr>
      <w:r>
        <w:tab/>
      </w:r>
      <w:r>
        <w:tab/>
        <w:t>A contravention of section 49J(9) or 49M(1), (2) or (3) is not an offence but those subsections are civil penalty provisions for the purposes of section 83E.</w:t>
      </w:r>
    </w:p>
    <w:p>
      <w:pPr>
        <w:pStyle w:val="Footnotesection"/>
        <w:keepLines w:val="0"/>
        <w:ind w:left="890" w:hanging="890"/>
      </w:pPr>
      <w:r>
        <w:tab/>
        <w:t>[Section 49O inserted: No. 20 of 2002 s. 146(1).]</w:t>
      </w:r>
    </w:p>
    <w:p>
      <w:pPr>
        <w:pStyle w:val="Heading3"/>
        <w:keepLines/>
        <w:spacing w:before="280"/>
      </w:pPr>
      <w:bookmarkStart w:id="283" w:name="_Toc107322304"/>
      <w:bookmarkStart w:id="284" w:name="_Toc107476433"/>
      <w:bookmarkStart w:id="285" w:name="_Toc105760048"/>
      <w:bookmarkStart w:id="286" w:name="_Toc106195293"/>
      <w:bookmarkStart w:id="287" w:name="_Toc106367236"/>
      <w:bookmarkStart w:id="288" w:name="_Toc106373967"/>
      <w:r>
        <w:rPr>
          <w:rStyle w:val="CharDivNo"/>
        </w:rPr>
        <w:t>Division 3</w:t>
      </w:r>
      <w:r>
        <w:rPr>
          <w:snapToGrid w:val="0"/>
        </w:rPr>
        <w:t> — </w:t>
      </w:r>
      <w:r>
        <w:rPr>
          <w:rStyle w:val="CharDivText"/>
        </w:rPr>
        <w:t>General Orders</w:t>
      </w:r>
      <w:bookmarkEnd w:id="283"/>
      <w:bookmarkEnd w:id="284"/>
      <w:bookmarkEnd w:id="285"/>
      <w:bookmarkEnd w:id="286"/>
      <w:bookmarkEnd w:id="287"/>
      <w:bookmarkEnd w:id="288"/>
    </w:p>
    <w:p>
      <w:pPr>
        <w:pStyle w:val="Heading5"/>
        <w:rPr>
          <w:snapToGrid w:val="0"/>
        </w:rPr>
      </w:pPr>
      <w:bookmarkStart w:id="289" w:name="_Toc107476434"/>
      <w:bookmarkStart w:id="290" w:name="_Toc106373968"/>
      <w:r>
        <w:rPr>
          <w:rStyle w:val="CharSectno"/>
        </w:rPr>
        <w:t>50</w:t>
      </w:r>
      <w:r>
        <w:rPr>
          <w:snapToGrid w:val="0"/>
        </w:rPr>
        <w:t>.</w:t>
      </w:r>
      <w:r>
        <w:rPr>
          <w:snapToGrid w:val="0"/>
        </w:rPr>
        <w:tab/>
        <w:t>General Orders, nature of and making</w:t>
      </w:r>
      <w:bookmarkEnd w:id="289"/>
      <w:bookmarkEnd w:id="290"/>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keepNext/>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 xml:space="preserve">but </w:t>
      </w:r>
      <w:r>
        <w:t>does</w:t>
      </w:r>
      <w:r>
        <w:rPr>
          <w:snapToGrid w:val="0"/>
        </w:rPr>
        <w:t xml:space="preserve">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Subsection"/>
      </w:pPr>
      <w:r>
        <w:tab/>
        <w:t>(5)</w:t>
      </w:r>
      <w:r>
        <w:tab/>
        <w:t xml:space="preserve">A General Order that varies the scope of a private sector award must specify that it extends to and binds — </w:t>
      </w:r>
    </w:p>
    <w:p>
      <w:pPr>
        <w:pStyle w:val="Indenta"/>
      </w:pPr>
      <w:r>
        <w:tab/>
        <w:t>(a)</w:t>
      </w:r>
      <w:r>
        <w:tab/>
        <w:t>employers of a class or classes specified in the award, whether or not the employers are also specified by name in the award; and</w:t>
      </w:r>
    </w:p>
    <w:p>
      <w:pPr>
        <w:pStyle w:val="Indenta"/>
      </w:pPr>
      <w:r>
        <w:tab/>
        <w:t>(b)</w:t>
      </w:r>
      <w:r>
        <w:tab/>
        <w:t xml:space="preserve">employees — </w:t>
      </w:r>
    </w:p>
    <w:p>
      <w:pPr>
        <w:pStyle w:val="Indenti"/>
      </w:pPr>
      <w:r>
        <w:tab/>
        <w:t>(i)</w:t>
      </w:r>
      <w:r>
        <w:tab/>
        <w:t>of employers referred to in paragraph (a); and</w:t>
      </w:r>
    </w:p>
    <w:p>
      <w:pPr>
        <w:pStyle w:val="Indenti"/>
      </w:pPr>
      <w:r>
        <w:tab/>
        <w:t>(ii)</w:t>
      </w:r>
      <w:r>
        <w:tab/>
        <w:t>of a class or classes specified in the award.</w:t>
      </w:r>
    </w:p>
    <w:p>
      <w:pPr>
        <w:pStyle w:val="Subsection"/>
      </w:pPr>
      <w:r>
        <w:tab/>
        <w:t>(6)</w:t>
      </w:r>
      <w:r>
        <w:tab/>
        <w:t xml:space="preserve">For the purposes of subsection (5)(a) and (b)(ii), the class may be described by reference to — </w:t>
      </w:r>
    </w:p>
    <w:p>
      <w:pPr>
        <w:pStyle w:val="Indenta"/>
      </w:pPr>
      <w:r>
        <w:tab/>
        <w:t>(a)</w:t>
      </w:r>
      <w:r>
        <w:tab/>
        <w:t xml:space="preserve">a particular industry or part of an industry; or </w:t>
      </w:r>
    </w:p>
    <w:p>
      <w:pPr>
        <w:pStyle w:val="Indenta"/>
      </w:pPr>
      <w:r>
        <w:tab/>
        <w:t>(b)</w:t>
      </w:r>
      <w:r>
        <w:tab/>
        <w:t>a particular kind of work.</w:t>
      </w:r>
    </w:p>
    <w:p>
      <w:pPr>
        <w:pStyle w:val="Subsection"/>
        <w:rPr>
          <w:snapToGrid w:val="0"/>
        </w:rPr>
      </w:pPr>
      <w:r>
        <w:rPr>
          <w:snapToGrid w:val="0"/>
        </w:rPr>
        <w:tab/>
        <w:t>(7)</w:t>
      </w:r>
      <w:r>
        <w:rPr>
          <w:snapToGrid w:val="0"/>
        </w:rPr>
        <w:tab/>
        <w:t>A General Order must not be made in respect of preference of employment at the time of, or during, employment by reason of being or not being a member of an organisation.</w:t>
      </w:r>
    </w:p>
    <w:p>
      <w:pPr>
        <w:pStyle w:val="Ednotesubsection"/>
        <w:spacing w:before="120"/>
      </w:pPr>
      <w:r>
        <w:tab/>
      </w:r>
      <w:r>
        <w:tab/>
        <w:t>[Section 50 amended: No. 94 of 1984 s. 32 and 66; No. 15 of 1993 s. 18 and 31; No. 20 of 2002 s. 179 and 190(4); No. 36 of 2006 s. 13; No. 53 of 2011 s. 48; No. 30 of 2021 s. 26 and 76(2) and (8).]</w:t>
      </w:r>
    </w:p>
    <w:p>
      <w:pPr>
        <w:pStyle w:val="Heading5"/>
      </w:pPr>
      <w:bookmarkStart w:id="291" w:name="_Toc107476435"/>
      <w:bookmarkStart w:id="292" w:name="_Toc106373969"/>
      <w:r>
        <w:rPr>
          <w:rStyle w:val="CharSectno"/>
        </w:rPr>
        <w:t>50A</w:t>
      </w:r>
      <w:r>
        <w:t>.</w:t>
      </w:r>
      <w:r>
        <w:tab/>
        <w:t>Rates of pay etc. for MCE Act and awards, annual State Wage order as to</w:t>
      </w:r>
      <w:bookmarkEnd w:id="291"/>
      <w:bookmarkEnd w:id="292"/>
    </w:p>
    <w:p>
      <w:pPr>
        <w:pStyle w:val="Subsection"/>
        <w:rPr>
          <w:snapToGrid w:val="0"/>
        </w:rPr>
      </w:pPr>
      <w:r>
        <w:rPr>
          <w:snapToGrid w:val="0"/>
        </w:rPr>
        <w:tab/>
        <w:t>(1AA)</w:t>
      </w:r>
      <w:r>
        <w:rPr>
          <w:snapToGrid w:val="0"/>
        </w:rPr>
        <w:tab/>
        <w:t>In this section —</w:t>
      </w:r>
    </w:p>
    <w:p>
      <w:pPr>
        <w:pStyle w:val="Defstart"/>
      </w:pPr>
      <w:r>
        <w:tab/>
      </w:r>
      <w:r>
        <w:rPr>
          <w:rStyle w:val="CharDefText"/>
        </w:rPr>
        <w:t>instrument</w:t>
      </w:r>
      <w:r>
        <w:rPr>
          <w:rStyle w:val="CharDefText"/>
        </w:rPr>
        <w:noBreakHyphen/>
        <w:t>governed employee with a disability</w:t>
      </w:r>
      <w:r>
        <w:t xml:space="preserve"> means an employee — </w:t>
      </w:r>
    </w:p>
    <w:p>
      <w:pPr>
        <w:pStyle w:val="Defpara"/>
      </w:pPr>
      <w:r>
        <w:tab/>
        <w:t>(a)</w:t>
      </w:r>
      <w:r>
        <w:tab/>
        <w:t>whose contract of employment is governed by an industrial instrument that includes a SWIIP that incorporates the SWS; and</w:t>
      </w:r>
    </w:p>
    <w:p>
      <w:pPr>
        <w:pStyle w:val="Defpara"/>
      </w:pPr>
      <w:r>
        <w:tab/>
        <w:t>(b)</w:t>
      </w:r>
      <w:r>
        <w:tab/>
        <w:t>whose productive capacity has been assessed under the SWS as being reduced because of a disability; and</w:t>
      </w:r>
    </w:p>
    <w:p>
      <w:pPr>
        <w:pStyle w:val="Defpara"/>
      </w:pPr>
      <w:r>
        <w:tab/>
        <w:t>(c)</w:t>
      </w:r>
      <w:r>
        <w:tab/>
        <w:t xml:space="preserve">who is not employed by a supported employment service as defined in the </w:t>
      </w:r>
      <w:r>
        <w:rPr>
          <w:i/>
        </w:rPr>
        <w:t>Disability Services Act 1986</w:t>
      </w:r>
      <w:r>
        <w:t xml:space="preserve"> (Commonwealth) section 7; and</w:t>
      </w:r>
    </w:p>
    <w:p>
      <w:pPr>
        <w:pStyle w:val="Defpara"/>
      </w:pPr>
      <w:r>
        <w:tab/>
        <w:t>(d)</w:t>
      </w:r>
      <w:r>
        <w:tab/>
        <w:t>who is being paid a weekly rate of pay determined by the SWS under the SWIIP.</w:t>
      </w:r>
    </w:p>
    <w:p>
      <w:pPr>
        <w:pStyle w:val="Subsection"/>
      </w:pPr>
      <w:r>
        <w:tab/>
        <w:t>(1)</w:t>
      </w:r>
      <w:r>
        <w:tab/>
        <w:t xml:space="preserve">The Commission must before 1 July in each year, of its own motion make a General Order (the </w:t>
      </w:r>
      <w:r>
        <w:rPr>
          <w:rStyle w:val="CharDefText"/>
        </w:rPr>
        <w:t>State Wage order</w:t>
      </w:r>
      <w:r>
        <w:t>) —</w:t>
      </w:r>
    </w:p>
    <w:p>
      <w:pPr>
        <w:pStyle w:val="Indenta"/>
      </w:pPr>
      <w:r>
        <w:tab/>
        <w:t>(a)</w:t>
      </w:r>
      <w:r>
        <w:tab/>
        <w:t>setting the following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i"/>
      </w:pPr>
      <w:r>
        <w:tab/>
        <w:t>(iii)</w:t>
      </w:r>
      <w:r>
        <w:tab/>
        <w:t>the minimum amount payable under the MCE Act section 17(2);</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 xml:space="preserve">setting out a statement of principles to be applied and followed in relation to the exercise of jurisdiction under this Act to — </w:t>
      </w:r>
    </w:p>
    <w:p>
      <w:pPr>
        <w:pStyle w:val="Indenti"/>
      </w:pPr>
      <w:r>
        <w:tab/>
        <w:t>(i)</w:t>
      </w:r>
      <w:r>
        <w:tab/>
        <w:t>set the wages, salaries, allowances or other remuneration of employees or the prices to be paid in respect of their employment; and</w:t>
      </w:r>
    </w:p>
    <w:p>
      <w:pPr>
        <w:pStyle w:val="Indenti"/>
      </w:pPr>
      <w:r>
        <w:tab/>
        <w:t>(ii)</w:t>
      </w:r>
      <w:r>
        <w:tab/>
        <w:t xml:space="preserve">ensure employees receive equal remuneration. </w:t>
      </w:r>
    </w:p>
    <w:p>
      <w:pPr>
        <w:pStyle w:val="Subsection"/>
      </w:pPr>
      <w:r>
        <w:tab/>
        <w:t>(1A)</w:t>
      </w:r>
      <w:r>
        <w:tab/>
        <w:t>The amount set by the Commission under subsection (1)(a)(iii) must be the same as that set by the FW Commission in the national minimum wage order under the FW Act section 285(2)(c) for an eligible employee whose productive capacity is, under the SWS, assessed as reduced because of a disability.</w:t>
      </w:r>
    </w:p>
    <w:p>
      <w:pPr>
        <w:pStyle w:val="Subsection"/>
      </w:pPr>
      <w:r>
        <w:tab/>
        <w:t>(1B)</w:t>
      </w:r>
      <w:r>
        <w:tab/>
        <w:t>For the purposes of subsection (1)(b), the Commission must, in relation to an instrument</w:t>
      </w:r>
      <w:r>
        <w:noBreakHyphen/>
        <w:t xml:space="preserve">governed employee with a disability, order the highest of the following — </w:t>
      </w:r>
    </w:p>
    <w:p>
      <w:pPr>
        <w:pStyle w:val="Indenta"/>
      </w:pPr>
      <w:r>
        <w:tab/>
        <w:t>(a)</w:t>
      </w:r>
      <w:r>
        <w:tab/>
        <w:t>that the minimum amount payable is to be the same as in the previous State Wage order;</w:t>
      </w:r>
    </w:p>
    <w:p>
      <w:pPr>
        <w:pStyle w:val="Indenta"/>
      </w:pPr>
      <w:r>
        <w:tab/>
        <w:t>(b)</w:t>
      </w:r>
      <w:r>
        <w:tab/>
        <w:t>that the minimum amount payable is to be the same as that set by the FW Commission in the national minimum wage order under the FW Act section 285(2)(c) for an eligible employee whose productive capacity is, under the SWS, assessed as reduced because of a disability.</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must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w:t>
      </w:r>
    </w:p>
    <w:p>
      <w:pPr>
        <w:pStyle w:val="Indenta"/>
      </w:pPr>
      <w:r>
        <w:tab/>
      </w:r>
      <w:r>
        <w:tab/>
        <w:t>and</w:t>
      </w:r>
    </w:p>
    <w:p>
      <w:pPr>
        <w:pStyle w:val="Indenta"/>
      </w:pPr>
      <w:r>
        <w:tab/>
        <w:t>(b)</w:t>
      </w:r>
      <w:r>
        <w:tab/>
        <w:t>the state of the economy of Western Australia and the likely effect of its decision on that economy and, in particular, on the level of employment, inflation and productivity in Western Australia;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must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must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No. 36 of 2006 s. 14; amended: No. 44 of 2008 s. 53(7)</w:t>
      </w:r>
      <w:r>
        <w:noBreakHyphen/>
        <w:t>(9); No. 30 of 2021 s. 27 and 76(2).]</w:t>
      </w:r>
    </w:p>
    <w:p>
      <w:pPr>
        <w:pStyle w:val="Heading5"/>
        <w:spacing w:before="260"/>
      </w:pPr>
      <w:bookmarkStart w:id="293" w:name="_Toc107476436"/>
      <w:bookmarkStart w:id="294" w:name="_Toc106373970"/>
      <w:r>
        <w:rPr>
          <w:rStyle w:val="CharSectno"/>
        </w:rPr>
        <w:t>50B</w:t>
      </w:r>
      <w:r>
        <w:t>.</w:t>
      </w:r>
      <w:r>
        <w:tab/>
        <w:t>Apprentices, matters relevant to setting rates for in State Wage order</w:t>
      </w:r>
      <w:bookmarkEnd w:id="293"/>
      <w:bookmarkEnd w:id="294"/>
    </w:p>
    <w:p>
      <w:pPr>
        <w:pStyle w:val="Subsection"/>
      </w:pPr>
      <w:r>
        <w:tab/>
        <w:t>(1)</w:t>
      </w:r>
      <w:r>
        <w:tab/>
        <w:t>For the purposes of section 50A(1)(a)(ii),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must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No. 36 of 2006 s. 14; amended: No. 44 of 2008 s. 53(10)</w:t>
      </w:r>
      <w:r>
        <w:noBreakHyphen/>
        <w:t>(13); No. 30 of 2021 s. 28 and 76(2).]</w:t>
      </w:r>
    </w:p>
    <w:p>
      <w:pPr>
        <w:pStyle w:val="Ednotesection"/>
      </w:pPr>
      <w:r>
        <w:t>[</w:t>
      </w:r>
      <w:r>
        <w:rPr>
          <w:b/>
        </w:rPr>
        <w:t>51.</w:t>
      </w:r>
      <w:r>
        <w:tab/>
        <w:t>Deleted: No. 36 of 2006 s. 15.]</w:t>
      </w:r>
    </w:p>
    <w:p>
      <w:pPr>
        <w:pStyle w:val="Heading5"/>
        <w:rPr>
          <w:snapToGrid w:val="0"/>
        </w:rPr>
      </w:pPr>
      <w:bookmarkStart w:id="295" w:name="_Toc107476437"/>
      <w:bookmarkStart w:id="296" w:name="_Toc106373971"/>
      <w:r>
        <w:rPr>
          <w:rStyle w:val="CharSectno"/>
        </w:rPr>
        <w:t>51A</w:t>
      </w:r>
      <w:r>
        <w:rPr>
          <w:snapToGrid w:val="0"/>
        </w:rPr>
        <w:t>.</w:t>
      </w:r>
      <w:r>
        <w:rPr>
          <w:snapToGrid w:val="0"/>
        </w:rPr>
        <w:tab/>
        <w:t>Public sector discipline, General Orders as to</w:t>
      </w:r>
      <w:bookmarkEnd w:id="295"/>
      <w:bookmarkEnd w:id="296"/>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related matter;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must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must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No. 94 of 1984 s. 33; amended: No. 53 of 2011 s. 48; No. 30 of 2021 s. 76(2) and 78(7).]</w:t>
      </w:r>
    </w:p>
    <w:p>
      <w:pPr>
        <w:pStyle w:val="Heading5"/>
      </w:pPr>
      <w:bookmarkStart w:id="297" w:name="_Toc107476438"/>
      <w:bookmarkStart w:id="298" w:name="_Toc106373972"/>
      <w:r>
        <w:rPr>
          <w:rStyle w:val="CharSectno"/>
        </w:rPr>
        <w:t>51B</w:t>
      </w:r>
      <w:r>
        <w:t>.</w:t>
      </w:r>
      <w:r>
        <w:tab/>
        <w:t>General Order not to set minimum condition set by MCE Act</w:t>
      </w:r>
      <w:bookmarkEnd w:id="297"/>
      <w:bookmarkEnd w:id="298"/>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No. 20 of 2002 s. 180; amended: No. 36 of 2006 s. 16.]</w:t>
      </w:r>
    </w:p>
    <w:p>
      <w:pPr>
        <w:pStyle w:val="Heading5"/>
        <w:spacing w:before="260"/>
      </w:pPr>
      <w:bookmarkStart w:id="299" w:name="_Toc107476439"/>
      <w:bookmarkStart w:id="300" w:name="_Toc106373973"/>
      <w:r>
        <w:rPr>
          <w:rStyle w:val="CharSectno"/>
        </w:rPr>
        <w:t>51BA</w:t>
      </w:r>
      <w:r>
        <w:t>.</w:t>
      </w:r>
      <w:r>
        <w:tab/>
        <w:t>Notice of hearing to make General Order</w:t>
      </w:r>
      <w:bookmarkEnd w:id="299"/>
      <w:bookmarkEnd w:id="300"/>
    </w:p>
    <w:p>
      <w:pPr>
        <w:pStyle w:val="Subsection"/>
      </w:pPr>
      <w:r>
        <w:tab/>
        <w:t>(1)</w:t>
      </w:r>
      <w:r>
        <w:tab/>
        <w:t>The Commission must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No. 36 of 2006 s. 17; amended: No. 53 of 2011 s. 48; No. 30 of 2021 s. 76(2).]</w:t>
      </w:r>
    </w:p>
    <w:p>
      <w:pPr>
        <w:pStyle w:val="Heading5"/>
        <w:keepLines w:val="0"/>
        <w:spacing w:before="260"/>
      </w:pPr>
      <w:bookmarkStart w:id="301" w:name="_Toc107476440"/>
      <w:bookmarkStart w:id="302" w:name="_Toc106373974"/>
      <w:r>
        <w:rPr>
          <w:rStyle w:val="CharSectno"/>
        </w:rPr>
        <w:t>51BB</w:t>
      </w:r>
      <w:r>
        <w:t>.</w:t>
      </w:r>
      <w:r>
        <w:tab/>
        <w:t>Right to be heard before General Order made</w:t>
      </w:r>
      <w:bookmarkEnd w:id="301"/>
      <w:bookmarkEnd w:id="302"/>
    </w:p>
    <w:p>
      <w:pPr>
        <w:pStyle w:val="Subsection"/>
      </w:pPr>
      <w:r>
        <w:tab/>
      </w:r>
      <w:r>
        <w:tab/>
        <w:t>The Commission must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No. 36 of 2006 s. 17; amended: No. 30 of 2021 s. 76(2).]</w:t>
      </w:r>
    </w:p>
    <w:p>
      <w:pPr>
        <w:pStyle w:val="Heading5"/>
        <w:spacing w:before="260"/>
      </w:pPr>
      <w:bookmarkStart w:id="303" w:name="_Toc107476441"/>
      <w:bookmarkStart w:id="304" w:name="_Toc106373975"/>
      <w:r>
        <w:rPr>
          <w:rStyle w:val="CharSectno"/>
        </w:rPr>
        <w:t>51BC</w:t>
      </w:r>
      <w:r>
        <w:t>.</w:t>
      </w:r>
      <w:r>
        <w:tab/>
        <w:t>Commissioner may deal with certain proceedings</w:t>
      </w:r>
      <w:bookmarkEnd w:id="303"/>
      <w:bookmarkEnd w:id="304"/>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No. 36 of 2006 s. 17.]</w:t>
      </w:r>
    </w:p>
    <w:p>
      <w:pPr>
        <w:pStyle w:val="Heading5"/>
        <w:spacing w:before="240"/>
      </w:pPr>
      <w:bookmarkStart w:id="305" w:name="_Toc107476442"/>
      <w:bookmarkStart w:id="306" w:name="_Toc106373976"/>
      <w:r>
        <w:rPr>
          <w:rStyle w:val="CharSectno"/>
        </w:rPr>
        <w:t>51BD</w:t>
      </w:r>
      <w:r>
        <w:t>.</w:t>
      </w:r>
      <w:r>
        <w:tab/>
        <w:t>Awards etc. affected by General Order, publication of</w:t>
      </w:r>
      <w:bookmarkEnd w:id="305"/>
      <w:bookmarkEnd w:id="306"/>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No. 36 of 2006 s. 17.]</w:t>
      </w:r>
    </w:p>
    <w:p>
      <w:pPr>
        <w:pStyle w:val="Heading5"/>
        <w:spacing w:before="240"/>
      </w:pPr>
      <w:bookmarkStart w:id="307" w:name="_Toc107476443"/>
      <w:bookmarkStart w:id="308" w:name="_Toc106373977"/>
      <w:r>
        <w:rPr>
          <w:rStyle w:val="CharSectno"/>
        </w:rPr>
        <w:t>51BE</w:t>
      </w:r>
      <w:r>
        <w:t>.</w:t>
      </w:r>
      <w:r>
        <w:tab/>
        <w:t>Publication of order</w:t>
      </w:r>
      <w:bookmarkEnd w:id="307"/>
      <w:bookmarkEnd w:id="308"/>
    </w:p>
    <w:p>
      <w:pPr>
        <w:pStyle w:val="Subsection"/>
      </w:pPr>
      <w:r>
        <w:tab/>
      </w:r>
      <w:r>
        <w:tab/>
        <w:t>The Registrar must publish in the required manner any General Order made under this Division.</w:t>
      </w:r>
    </w:p>
    <w:p>
      <w:pPr>
        <w:pStyle w:val="Footnotesection"/>
      </w:pPr>
      <w:r>
        <w:tab/>
        <w:t>[Section 51BE inserted: No. 36 of 2006 s. 17; amended: No. 30 of 2021 s. 76(2).]</w:t>
      </w:r>
    </w:p>
    <w:p>
      <w:pPr>
        <w:pStyle w:val="Heading3"/>
      </w:pPr>
      <w:bookmarkStart w:id="309" w:name="_Toc107322315"/>
      <w:bookmarkStart w:id="310" w:name="_Toc107476444"/>
      <w:bookmarkStart w:id="311" w:name="_Toc84926065"/>
      <w:bookmarkStart w:id="312" w:name="_Toc84927481"/>
      <w:bookmarkStart w:id="313" w:name="_Toc84935461"/>
      <w:bookmarkStart w:id="314" w:name="_Toc85533258"/>
      <w:bookmarkStart w:id="315" w:name="_Toc85543874"/>
      <w:bookmarkStart w:id="316" w:name="_Toc90551667"/>
      <w:bookmarkStart w:id="317" w:name="_Toc90553635"/>
      <w:bookmarkStart w:id="318" w:name="_Toc90558238"/>
      <w:bookmarkStart w:id="319" w:name="_Toc91144480"/>
      <w:bookmarkStart w:id="320" w:name="_Toc95209319"/>
      <w:bookmarkStart w:id="321" w:name="_Toc106195304"/>
      <w:bookmarkStart w:id="322" w:name="_Toc106367247"/>
      <w:bookmarkStart w:id="323" w:name="_Toc106373978"/>
      <w:bookmarkStart w:id="324" w:name="_Toc105760059"/>
      <w:r>
        <w:rPr>
          <w:rStyle w:val="CharDivNo"/>
        </w:rPr>
        <w:t>Division 3AA </w:t>
      </w:r>
      <w:r>
        <w:t>— </w:t>
      </w:r>
      <w:r>
        <w:rPr>
          <w:rStyle w:val="CharDivText"/>
        </w:rPr>
        <w:t>Workers bullied or sexually harassed at work</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pPr>
        <w:pStyle w:val="Footnoteheading"/>
        <w:keepNext/>
        <w:keepLines/>
      </w:pPr>
      <w:bookmarkStart w:id="325" w:name="_Toc90558239"/>
      <w:bookmarkStart w:id="326" w:name="_Toc95209320"/>
      <w:r>
        <w:tab/>
        <w:t>[Heading inserted: No. 30 of 2021 s. 29.]</w:t>
      </w:r>
    </w:p>
    <w:p>
      <w:pPr>
        <w:pStyle w:val="Heading5"/>
      </w:pPr>
      <w:bookmarkStart w:id="327" w:name="_Toc107476445"/>
      <w:bookmarkStart w:id="328" w:name="_Toc106373979"/>
      <w:r>
        <w:rPr>
          <w:rStyle w:val="CharSectno"/>
        </w:rPr>
        <w:t>51BF</w:t>
      </w:r>
      <w:r>
        <w:t>.</w:t>
      </w:r>
      <w:r>
        <w:tab/>
        <w:t>Terms used</w:t>
      </w:r>
      <w:bookmarkEnd w:id="327"/>
      <w:bookmarkEnd w:id="325"/>
      <w:bookmarkEnd w:id="326"/>
      <w:bookmarkEnd w:id="328"/>
    </w:p>
    <w:p>
      <w:pPr>
        <w:pStyle w:val="Subsection"/>
      </w:pPr>
      <w:r>
        <w:tab/>
      </w:r>
      <w:r>
        <w:tab/>
        <w:t xml:space="preserve">In this Division — </w:t>
      </w:r>
    </w:p>
    <w:p>
      <w:pPr>
        <w:pStyle w:val="Defstart"/>
      </w:pPr>
      <w:r>
        <w:tab/>
      </w:r>
      <w:r>
        <w:rPr>
          <w:rStyle w:val="CharDefText"/>
        </w:rPr>
        <w:t>bullied</w:t>
      </w:r>
      <w:r>
        <w:t>, at work, has the meaning given in section 51BI(1);</w:t>
      </w:r>
    </w:p>
    <w:p>
      <w:pPr>
        <w:pStyle w:val="Defstart"/>
      </w:pPr>
      <w:r>
        <w:tab/>
      </w:r>
      <w:r>
        <w:rPr>
          <w:rStyle w:val="CharDefText"/>
        </w:rPr>
        <w:t>person</w:t>
      </w:r>
      <w:r>
        <w:t xml:space="preserve"> conducting a business or undertaking includes a public authority conducting the business or undertaking;</w:t>
      </w:r>
    </w:p>
    <w:p>
      <w:pPr>
        <w:pStyle w:val="Defstart"/>
      </w:pPr>
      <w:r>
        <w:tab/>
      </w:r>
      <w:r>
        <w:rPr>
          <w:rStyle w:val="CharDefText"/>
        </w:rPr>
        <w:t>sexually harassed</w:t>
      </w:r>
      <w:r>
        <w:t>, at work, has the meaning given in section 51BI(3);</w:t>
      </w:r>
    </w:p>
    <w:p>
      <w:pPr>
        <w:pStyle w:val="Defstart"/>
      </w:pPr>
      <w:r>
        <w:tab/>
      </w:r>
      <w:r>
        <w:rPr>
          <w:rStyle w:val="CharDefText"/>
        </w:rPr>
        <w:t>stop bullying or sexual harassment application</w:t>
      </w:r>
      <w:r>
        <w:t xml:space="preserve"> has the meaning given in section 51BJ(1);</w:t>
      </w:r>
    </w:p>
    <w:p>
      <w:pPr>
        <w:pStyle w:val="Defstart"/>
      </w:pPr>
      <w:r>
        <w:tab/>
      </w:r>
      <w:r>
        <w:rPr>
          <w:rStyle w:val="CharDefText"/>
        </w:rPr>
        <w:t>stop bullying or sexual harassment order</w:t>
      </w:r>
      <w:r>
        <w:t xml:space="preserve"> has the meaning given in section 51BM(1);</w:t>
      </w:r>
    </w:p>
    <w:p>
      <w:pPr>
        <w:pStyle w:val="Defstart"/>
      </w:pPr>
      <w:r>
        <w:tab/>
      </w:r>
      <w:r>
        <w:rPr>
          <w:rStyle w:val="CharDefText"/>
        </w:rPr>
        <w:t>volunteer</w:t>
      </w:r>
      <w:r>
        <w:t xml:space="preserve"> means a person who is acting on a voluntary basis (irrespective of whether the person receives out</w:t>
      </w:r>
      <w:r>
        <w:noBreakHyphen/>
        <w:t>of</w:t>
      </w:r>
      <w:r>
        <w:noBreakHyphen/>
        <w:t>pocket expenses);</w:t>
      </w:r>
    </w:p>
    <w:p>
      <w:pPr>
        <w:pStyle w:val="Defstart"/>
      </w:pPr>
      <w:r>
        <w:tab/>
      </w:r>
      <w:r>
        <w:rPr>
          <w:rStyle w:val="CharDefText"/>
        </w:rPr>
        <w:t>WA Police</w:t>
      </w:r>
      <w:r>
        <w:t xml:space="preserve"> means the Police Force of Western Australia provided for by the </w:t>
      </w:r>
      <w:r>
        <w:rPr>
          <w:i/>
        </w:rPr>
        <w:t>Police Act 1892</w:t>
      </w:r>
      <w:r>
        <w:t>;</w:t>
      </w:r>
    </w:p>
    <w:p>
      <w:pPr>
        <w:pStyle w:val="Defstart"/>
      </w:pPr>
      <w:r>
        <w:tab/>
      </w:r>
      <w:r>
        <w:rPr>
          <w:rStyle w:val="CharDefText"/>
        </w:rPr>
        <w:t>worker</w:t>
      </w:r>
      <w:r>
        <w:t xml:space="preserve"> has the meaning given in section 51BH.</w:t>
      </w:r>
    </w:p>
    <w:p>
      <w:pPr>
        <w:pStyle w:val="Footnotesection"/>
      </w:pPr>
      <w:bookmarkStart w:id="329" w:name="_Toc90558240"/>
      <w:bookmarkStart w:id="330" w:name="_Toc95209321"/>
      <w:r>
        <w:tab/>
        <w:t>[Section 51BF inserted: No. 30 of 2021 s. 29.]</w:t>
      </w:r>
    </w:p>
    <w:p>
      <w:pPr>
        <w:pStyle w:val="Heading5"/>
      </w:pPr>
      <w:bookmarkStart w:id="331" w:name="_Toc107476446"/>
      <w:bookmarkStart w:id="332" w:name="_Toc106373980"/>
      <w:r>
        <w:rPr>
          <w:rStyle w:val="CharSectno"/>
        </w:rPr>
        <w:t>51BG</w:t>
      </w:r>
      <w:r>
        <w:t>.</w:t>
      </w:r>
      <w:r>
        <w:tab/>
        <w:t>Person conducting a business or undertaking</w:t>
      </w:r>
      <w:bookmarkEnd w:id="331"/>
      <w:bookmarkEnd w:id="329"/>
      <w:bookmarkEnd w:id="330"/>
      <w:bookmarkEnd w:id="332"/>
    </w:p>
    <w:p>
      <w:pPr>
        <w:pStyle w:val="Subsection"/>
      </w:pPr>
      <w:r>
        <w:tab/>
        <w:t>(1)</w:t>
      </w:r>
      <w:r>
        <w:tab/>
        <w:t xml:space="preserve">A reference in section 51BH to a person conducting a business or undertaking includes a reference to the following — </w:t>
      </w:r>
    </w:p>
    <w:p>
      <w:pPr>
        <w:pStyle w:val="Indenta"/>
      </w:pPr>
      <w:r>
        <w:tab/>
        <w:t>(a)</w:t>
      </w:r>
      <w:r>
        <w:tab/>
        <w:t>a person conducting the business or undertaking —</w:t>
      </w:r>
    </w:p>
    <w:p>
      <w:pPr>
        <w:pStyle w:val="Indenti"/>
      </w:pPr>
      <w:r>
        <w:tab/>
        <w:t>(i)</w:t>
      </w:r>
      <w:r>
        <w:tab/>
        <w:t>whether alone or with others; and</w:t>
      </w:r>
    </w:p>
    <w:p>
      <w:pPr>
        <w:pStyle w:val="Indenti"/>
      </w:pPr>
      <w:r>
        <w:tab/>
        <w:t>(ii)</w:t>
      </w:r>
      <w:r>
        <w:tab/>
        <w:t>whether or not for profit or gain;</w:t>
      </w:r>
    </w:p>
    <w:p>
      <w:pPr>
        <w:pStyle w:val="Indenta"/>
      </w:pPr>
      <w:r>
        <w:tab/>
        <w:t>(b)</w:t>
      </w:r>
      <w:r>
        <w:tab/>
        <w:t>a partnership, or an unincorporated association, conducting the business or undertaking;</w:t>
      </w:r>
    </w:p>
    <w:p>
      <w:pPr>
        <w:pStyle w:val="Indenta"/>
      </w:pPr>
      <w:r>
        <w:tab/>
        <w:t>(c)</w:t>
      </w:r>
      <w:r>
        <w:tab/>
        <w:t>in the case of a partnership (other than an incorporated partnership) referred to in paragraph (b) — each partner in the partnership.</w:t>
      </w:r>
    </w:p>
    <w:p>
      <w:pPr>
        <w:pStyle w:val="Subsection"/>
      </w:pPr>
      <w:r>
        <w:tab/>
        <w:t>(2)</w:t>
      </w:r>
      <w:r>
        <w:tab/>
        <w:t xml:space="preserve">A reference in section 51BH to a person conducting a business or undertaking does not include a reference to the following — </w:t>
      </w:r>
    </w:p>
    <w:p>
      <w:pPr>
        <w:pStyle w:val="Indenta"/>
      </w:pPr>
      <w:r>
        <w:tab/>
        <w:t>(a)</w:t>
      </w:r>
      <w:r>
        <w:tab/>
        <w:t>an individual engaged solely as a worker in the business or undertaking;</w:t>
      </w:r>
    </w:p>
    <w:p>
      <w:pPr>
        <w:pStyle w:val="Indenta"/>
      </w:pPr>
      <w:r>
        <w:tab/>
        <w:t>(b)</w:t>
      </w:r>
      <w:r>
        <w:tab/>
        <w:t>in the case of a business or undertaking conducted by a local government or a regional local government — a member of the council of the local government or regional local government;</w:t>
      </w:r>
    </w:p>
    <w:p>
      <w:pPr>
        <w:pStyle w:val="Indenta"/>
      </w:pPr>
      <w:r>
        <w:tab/>
        <w:t>(c)</w:t>
      </w:r>
      <w:r>
        <w:tab/>
        <w:t>a volunteer association;</w:t>
      </w:r>
    </w:p>
    <w:p>
      <w:pPr>
        <w:pStyle w:val="Indenta"/>
      </w:pPr>
      <w:r>
        <w:tab/>
        <w:t>(d)</w:t>
      </w:r>
      <w:r>
        <w:tab/>
        <w:t>a person of a prescribed class.</w:t>
      </w:r>
    </w:p>
    <w:p>
      <w:pPr>
        <w:pStyle w:val="Subsection"/>
      </w:pPr>
      <w:r>
        <w:tab/>
        <w:t>(3)</w:t>
      </w:r>
      <w:r>
        <w:tab/>
        <w:t xml:space="preserve">In subsection (2)(c) — </w:t>
      </w:r>
    </w:p>
    <w:p>
      <w:pPr>
        <w:pStyle w:val="Defstart"/>
      </w:pPr>
      <w:r>
        <w:tab/>
      </w:r>
      <w:r>
        <w:rPr>
          <w:rStyle w:val="CharDefText"/>
        </w:rPr>
        <w:t>volunteer association</w:t>
      </w:r>
      <w:r>
        <w:t xml:space="preserve"> means a group of volunteers working together for 1 or more community purposes where none of the volunteers, whether alone or jointly with any other volunteers, employs any person to carry out work for the volunteer association.</w:t>
      </w:r>
    </w:p>
    <w:p>
      <w:pPr>
        <w:pStyle w:val="Footnotesection"/>
      </w:pPr>
      <w:bookmarkStart w:id="333" w:name="_Toc90558241"/>
      <w:bookmarkStart w:id="334" w:name="_Toc95209322"/>
      <w:r>
        <w:tab/>
        <w:t>[Section 51BG inserted: No. 30 of 2021 s. 29.]</w:t>
      </w:r>
    </w:p>
    <w:p>
      <w:pPr>
        <w:pStyle w:val="Heading5"/>
      </w:pPr>
      <w:bookmarkStart w:id="335" w:name="_Toc107476447"/>
      <w:bookmarkStart w:id="336" w:name="_Toc106373981"/>
      <w:r>
        <w:rPr>
          <w:rStyle w:val="CharSectno"/>
        </w:rPr>
        <w:t>51BH</w:t>
      </w:r>
      <w:r>
        <w:t>.</w:t>
      </w:r>
      <w:r>
        <w:tab/>
        <w:t>Worker</w:t>
      </w:r>
      <w:bookmarkEnd w:id="335"/>
      <w:bookmarkEnd w:id="333"/>
      <w:bookmarkEnd w:id="334"/>
      <w:bookmarkEnd w:id="336"/>
    </w:p>
    <w:p>
      <w:pPr>
        <w:pStyle w:val="Subsection"/>
      </w:pPr>
      <w:r>
        <w:tab/>
        <w:t>(1)</w:t>
      </w:r>
      <w:r>
        <w:tab/>
        <w:t xml:space="preserve">A person is a </w:t>
      </w:r>
      <w:r>
        <w:rPr>
          <w:rStyle w:val="CharDefText"/>
        </w:rPr>
        <w:t>worker</w:t>
      </w:r>
      <w:r>
        <w:t xml:space="preserve"> if the person carries out work in any capacity for a person conducting a business or undertaking, including work as any of the following — </w:t>
      </w:r>
    </w:p>
    <w:p>
      <w:pPr>
        <w:pStyle w:val="Indenta"/>
      </w:pPr>
      <w:r>
        <w:tab/>
        <w:t>(a)</w:t>
      </w:r>
      <w:r>
        <w:tab/>
        <w:t>an employee;</w:t>
      </w:r>
    </w:p>
    <w:p>
      <w:pPr>
        <w:pStyle w:val="Indenta"/>
      </w:pPr>
      <w:r>
        <w:tab/>
        <w:t>(b)</w:t>
      </w:r>
      <w:r>
        <w:tab/>
        <w:t>a contractor or subcontractor;</w:t>
      </w:r>
    </w:p>
    <w:p>
      <w:pPr>
        <w:pStyle w:val="Indenta"/>
      </w:pPr>
      <w:r>
        <w:tab/>
        <w:t>(c)</w:t>
      </w:r>
      <w:r>
        <w:tab/>
        <w:t>an employee of a contractor or subcontractor;</w:t>
      </w:r>
    </w:p>
    <w:p>
      <w:pPr>
        <w:pStyle w:val="Indenta"/>
      </w:pPr>
      <w:r>
        <w:tab/>
        <w:t>(d)</w:t>
      </w:r>
      <w:r>
        <w:tab/>
        <w:t>an employee of a labour hire agency who has been assigned to work in the person’s business or undertaking;</w:t>
      </w:r>
    </w:p>
    <w:p>
      <w:pPr>
        <w:pStyle w:val="Indenta"/>
      </w:pPr>
      <w:r>
        <w:tab/>
        <w:t>(e)</w:t>
      </w:r>
      <w:r>
        <w:tab/>
        <w:t>an outworker;</w:t>
      </w:r>
    </w:p>
    <w:p>
      <w:pPr>
        <w:pStyle w:val="Indenta"/>
      </w:pPr>
      <w:r>
        <w:tab/>
        <w:t>(f)</w:t>
      </w:r>
      <w:r>
        <w:tab/>
        <w:t>an apprentice or trainee;</w:t>
      </w:r>
    </w:p>
    <w:p>
      <w:pPr>
        <w:pStyle w:val="Indenta"/>
      </w:pPr>
      <w:r>
        <w:tab/>
        <w:t>(g)</w:t>
      </w:r>
      <w:r>
        <w:tab/>
        <w:t>a student gaining work experience;</w:t>
      </w:r>
    </w:p>
    <w:p>
      <w:pPr>
        <w:pStyle w:val="Indenta"/>
      </w:pPr>
      <w:r>
        <w:tab/>
        <w:t>(h)</w:t>
      </w:r>
      <w:r>
        <w:tab/>
        <w:t>a volunteer;</w:t>
      </w:r>
    </w:p>
    <w:p>
      <w:pPr>
        <w:pStyle w:val="Indenta"/>
      </w:pPr>
      <w:r>
        <w:tab/>
        <w:t>(i)</w:t>
      </w:r>
      <w:r>
        <w:tab/>
        <w:t>a person of a prescribed class.</w:t>
      </w:r>
    </w:p>
    <w:p>
      <w:pPr>
        <w:pStyle w:val="Subsection"/>
      </w:pPr>
      <w:r>
        <w:tab/>
        <w:t>(2)</w:t>
      </w:r>
      <w:r>
        <w:tab/>
        <w:t xml:space="preserve">A police officer is — </w:t>
      </w:r>
    </w:p>
    <w:p>
      <w:pPr>
        <w:pStyle w:val="Indenta"/>
      </w:pPr>
      <w:r>
        <w:tab/>
        <w:t>(a)</w:t>
      </w:r>
      <w:r>
        <w:tab/>
        <w:t>a worker of WA Police; and</w:t>
      </w:r>
    </w:p>
    <w:p>
      <w:pPr>
        <w:pStyle w:val="Indenta"/>
      </w:pPr>
      <w:r>
        <w:tab/>
        <w:t>(b)</w:t>
      </w:r>
      <w:r>
        <w:tab/>
        <w:t>at work throughout the time when the officer is on duty or lawfully performing the functions of a police officer, but not otherwise.</w:t>
      </w:r>
    </w:p>
    <w:p>
      <w:pPr>
        <w:pStyle w:val="Subsection"/>
      </w:pPr>
      <w:r>
        <w:tab/>
        <w:t>(3)</w:t>
      </w:r>
      <w:r>
        <w:tab/>
        <w:t xml:space="preserve">A person conducting the business or undertaking referred to in subsection (1) is also a </w:t>
      </w:r>
      <w:r>
        <w:rPr>
          <w:rStyle w:val="CharDefText"/>
        </w:rPr>
        <w:t>worker</w:t>
      </w:r>
      <w:r>
        <w:t xml:space="preserve"> if the person is an individual who carries out work in that business or undertaking.</w:t>
      </w:r>
    </w:p>
    <w:p>
      <w:pPr>
        <w:pStyle w:val="Footnotesection"/>
      </w:pPr>
      <w:bookmarkStart w:id="337" w:name="_Toc90558242"/>
      <w:bookmarkStart w:id="338" w:name="_Toc95209323"/>
      <w:r>
        <w:tab/>
        <w:t>[Section 51BH inserted: No. 30 of 2021 s. 29.]</w:t>
      </w:r>
    </w:p>
    <w:p>
      <w:pPr>
        <w:pStyle w:val="Heading5"/>
      </w:pPr>
      <w:bookmarkStart w:id="339" w:name="_Toc107476448"/>
      <w:bookmarkStart w:id="340" w:name="_Toc106373982"/>
      <w:r>
        <w:rPr>
          <w:rStyle w:val="CharSectno"/>
        </w:rPr>
        <w:t>51BI</w:t>
      </w:r>
      <w:r>
        <w:t>.</w:t>
      </w:r>
      <w:r>
        <w:tab/>
        <w:t>Worker bullied or sexually harassed at work</w:t>
      </w:r>
      <w:bookmarkEnd w:id="339"/>
      <w:bookmarkEnd w:id="337"/>
      <w:bookmarkEnd w:id="338"/>
      <w:bookmarkEnd w:id="340"/>
    </w:p>
    <w:p>
      <w:pPr>
        <w:pStyle w:val="Subsection"/>
      </w:pPr>
      <w:r>
        <w:tab/>
        <w:t>(1)</w:t>
      </w:r>
      <w:r>
        <w:tab/>
        <w:t xml:space="preserve">A worker is </w:t>
      </w:r>
      <w:r>
        <w:rPr>
          <w:rStyle w:val="CharDefText"/>
        </w:rPr>
        <w:t>bullied</w:t>
      </w:r>
      <w:r>
        <w:t xml:space="preserve"> at work if, while the worker is at work — </w:t>
      </w:r>
    </w:p>
    <w:p>
      <w:pPr>
        <w:pStyle w:val="Indenta"/>
      </w:pPr>
      <w:r>
        <w:tab/>
        <w:t>(a)</w:t>
      </w:r>
      <w:r>
        <w:tab/>
        <w:t xml:space="preserve">an individual, or group of individuals, repeatedly behaves unreasonably towards — </w:t>
      </w:r>
    </w:p>
    <w:p>
      <w:pPr>
        <w:pStyle w:val="Indenti"/>
      </w:pPr>
      <w:r>
        <w:tab/>
        <w:t>(i)</w:t>
      </w:r>
      <w:r>
        <w:tab/>
        <w:t xml:space="preserve">the worker; or </w:t>
      </w:r>
    </w:p>
    <w:p>
      <w:pPr>
        <w:pStyle w:val="Indenti"/>
      </w:pPr>
      <w:r>
        <w:tab/>
        <w:t>(ii)</w:t>
      </w:r>
      <w:r>
        <w:tab/>
        <w:t xml:space="preserve">a group of workers of which the worker is a member; </w:t>
      </w:r>
    </w:p>
    <w:p>
      <w:pPr>
        <w:pStyle w:val="Indenta"/>
      </w:pPr>
      <w:r>
        <w:tab/>
      </w:r>
      <w:r>
        <w:tab/>
        <w:t>and</w:t>
      </w:r>
    </w:p>
    <w:p>
      <w:pPr>
        <w:pStyle w:val="Indenta"/>
      </w:pPr>
      <w:r>
        <w:tab/>
        <w:t>(b)</w:t>
      </w:r>
      <w:r>
        <w:tab/>
        <w:t>that behaviour creates a risk to the safety or health of the worker.</w:t>
      </w:r>
    </w:p>
    <w:p>
      <w:pPr>
        <w:pStyle w:val="Subsection"/>
      </w:pPr>
      <w:r>
        <w:tab/>
        <w:t>(2)</w:t>
      </w:r>
      <w:r>
        <w:tab/>
        <w:t>Subsection (1) does not apply to reasonable management action carried out in a reasonable manner.</w:t>
      </w:r>
    </w:p>
    <w:p>
      <w:pPr>
        <w:pStyle w:val="Subsection"/>
      </w:pPr>
      <w:r>
        <w:tab/>
        <w:t>(3)</w:t>
      </w:r>
      <w:r>
        <w:tab/>
        <w:t xml:space="preserve">A worker is </w:t>
      </w:r>
      <w:r>
        <w:rPr>
          <w:rStyle w:val="CharDefText"/>
        </w:rPr>
        <w:t>sexually harassed</w:t>
      </w:r>
      <w:r>
        <w:t xml:space="preserve"> at work if, while the worker is at work, an individual, or group of individuals — </w:t>
      </w:r>
    </w:p>
    <w:p>
      <w:pPr>
        <w:pStyle w:val="Indenta"/>
      </w:pPr>
      <w:r>
        <w:tab/>
        <w:t>(a)</w:t>
      </w:r>
      <w:r>
        <w:tab/>
        <w:t>makes an unwelcome sexual advance, or an unwelcome request for sexual favours, to the worker in circumstances a reasonable person, having regard to all the circumstances, would have anticipated the possibility that the worker would be offended, humiliated or intimidated; or</w:t>
      </w:r>
    </w:p>
    <w:p>
      <w:pPr>
        <w:pStyle w:val="Indenta"/>
      </w:pPr>
      <w:r>
        <w:tab/>
        <w:t>(b)</w:t>
      </w:r>
      <w:r>
        <w:tab/>
        <w:t>engages in other unwelcome conduct of a sexual nature in relation to the worker in circumstances a reasonable person, having regard to all the circumstances, would have anticipated the possibility that the worker would be offended, humiliated or intimidated.</w:t>
      </w:r>
    </w:p>
    <w:p>
      <w:pPr>
        <w:pStyle w:val="Subsection"/>
      </w:pPr>
      <w:r>
        <w:tab/>
        <w:t>(4)</w:t>
      </w:r>
      <w:r>
        <w:tab/>
        <w:t xml:space="preserve">In subsection (3)(b) — </w:t>
      </w:r>
    </w:p>
    <w:p>
      <w:pPr>
        <w:pStyle w:val="Defstart"/>
      </w:pPr>
      <w:r>
        <w:tab/>
      </w:r>
      <w:r>
        <w:rPr>
          <w:rStyle w:val="CharDefText"/>
        </w:rPr>
        <w:t>conduct of a sexual nature</w:t>
      </w:r>
      <w:r>
        <w:t>, in relation to a worker, includes the following —</w:t>
      </w:r>
    </w:p>
    <w:p>
      <w:pPr>
        <w:pStyle w:val="Defpara"/>
      </w:pPr>
      <w:r>
        <w:tab/>
        <w:t>(a)</w:t>
      </w:r>
      <w:r>
        <w:tab/>
        <w:t>making to, or in the presence of, the worker or another person a statement of a sexual nature concerning the worker, whether by visual, oral, written or electronic communication;</w:t>
      </w:r>
    </w:p>
    <w:p>
      <w:pPr>
        <w:pStyle w:val="Defpara"/>
      </w:pPr>
      <w:r>
        <w:tab/>
        <w:t>(b)</w:t>
      </w:r>
      <w:r>
        <w:tab/>
        <w:t>publishing a statement of a sexual nature concerning the worker on the Internet or any other form of communication.</w:t>
      </w:r>
    </w:p>
    <w:p>
      <w:pPr>
        <w:pStyle w:val="Footnotesection"/>
      </w:pPr>
      <w:bookmarkStart w:id="341" w:name="_Toc90558243"/>
      <w:bookmarkStart w:id="342" w:name="_Toc95209324"/>
      <w:r>
        <w:tab/>
        <w:t>[Section 51BI inserted: No. 30 of 2021 s. 29.]</w:t>
      </w:r>
    </w:p>
    <w:p>
      <w:pPr>
        <w:pStyle w:val="Heading5"/>
      </w:pPr>
      <w:bookmarkStart w:id="343" w:name="_Toc107476449"/>
      <w:bookmarkStart w:id="344" w:name="_Toc106373983"/>
      <w:r>
        <w:rPr>
          <w:rStyle w:val="CharSectno"/>
        </w:rPr>
        <w:t>51BJ</w:t>
      </w:r>
      <w:r>
        <w:t>.</w:t>
      </w:r>
      <w:r>
        <w:tab/>
        <w:t>Stop bullying or sexual harassment application</w:t>
      </w:r>
      <w:bookmarkEnd w:id="343"/>
      <w:bookmarkEnd w:id="341"/>
      <w:bookmarkEnd w:id="342"/>
      <w:bookmarkEnd w:id="344"/>
    </w:p>
    <w:p>
      <w:pPr>
        <w:pStyle w:val="Subsection"/>
      </w:pPr>
      <w:r>
        <w:tab/>
        <w:t>(1)</w:t>
      </w:r>
      <w:r>
        <w:tab/>
        <w:t xml:space="preserve">A worker who reasonably believes that the worker has been bullied or sexually harassed at work may make an application (a </w:t>
      </w:r>
      <w:r>
        <w:rPr>
          <w:rStyle w:val="CharDefText"/>
        </w:rPr>
        <w:t>stop bullying or sexual harassment application</w:t>
      </w:r>
      <w:r>
        <w:t>) to the Commission for a stop bullying or sexual harassment order.</w:t>
      </w:r>
    </w:p>
    <w:p>
      <w:pPr>
        <w:pStyle w:val="Subsection"/>
      </w:pPr>
      <w:r>
        <w:tab/>
        <w:t>(2)</w:t>
      </w:r>
      <w:r>
        <w:tab/>
        <w:t>The application must be accompanied by any fee prescribed by the regulations.</w:t>
      </w:r>
    </w:p>
    <w:p>
      <w:pPr>
        <w:pStyle w:val="Subsection"/>
      </w:pPr>
      <w:bookmarkStart w:id="345" w:name="_Toc90558244"/>
      <w:bookmarkStart w:id="346" w:name="_Toc95209325"/>
      <w:r>
        <w:tab/>
        <w:t>(3)</w:t>
      </w:r>
      <w:r>
        <w:tab/>
        <w:t xml:space="preserve">The </w:t>
      </w:r>
      <w:r>
        <w:rPr>
          <w:i/>
        </w:rPr>
        <w:t>Work Health and Safety Act 2020</w:t>
      </w:r>
      <w:r>
        <w:t xml:space="preserve"> section 115 does not apply in relation to a stop bullying or sexual harassment application.</w:t>
      </w:r>
    </w:p>
    <w:p>
      <w:pPr>
        <w:pStyle w:val="Footnotesection"/>
      </w:pPr>
      <w:r>
        <w:tab/>
        <w:t>[Section 51BJ inserted: No. 30 of 2021 s. 29; amended: No. 30 of 2021 s. 30.]</w:t>
      </w:r>
    </w:p>
    <w:p>
      <w:pPr>
        <w:pStyle w:val="Heading5"/>
      </w:pPr>
      <w:bookmarkStart w:id="347" w:name="_Toc107476450"/>
      <w:bookmarkStart w:id="348" w:name="_Toc106373984"/>
      <w:r>
        <w:rPr>
          <w:rStyle w:val="CharSectno"/>
        </w:rPr>
        <w:t>51BK</w:t>
      </w:r>
      <w:r>
        <w:t>.</w:t>
      </w:r>
      <w:r>
        <w:tab/>
        <w:t>Dealing with a stop bullying or sexual harassment application</w:t>
      </w:r>
      <w:bookmarkEnd w:id="347"/>
      <w:bookmarkEnd w:id="345"/>
      <w:bookmarkEnd w:id="346"/>
      <w:bookmarkEnd w:id="348"/>
    </w:p>
    <w:p>
      <w:pPr>
        <w:pStyle w:val="Subsection"/>
      </w:pPr>
      <w:r>
        <w:tab/>
        <w:t>(1)</w:t>
      </w:r>
      <w:r>
        <w:tab/>
        <w:t>The Commission must start to deal with a stop bullying or sexual harassment application within 14 days after the application is made.</w:t>
      </w:r>
    </w:p>
    <w:p>
      <w:pPr>
        <w:pStyle w:val="Subsection"/>
      </w:pPr>
      <w:r>
        <w:tab/>
        <w:t>(2)</w:t>
      </w:r>
      <w:r>
        <w:tab/>
        <w:t>Section 44 does not apply to a stop bullying or sexual harassment application.</w:t>
      </w:r>
    </w:p>
    <w:p>
      <w:pPr>
        <w:pStyle w:val="Subsection"/>
      </w:pPr>
      <w:r>
        <w:tab/>
        <w:t>(3)</w:t>
      </w:r>
      <w:r>
        <w:tab/>
        <w:t>Section 48A(2) or any other enactment providing for the resolution of grievances or disputes by workers does not limit the power of the Commission to deal with a stop bullying or sexual harassment application under this Division.</w:t>
      </w:r>
    </w:p>
    <w:p>
      <w:pPr>
        <w:pStyle w:val="Footnotesection"/>
      </w:pPr>
      <w:bookmarkStart w:id="349" w:name="_Toc90558245"/>
      <w:bookmarkStart w:id="350" w:name="_Toc95209326"/>
      <w:r>
        <w:tab/>
        <w:t>[Section 51BK inserted: No. 30 of 2021 s. 29.]</w:t>
      </w:r>
    </w:p>
    <w:p>
      <w:pPr>
        <w:pStyle w:val="Heading5"/>
      </w:pPr>
      <w:bookmarkStart w:id="351" w:name="_Toc107476451"/>
      <w:bookmarkStart w:id="352" w:name="_Toc106373985"/>
      <w:r>
        <w:rPr>
          <w:rStyle w:val="CharSectno"/>
        </w:rPr>
        <w:t>51BL</w:t>
      </w:r>
      <w:r>
        <w:t>.</w:t>
      </w:r>
      <w:r>
        <w:tab/>
        <w:t>Power to dismiss stop bullying or sexual harassment applications involving covert operations</w:t>
      </w:r>
      <w:bookmarkEnd w:id="351"/>
      <w:bookmarkEnd w:id="349"/>
      <w:bookmarkEnd w:id="350"/>
      <w:bookmarkEnd w:id="352"/>
    </w:p>
    <w:p>
      <w:pPr>
        <w:pStyle w:val="Subsection"/>
      </w:pPr>
      <w:r>
        <w:tab/>
        <w:t>(1)</w:t>
      </w:r>
      <w:r>
        <w:tab/>
        <w:t xml:space="preserve">In this section — </w:t>
      </w:r>
    </w:p>
    <w:p>
      <w:pPr>
        <w:pStyle w:val="Defstart"/>
      </w:pPr>
      <w:r>
        <w:tab/>
      </w:r>
      <w:r>
        <w:rPr>
          <w:rStyle w:val="CharDefText"/>
        </w:rPr>
        <w:t>exercise of a power</w:t>
      </w:r>
      <w:r>
        <w:t xml:space="preserve"> includes the performance of a function.</w:t>
      </w:r>
    </w:p>
    <w:p>
      <w:pPr>
        <w:pStyle w:val="Subsection"/>
      </w:pPr>
      <w:r>
        <w:tab/>
        <w:t>(2)</w:t>
      </w:r>
      <w:r>
        <w:tab/>
        <w:t xml:space="preserve">The Commission may dismiss a stop bullying or sexual harassment application if the Commission considers that the application might involve matters that relate to the exercise of a power of a police officer in circumstances where — </w:t>
      </w:r>
    </w:p>
    <w:p>
      <w:pPr>
        <w:pStyle w:val="Indenta"/>
      </w:pPr>
      <w:r>
        <w:tab/>
        <w:t>(a)</w:t>
      </w:r>
      <w:r>
        <w:tab/>
        <w:t>a covert operation is undertaken by WA Police for the purpose of obtaining information about criminal activity; and</w:t>
      </w:r>
    </w:p>
    <w:p>
      <w:pPr>
        <w:pStyle w:val="Indenta"/>
      </w:pPr>
      <w:r>
        <w:tab/>
        <w:t>(b)</w:t>
      </w:r>
      <w:r>
        <w:tab/>
        <w:t xml:space="preserve">unless the exercise of the power is secret or confidential, it would be likely that — </w:t>
      </w:r>
    </w:p>
    <w:p>
      <w:pPr>
        <w:pStyle w:val="Indenti"/>
      </w:pPr>
      <w:r>
        <w:tab/>
        <w:t>(i)</w:t>
      </w:r>
      <w:r>
        <w:tab/>
        <w:t>the effectiveness of the exercise of the power is reduced; or</w:t>
      </w:r>
    </w:p>
    <w:p>
      <w:pPr>
        <w:pStyle w:val="Indenti"/>
      </w:pPr>
      <w:r>
        <w:tab/>
        <w:t>(ii)</w:t>
      </w:r>
      <w:r>
        <w:tab/>
        <w:t>a person is exposed to the danger of physical harm arising from the actions of another person.</w:t>
      </w:r>
    </w:p>
    <w:p>
      <w:pPr>
        <w:pStyle w:val="Footnotesection"/>
      </w:pPr>
      <w:bookmarkStart w:id="353" w:name="_Toc90558246"/>
      <w:bookmarkStart w:id="354" w:name="_Toc95209327"/>
      <w:r>
        <w:tab/>
        <w:t>[Section 51BL inserted: No. 30 of 2021 s. 29.]</w:t>
      </w:r>
    </w:p>
    <w:p>
      <w:pPr>
        <w:pStyle w:val="Heading5"/>
      </w:pPr>
      <w:bookmarkStart w:id="355" w:name="_Toc107476452"/>
      <w:bookmarkStart w:id="356" w:name="_Toc106373986"/>
      <w:r>
        <w:rPr>
          <w:rStyle w:val="CharSectno"/>
        </w:rPr>
        <w:t>51BM</w:t>
      </w:r>
      <w:r>
        <w:t>.</w:t>
      </w:r>
      <w:r>
        <w:tab/>
        <w:t>Commission may make stop bullying or sexual harassment orders</w:t>
      </w:r>
      <w:bookmarkEnd w:id="355"/>
      <w:bookmarkEnd w:id="353"/>
      <w:bookmarkEnd w:id="354"/>
      <w:bookmarkEnd w:id="356"/>
    </w:p>
    <w:p>
      <w:pPr>
        <w:pStyle w:val="Subsection"/>
      </w:pPr>
      <w:r>
        <w:tab/>
        <w:t>(1)</w:t>
      </w:r>
      <w:r>
        <w:tab/>
        <w:t xml:space="preserve">The Commission may make any order it considers appropriate (other than an order requiring payment of a pecuniary amount by way of compensation to a worker) to prevent a worker from being bullied or sexually harassed at work by an individual or group of individuals (a </w:t>
      </w:r>
      <w:r>
        <w:rPr>
          <w:rStyle w:val="CharDefText"/>
        </w:rPr>
        <w:t>stop bullying or sexual harassment order</w:t>
      </w:r>
      <w:r>
        <w:t xml:space="preserve">) if — </w:t>
      </w:r>
    </w:p>
    <w:p>
      <w:pPr>
        <w:pStyle w:val="Indenta"/>
      </w:pPr>
      <w:r>
        <w:tab/>
        <w:t>(a)</w:t>
      </w:r>
      <w:r>
        <w:tab/>
        <w:t>the worker has made a stop bullying or sexual harassment application; and</w:t>
      </w:r>
    </w:p>
    <w:p>
      <w:pPr>
        <w:pStyle w:val="Indenta"/>
      </w:pPr>
      <w:r>
        <w:tab/>
        <w:t>(b)</w:t>
      </w:r>
      <w:r>
        <w:tab/>
        <w:t xml:space="preserve">the Commission is satisfied that — </w:t>
      </w:r>
    </w:p>
    <w:p>
      <w:pPr>
        <w:pStyle w:val="Indenti"/>
      </w:pPr>
      <w:r>
        <w:tab/>
        <w:t>(i)</w:t>
      </w:r>
      <w:r>
        <w:tab/>
        <w:t>the worker has been bullied or sexually harassed at work by an individual or group of individuals; and</w:t>
      </w:r>
    </w:p>
    <w:p>
      <w:pPr>
        <w:pStyle w:val="Indenti"/>
      </w:pPr>
      <w:r>
        <w:tab/>
        <w:t>(ii)</w:t>
      </w:r>
      <w:r>
        <w:tab/>
        <w:t>there is a risk that the worker will continue to be bullied or sexually harassed at work by the individual or group of individuals.</w:t>
      </w:r>
    </w:p>
    <w:p>
      <w:pPr>
        <w:pStyle w:val="Subsection"/>
      </w:pPr>
      <w:r>
        <w:tab/>
        <w:t>(2)</w:t>
      </w:r>
      <w:r>
        <w:tab/>
        <w:t xml:space="preserve">In considering the terms of the order, the Commission must take into account — </w:t>
      </w:r>
    </w:p>
    <w:p>
      <w:pPr>
        <w:pStyle w:val="Indenta"/>
      </w:pPr>
      <w:r>
        <w:tab/>
        <w:t>(a)</w:t>
      </w:r>
      <w:r>
        <w:tab/>
        <w:t>if the Commission is aware of any final or interim outcomes arising out of an investigation into the matter that is being, or has been, undertaken by another person or body — those outcomes; and</w:t>
      </w:r>
    </w:p>
    <w:p>
      <w:pPr>
        <w:pStyle w:val="Indenta"/>
      </w:pPr>
      <w:r>
        <w:tab/>
        <w:t>(b)</w:t>
      </w:r>
      <w:r>
        <w:tab/>
        <w:t>if the Commission is aware of any procedure available to the worker to resolve grievances or disputes — that procedure; and</w:t>
      </w:r>
    </w:p>
    <w:p>
      <w:pPr>
        <w:pStyle w:val="Indenta"/>
      </w:pPr>
      <w:r>
        <w:tab/>
        <w:t>(c)</w:t>
      </w:r>
      <w:r>
        <w:tab/>
        <w:t>if the Commission is aware of any final or interim outcomes arising out of any procedure available to the worker to resolve grievances or disputes — those outcomes; and</w:t>
      </w:r>
    </w:p>
    <w:p>
      <w:pPr>
        <w:pStyle w:val="Indenta"/>
      </w:pPr>
      <w:r>
        <w:tab/>
        <w:t>(d)</w:t>
      </w:r>
      <w:r>
        <w:tab/>
        <w:t>any matters that the Commission considers relevant.</w:t>
      </w:r>
    </w:p>
    <w:p>
      <w:pPr>
        <w:pStyle w:val="Footnotesection"/>
      </w:pPr>
      <w:bookmarkStart w:id="357" w:name="_Toc90558247"/>
      <w:bookmarkStart w:id="358" w:name="_Toc95209328"/>
      <w:r>
        <w:tab/>
        <w:t>[Section 51BM inserted: No. 30 of 2021 s. 29.]</w:t>
      </w:r>
    </w:p>
    <w:p>
      <w:pPr>
        <w:pStyle w:val="Heading5"/>
      </w:pPr>
      <w:bookmarkStart w:id="359" w:name="_Toc107476453"/>
      <w:bookmarkStart w:id="360" w:name="_Toc106373987"/>
      <w:r>
        <w:rPr>
          <w:rStyle w:val="CharSectno"/>
        </w:rPr>
        <w:t>51BN</w:t>
      </w:r>
      <w:r>
        <w:t>.</w:t>
      </w:r>
      <w:r>
        <w:tab/>
        <w:t>Contravening stop bullying or sexual harassment order</w:t>
      </w:r>
      <w:bookmarkEnd w:id="359"/>
      <w:bookmarkEnd w:id="357"/>
      <w:bookmarkEnd w:id="358"/>
      <w:bookmarkEnd w:id="360"/>
    </w:p>
    <w:p>
      <w:pPr>
        <w:pStyle w:val="Subsection"/>
      </w:pPr>
      <w:r>
        <w:tab/>
        <w:t>(1)</w:t>
      </w:r>
      <w:r>
        <w:tab/>
        <w:t>A person to whom a stop bullying or sexual harassment order applies must not contravene a term of the order.</w:t>
      </w:r>
    </w:p>
    <w:p>
      <w:pPr>
        <w:pStyle w:val="Subsection"/>
      </w:pPr>
      <w:r>
        <w:tab/>
        <w:t>(2)</w:t>
      </w:r>
      <w:r>
        <w:tab/>
        <w:t>A contravention of subsection (1) is not an offence but the subsection is a civil penalty provision for the purposes of section 83E.</w:t>
      </w:r>
    </w:p>
    <w:p>
      <w:pPr>
        <w:pStyle w:val="Footnotesection"/>
      </w:pPr>
      <w:r>
        <w:tab/>
        <w:t>[Section 51BN inserted: No. 30 of 2021 s. 29.]</w:t>
      </w:r>
    </w:p>
    <w:p>
      <w:pPr>
        <w:pStyle w:val="Heading3"/>
        <w:keepLines/>
      </w:pPr>
      <w:bookmarkStart w:id="361" w:name="_Toc107322325"/>
      <w:bookmarkStart w:id="362" w:name="_Toc107476454"/>
      <w:bookmarkStart w:id="363" w:name="_Toc106195314"/>
      <w:bookmarkStart w:id="364" w:name="_Toc106367257"/>
      <w:bookmarkStart w:id="365" w:name="_Toc106373988"/>
      <w:r>
        <w:rPr>
          <w:rStyle w:val="CharDivNo"/>
        </w:rPr>
        <w:t>Division 3A</w:t>
      </w:r>
      <w:r>
        <w:t xml:space="preserve"> — </w:t>
      </w:r>
      <w:r>
        <w:rPr>
          <w:rStyle w:val="CharDivText"/>
        </w:rPr>
        <w:t>MCE Act functions</w:t>
      </w:r>
      <w:bookmarkEnd w:id="361"/>
      <w:bookmarkEnd w:id="362"/>
      <w:bookmarkEnd w:id="324"/>
      <w:bookmarkEnd w:id="363"/>
      <w:bookmarkEnd w:id="364"/>
      <w:bookmarkEnd w:id="365"/>
    </w:p>
    <w:p>
      <w:pPr>
        <w:pStyle w:val="Footnoteheading"/>
        <w:keepNext/>
        <w:keepLines/>
      </w:pPr>
      <w:r>
        <w:tab/>
        <w:t>[Heading inserted: No. 20 of 2002 s. 181.]</w:t>
      </w:r>
    </w:p>
    <w:p>
      <w:pPr>
        <w:pStyle w:val="Heading4"/>
        <w:keepLines/>
      </w:pPr>
      <w:bookmarkStart w:id="366" w:name="_Toc107322326"/>
      <w:bookmarkStart w:id="367" w:name="_Toc107476455"/>
      <w:bookmarkStart w:id="368" w:name="_Toc105760060"/>
      <w:bookmarkStart w:id="369" w:name="_Toc106195315"/>
      <w:bookmarkStart w:id="370" w:name="_Toc106367258"/>
      <w:bookmarkStart w:id="371" w:name="_Toc106373989"/>
      <w:r>
        <w:t>Subdivision 1 — Preliminary</w:t>
      </w:r>
      <w:bookmarkEnd w:id="366"/>
      <w:bookmarkEnd w:id="367"/>
      <w:bookmarkEnd w:id="368"/>
      <w:bookmarkEnd w:id="369"/>
      <w:bookmarkEnd w:id="370"/>
      <w:bookmarkEnd w:id="371"/>
    </w:p>
    <w:p>
      <w:pPr>
        <w:pStyle w:val="Footnoteheading"/>
        <w:keepNext/>
      </w:pPr>
      <w:r>
        <w:tab/>
        <w:t>[Heading inserted: No. 20 of 2002 s. 181.]</w:t>
      </w:r>
    </w:p>
    <w:p>
      <w:pPr>
        <w:pStyle w:val="Heading5"/>
        <w:spacing w:before="240"/>
      </w:pPr>
      <w:bookmarkStart w:id="372" w:name="_Toc107476456"/>
      <w:bookmarkStart w:id="373" w:name="_Toc106373990"/>
      <w:r>
        <w:rPr>
          <w:rStyle w:val="CharSectno"/>
        </w:rPr>
        <w:t>51C</w:t>
      </w:r>
      <w:r>
        <w:t>.</w:t>
      </w:r>
      <w:r>
        <w:tab/>
        <w:t>Term used: Commission</w:t>
      </w:r>
      <w:bookmarkEnd w:id="372"/>
      <w:bookmarkEnd w:id="373"/>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No. 20 of 2002 s. 181; amended: No. 36 of 2006 s. 18.]</w:t>
      </w:r>
    </w:p>
    <w:p>
      <w:pPr>
        <w:pStyle w:val="Ednotesubdivision"/>
        <w:spacing w:before="200"/>
      </w:pPr>
      <w:r>
        <w:t>[Subdivision 2 (s. 51D</w:t>
      </w:r>
      <w:r>
        <w:noBreakHyphen/>
        <w:t>51H) deleted: No. 36 of 2006 s. 19.]</w:t>
      </w:r>
    </w:p>
    <w:p>
      <w:pPr>
        <w:pStyle w:val="Heading4"/>
        <w:keepLines/>
      </w:pPr>
      <w:bookmarkStart w:id="374" w:name="_Toc107322328"/>
      <w:bookmarkStart w:id="375" w:name="_Toc107476457"/>
      <w:bookmarkStart w:id="376" w:name="_Toc105760062"/>
      <w:bookmarkStart w:id="377" w:name="_Toc106195317"/>
      <w:bookmarkStart w:id="378" w:name="_Toc106367260"/>
      <w:bookmarkStart w:id="379" w:name="_Toc106373991"/>
      <w:r>
        <w:t>Subdivision 3 — Casual employees’ loading</w:t>
      </w:r>
      <w:bookmarkEnd w:id="374"/>
      <w:bookmarkEnd w:id="375"/>
      <w:bookmarkEnd w:id="376"/>
      <w:bookmarkEnd w:id="377"/>
      <w:bookmarkEnd w:id="378"/>
      <w:bookmarkEnd w:id="379"/>
    </w:p>
    <w:p>
      <w:pPr>
        <w:pStyle w:val="Footnoteheading"/>
        <w:keepLines/>
        <w:spacing w:before="100"/>
      </w:pPr>
      <w:r>
        <w:tab/>
        <w:t>[Heading inserted: No. 20 of 2002 s. 181.]</w:t>
      </w:r>
    </w:p>
    <w:p>
      <w:pPr>
        <w:pStyle w:val="Heading5"/>
        <w:spacing w:before="200"/>
      </w:pPr>
      <w:bookmarkStart w:id="380" w:name="_Toc107476458"/>
      <w:bookmarkStart w:id="381" w:name="_Toc106373992"/>
      <w:r>
        <w:rPr>
          <w:rStyle w:val="CharSectno"/>
        </w:rPr>
        <w:t>51I</w:t>
      </w:r>
      <w:r>
        <w:t>.</w:t>
      </w:r>
      <w:r>
        <w:tab/>
        <w:t>Casual employees’ loading, setting for MCE Act s. 11</w:t>
      </w:r>
      <w:bookmarkEnd w:id="380"/>
      <w:bookmarkEnd w:id="381"/>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No. 20 of 2002 s. 181; amended: No. 53 of 2011 s. 48.]</w:t>
      </w:r>
    </w:p>
    <w:p>
      <w:pPr>
        <w:pStyle w:val="Heading4"/>
      </w:pPr>
      <w:bookmarkStart w:id="382" w:name="_Toc107322330"/>
      <w:bookmarkStart w:id="383" w:name="_Toc107476459"/>
      <w:bookmarkStart w:id="384" w:name="_Toc105760064"/>
      <w:bookmarkStart w:id="385" w:name="_Toc106195319"/>
      <w:bookmarkStart w:id="386" w:name="_Toc106367262"/>
      <w:bookmarkStart w:id="387" w:name="_Toc106373993"/>
      <w:r>
        <w:t>Subdivision 4 — Orders under this Division generally</w:t>
      </w:r>
      <w:bookmarkEnd w:id="382"/>
      <w:bookmarkEnd w:id="383"/>
      <w:bookmarkEnd w:id="384"/>
      <w:bookmarkEnd w:id="385"/>
      <w:bookmarkEnd w:id="386"/>
      <w:bookmarkEnd w:id="387"/>
    </w:p>
    <w:p>
      <w:pPr>
        <w:pStyle w:val="Footnoteheading"/>
        <w:spacing w:before="100"/>
      </w:pPr>
      <w:r>
        <w:tab/>
        <w:t>[Heading inserted: No. 20 of 2002 s. 181.]</w:t>
      </w:r>
    </w:p>
    <w:p>
      <w:pPr>
        <w:pStyle w:val="Heading5"/>
        <w:spacing w:before="200"/>
      </w:pPr>
      <w:bookmarkStart w:id="388" w:name="_Toc107476460"/>
      <w:bookmarkStart w:id="389" w:name="_Toc106373994"/>
      <w:r>
        <w:rPr>
          <w:rStyle w:val="CharSectno"/>
        </w:rPr>
        <w:t>51J</w:t>
      </w:r>
      <w:r>
        <w:t>.</w:t>
      </w:r>
      <w:r>
        <w:tab/>
        <w:t>Notice of hearings under this Division</w:t>
      </w:r>
      <w:bookmarkEnd w:id="388"/>
      <w:bookmarkEnd w:id="389"/>
    </w:p>
    <w:p>
      <w:pPr>
        <w:pStyle w:val="Subsection"/>
        <w:spacing w:before="140"/>
      </w:pPr>
      <w:r>
        <w:tab/>
      </w:r>
      <w:r>
        <w:tab/>
        <w:t>The Commission must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No. 20 of 2002 s. 181; amended: No. 53 of 2011 s. 48; No. 30 of 2021 s. 76(2).]</w:t>
      </w:r>
    </w:p>
    <w:p>
      <w:pPr>
        <w:pStyle w:val="Heading5"/>
      </w:pPr>
      <w:bookmarkStart w:id="390" w:name="_Toc107476461"/>
      <w:bookmarkStart w:id="391" w:name="_Toc106373995"/>
      <w:r>
        <w:rPr>
          <w:rStyle w:val="CharSectno"/>
        </w:rPr>
        <w:t>51K</w:t>
      </w:r>
      <w:r>
        <w:t>.</w:t>
      </w:r>
      <w:r>
        <w:tab/>
        <w:t>Right to be heard before order made under this Division</w:t>
      </w:r>
      <w:bookmarkEnd w:id="390"/>
      <w:bookmarkEnd w:id="391"/>
    </w:p>
    <w:p>
      <w:pPr>
        <w:pStyle w:val="Subsection"/>
      </w:pPr>
      <w:r>
        <w:tab/>
      </w:r>
      <w:r>
        <w:tab/>
        <w:t>The Commission must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No. 20 of 2002 s. 181; amended: No. 53 of 2011 s. 48; No. 30 of 2021 s. 76(2).]</w:t>
      </w:r>
    </w:p>
    <w:p>
      <w:pPr>
        <w:pStyle w:val="Heading5"/>
      </w:pPr>
      <w:bookmarkStart w:id="392" w:name="_Toc107476462"/>
      <w:bookmarkStart w:id="393" w:name="_Toc106373996"/>
      <w:r>
        <w:rPr>
          <w:rStyle w:val="CharSectno"/>
        </w:rPr>
        <w:t>51L</w:t>
      </w:r>
      <w:r>
        <w:t>.</w:t>
      </w:r>
      <w:r>
        <w:tab/>
        <w:t>Orders under this Division, restrictions on</w:t>
      </w:r>
      <w:bookmarkEnd w:id="392"/>
      <w:bookmarkEnd w:id="393"/>
    </w:p>
    <w:p>
      <w:pPr>
        <w:pStyle w:val="Subsection"/>
      </w:pPr>
      <w:r>
        <w:tab/>
      </w:r>
      <w:r>
        <w:tab/>
        <w:t>An order made under this Division must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No. 20 of 2002 s. 181; amended: No. 30 of 2021 s. 76(2).]</w:t>
      </w:r>
    </w:p>
    <w:p>
      <w:pPr>
        <w:pStyle w:val="Heading5"/>
      </w:pPr>
      <w:bookmarkStart w:id="394" w:name="_Toc107476463"/>
      <w:bookmarkStart w:id="395" w:name="_Toc106373997"/>
      <w:r>
        <w:rPr>
          <w:rStyle w:val="CharSectno"/>
        </w:rPr>
        <w:t>51M</w:t>
      </w:r>
      <w:r>
        <w:t>.</w:t>
      </w:r>
      <w:r>
        <w:tab/>
        <w:t>Publication of orders</w:t>
      </w:r>
      <w:bookmarkEnd w:id="394"/>
      <w:bookmarkEnd w:id="395"/>
    </w:p>
    <w:p>
      <w:pPr>
        <w:pStyle w:val="Subsection"/>
      </w:pPr>
      <w:r>
        <w:tab/>
      </w:r>
      <w:r>
        <w:tab/>
        <w:t xml:space="preserve">The Commission must direct the Registrar to prepare and publish in the </w:t>
      </w:r>
      <w:r>
        <w:rPr>
          <w:i/>
        </w:rPr>
        <w:t>Industrial Gazette</w:t>
      </w:r>
      <w:r>
        <w:t xml:space="preserve"> the provisions of all orders made under this Division.</w:t>
      </w:r>
    </w:p>
    <w:p>
      <w:pPr>
        <w:pStyle w:val="Footnotesection"/>
      </w:pPr>
      <w:r>
        <w:tab/>
        <w:t>[Section 51M inserted: No. 20 of 2002 s. 181; amended: No. 30 of 2021 s. 76(2).]</w:t>
      </w:r>
    </w:p>
    <w:p>
      <w:pPr>
        <w:pStyle w:val="Heading5"/>
      </w:pPr>
      <w:bookmarkStart w:id="396" w:name="_Toc107476464"/>
      <w:bookmarkStart w:id="397" w:name="_Toc106373998"/>
      <w:r>
        <w:rPr>
          <w:rStyle w:val="CharSectno"/>
        </w:rPr>
        <w:t>51N</w:t>
      </w:r>
      <w:r>
        <w:t>.</w:t>
      </w:r>
      <w:r>
        <w:tab/>
        <w:t>Variation and rescission of s. 51I orders</w:t>
      </w:r>
      <w:bookmarkEnd w:id="396"/>
      <w:bookmarkEnd w:id="397"/>
    </w:p>
    <w:p>
      <w:pPr>
        <w:pStyle w:val="Ednotesubsection"/>
      </w:pPr>
      <w:r>
        <w:tab/>
        <w:t>[(1)</w:t>
      </w:r>
      <w:r>
        <w:tab/>
        <w:t>deleted]</w:t>
      </w:r>
    </w:p>
    <w:p>
      <w:pPr>
        <w:pStyle w:val="Subsection"/>
      </w:pPr>
      <w:r>
        <w:tab/>
        <w:t>(2)</w:t>
      </w:r>
      <w:r>
        <w:tab/>
        <w:t>An order made under section 51I cannot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No. 20 of 2002 s. 181; amended: No. 36 of 2006 s. 20; No. 30 of 2021 s. 76(5).]</w:t>
      </w:r>
    </w:p>
    <w:p>
      <w:pPr>
        <w:pStyle w:val="Heading3"/>
      </w:pPr>
      <w:bookmarkStart w:id="398" w:name="_Toc107322336"/>
      <w:bookmarkStart w:id="399" w:name="_Toc107476465"/>
      <w:bookmarkStart w:id="400" w:name="_Toc84926077"/>
      <w:bookmarkStart w:id="401" w:name="_Toc84927493"/>
      <w:bookmarkStart w:id="402" w:name="_Toc84935473"/>
      <w:bookmarkStart w:id="403" w:name="_Toc85533270"/>
      <w:bookmarkStart w:id="404" w:name="_Toc85543886"/>
      <w:bookmarkStart w:id="405" w:name="_Toc90551679"/>
      <w:bookmarkStart w:id="406" w:name="_Toc90553647"/>
      <w:bookmarkStart w:id="407" w:name="_Toc90558250"/>
      <w:bookmarkStart w:id="408" w:name="_Toc91144492"/>
      <w:bookmarkStart w:id="409" w:name="_Toc95209331"/>
      <w:bookmarkStart w:id="410" w:name="_Toc106195325"/>
      <w:bookmarkStart w:id="411" w:name="_Toc106367268"/>
      <w:bookmarkStart w:id="412" w:name="_Toc106373999"/>
      <w:bookmarkStart w:id="413" w:name="_Toc105760070"/>
      <w:r>
        <w:rPr>
          <w:rStyle w:val="CharDivNo"/>
        </w:rPr>
        <w:t>Division 3B</w:t>
      </w:r>
      <w:r>
        <w:t> — </w:t>
      </w:r>
      <w:r>
        <w:rPr>
          <w:rStyle w:val="CharDivText"/>
        </w:rPr>
        <w:t>Equal remuneration</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pPr>
        <w:pStyle w:val="Footnoteheading"/>
        <w:keepNext/>
        <w:keepLines/>
      </w:pPr>
      <w:bookmarkStart w:id="414" w:name="_Toc90558251"/>
      <w:bookmarkStart w:id="415" w:name="_Toc95209332"/>
      <w:r>
        <w:tab/>
        <w:t>[Heading inserted: No. 30 of 2021 s. 31.]</w:t>
      </w:r>
    </w:p>
    <w:p>
      <w:pPr>
        <w:pStyle w:val="Heading5"/>
      </w:pPr>
      <w:bookmarkStart w:id="416" w:name="_Toc107476466"/>
      <w:bookmarkStart w:id="417" w:name="_Toc106374000"/>
      <w:r>
        <w:rPr>
          <w:rStyle w:val="CharSectno"/>
        </w:rPr>
        <w:t>51O</w:t>
      </w:r>
      <w:r>
        <w:t>.</w:t>
      </w:r>
      <w:r>
        <w:tab/>
        <w:t>Equal remuneration orders</w:t>
      </w:r>
      <w:bookmarkEnd w:id="416"/>
      <w:bookmarkEnd w:id="414"/>
      <w:bookmarkEnd w:id="415"/>
      <w:bookmarkEnd w:id="417"/>
    </w:p>
    <w:p>
      <w:pPr>
        <w:pStyle w:val="Subsection"/>
      </w:pPr>
      <w:r>
        <w:tab/>
        <w:t>(1)</w:t>
      </w:r>
      <w:r>
        <w:tab/>
        <w:t xml:space="preserve">In this section — </w:t>
      </w:r>
    </w:p>
    <w:p>
      <w:pPr>
        <w:pStyle w:val="Defstart"/>
      </w:pPr>
      <w:r>
        <w:tab/>
      </w:r>
      <w:r>
        <w:rPr>
          <w:rStyle w:val="CharDefText"/>
        </w:rPr>
        <w:t>statement of principles</w:t>
      </w:r>
      <w:r>
        <w:t xml:space="preserve"> means the statement of principles referred to in section 50A(1)(d)(ii).</w:t>
      </w:r>
    </w:p>
    <w:p>
      <w:pPr>
        <w:pStyle w:val="Subsection"/>
      </w:pPr>
      <w:r>
        <w:tab/>
        <w:t>(2)</w:t>
      </w:r>
      <w:r>
        <w:tab/>
        <w:t xml:space="preserve">On an application under section 29(1)(b), the Commission must make an order (an </w:t>
      </w:r>
      <w:r>
        <w:rPr>
          <w:rStyle w:val="CharDefText"/>
        </w:rPr>
        <w:t>equal remuneration order</w:t>
      </w:r>
      <w:r>
        <w:t>) to ensure that an employee receives equal remuneration if the Commission is satisfied that the employee does not receive that remuneration.</w:t>
      </w:r>
    </w:p>
    <w:p>
      <w:pPr>
        <w:pStyle w:val="Subsection"/>
      </w:pPr>
      <w:r>
        <w:tab/>
        <w:t>(3)</w:t>
      </w:r>
      <w:r>
        <w:tab/>
        <w:t xml:space="preserve">The equal remuneration order may relate to any matter the Commission considers appropriate, including (but not limited to) the following — </w:t>
      </w:r>
    </w:p>
    <w:p>
      <w:pPr>
        <w:pStyle w:val="Indenta"/>
      </w:pPr>
      <w:r>
        <w:tab/>
        <w:t>(a)</w:t>
      </w:r>
      <w:r>
        <w:tab/>
        <w:t>reclassifying work;</w:t>
      </w:r>
    </w:p>
    <w:p>
      <w:pPr>
        <w:pStyle w:val="Indenta"/>
      </w:pPr>
      <w:r>
        <w:tab/>
        <w:t>(b)</w:t>
      </w:r>
      <w:r>
        <w:tab/>
        <w:t>establishing new career paths;</w:t>
      </w:r>
    </w:p>
    <w:p>
      <w:pPr>
        <w:pStyle w:val="Indenta"/>
      </w:pPr>
      <w:r>
        <w:tab/>
        <w:t>(c)</w:t>
      </w:r>
      <w:r>
        <w:tab/>
        <w:t>implementing changes to incremental pay scales;</w:t>
      </w:r>
    </w:p>
    <w:p>
      <w:pPr>
        <w:pStyle w:val="Indenta"/>
      </w:pPr>
      <w:r>
        <w:tab/>
        <w:t>(d)</w:t>
      </w:r>
      <w:r>
        <w:tab/>
        <w:t xml:space="preserve">providing for increases in remuneration rates, including — </w:t>
      </w:r>
    </w:p>
    <w:p>
      <w:pPr>
        <w:pStyle w:val="Indenti"/>
      </w:pPr>
      <w:r>
        <w:tab/>
        <w:t>(i)</w:t>
      </w:r>
      <w:r>
        <w:tab/>
        <w:t>minimum rates of pay in awards, industrial agreements and enterprise orders; and</w:t>
      </w:r>
    </w:p>
    <w:p>
      <w:pPr>
        <w:pStyle w:val="Indenti"/>
      </w:pPr>
      <w:r>
        <w:tab/>
        <w:t>(ii)</w:t>
      </w:r>
      <w:r>
        <w:tab/>
        <w:t>new allowances;</w:t>
      </w:r>
    </w:p>
    <w:p>
      <w:pPr>
        <w:pStyle w:val="Indenta"/>
      </w:pPr>
      <w:r>
        <w:tab/>
        <w:t>(e)</w:t>
      </w:r>
      <w:r>
        <w:tab/>
        <w:t>reassessing definitions and descriptions of work to properly reflect the value of the work.</w:t>
      </w:r>
    </w:p>
    <w:p>
      <w:pPr>
        <w:pStyle w:val="Subsection"/>
      </w:pPr>
      <w:r>
        <w:tab/>
        <w:t>(4)</w:t>
      </w:r>
      <w:r>
        <w:tab/>
        <w:t xml:space="preserve">The Commission must apply the statement of principles, with any necessary modifications, in — </w:t>
      </w:r>
    </w:p>
    <w:p>
      <w:pPr>
        <w:pStyle w:val="Indenta"/>
      </w:pPr>
      <w:r>
        <w:tab/>
        <w:t>(a)</w:t>
      </w:r>
      <w:r>
        <w:tab/>
        <w:t>determining whether an employee receives equal remuneration; and</w:t>
      </w:r>
    </w:p>
    <w:p>
      <w:pPr>
        <w:pStyle w:val="Indenta"/>
      </w:pPr>
      <w:r>
        <w:tab/>
        <w:t>(b)</w:t>
      </w:r>
      <w:r>
        <w:tab/>
        <w:t>deciding the terms of an equal remuneration order.</w:t>
      </w:r>
    </w:p>
    <w:p>
      <w:pPr>
        <w:pStyle w:val="Subsection"/>
      </w:pPr>
      <w:r>
        <w:tab/>
        <w:t>(5)</w:t>
      </w:r>
      <w:r>
        <w:tab/>
        <w:t>For the purposes of subsection (3), this Division prevails over the statement of principles to the extent of any inconsistency.</w:t>
      </w:r>
    </w:p>
    <w:p>
      <w:pPr>
        <w:pStyle w:val="Subsection"/>
      </w:pPr>
      <w:r>
        <w:tab/>
        <w:t>(6)</w:t>
      </w:r>
      <w:r>
        <w:tab/>
        <w:t xml:space="preserve">An equal remuneration order may introduce measures to ensure equal remuneration — </w:t>
      </w:r>
    </w:p>
    <w:p>
      <w:pPr>
        <w:pStyle w:val="Indenta"/>
      </w:pPr>
      <w:r>
        <w:tab/>
        <w:t>(a)</w:t>
      </w:r>
      <w:r>
        <w:tab/>
        <w:t>immediately; or</w:t>
      </w:r>
    </w:p>
    <w:p>
      <w:pPr>
        <w:pStyle w:val="Indenta"/>
      </w:pPr>
      <w:r>
        <w:tab/>
        <w:t>(b)</w:t>
      </w:r>
      <w:r>
        <w:tab/>
        <w:t>progressively, in stages specified in the order.</w:t>
      </w:r>
    </w:p>
    <w:p>
      <w:pPr>
        <w:pStyle w:val="Footnotesection"/>
      </w:pPr>
      <w:bookmarkStart w:id="418" w:name="_Toc90558252"/>
      <w:bookmarkStart w:id="419" w:name="_Toc95209333"/>
      <w:r>
        <w:tab/>
        <w:t>[Section 51O inserted: No. 30 of 2021 s. 31.]</w:t>
      </w:r>
    </w:p>
    <w:p>
      <w:pPr>
        <w:pStyle w:val="Heading5"/>
      </w:pPr>
      <w:bookmarkStart w:id="420" w:name="_Toc107476467"/>
      <w:bookmarkStart w:id="421" w:name="_Toc106374001"/>
      <w:r>
        <w:rPr>
          <w:rStyle w:val="CharSectno"/>
        </w:rPr>
        <w:t>51P</w:t>
      </w:r>
      <w:r>
        <w:t>.</w:t>
      </w:r>
      <w:r>
        <w:tab/>
        <w:t>Employer not to reduce remuneration</w:t>
      </w:r>
      <w:bookmarkEnd w:id="420"/>
      <w:bookmarkEnd w:id="418"/>
      <w:bookmarkEnd w:id="419"/>
      <w:bookmarkEnd w:id="421"/>
    </w:p>
    <w:p>
      <w:pPr>
        <w:pStyle w:val="Subsection"/>
      </w:pPr>
      <w:r>
        <w:tab/>
        <w:t>(1)</w:t>
      </w:r>
      <w:r>
        <w:tab/>
        <w:t>An employer must not reduce an employee’s remuneration because an equal remuneration order, or an application for the order, has been made in relation to the employee.</w:t>
      </w:r>
    </w:p>
    <w:p>
      <w:pPr>
        <w:pStyle w:val="Subsection"/>
      </w:pPr>
      <w:r>
        <w:tab/>
        <w:t>(2)</w:t>
      </w:r>
      <w:r>
        <w:tab/>
        <w:t>The purported reduction is of no effect.</w:t>
      </w:r>
    </w:p>
    <w:p>
      <w:pPr>
        <w:pStyle w:val="Footnotesection"/>
      </w:pPr>
      <w:bookmarkStart w:id="422" w:name="_Toc90558253"/>
      <w:bookmarkStart w:id="423" w:name="_Toc95209334"/>
      <w:r>
        <w:tab/>
        <w:t>[Section 51P inserted: No. 30 of 2021 s. 31.]</w:t>
      </w:r>
    </w:p>
    <w:p>
      <w:pPr>
        <w:pStyle w:val="Heading5"/>
      </w:pPr>
      <w:bookmarkStart w:id="424" w:name="_Toc107476468"/>
      <w:bookmarkStart w:id="425" w:name="_Toc106374002"/>
      <w:r>
        <w:rPr>
          <w:rStyle w:val="CharSectno"/>
        </w:rPr>
        <w:t>51Q</w:t>
      </w:r>
      <w:r>
        <w:t>.</w:t>
      </w:r>
      <w:r>
        <w:tab/>
        <w:t>Alternative remedies</w:t>
      </w:r>
      <w:bookmarkEnd w:id="424"/>
      <w:bookmarkEnd w:id="422"/>
      <w:bookmarkEnd w:id="423"/>
      <w:bookmarkEnd w:id="425"/>
    </w:p>
    <w:p>
      <w:pPr>
        <w:pStyle w:val="Subsection"/>
      </w:pPr>
      <w:r>
        <w:tab/>
        <w:t>(1)</w:t>
      </w:r>
      <w:r>
        <w:tab/>
        <w:t xml:space="preserve">Except as provided in subsection (3), this Division does not limit a right a person might otherwise have to a remedy (an </w:t>
      </w:r>
      <w:r>
        <w:rPr>
          <w:rStyle w:val="CharDefText"/>
        </w:rPr>
        <w:t>alternative remedy</w:t>
      </w:r>
      <w:r>
        <w:t>) to secure equal remuneration under another provision of this Act or another enactment.</w:t>
      </w:r>
    </w:p>
    <w:p>
      <w:pPr>
        <w:pStyle w:val="Subsection"/>
      </w:pPr>
      <w:r>
        <w:tab/>
        <w:t>(2)</w:t>
      </w:r>
      <w:r>
        <w:tab/>
        <w:t>A person who has applied for an alternative remedy in relation to an employee cannot apply for an equal remuneration order in relation to the employee unless the proceedings for the alternative remedy have been withdrawn or determined.</w:t>
      </w:r>
    </w:p>
    <w:p>
      <w:pPr>
        <w:pStyle w:val="Subsection"/>
      </w:pPr>
      <w:r>
        <w:tab/>
        <w:t>(3)</w:t>
      </w:r>
      <w:r>
        <w:tab/>
        <w:t>A person who has applied for an equal remuneration order in relation to an employee cannot commence proceedings for an alternative remedy in relation to the employee unless the application for the equal remuneration order has been withdrawn or determined.</w:t>
      </w:r>
    </w:p>
    <w:p>
      <w:pPr>
        <w:pStyle w:val="Subsection"/>
      </w:pPr>
      <w:r>
        <w:tab/>
        <w:t>(4)</w:t>
      </w:r>
      <w:r>
        <w:tab/>
        <w:t xml:space="preserve">Subsection (3) does not prevent an organisation from commencing proceedings — </w:t>
      </w:r>
    </w:p>
    <w:p>
      <w:pPr>
        <w:pStyle w:val="Indenta"/>
      </w:pPr>
      <w:r>
        <w:tab/>
        <w:t>(a)</w:t>
      </w:r>
      <w:r>
        <w:tab/>
        <w:t>that relate, in part or as a whole, to the securing of equal remuneration for the employee; and</w:t>
      </w:r>
    </w:p>
    <w:p>
      <w:pPr>
        <w:pStyle w:val="Indenta"/>
      </w:pPr>
      <w:r>
        <w:tab/>
        <w:t>(b)</w:t>
      </w:r>
      <w:r>
        <w:tab/>
        <w:t xml:space="preserve">that comprise any of the following — </w:t>
      </w:r>
    </w:p>
    <w:p>
      <w:pPr>
        <w:pStyle w:val="Indenti"/>
      </w:pPr>
      <w:r>
        <w:tab/>
        <w:t>(i)</w:t>
      </w:r>
      <w:r>
        <w:tab/>
        <w:t>an application to vary an award under section 40;</w:t>
      </w:r>
    </w:p>
    <w:p>
      <w:pPr>
        <w:pStyle w:val="Indenti"/>
      </w:pPr>
      <w:r>
        <w:tab/>
        <w:t>(ii)</w:t>
      </w:r>
      <w:r>
        <w:tab/>
        <w:t>an application for the registration of an industrial agreement under section 41;</w:t>
      </w:r>
    </w:p>
    <w:p>
      <w:pPr>
        <w:pStyle w:val="Indenti"/>
      </w:pPr>
      <w:r>
        <w:tab/>
        <w:t>(iii)</w:t>
      </w:r>
      <w:r>
        <w:tab/>
        <w:t>an initiation of bargaining under section 42(1);</w:t>
      </w:r>
    </w:p>
    <w:p>
      <w:pPr>
        <w:pStyle w:val="Indenti"/>
      </w:pPr>
      <w:r>
        <w:tab/>
        <w:t>(iv)</w:t>
      </w:r>
      <w:r>
        <w:tab/>
        <w:t>an application under section 42G for an order regarding provisions of an industrial agreement;</w:t>
      </w:r>
    </w:p>
    <w:p>
      <w:pPr>
        <w:pStyle w:val="Indenti"/>
      </w:pPr>
      <w:r>
        <w:tab/>
        <w:t>(v)</w:t>
      </w:r>
      <w:r>
        <w:tab/>
        <w:t>an application under section 42I for an enterprise order.</w:t>
      </w:r>
    </w:p>
    <w:p>
      <w:pPr>
        <w:pStyle w:val="Footnotesection"/>
      </w:pPr>
      <w:bookmarkStart w:id="426" w:name="_Toc90558254"/>
      <w:bookmarkStart w:id="427" w:name="_Toc95209335"/>
      <w:r>
        <w:tab/>
        <w:t>[Section 51Q inserted: No. 30 of 2021 s. 31.]</w:t>
      </w:r>
    </w:p>
    <w:p>
      <w:pPr>
        <w:pStyle w:val="Heading5"/>
      </w:pPr>
      <w:bookmarkStart w:id="428" w:name="_Toc107476469"/>
      <w:bookmarkStart w:id="429" w:name="_Toc106374003"/>
      <w:r>
        <w:rPr>
          <w:rStyle w:val="CharSectno"/>
        </w:rPr>
        <w:t>51R</w:t>
      </w:r>
      <w:r>
        <w:t>.</w:t>
      </w:r>
      <w:r>
        <w:tab/>
        <w:t>Remuneration</w:t>
      </w:r>
      <w:r>
        <w:noBreakHyphen/>
        <w:t>related action</w:t>
      </w:r>
      <w:bookmarkEnd w:id="428"/>
      <w:bookmarkEnd w:id="426"/>
      <w:bookmarkEnd w:id="427"/>
      <w:bookmarkEnd w:id="429"/>
    </w:p>
    <w:p>
      <w:pPr>
        <w:pStyle w:val="Subsection"/>
        <w:keepNext/>
      </w:pPr>
      <w:r>
        <w:tab/>
        <w:t>(1)</w:t>
      </w:r>
      <w:r>
        <w:tab/>
        <w:t xml:space="preserve">In this section — </w:t>
      </w:r>
    </w:p>
    <w:p>
      <w:pPr>
        <w:pStyle w:val="Defstart"/>
        <w:keepNext/>
      </w:pPr>
      <w:r>
        <w:tab/>
      </w:r>
      <w:r>
        <w:rPr>
          <w:rStyle w:val="CharDefText"/>
        </w:rPr>
        <w:t>remuneration</w:t>
      </w:r>
      <w:r>
        <w:rPr>
          <w:rStyle w:val="CharDefText"/>
        </w:rPr>
        <w:noBreakHyphen/>
        <w:t>related action</w:t>
      </w:r>
      <w:r>
        <w:t xml:space="preserve"> means — </w:t>
      </w:r>
    </w:p>
    <w:p>
      <w:pPr>
        <w:pStyle w:val="Defpara"/>
      </w:pPr>
      <w:r>
        <w:tab/>
        <w:t>(a)</w:t>
      </w:r>
      <w:r>
        <w:tab/>
        <w:t>the registration of an industrial agreement under section 41; or</w:t>
      </w:r>
    </w:p>
    <w:p>
      <w:pPr>
        <w:pStyle w:val="Defpara"/>
      </w:pPr>
      <w:r>
        <w:tab/>
        <w:t>(b)</w:t>
      </w:r>
      <w:r>
        <w:tab/>
        <w:t>the making of an award under this Act; or</w:t>
      </w:r>
    </w:p>
    <w:p>
      <w:pPr>
        <w:pStyle w:val="Defpara"/>
      </w:pPr>
      <w:r>
        <w:tab/>
        <w:t>(c)</w:t>
      </w:r>
      <w:r>
        <w:tab/>
        <w:t>the making of an order under this Act.</w:t>
      </w:r>
    </w:p>
    <w:p>
      <w:pPr>
        <w:pStyle w:val="Subsection"/>
      </w:pPr>
      <w:r>
        <w:tab/>
        <w:t>(2)</w:t>
      </w:r>
      <w:r>
        <w:tab/>
        <w:t>The Commission must not take remuneration</w:t>
      </w:r>
      <w:r>
        <w:noBreakHyphen/>
        <w:t xml:space="preserve">related action that — </w:t>
      </w:r>
    </w:p>
    <w:p>
      <w:pPr>
        <w:pStyle w:val="Indenta"/>
      </w:pPr>
      <w:r>
        <w:tab/>
        <w:t>(a)</w:t>
      </w:r>
      <w:r>
        <w:tab/>
        <w:t>prohibits or restricts the making of an application for an equal remuneration order; or</w:t>
      </w:r>
    </w:p>
    <w:p>
      <w:pPr>
        <w:pStyle w:val="Indenta"/>
      </w:pPr>
      <w:r>
        <w:tab/>
        <w:t>(b)</w:t>
      </w:r>
      <w:r>
        <w:tab/>
        <w:t>is inconsistent with, or prohibits or restricts the application of, an equal remuneration order.</w:t>
      </w:r>
    </w:p>
    <w:p>
      <w:pPr>
        <w:pStyle w:val="Footnotesection"/>
      </w:pPr>
      <w:r>
        <w:tab/>
        <w:t>[Section 51R inserted: No. 30 of 2021 s. 31.]</w:t>
      </w:r>
    </w:p>
    <w:p>
      <w:pPr>
        <w:pStyle w:val="Ednotesection"/>
      </w:pPr>
      <w:r>
        <w:t>[</w:t>
      </w:r>
      <w:r>
        <w:rPr>
          <w:b/>
        </w:rPr>
        <w:t>51S, 51T.</w:t>
      </w:r>
      <w:r>
        <w:tab/>
        <w:t>Deleted: No. 30 of 2021 s. 31.]</w:t>
      </w:r>
    </w:p>
    <w:p>
      <w:pPr>
        <w:pStyle w:val="Heading3"/>
        <w:keepLines/>
        <w:rPr>
          <w:snapToGrid w:val="0"/>
        </w:rPr>
      </w:pPr>
      <w:bookmarkStart w:id="430" w:name="_Toc107322341"/>
      <w:bookmarkStart w:id="431" w:name="_Toc107476470"/>
      <w:bookmarkStart w:id="432" w:name="_Toc105760077"/>
      <w:bookmarkStart w:id="433" w:name="_Toc106195330"/>
      <w:bookmarkStart w:id="434" w:name="_Toc106367273"/>
      <w:bookmarkStart w:id="435" w:name="_Toc106374004"/>
      <w:bookmarkEnd w:id="413"/>
      <w:r>
        <w:rPr>
          <w:rStyle w:val="CharDivNo"/>
        </w:rPr>
        <w:t>Division 4</w:t>
      </w:r>
      <w:r>
        <w:rPr>
          <w:snapToGrid w:val="0"/>
        </w:rPr>
        <w:t> — </w:t>
      </w:r>
      <w:r>
        <w:rPr>
          <w:rStyle w:val="CharDivText"/>
        </w:rPr>
        <w:t>Industrial organisations and associations</w:t>
      </w:r>
      <w:bookmarkEnd w:id="430"/>
      <w:bookmarkEnd w:id="431"/>
      <w:bookmarkEnd w:id="432"/>
      <w:bookmarkEnd w:id="433"/>
      <w:bookmarkEnd w:id="434"/>
      <w:bookmarkEnd w:id="435"/>
    </w:p>
    <w:p>
      <w:pPr>
        <w:pStyle w:val="Footnoteheading"/>
        <w:keepNext/>
        <w:keepLines/>
        <w:rPr>
          <w:snapToGrid w:val="0"/>
        </w:rPr>
      </w:pPr>
      <w:r>
        <w:rPr>
          <w:snapToGrid w:val="0"/>
        </w:rPr>
        <w:tab/>
        <w:t>[Heading amended: No. 119 of 1987 s. 14.]</w:t>
      </w:r>
    </w:p>
    <w:p>
      <w:pPr>
        <w:pStyle w:val="Heading5"/>
        <w:rPr>
          <w:snapToGrid w:val="0"/>
        </w:rPr>
      </w:pPr>
      <w:bookmarkStart w:id="436" w:name="_Toc107476471"/>
      <w:bookmarkStart w:id="437" w:name="_Toc106374005"/>
      <w:r>
        <w:rPr>
          <w:rStyle w:val="CharSectno"/>
        </w:rPr>
        <w:t>52</w:t>
      </w:r>
      <w:r>
        <w:rPr>
          <w:snapToGrid w:val="0"/>
        </w:rPr>
        <w:t>.</w:t>
      </w:r>
      <w:r>
        <w:rPr>
          <w:snapToGrid w:val="0"/>
        </w:rPr>
        <w:tab/>
        <w:t>Terms used</w:t>
      </w:r>
      <w:bookmarkEnd w:id="436"/>
      <w:bookmarkEnd w:id="437"/>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tab/>
      </w:r>
      <w:r>
        <w:rPr>
          <w:rStyle w:val="CharDefText"/>
        </w:rPr>
        <w:t>counterpart federal body</w:t>
      </w:r>
      <w:r>
        <w:t xml:space="preserve"> has the meaning given in section 52A;</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the person;</w:t>
      </w:r>
    </w:p>
    <w:p>
      <w:pPr>
        <w:pStyle w:val="Defstart"/>
      </w:pPr>
      <w:r>
        <w:rPr>
          <w:b/>
        </w:rPr>
        <w:tab/>
      </w:r>
      <w:r>
        <w:rPr>
          <w:rStyle w:val="CharDefText"/>
        </w:rPr>
        <w:t>State organisation</w:t>
      </w:r>
      <w:r>
        <w:t xml:space="preserve"> means an organisation that is registered under this Division.</w:t>
      </w:r>
    </w:p>
    <w:p>
      <w:pPr>
        <w:pStyle w:val="Footnotesection"/>
      </w:pPr>
      <w:r>
        <w:tab/>
        <w:t>[Section 52 amended: No. 119 of 1987 s. 15; No. 30 of 2021 s. 32.]</w:t>
      </w:r>
    </w:p>
    <w:p>
      <w:pPr>
        <w:pStyle w:val="Heading5"/>
      </w:pPr>
      <w:bookmarkStart w:id="438" w:name="_Toc107476472"/>
      <w:bookmarkStart w:id="439" w:name="_Toc90558257"/>
      <w:bookmarkStart w:id="440" w:name="_Toc95209338"/>
      <w:bookmarkStart w:id="441" w:name="_Toc106374006"/>
      <w:r>
        <w:rPr>
          <w:rStyle w:val="CharSectno"/>
        </w:rPr>
        <w:t>52A</w:t>
      </w:r>
      <w:r>
        <w:t>.</w:t>
      </w:r>
      <w:r>
        <w:tab/>
        <w:t>Counterpart federal body</w:t>
      </w:r>
      <w:bookmarkEnd w:id="438"/>
      <w:bookmarkEnd w:id="439"/>
      <w:bookmarkEnd w:id="440"/>
      <w:bookmarkEnd w:id="441"/>
    </w:p>
    <w:p>
      <w:pPr>
        <w:pStyle w:val="Subsection"/>
        <w:rPr>
          <w:snapToGrid w:val="0"/>
        </w:rPr>
      </w:pPr>
      <w:r>
        <w:rPr>
          <w:snapToGrid w:val="0"/>
        </w:rPr>
        <w:tab/>
        <w:t>(1)</w:t>
      </w:r>
      <w:r>
        <w:rPr>
          <w:snapToGrid w:val="0"/>
        </w:rPr>
        <w:tab/>
        <w:t xml:space="preserve">In this section — </w:t>
      </w:r>
    </w:p>
    <w:p>
      <w:pPr>
        <w:pStyle w:val="Defstart"/>
      </w:pPr>
      <w:r>
        <w:tab/>
      </w:r>
      <w:r>
        <w:rPr>
          <w:rStyle w:val="CharDefText"/>
        </w:rPr>
        <w:t>rules</w:t>
      </w:r>
      <w:r>
        <w:t xml:space="preserve">, of a branch of a federal organisation, means — </w:t>
      </w:r>
    </w:p>
    <w:p>
      <w:pPr>
        <w:pStyle w:val="Defpara"/>
      </w:pPr>
      <w:r>
        <w:tab/>
        <w:t>(a)</w:t>
      </w:r>
      <w:r>
        <w:tab/>
        <w:t>rules relating to the qualifications of persons for membership; and</w:t>
      </w:r>
    </w:p>
    <w:p>
      <w:pPr>
        <w:pStyle w:val="Defpara"/>
      </w:pPr>
      <w:r>
        <w:tab/>
        <w:t>(b)</w:t>
      </w:r>
      <w:r>
        <w:tab/>
        <w:t>rules prescribing the offices that exist within the branch.</w:t>
      </w:r>
    </w:p>
    <w:p>
      <w:pPr>
        <w:pStyle w:val="Subsection"/>
      </w:pPr>
      <w:r>
        <w:rPr>
          <w:snapToGrid w:val="0"/>
        </w:rPr>
        <w:tab/>
        <w:t>(2)</w:t>
      </w:r>
      <w:r>
        <w:rPr>
          <w:snapToGrid w:val="0"/>
        </w:rPr>
        <w:tab/>
        <w:t xml:space="preserve">A Western Australian branch of a federal organisation is a </w:t>
      </w:r>
      <w:r>
        <w:rPr>
          <w:rStyle w:val="CharDefText"/>
        </w:rPr>
        <w:t>counterpart federal body</w:t>
      </w:r>
      <w:r>
        <w:rPr>
          <w:snapToGrid w:val="0"/>
        </w:rPr>
        <w:t xml:space="preserve"> in relation to a State organisation if the rules of the branch </w:t>
      </w:r>
      <w:r>
        <w:t>are, or in accordance with section 71(2) or (4) are taken to be, the same as the rules of the State organisation relating to the corresponding subject matter.</w:t>
      </w:r>
    </w:p>
    <w:p>
      <w:pPr>
        <w:pStyle w:val="Subsection"/>
        <w:rPr>
          <w:snapToGrid w:val="0"/>
        </w:rPr>
      </w:pPr>
      <w:r>
        <w:tab/>
        <w:t>(3)</w:t>
      </w:r>
      <w:r>
        <w:tab/>
        <w:t xml:space="preserve">A federal organisation is a </w:t>
      </w:r>
      <w:r>
        <w:rPr>
          <w:rStyle w:val="CharDefText"/>
        </w:rPr>
        <w:t>counterpart federal body</w:t>
      </w:r>
      <w:r>
        <w:t xml:space="preserve"> of a State organisation even though the body does not have or comprise a Western Australian branch of the federal organisation if the Commission in Court Session</w:t>
      </w:r>
      <w:r>
        <w:rPr>
          <w:snapToGrid w:val="0"/>
        </w:rPr>
        <w:t xml:space="preserve"> is of the opinion that the federal organisation is a counterpart federal body in relation to a State organisation.</w:t>
      </w:r>
    </w:p>
    <w:p>
      <w:pPr>
        <w:pStyle w:val="Subsection"/>
        <w:rPr>
          <w:snapToGrid w:val="0"/>
        </w:rPr>
      </w:pPr>
      <w:r>
        <w:rPr>
          <w:snapToGrid w:val="0"/>
        </w:rPr>
        <w:tab/>
        <w:t>(4)</w:t>
      </w:r>
      <w:r>
        <w:rPr>
          <w:snapToGrid w:val="0"/>
        </w:rPr>
        <w:tab/>
      </w:r>
      <w:r>
        <w:t>The Commission in Court Session</w:t>
      </w:r>
      <w:r>
        <w:rPr>
          <w:snapToGrid w:val="0"/>
        </w:rPr>
        <w:t xml:space="preserve"> may form the opinion referred to in subsection (3) only if — </w:t>
      </w:r>
    </w:p>
    <w:p>
      <w:pPr>
        <w:pStyle w:val="Indenta"/>
      </w:pPr>
      <w:r>
        <w:tab/>
        <w:t>(a)</w:t>
      </w:r>
      <w:r>
        <w:tab/>
        <w:t>a substantial number of members of the State organisation are —</w:t>
      </w:r>
    </w:p>
    <w:p>
      <w:pPr>
        <w:pStyle w:val="Indenti"/>
      </w:pPr>
      <w:r>
        <w:tab/>
        <w:t>(i)</w:t>
      </w:r>
      <w:r>
        <w:tab/>
        <w:t>members or eligible to be members of the federal organisation; or</w:t>
      </w:r>
    </w:p>
    <w:p>
      <w:pPr>
        <w:pStyle w:val="Indenti"/>
      </w:pPr>
      <w:r>
        <w:tab/>
        <w:t>(ii)</w:t>
      </w:r>
      <w:r>
        <w:tab/>
        <w:t>engaged in the same work, in aspects of the same work or in similar work as members of the federal organisation; or</w:t>
      </w:r>
    </w:p>
    <w:p>
      <w:pPr>
        <w:pStyle w:val="Indenti"/>
      </w:pPr>
      <w:r>
        <w:tab/>
        <w:t>(iii)</w:t>
      </w:r>
      <w:r>
        <w:tab/>
        <w:t>employed in the same or similar work by employers engaged in the same industry as members of the federal organisation; or</w:t>
      </w:r>
    </w:p>
    <w:p>
      <w:pPr>
        <w:pStyle w:val="Indenti"/>
      </w:pPr>
      <w:r>
        <w:tab/>
        <w:t>(iv)</w:t>
      </w:r>
      <w:r>
        <w:tab/>
        <w:t xml:space="preserve">engaged in work or in industries for which there is a community of interest between the federal organisation and the State organisation; </w:t>
      </w:r>
    </w:p>
    <w:p>
      <w:pPr>
        <w:pStyle w:val="Indenta"/>
      </w:pPr>
      <w:r>
        <w:tab/>
      </w:r>
      <w:r>
        <w:tab/>
        <w:t>or</w:t>
      </w:r>
    </w:p>
    <w:p>
      <w:pPr>
        <w:pStyle w:val="Indenta"/>
      </w:pPr>
      <w:r>
        <w:tab/>
        <w:t>(b)</w:t>
      </w:r>
      <w:r>
        <w:tab/>
        <w:t>there is an agreement in force under the FW (Registered Organisations) Act section 151 between the federal organisation and the State organisation.</w:t>
      </w:r>
    </w:p>
    <w:p>
      <w:pPr>
        <w:pStyle w:val="Subsection"/>
        <w:rPr>
          <w:snapToGrid w:val="0"/>
        </w:rPr>
      </w:pPr>
      <w:r>
        <w:rPr>
          <w:snapToGrid w:val="0"/>
        </w:rPr>
        <w:tab/>
        <w:t>(5)</w:t>
      </w:r>
      <w:r>
        <w:rPr>
          <w:snapToGrid w:val="0"/>
        </w:rPr>
        <w:tab/>
      </w:r>
      <w:r>
        <w:t>The Commission in Court Session</w:t>
      </w:r>
      <w:r>
        <w:rPr>
          <w:snapToGrid w:val="0"/>
        </w:rPr>
        <w:t xml:space="preserve"> may form the opinion referred to in subsection (3) despite the fact that a person who is eligible to be a member of the State organisation is, by reason of being a member of a particular class of persons, ineligible to be a member of that State organisation’s counterpart federal body.</w:t>
      </w:r>
    </w:p>
    <w:p>
      <w:pPr>
        <w:pStyle w:val="Subsection"/>
        <w:rPr>
          <w:snapToGrid w:val="0"/>
        </w:rPr>
      </w:pPr>
      <w:r>
        <w:rPr>
          <w:snapToGrid w:val="0"/>
        </w:rPr>
        <w:tab/>
        <w:t>(6)</w:t>
      </w:r>
      <w:r>
        <w:rPr>
          <w:snapToGrid w:val="0"/>
        </w:rPr>
        <w:tab/>
      </w:r>
      <w:r>
        <w:t>The Commission in Court Session</w:t>
      </w:r>
      <w:r>
        <w:rPr>
          <w:snapToGrid w:val="0"/>
        </w:rPr>
        <w:t xml:space="preserve"> may form the opinion referred to in subsection (3) despite the fact that a person who is eligible to be a member of the counterpart federal body is, by reason of being a member of a particular class of persons, ineligible to be a member of the State organisation.</w:t>
      </w:r>
    </w:p>
    <w:p>
      <w:pPr>
        <w:pStyle w:val="Subsection"/>
        <w:rPr>
          <w:snapToGrid w:val="0"/>
        </w:rPr>
      </w:pPr>
      <w:r>
        <w:rPr>
          <w:snapToGrid w:val="0"/>
        </w:rPr>
        <w:tab/>
        <w:t>(7)</w:t>
      </w:r>
      <w:r>
        <w:rPr>
          <w:snapToGrid w:val="0"/>
        </w:rPr>
        <w:tab/>
      </w:r>
      <w:r>
        <w:t>A State organisation may apply to the Commission in Court Session for</w:t>
      </w:r>
      <w:r>
        <w:rPr>
          <w:snapToGrid w:val="0"/>
        </w:rPr>
        <w:t xml:space="preserve"> a declaration that, for the purposes of subsection (2) or (3), a Western Australian branch of a federal organisation, or a federal organisation, is a counterpart federal body in relation to the State organisation.</w:t>
      </w:r>
    </w:p>
    <w:p>
      <w:pPr>
        <w:pStyle w:val="Footnotesection"/>
      </w:pPr>
      <w:r>
        <w:tab/>
        <w:t>[Section 52A inserted: No. 30 of 2021 s. 33.]</w:t>
      </w:r>
    </w:p>
    <w:p>
      <w:pPr>
        <w:pStyle w:val="Heading5"/>
        <w:rPr>
          <w:snapToGrid w:val="0"/>
        </w:rPr>
      </w:pPr>
      <w:bookmarkStart w:id="442" w:name="_Toc107476473"/>
      <w:bookmarkStart w:id="443" w:name="_Toc106374007"/>
      <w:r>
        <w:rPr>
          <w:rStyle w:val="CharSectno"/>
        </w:rPr>
        <w:t>53</w:t>
      </w:r>
      <w:r>
        <w:rPr>
          <w:snapToGrid w:val="0"/>
        </w:rPr>
        <w:t>.</w:t>
      </w:r>
      <w:r>
        <w:rPr>
          <w:snapToGrid w:val="0"/>
        </w:rPr>
        <w:tab/>
        <w:t>Organisations of employees, which can be registered</w:t>
      </w:r>
      <w:bookmarkEnd w:id="442"/>
      <w:bookmarkEnd w:id="443"/>
    </w:p>
    <w:p>
      <w:pPr>
        <w:pStyle w:val="Subsection"/>
        <w:rPr>
          <w:snapToGrid w:val="0"/>
        </w:rPr>
      </w:pPr>
      <w:r>
        <w:rPr>
          <w:snapToGrid w:val="0"/>
        </w:rPr>
        <w:tab/>
        <w:t>(1)</w:t>
      </w:r>
      <w:r>
        <w:rPr>
          <w:snapToGrid w:val="0"/>
        </w:rPr>
        <w:tab/>
        <w:t xml:space="preserve">Subject to this Act, any unregistered organisation consisting of not less than 200 employees associated for the purpose of protecting or furthering the interests of employees may be registered by authority of the </w:t>
      </w:r>
      <w:r>
        <w:t>Commission in Court Session.</w:t>
      </w:r>
    </w:p>
    <w:p>
      <w:pPr>
        <w:pStyle w:val="Subsection"/>
        <w:keepLines/>
        <w:rPr>
          <w:snapToGrid w:val="0"/>
        </w:rPr>
      </w:pPr>
      <w:r>
        <w:rPr>
          <w:snapToGrid w:val="0"/>
        </w:rPr>
        <w:tab/>
        <w:t>(2)</w:t>
      </w:r>
      <w:r>
        <w:rPr>
          <w:snapToGrid w:val="0"/>
        </w:rPr>
        <w:tab/>
        <w:t xml:space="preserve">Subject to this Act, an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53 inserted: No. 94 of 1984 s. 34; amended: No. 39 of 2018 s. 30.]</w:t>
      </w:r>
    </w:p>
    <w:p>
      <w:pPr>
        <w:pStyle w:val="Heading5"/>
        <w:rPr>
          <w:snapToGrid w:val="0"/>
        </w:rPr>
      </w:pPr>
      <w:bookmarkStart w:id="444" w:name="_Toc107476474"/>
      <w:bookmarkStart w:id="445" w:name="_Toc106374008"/>
      <w:r>
        <w:rPr>
          <w:rStyle w:val="CharSectno"/>
        </w:rPr>
        <w:t>54</w:t>
      </w:r>
      <w:r>
        <w:rPr>
          <w:snapToGrid w:val="0"/>
        </w:rPr>
        <w:t>.</w:t>
      </w:r>
      <w:r>
        <w:rPr>
          <w:snapToGrid w:val="0"/>
        </w:rPr>
        <w:tab/>
        <w:t>Organisations of employers, which can be registered</w:t>
      </w:r>
      <w:bookmarkEnd w:id="444"/>
      <w:bookmarkEnd w:id="445"/>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 xml:space="preserve">may be registered by authority of the </w:t>
      </w:r>
      <w:r>
        <w:t>Commission in Court Session.</w:t>
      </w:r>
    </w:p>
    <w:p>
      <w:pPr>
        <w:pStyle w:val="Subsection"/>
        <w:rPr>
          <w:snapToGrid w:val="0"/>
        </w:rPr>
      </w:pPr>
      <w:r>
        <w:rPr>
          <w:snapToGrid w:val="0"/>
        </w:rPr>
        <w:tab/>
        <w:t>(2)</w:t>
      </w:r>
      <w:r>
        <w:rPr>
          <w:snapToGrid w:val="0"/>
        </w:rPr>
        <w:tab/>
        <w:t xml:space="preserve">Subject to this Act an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54 inserted: No. 94 of 1984 s. 34; amended: No. 39 of 2018 s. 31.]</w:t>
      </w:r>
    </w:p>
    <w:p>
      <w:pPr>
        <w:pStyle w:val="Heading5"/>
        <w:rPr>
          <w:snapToGrid w:val="0"/>
        </w:rPr>
      </w:pPr>
      <w:bookmarkStart w:id="446" w:name="_Toc107476475"/>
      <w:bookmarkStart w:id="447" w:name="_Toc106374009"/>
      <w:r>
        <w:rPr>
          <w:rStyle w:val="CharSectno"/>
        </w:rPr>
        <w:t>55</w:t>
      </w:r>
      <w:r>
        <w:rPr>
          <w:snapToGrid w:val="0"/>
        </w:rPr>
        <w:t>.</w:t>
      </w:r>
      <w:r>
        <w:rPr>
          <w:snapToGrid w:val="0"/>
        </w:rPr>
        <w:tab/>
        <w:t>Applications for registration under s. 53 or 54</w:t>
      </w:r>
      <w:bookmarkEnd w:id="446"/>
      <w:bookmarkEnd w:id="447"/>
    </w:p>
    <w:p>
      <w:pPr>
        <w:pStyle w:val="Subsection"/>
        <w:rPr>
          <w:snapToGrid w:val="0"/>
        </w:rPr>
      </w:pPr>
      <w:r>
        <w:rPr>
          <w:snapToGrid w:val="0"/>
        </w:rPr>
        <w:tab/>
        <w:t>(1)</w:t>
      </w:r>
      <w:r>
        <w:rPr>
          <w:snapToGrid w:val="0"/>
        </w:rPr>
        <w:tab/>
        <w:t>An organisation seeking registration under section 53 or 54 must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r>
      <w:r>
        <w:t>a copy</w:t>
      </w:r>
      <w:r>
        <w:rPr>
          <w:snapToGrid w:val="0"/>
        </w:rPr>
        <w:t xml:space="preserve"> of the rules of the organisation; and</w:t>
      </w:r>
    </w:p>
    <w:p>
      <w:pPr>
        <w:pStyle w:val="Indenta"/>
        <w:rPr>
          <w:snapToGrid w:val="0"/>
        </w:rPr>
      </w:pPr>
      <w:r>
        <w:rPr>
          <w:snapToGrid w:val="0"/>
        </w:rPr>
        <w:tab/>
        <w:t>(c)</w:t>
      </w:r>
      <w:r>
        <w:rPr>
          <w:snapToGrid w:val="0"/>
        </w:rPr>
        <w:tab/>
        <w:t xml:space="preserve">the </w:t>
      </w:r>
      <w:r>
        <w:t>approved</w:t>
      </w:r>
      <w:r>
        <w:rPr>
          <w:snapToGrid w:val="0"/>
        </w:rPr>
        <w:t xml:space="preserve"> form of application.</w:t>
      </w:r>
    </w:p>
    <w:p>
      <w:pPr>
        <w:pStyle w:val="Subsection"/>
        <w:rPr>
          <w:snapToGrid w:val="0"/>
        </w:rPr>
      </w:pPr>
      <w:r>
        <w:rPr>
          <w:snapToGrid w:val="0"/>
        </w:rPr>
        <w:tab/>
        <w:t>(2)</w:t>
      </w:r>
      <w:r>
        <w:rPr>
          <w:snapToGrid w:val="0"/>
        </w:rPr>
        <w:tab/>
        <w:t>When the organisation has complied with the requirements of subsection (1) the Registrar must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 xml:space="preserve">a copy of such rules of the organisation as relate to the qualification of persons for membership of the organisation and, without limiting the generality </w:t>
      </w:r>
      <w:r>
        <w:t>of this paragraph</w:t>
      </w:r>
      <w:r>
        <w:rPr>
          <w:snapToGrid w:val="0"/>
        </w:rPr>
        <w:t>, including any rule by which the area of the State within which the organisation operates, or intends to operate, is limited; and</w:t>
      </w:r>
    </w:p>
    <w:p>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must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for the alteration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must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pPr>
        <w:pStyle w:val="Footnotesection"/>
      </w:pPr>
      <w:r>
        <w:tab/>
        <w:t>[Section 55 amended: No. 94 of 1984 s. 35 and 66; No. 79 of 1995 s. 31; No. 20 of 2002 s. 190(4) and (5); No. 39 of 2018 s. 32; No. 30 of 2021 s. 34, 73, 76(2) and 78(7).]</w:t>
      </w:r>
    </w:p>
    <w:p>
      <w:pPr>
        <w:pStyle w:val="Heading5"/>
        <w:rPr>
          <w:snapToGrid w:val="0"/>
        </w:rPr>
      </w:pPr>
      <w:bookmarkStart w:id="448" w:name="_Toc107476476"/>
      <w:bookmarkStart w:id="449" w:name="_Toc106374010"/>
      <w:r>
        <w:rPr>
          <w:rStyle w:val="CharSectno"/>
        </w:rPr>
        <w:t>56</w:t>
      </w:r>
      <w:r>
        <w:rPr>
          <w:snapToGrid w:val="0"/>
        </w:rPr>
        <w:t>.</w:t>
      </w:r>
      <w:r>
        <w:rPr>
          <w:snapToGrid w:val="0"/>
        </w:rPr>
        <w:tab/>
        <w:t>Rules of organisations to provide for secret ballots etc. at elections</w:t>
      </w:r>
      <w:bookmarkEnd w:id="448"/>
      <w:bookmarkEnd w:id="449"/>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must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 xml:space="preserve">must provide that, if the returning officer conducting such election finds a nomination to be defective, the officer must before rejecting the nomination, notify the person concerned of the defect, and where it is practicable to do so, give </w:t>
      </w:r>
      <w:r>
        <w:t>the person</w:t>
      </w:r>
      <w:r>
        <w:rPr>
          <w:snapToGrid w:val="0"/>
        </w:rPr>
        <w:t xml:space="preserve"> the opportunity of remedying the defect within such period as is applicable under the rules, which must, where practicable, be not less than 7 days after the person is notified; and</w:t>
      </w:r>
    </w:p>
    <w:p>
      <w:pPr>
        <w:pStyle w:val="Indenta"/>
        <w:spacing w:before="60"/>
        <w:rPr>
          <w:snapToGrid w:val="0"/>
        </w:rPr>
      </w:pPr>
      <w:r>
        <w:rPr>
          <w:snapToGrid w:val="0"/>
        </w:rPr>
        <w:tab/>
        <w:t>(c)</w:t>
      </w:r>
      <w:r>
        <w:rPr>
          <w:snapToGrid w:val="0"/>
        </w:rPr>
        <w:tab/>
        <w:t>must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keepNext/>
        <w:spacing w:before="60"/>
        <w:rPr>
          <w:snapToGrid w:val="0"/>
        </w:rPr>
      </w:pPr>
      <w:r>
        <w:rPr>
          <w:snapToGrid w:val="0"/>
        </w:rPr>
        <w:tab/>
        <w:t>(d)</w:t>
      </w:r>
      <w:r>
        <w:rPr>
          <w:snapToGrid w:val="0"/>
        </w:rPr>
        <w:tab/>
        <w:t>must, in relation to any election for office —</w:t>
      </w:r>
    </w:p>
    <w:p>
      <w:pPr>
        <w:pStyle w:val="Indenti"/>
        <w:keepNext/>
        <w:spacing w:before="60"/>
        <w:rPr>
          <w:snapToGrid w:val="0"/>
        </w:rPr>
      </w:pPr>
      <w:r>
        <w:rPr>
          <w:snapToGrid w:val="0"/>
        </w:rPr>
        <w:tab/>
        <w:t>(i)</w:t>
      </w:r>
      <w:r>
        <w:rPr>
          <w:snapToGrid w:val="0"/>
        </w:rPr>
        <w:tab/>
        <w:t>provide that the election must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must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must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 xml:space="preserve">Where the rules of an organisation which was registered immediately prior to the coming into operation of this section do not, in the opinion of the Registrar, conform with the requirements of subsection (1), the Registrar may, after inviting the organisation to consult with the Registrar on the matter, allow the organisation such time as </w:t>
      </w:r>
      <w:r>
        <w:t>the Registrar</w:t>
      </w:r>
      <w:r>
        <w:rPr>
          <w:snapToGrid w:val="0"/>
        </w:rPr>
        <w:t xml:space="preserve"> determines within which to bring them into conformity with those requirements or determine such alterations of the rules as will in </w:t>
      </w:r>
      <w:r>
        <w:t>the Registrar’s</w:t>
      </w:r>
      <w:r>
        <w:rPr>
          <w:snapToGrid w:val="0"/>
        </w:rPr>
        <w:t xml:space="preserve"> opinion bring them into conformity with those requirements.</w:t>
      </w:r>
    </w:p>
    <w:p>
      <w:pPr>
        <w:pStyle w:val="Subsection"/>
        <w:rPr>
          <w:snapToGrid w:val="0"/>
        </w:rPr>
      </w:pPr>
      <w:r>
        <w:rPr>
          <w:snapToGrid w:val="0"/>
        </w:rPr>
        <w:tab/>
        <w:t>(3)</w:t>
      </w:r>
      <w:r>
        <w:rPr>
          <w:snapToGrid w:val="0"/>
        </w:rPr>
        <w:tab/>
        <w:t xml:space="preserve">The Registrar must register the alterations determined by the Registrar, or made by the organisation to </w:t>
      </w:r>
      <w:r>
        <w:t>the Registrar’s</w:t>
      </w:r>
      <w:r>
        <w:rPr>
          <w:snapToGrid w:val="0"/>
        </w:rPr>
        <w:t xml:space="preserve"> satisfaction, pursuant to subsection (2) and the rules are </w:t>
      </w:r>
      <w:r>
        <w:t>taken</w:t>
      </w:r>
      <w:r>
        <w:rPr>
          <w:snapToGrid w:val="0"/>
        </w:rPr>
        <w:t xml:space="preserve"> to be altered accordingly.</w:t>
      </w:r>
    </w:p>
    <w:p>
      <w:pPr>
        <w:pStyle w:val="Footnotesection"/>
      </w:pPr>
      <w:r>
        <w:tab/>
        <w:t>[Section 56 inserted: No. 94 of 1984 s. 36; amended: No. 30 of 2021 s. 76(2) and (4), 77(5), (6), (10) and (13) and 78(3) and (7).]</w:t>
      </w:r>
    </w:p>
    <w:p>
      <w:pPr>
        <w:pStyle w:val="Heading5"/>
        <w:rPr>
          <w:snapToGrid w:val="0"/>
        </w:rPr>
      </w:pPr>
      <w:bookmarkStart w:id="450" w:name="_Toc107476477"/>
      <w:bookmarkStart w:id="451" w:name="_Toc106374011"/>
      <w:r>
        <w:rPr>
          <w:rStyle w:val="CharSectno"/>
        </w:rPr>
        <w:t>56A</w:t>
      </w:r>
      <w:r>
        <w:rPr>
          <w:snapToGrid w:val="0"/>
        </w:rPr>
        <w:t>.</w:t>
      </w:r>
      <w:r>
        <w:rPr>
          <w:snapToGrid w:val="0"/>
        </w:rPr>
        <w:tab/>
        <w:t>Casual vacancies, rules as to filling</w:t>
      </w:r>
      <w:bookmarkEnd w:id="450"/>
      <w:bookmarkEnd w:id="451"/>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must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is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No. 94 of 1984 s. 36; amended: No. 30 of 2021 s. 76(2) and (3).]</w:t>
      </w:r>
    </w:p>
    <w:p>
      <w:pPr>
        <w:pStyle w:val="Heading5"/>
        <w:spacing w:before="240"/>
        <w:rPr>
          <w:snapToGrid w:val="0"/>
        </w:rPr>
      </w:pPr>
      <w:bookmarkStart w:id="452" w:name="_Toc107476478"/>
      <w:bookmarkStart w:id="453" w:name="_Toc106374012"/>
      <w:r>
        <w:rPr>
          <w:rStyle w:val="CharSectno"/>
        </w:rPr>
        <w:t>57</w:t>
      </w:r>
      <w:r>
        <w:rPr>
          <w:snapToGrid w:val="0"/>
        </w:rPr>
        <w:t>.</w:t>
      </w:r>
      <w:r>
        <w:rPr>
          <w:snapToGrid w:val="0"/>
        </w:rPr>
        <w:tab/>
        <w:t>Elections by direct voting system to be by secret postal ballot</w:t>
      </w:r>
      <w:bookmarkEnd w:id="452"/>
      <w:bookmarkEnd w:id="453"/>
    </w:p>
    <w:p>
      <w:pPr>
        <w:pStyle w:val="Subsection"/>
        <w:rPr>
          <w:snapToGrid w:val="0"/>
        </w:rPr>
      </w:pPr>
      <w:r>
        <w:rPr>
          <w:snapToGrid w:val="0"/>
        </w:rPr>
        <w:tab/>
        <w:t>(1)</w:t>
      </w:r>
      <w:r>
        <w:rPr>
          <w:snapToGrid w:val="0"/>
        </w:rPr>
        <w:tab/>
        <w:t>Every election by a direct voting system for an office in an organisation must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 xml:space="preserve">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w:t>
      </w:r>
      <w:r>
        <w:t>the Registrar’s</w:t>
      </w:r>
      <w:r>
        <w:rPr>
          <w:snapToGrid w:val="0"/>
        </w:rPr>
        <w:t xml:space="preserve"> hand, exempt the organisation in respect of an election from the application of this section if </w:t>
      </w:r>
      <w:r>
        <w:t>the Registrar</w:t>
      </w:r>
      <w:r>
        <w:rPr>
          <w:snapToGrid w:val="0"/>
        </w:rPr>
        <w:t xml:space="preserv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No. 94 of 1984 s. 66; No. 30 of 2021 s. 76(2) and 77(6) and (10).]</w:t>
      </w:r>
    </w:p>
    <w:p>
      <w:pPr>
        <w:pStyle w:val="Heading5"/>
        <w:rPr>
          <w:snapToGrid w:val="0"/>
        </w:rPr>
      </w:pPr>
      <w:bookmarkStart w:id="454" w:name="_Toc107476479"/>
      <w:bookmarkStart w:id="455" w:name="_Toc106374013"/>
      <w:r>
        <w:rPr>
          <w:rStyle w:val="CharSectno"/>
        </w:rPr>
        <w:t>58</w:t>
      </w:r>
      <w:r>
        <w:rPr>
          <w:snapToGrid w:val="0"/>
        </w:rPr>
        <w:t>.</w:t>
      </w:r>
      <w:r>
        <w:rPr>
          <w:snapToGrid w:val="0"/>
        </w:rPr>
        <w:tab/>
        <w:t>Registering organisations, rules etc.</w:t>
      </w:r>
      <w:bookmarkEnd w:id="454"/>
      <w:bookmarkEnd w:id="455"/>
    </w:p>
    <w:p>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 xml:space="preserve">and give to the organisation a certificate in the </w:t>
      </w:r>
      <w:r>
        <w:t>approved</w:t>
      </w:r>
      <w:r>
        <w:rPr>
          <w:snapToGrid w:val="0"/>
        </w:rPr>
        <w:t xml:space="preserve">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pPr>
        <w:pStyle w:val="Footnotesection"/>
        <w:spacing w:before="100"/>
        <w:ind w:left="890" w:hanging="890"/>
      </w:pPr>
      <w:r>
        <w:tab/>
        <w:t>[Section 58 amended: No. 94 of 1984 s. 37 and 66; No. 39 of 2018 s. 33; No. 30 of 2021 s. 73.]</w:t>
      </w:r>
    </w:p>
    <w:p>
      <w:pPr>
        <w:pStyle w:val="Heading5"/>
        <w:spacing w:before="180"/>
        <w:rPr>
          <w:snapToGrid w:val="0"/>
        </w:rPr>
      </w:pPr>
      <w:bookmarkStart w:id="456" w:name="_Toc107476480"/>
      <w:bookmarkStart w:id="457" w:name="_Toc106374014"/>
      <w:r>
        <w:rPr>
          <w:rStyle w:val="CharSectno"/>
        </w:rPr>
        <w:t>59</w:t>
      </w:r>
      <w:r>
        <w:rPr>
          <w:snapToGrid w:val="0"/>
        </w:rPr>
        <w:t>.</w:t>
      </w:r>
      <w:r>
        <w:rPr>
          <w:snapToGrid w:val="0"/>
        </w:rPr>
        <w:tab/>
        <w:t>Names of registered organisations, restrictions on</w:t>
      </w:r>
      <w:bookmarkEnd w:id="456"/>
      <w:bookmarkEnd w:id="457"/>
    </w:p>
    <w:p>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t>Commission in Court Session, likely</w:t>
      </w:r>
      <w:r>
        <w:rPr>
          <w:snapToGrid w:val="0"/>
        </w:rPr>
        <w:t xml:space="preserve"> to deceive or mislead any person.</w:t>
      </w:r>
    </w:p>
    <w:p>
      <w:pPr>
        <w:pStyle w:val="Subsection"/>
        <w:spacing w:before="140"/>
        <w:rPr>
          <w:snapToGrid w:val="0"/>
        </w:rPr>
      </w:pPr>
      <w:r>
        <w:rPr>
          <w:snapToGrid w:val="0"/>
        </w:rPr>
        <w:tab/>
        <w:t>(2)</w:t>
      </w:r>
      <w:r>
        <w:rPr>
          <w:snapToGrid w:val="0"/>
        </w:rPr>
        <w:tab/>
        <w:t>The registered name must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w:t>
      </w:r>
      <w:r>
        <w:t>federal body.</w:t>
      </w:r>
    </w:p>
    <w:p>
      <w:pPr>
        <w:pStyle w:val="Footnotesection"/>
        <w:spacing w:before="100"/>
        <w:ind w:left="890" w:hanging="890"/>
      </w:pPr>
      <w:r>
        <w:tab/>
        <w:t>[Section 59 amended: No. 94 of 1984 s. 66; No. 39 of 2018 s. 34; No. 30 of 2021 s. 35 and 76(2).]</w:t>
      </w:r>
    </w:p>
    <w:p>
      <w:pPr>
        <w:pStyle w:val="Heading5"/>
        <w:rPr>
          <w:snapToGrid w:val="0"/>
        </w:rPr>
      </w:pPr>
      <w:bookmarkStart w:id="458" w:name="_Toc107476481"/>
      <w:bookmarkStart w:id="459" w:name="_Toc106374015"/>
      <w:r>
        <w:rPr>
          <w:rStyle w:val="CharSectno"/>
        </w:rPr>
        <w:t>60</w:t>
      </w:r>
      <w:r>
        <w:rPr>
          <w:snapToGrid w:val="0"/>
        </w:rPr>
        <w:t>.</w:t>
      </w:r>
      <w:r>
        <w:rPr>
          <w:snapToGrid w:val="0"/>
        </w:rPr>
        <w:tab/>
        <w:t>Organisation becomes incorporated on registration</w:t>
      </w:r>
      <w:bookmarkEnd w:id="458"/>
      <w:bookmarkEnd w:id="459"/>
    </w:p>
    <w:p>
      <w:pPr>
        <w:pStyle w:val="Subsection"/>
        <w:rPr>
          <w:snapToGrid w:val="0"/>
        </w:rPr>
      </w:pPr>
      <w:r>
        <w:rPr>
          <w:snapToGrid w:val="0"/>
        </w:rPr>
        <w:tab/>
        <w:t>(1)</w:t>
      </w:r>
      <w:r>
        <w:rPr>
          <w:snapToGrid w:val="0"/>
        </w:rPr>
        <w:tab/>
        <w:t xml:space="preserve">An organisation is, upon and during registration,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No. 94 of 1984 s. 66; No. 119 of 1987 s. 16; No. 39 of 2018 s. 35; No. 30 of 2021 s. 76(8).]</w:t>
      </w:r>
    </w:p>
    <w:p>
      <w:pPr>
        <w:pStyle w:val="Heading5"/>
        <w:spacing w:before="240"/>
        <w:rPr>
          <w:snapToGrid w:val="0"/>
        </w:rPr>
      </w:pPr>
      <w:bookmarkStart w:id="460" w:name="_Toc107476482"/>
      <w:bookmarkStart w:id="461" w:name="_Toc106374016"/>
      <w:r>
        <w:rPr>
          <w:rStyle w:val="CharSectno"/>
        </w:rPr>
        <w:t>61</w:t>
      </w:r>
      <w:r>
        <w:rPr>
          <w:snapToGrid w:val="0"/>
        </w:rPr>
        <w:t>.</w:t>
      </w:r>
      <w:r>
        <w:rPr>
          <w:snapToGrid w:val="0"/>
        </w:rPr>
        <w:tab/>
        <w:t>Effect of registration</w:t>
      </w:r>
      <w:bookmarkEnd w:id="460"/>
      <w:bookmarkEnd w:id="461"/>
    </w:p>
    <w:p>
      <w:pPr>
        <w:pStyle w:val="Subsection"/>
        <w:rPr>
          <w:snapToGrid w:val="0"/>
        </w:rPr>
      </w:pPr>
      <w:r>
        <w:rPr>
          <w:snapToGrid w:val="0"/>
        </w:rPr>
        <w:tab/>
      </w:r>
      <w:r>
        <w:rPr>
          <w:snapToGrid w:val="0"/>
        </w:rPr>
        <w:tab/>
        <w:t>Upon and after registration, the organisation and its members for the time being are subject to the jurisdiction of the Court and the Commission and to this Act; and, subject to this Act, all its members are bound by the rules of the organisation during the continuance of their membership.</w:t>
      </w:r>
    </w:p>
    <w:p>
      <w:pPr>
        <w:pStyle w:val="Footnotesection"/>
        <w:ind w:left="890" w:hanging="890"/>
      </w:pPr>
      <w:r>
        <w:tab/>
        <w:t>[Section 61 amended: No. 94 of 1984 s. 66; No. 30 of 2021 s. 76(4).]</w:t>
      </w:r>
    </w:p>
    <w:p>
      <w:pPr>
        <w:pStyle w:val="Heading5"/>
        <w:rPr>
          <w:snapToGrid w:val="0"/>
        </w:rPr>
      </w:pPr>
      <w:bookmarkStart w:id="462" w:name="_Toc107476483"/>
      <w:bookmarkStart w:id="463" w:name="_Toc106374017"/>
      <w:r>
        <w:rPr>
          <w:rStyle w:val="CharSectno"/>
        </w:rPr>
        <w:t>62</w:t>
      </w:r>
      <w:r>
        <w:rPr>
          <w:snapToGrid w:val="0"/>
        </w:rPr>
        <w:t>.</w:t>
      </w:r>
      <w:r>
        <w:rPr>
          <w:snapToGrid w:val="0"/>
        </w:rPr>
        <w:tab/>
        <w:t>Altering registered rules</w:t>
      </w:r>
      <w:bookmarkEnd w:id="462"/>
      <w:bookmarkEnd w:id="463"/>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is not effective until the Registrar has given to the organisation a certificate that the alteration has been registered.</w:t>
      </w:r>
    </w:p>
    <w:p>
      <w:pPr>
        <w:pStyle w:val="Subsection"/>
        <w:rPr>
          <w:snapToGrid w:val="0"/>
        </w:rPr>
      </w:pPr>
      <w:r>
        <w:rPr>
          <w:snapToGrid w:val="0"/>
        </w:rPr>
        <w:tab/>
        <w:t>(2)</w:t>
      </w:r>
      <w:r>
        <w:rPr>
          <w:snapToGrid w:val="0"/>
        </w:rPr>
        <w:tab/>
        <w:t xml:space="preserve">The Registrar must not register any alteration to the rules of an organisation that relates to its name, qualifications of persons for membership, or a matter referred to in section 71(2) or (5) unless so authorised by the </w:t>
      </w:r>
      <w:r>
        <w:t>Commission in Court Session.</w:t>
      </w:r>
    </w:p>
    <w:p>
      <w:pPr>
        <w:pStyle w:val="Subsection"/>
        <w:keepNext/>
        <w:rPr>
          <w:snapToGrid w:val="0"/>
        </w:rPr>
      </w:pPr>
      <w:r>
        <w:rPr>
          <w:snapToGrid w:val="0"/>
        </w:rPr>
        <w:tab/>
        <w:t>(3)</w:t>
      </w:r>
      <w:r>
        <w:rPr>
          <w:snapToGrid w:val="0"/>
        </w:rPr>
        <w:tab/>
        <w:t xml:space="preserve">Subject to section 71(8), the Registrar must not register an alteration to any rule unless, after consulting with the </w:t>
      </w:r>
      <w:r>
        <w:t>Chief Commissioner, the Registrar</w:t>
      </w:r>
      <w:r>
        <w:rPr>
          <w:snapToGrid w:val="0"/>
        </w:rPr>
        <w:t xml:space="preserv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for the alteration;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No. 94 of 1984 s. 38 and 66; No. 39 of 2018 s. 36; No. 30 of 2021 s. 76(2) and (8) and 78(7).]</w:t>
      </w:r>
    </w:p>
    <w:p>
      <w:pPr>
        <w:pStyle w:val="Heading5"/>
        <w:keepNext w:val="0"/>
        <w:keepLines w:val="0"/>
        <w:rPr>
          <w:snapToGrid w:val="0"/>
        </w:rPr>
      </w:pPr>
      <w:bookmarkStart w:id="464" w:name="_Toc107476484"/>
      <w:bookmarkStart w:id="465" w:name="_Toc106374018"/>
      <w:r>
        <w:rPr>
          <w:rStyle w:val="CharSectno"/>
        </w:rPr>
        <w:t>63</w:t>
      </w:r>
      <w:r>
        <w:rPr>
          <w:snapToGrid w:val="0"/>
        </w:rPr>
        <w:t>.</w:t>
      </w:r>
      <w:r>
        <w:rPr>
          <w:snapToGrid w:val="0"/>
        </w:rPr>
        <w:tab/>
        <w:t>Records, organisations’ duties as to etc.</w:t>
      </w:r>
      <w:bookmarkEnd w:id="464"/>
      <w:bookmarkEnd w:id="465"/>
    </w:p>
    <w:p>
      <w:pPr>
        <w:pStyle w:val="Subsection"/>
        <w:spacing w:before="120"/>
        <w:rPr>
          <w:snapToGrid w:val="0"/>
        </w:rPr>
      </w:pPr>
      <w:r>
        <w:rPr>
          <w:snapToGrid w:val="0"/>
        </w:rPr>
        <w:tab/>
        <w:t>(1)</w:t>
      </w:r>
      <w:r>
        <w:rPr>
          <w:snapToGrid w:val="0"/>
        </w:rPr>
        <w:tab/>
        <w:t>An organisation must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status of each member in respect of the financial requirements for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 xml:space="preserve">An organisation must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w:t>
      </w:r>
      <w:r>
        <w:t>in the records</w:t>
      </w:r>
      <w:r>
        <w:rPr>
          <w:snapToGrid w:val="0"/>
        </w:rPr>
        <w:t>.</w:t>
      </w:r>
    </w:p>
    <w:p>
      <w:pPr>
        <w:pStyle w:val="Subsection"/>
        <w:spacing w:before="180"/>
        <w:rPr>
          <w:snapToGrid w:val="0"/>
        </w:rPr>
      </w:pPr>
      <w:r>
        <w:rPr>
          <w:snapToGrid w:val="0"/>
        </w:rPr>
        <w:tab/>
        <w:t>(3)</w:t>
      </w:r>
      <w:r>
        <w:rPr>
          <w:snapToGrid w:val="0"/>
        </w:rPr>
        <w:tab/>
        <w:t>An organisation must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must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must be made available by the organisation for inspection by such persons as are authorised by the Registrar, at such times as are appointed by the Registrar, at the office of the organisation.</w:t>
      </w:r>
    </w:p>
    <w:p>
      <w:pPr>
        <w:pStyle w:val="Footnotesection"/>
        <w:ind w:left="890" w:hanging="890"/>
      </w:pPr>
      <w:r>
        <w:tab/>
        <w:t>[Section 63 amended: No. 94 of 1984 s. 39, 65 and 66; No. 79 of 1995 s. 5; No. 30 of 2021 s. 76(2), 77(13) and 78(7).]</w:t>
      </w:r>
    </w:p>
    <w:p>
      <w:pPr>
        <w:pStyle w:val="Heading5"/>
        <w:keepLines w:val="0"/>
        <w:rPr>
          <w:snapToGrid w:val="0"/>
        </w:rPr>
      </w:pPr>
      <w:bookmarkStart w:id="466" w:name="_Toc107476485"/>
      <w:bookmarkStart w:id="467" w:name="_Toc106374019"/>
      <w:r>
        <w:rPr>
          <w:rStyle w:val="CharSectno"/>
        </w:rPr>
        <w:t>64</w:t>
      </w:r>
      <w:r>
        <w:rPr>
          <w:snapToGrid w:val="0"/>
        </w:rPr>
        <w:t>.</w:t>
      </w:r>
      <w:r>
        <w:rPr>
          <w:snapToGrid w:val="0"/>
        </w:rPr>
        <w:tab/>
        <w:t>Membership register, Registrar may direct rectification of etc.</w:t>
      </w:r>
      <w:bookmarkEnd w:id="466"/>
      <w:bookmarkEnd w:id="467"/>
    </w:p>
    <w:p>
      <w:pPr>
        <w:pStyle w:val="Subsection"/>
        <w:rPr>
          <w:snapToGrid w:val="0"/>
        </w:rPr>
      </w:pPr>
      <w:r>
        <w:rPr>
          <w:snapToGrid w:val="0"/>
        </w:rPr>
        <w:tab/>
        <w:t>(1)</w:t>
      </w:r>
      <w:r>
        <w:rPr>
          <w:snapToGrid w:val="0"/>
        </w:rPr>
        <w:tab/>
        <w:t xml:space="preserve">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w:t>
      </w:r>
      <w:r>
        <w:t>the Registrar</w:t>
      </w:r>
      <w:r>
        <w:rPr>
          <w:snapToGrid w:val="0"/>
        </w:rPr>
        <w:t xml:space="preserve"> may direct the organisation to make such rectifications in the register and such changes in the form or manner in which the register is being maintained, as </w:t>
      </w:r>
      <w:r>
        <w:t>the Registrar</w:t>
      </w:r>
      <w:r>
        <w:rPr>
          <w:snapToGrid w:val="0"/>
        </w:rPr>
        <w:t xml:space="preserve"> considers necessary for that purpose.</w:t>
      </w:r>
    </w:p>
    <w:p>
      <w:pPr>
        <w:pStyle w:val="Subsection"/>
        <w:rPr>
          <w:snapToGrid w:val="0"/>
        </w:rPr>
      </w:pPr>
      <w:r>
        <w:rPr>
          <w:snapToGrid w:val="0"/>
        </w:rPr>
        <w:tab/>
        <w:t>(2)</w:t>
      </w:r>
      <w:r>
        <w:rPr>
          <w:snapToGrid w:val="0"/>
        </w:rPr>
        <w:tab/>
        <w:t>An organisation to which a direction is given under subsection (1) must comply with the direction.</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No. 94 of 1984 s. 65 and 66; No. 30 of 2021 s. 76(2), 77(10) and 78(7).]</w:t>
      </w:r>
    </w:p>
    <w:p>
      <w:pPr>
        <w:pStyle w:val="Heading5"/>
        <w:rPr>
          <w:snapToGrid w:val="0"/>
        </w:rPr>
      </w:pPr>
      <w:bookmarkStart w:id="468" w:name="_Toc107476486"/>
      <w:bookmarkStart w:id="469" w:name="_Toc106374020"/>
      <w:r>
        <w:rPr>
          <w:rStyle w:val="CharSectno"/>
        </w:rPr>
        <w:t>64A</w:t>
      </w:r>
      <w:r>
        <w:rPr>
          <w:snapToGrid w:val="0"/>
        </w:rPr>
        <w:t>.</w:t>
      </w:r>
      <w:r>
        <w:rPr>
          <w:snapToGrid w:val="0"/>
        </w:rPr>
        <w:tab/>
        <w:t>Resigning from an organisation</w:t>
      </w:r>
      <w:bookmarkEnd w:id="468"/>
      <w:bookmarkEnd w:id="469"/>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must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No. 1 of 1995 s. 51; amended: No. 30 of 2021 s. 76(2).]</w:t>
      </w:r>
    </w:p>
    <w:p>
      <w:pPr>
        <w:pStyle w:val="Heading5"/>
        <w:rPr>
          <w:snapToGrid w:val="0"/>
        </w:rPr>
      </w:pPr>
      <w:bookmarkStart w:id="470" w:name="_Toc107476487"/>
      <w:bookmarkStart w:id="471" w:name="_Toc106374021"/>
      <w:r>
        <w:rPr>
          <w:rStyle w:val="CharSectno"/>
        </w:rPr>
        <w:t>64B</w:t>
      </w:r>
      <w:r>
        <w:rPr>
          <w:snapToGrid w:val="0"/>
        </w:rPr>
        <w:t>.</w:t>
      </w:r>
      <w:r>
        <w:rPr>
          <w:snapToGrid w:val="0"/>
        </w:rPr>
        <w:tab/>
        <w:t>Membership ends if subscription not paid</w:t>
      </w:r>
      <w:bookmarkEnd w:id="470"/>
      <w:bookmarkEnd w:id="471"/>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No. 1 of 1995 s. 51.]</w:t>
      </w:r>
    </w:p>
    <w:p>
      <w:pPr>
        <w:pStyle w:val="Heading5"/>
        <w:rPr>
          <w:snapToGrid w:val="0"/>
        </w:rPr>
      </w:pPr>
      <w:bookmarkStart w:id="472" w:name="_Toc107476488"/>
      <w:bookmarkStart w:id="473" w:name="_Toc106374022"/>
      <w:r>
        <w:rPr>
          <w:rStyle w:val="CharSectno"/>
        </w:rPr>
        <w:t>64C</w:t>
      </w:r>
      <w:r>
        <w:rPr>
          <w:snapToGrid w:val="0"/>
        </w:rPr>
        <w:t>.</w:t>
      </w:r>
      <w:r>
        <w:rPr>
          <w:snapToGrid w:val="0"/>
        </w:rPr>
        <w:tab/>
        <w:t>Effect of s. 64A and 64B in relation to organisation’s rules</w:t>
      </w:r>
      <w:bookmarkEnd w:id="472"/>
      <w:bookmarkEnd w:id="473"/>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No. 1 of 1995 s. 51.]</w:t>
      </w:r>
    </w:p>
    <w:p>
      <w:pPr>
        <w:pStyle w:val="Heading5"/>
        <w:rPr>
          <w:snapToGrid w:val="0"/>
        </w:rPr>
      </w:pPr>
      <w:bookmarkStart w:id="474" w:name="_Toc107476489"/>
      <w:bookmarkStart w:id="475" w:name="_Toc106374023"/>
      <w:r>
        <w:rPr>
          <w:rStyle w:val="CharSectno"/>
        </w:rPr>
        <w:t>64D</w:t>
      </w:r>
      <w:r>
        <w:rPr>
          <w:snapToGrid w:val="0"/>
        </w:rPr>
        <w:t>.</w:t>
      </w:r>
      <w:r>
        <w:rPr>
          <w:snapToGrid w:val="0"/>
        </w:rPr>
        <w:tab/>
        <w:t>Purging register, organisation’s rules to provide for</w:t>
      </w:r>
      <w:bookmarkEnd w:id="474"/>
      <w:bookmarkEnd w:id="475"/>
    </w:p>
    <w:p>
      <w:pPr>
        <w:pStyle w:val="Subsection"/>
        <w:rPr>
          <w:snapToGrid w:val="0"/>
        </w:rPr>
      </w:pPr>
      <w:r>
        <w:rPr>
          <w:snapToGrid w:val="0"/>
        </w:rPr>
        <w:tab/>
      </w:r>
      <w:r>
        <w:rPr>
          <w:snapToGrid w:val="0"/>
        </w:rPr>
        <w:tab/>
        <w:t>The rules of an organisation must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No. 79 of 1995 s. 32; amended: No. 30 of 2021 s. 76(2).]</w:t>
      </w:r>
    </w:p>
    <w:p>
      <w:pPr>
        <w:pStyle w:val="Heading5"/>
        <w:rPr>
          <w:snapToGrid w:val="0"/>
        </w:rPr>
      </w:pPr>
      <w:bookmarkStart w:id="476" w:name="_Toc107476490"/>
      <w:bookmarkStart w:id="477" w:name="_Toc106374024"/>
      <w:r>
        <w:rPr>
          <w:rStyle w:val="CharSectno"/>
        </w:rPr>
        <w:t>65</w:t>
      </w:r>
      <w:r>
        <w:rPr>
          <w:snapToGrid w:val="0"/>
        </w:rPr>
        <w:t>.</w:t>
      </w:r>
      <w:r>
        <w:rPr>
          <w:snapToGrid w:val="0"/>
        </w:rPr>
        <w:tab/>
        <w:t>Accounts of organisation, audit and filing of</w:t>
      </w:r>
      <w:bookmarkEnd w:id="476"/>
      <w:bookmarkEnd w:id="477"/>
    </w:p>
    <w:p>
      <w:pPr>
        <w:pStyle w:val="Subsection"/>
        <w:rPr>
          <w:snapToGrid w:val="0"/>
        </w:rPr>
      </w:pPr>
      <w:r>
        <w:rPr>
          <w:snapToGrid w:val="0"/>
        </w:rPr>
        <w:tab/>
      </w:r>
      <w:r>
        <w:rPr>
          <w:snapToGrid w:val="0"/>
        </w:rPr>
        <w:tab/>
        <w:t>The secretary of each organisation must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(Commonwealth)</w:t>
      </w:r>
      <w:r>
        <w:rPr>
          <w:snapToGrid w:val="0"/>
        </w:rPr>
        <w:t xml:space="preserve">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No. 121 of 1982 s. 22; amended: No. 94 of 1984 s. 65 and 66; No. 79 of 1995 s. 6; No. 10 of 2001 s. 112; No. 74 of 2003 s. 68(2); No. 30 of 2021 s. 76(2) and 78(1) and (7).]</w:t>
      </w:r>
    </w:p>
    <w:p>
      <w:pPr>
        <w:pStyle w:val="Heading5"/>
        <w:rPr>
          <w:snapToGrid w:val="0"/>
        </w:rPr>
      </w:pPr>
      <w:bookmarkStart w:id="478" w:name="_Toc107476491"/>
      <w:bookmarkStart w:id="479" w:name="_Toc106374025"/>
      <w:r>
        <w:rPr>
          <w:rStyle w:val="CharSectno"/>
        </w:rPr>
        <w:t>65A</w:t>
      </w:r>
      <w:r>
        <w:rPr>
          <w:snapToGrid w:val="0"/>
        </w:rPr>
        <w:t>.</w:t>
      </w:r>
      <w:r>
        <w:rPr>
          <w:snapToGrid w:val="0"/>
        </w:rPr>
        <w:tab/>
        <w:t>Auditor’s powers</w:t>
      </w:r>
      <w:bookmarkEnd w:id="478"/>
      <w:bookmarkEnd w:id="479"/>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No. 79 of 1995 s. 7.]</w:t>
      </w:r>
    </w:p>
    <w:p>
      <w:pPr>
        <w:pStyle w:val="Heading5"/>
        <w:rPr>
          <w:snapToGrid w:val="0"/>
        </w:rPr>
      </w:pPr>
      <w:bookmarkStart w:id="480" w:name="_Toc107476492"/>
      <w:bookmarkStart w:id="481" w:name="_Toc106374026"/>
      <w:r>
        <w:rPr>
          <w:rStyle w:val="CharSectno"/>
        </w:rPr>
        <w:t>66</w:t>
      </w:r>
      <w:r>
        <w:rPr>
          <w:snapToGrid w:val="0"/>
        </w:rPr>
        <w:t>.</w:t>
      </w:r>
      <w:r>
        <w:rPr>
          <w:snapToGrid w:val="0"/>
        </w:rPr>
        <w:tab/>
        <w:t>Power of Chief Commissioner to deal with rules of organisation</w:t>
      </w:r>
      <w:bookmarkEnd w:id="480"/>
      <w:bookmarkEnd w:id="481"/>
    </w:p>
    <w:p>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pPr>
        <w:pStyle w:val="Subsection"/>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relating to the rules of the organisation, their observance or non</w:t>
      </w:r>
      <w:r>
        <w:rPr>
          <w:snapToGrid w:val="0"/>
        </w:rPr>
        <w:noBreakHyphen/>
        <w:t xml:space="preserve">observance or the manner of their observance, either generally or in the particular case, as </w:t>
      </w:r>
      <w:r>
        <w:t>the Chief Commissioner considers</w:t>
      </w:r>
      <w:r>
        <w:rPr>
          <w:snapToGrid w:val="0"/>
        </w:rPr>
        <w:t xml:space="preserve"> to be appropriate and without limiting the generality of this subsection may —</w:t>
      </w:r>
    </w:p>
    <w:p>
      <w:pPr>
        <w:pStyle w:val="Indenta"/>
        <w:rPr>
          <w:snapToGrid w:val="0"/>
        </w:rPr>
      </w:pPr>
      <w:r>
        <w:rPr>
          <w:snapToGrid w:val="0"/>
        </w:rPr>
        <w:tab/>
        <w:t>(a)</w:t>
      </w:r>
      <w:r>
        <w:rPr>
          <w:snapToGrid w:val="0"/>
        </w:rPr>
        <w:tab/>
        <w:t xml:space="preserve">disallow any rule which, in the opinion of the </w:t>
      </w:r>
      <w:r>
        <w:t>Chief Commissioner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of the irregularity;</w:t>
      </w:r>
    </w:p>
    <w:p>
      <w:pPr>
        <w:pStyle w:val="Indenta"/>
        <w:rPr>
          <w:snapToGrid w:val="0"/>
        </w:rPr>
      </w:pPr>
      <w:r>
        <w:rPr>
          <w:snapToGrid w:val="0"/>
        </w:rPr>
        <w:tab/>
      </w:r>
      <w:r>
        <w:rPr>
          <w:snapToGrid w:val="0"/>
        </w:rPr>
        <w:tab/>
        <w:t>and</w:t>
      </w:r>
    </w:p>
    <w:p>
      <w:pPr>
        <w:pStyle w:val="Indenta"/>
        <w:keepNext/>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 xml:space="preserve">order that any person named in the order must or must not, as the case may be, for such period as the </w:t>
      </w:r>
      <w:r>
        <w:t>Chief Commissioner</w:t>
      </w:r>
      <w:r>
        <w:rPr>
          <w:snapToGrid w:val="0"/>
        </w:rPr>
        <w:t xml:space="preserve"> considers reasonable in the circumstances and specifies in the order, act or continue to act in and be </w:t>
      </w:r>
      <w:r>
        <w:t>taken</w:t>
      </w:r>
      <w:r>
        <w:rPr>
          <w:snapToGrid w:val="0"/>
        </w:rPr>
        <w:t xml:space="preserve">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Ednotesubsection"/>
      </w:pPr>
      <w:r>
        <w:tab/>
        <w:t>[(3)</w:t>
      </w:r>
      <w:r>
        <w:tab/>
        <w:t>deleted]</w:t>
      </w:r>
    </w:p>
    <w:p>
      <w:pPr>
        <w:pStyle w:val="Subsection"/>
        <w:keepLines/>
        <w:rPr>
          <w:snapToGrid w:val="0"/>
        </w:rPr>
      </w:pPr>
      <w:r>
        <w:rPr>
          <w:snapToGrid w:val="0"/>
        </w:rPr>
        <w:tab/>
        <w:t>(4)</w:t>
      </w:r>
      <w:r>
        <w:rPr>
          <w:snapToGrid w:val="0"/>
        </w:rPr>
        <w:tab/>
        <w:t>Any person to whom an order or direction given or made under this section applies must comply with that order or direction whether or not it is contrary to or inconsistent with any rule of the organisation concerned.</w:t>
      </w:r>
    </w:p>
    <w:p>
      <w:pPr>
        <w:pStyle w:val="Ednotesubsection"/>
        <w:keepNext/>
      </w:pPr>
      <w:r>
        <w:tab/>
        <w:t>[(5)</w:t>
      </w:r>
      <w:r>
        <w:tab/>
        <w:t>deleted]</w:t>
      </w:r>
    </w:p>
    <w:p>
      <w:pPr>
        <w:pStyle w:val="Subsection"/>
        <w:keepNext/>
        <w:rPr>
          <w:snapToGrid w:val="0"/>
        </w:rPr>
      </w:pPr>
      <w:r>
        <w:rPr>
          <w:snapToGrid w:val="0"/>
        </w:rPr>
        <w:tab/>
        <w:t>(6)</w:t>
      </w:r>
      <w:r>
        <w:rPr>
          <w:snapToGrid w:val="0"/>
        </w:rPr>
        <w:tab/>
        <w:t>A rule disallowed pursuant to subsection (2)(a) or (c) is void.</w:t>
      </w:r>
    </w:p>
    <w:p>
      <w:pPr>
        <w:pStyle w:val="Ednotesubsection"/>
      </w:pPr>
      <w:r>
        <w:tab/>
        <w:t>[(7), (8)</w:t>
      </w:r>
      <w:r>
        <w:tab/>
        <w:t>deleted]</w:t>
      </w:r>
    </w:p>
    <w:p>
      <w:pPr>
        <w:pStyle w:val="Subsection"/>
      </w:pPr>
      <w:r>
        <w:tab/>
        <w:t>(9)</w:t>
      </w:r>
      <w:r>
        <w:tab/>
        <w:t>The power of the Chief Commissioner under subsection (2)(d) may, on a reference made under section 27(1)(t), be exercised by the Commission in Court Session.</w:t>
      </w:r>
    </w:p>
    <w:p>
      <w:pPr>
        <w:pStyle w:val="Footnotesection"/>
        <w:spacing w:before="80"/>
        <w:ind w:left="890" w:hanging="890"/>
      </w:pPr>
      <w:r>
        <w:tab/>
        <w:t>[Section 66 amended: No. 94 of 1984 s. 40 and 66; No. 119 of 1987 s. 17; No. 1 of 1995 s. 52 and 53; No. 79 of 1995 s. 33; No. 3 of 1997 s. 12; No. 39 of 2018 s. 37; No. 30 of 2021 s. 76(2) and 78(3) and (7).]</w:t>
      </w:r>
    </w:p>
    <w:p>
      <w:pPr>
        <w:pStyle w:val="Heading5"/>
        <w:spacing w:before="120"/>
        <w:rPr>
          <w:snapToGrid w:val="0"/>
        </w:rPr>
      </w:pPr>
      <w:bookmarkStart w:id="482" w:name="_Toc107476493"/>
      <w:bookmarkStart w:id="483" w:name="_Toc106374027"/>
      <w:r>
        <w:rPr>
          <w:rStyle w:val="CharSectno"/>
        </w:rPr>
        <w:t>67</w:t>
      </w:r>
      <w:r>
        <w:rPr>
          <w:snapToGrid w:val="0"/>
        </w:rPr>
        <w:t>.</w:t>
      </w:r>
      <w:r>
        <w:rPr>
          <w:snapToGrid w:val="0"/>
        </w:rPr>
        <w:tab/>
        <w:t>Industrial associations, registering</w:t>
      </w:r>
      <w:bookmarkEnd w:id="482"/>
      <w:bookmarkEnd w:id="483"/>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extend and apply, with such modifications as are necessary, to an association, its rules, records, officers and members respectively.</w:t>
      </w:r>
    </w:p>
    <w:p>
      <w:pPr>
        <w:pStyle w:val="Footnotesection"/>
        <w:spacing w:before="80"/>
        <w:ind w:left="890" w:hanging="890"/>
      </w:pPr>
      <w:r>
        <w:tab/>
        <w:t>[Section 67 inserted: No. 94 of 1984 s. 41; amended: No. 30 of 2021 s. 76(1).]</w:t>
      </w:r>
    </w:p>
    <w:p>
      <w:pPr>
        <w:pStyle w:val="Heading5"/>
        <w:spacing w:before="120"/>
        <w:rPr>
          <w:snapToGrid w:val="0"/>
        </w:rPr>
      </w:pPr>
      <w:bookmarkStart w:id="484" w:name="_Toc107476494"/>
      <w:bookmarkStart w:id="485" w:name="_Toc106374028"/>
      <w:r>
        <w:rPr>
          <w:rStyle w:val="CharSectno"/>
        </w:rPr>
        <w:t>68</w:t>
      </w:r>
      <w:r>
        <w:rPr>
          <w:snapToGrid w:val="0"/>
        </w:rPr>
        <w:t>.</w:t>
      </w:r>
      <w:r>
        <w:rPr>
          <w:snapToGrid w:val="0"/>
        </w:rPr>
        <w:tab/>
        <w:t>Declaration as to certain functions</w:t>
      </w:r>
      <w:bookmarkEnd w:id="484"/>
      <w:bookmarkEnd w:id="485"/>
    </w:p>
    <w:p>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No. 94 of 1984 s. 66; No. 39 of 2018 s. 38.]</w:t>
      </w:r>
    </w:p>
    <w:p>
      <w:pPr>
        <w:pStyle w:val="Heading5"/>
        <w:keepLines w:val="0"/>
        <w:spacing w:before="240"/>
        <w:rPr>
          <w:snapToGrid w:val="0"/>
        </w:rPr>
      </w:pPr>
      <w:bookmarkStart w:id="486" w:name="_Toc107476495"/>
      <w:bookmarkStart w:id="487" w:name="_Toc106374029"/>
      <w:r>
        <w:rPr>
          <w:rStyle w:val="CharSectno"/>
        </w:rPr>
        <w:t>69</w:t>
      </w:r>
      <w:r>
        <w:rPr>
          <w:snapToGrid w:val="0"/>
        </w:rPr>
        <w:t>.</w:t>
      </w:r>
      <w:r>
        <w:rPr>
          <w:snapToGrid w:val="0"/>
        </w:rPr>
        <w:tab/>
        <w:t>Election, conduct of by Registrar or Electoral Commissioner</w:t>
      </w:r>
      <w:bookmarkEnd w:id="486"/>
      <w:bookmarkEnd w:id="487"/>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 xml:space="preserve">Where a request is made or purports to be made in accordance with this section, the Registrar must, after making such inquiries, if any, as </w:t>
      </w:r>
      <w:r>
        <w:t>the Registrar</w:t>
      </w:r>
      <w:r>
        <w:rPr>
          <w:snapToGrid w:val="0"/>
        </w:rPr>
        <w:t xml:space="preserve"> considers necessary, decide whether or not the request has been duly made.</w:t>
      </w:r>
    </w:p>
    <w:p>
      <w:pPr>
        <w:pStyle w:val="Subsection"/>
        <w:rPr>
          <w:snapToGrid w:val="0"/>
        </w:rPr>
      </w:pPr>
      <w:r>
        <w:rPr>
          <w:snapToGrid w:val="0"/>
        </w:rPr>
        <w:tab/>
        <w:t>(4)</w:t>
      </w:r>
      <w:r>
        <w:rPr>
          <w:snapToGrid w:val="0"/>
        </w:rPr>
        <w:tab/>
        <w:t>Where the Registrar decides that a request has been duly made,</w:t>
      </w:r>
      <w:r>
        <w:t xml:space="preserve"> the Registrar</w:t>
      </w:r>
      <w:r>
        <w:rPr>
          <w:snapToGrid w:val="0"/>
        </w:rPr>
        <w:t xml:space="preserve"> must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keepNext/>
        <w:rPr>
          <w:snapToGrid w:val="0"/>
        </w:rPr>
      </w:pPr>
      <w:r>
        <w:rPr>
          <w:snapToGrid w:val="0"/>
        </w:rPr>
        <w:tab/>
        <w:t>(5)</w:t>
      </w:r>
      <w:r>
        <w:rPr>
          <w:snapToGrid w:val="0"/>
        </w:rPr>
        <w:tab/>
        <w:t>Notwithstanding anything contained in the rules of the organisation, the person conducting the election may take such action and give such directions as the person considers necessary in order —</w:t>
      </w:r>
    </w:p>
    <w:p>
      <w:pPr>
        <w:pStyle w:val="Indenta"/>
        <w:keepNext/>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 xml:space="preserve">to remedy procedural defects which appear to </w:t>
      </w:r>
      <w:r>
        <w:t>the person</w:t>
      </w:r>
      <w:r>
        <w:rPr>
          <w:snapToGrid w:val="0"/>
        </w:rPr>
        <w:t xml:space="preserve"> to exist in those rules.</w:t>
      </w:r>
    </w:p>
    <w:p>
      <w:pPr>
        <w:pStyle w:val="Subsection"/>
        <w:keepNext/>
        <w:keepLines/>
        <w:rPr>
          <w:snapToGrid w:val="0"/>
        </w:rPr>
      </w:pPr>
      <w:r>
        <w:rPr>
          <w:snapToGrid w:val="0"/>
        </w:rPr>
        <w:tab/>
        <w:t>(6)</w:t>
      </w:r>
      <w:r>
        <w:rPr>
          <w:snapToGrid w:val="0"/>
        </w:rPr>
        <w:tab/>
        <w:t>A person must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must be borne by the State; and the Consolidated Account is to the necessary extent appropriated accordingly.</w:t>
      </w:r>
    </w:p>
    <w:p>
      <w:pPr>
        <w:pStyle w:val="Subsection"/>
        <w:rPr>
          <w:snapToGrid w:val="0"/>
        </w:rPr>
      </w:pPr>
      <w:r>
        <w:rPr>
          <w:snapToGrid w:val="0"/>
        </w:rPr>
        <w:tab/>
        <w:t>(9)</w:t>
      </w:r>
      <w:r>
        <w:rPr>
          <w:snapToGrid w:val="0"/>
        </w:rPr>
        <w:tab/>
        <w:t xml:space="preserve">The Secretary of the organisation must, within such time as the Registrar may require, lodge with the Registrar a copy of the register of members referred to in section 63 and that register must be open for inspection and extracts may be taken </w:t>
      </w:r>
      <w:r>
        <w:t>from it</w:t>
      </w:r>
      <w:r>
        <w:rPr>
          <w:snapToGrid w:val="0"/>
        </w:rPr>
        <w:t>, at the office of the person conducting the election, by any member of the organisation or candidate at the election.</w:t>
      </w:r>
    </w:p>
    <w:p>
      <w:pPr>
        <w:pStyle w:val="Subsection"/>
        <w:rPr>
          <w:snapToGrid w:val="0"/>
        </w:rPr>
      </w:pPr>
      <w:r>
        <w:rPr>
          <w:snapToGrid w:val="0"/>
        </w:rPr>
        <w:tab/>
        <w:t>(10)</w:t>
      </w:r>
      <w:r>
        <w:rPr>
          <w:snapToGrid w:val="0"/>
        </w:rPr>
        <w:tab/>
        <w:t xml:space="preserve">In proceedings before the Commission or any court in connection with anything done or proposed to be done by reason of a request duly made in accordance with this section the copy register referred to in subsection (9) is evidence that the persons shown </w:t>
      </w:r>
      <w:r>
        <w:t>in the register</w:t>
      </w:r>
      <w:r>
        <w:rPr>
          <w:snapToGrid w:val="0"/>
        </w:rPr>
        <w:t xml:space="preserve">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w:t>
      </w:r>
      <w:r>
        <w:t xml:space="preserve"> the Registrar</w:t>
      </w:r>
      <w:r>
        <w:rPr>
          <w:snapToGrid w:val="0"/>
        </w:rPr>
        <w:t xml:space="preserve"> must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pPr>
        <w:pStyle w:val="Footnotesection"/>
      </w:pPr>
      <w:r>
        <w:tab/>
        <w:t>[Section 69 amended: No. 94 of 1984 s. 42, 65 and 66; No. 98 of 1985 s. 3; No. 6 of 1993 s. 11; No. 1 of 1995 s. 53; No. 77 of 2006 s. 4; No. 39 of 2018 s. 39; No. 30 of 2021 s. 76(2), 77(2), (5) and (10) and 78(7).]</w:t>
      </w:r>
    </w:p>
    <w:p>
      <w:pPr>
        <w:pStyle w:val="Heading5"/>
        <w:rPr>
          <w:snapToGrid w:val="0"/>
        </w:rPr>
      </w:pPr>
      <w:bookmarkStart w:id="488" w:name="_Toc107476496"/>
      <w:bookmarkStart w:id="489" w:name="_Toc106374030"/>
      <w:r>
        <w:rPr>
          <w:rStyle w:val="CharSectno"/>
        </w:rPr>
        <w:t>70</w:t>
      </w:r>
      <w:r>
        <w:rPr>
          <w:snapToGrid w:val="0"/>
        </w:rPr>
        <w:t>.</w:t>
      </w:r>
      <w:r>
        <w:rPr>
          <w:snapToGrid w:val="0"/>
        </w:rPr>
        <w:tab/>
        <w:t>Offences in relation to elections</w:t>
      </w:r>
      <w:bookmarkEnd w:id="488"/>
      <w:bookmarkEnd w:id="489"/>
    </w:p>
    <w:p>
      <w:pPr>
        <w:pStyle w:val="Subsection"/>
        <w:rPr>
          <w:snapToGrid w:val="0"/>
        </w:rPr>
      </w:pPr>
      <w:r>
        <w:rPr>
          <w:snapToGrid w:val="0"/>
        </w:rPr>
        <w:tab/>
        <w:t>(1)</w:t>
      </w:r>
      <w:r>
        <w:rPr>
          <w:snapToGrid w:val="0"/>
        </w:rPr>
        <w:tab/>
        <w:t>A person must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keepNext/>
        <w:rPr>
          <w:snapToGrid w:val="0"/>
        </w:rPr>
      </w:pPr>
      <w:r>
        <w:rPr>
          <w:snapToGrid w:val="0"/>
        </w:rPr>
        <w:tab/>
        <w:t>(i)</w:t>
      </w:r>
      <w:r>
        <w:rPr>
          <w:snapToGrid w:val="0"/>
        </w:rPr>
        <w:tab/>
        <w:t>into a ballot box or other ballot receptacle; or</w:t>
      </w:r>
    </w:p>
    <w:p>
      <w:pPr>
        <w:pStyle w:val="Indenti"/>
        <w:keepNext/>
        <w:rPr>
          <w:snapToGrid w:val="0"/>
        </w:rPr>
      </w:pPr>
      <w:r>
        <w:rPr>
          <w:snapToGrid w:val="0"/>
        </w:rPr>
        <w:tab/>
        <w:t>(ii)</w:t>
      </w:r>
      <w:r>
        <w:rPr>
          <w:snapToGrid w:val="0"/>
        </w:rPr>
        <w:tab/>
        <w:t>into the post; or</w:t>
      </w:r>
    </w:p>
    <w:p>
      <w:pPr>
        <w:pStyle w:val="Indenti"/>
        <w:keepNext/>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the person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 xml:space="preserve">obtain, or have in </w:t>
      </w:r>
      <w:r>
        <w:t>the person’s</w:t>
      </w:r>
      <w:r>
        <w:rPr>
          <w:snapToGrid w:val="0"/>
        </w:rPr>
        <w:t xml:space="preserve">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keepNext/>
        <w:rPr>
          <w:snapToGrid w:val="0"/>
        </w:rPr>
      </w:pPr>
      <w:r>
        <w:rPr>
          <w:snapToGrid w:val="0"/>
        </w:rPr>
        <w:tab/>
        <w:t>(2)</w:t>
      </w:r>
      <w:r>
        <w:rPr>
          <w:snapToGrid w:val="0"/>
        </w:rPr>
        <w:tab/>
        <w:t>A person must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No. 94 of 1984 s. 65; No. 1 of 1995 s. 53; No. 20 of 2002 s. 152(1); No. 30 of 2021 s. 76(2) and 77(2) and (4).]</w:t>
      </w:r>
    </w:p>
    <w:p>
      <w:pPr>
        <w:pStyle w:val="Heading5"/>
        <w:rPr>
          <w:snapToGrid w:val="0"/>
        </w:rPr>
      </w:pPr>
      <w:bookmarkStart w:id="490" w:name="_Toc107476497"/>
      <w:bookmarkStart w:id="491" w:name="_Toc106374031"/>
      <w:r>
        <w:rPr>
          <w:rStyle w:val="CharSectno"/>
        </w:rPr>
        <w:t>71</w:t>
      </w:r>
      <w:r>
        <w:rPr>
          <w:snapToGrid w:val="0"/>
        </w:rPr>
        <w:t>.</w:t>
      </w:r>
      <w:r>
        <w:rPr>
          <w:snapToGrid w:val="0"/>
        </w:rPr>
        <w:tab/>
      </w:r>
      <w:r>
        <w:t>Rules of State and federal organisations as to membership and offices</w:t>
      </w:r>
      <w:bookmarkEnd w:id="490"/>
      <w:bookmarkEnd w:id="491"/>
    </w:p>
    <w:p>
      <w:pPr>
        <w:pStyle w:val="Ednotesubsection"/>
        <w:keepNext/>
      </w:pPr>
      <w:r>
        <w:tab/>
        <w:t>[(1)</w:t>
      </w:r>
      <w:r>
        <w:tab/>
        <w:t>deleted]</w:t>
      </w:r>
    </w:p>
    <w:p>
      <w:pPr>
        <w:pStyle w:val="Subsection"/>
        <w:rPr>
          <w:snapToGrid w:val="0"/>
        </w:rPr>
      </w:pPr>
      <w:r>
        <w:rPr>
          <w:snapToGrid w:val="0"/>
        </w:rPr>
        <w:tab/>
        <w:t>(2)</w:t>
      </w:r>
      <w:r>
        <w:rPr>
          <w:snapToGrid w:val="0"/>
        </w:rPr>
        <w:tab/>
        <w:t xml:space="preserve">The rules of a State organisation and a counterpart federal body described in section 52A(2) are taken to be the same if the rules of the organisation and the body — </w:t>
      </w:r>
    </w:p>
    <w:p>
      <w:pPr>
        <w:pStyle w:val="Indenta"/>
        <w:rPr>
          <w:snapToGrid w:val="0"/>
        </w:rPr>
      </w:pPr>
      <w:r>
        <w:rPr>
          <w:snapToGrid w:val="0"/>
        </w:rPr>
        <w:tab/>
        <w:t>(a)</w:t>
      </w:r>
      <w:r>
        <w:rPr>
          <w:snapToGrid w:val="0"/>
        </w:rPr>
        <w:tab/>
      </w:r>
      <w:r>
        <w:t>relate to the qualifications of persons for membership; and</w:t>
      </w:r>
    </w:p>
    <w:p>
      <w:pPr>
        <w:pStyle w:val="Indenta"/>
        <w:rPr>
          <w:snapToGrid w:val="0"/>
        </w:rPr>
      </w:pPr>
      <w:r>
        <w:rPr>
          <w:snapToGrid w:val="0"/>
        </w:rPr>
        <w:tab/>
        <w:t>(b)</w:t>
      </w:r>
      <w:r>
        <w:rPr>
          <w:snapToGrid w:val="0"/>
        </w:rPr>
        <w:tab/>
        <w:t>are, in the opinion of the Commission in Court Session, substantially the same.</w:t>
      </w:r>
    </w:p>
    <w:p>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 xml:space="preserve">eligible to be a member of the State organisation is, by reason of being a member of a particular class of persons, ineligible to be a member of that State organisation’s counterpart </w:t>
      </w:r>
      <w:r>
        <w:t>federal</w:t>
      </w:r>
      <w:r>
        <w:rPr>
          <w:snapToGrid w:val="0"/>
        </w:rPr>
        <w:t xml:space="preserve"> body; or</w:t>
      </w:r>
    </w:p>
    <w:p>
      <w:pPr>
        <w:pStyle w:val="Indenta"/>
        <w:rPr>
          <w:snapToGrid w:val="0"/>
        </w:rPr>
      </w:pPr>
      <w:r>
        <w:rPr>
          <w:snapToGrid w:val="0"/>
        </w:rPr>
        <w:tab/>
        <w:t>(b)</w:t>
      </w:r>
      <w:r>
        <w:rPr>
          <w:snapToGrid w:val="0"/>
        </w:rPr>
        <w:tab/>
        <w:t xml:space="preserve">eligible to be a member of the counterpart </w:t>
      </w:r>
      <w:r>
        <w:t>federal</w:t>
      </w:r>
      <w:r>
        <w:rPr>
          <w:snapToGrid w:val="0"/>
        </w:rPr>
        <w:t xml:space="preserve"> body is, for the reason referred to in paragraph (a), ineligible to be a member of the State organisation.</w:t>
      </w:r>
    </w:p>
    <w:p>
      <w:pPr>
        <w:pStyle w:val="Subsection"/>
        <w:rPr>
          <w:snapToGrid w:val="0"/>
        </w:rPr>
      </w:pPr>
      <w:r>
        <w:rPr>
          <w:snapToGrid w:val="0"/>
        </w:rPr>
        <w:tab/>
        <w:t>(4)</w:t>
      </w:r>
      <w:r>
        <w:rPr>
          <w:snapToGrid w:val="0"/>
        </w:rPr>
        <w:tab/>
        <w:t xml:space="preserve">The rules of a State organisation and a counterpart federal body described in section 52A(2) are taken to be the same if — </w:t>
      </w:r>
    </w:p>
    <w:p>
      <w:pPr>
        <w:pStyle w:val="Indenta"/>
        <w:rPr>
          <w:snapToGrid w:val="0"/>
        </w:rPr>
      </w:pPr>
      <w:r>
        <w:rPr>
          <w:snapToGrid w:val="0"/>
        </w:rPr>
        <w:tab/>
        <w:t>(a)</w:t>
      </w:r>
      <w:r>
        <w:rPr>
          <w:snapToGrid w:val="0"/>
        </w:rPr>
        <w:tab/>
      </w:r>
      <w:r>
        <w:t xml:space="preserve">the rules </w:t>
      </w:r>
      <w:r>
        <w:rPr>
          <w:snapToGrid w:val="0"/>
        </w:rPr>
        <w:t>prescribe the offices existing in the body; and</w:t>
      </w:r>
    </w:p>
    <w:p>
      <w:pPr>
        <w:pStyle w:val="Indenta"/>
        <w:rPr>
          <w:snapToGrid w:val="0"/>
        </w:rPr>
      </w:pPr>
      <w:r>
        <w:rPr>
          <w:snapToGrid w:val="0"/>
        </w:rPr>
        <w:tab/>
        <w:t>(b)</w:t>
      </w:r>
      <w:r>
        <w:rPr>
          <w:snapToGrid w:val="0"/>
        </w:rPr>
        <w:tab/>
        <w:t>for every office in the organisation there is a corresponding office in the body.</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 xml:space="preserve">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w:t>
      </w:r>
      <w:r>
        <w:t>federal body, holds an office described in subsection (5A)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must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are, for all purposes,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(5A)</w:t>
      </w:r>
      <w:r>
        <w:rPr>
          <w:snapToGrid w:val="0"/>
        </w:rPr>
        <w:tab/>
        <w:t xml:space="preserve">The office referred to in subsection (5)(a) is — </w:t>
      </w:r>
    </w:p>
    <w:p>
      <w:pPr>
        <w:pStyle w:val="Indenta"/>
      </w:pPr>
      <w:r>
        <w:tab/>
        <w:t>(a)</w:t>
      </w:r>
      <w:r>
        <w:tab/>
        <w:t xml:space="preserve">in </w:t>
      </w:r>
      <w:r>
        <w:rPr>
          <w:snapToGrid w:val="0"/>
        </w:rPr>
        <w:t>the</w:t>
      </w:r>
      <w:r>
        <w:t xml:space="preserve"> case of a counterpart federal body referred to in section 52A(2) — the corresponding office in the body;</w:t>
      </w:r>
    </w:p>
    <w:p>
      <w:pPr>
        <w:pStyle w:val="Indenta"/>
      </w:pPr>
      <w:r>
        <w:tab/>
        <w:t>(b)</w:t>
      </w:r>
      <w:r>
        <w:tab/>
        <w:t xml:space="preserve">in the case of a counterpart federal body referred to in section 52A(3) — an office that is specified in the rules of the State organisation for the purposes of this subsection and in relation to which the members of the State organisation are, under the rules of the counterpart federal body, entitled to — </w:t>
      </w:r>
    </w:p>
    <w:p>
      <w:pPr>
        <w:pStyle w:val="Indenti"/>
      </w:pPr>
      <w:r>
        <w:tab/>
        <w:t>(i)</w:t>
      </w:r>
      <w:r>
        <w:tab/>
        <w:t>nominate a person to be the office holder; and</w:t>
      </w:r>
    </w:p>
    <w:p>
      <w:pPr>
        <w:pStyle w:val="Indenti"/>
      </w:pPr>
      <w:r>
        <w:tab/>
        <w:t>(ii)</w:t>
      </w:r>
      <w:r>
        <w:tab/>
        <w:t>vote for a person to be the office holder.</w:t>
      </w:r>
    </w:p>
    <w:p>
      <w:pPr>
        <w:pStyle w:val="Subsection"/>
        <w:rPr>
          <w:snapToGrid w:val="0"/>
        </w:rPr>
      </w:pPr>
      <w:r>
        <w:rPr>
          <w:snapToGrid w:val="0"/>
        </w:rPr>
        <w:tab/>
        <w:t>(6)</w:t>
      </w:r>
      <w:r>
        <w:rPr>
          <w:snapToGrid w:val="0"/>
        </w:rPr>
        <w:tab/>
        <w:t xml:space="preserve">A State organisation </w:t>
      </w:r>
      <w:r>
        <w:t xml:space="preserve">referred to in section 52A(2) or (3) </w:t>
      </w:r>
      <w:r>
        <w:rPr>
          <w:snapToGrid w:val="0"/>
        </w:rPr>
        <w:t>to which a certificate issued under this section applies may, notwithstanding any provision in its rules to the contrary, make an agreement with the branch or organisation that is the State organisation’s counterpart federal body,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w:t>
      </w:r>
      <w:r>
        <w:t>federal</w:t>
      </w:r>
      <w:r>
        <w:rPr>
          <w:snapToGrid w:val="0"/>
        </w:rPr>
        <w:t xml:space="preserve"> body and will not prevent or hinder the State organisation from satisfying any debt or obligation </w:t>
      </w:r>
      <w:r>
        <w:t>however</w:t>
      </w:r>
      <w:r>
        <w:rPr>
          <w:snapToGrid w:val="0"/>
        </w:rPr>
        <w:t xml:space="preserve"> arising, approve the agreement.</w:t>
      </w:r>
    </w:p>
    <w:p>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r>
        <w:t>Commission in Court Session</w:t>
      </w:r>
      <w:r>
        <w:rPr>
          <w:snapToGrid w:val="0"/>
        </w:rPr>
        <w:t xml:space="preserve"> may, having regard to the terms of the memorandum, direct; and</w:t>
      </w:r>
    </w:p>
    <w:p>
      <w:pPr>
        <w:pStyle w:val="Indenta"/>
        <w:keepNext/>
        <w:rPr>
          <w:snapToGrid w:val="0"/>
        </w:rPr>
      </w:pPr>
      <w:r>
        <w:rPr>
          <w:snapToGrid w:val="0"/>
        </w:rPr>
        <w:tab/>
        <w:t>(c)</w:t>
      </w:r>
      <w:r>
        <w:rPr>
          <w:snapToGrid w:val="0"/>
        </w:rPr>
        <w:tab/>
        <w:t>notify the State organisation in writing of the matters referred to in paragraphs (a) and (b).</w:t>
      </w:r>
    </w:p>
    <w:p>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 xml:space="preserve">the rule referred to in subsection (5)(a) and a memorandum registered under subsection (8)(a) must not be altered unless the alteration is approved by the </w:t>
      </w:r>
      <w:r>
        <w:t>Commission in Court Session; and</w:t>
      </w:r>
    </w:p>
    <w:p>
      <w:pPr>
        <w:pStyle w:val="Indenta"/>
        <w:rPr>
          <w:snapToGrid w:val="0"/>
        </w:rPr>
      </w:pPr>
      <w:r>
        <w:rPr>
          <w:snapToGrid w:val="0"/>
        </w:rPr>
        <w:tab/>
        <w:t>(b)</w:t>
      </w:r>
      <w:r>
        <w:rPr>
          <w:snapToGrid w:val="0"/>
        </w:rPr>
        <w:tab/>
        <w:t xml:space="preserve">an alteration to any rule of the State organisation other than the rule referred to in paragraph (a) may be registered by the Registrar if the Registrar is satisfied that the rule as so altered is the same as a rule of the State organisation’s counterpart </w:t>
      </w:r>
      <w:r>
        <w:t>federal</w:t>
      </w:r>
      <w:r>
        <w:rPr>
          <w:snapToGrid w:val="0"/>
        </w:rPr>
        <w:t xml:space="preserve"> body; and</w:t>
      </w:r>
    </w:p>
    <w:p>
      <w:pPr>
        <w:pStyle w:val="Indenta"/>
        <w:rPr>
          <w:snapToGrid w:val="0"/>
        </w:rPr>
      </w:pPr>
      <w:r>
        <w:rPr>
          <w:snapToGrid w:val="0"/>
        </w:rPr>
        <w:tab/>
        <w:t>(c)</w:t>
      </w:r>
      <w:r>
        <w:rPr>
          <w:snapToGrid w:val="0"/>
        </w:rPr>
        <w:tab/>
        <w:t xml:space="preserve">every member of the State organisation’s counterpart </w:t>
      </w:r>
      <w:r>
        <w:t>federal</w:t>
      </w:r>
      <w:r>
        <w:rPr>
          <w:snapToGrid w:val="0"/>
        </w:rPr>
        <w:t xml:space="preserve"> body who is eligible to be a member of the State organisation is, for all the purposes of this Act and of any award, industrial agreement or order, </w:t>
      </w:r>
      <w:r>
        <w:t>taken</w:t>
      </w:r>
      <w:r>
        <w:rPr>
          <w:snapToGrid w:val="0"/>
        </w:rPr>
        <w:t xml:space="preserve"> to be a member of the State organisation.</w:t>
      </w:r>
    </w:p>
    <w:p>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pPr>
        <w:pStyle w:val="Footnotesection"/>
      </w:pPr>
      <w:r>
        <w:tab/>
        <w:t>[Section 71 amended: No. 94 of 1984 s. 66; No. 119 of 1987 s. 18; No. 1 of 1995 s. 53; No. 74 of 2003 s. 68(3); No. 53 of 2011 s. 34; No. 39 of 2018 s. 40; No. 30 of 2021 s. 36, 74, 76(2), (7) and (8), 78(6) and (7).]</w:t>
      </w:r>
    </w:p>
    <w:p>
      <w:pPr>
        <w:pStyle w:val="Heading5"/>
        <w:rPr>
          <w:snapToGrid w:val="0"/>
        </w:rPr>
      </w:pPr>
      <w:bookmarkStart w:id="492" w:name="_Toc107476498"/>
      <w:bookmarkStart w:id="493" w:name="_Toc106374032"/>
      <w:r>
        <w:rPr>
          <w:rStyle w:val="CharSectno"/>
        </w:rPr>
        <w:t>71A</w:t>
      </w:r>
      <w:r>
        <w:rPr>
          <w:snapToGrid w:val="0"/>
        </w:rPr>
        <w:t>.</w:t>
      </w:r>
      <w:r>
        <w:rPr>
          <w:snapToGrid w:val="0"/>
        </w:rPr>
        <w:tab/>
      </w:r>
      <w:r>
        <w:t>State organisation may adopt rules of federal organisation</w:t>
      </w:r>
      <w:bookmarkEnd w:id="492"/>
      <w:bookmarkEnd w:id="493"/>
    </w:p>
    <w:p>
      <w:pPr>
        <w:pStyle w:val="Ednotesubsection"/>
        <w:keepNext/>
        <w:spacing w:before="120"/>
        <w:rPr>
          <w:iCs/>
        </w:rPr>
      </w:pPr>
      <w:r>
        <w:rPr>
          <w:iCs/>
        </w:rPr>
        <w:tab/>
        <w:t>[(1)</w:t>
      </w:r>
      <w:r>
        <w:rPr>
          <w:iCs/>
        </w:rPr>
        <w:tab/>
        <w:t>deleted]</w:t>
      </w:r>
    </w:p>
    <w:p>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xml:space="preserve">) stating that all of the rules of its counterpart </w:t>
      </w:r>
      <w:r>
        <w:t>federal</w:t>
      </w:r>
      <w:r>
        <w:rPr>
          <w:snapToGrid w:val="0"/>
        </w:rPr>
        <w:t xml:space="preserve"> body other than —</w:t>
      </w:r>
    </w:p>
    <w:p>
      <w:pPr>
        <w:pStyle w:val="Indenta"/>
        <w:keepNext/>
        <w:keepLines/>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pPr>
      <w:r>
        <w:tab/>
        <w:t>(ba)</w:t>
      </w:r>
      <w:r>
        <w:tab/>
        <w:t>a rule described in section 71(5)(a) relating to an office described in section 71(5A)(b); and</w:t>
      </w:r>
    </w:p>
    <w:p>
      <w:pPr>
        <w:pStyle w:val="Indenta"/>
      </w:pPr>
      <w:r>
        <w:tab/>
        <w:t>(bb)</w:t>
      </w:r>
      <w:r>
        <w:tab/>
        <w:t>a rule described in section 71(5A)(b);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 xml:space="preserve">Subject to subsection (5) where a State organisation alters its rules under subsection (2) the rules adopted by that State organisation are by force of this section, and notwithstanding anything to the contrary in section 62, </w:t>
      </w:r>
      <w:r>
        <w:t>taken</w:t>
      </w:r>
      <w:r>
        <w:rPr>
          <w:snapToGrid w:val="0"/>
        </w:rPr>
        <w:t xml:space="preserve">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 xml:space="preserve">any further rules made by the counterpart </w:t>
      </w:r>
      <w:r>
        <w:t>federal</w:t>
      </w:r>
      <w:r>
        <w:rPr>
          <w:snapToGrid w:val="0"/>
        </w:rPr>
        <w:t xml:space="preserve">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must register that adopting provision as an alteration to the rules of that State organisation; and</w:t>
      </w:r>
    </w:p>
    <w:p>
      <w:pPr>
        <w:pStyle w:val="Indenta"/>
        <w:rPr>
          <w:snapToGrid w:val="0"/>
        </w:rPr>
      </w:pPr>
      <w:r>
        <w:rPr>
          <w:snapToGrid w:val="0"/>
        </w:rPr>
        <w:tab/>
        <w:t>(b)</w:t>
      </w:r>
      <w:r>
        <w:rPr>
          <w:snapToGrid w:val="0"/>
        </w:rPr>
        <w:tab/>
        <w:t>that adopting provision is not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No. 99 of 1990 s. 9; amended: No. 30 of 2021 s. 37, 74, 76(2) and (8) and 78(3).]</w:t>
      </w:r>
    </w:p>
    <w:p>
      <w:pPr>
        <w:pStyle w:val="Heading5"/>
        <w:rPr>
          <w:snapToGrid w:val="0"/>
        </w:rPr>
      </w:pPr>
      <w:bookmarkStart w:id="494" w:name="_Toc107476499"/>
      <w:bookmarkStart w:id="495" w:name="_Toc106374033"/>
      <w:r>
        <w:rPr>
          <w:rStyle w:val="CharSectno"/>
        </w:rPr>
        <w:t>72</w:t>
      </w:r>
      <w:r>
        <w:rPr>
          <w:snapToGrid w:val="0"/>
        </w:rPr>
        <w:t>.</w:t>
      </w:r>
      <w:r>
        <w:rPr>
          <w:snapToGrid w:val="0"/>
        </w:rPr>
        <w:tab/>
        <w:t>Amalgamated organisations, registration of</w:t>
      </w:r>
      <w:bookmarkEnd w:id="494"/>
      <w:bookmarkEnd w:id="495"/>
    </w:p>
    <w:p>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pPr>
        <w:pStyle w:val="Subsection"/>
        <w:rPr>
          <w:snapToGrid w:val="0"/>
        </w:rPr>
      </w:pPr>
      <w:r>
        <w:rPr>
          <w:snapToGrid w:val="0"/>
        </w:rPr>
        <w:tab/>
        <w:t>(2)</w:t>
      </w:r>
      <w:r>
        <w:rPr>
          <w:snapToGrid w:val="0"/>
        </w:rPr>
        <w:tab/>
        <w:t>An application under this section must be made under the respective seals of the amalgamating organisations and must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are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No. 94 of 1984 s. 43; amended: No. 1 of 1995 s. 53; No. 79 of 1995 s. 34; No. 39 of 2018 s. 41; No. 30 of 2021 s. 76(1), (2) and (4).]</w:t>
      </w:r>
    </w:p>
    <w:p>
      <w:pPr>
        <w:pStyle w:val="Heading5"/>
        <w:rPr>
          <w:snapToGrid w:val="0"/>
        </w:rPr>
      </w:pPr>
      <w:bookmarkStart w:id="496" w:name="_Toc107476500"/>
      <w:bookmarkStart w:id="497" w:name="_Toc106374034"/>
      <w:r>
        <w:rPr>
          <w:rStyle w:val="CharSectno"/>
        </w:rPr>
        <w:t>72A</w:t>
      </w:r>
      <w:r>
        <w:rPr>
          <w:snapToGrid w:val="0"/>
        </w:rPr>
        <w:t>.</w:t>
      </w:r>
      <w:r>
        <w:rPr>
          <w:snapToGrid w:val="0"/>
        </w:rPr>
        <w:tab/>
        <w:t>Employee organisations, orders as to whom they represent</w:t>
      </w:r>
      <w:bookmarkEnd w:id="496"/>
      <w:bookmarkEnd w:id="497"/>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 xml:space="preserve">An organisation, an employer or the Minister may apply to the </w:t>
      </w:r>
      <w:r>
        <w:t>Commission in Court Session</w:t>
      </w:r>
      <w:r>
        <w:rPr>
          <w:snapToGrid w:val="0"/>
        </w:rPr>
        <w:t xml:space="preserve">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must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must not be listed for hearing before the Commission in Court Session until after the expiration of 30 days from the day on which the notice is first published.</w:t>
      </w:r>
    </w:p>
    <w:p>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and may make any such order subject to any condition or limitation.</w:t>
      </w:r>
    </w:p>
    <w:p>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pPr>
        <w:pStyle w:val="Subsection"/>
        <w:rPr>
          <w:snapToGrid w:val="0"/>
        </w:rPr>
      </w:pPr>
      <w:r>
        <w:rPr>
          <w:snapToGrid w:val="0"/>
        </w:rPr>
        <w:tab/>
        <w:t>(6)</w:t>
      </w:r>
      <w:r>
        <w:rPr>
          <w:snapToGrid w:val="0"/>
        </w:rPr>
        <w:tab/>
        <w:t xml:space="preserve">Where an order is made under subsection (4), the </w:t>
      </w:r>
      <w:r>
        <w:t>Commission in Court Session must refer the matter to the Chief Commissioner unless it</w:t>
      </w:r>
      <w:r>
        <w:rPr>
          <w:snapToGrid w:val="0"/>
        </w:rPr>
        <w:t xml:space="preserve"> is satisfied that the rules of the organisations concerned do not need to be altered.</w:t>
      </w:r>
    </w:p>
    <w:p>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pPr>
        <w:pStyle w:val="Footnotesection"/>
      </w:pPr>
      <w:r>
        <w:tab/>
        <w:t>[Section 72A inserted: No. 15 of 1993 s. 20; amended: No. 79 of 1995 s. 35; No. 20 of 2002 s. 190(6); No. 39 of 2018 s. 42.]</w:t>
      </w:r>
    </w:p>
    <w:p>
      <w:pPr>
        <w:pStyle w:val="Heading5"/>
        <w:rPr>
          <w:snapToGrid w:val="0"/>
        </w:rPr>
      </w:pPr>
      <w:bookmarkStart w:id="498" w:name="_Toc107476501"/>
      <w:bookmarkStart w:id="499" w:name="_Toc106374035"/>
      <w:r>
        <w:rPr>
          <w:rStyle w:val="CharSectno"/>
        </w:rPr>
        <w:t>72B</w:t>
      </w:r>
      <w:r>
        <w:rPr>
          <w:snapToGrid w:val="0"/>
        </w:rPr>
        <w:t>.</w:t>
      </w:r>
      <w:r>
        <w:rPr>
          <w:snapToGrid w:val="0"/>
        </w:rPr>
        <w:tab/>
        <w:t>AMA may represent interests of medical practitioners</w:t>
      </w:r>
      <w:bookmarkEnd w:id="498"/>
      <w:bookmarkEnd w:id="499"/>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keepNext/>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must lodge with the Registrar a copy of its rules as then in force.</w:t>
      </w:r>
    </w:p>
    <w:p>
      <w:pPr>
        <w:pStyle w:val="Subsection"/>
        <w:rPr>
          <w:snapToGrid w:val="0"/>
        </w:rPr>
      </w:pPr>
      <w:r>
        <w:rPr>
          <w:snapToGrid w:val="0"/>
        </w:rPr>
        <w:tab/>
        <w:t>(5)</w:t>
      </w:r>
      <w:r>
        <w:rPr>
          <w:snapToGrid w:val="0"/>
        </w:rPr>
        <w:tab/>
        <w:t>The WA Branch of the AMA must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must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No. 79 of 1995 s. 36; amended: No. 22 of 2008 Sch. 3 cl. 30(2); No. 35 of 2010 s. 99; No. 30 of 2021 s. 76(2).]</w:t>
      </w:r>
    </w:p>
    <w:p>
      <w:pPr>
        <w:pStyle w:val="Heading5"/>
        <w:pageBreakBefore/>
        <w:spacing w:before="0"/>
        <w:rPr>
          <w:snapToGrid w:val="0"/>
        </w:rPr>
      </w:pPr>
      <w:bookmarkStart w:id="500" w:name="_Toc107476502"/>
      <w:bookmarkStart w:id="501" w:name="_Toc106374036"/>
      <w:r>
        <w:rPr>
          <w:rStyle w:val="CharSectno"/>
        </w:rPr>
        <w:t>73</w:t>
      </w:r>
      <w:r>
        <w:rPr>
          <w:snapToGrid w:val="0"/>
        </w:rPr>
        <w:t>.</w:t>
      </w:r>
      <w:r>
        <w:rPr>
          <w:snapToGrid w:val="0"/>
        </w:rPr>
        <w:tab/>
        <w:t>Cancelling and suspending registration of organisation, procedure for</w:t>
      </w:r>
      <w:bookmarkEnd w:id="500"/>
      <w:bookmarkEnd w:id="501"/>
    </w:p>
    <w:p>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 xml:space="preserve">where the request is made by the Minister and is accompanied by a declaration made by </w:t>
      </w:r>
      <w:r>
        <w:t>the Minister</w:t>
      </w:r>
      <w:r>
        <w:rPr>
          <w:snapToGrid w:val="0"/>
        </w:rPr>
        <w:t xml:space="preserve"> that in the Minister’s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made under the FW Act or continued in existence under the FW (Transitional) Act,</w:t>
      </w:r>
    </w:p>
    <w:p>
      <w:pPr>
        <w:pStyle w:val="Indenta"/>
        <w:spacing w:before="70"/>
        <w:rPr>
          <w:snapToGrid w:val="0"/>
        </w:rPr>
      </w:pPr>
      <w:r>
        <w:rPr>
          <w:snapToGrid w:val="0"/>
        </w:rPr>
        <w:tab/>
      </w:r>
      <w:r>
        <w:rPr>
          <w:snapToGrid w:val="0"/>
        </w:rPr>
        <w:tab/>
        <w:t>the Commission must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must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 xml:space="preserve">A direction to the Registrar under subsection (1) must include a statement of the reasons for which the direction is given and a copy of that statement must be attached to the summons referred to in that subsection and served </w:t>
      </w:r>
      <w:r>
        <w:t>with the summons</w:t>
      </w:r>
      <w:r>
        <w:rPr>
          <w:snapToGrid w:val="0"/>
        </w:rPr>
        <w:t>.</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must supply such further particulars as the commissioner who constituted the Commission that gave the direction may direct.</w:t>
      </w:r>
    </w:p>
    <w:p>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pPr>
        <w:pStyle w:val="Indenta"/>
        <w:rPr>
          <w:snapToGrid w:val="0"/>
        </w:rPr>
      </w:pPr>
      <w:r>
        <w:rPr>
          <w:snapToGrid w:val="0"/>
        </w:rPr>
        <w:tab/>
        <w:t>(a)</w:t>
      </w:r>
      <w:r>
        <w:rPr>
          <w:snapToGrid w:val="0"/>
        </w:rPr>
        <w:tab/>
        <w:t>must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keepNext/>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FW Act or continued in existence under the FW (Transitional) Act, </w:t>
      </w:r>
      <w:r>
        <w:rPr>
          <w:snapToGrid w:val="0"/>
        </w:rPr>
        <w:t xml:space="preserve">the </w:t>
      </w:r>
      <w:r>
        <w:t>Commission in Court Session —</w:t>
      </w:r>
    </w:p>
    <w:p>
      <w:pPr>
        <w:pStyle w:val="Indenta"/>
        <w:rPr>
          <w:snapToGrid w:val="0"/>
        </w:rPr>
      </w:pPr>
      <w:r>
        <w:rPr>
          <w:snapToGrid w:val="0"/>
        </w:rPr>
        <w:tab/>
        <w:t>(a)</w:t>
      </w:r>
      <w:r>
        <w:rPr>
          <w:snapToGrid w:val="0"/>
        </w:rPr>
        <w:tab/>
        <w:t>must make an order cancelling the rights of the organisation under this Act with respect to that group or class of employees; and</w:t>
      </w:r>
    </w:p>
    <w:p>
      <w:pPr>
        <w:pStyle w:val="Indenta"/>
        <w:keepNext/>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but it may be prescribed in the order that the order will not commence to operate from the date specified if, before that date, the organisation satisfies the </w:t>
      </w:r>
      <w:r>
        <w:t>Commission in Court Session</w:t>
      </w:r>
      <w:r>
        <w:rPr>
          <w:snapToGrid w:val="0"/>
        </w:rPr>
        <w:t xml:space="preserve"> that it has complied or is complying with conditions or requisitions made by the </w:t>
      </w:r>
      <w:r>
        <w:t>Commission in Court Session</w:t>
      </w:r>
      <w:r>
        <w:rPr>
          <w:snapToGrid w:val="0"/>
        </w:rPr>
        <w:t xml:space="preserve"> when making the order.</w:t>
      </w:r>
    </w:p>
    <w:p>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pPr>
        <w:pStyle w:val="Subsection"/>
        <w:rPr>
          <w:snapToGrid w:val="0"/>
        </w:rPr>
      </w:pPr>
      <w:r>
        <w:rPr>
          <w:snapToGrid w:val="0"/>
        </w:rPr>
        <w:tab/>
        <w:t>(11)</w:t>
      </w:r>
      <w:r>
        <w:rPr>
          <w:snapToGrid w:val="0"/>
        </w:rPr>
        <w:tab/>
        <w:t xml:space="preserve">An order made under this section has effect according to its tenor and the Registrar must, where necessary, amend </w:t>
      </w:r>
      <w:r>
        <w:t>the Registrar’s</w:t>
      </w:r>
      <w:r>
        <w:rPr>
          <w:snapToGrid w:val="0"/>
        </w:rPr>
        <w:t xml:space="preserve"> records accordingly.</w:t>
      </w:r>
    </w:p>
    <w:p>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 xml:space="preserve">The Registrar must make an application under subsection (12) in every case where it appears to </w:t>
      </w:r>
      <w:r>
        <w:t>the Registrar</w:t>
      </w:r>
      <w:r>
        <w:rPr>
          <w:snapToGrid w:val="0"/>
        </w:rPr>
        <w:t xml:space="preserve">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must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must not deduct from the wages of any employee any amount for or in respect of membership of the organisation.</w:t>
      </w:r>
    </w:p>
    <w:p>
      <w:pPr>
        <w:pStyle w:val="Penstart"/>
        <w:rPr>
          <w:snapToGrid w:val="0"/>
        </w:rPr>
      </w:pPr>
      <w:r>
        <w:rPr>
          <w:snapToGrid w:val="0"/>
        </w:rPr>
        <w:tab/>
      </w:r>
      <w:r>
        <w:t>Penalty for this subsection: a fine of</w:t>
      </w:r>
      <w:r>
        <w:rPr>
          <w:snapToGrid w:val="0"/>
        </w:rPr>
        <w:t xml:space="preserve"> $2 000.</w:t>
      </w:r>
    </w:p>
    <w:p>
      <w:pPr>
        <w:pStyle w:val="Footnotesection"/>
      </w:pPr>
      <w:r>
        <w:tab/>
        <w:t>[Section 73 amended: No. 121 of 1982 s. 23; No. 94 of 1984 s. 44 and 66; No. 119 of 1987 s. 19; No. 15 of 1993 s. 21; No. 3 of 1997 s. 9 and 19; No. 20 of 2002 s. 193(2) and 194(6); No. 53 of 2011 s. 35; No. 39 of 2018 s. 43; Gazette 15 Aug 2003 p. 3686; No. 30 of 2021 s. 72(1), 75(1) and 76(2) and (8), 77(6) and (13) and 78(7).]</w:t>
      </w:r>
    </w:p>
    <w:p>
      <w:pPr>
        <w:pStyle w:val="Heading3"/>
        <w:spacing w:before="220"/>
        <w:rPr>
          <w:snapToGrid w:val="0"/>
        </w:rPr>
      </w:pPr>
      <w:bookmarkStart w:id="502" w:name="_Toc107322374"/>
      <w:bookmarkStart w:id="503" w:name="_Toc107476503"/>
      <w:bookmarkStart w:id="504" w:name="_Toc105760109"/>
      <w:bookmarkStart w:id="505" w:name="_Toc106195363"/>
      <w:bookmarkStart w:id="506" w:name="_Toc106367306"/>
      <w:bookmarkStart w:id="507" w:name="_Toc106374037"/>
      <w:r>
        <w:rPr>
          <w:rStyle w:val="CharDivNo"/>
        </w:rPr>
        <w:t>Division 5</w:t>
      </w:r>
      <w:r>
        <w:rPr>
          <w:snapToGrid w:val="0"/>
        </w:rPr>
        <w:t> — </w:t>
      </w:r>
      <w:r>
        <w:rPr>
          <w:rStyle w:val="CharDivText"/>
        </w:rPr>
        <w:t>Duties of officers of organisations</w:t>
      </w:r>
      <w:bookmarkEnd w:id="502"/>
      <w:bookmarkEnd w:id="503"/>
      <w:bookmarkEnd w:id="504"/>
      <w:bookmarkEnd w:id="505"/>
      <w:bookmarkEnd w:id="506"/>
      <w:bookmarkEnd w:id="507"/>
    </w:p>
    <w:p>
      <w:pPr>
        <w:pStyle w:val="Footnoteheading"/>
        <w:keepNext/>
      </w:pPr>
      <w:r>
        <w:tab/>
        <w:t>[Heading inserted: No. 79 of 1995 s. 8(1); amended: No. 3 of 1997 s. 4; No. 20 of 2002 s. 192(1).]</w:t>
      </w:r>
    </w:p>
    <w:p>
      <w:pPr>
        <w:pStyle w:val="Heading5"/>
        <w:rPr>
          <w:snapToGrid w:val="0"/>
        </w:rPr>
      </w:pPr>
      <w:bookmarkStart w:id="508" w:name="_Toc107476504"/>
      <w:bookmarkStart w:id="509" w:name="_Toc106374038"/>
      <w:r>
        <w:rPr>
          <w:rStyle w:val="CharSectno"/>
        </w:rPr>
        <w:t>74</w:t>
      </w:r>
      <w:r>
        <w:rPr>
          <w:snapToGrid w:val="0"/>
        </w:rPr>
        <w:t>.</w:t>
      </w:r>
      <w:r>
        <w:rPr>
          <w:snapToGrid w:val="0"/>
        </w:rPr>
        <w:tab/>
        <w:t>Finance official’s duties</w:t>
      </w:r>
      <w:bookmarkEnd w:id="508"/>
      <w:bookmarkEnd w:id="509"/>
    </w:p>
    <w:p>
      <w:pPr>
        <w:pStyle w:val="Subsection"/>
        <w:keepNext/>
        <w:rPr>
          <w:snapToGrid w:val="0"/>
        </w:rPr>
      </w:pPr>
      <w:r>
        <w:rPr>
          <w:snapToGrid w:val="0"/>
        </w:rPr>
        <w:tab/>
        <w:t>(1)</w:t>
      </w:r>
      <w:r>
        <w:rPr>
          <w:snapToGrid w:val="0"/>
        </w:rPr>
        <w:tab/>
        <w:t>In this section and in section 77 —</w:t>
      </w:r>
    </w:p>
    <w:p>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No. 79 of 1995 s. 8(1); amended: No. 3 of 1997 s. 5; No. 20 of 2002 s. 192(2).]</w:t>
      </w:r>
    </w:p>
    <w:p>
      <w:pPr>
        <w:pStyle w:val="Heading5"/>
        <w:keepLines w:val="0"/>
        <w:rPr>
          <w:snapToGrid w:val="0"/>
        </w:rPr>
      </w:pPr>
      <w:bookmarkStart w:id="510" w:name="_Toc107476505"/>
      <w:bookmarkStart w:id="511" w:name="_Toc106374039"/>
      <w:r>
        <w:rPr>
          <w:rStyle w:val="CharSectno"/>
        </w:rPr>
        <w:t>75</w:t>
      </w:r>
      <w:r>
        <w:rPr>
          <w:snapToGrid w:val="0"/>
        </w:rPr>
        <w:t>.</w:t>
      </w:r>
      <w:r>
        <w:rPr>
          <w:snapToGrid w:val="0"/>
        </w:rPr>
        <w:tab/>
        <w:t>Auditor to report on compliance with s. 74 duties</w:t>
      </w:r>
      <w:bookmarkEnd w:id="510"/>
      <w:bookmarkEnd w:id="511"/>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No. 79 of 1995 s. 8(1).]</w:t>
      </w:r>
    </w:p>
    <w:p>
      <w:pPr>
        <w:pStyle w:val="Ednotesection"/>
      </w:pPr>
      <w:r>
        <w:t>[</w:t>
      </w:r>
      <w:r>
        <w:rPr>
          <w:b/>
        </w:rPr>
        <w:t>76.</w:t>
      </w:r>
      <w:r>
        <w:tab/>
        <w:t>Deleted: No. 39 of 2018 s. 44.]</w:t>
      </w:r>
    </w:p>
    <w:p>
      <w:pPr>
        <w:pStyle w:val="Heading5"/>
        <w:rPr>
          <w:snapToGrid w:val="0"/>
        </w:rPr>
      </w:pPr>
      <w:bookmarkStart w:id="512" w:name="_Toc107476506"/>
      <w:bookmarkStart w:id="513" w:name="_Toc106374040"/>
      <w:r>
        <w:rPr>
          <w:rStyle w:val="CharSectno"/>
        </w:rPr>
        <w:t>77</w:t>
      </w:r>
      <w:r>
        <w:rPr>
          <w:snapToGrid w:val="0"/>
        </w:rPr>
        <w:t>.</w:t>
      </w:r>
      <w:r>
        <w:rPr>
          <w:snapToGrid w:val="0"/>
        </w:rPr>
        <w:tab/>
        <w:t>Duty under s. 74, enforcing</w:t>
      </w:r>
      <w:bookmarkEnd w:id="512"/>
      <w:bookmarkEnd w:id="513"/>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must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must state in the order the name of the person liable to pay the money and the name of the person to whom the money is to be paid.</w:t>
      </w:r>
    </w:p>
    <w:p>
      <w:pPr>
        <w:pStyle w:val="Footnotesection"/>
        <w:spacing w:before="80"/>
        <w:ind w:left="890" w:hanging="890"/>
      </w:pPr>
      <w:r>
        <w:tab/>
        <w:t>[Section 77 inserted: No. 79 of 1995 s. 8(1); amended: No. 3 of 1997 s. 6; No. 30 of 2021 s. 76(2).]</w:t>
      </w:r>
    </w:p>
    <w:p>
      <w:pPr>
        <w:pStyle w:val="Heading5"/>
        <w:rPr>
          <w:snapToGrid w:val="0"/>
        </w:rPr>
      </w:pPr>
      <w:bookmarkStart w:id="514" w:name="_Toc107476507"/>
      <w:bookmarkStart w:id="515" w:name="_Toc106374041"/>
      <w:r>
        <w:rPr>
          <w:rStyle w:val="CharSectno"/>
        </w:rPr>
        <w:t>78</w:t>
      </w:r>
      <w:r>
        <w:rPr>
          <w:snapToGrid w:val="0"/>
        </w:rPr>
        <w:t>.</w:t>
      </w:r>
      <w:r>
        <w:rPr>
          <w:snapToGrid w:val="0"/>
        </w:rPr>
        <w:tab/>
        <w:t>Failure to comply with s. 77(2)(e) order</w:t>
      </w:r>
      <w:bookmarkEnd w:id="514"/>
      <w:bookmarkEnd w:id="515"/>
    </w:p>
    <w:p>
      <w:pPr>
        <w:pStyle w:val="Subsection"/>
        <w:rPr>
          <w:snapToGrid w:val="0"/>
        </w:rPr>
      </w:pPr>
      <w:r>
        <w:rPr>
          <w:snapToGrid w:val="0"/>
        </w:rPr>
        <w:tab/>
      </w:r>
      <w:r>
        <w:rPr>
          <w:snapToGrid w:val="0"/>
        </w:rPr>
        <w:tab/>
        <w:t>A person who fails to comply with an order under section 77(2)(e) commits an offence.</w:t>
      </w:r>
    </w:p>
    <w:p>
      <w:pPr>
        <w:pStyle w:val="Penstart"/>
      </w:pPr>
      <w:r>
        <w:tab/>
        <w:t xml:space="preserve">Penalty: </w:t>
      </w:r>
    </w:p>
    <w:p>
      <w:pPr>
        <w:pStyle w:val="Penpara"/>
      </w:pPr>
      <w:r>
        <w:tab/>
        <w:t>(a)</w:t>
      </w:r>
      <w:r>
        <w:tab/>
        <w:t>a fine of $5 000;</w:t>
      </w:r>
    </w:p>
    <w:p>
      <w:pPr>
        <w:pStyle w:val="Penpara"/>
      </w:pPr>
      <w:r>
        <w:tab/>
        <w:t>(b)</w:t>
      </w:r>
      <w:r>
        <w:tab/>
        <w:t>a daily penalty of a fine of $500 for each day or part of a day during which the offence continues.</w:t>
      </w:r>
    </w:p>
    <w:p>
      <w:pPr>
        <w:pStyle w:val="Footnotesection"/>
        <w:ind w:left="890" w:hanging="890"/>
      </w:pPr>
      <w:r>
        <w:tab/>
        <w:t>[Section 78 inserted: No. 3 of 1997 s. 7; amended: No. 30 of 2021 s. 71(2) and (3).]</w:t>
      </w:r>
    </w:p>
    <w:p>
      <w:pPr>
        <w:pStyle w:val="Heading5"/>
        <w:rPr>
          <w:snapToGrid w:val="0"/>
        </w:rPr>
      </w:pPr>
      <w:bookmarkStart w:id="516" w:name="_Toc107476508"/>
      <w:bookmarkStart w:id="517" w:name="_Toc106374042"/>
      <w:r>
        <w:rPr>
          <w:rStyle w:val="CharSectno"/>
        </w:rPr>
        <w:t>79</w:t>
      </w:r>
      <w:r>
        <w:rPr>
          <w:snapToGrid w:val="0"/>
        </w:rPr>
        <w:t>.</w:t>
      </w:r>
      <w:r>
        <w:rPr>
          <w:snapToGrid w:val="0"/>
        </w:rPr>
        <w:tab/>
        <w:t>Proceedings under s. 77, effect on or of other proceedings</w:t>
      </w:r>
      <w:bookmarkEnd w:id="516"/>
      <w:bookmarkEnd w:id="517"/>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No. 3 of 1997 s. 7.]</w:t>
      </w:r>
    </w:p>
    <w:p>
      <w:pPr>
        <w:pStyle w:val="Heading5"/>
        <w:rPr>
          <w:snapToGrid w:val="0"/>
        </w:rPr>
      </w:pPr>
      <w:bookmarkStart w:id="518" w:name="_Toc107476509"/>
      <w:bookmarkStart w:id="519" w:name="_Toc106374043"/>
      <w:r>
        <w:rPr>
          <w:rStyle w:val="CharSectno"/>
        </w:rPr>
        <w:t>80</w:t>
      </w:r>
      <w:r>
        <w:rPr>
          <w:snapToGrid w:val="0"/>
        </w:rPr>
        <w:t>.</w:t>
      </w:r>
      <w:r>
        <w:rPr>
          <w:snapToGrid w:val="0"/>
        </w:rPr>
        <w:tab/>
        <w:t>Disqualification from office for breach of s. 74 duty</w:t>
      </w:r>
      <w:bookmarkEnd w:id="518"/>
      <w:bookmarkEnd w:id="519"/>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No. 3 of 1997 s. 7.]</w:t>
      </w:r>
    </w:p>
    <w:p>
      <w:pPr>
        <w:pStyle w:val="Heading2"/>
      </w:pPr>
      <w:bookmarkStart w:id="520" w:name="_Toc107322381"/>
      <w:bookmarkStart w:id="521" w:name="_Toc107476510"/>
      <w:bookmarkStart w:id="522" w:name="_Toc84926090"/>
      <w:bookmarkStart w:id="523" w:name="_Toc84927506"/>
      <w:bookmarkStart w:id="524" w:name="_Toc84935486"/>
      <w:bookmarkStart w:id="525" w:name="_Toc85533283"/>
      <w:bookmarkStart w:id="526" w:name="_Toc85543899"/>
      <w:bookmarkStart w:id="527" w:name="_Toc90551692"/>
      <w:bookmarkStart w:id="528" w:name="_Toc90553660"/>
      <w:bookmarkStart w:id="529" w:name="_Toc90558263"/>
      <w:bookmarkStart w:id="530" w:name="_Toc91144505"/>
      <w:bookmarkStart w:id="531" w:name="_Toc95209344"/>
      <w:bookmarkStart w:id="532" w:name="_Toc106195370"/>
      <w:bookmarkStart w:id="533" w:name="_Toc106367313"/>
      <w:bookmarkStart w:id="534" w:name="_Toc106374044"/>
      <w:bookmarkStart w:id="535" w:name="_Toc105760116"/>
      <w:r>
        <w:rPr>
          <w:rStyle w:val="CharPartNo"/>
        </w:rPr>
        <w:t>Part 2AA</w:t>
      </w:r>
      <w:r>
        <w:t> — </w:t>
      </w:r>
      <w:r>
        <w:rPr>
          <w:rStyle w:val="CharPartText"/>
        </w:rPr>
        <w:t>Employers declared not to be national system employers</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pPr>
        <w:pStyle w:val="Footnoteheading"/>
        <w:keepNext/>
        <w:keepLines/>
      </w:pPr>
      <w:bookmarkStart w:id="536" w:name="_Toc84926091"/>
      <w:bookmarkStart w:id="537" w:name="_Toc84927507"/>
      <w:bookmarkStart w:id="538" w:name="_Toc84935487"/>
      <w:bookmarkStart w:id="539" w:name="_Toc85533284"/>
      <w:bookmarkStart w:id="540" w:name="_Toc85543900"/>
      <w:bookmarkStart w:id="541" w:name="_Toc90551693"/>
      <w:bookmarkStart w:id="542" w:name="_Toc90553661"/>
      <w:bookmarkStart w:id="543" w:name="_Toc90558264"/>
      <w:bookmarkStart w:id="544" w:name="_Toc91144506"/>
      <w:bookmarkStart w:id="545" w:name="_Toc95209345"/>
      <w:r>
        <w:tab/>
        <w:t>[Heading inserted: No. 30 of 2021 s. 38.]</w:t>
      </w:r>
    </w:p>
    <w:p>
      <w:pPr>
        <w:pStyle w:val="Heading3"/>
      </w:pPr>
      <w:bookmarkStart w:id="546" w:name="_Toc107322382"/>
      <w:bookmarkStart w:id="547" w:name="_Toc107476511"/>
      <w:bookmarkStart w:id="548" w:name="_Toc106195371"/>
      <w:bookmarkStart w:id="549" w:name="_Toc106367314"/>
      <w:bookmarkStart w:id="550" w:name="_Toc106374045"/>
      <w:r>
        <w:rPr>
          <w:rStyle w:val="CharDivNo"/>
        </w:rPr>
        <w:t>Division 1</w:t>
      </w:r>
      <w:r>
        <w:t> — </w:t>
      </w:r>
      <w:r>
        <w:rPr>
          <w:rStyle w:val="CharDivText"/>
        </w:rPr>
        <w:t>Declarations</w:t>
      </w:r>
      <w:bookmarkEnd w:id="546"/>
      <w:bookmarkEnd w:id="547"/>
      <w:bookmarkEnd w:id="536"/>
      <w:bookmarkEnd w:id="537"/>
      <w:bookmarkEnd w:id="538"/>
      <w:bookmarkEnd w:id="539"/>
      <w:bookmarkEnd w:id="540"/>
      <w:bookmarkEnd w:id="541"/>
      <w:bookmarkEnd w:id="542"/>
      <w:bookmarkEnd w:id="543"/>
      <w:bookmarkEnd w:id="544"/>
      <w:bookmarkEnd w:id="545"/>
      <w:bookmarkEnd w:id="548"/>
      <w:bookmarkEnd w:id="549"/>
      <w:bookmarkEnd w:id="550"/>
    </w:p>
    <w:p>
      <w:pPr>
        <w:pStyle w:val="Footnoteheading"/>
        <w:keepNext/>
        <w:keepLines/>
      </w:pPr>
      <w:bookmarkStart w:id="551" w:name="_Toc90558265"/>
      <w:bookmarkStart w:id="552" w:name="_Toc95209346"/>
      <w:r>
        <w:tab/>
        <w:t>[Heading inserted: No. 30 of 2021 s. 38.]</w:t>
      </w:r>
    </w:p>
    <w:p>
      <w:pPr>
        <w:pStyle w:val="Heading5"/>
      </w:pPr>
      <w:bookmarkStart w:id="553" w:name="_Toc107476512"/>
      <w:bookmarkStart w:id="554" w:name="_Toc106374046"/>
      <w:r>
        <w:rPr>
          <w:rStyle w:val="CharSectno"/>
        </w:rPr>
        <w:t>80A</w:t>
      </w:r>
      <w:r>
        <w:t>.</w:t>
      </w:r>
      <w:r>
        <w:tab/>
        <w:t>Employers declared not to be national system employers</w:t>
      </w:r>
      <w:bookmarkEnd w:id="553"/>
      <w:bookmarkEnd w:id="551"/>
      <w:bookmarkEnd w:id="552"/>
      <w:bookmarkEnd w:id="554"/>
    </w:p>
    <w:p>
      <w:pPr>
        <w:pStyle w:val="Subsection"/>
      </w:pPr>
      <w:r>
        <w:tab/>
        <w:t>(1)</w:t>
      </w:r>
      <w:r>
        <w:tab/>
        <w:t>This section applies to an employer who, under the FW Act section 14(2), may be declared by or under a law of the State not to be a national system employer.</w:t>
      </w:r>
    </w:p>
    <w:p>
      <w:pPr>
        <w:pStyle w:val="Subsection"/>
      </w:pPr>
      <w:r>
        <w:tab/>
        <w:t>(2)</w:t>
      </w:r>
      <w:r>
        <w:tab/>
        <w:t xml:space="preserve">The regulations may — </w:t>
      </w:r>
    </w:p>
    <w:p>
      <w:pPr>
        <w:pStyle w:val="Indenta"/>
      </w:pPr>
      <w:r>
        <w:tab/>
        <w:t>(a)</w:t>
      </w:r>
      <w:r>
        <w:tab/>
        <w:t>declare the employer not to be a national system employer for the purposes of the FW Act; and</w:t>
      </w:r>
    </w:p>
    <w:p>
      <w:pPr>
        <w:pStyle w:val="Indenta"/>
      </w:pPr>
      <w:r>
        <w:tab/>
        <w:t>(b)</w:t>
      </w:r>
      <w:r>
        <w:tab/>
        <w:t xml:space="preserve">fix a day (the </w:t>
      </w:r>
      <w:r>
        <w:rPr>
          <w:rStyle w:val="CharDefText"/>
        </w:rPr>
        <w:t>relevant day</w:t>
      </w:r>
      <w:r>
        <w:t>) for the purposes of that declaration.</w:t>
      </w:r>
    </w:p>
    <w:p>
      <w:pPr>
        <w:pStyle w:val="Footnotesection"/>
      </w:pPr>
      <w:bookmarkStart w:id="555" w:name="_Toc84926093"/>
      <w:bookmarkStart w:id="556" w:name="_Toc84927509"/>
      <w:bookmarkStart w:id="557" w:name="_Toc84935489"/>
      <w:bookmarkStart w:id="558" w:name="_Toc85533286"/>
      <w:bookmarkStart w:id="559" w:name="_Toc85543902"/>
      <w:bookmarkStart w:id="560" w:name="_Toc90551695"/>
      <w:bookmarkStart w:id="561" w:name="_Toc90553663"/>
      <w:bookmarkStart w:id="562" w:name="_Toc90558266"/>
      <w:bookmarkStart w:id="563" w:name="_Toc91144508"/>
      <w:bookmarkStart w:id="564" w:name="_Toc95209347"/>
      <w:r>
        <w:tab/>
        <w:t>[Section 80A inserted: No. 30 of 2021 s. 38.]</w:t>
      </w:r>
    </w:p>
    <w:p>
      <w:pPr>
        <w:pStyle w:val="Heading3"/>
      </w:pPr>
      <w:bookmarkStart w:id="565" w:name="_Toc107322384"/>
      <w:bookmarkStart w:id="566" w:name="_Toc107476513"/>
      <w:bookmarkStart w:id="567" w:name="_Toc106195373"/>
      <w:bookmarkStart w:id="568" w:name="_Toc106367316"/>
      <w:bookmarkStart w:id="569" w:name="_Toc106374047"/>
      <w:r>
        <w:rPr>
          <w:rStyle w:val="CharDivNo"/>
        </w:rPr>
        <w:t>Division 2</w:t>
      </w:r>
      <w:r>
        <w:t> — </w:t>
      </w:r>
      <w:r>
        <w:rPr>
          <w:rStyle w:val="CharDivText"/>
        </w:rPr>
        <w:t>Change from federal to State system</w:t>
      </w:r>
      <w:bookmarkEnd w:id="565"/>
      <w:bookmarkEnd w:id="566"/>
      <w:bookmarkEnd w:id="555"/>
      <w:bookmarkEnd w:id="556"/>
      <w:bookmarkEnd w:id="557"/>
      <w:bookmarkEnd w:id="558"/>
      <w:bookmarkEnd w:id="559"/>
      <w:bookmarkEnd w:id="560"/>
      <w:bookmarkEnd w:id="561"/>
      <w:bookmarkEnd w:id="562"/>
      <w:bookmarkEnd w:id="563"/>
      <w:bookmarkEnd w:id="564"/>
      <w:bookmarkEnd w:id="567"/>
      <w:bookmarkEnd w:id="568"/>
      <w:bookmarkEnd w:id="569"/>
    </w:p>
    <w:p>
      <w:pPr>
        <w:pStyle w:val="Footnoteheading"/>
        <w:keepNext/>
        <w:keepLines/>
      </w:pPr>
      <w:bookmarkStart w:id="570" w:name="_Toc90558267"/>
      <w:bookmarkStart w:id="571" w:name="_Toc95209348"/>
      <w:r>
        <w:tab/>
        <w:t>[Heading inserted: No. 30 of 2021 s. 38.]</w:t>
      </w:r>
    </w:p>
    <w:p>
      <w:pPr>
        <w:pStyle w:val="Heading5"/>
      </w:pPr>
      <w:bookmarkStart w:id="572" w:name="_Toc107476514"/>
      <w:bookmarkStart w:id="573" w:name="_Toc106374048"/>
      <w:r>
        <w:rPr>
          <w:rStyle w:val="CharSectno"/>
        </w:rPr>
        <w:t>80B</w:t>
      </w:r>
      <w:r>
        <w:t>.</w:t>
      </w:r>
      <w:r>
        <w:tab/>
        <w:t>Terms used</w:t>
      </w:r>
      <w:bookmarkEnd w:id="572"/>
      <w:bookmarkEnd w:id="570"/>
      <w:bookmarkEnd w:id="571"/>
      <w:bookmarkEnd w:id="573"/>
    </w:p>
    <w:p>
      <w:pPr>
        <w:pStyle w:val="Subsection"/>
      </w:pPr>
      <w:r>
        <w:tab/>
      </w:r>
      <w:r>
        <w:tab/>
        <w:t xml:space="preserve">In this Division — </w:t>
      </w:r>
    </w:p>
    <w:p>
      <w:pPr>
        <w:pStyle w:val="Defstart"/>
      </w:pPr>
      <w:r>
        <w:tab/>
      </w:r>
      <w:r>
        <w:rPr>
          <w:rStyle w:val="CharDefText"/>
        </w:rPr>
        <w:t>declared employee</w:t>
      </w:r>
      <w:r>
        <w:t xml:space="preserve"> means a person employed by a declared employer;</w:t>
      </w:r>
    </w:p>
    <w:p>
      <w:pPr>
        <w:pStyle w:val="Defstart"/>
      </w:pPr>
      <w:r>
        <w:tab/>
      </w:r>
      <w:r>
        <w:rPr>
          <w:rStyle w:val="CharDefText"/>
        </w:rPr>
        <w:t>declared employer</w:t>
      </w:r>
      <w:r>
        <w:t xml:space="preserve"> means an employer declared not to be a national system employer in regulations under section 80A(2)(a);</w:t>
      </w:r>
    </w:p>
    <w:p>
      <w:pPr>
        <w:pStyle w:val="Defstart"/>
      </w:pPr>
      <w:r>
        <w:tab/>
      </w:r>
      <w:r>
        <w:rPr>
          <w:rStyle w:val="CharDefText"/>
        </w:rPr>
        <w:t>federal award</w:t>
      </w:r>
      <w:r>
        <w:t xml:space="preserve"> means — </w:t>
      </w:r>
    </w:p>
    <w:p>
      <w:pPr>
        <w:pStyle w:val="Defpara"/>
      </w:pPr>
      <w:r>
        <w:tab/>
        <w:t>(a)</w:t>
      </w:r>
      <w:r>
        <w:tab/>
        <w:t>a modern award under the FW Act; or</w:t>
      </w:r>
    </w:p>
    <w:p>
      <w:pPr>
        <w:pStyle w:val="Defpara"/>
      </w:pPr>
      <w:r>
        <w:tab/>
        <w:t>(b)</w:t>
      </w:r>
      <w:r>
        <w:tab/>
        <w:t>an award under the repealed Workplace Act continued in existence under the FW (Transitional) Act;</w:t>
      </w:r>
    </w:p>
    <w:p>
      <w:pPr>
        <w:pStyle w:val="Defstart"/>
      </w:pPr>
      <w:r>
        <w:tab/>
      </w:r>
      <w:r>
        <w:rPr>
          <w:rStyle w:val="CharDefText"/>
        </w:rPr>
        <w:t>federal industrial authority</w:t>
      </w:r>
      <w:r>
        <w:t xml:space="preserve"> means — </w:t>
      </w:r>
    </w:p>
    <w:p>
      <w:pPr>
        <w:pStyle w:val="Defpara"/>
      </w:pPr>
      <w:r>
        <w:tab/>
        <w:t>(a)</w:t>
      </w:r>
      <w:r>
        <w:tab/>
        <w:t>the Australian Industrial Relations Commission under the repealed Workplace Act; or</w:t>
      </w:r>
    </w:p>
    <w:p>
      <w:pPr>
        <w:pStyle w:val="Defpara"/>
      </w:pPr>
      <w:r>
        <w:tab/>
        <w:t>(b)</w:t>
      </w:r>
      <w:r>
        <w:tab/>
        <w:t>the FW Commission;</w:t>
      </w:r>
    </w:p>
    <w:p>
      <w:pPr>
        <w:pStyle w:val="Defstart"/>
      </w:pPr>
      <w:r>
        <w:tab/>
      </w:r>
      <w:r>
        <w:rPr>
          <w:rStyle w:val="CharDefText"/>
        </w:rPr>
        <w:t>federal industrial instrument</w:t>
      </w:r>
      <w:r>
        <w:t xml:space="preserve"> means a fair work instrument under the FW Act;</w:t>
      </w:r>
    </w:p>
    <w:p>
      <w:pPr>
        <w:pStyle w:val="Defstart"/>
      </w:pPr>
      <w:r>
        <w:tab/>
      </w:r>
      <w:r>
        <w:rPr>
          <w:rStyle w:val="CharDefText"/>
        </w:rPr>
        <w:t>national fair work legislation</w:t>
      </w:r>
      <w:r>
        <w:t xml:space="preserve"> means — </w:t>
      </w:r>
    </w:p>
    <w:p>
      <w:pPr>
        <w:pStyle w:val="Defpara"/>
      </w:pPr>
      <w:r>
        <w:tab/>
        <w:t>(a)</w:t>
      </w:r>
      <w:r>
        <w:tab/>
        <w:t>the FW Act; or</w:t>
      </w:r>
    </w:p>
    <w:p>
      <w:pPr>
        <w:pStyle w:val="Defpara"/>
      </w:pPr>
      <w:r>
        <w:tab/>
        <w:t>(b)</w:t>
      </w:r>
      <w:r>
        <w:tab/>
        <w:t>the FW (Transitional) Act;</w:t>
      </w:r>
    </w:p>
    <w:p>
      <w:pPr>
        <w:pStyle w:val="Defstart"/>
      </w:pPr>
      <w:r>
        <w:tab/>
      </w:r>
      <w:r>
        <w:rPr>
          <w:rStyle w:val="CharDefText"/>
        </w:rPr>
        <w:t>new State instrument</w:t>
      </w:r>
      <w:r>
        <w:t xml:space="preserve"> has the meaning given in section 80BB(2);</w:t>
      </w:r>
    </w:p>
    <w:p>
      <w:pPr>
        <w:pStyle w:val="Defstart"/>
      </w:pPr>
      <w:r>
        <w:tab/>
      </w:r>
      <w:r>
        <w:rPr>
          <w:rStyle w:val="CharDefText"/>
        </w:rPr>
        <w:t>old federal instrument</w:t>
      </w:r>
      <w:r>
        <w:t xml:space="preserve"> has the meaning given in section 80BB(1)(b);</w:t>
      </w:r>
    </w:p>
    <w:p>
      <w:pPr>
        <w:pStyle w:val="Defstart"/>
      </w:pPr>
      <w:r>
        <w:tab/>
      </w:r>
      <w:r>
        <w:rPr>
          <w:rStyle w:val="CharDefText"/>
        </w:rPr>
        <w:t>relevant day</w:t>
      </w:r>
      <w:r>
        <w:t xml:space="preserve"> has the meaning given in section 80A(2)(b);</w:t>
      </w:r>
    </w:p>
    <w:p>
      <w:pPr>
        <w:pStyle w:val="Defstart"/>
      </w:pPr>
      <w:r>
        <w:tab/>
      </w:r>
      <w:r>
        <w:rPr>
          <w:rStyle w:val="CharDefText"/>
        </w:rPr>
        <w:t>repealed Workplace Act</w:t>
      </w:r>
      <w:r>
        <w:t xml:space="preserve"> means the </w:t>
      </w:r>
      <w:r>
        <w:rPr>
          <w:i/>
        </w:rPr>
        <w:t>Workplace Relations Act 1996</w:t>
      </w:r>
      <w:r>
        <w:t xml:space="preserve"> (Commonwealth);</w:t>
      </w:r>
    </w:p>
    <w:p>
      <w:pPr>
        <w:pStyle w:val="Defstart"/>
      </w:pPr>
      <w:r>
        <w:tab/>
      </w:r>
      <w:r>
        <w:rPr>
          <w:rStyle w:val="CharDefText"/>
        </w:rPr>
        <w:t>terms</w:t>
      </w:r>
      <w:r>
        <w:t xml:space="preserve"> includes conditions, restrictions and other provisions.</w:t>
      </w:r>
    </w:p>
    <w:p>
      <w:pPr>
        <w:pStyle w:val="Footnotesection"/>
      </w:pPr>
      <w:bookmarkStart w:id="574" w:name="_Toc90558268"/>
      <w:bookmarkStart w:id="575" w:name="_Toc95209349"/>
      <w:r>
        <w:tab/>
        <w:t>[Section 80B inserted: No. 30 of 2021 s. 38.]</w:t>
      </w:r>
    </w:p>
    <w:p>
      <w:pPr>
        <w:pStyle w:val="Heading5"/>
      </w:pPr>
      <w:bookmarkStart w:id="576" w:name="_Toc107476515"/>
      <w:bookmarkStart w:id="577" w:name="_Toc106374049"/>
      <w:r>
        <w:rPr>
          <w:rStyle w:val="CharSectno"/>
        </w:rPr>
        <w:t>80BA</w:t>
      </w:r>
      <w:r>
        <w:t>.</w:t>
      </w:r>
      <w:r>
        <w:tab/>
        <w:t>Operation of awards, industrial agreements or orders</w:t>
      </w:r>
      <w:bookmarkEnd w:id="576"/>
      <w:bookmarkEnd w:id="574"/>
      <w:bookmarkEnd w:id="575"/>
      <w:bookmarkEnd w:id="577"/>
    </w:p>
    <w:p>
      <w:pPr>
        <w:pStyle w:val="Subsection"/>
      </w:pPr>
      <w:r>
        <w:tab/>
        <w:t>(1)</w:t>
      </w:r>
      <w:r>
        <w:tab/>
        <w:t>The regulations may provide that, on and from the relevant day, an award, industrial agreement or order specified in the regulations applies to the employees of a declared employer specified in the regulations.</w:t>
      </w:r>
    </w:p>
    <w:p>
      <w:pPr>
        <w:pStyle w:val="Subsection"/>
      </w:pPr>
      <w:r>
        <w:tab/>
        <w:t>(2)</w:t>
      </w:r>
      <w:r>
        <w:tab/>
        <w:t xml:space="preserve">If regulations are made under subsection (1), on and from the relevant day the award, industrial agreement or order applies to each of the following — </w:t>
      </w:r>
    </w:p>
    <w:p>
      <w:pPr>
        <w:pStyle w:val="Indenta"/>
      </w:pPr>
      <w:r>
        <w:tab/>
        <w:t>(a)</w:t>
      </w:r>
      <w:r>
        <w:tab/>
        <w:t>the declared employer;</w:t>
      </w:r>
    </w:p>
    <w:p>
      <w:pPr>
        <w:pStyle w:val="Indenta"/>
      </w:pPr>
      <w:r>
        <w:tab/>
        <w:t>(b)</w:t>
      </w:r>
      <w:r>
        <w:tab/>
        <w:t>the declared employees of the declared employer;</w:t>
      </w:r>
    </w:p>
    <w:p>
      <w:pPr>
        <w:pStyle w:val="Indenta"/>
      </w:pPr>
      <w:r>
        <w:tab/>
        <w:t>(c)</w:t>
      </w:r>
      <w:r>
        <w:tab/>
        <w:t>an organisation that is a party to the award or industrial agreement or that is bound by the order.</w:t>
      </w:r>
    </w:p>
    <w:p>
      <w:pPr>
        <w:pStyle w:val="Footnotesection"/>
      </w:pPr>
      <w:bookmarkStart w:id="578" w:name="_Toc90558269"/>
      <w:bookmarkStart w:id="579" w:name="_Toc95209350"/>
      <w:r>
        <w:tab/>
        <w:t>[Section 80BA inserted: No. 30 of 2021 s. 38.]</w:t>
      </w:r>
    </w:p>
    <w:p>
      <w:pPr>
        <w:pStyle w:val="Heading5"/>
      </w:pPr>
      <w:bookmarkStart w:id="580" w:name="_Toc107476516"/>
      <w:bookmarkStart w:id="581" w:name="_Toc106374050"/>
      <w:r>
        <w:rPr>
          <w:rStyle w:val="CharSectno"/>
        </w:rPr>
        <w:t>80BB</w:t>
      </w:r>
      <w:r>
        <w:t>.</w:t>
      </w:r>
      <w:r>
        <w:tab/>
        <w:t>New State instruments</w:t>
      </w:r>
      <w:bookmarkEnd w:id="580"/>
      <w:bookmarkEnd w:id="578"/>
      <w:bookmarkEnd w:id="579"/>
      <w:bookmarkEnd w:id="581"/>
    </w:p>
    <w:p>
      <w:pPr>
        <w:pStyle w:val="Subsection"/>
      </w:pPr>
      <w:r>
        <w:tab/>
        <w:t>(1)</w:t>
      </w:r>
      <w:r>
        <w:tab/>
        <w:t xml:space="preserve">This section applies — </w:t>
      </w:r>
    </w:p>
    <w:p>
      <w:pPr>
        <w:pStyle w:val="Indenta"/>
      </w:pPr>
      <w:r>
        <w:tab/>
        <w:t>(a)</w:t>
      </w:r>
      <w:r>
        <w:tab/>
        <w:t>to the extent section 80BA does not provide for a declared employee of a declared employer; and</w:t>
      </w:r>
    </w:p>
    <w:p>
      <w:pPr>
        <w:pStyle w:val="Indenta"/>
      </w:pPr>
      <w:r>
        <w:tab/>
        <w:t>(b)</w:t>
      </w:r>
      <w:r>
        <w:tab/>
        <w:t xml:space="preserve">if, immediately before the relevant day, a federal industrial instrument (the </w:t>
      </w:r>
      <w:r>
        <w:rPr>
          <w:rStyle w:val="CharDefText"/>
        </w:rPr>
        <w:t>old federal instrument</w:t>
      </w:r>
      <w:r>
        <w:t>) applies to, or purports to apply to, the declared employee.</w:t>
      </w:r>
    </w:p>
    <w:p>
      <w:pPr>
        <w:pStyle w:val="Subsection"/>
      </w:pPr>
      <w:r>
        <w:tab/>
        <w:t>(2)</w:t>
      </w:r>
      <w:r>
        <w:tab/>
        <w:t xml:space="preserve">On the relevant day, an industrial agreement (the </w:t>
      </w:r>
      <w:r>
        <w:rPr>
          <w:rStyle w:val="CharDefText"/>
        </w:rPr>
        <w:t>new State instrument</w:t>
      </w:r>
      <w:r>
        <w:t>) applies to the declared employer and declared employees.</w:t>
      </w:r>
    </w:p>
    <w:p>
      <w:pPr>
        <w:pStyle w:val="Subsection"/>
      </w:pPr>
      <w:r>
        <w:tab/>
        <w:t>(3)</w:t>
      </w:r>
      <w:r>
        <w:tab/>
        <w:t xml:space="preserve">The new State instrument is taken — </w:t>
      </w:r>
    </w:p>
    <w:p>
      <w:pPr>
        <w:pStyle w:val="Indenta"/>
      </w:pPr>
      <w:r>
        <w:tab/>
        <w:t>(a)</w:t>
      </w:r>
      <w:r>
        <w:tab/>
        <w:t>to have been registered under this Act on the relevant day; and</w:t>
      </w:r>
    </w:p>
    <w:p>
      <w:pPr>
        <w:pStyle w:val="Indenta"/>
      </w:pPr>
      <w:r>
        <w:tab/>
        <w:t>(b)</w:t>
      </w:r>
      <w:r>
        <w:tab/>
        <w:t xml:space="preserve">except as provided in this section or section 80BC, to have the same terms as the old federal instrument including those terms as added to or modified by any of the following — </w:t>
      </w:r>
    </w:p>
    <w:p>
      <w:pPr>
        <w:pStyle w:val="Indenti"/>
      </w:pPr>
      <w:r>
        <w:tab/>
        <w:t>(i)</w:t>
      </w:r>
      <w:r>
        <w:tab/>
        <w:t>terms of a federal award incorporated by the old federal instrument;</w:t>
      </w:r>
    </w:p>
    <w:p>
      <w:pPr>
        <w:pStyle w:val="Indenti"/>
      </w:pPr>
      <w:r>
        <w:tab/>
        <w:t>(ii)</w:t>
      </w:r>
      <w:r>
        <w:tab/>
        <w:t>orders of a federal industrial authority;</w:t>
      </w:r>
    </w:p>
    <w:p>
      <w:pPr>
        <w:pStyle w:val="Indenti"/>
      </w:pPr>
      <w:r>
        <w:tab/>
        <w:t>(iii)</w:t>
      </w:r>
      <w:r>
        <w:tab/>
        <w:t xml:space="preserve">another instrument under the national fair work legislation or the repealed Workplace Act; </w:t>
      </w:r>
    </w:p>
    <w:p>
      <w:pPr>
        <w:pStyle w:val="Indenta"/>
      </w:pPr>
      <w:r>
        <w:tab/>
      </w:r>
      <w:r>
        <w:tab/>
        <w:t>and</w:t>
      </w:r>
    </w:p>
    <w:p>
      <w:pPr>
        <w:pStyle w:val="Indenta"/>
      </w:pPr>
      <w:r>
        <w:tab/>
        <w:t>(c)</w:t>
      </w:r>
      <w:r>
        <w:tab/>
        <w:t xml:space="preserve">to have a nominal expiry date that is the earlier of the following — </w:t>
      </w:r>
    </w:p>
    <w:p>
      <w:pPr>
        <w:pStyle w:val="Indenti"/>
      </w:pPr>
      <w:r>
        <w:tab/>
        <w:t>(i)</w:t>
      </w:r>
      <w:r>
        <w:tab/>
        <w:t>a day that is 2 years after the relevant day;</w:t>
      </w:r>
    </w:p>
    <w:p>
      <w:pPr>
        <w:pStyle w:val="Indenti"/>
      </w:pPr>
      <w:r>
        <w:tab/>
        <w:t>(ii)</w:t>
      </w:r>
      <w:r>
        <w:tab/>
        <w:t>the day that, immediately before the relevant day, was the nominal expiry day of the old federal instrument.</w:t>
      </w:r>
    </w:p>
    <w:p>
      <w:pPr>
        <w:pStyle w:val="Subsection"/>
      </w:pPr>
      <w:r>
        <w:tab/>
        <w:t>(4)</w:t>
      </w:r>
      <w:r>
        <w:tab/>
        <w:t>This Act applies in relation to the new State instrument subject to any modifications or exclusions prescribed by regulations for this subsection.</w:t>
      </w:r>
    </w:p>
    <w:p>
      <w:pPr>
        <w:pStyle w:val="Subsection"/>
      </w:pPr>
      <w:r>
        <w:tab/>
        <w:t>(5)</w:t>
      </w:r>
      <w:r>
        <w:tab/>
        <w:t>The new State instrument applies except as provided in the MCE Act.</w:t>
      </w:r>
    </w:p>
    <w:p>
      <w:pPr>
        <w:pStyle w:val="Footnotesection"/>
      </w:pPr>
      <w:bookmarkStart w:id="582" w:name="_Toc90558270"/>
      <w:bookmarkStart w:id="583" w:name="_Toc95209351"/>
      <w:r>
        <w:tab/>
        <w:t>[Section 80BB inserted: No. 30 of 2021 s. 38.]</w:t>
      </w:r>
    </w:p>
    <w:p>
      <w:pPr>
        <w:pStyle w:val="Heading5"/>
      </w:pPr>
      <w:bookmarkStart w:id="584" w:name="_Toc107476517"/>
      <w:bookmarkStart w:id="585" w:name="_Toc106374051"/>
      <w:r>
        <w:rPr>
          <w:rStyle w:val="CharSectno"/>
        </w:rPr>
        <w:t>80BC</w:t>
      </w:r>
      <w:r>
        <w:t>.</w:t>
      </w:r>
      <w:r>
        <w:tab/>
        <w:t>Amendment of new State instruments</w:t>
      </w:r>
      <w:bookmarkEnd w:id="584"/>
      <w:bookmarkEnd w:id="582"/>
      <w:bookmarkEnd w:id="583"/>
      <w:bookmarkEnd w:id="585"/>
    </w:p>
    <w:p>
      <w:pPr>
        <w:pStyle w:val="Subsection"/>
      </w:pPr>
      <w:r>
        <w:tab/>
        <w:t>(1)</w:t>
      </w:r>
      <w:r>
        <w:tab/>
        <w:t>A declared employer, a declared employee or an organisation may apply to the Commission to amend a new State instrument.</w:t>
      </w:r>
    </w:p>
    <w:p>
      <w:pPr>
        <w:pStyle w:val="Subsection"/>
      </w:pPr>
      <w:r>
        <w:tab/>
        <w:t>(2)</w:t>
      </w:r>
      <w:r>
        <w:tab/>
        <w:t>On the application, the Commission may make the amendment if it is satisfied it is fair and reasonable to do so in the circumstances.</w:t>
      </w:r>
    </w:p>
    <w:p>
      <w:pPr>
        <w:pStyle w:val="Subsection"/>
      </w:pPr>
      <w:r>
        <w:tab/>
        <w:t>(3)</w:t>
      </w:r>
      <w:r>
        <w:tab/>
        <w:t xml:space="preserve">The amendment may be provided to take effect — </w:t>
      </w:r>
    </w:p>
    <w:p>
      <w:pPr>
        <w:pStyle w:val="Indenta"/>
      </w:pPr>
      <w:r>
        <w:tab/>
        <w:t>(a)</w:t>
      </w:r>
      <w:r>
        <w:tab/>
        <w:t>immediately; or</w:t>
      </w:r>
    </w:p>
    <w:p>
      <w:pPr>
        <w:pStyle w:val="Indenta"/>
      </w:pPr>
      <w:r>
        <w:tab/>
        <w:t>(b)</w:t>
      </w:r>
      <w:r>
        <w:tab/>
        <w:t>progressively, in stages specified in the amendment.</w:t>
      </w:r>
    </w:p>
    <w:p>
      <w:pPr>
        <w:pStyle w:val="Footnotesection"/>
      </w:pPr>
      <w:bookmarkStart w:id="586" w:name="_Toc90558271"/>
      <w:bookmarkStart w:id="587" w:name="_Toc95209352"/>
      <w:r>
        <w:tab/>
        <w:t>[Section 80BC inserted: No. 30 of 2021 s. 38.]</w:t>
      </w:r>
    </w:p>
    <w:p>
      <w:pPr>
        <w:pStyle w:val="Heading5"/>
      </w:pPr>
      <w:bookmarkStart w:id="588" w:name="_Toc107476518"/>
      <w:bookmarkStart w:id="589" w:name="_Toc106374052"/>
      <w:r>
        <w:rPr>
          <w:rStyle w:val="CharSectno"/>
        </w:rPr>
        <w:t>80BD</w:t>
      </w:r>
      <w:r>
        <w:t>.</w:t>
      </w:r>
      <w:r>
        <w:tab/>
        <w:t>Ability to carry over matters</w:t>
      </w:r>
      <w:bookmarkEnd w:id="588"/>
      <w:bookmarkEnd w:id="586"/>
      <w:bookmarkEnd w:id="587"/>
      <w:bookmarkEnd w:id="589"/>
    </w:p>
    <w:p>
      <w:pPr>
        <w:pStyle w:val="Subsection"/>
      </w:pPr>
      <w:r>
        <w:tab/>
      </w:r>
      <w:r>
        <w:tab/>
        <w:t xml:space="preserve">The Commission may, in connection with the operation of this Part, or any matter arising directly or indirectly out of the operation of this Part — </w:t>
      </w:r>
    </w:p>
    <w:p>
      <w:pPr>
        <w:pStyle w:val="Indenta"/>
      </w:pPr>
      <w:r>
        <w:tab/>
        <w:t>(a)</w:t>
      </w:r>
      <w:r>
        <w:tab/>
        <w:t>accept, recognise, adopt or rely on any step taken under, or for, the national fair work legislation; and</w:t>
      </w:r>
    </w:p>
    <w:p>
      <w:pPr>
        <w:pStyle w:val="Indenta"/>
      </w:pPr>
      <w:r>
        <w:tab/>
        <w:t>(b)</w:t>
      </w:r>
      <w:r>
        <w:tab/>
        <w:t>accept or rely on anything (including in the nature of evidence presented for the purpose of any proceedings) that has been presented, filed or provided under, or for, the national fair work legislation; and</w:t>
      </w:r>
    </w:p>
    <w:p>
      <w:pPr>
        <w:pStyle w:val="Indenta"/>
      </w:pPr>
      <w:r>
        <w:tab/>
        <w:t>(c)</w:t>
      </w:r>
      <w:r>
        <w:tab/>
        <w:t>give effect in any other way to any other thing done under, or for, the national fair work legislation.</w:t>
      </w:r>
    </w:p>
    <w:p>
      <w:pPr>
        <w:pStyle w:val="Footnotesection"/>
      </w:pPr>
      <w:bookmarkStart w:id="590" w:name="_Toc90558272"/>
      <w:bookmarkStart w:id="591" w:name="_Toc95209353"/>
      <w:r>
        <w:tab/>
        <w:t>[Section 80BD inserted: No. 30 of 2021 s. 38.]</w:t>
      </w:r>
    </w:p>
    <w:p>
      <w:pPr>
        <w:pStyle w:val="Heading5"/>
      </w:pPr>
      <w:bookmarkStart w:id="592" w:name="_Toc107476519"/>
      <w:bookmarkStart w:id="593" w:name="_Toc106374053"/>
      <w:r>
        <w:rPr>
          <w:rStyle w:val="CharSectno"/>
        </w:rPr>
        <w:t>80BE</w:t>
      </w:r>
      <w:r>
        <w:t>.</w:t>
      </w:r>
      <w:r>
        <w:tab/>
        <w:t>References in new State instruments to federal industrial authority and General Manager</w:t>
      </w:r>
      <w:bookmarkEnd w:id="592"/>
      <w:bookmarkEnd w:id="590"/>
      <w:bookmarkEnd w:id="591"/>
      <w:bookmarkEnd w:id="593"/>
    </w:p>
    <w:p>
      <w:pPr>
        <w:pStyle w:val="Subsection"/>
      </w:pPr>
      <w:r>
        <w:tab/>
        <w:t>(1)</w:t>
      </w:r>
      <w:r>
        <w:tab/>
        <w:t xml:space="preserve">In this section — </w:t>
      </w:r>
    </w:p>
    <w:p>
      <w:pPr>
        <w:pStyle w:val="Defstart"/>
      </w:pPr>
      <w:r>
        <w:tab/>
      </w:r>
      <w:r>
        <w:rPr>
          <w:rStyle w:val="CharDefText"/>
        </w:rPr>
        <w:t>General Manager</w:t>
      </w:r>
      <w:r>
        <w:t xml:space="preserve"> means the General Manager under the FW Act.</w:t>
      </w:r>
    </w:p>
    <w:p>
      <w:pPr>
        <w:pStyle w:val="Subsection"/>
      </w:pPr>
      <w:r>
        <w:tab/>
        <w:t>(2)</w:t>
      </w:r>
      <w:r>
        <w:tab/>
        <w:t>On and from the relevant day, a term of a new State instrument expressed to confer a power or function on a federal industrial authority has effect as if it conferred the power or function on the Commission.</w:t>
      </w:r>
    </w:p>
    <w:p>
      <w:pPr>
        <w:pStyle w:val="Subsection"/>
      </w:pPr>
      <w:r>
        <w:tab/>
        <w:t>(3)</w:t>
      </w:r>
      <w:r>
        <w:tab/>
        <w:t>On and from the relevant day, a term of a new State instrument expressed to confer a power or function on the General Manager has effect as if it conferred the power or function on the Registrar.</w:t>
      </w:r>
    </w:p>
    <w:p>
      <w:pPr>
        <w:pStyle w:val="Footnotesection"/>
      </w:pPr>
      <w:bookmarkStart w:id="594" w:name="_Toc90558273"/>
      <w:bookmarkStart w:id="595" w:name="_Toc95209354"/>
      <w:r>
        <w:tab/>
        <w:t>[Section 80BE inserted: No. 30 of 2021 s. 38.]</w:t>
      </w:r>
    </w:p>
    <w:p>
      <w:pPr>
        <w:pStyle w:val="Heading5"/>
      </w:pPr>
      <w:bookmarkStart w:id="596" w:name="_Toc107476520"/>
      <w:bookmarkStart w:id="597" w:name="_Toc106374054"/>
      <w:r>
        <w:rPr>
          <w:rStyle w:val="CharSectno"/>
        </w:rPr>
        <w:t>80BF</w:t>
      </w:r>
      <w:r>
        <w:t>.</w:t>
      </w:r>
      <w:r>
        <w:tab/>
        <w:t>References in new State instruments to provisions of Commonwealth laws</w:t>
      </w:r>
      <w:bookmarkEnd w:id="596"/>
      <w:bookmarkEnd w:id="594"/>
      <w:bookmarkEnd w:id="595"/>
      <w:bookmarkEnd w:id="597"/>
    </w:p>
    <w:p>
      <w:pPr>
        <w:pStyle w:val="Subsection"/>
      </w:pPr>
      <w:r>
        <w:tab/>
        <w:t>(1)</w:t>
      </w:r>
      <w:r>
        <w:tab/>
        <w:t xml:space="preserve">In this section — </w:t>
      </w:r>
    </w:p>
    <w:p>
      <w:pPr>
        <w:pStyle w:val="Defstart"/>
      </w:pPr>
      <w:r>
        <w:tab/>
      </w:r>
      <w:r>
        <w:rPr>
          <w:rStyle w:val="CharDefText"/>
        </w:rPr>
        <w:t>corresponding provision of this Act</w:t>
      </w:r>
      <w:r>
        <w:t xml:space="preserve">, to a provision of the FW Act, means — </w:t>
      </w:r>
    </w:p>
    <w:p>
      <w:pPr>
        <w:pStyle w:val="Defpara"/>
      </w:pPr>
      <w:r>
        <w:tab/>
        <w:t>(a)</w:t>
      </w:r>
      <w:r>
        <w:tab/>
        <w:t>if paragraph (b) does not apply — a provision of this Act that is of similar effect to the provision of the FW Act; or</w:t>
      </w:r>
    </w:p>
    <w:p>
      <w:pPr>
        <w:pStyle w:val="Defpara"/>
      </w:pPr>
      <w:r>
        <w:tab/>
        <w:t>(b)</w:t>
      </w:r>
      <w:r>
        <w:tab/>
        <w:t>a provision of this Act declared by regulations to be a corresponding provision.</w:t>
      </w:r>
    </w:p>
    <w:p>
      <w:pPr>
        <w:pStyle w:val="Subsection"/>
      </w:pPr>
      <w:r>
        <w:tab/>
        <w:t>(2)</w:t>
      </w:r>
      <w:r>
        <w:tab/>
        <w:t>On and from the relevant day, a term of a new State instrument expressed to refer to a provision of the FW Act is taken to refer to the corresponding provision of this Act.</w:t>
      </w:r>
    </w:p>
    <w:p>
      <w:pPr>
        <w:pStyle w:val="Footnotesection"/>
      </w:pPr>
      <w:bookmarkStart w:id="598" w:name="_Toc90558274"/>
      <w:bookmarkStart w:id="599" w:name="_Toc95209355"/>
      <w:r>
        <w:tab/>
        <w:t>[Section 80BF inserted: No. 30 of 2021 s. 38.]</w:t>
      </w:r>
    </w:p>
    <w:p>
      <w:pPr>
        <w:pStyle w:val="Heading5"/>
      </w:pPr>
      <w:bookmarkStart w:id="600" w:name="_Toc107476521"/>
      <w:bookmarkStart w:id="601" w:name="_Toc106374055"/>
      <w:r>
        <w:rPr>
          <w:rStyle w:val="CharSectno"/>
        </w:rPr>
        <w:t>80BG</w:t>
      </w:r>
      <w:r>
        <w:t>.</w:t>
      </w:r>
      <w:r>
        <w:tab/>
        <w:t>References in new State instruments to federal organisations</w:t>
      </w:r>
      <w:bookmarkEnd w:id="600"/>
      <w:bookmarkEnd w:id="598"/>
      <w:bookmarkEnd w:id="599"/>
      <w:bookmarkEnd w:id="601"/>
    </w:p>
    <w:p>
      <w:pPr>
        <w:pStyle w:val="Subsection"/>
        <w:keepNext/>
      </w:pPr>
      <w:r>
        <w:tab/>
        <w:t>(1)</w:t>
      </w:r>
      <w:r>
        <w:tab/>
        <w:t xml:space="preserve">In this section — </w:t>
      </w:r>
    </w:p>
    <w:p>
      <w:pPr>
        <w:pStyle w:val="Defstart"/>
      </w:pPr>
      <w:r>
        <w:tab/>
      </w:r>
      <w:r>
        <w:rPr>
          <w:rStyle w:val="CharDefText"/>
        </w:rPr>
        <w:t>federal counterpart</w:t>
      </w:r>
      <w:r>
        <w:t xml:space="preserve"> has the meaning given in the FW (Registered Organisations) Act section 9A.</w:t>
      </w:r>
    </w:p>
    <w:p>
      <w:pPr>
        <w:pStyle w:val="Subsection"/>
      </w:pPr>
      <w:r>
        <w:tab/>
        <w:t>(2)</w:t>
      </w:r>
      <w:r>
        <w:tab/>
        <w:t>On and from the relevant day, a term of a new State instrument expressed to refer to a federal organisation is taken to refer to an organisation under this Act of which the federal organisation is a federal counterpart.</w:t>
      </w:r>
    </w:p>
    <w:p>
      <w:pPr>
        <w:pStyle w:val="Subsection"/>
      </w:pPr>
      <w:r>
        <w:tab/>
        <w:t>(3)</w:t>
      </w:r>
      <w:r>
        <w:tab/>
        <w:t>If the federal organisation is not a federal counterpart of an organisation under this Act, the federal organisation is taken to be an organisation under this Act representing the declared employees of the relevant declared employer in proceedings or other matters arising under this Act.</w:t>
      </w:r>
    </w:p>
    <w:p>
      <w:pPr>
        <w:pStyle w:val="Subsection"/>
      </w:pPr>
      <w:r>
        <w:tab/>
        <w:t>(4)</w:t>
      </w:r>
      <w:r>
        <w:tab/>
        <w:t>Subsection (3) ceases to apply to the federal organisation when the new State instrument ceases to apply to the relevant declared employer and declared employees.</w:t>
      </w:r>
    </w:p>
    <w:p>
      <w:pPr>
        <w:pStyle w:val="Footnotesection"/>
      </w:pPr>
      <w:bookmarkStart w:id="602" w:name="_Toc90558275"/>
      <w:bookmarkStart w:id="603" w:name="_Toc95209356"/>
      <w:r>
        <w:tab/>
        <w:t>[Section 80BG inserted: No. 30 of 2021 s. 38.]</w:t>
      </w:r>
    </w:p>
    <w:p>
      <w:pPr>
        <w:pStyle w:val="Heading5"/>
      </w:pPr>
      <w:bookmarkStart w:id="604" w:name="_Toc107476522"/>
      <w:bookmarkStart w:id="605" w:name="_Toc106374056"/>
      <w:r>
        <w:rPr>
          <w:rStyle w:val="CharSectno"/>
        </w:rPr>
        <w:t>80BH</w:t>
      </w:r>
      <w:r>
        <w:t>.</w:t>
      </w:r>
      <w:r>
        <w:tab/>
        <w:t>Named parties to new State instruments</w:t>
      </w:r>
      <w:bookmarkEnd w:id="604"/>
      <w:bookmarkEnd w:id="602"/>
      <w:bookmarkEnd w:id="603"/>
      <w:bookmarkEnd w:id="605"/>
    </w:p>
    <w:p>
      <w:pPr>
        <w:pStyle w:val="Subsection"/>
      </w:pPr>
      <w:r>
        <w:tab/>
        <w:t>(1)</w:t>
      </w:r>
      <w:r>
        <w:tab/>
        <w:t>An organisation of employees, or an industrial association of employees registered under section 67, may apply to the Commission to make an order naming the organisation or association as a party to a new State instrument.</w:t>
      </w:r>
    </w:p>
    <w:p>
      <w:pPr>
        <w:pStyle w:val="Subsection"/>
      </w:pPr>
      <w:r>
        <w:tab/>
        <w:t>(2)</w:t>
      </w:r>
      <w:r>
        <w:tab/>
        <w:t>On the application, the Commission must grant the order if, in the opinion of the Commission, the instrument applies to an employee who is eligible to be a member of the organisation or industrial association.</w:t>
      </w:r>
    </w:p>
    <w:p>
      <w:pPr>
        <w:pStyle w:val="Footnotesection"/>
      </w:pPr>
      <w:bookmarkStart w:id="606" w:name="_Toc90558276"/>
      <w:bookmarkStart w:id="607" w:name="_Toc95209357"/>
      <w:r>
        <w:tab/>
        <w:t>[Section 80BH inserted: No. 30 of 2021 s. 38.]</w:t>
      </w:r>
    </w:p>
    <w:p>
      <w:pPr>
        <w:pStyle w:val="Heading5"/>
      </w:pPr>
      <w:bookmarkStart w:id="608" w:name="_Toc107476523"/>
      <w:bookmarkStart w:id="609" w:name="_Toc106374057"/>
      <w:r>
        <w:rPr>
          <w:rStyle w:val="CharSectno"/>
        </w:rPr>
        <w:t>80BI</w:t>
      </w:r>
      <w:r>
        <w:t>.</w:t>
      </w:r>
      <w:r>
        <w:tab/>
        <w:t>Employment under old federal instrument</w:t>
      </w:r>
      <w:bookmarkEnd w:id="608"/>
      <w:bookmarkEnd w:id="606"/>
      <w:bookmarkEnd w:id="607"/>
      <w:bookmarkEnd w:id="609"/>
    </w:p>
    <w:p>
      <w:pPr>
        <w:pStyle w:val="Subsection"/>
      </w:pPr>
      <w:r>
        <w:tab/>
        <w:t>(1)</w:t>
      </w:r>
      <w:r>
        <w:tab/>
        <w:t>Subsection (2) applies in relation to deciding the entitlements of a declared employee under a new State instrument.</w:t>
      </w:r>
    </w:p>
    <w:p>
      <w:pPr>
        <w:pStyle w:val="Subsection"/>
      </w:pPr>
      <w:r>
        <w:tab/>
        <w:t>(2)</w:t>
      </w:r>
      <w:r>
        <w:tab/>
        <w:t>Employment of the declared employee with a declared employer before the relevant day that counted under the old federal instrument also counts as employment of the declared employee with the declared employer under the new State instrument.</w:t>
      </w:r>
    </w:p>
    <w:p>
      <w:pPr>
        <w:pStyle w:val="Subsection"/>
      </w:pPr>
      <w:r>
        <w:tab/>
        <w:t>(3)</w:t>
      </w:r>
      <w:r>
        <w:tab/>
        <w:t>If, before the relevant day, the declared employee has already had the benefit of an entitlement determined by reference to a period of service, the period of service cannot be counted again under subsection (2) for calculating the declared employee’s entitlements of that type under the new State instrument.</w:t>
      </w:r>
    </w:p>
    <w:p>
      <w:pPr>
        <w:pStyle w:val="Footnotesection"/>
      </w:pPr>
      <w:bookmarkStart w:id="610" w:name="_Toc90558277"/>
      <w:bookmarkStart w:id="611" w:name="_Toc95209358"/>
      <w:r>
        <w:tab/>
        <w:t>[Section 80BI inserted: No. 30 of 2021 s. 38.]</w:t>
      </w:r>
    </w:p>
    <w:p>
      <w:pPr>
        <w:pStyle w:val="Heading5"/>
      </w:pPr>
      <w:bookmarkStart w:id="612" w:name="_Toc107476524"/>
      <w:bookmarkStart w:id="613" w:name="_Toc106374058"/>
      <w:r>
        <w:rPr>
          <w:rStyle w:val="CharSectno"/>
        </w:rPr>
        <w:t>80BJ</w:t>
      </w:r>
      <w:r>
        <w:t>.</w:t>
      </w:r>
      <w:r>
        <w:tab/>
        <w:t>Leave accrued immediately before relevant day</w:t>
      </w:r>
      <w:bookmarkEnd w:id="612"/>
      <w:bookmarkEnd w:id="610"/>
      <w:bookmarkEnd w:id="611"/>
      <w:bookmarkEnd w:id="613"/>
    </w:p>
    <w:p>
      <w:pPr>
        <w:pStyle w:val="Subsection"/>
      </w:pPr>
      <w:r>
        <w:tab/>
        <w:t>(1)</w:t>
      </w:r>
      <w:r>
        <w:tab/>
        <w:t xml:space="preserve">This section applies to any paid or unpaid leave accrued under an old federal instrument, the national fair work legislation or a law of this State. </w:t>
      </w:r>
    </w:p>
    <w:p>
      <w:pPr>
        <w:pStyle w:val="Subsection"/>
      </w:pPr>
      <w:r>
        <w:tab/>
        <w:t>(2)</w:t>
      </w:r>
      <w:r>
        <w:tab/>
        <w:t>Leave accrued immediately before the relevant day by a declared employee to whom a new State instrument applies is taken to have accrued under the new State instrument.</w:t>
      </w:r>
    </w:p>
    <w:p>
      <w:pPr>
        <w:pStyle w:val="Footnotesection"/>
      </w:pPr>
      <w:bookmarkStart w:id="614" w:name="_Toc90558278"/>
      <w:bookmarkStart w:id="615" w:name="_Toc95209359"/>
      <w:r>
        <w:tab/>
        <w:t>[Section 80BJ inserted: No. 30 of 2021 s. 38.]</w:t>
      </w:r>
    </w:p>
    <w:p>
      <w:pPr>
        <w:pStyle w:val="Heading5"/>
      </w:pPr>
      <w:bookmarkStart w:id="616" w:name="_Toc107476525"/>
      <w:bookmarkStart w:id="617" w:name="_Toc106374059"/>
      <w:r>
        <w:rPr>
          <w:rStyle w:val="CharSectno"/>
        </w:rPr>
        <w:t>80BK</w:t>
      </w:r>
      <w:r>
        <w:t>.</w:t>
      </w:r>
      <w:r>
        <w:tab/>
        <w:t>Leave taken under old federal instrument</w:t>
      </w:r>
      <w:bookmarkEnd w:id="616"/>
      <w:bookmarkEnd w:id="614"/>
      <w:bookmarkEnd w:id="615"/>
      <w:bookmarkEnd w:id="617"/>
    </w:p>
    <w:p>
      <w:pPr>
        <w:pStyle w:val="Subsection"/>
      </w:pPr>
      <w:r>
        <w:tab/>
        <w:t>(1)</w:t>
      </w:r>
      <w:r>
        <w:tab/>
        <w:t>A declared employee who was, immediately before the relevant day, taking a period of leave under the old federal instrument or under the FW Act is entitled to continue on that leave under the new State instrument or a law of this State for the remainder of the period.</w:t>
      </w:r>
    </w:p>
    <w:p>
      <w:pPr>
        <w:pStyle w:val="Subsection"/>
      </w:pPr>
      <w:r>
        <w:tab/>
        <w:t>(2)</w:t>
      </w:r>
      <w:r>
        <w:tab/>
        <w:t>A declared employee who has, before the relevant day, taken a step under the old federal instrument or the FW Act that the employee is required to take so the employee can, on and from the relevant day, take a period of leave under the old federal instrument or the FW Act, is taken to have taken the step under the new State instrument or a law of this State.</w:t>
      </w:r>
    </w:p>
    <w:p>
      <w:pPr>
        <w:pStyle w:val="Subsection"/>
      </w:pPr>
      <w:r>
        <w:tab/>
        <w:t>(3)</w:t>
      </w:r>
      <w:r>
        <w:tab/>
        <w:t>The regulations may deal with other matters relating to how a new State instrument applies to leave that, immediately before the relevant day, is being, or is to be, taken by a declared employee under the old federal instrument or the FW Act.</w:t>
      </w:r>
    </w:p>
    <w:p>
      <w:pPr>
        <w:pStyle w:val="Footnotesection"/>
      </w:pPr>
      <w:r>
        <w:tab/>
        <w:t>[Section 80BK inserted: No. 30 of 2021 s. 38.]</w:t>
      </w:r>
    </w:p>
    <w:p>
      <w:pPr>
        <w:pStyle w:val="Heading2"/>
      </w:pPr>
      <w:bookmarkStart w:id="618" w:name="_Toc107322397"/>
      <w:bookmarkStart w:id="619" w:name="_Toc107476526"/>
      <w:bookmarkStart w:id="620" w:name="_Toc106195386"/>
      <w:bookmarkStart w:id="621" w:name="_Toc106367329"/>
      <w:bookmarkStart w:id="622" w:name="_Toc106374060"/>
      <w:r>
        <w:rPr>
          <w:rStyle w:val="CharPartNo"/>
        </w:rPr>
        <w:t>Part IIA</w:t>
      </w:r>
      <w:r>
        <w:t> — </w:t>
      </w:r>
      <w:r>
        <w:rPr>
          <w:rStyle w:val="CharPartText"/>
        </w:rPr>
        <w:t>Constituent authorities</w:t>
      </w:r>
      <w:bookmarkEnd w:id="618"/>
      <w:bookmarkEnd w:id="619"/>
      <w:bookmarkEnd w:id="535"/>
      <w:bookmarkEnd w:id="620"/>
      <w:bookmarkEnd w:id="621"/>
      <w:bookmarkEnd w:id="622"/>
    </w:p>
    <w:p>
      <w:pPr>
        <w:pStyle w:val="Footnoteheading"/>
        <w:rPr>
          <w:snapToGrid w:val="0"/>
        </w:rPr>
      </w:pPr>
      <w:r>
        <w:rPr>
          <w:snapToGrid w:val="0"/>
        </w:rPr>
        <w:tab/>
        <w:t>[Heading inserted: No. 94 of 1984 s. 47.]</w:t>
      </w:r>
    </w:p>
    <w:p>
      <w:pPr>
        <w:pStyle w:val="Ednotedivision"/>
      </w:pPr>
      <w:r>
        <w:t>[Division 1 (s. 73A, 80A, 80B) deleted: No. 1 of 1995 s. 10.]</w:t>
      </w:r>
    </w:p>
    <w:p>
      <w:pPr>
        <w:pStyle w:val="Heading3"/>
      </w:pPr>
      <w:bookmarkStart w:id="623" w:name="_Toc107322398"/>
      <w:bookmarkStart w:id="624" w:name="_Toc107476527"/>
      <w:bookmarkStart w:id="625" w:name="_Toc105760117"/>
      <w:bookmarkStart w:id="626" w:name="_Toc106195387"/>
      <w:bookmarkStart w:id="627" w:name="_Toc106367330"/>
      <w:bookmarkStart w:id="628" w:name="_Toc106374061"/>
      <w:r>
        <w:rPr>
          <w:rStyle w:val="CharDivNo"/>
        </w:rPr>
        <w:t>Division 2</w:t>
      </w:r>
      <w:r>
        <w:rPr>
          <w:snapToGrid w:val="0"/>
        </w:rPr>
        <w:t> — </w:t>
      </w:r>
      <w:r>
        <w:rPr>
          <w:rStyle w:val="CharDivText"/>
        </w:rPr>
        <w:t>Public service arbitrator and appeal boards</w:t>
      </w:r>
      <w:bookmarkEnd w:id="623"/>
      <w:bookmarkEnd w:id="624"/>
      <w:bookmarkEnd w:id="625"/>
      <w:bookmarkEnd w:id="626"/>
      <w:bookmarkEnd w:id="627"/>
      <w:bookmarkEnd w:id="628"/>
    </w:p>
    <w:p>
      <w:pPr>
        <w:pStyle w:val="Footnoteheading"/>
        <w:rPr>
          <w:snapToGrid w:val="0"/>
        </w:rPr>
      </w:pPr>
      <w:r>
        <w:rPr>
          <w:snapToGrid w:val="0"/>
        </w:rPr>
        <w:tab/>
        <w:t>[Heading inserted: No. 94 of 1984 s. 47.]</w:t>
      </w:r>
    </w:p>
    <w:p>
      <w:pPr>
        <w:pStyle w:val="Heading5"/>
        <w:rPr>
          <w:snapToGrid w:val="0"/>
        </w:rPr>
      </w:pPr>
      <w:bookmarkStart w:id="629" w:name="_Toc107476528"/>
      <w:bookmarkStart w:id="630" w:name="_Toc106374062"/>
      <w:r>
        <w:rPr>
          <w:rStyle w:val="CharSectno"/>
        </w:rPr>
        <w:t>80C</w:t>
      </w:r>
      <w:r>
        <w:rPr>
          <w:snapToGrid w:val="0"/>
        </w:rPr>
        <w:t>.</w:t>
      </w:r>
      <w:r>
        <w:rPr>
          <w:snapToGrid w:val="0"/>
        </w:rPr>
        <w:tab/>
        <w:t>Terms used and construction and application of Division</w:t>
      </w:r>
      <w:bookmarkEnd w:id="629"/>
      <w:bookmarkEnd w:id="630"/>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keepNext/>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must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the officer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must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No. 94 of 1984 s. 47; amended: No. 40 of 1992 s. 9(1); No. 32 of 1994 s. 14; No. 103 of 1994 s. 18; No. 1 of 1995 s. 11; No. 79 of 1995 s. 36; No. 36 of 1999 s. 247; No. 11 of 2016 s. 295(3)-(5); No. 30 of 2021 s. 76(2) and 77(13).]</w:t>
      </w:r>
    </w:p>
    <w:p>
      <w:pPr>
        <w:pStyle w:val="Heading5"/>
        <w:pageBreakBefore/>
        <w:spacing w:before="0"/>
        <w:rPr>
          <w:snapToGrid w:val="0"/>
        </w:rPr>
      </w:pPr>
      <w:bookmarkStart w:id="631" w:name="_Toc107476529"/>
      <w:bookmarkStart w:id="632" w:name="_Toc106374063"/>
      <w:r>
        <w:rPr>
          <w:rStyle w:val="CharSectno"/>
        </w:rPr>
        <w:t>80D</w:t>
      </w:r>
      <w:r>
        <w:rPr>
          <w:snapToGrid w:val="0"/>
        </w:rPr>
        <w:t>.</w:t>
      </w:r>
      <w:r>
        <w:rPr>
          <w:snapToGrid w:val="0"/>
        </w:rPr>
        <w:tab/>
        <w:t>Public service arbitrators, appointment of etc.</w:t>
      </w:r>
      <w:bookmarkEnd w:id="631"/>
      <w:bookmarkEnd w:id="632"/>
    </w:p>
    <w:p>
      <w:pPr>
        <w:pStyle w:val="Subsection"/>
      </w:pPr>
      <w:r>
        <w:tab/>
        <w:t>(1)</w:t>
      </w:r>
      <w:r>
        <w:tab/>
        <w:t xml:space="preserve">The Chief Commissioner — </w:t>
      </w:r>
    </w:p>
    <w:p>
      <w:pPr>
        <w:pStyle w:val="Indenta"/>
      </w:pPr>
      <w:r>
        <w:tab/>
        <w:t>(a)</w:t>
      </w:r>
      <w:r>
        <w:tab/>
        <w:t>must appoint 1 commissioner as a public service arbitrator within the Commission; and</w:t>
      </w:r>
    </w:p>
    <w:p>
      <w:pPr>
        <w:pStyle w:val="Indenta"/>
      </w:pPr>
      <w:r>
        <w:tab/>
        <w:t>(b)</w:t>
      </w:r>
      <w:r>
        <w:tab/>
        <w:t>may appoint 1 or more commissioners as additional public service arbitrators within the Commission.</w:t>
      </w:r>
    </w:p>
    <w:p>
      <w:pPr>
        <w:pStyle w:val="Subsection"/>
      </w:pPr>
      <w:r>
        <w:tab/>
        <w:t>(2)</w:t>
      </w:r>
      <w:r>
        <w:tab/>
        <w:t>Without limiting subsection (1), the Chief Commissioner may be appointed as a public service arbitrator under that subsection.</w:t>
      </w:r>
    </w:p>
    <w:p>
      <w:pPr>
        <w:pStyle w:val="Ednotesubsection"/>
      </w:pPr>
      <w:r>
        <w:tab/>
        <w:t>[(3)</w:t>
      </w:r>
      <w:r>
        <w:tab/>
        <w:t>deleted]</w:t>
      </w:r>
    </w:p>
    <w:p>
      <w:pPr>
        <w:pStyle w:val="Subsection"/>
        <w:rPr>
          <w:snapToGrid w:val="0"/>
        </w:rPr>
      </w:pPr>
      <w:r>
        <w:rPr>
          <w:snapToGrid w:val="0"/>
        </w:rPr>
        <w:tab/>
        <w:t>(4)</w:t>
      </w:r>
      <w:r>
        <w:rPr>
          <w:snapToGrid w:val="0"/>
        </w:rPr>
        <w:tab/>
        <w:t>An arbitrator holds office for such period not exceeding 2 years as is specified in the instrument of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r>
      <w:r>
        <w:t>the arbitrator</w:t>
      </w:r>
      <w:r>
        <w:rPr>
          <w:snapToGrid w:val="0"/>
        </w:rPr>
        <w:t xml:space="preserve"> ceases to be a commissioner; or</w:t>
      </w:r>
    </w:p>
    <w:p>
      <w:pPr>
        <w:pStyle w:val="Indenta"/>
        <w:rPr>
          <w:snapToGrid w:val="0"/>
        </w:rPr>
      </w:pPr>
      <w:r>
        <w:rPr>
          <w:snapToGrid w:val="0"/>
        </w:rPr>
        <w:tab/>
        <w:t>(b)</w:t>
      </w:r>
      <w:r>
        <w:rPr>
          <w:snapToGrid w:val="0"/>
        </w:rPr>
        <w:tab/>
        <w:t>the appointment of the commissioner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No. 94 of 1984 s. 47; amended: No. 39 of 2018 s. 45; No. 30 of 2021 s. 76(8) and 77(3) and (13).]</w:t>
      </w:r>
    </w:p>
    <w:p>
      <w:pPr>
        <w:pStyle w:val="Heading5"/>
        <w:rPr>
          <w:snapToGrid w:val="0"/>
        </w:rPr>
      </w:pPr>
      <w:bookmarkStart w:id="633" w:name="_Toc107476530"/>
      <w:bookmarkStart w:id="634" w:name="_Toc106374064"/>
      <w:r>
        <w:rPr>
          <w:rStyle w:val="CharSectno"/>
        </w:rPr>
        <w:t>80E</w:t>
      </w:r>
      <w:r>
        <w:rPr>
          <w:snapToGrid w:val="0"/>
        </w:rPr>
        <w:t>.</w:t>
      </w:r>
      <w:r>
        <w:rPr>
          <w:snapToGrid w:val="0"/>
        </w:rPr>
        <w:tab/>
        <w:t>Jurisdiction of Arbitrator</w:t>
      </w:r>
      <w:bookmarkEnd w:id="633"/>
      <w:bookmarkEnd w:id="634"/>
    </w:p>
    <w:p>
      <w:pPr>
        <w:pStyle w:val="Subsection"/>
        <w:rPr>
          <w:snapToGrid w:val="0"/>
        </w:rPr>
      </w:pPr>
      <w:r>
        <w:rPr>
          <w:snapToGrid w:val="0"/>
        </w:rPr>
        <w:tab/>
        <w:t>(1)</w:t>
      </w:r>
      <w:r>
        <w:rPr>
          <w:snapToGrid w:val="0"/>
        </w:rPr>
        <w:tab/>
        <w:t>Except as provided in Part II Divisions 3, 3AA and 3B and subsections (6) and (7), an Arbitrator has exclusive jurisdiction to enquire into and deal with any industrial matter relating to a government officer, a group of government officers or government officers generally.</w:t>
      </w:r>
    </w:p>
    <w:p>
      <w:pPr>
        <w:pStyle w:val="Subsection"/>
        <w:keepNext/>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the officer, in respect of the particular salary within that range of salary allocated to the officer;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 xml:space="preserve">Nothing in subsection (1) or (2) affects or interferes with the exercise by an employer in relation to any government officer, or office under </w:t>
      </w:r>
      <w:r>
        <w:t>the employer’s</w:t>
      </w:r>
      <w:r>
        <w:rPr>
          <w:snapToGrid w:val="0"/>
        </w:rPr>
        <w:t xml:space="preserve"> administration, of any power in relation to any matter within the jurisdiction of an Arbitrator, but anything done by an employer in relation to any such matter is liable to be reviewed, nullified, modified or varied by an Arbitrator in the course of the exercise of the Arbitrator’s jurisdiction in respect of that matter under this Division.</w:t>
      </w:r>
    </w:p>
    <w:p>
      <w:pPr>
        <w:pStyle w:val="Subsection"/>
        <w:keepNext/>
        <w:rPr>
          <w:snapToGrid w:val="0"/>
        </w:rPr>
      </w:pPr>
      <w:r>
        <w:rPr>
          <w:snapToGrid w:val="0"/>
        </w:rPr>
        <w:tab/>
        <w:t>(6)</w:t>
      </w:r>
      <w:r>
        <w:rPr>
          <w:snapToGrid w:val="0"/>
        </w:rPr>
        <w:tab/>
        <w:t>Notwithstanding subsection (1), but subject to subsection (7), an Arbitrator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Arbitrator;</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Arbitrator, other than a question of interpretation of the rules of an organisation,</w:t>
      </w:r>
    </w:p>
    <w:p>
      <w:pPr>
        <w:pStyle w:val="Subsection"/>
        <w:spacing w:before="120"/>
        <w:rPr>
          <w:snapToGrid w:val="0"/>
        </w:rPr>
      </w:pPr>
      <w:r>
        <w:rPr>
          <w:snapToGrid w:val="0"/>
        </w:rPr>
        <w:tab/>
      </w:r>
      <w:r>
        <w:rPr>
          <w:snapToGrid w:val="0"/>
        </w:rPr>
        <w:tab/>
        <w:t xml:space="preserve">and the Commission in Court Session or the Full Bench, as the case may be, may hear and determine the matter, or part </w:t>
      </w:r>
      <w:r>
        <w:t>of the matter</w:t>
      </w:r>
      <w:r>
        <w:rPr>
          <w:snapToGrid w:val="0"/>
        </w:rPr>
        <w:t>,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No. 94 of 1984 s. 47; amended: No. 99 of 1990 s. 12; No. 1 of 1995 s. 28; No. 20 of 2002 s. 9; No. 8 of 2014 s. 5; No. 39 of 2018 s. 46; No. 30 of 2021 s. 39, 76(8), 77(13) and 78(7).]</w:t>
      </w:r>
    </w:p>
    <w:p>
      <w:pPr>
        <w:pStyle w:val="Heading5"/>
        <w:rPr>
          <w:snapToGrid w:val="0"/>
        </w:rPr>
      </w:pPr>
      <w:bookmarkStart w:id="635" w:name="_Toc107476531"/>
      <w:bookmarkStart w:id="636" w:name="_Toc106374065"/>
      <w:r>
        <w:rPr>
          <w:rStyle w:val="CharSectno"/>
        </w:rPr>
        <w:t>80F</w:t>
      </w:r>
      <w:r>
        <w:rPr>
          <w:snapToGrid w:val="0"/>
        </w:rPr>
        <w:t>.</w:t>
      </w:r>
      <w:r>
        <w:rPr>
          <w:snapToGrid w:val="0"/>
        </w:rPr>
        <w:tab/>
        <w:t>Who may refer matters to Arbitrator</w:t>
      </w:r>
      <w:bookmarkEnd w:id="635"/>
      <w:bookmarkEnd w:id="636"/>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the officer’s behalf, or by the officer’s employer.</w:t>
      </w:r>
    </w:p>
    <w:p>
      <w:pPr>
        <w:pStyle w:val="Subsection"/>
        <w:spacing w:before="120"/>
        <w:rPr>
          <w:snapToGrid w:val="0"/>
        </w:rPr>
      </w:pPr>
      <w:r>
        <w:rPr>
          <w:snapToGrid w:val="0"/>
        </w:rPr>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No. 94 of 1984 s. 47; amended: No. 20 of 2002 s. 10; No. 30 of 2021 s. 77(13).]</w:t>
      </w:r>
    </w:p>
    <w:p>
      <w:pPr>
        <w:pStyle w:val="Heading5"/>
        <w:rPr>
          <w:snapToGrid w:val="0"/>
        </w:rPr>
      </w:pPr>
      <w:bookmarkStart w:id="637" w:name="_Toc107476532"/>
      <w:bookmarkStart w:id="638" w:name="_Toc106374066"/>
      <w:r>
        <w:rPr>
          <w:rStyle w:val="CharSectno"/>
        </w:rPr>
        <w:t>80G</w:t>
      </w:r>
      <w:r>
        <w:rPr>
          <w:snapToGrid w:val="0"/>
        </w:rPr>
        <w:t>.</w:t>
      </w:r>
      <w:r>
        <w:rPr>
          <w:snapToGrid w:val="0"/>
        </w:rPr>
        <w:tab/>
        <w:t>Part II Div. 2 to 2G, application of</w:t>
      </w:r>
      <w:bookmarkEnd w:id="637"/>
      <w:bookmarkEnd w:id="638"/>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apply with such modifications as are prescribed and such other modifications as may be necessary or appropriate, to the exercise by an Arbitrator of the Arbitrator’s jurisdiction under this Act.</w:t>
      </w:r>
    </w:p>
    <w:p>
      <w:pPr>
        <w:pStyle w:val="Subsection"/>
        <w:rPr>
          <w:snapToGrid w:val="0"/>
        </w:rPr>
      </w:pPr>
      <w:r>
        <w:rPr>
          <w:snapToGrid w:val="0"/>
        </w:rPr>
        <w:tab/>
        <w:t>(2)</w:t>
      </w:r>
      <w:r>
        <w:rPr>
          <w:snapToGrid w:val="0"/>
        </w:rPr>
        <w:tab/>
        <w:t xml:space="preserve">For the purposes of subsection (1), section 49 </w:t>
      </w:r>
      <w:r>
        <w:t>does</w:t>
      </w:r>
      <w:r>
        <w:rPr>
          <w:snapToGrid w:val="0"/>
        </w:rPr>
        <w:t xml:space="preserve"> not apply to a decision of an Arbitrator on a claim mentioned in section 80E(2).</w:t>
      </w:r>
    </w:p>
    <w:p>
      <w:pPr>
        <w:pStyle w:val="Footnotesection"/>
      </w:pPr>
      <w:r>
        <w:tab/>
        <w:t>[Section 80G inserted: No. 94 of 1984 s. 47; amended: No. 20 of 2002 s. 121(4); No. 30 of 2021 s. 76(1) and (8) and 77(13).]</w:t>
      </w:r>
    </w:p>
    <w:p>
      <w:pPr>
        <w:pStyle w:val="Heading5"/>
        <w:rPr>
          <w:snapToGrid w:val="0"/>
        </w:rPr>
      </w:pPr>
      <w:bookmarkStart w:id="639" w:name="_Toc107476533"/>
      <w:bookmarkStart w:id="640" w:name="_Toc106374067"/>
      <w:r>
        <w:rPr>
          <w:rStyle w:val="CharSectno"/>
        </w:rPr>
        <w:t>80H</w:t>
      </w:r>
      <w:r>
        <w:rPr>
          <w:snapToGrid w:val="0"/>
        </w:rPr>
        <w:t>.</w:t>
      </w:r>
      <w:r>
        <w:rPr>
          <w:snapToGrid w:val="0"/>
        </w:rPr>
        <w:tab/>
        <w:t>Public Service Appeal Board, members of etc.</w:t>
      </w:r>
      <w:bookmarkEnd w:id="639"/>
      <w:bookmarkEnd w:id="640"/>
    </w:p>
    <w:p>
      <w:pPr>
        <w:pStyle w:val="Subsection"/>
        <w:rPr>
          <w:snapToGrid w:val="0"/>
        </w:rPr>
      </w:pPr>
      <w:r>
        <w:rPr>
          <w:snapToGrid w:val="0"/>
        </w:rPr>
        <w:tab/>
        <w:t>(1)</w:t>
      </w:r>
      <w:r>
        <w:rPr>
          <w:snapToGrid w:val="0"/>
        </w:rPr>
        <w:tab/>
        <w:t>For the purpose of an appeal under section 80I there is established, within and as part of the Commission, a board to be known as a Public Service Appeal Board.</w:t>
      </w:r>
    </w:p>
    <w:p>
      <w:pPr>
        <w:pStyle w:val="Subsection"/>
        <w:spacing w:before="120"/>
        <w:rPr>
          <w:snapToGrid w:val="0"/>
        </w:rPr>
      </w:pPr>
      <w:r>
        <w:rPr>
          <w:snapToGrid w:val="0"/>
        </w:rPr>
        <w:tab/>
        <w:t>(2)</w:t>
      </w:r>
      <w:r>
        <w:rPr>
          <w:snapToGrid w:val="0"/>
        </w:rPr>
        <w:tab/>
        <w:t>A Board consists of 3 members.</w:t>
      </w:r>
    </w:p>
    <w:p>
      <w:pPr>
        <w:pStyle w:val="Ednotesubsection"/>
      </w:pPr>
      <w:r>
        <w:tab/>
        <w:t>[(3)</w:t>
      </w:r>
      <w:r>
        <w:tab/>
        <w:t>deleted]</w:t>
      </w:r>
    </w:p>
    <w:p>
      <w:pPr>
        <w:pStyle w:val="Subsection"/>
        <w:keepNext/>
        <w:spacing w:before="120"/>
        <w:rPr>
          <w:snapToGrid w:val="0"/>
        </w:rPr>
      </w:pPr>
      <w:r>
        <w:rPr>
          <w:snapToGrid w:val="0"/>
        </w:rPr>
        <w:tab/>
        <w:t>(4)</w:t>
      </w:r>
      <w:r>
        <w:rPr>
          <w:snapToGrid w:val="0"/>
        </w:rPr>
        <w:tab/>
      </w:r>
      <w:r>
        <w:t>The</w:t>
      </w:r>
      <w:r>
        <w:rPr>
          <w:snapToGrid w:val="0"/>
        </w:rPr>
        <w:t xml:space="preserve"> members of a Board are —</w:t>
      </w:r>
    </w:p>
    <w:p>
      <w:pPr>
        <w:pStyle w:val="Indenta"/>
        <w:rPr>
          <w:snapToGrid w:val="0"/>
        </w:rPr>
      </w:pPr>
      <w:r>
        <w:rPr>
          <w:snapToGrid w:val="0"/>
        </w:rPr>
        <w:tab/>
        <w:t>(a)</w:t>
      </w:r>
      <w:r>
        <w:rPr>
          <w:snapToGrid w:val="0"/>
        </w:rPr>
        <w:tab/>
        <w:t xml:space="preserve">a public service arbitrator, who is the </w:t>
      </w:r>
      <w:r>
        <w:t>chairperson</w:t>
      </w:r>
      <w:r>
        <w:rPr>
          <w:snapToGrid w:val="0"/>
        </w:rPr>
        <w:t>;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w:t>
      </w:r>
      <w:r>
        <w:t>subsection</w:t>
      </w:r>
      <w:r>
        <w:rPr>
          <w:snapToGrid w:val="0"/>
        </w:rPr>
        <w:t xml:space="preserve">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t xml:space="preserve">FW (Registered Organisations) Act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No. 94 of 1984 s. 47; amended: No 32 of 1994 s. 14; No. 79 of 1995 s. 67(2); No. 53 of 2011 s. 36; No. 39 of 2018 s. 47; No. 30 of 2021 s. 75(1), 76(3), (4) and (8) and 77(1).]</w:t>
      </w:r>
    </w:p>
    <w:p>
      <w:pPr>
        <w:pStyle w:val="Heading5"/>
        <w:rPr>
          <w:snapToGrid w:val="0"/>
        </w:rPr>
      </w:pPr>
      <w:bookmarkStart w:id="641" w:name="_Toc107476534"/>
      <w:bookmarkStart w:id="642" w:name="_Toc106374068"/>
      <w:r>
        <w:rPr>
          <w:rStyle w:val="CharSectno"/>
        </w:rPr>
        <w:t>80I</w:t>
      </w:r>
      <w:r>
        <w:rPr>
          <w:snapToGrid w:val="0"/>
        </w:rPr>
        <w:t>.</w:t>
      </w:r>
      <w:r>
        <w:rPr>
          <w:snapToGrid w:val="0"/>
        </w:rPr>
        <w:tab/>
        <w:t>Board’s jurisdiction</w:t>
      </w:r>
      <w:bookmarkEnd w:id="641"/>
      <w:bookmarkEnd w:id="642"/>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 xml:space="preserve">section 172 against a decision or finding referred to in </w:t>
      </w:r>
      <w:r>
        <w:t>subsection (1)</w:t>
      </w:r>
      <w:r>
        <w:rPr>
          <w:szCs w:val="24"/>
        </w:rPr>
        <w:t xml:space="preserve">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No. 94 of 1984 s. 47; amended: No. 32 of 1994 s. 14; No. 1 of 1995 s. 29; No. 39 of 2010 s. 109; No. 8 of 2014 s. 6; No. 11 of 2016 s. 295(6); No. 30 of 2021 s. 40.]</w:t>
      </w:r>
    </w:p>
    <w:p>
      <w:pPr>
        <w:pStyle w:val="Heading5"/>
        <w:spacing w:before="240"/>
        <w:rPr>
          <w:snapToGrid w:val="0"/>
        </w:rPr>
      </w:pPr>
      <w:bookmarkStart w:id="643" w:name="_Toc107476535"/>
      <w:bookmarkStart w:id="644" w:name="_Toc106374069"/>
      <w:r>
        <w:rPr>
          <w:rStyle w:val="CharSectno"/>
        </w:rPr>
        <w:t>80J</w:t>
      </w:r>
      <w:r>
        <w:rPr>
          <w:snapToGrid w:val="0"/>
        </w:rPr>
        <w:t>.</w:t>
      </w:r>
      <w:r>
        <w:rPr>
          <w:snapToGrid w:val="0"/>
        </w:rPr>
        <w:tab/>
        <w:t>Institution of appeals under s. 80I</w:t>
      </w:r>
      <w:bookmarkEnd w:id="643"/>
      <w:bookmarkEnd w:id="644"/>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must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the officer’s behalf.</w:t>
      </w:r>
    </w:p>
    <w:p>
      <w:pPr>
        <w:pStyle w:val="Footnotesection"/>
      </w:pPr>
      <w:r>
        <w:tab/>
        <w:t>[Section 80J inserted: No. 94 of 1984 s. 47; amended: No. 32 of 1994 s. 14; No. 30 of 2021 s. 76(2) and 77(13).]</w:t>
      </w:r>
    </w:p>
    <w:p>
      <w:pPr>
        <w:pStyle w:val="Heading5"/>
        <w:spacing w:before="240"/>
        <w:rPr>
          <w:snapToGrid w:val="0"/>
        </w:rPr>
      </w:pPr>
      <w:bookmarkStart w:id="645" w:name="_Toc107476536"/>
      <w:bookmarkStart w:id="646" w:name="_Toc106374070"/>
      <w:r>
        <w:rPr>
          <w:rStyle w:val="CharSectno"/>
        </w:rPr>
        <w:t>80K</w:t>
      </w:r>
      <w:r>
        <w:rPr>
          <w:snapToGrid w:val="0"/>
        </w:rPr>
        <w:t>.</w:t>
      </w:r>
      <w:r>
        <w:rPr>
          <w:snapToGrid w:val="0"/>
        </w:rPr>
        <w:tab/>
        <w:t>Proceedings of Board</w:t>
      </w:r>
      <w:bookmarkEnd w:id="645"/>
      <w:bookmarkEnd w:id="646"/>
    </w:p>
    <w:p>
      <w:pPr>
        <w:pStyle w:val="Subsection"/>
        <w:keepNext/>
        <w:keepLines/>
        <w:rPr>
          <w:snapToGrid w:val="0"/>
        </w:rPr>
      </w:pPr>
      <w:r>
        <w:rPr>
          <w:snapToGrid w:val="0"/>
        </w:rPr>
        <w:tab/>
        <w:t>(1)</w:t>
      </w:r>
      <w:r>
        <w:rPr>
          <w:snapToGrid w:val="0"/>
        </w:rPr>
        <w:tab/>
        <w:t xml:space="preserve">For the purposes of exercising its jurisdiction a Board may sit at any time and place appointed by the </w:t>
      </w:r>
      <w:r>
        <w:t>chairperson</w:t>
      </w:r>
      <w:r>
        <w:rPr>
          <w:snapToGrid w:val="0"/>
        </w:rPr>
        <w:t xml:space="preserve"> of the Board and may adjourn to any time and place appointed by </w:t>
      </w:r>
      <w:r>
        <w:t>the chairperson</w:t>
      </w:r>
      <w:r>
        <w:rPr>
          <w:snapToGrid w:val="0"/>
        </w:rPr>
        <w:t>.</w:t>
      </w:r>
    </w:p>
    <w:p>
      <w:pPr>
        <w:pStyle w:val="Subsection"/>
        <w:rPr>
          <w:snapToGrid w:val="0"/>
        </w:rPr>
      </w:pPr>
      <w:r>
        <w:rPr>
          <w:snapToGrid w:val="0"/>
        </w:rPr>
        <w:tab/>
        <w:t>(2)</w:t>
      </w:r>
      <w:r>
        <w:rPr>
          <w:snapToGrid w:val="0"/>
        </w:rPr>
        <w:tab/>
        <w:t xml:space="preserve">The decision of a Board </w:t>
      </w:r>
      <w:r>
        <w:t>must be given in writing and must be signed and dated at the time it is made</w:t>
      </w:r>
      <w:r>
        <w:rPr>
          <w:snapToGrid w:val="0"/>
        </w:rPr>
        <w:t xml:space="preserve"> by the </w:t>
      </w:r>
      <w:r>
        <w:t>chairperson</w:t>
      </w:r>
      <w:r>
        <w:rPr>
          <w:snapToGrid w:val="0"/>
        </w:rPr>
        <w:t xml:space="preserve"> of the Board.</w:t>
      </w:r>
    </w:p>
    <w:p>
      <w:pPr>
        <w:pStyle w:val="Subsection"/>
        <w:rPr>
          <w:snapToGrid w:val="0"/>
        </w:rPr>
      </w:pPr>
      <w:r>
        <w:rPr>
          <w:snapToGrid w:val="0"/>
        </w:rPr>
        <w:tab/>
        <w:t>(3)</w:t>
      </w:r>
      <w:r>
        <w:rPr>
          <w:snapToGrid w:val="0"/>
        </w:rPr>
        <w:tab/>
        <w:t>The jurisdiction of a Board must be exercised by all the members sitting together and when the members are divided in opinion on a question, the question must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No. 94 of 1984 s. 47; amended: No. 39 of 2018 s. 48; No. 30 of 2021 s. 76(2) and 77(1) and (13).]</w:t>
      </w:r>
    </w:p>
    <w:p>
      <w:pPr>
        <w:pStyle w:val="Heading5"/>
        <w:rPr>
          <w:snapToGrid w:val="0"/>
        </w:rPr>
      </w:pPr>
      <w:bookmarkStart w:id="647" w:name="_Toc107476537"/>
      <w:bookmarkStart w:id="648" w:name="_Toc106374071"/>
      <w:r>
        <w:rPr>
          <w:rStyle w:val="CharSectno"/>
        </w:rPr>
        <w:t>80L</w:t>
      </w:r>
      <w:r>
        <w:rPr>
          <w:snapToGrid w:val="0"/>
        </w:rPr>
        <w:t>.</w:t>
      </w:r>
      <w:r>
        <w:rPr>
          <w:snapToGrid w:val="0"/>
        </w:rPr>
        <w:tab/>
        <w:t>Certain provisions of Part II Div. 2 apply</w:t>
      </w:r>
      <w:bookmarkEnd w:id="647"/>
      <w:bookmarkEnd w:id="648"/>
    </w:p>
    <w:p>
      <w:pPr>
        <w:pStyle w:val="Subsection"/>
        <w:rPr>
          <w:snapToGrid w:val="0"/>
        </w:rPr>
      </w:pPr>
      <w:r>
        <w:rPr>
          <w:snapToGrid w:val="0"/>
        </w:rPr>
        <w:tab/>
        <w:t>(1)</w:t>
      </w:r>
      <w:r>
        <w:rPr>
          <w:snapToGrid w:val="0"/>
        </w:rPr>
        <w:tab/>
        <w:t xml:space="preserve">Subject to this Division the provisions of sections 22B, 26(1) and (3), 27, 28, 31(1), (2), </w:t>
      </w:r>
      <w:r>
        <w:t xml:space="preserve">(3) and (5), </w:t>
      </w:r>
      <w:r>
        <w:rPr>
          <w:snapToGrid w:val="0"/>
        </w:rPr>
        <w:t>34(3) and (4) and 36 that apply to and in relation to the exercise of the jurisdiction under this Act of the Commission constituted by a commissioner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applies as if paragraph (c) were deleted and the following paragraph were substituted —</w:t>
      </w:r>
    </w:p>
    <w:p>
      <w:pPr>
        <w:pStyle w:val="BlankOpen"/>
        <w:rPr>
          <w:snapToGrid w:val="0"/>
        </w:rPr>
      </w:pPr>
    </w:p>
    <w:p>
      <w:pPr>
        <w:pStyle w:val="Indenta"/>
        <w:rPr>
          <w:snapToGrid w:val="0"/>
        </w:rPr>
      </w:pPr>
      <w:r>
        <w:rPr>
          <w:snapToGrid w:val="0"/>
        </w:rPr>
        <w:tab/>
        <w:t>(c)</w:t>
      </w:r>
      <w:r>
        <w:rPr>
          <w:snapToGrid w:val="0"/>
        </w:rPr>
        <w:tab/>
        <w:t>by a legal practitioner.</w:t>
      </w:r>
    </w:p>
    <w:p>
      <w:pPr>
        <w:pStyle w:val="BlankClose"/>
        <w:rPr>
          <w:snapToGrid w:val="0"/>
        </w:rPr>
      </w:pPr>
    </w:p>
    <w:p>
      <w:pPr>
        <w:pStyle w:val="Footnotesection"/>
      </w:pPr>
      <w:r>
        <w:tab/>
        <w:t>[Section 80L inserted: No. 94 of 1984 s. 47; amended: No. 20 of 2002 s. 153; No. 39 of 2018 s. 49; No. 30 of 2021 s. 76(1) and (8).]</w:t>
      </w:r>
    </w:p>
    <w:p>
      <w:pPr>
        <w:pStyle w:val="Heading3"/>
      </w:pPr>
      <w:bookmarkStart w:id="649" w:name="_Toc107322409"/>
      <w:bookmarkStart w:id="650" w:name="_Toc107476538"/>
      <w:bookmarkStart w:id="651" w:name="_Toc105760128"/>
      <w:bookmarkStart w:id="652" w:name="_Toc106195398"/>
      <w:bookmarkStart w:id="653" w:name="_Toc106367341"/>
      <w:bookmarkStart w:id="654" w:name="_Toc106374072"/>
      <w:r>
        <w:rPr>
          <w:rStyle w:val="CharDivNo"/>
        </w:rPr>
        <w:t>Division 3</w:t>
      </w:r>
      <w:r>
        <w:rPr>
          <w:snapToGrid w:val="0"/>
        </w:rPr>
        <w:t> — </w:t>
      </w:r>
      <w:r>
        <w:rPr>
          <w:rStyle w:val="CharDivText"/>
        </w:rPr>
        <w:t>Railways Classification Board</w:t>
      </w:r>
      <w:bookmarkEnd w:id="649"/>
      <w:bookmarkEnd w:id="650"/>
      <w:bookmarkEnd w:id="651"/>
      <w:bookmarkEnd w:id="652"/>
      <w:bookmarkEnd w:id="653"/>
      <w:bookmarkEnd w:id="654"/>
    </w:p>
    <w:p>
      <w:pPr>
        <w:pStyle w:val="Footnoteheading"/>
        <w:keepNext/>
        <w:rPr>
          <w:snapToGrid w:val="0"/>
        </w:rPr>
      </w:pPr>
      <w:r>
        <w:rPr>
          <w:snapToGrid w:val="0"/>
        </w:rPr>
        <w:tab/>
        <w:t>[Heading inserted: No. 94 of 1984 s. 47.]</w:t>
      </w:r>
    </w:p>
    <w:p>
      <w:pPr>
        <w:pStyle w:val="Heading5"/>
        <w:rPr>
          <w:snapToGrid w:val="0"/>
        </w:rPr>
      </w:pPr>
      <w:bookmarkStart w:id="655" w:name="_Toc107476539"/>
      <w:bookmarkStart w:id="656" w:name="_Toc106374073"/>
      <w:r>
        <w:rPr>
          <w:rStyle w:val="CharSectno"/>
        </w:rPr>
        <w:t>80M</w:t>
      </w:r>
      <w:r>
        <w:rPr>
          <w:snapToGrid w:val="0"/>
        </w:rPr>
        <w:t>.</w:t>
      </w:r>
      <w:r>
        <w:rPr>
          <w:snapToGrid w:val="0"/>
        </w:rPr>
        <w:tab/>
        <w:t>Terms used</w:t>
      </w:r>
      <w:bookmarkEnd w:id="655"/>
      <w:bookmarkEnd w:id="656"/>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instructions from and communicates with the Public Transport Authority directly;</w:t>
      </w:r>
    </w:p>
    <w:p>
      <w:pPr>
        <w:pStyle w:val="Defstart"/>
      </w:pPr>
      <w:r>
        <w:rPr>
          <w:b/>
        </w:rPr>
        <w:tab/>
      </w:r>
      <w:r>
        <w:rPr>
          <w:rStyle w:val="CharDefText"/>
        </w:rPr>
        <w:t>member</w:t>
      </w:r>
      <w:r>
        <w:t xml:space="preserve"> means any member of the Board and includes the chairperson;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Union is </w:t>
      </w:r>
      <w:r>
        <w:t>taken</w:t>
      </w:r>
      <w:r>
        <w:rPr>
          <w:snapToGrid w:val="0"/>
        </w:rPr>
        <w:t xml:space="preserve"> to be, and </w:t>
      </w:r>
      <w:r>
        <w:t>has and enjoys</w:t>
      </w:r>
      <w:r>
        <w:rPr>
          <w:snapToGrid w:val="0"/>
        </w:rPr>
        <w:t xml:space="preserve"> all of the rights, privileges and duties of, an organisation registered under this Act.</w:t>
      </w:r>
    </w:p>
    <w:p>
      <w:pPr>
        <w:pStyle w:val="Subsection"/>
        <w:rPr>
          <w:snapToGrid w:val="0"/>
        </w:rPr>
      </w:pPr>
      <w:r>
        <w:rPr>
          <w:snapToGrid w:val="0"/>
        </w:rPr>
        <w:tab/>
        <w:t>(3)</w:t>
      </w:r>
      <w:r>
        <w:rPr>
          <w:snapToGrid w:val="0"/>
        </w:rPr>
        <w:tab/>
        <w:t xml:space="preserve">Immediately after the coming into operation of section 47 of the </w:t>
      </w:r>
      <w:r>
        <w:rPr>
          <w:i/>
          <w:snapToGrid w:val="0"/>
        </w:rPr>
        <w:t>Acts Amendment and Repeal (Industrial Relations) Act (No. 2) 1984</w:t>
      </w:r>
      <w:r>
        <w:rPr>
          <w:snapToGrid w:val="0"/>
        </w:rPr>
        <w:t xml:space="preserve"> the Union must lodge with the Registrar a true copy of its constitution and rules as then in force, certified in writing by its President and Secretary, and those rules are </w:t>
      </w:r>
      <w:r>
        <w:t>taken</w:t>
      </w:r>
      <w:r>
        <w:rPr>
          <w:snapToGrid w:val="0"/>
        </w:rPr>
        <w:t xml:space="preserve"> to be the registered rules of the Union and must not be altered other than in accordance with this Act.</w:t>
      </w:r>
    </w:p>
    <w:p>
      <w:pPr>
        <w:pStyle w:val="Footnotesection"/>
      </w:pPr>
      <w:r>
        <w:tab/>
        <w:t>[Section 80M inserted: No. 94 of 1984 s. 47; amended: No. 31 of 2003 s. 147(2) and (5); No. 30 of 2021 s. 76(2)</w:t>
      </w:r>
      <w:r>
        <w:noBreakHyphen/>
        <w:t>(4) and (8), 77(1) and (3), 78(3) and (7).]</w:t>
      </w:r>
    </w:p>
    <w:p>
      <w:pPr>
        <w:pStyle w:val="Heading5"/>
        <w:rPr>
          <w:snapToGrid w:val="0"/>
        </w:rPr>
      </w:pPr>
      <w:bookmarkStart w:id="657" w:name="_Toc107476540"/>
      <w:bookmarkStart w:id="658" w:name="_Toc106374074"/>
      <w:r>
        <w:rPr>
          <w:rStyle w:val="CharSectno"/>
        </w:rPr>
        <w:t>80N</w:t>
      </w:r>
      <w:r>
        <w:rPr>
          <w:snapToGrid w:val="0"/>
        </w:rPr>
        <w:t>.</w:t>
      </w:r>
      <w:r>
        <w:rPr>
          <w:snapToGrid w:val="0"/>
        </w:rPr>
        <w:tab/>
        <w:t>Railways Classification Board, members of etc.</w:t>
      </w:r>
      <w:bookmarkEnd w:id="657"/>
      <w:bookmarkEnd w:id="658"/>
    </w:p>
    <w:p>
      <w:pPr>
        <w:pStyle w:val="Subsection"/>
        <w:rPr>
          <w:snapToGrid w:val="0"/>
        </w:rPr>
      </w:pPr>
      <w:r>
        <w:rPr>
          <w:snapToGrid w:val="0"/>
        </w:rPr>
        <w:tab/>
        <w:t>(1)</w:t>
      </w:r>
      <w:r>
        <w:rPr>
          <w:snapToGrid w:val="0"/>
        </w:rPr>
        <w:tab/>
        <w:t>There is established, within and as part of the Commission, a board to be known as the Railways Classification Board.</w:t>
      </w:r>
    </w:p>
    <w:p>
      <w:pPr>
        <w:pStyle w:val="Subsection"/>
        <w:keepNext/>
        <w:rPr>
          <w:snapToGrid w:val="0"/>
        </w:rPr>
      </w:pPr>
      <w:r>
        <w:rPr>
          <w:snapToGrid w:val="0"/>
        </w:rPr>
        <w:tab/>
        <w:t>(2)</w:t>
      </w:r>
      <w:r>
        <w:rPr>
          <w:snapToGrid w:val="0"/>
        </w:rPr>
        <w:tab/>
        <w:t>Subject to this Act, the Board consists of 3 members, of whom —</w:t>
      </w:r>
    </w:p>
    <w:p>
      <w:pPr>
        <w:pStyle w:val="Indenta"/>
        <w:rPr>
          <w:snapToGrid w:val="0"/>
        </w:rPr>
      </w:pPr>
      <w:r>
        <w:rPr>
          <w:snapToGrid w:val="0"/>
        </w:rPr>
        <w:tab/>
        <w:t>(a)</w:t>
      </w:r>
      <w:r>
        <w:rPr>
          <w:snapToGrid w:val="0"/>
        </w:rPr>
        <w:tab/>
        <w:t xml:space="preserve">one is appointed by the Chief Commissioner from amongst the other commissioners, after consultation with the </w:t>
      </w:r>
      <w:r>
        <w:t>transport Minister</w:t>
      </w:r>
      <w:r>
        <w:rPr>
          <w:snapToGrid w:val="0"/>
        </w:rPr>
        <w:t xml:space="preserve"> and the Union, and is </w:t>
      </w:r>
      <w:r>
        <w:t>chairperson</w:t>
      </w:r>
      <w:r>
        <w:rPr>
          <w:snapToGrid w:val="0"/>
        </w:rPr>
        <w:t xml:space="preserve"> of the Board; and</w:t>
      </w:r>
    </w:p>
    <w:p>
      <w:pPr>
        <w:pStyle w:val="Indenta"/>
        <w:rPr>
          <w:snapToGrid w:val="0"/>
        </w:rPr>
      </w:pPr>
      <w:r>
        <w:rPr>
          <w:snapToGrid w:val="0"/>
        </w:rPr>
        <w:tab/>
        <w:t>(b)</w:t>
      </w:r>
      <w:r>
        <w:rPr>
          <w:snapToGrid w:val="0"/>
        </w:rPr>
        <w:tab/>
        <w:t xml:space="preserve">one is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is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must, in writing, request the</w:t>
      </w:r>
      <w:r>
        <w:t xml:space="preserve"> Public Transport Authority</w:t>
      </w:r>
      <w:r>
        <w:rPr>
          <w:snapToGrid w:val="0"/>
        </w:rPr>
        <w:t xml:space="preserve">, or the Union, as the case requires, to submit to </w:t>
      </w:r>
      <w:r>
        <w:t>the Minister</w:t>
      </w:r>
      <w:r>
        <w:rPr>
          <w:snapToGrid w:val="0"/>
        </w:rPr>
        <w:t>,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the Electoral Commissioner in writing, must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must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the Minister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No. 94 of 1984 s. 47; amended: No. 31 of 2003 s. 147(3) and (5); No. 30 of 2021 s. 76(2), (3) and (8) and 77(1) and (13).]</w:t>
      </w:r>
    </w:p>
    <w:p>
      <w:pPr>
        <w:pStyle w:val="Heading5"/>
        <w:spacing w:before="240"/>
        <w:rPr>
          <w:snapToGrid w:val="0"/>
        </w:rPr>
      </w:pPr>
      <w:bookmarkStart w:id="659" w:name="_Toc107476541"/>
      <w:bookmarkStart w:id="660" w:name="_Toc106374075"/>
      <w:r>
        <w:rPr>
          <w:rStyle w:val="CharSectno"/>
        </w:rPr>
        <w:t>80O</w:t>
      </w:r>
      <w:r>
        <w:rPr>
          <w:snapToGrid w:val="0"/>
        </w:rPr>
        <w:t>.</w:t>
      </w:r>
      <w:r>
        <w:rPr>
          <w:snapToGrid w:val="0"/>
        </w:rPr>
        <w:tab/>
        <w:t>Terms of office etc.</w:t>
      </w:r>
      <w:bookmarkEnd w:id="659"/>
      <w:bookmarkEnd w:id="660"/>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 xml:space="preserve">a person appointed as </w:t>
      </w:r>
      <w:r>
        <w:t>chairperson</w:t>
      </w:r>
      <w:r>
        <w:rPr>
          <w:snapToGrid w:val="0"/>
        </w:rPr>
        <w:t xml:space="preserve"> or as a member pursuant to section 80N(2)(b) holds office for such period, not exceeding 2 years as is specified in the instrument of appointment and is eligible for reappointment;</w:t>
      </w:r>
    </w:p>
    <w:p>
      <w:pPr>
        <w:pStyle w:val="Indenta"/>
        <w:rPr>
          <w:snapToGrid w:val="0"/>
        </w:rPr>
      </w:pPr>
      <w:r>
        <w:rPr>
          <w:snapToGrid w:val="0"/>
        </w:rPr>
        <w:tab/>
        <w:t>(b)</w:t>
      </w:r>
      <w:r>
        <w:rPr>
          <w:snapToGrid w:val="0"/>
        </w:rPr>
        <w:tab/>
        <w:t>a person appointed as a member pursuant to section 80N(2)(c) holds office for a period of 2 years and is eligible for reappointment.</w:t>
      </w:r>
    </w:p>
    <w:p>
      <w:pPr>
        <w:pStyle w:val="Subsection"/>
        <w:rPr>
          <w:snapToGrid w:val="0"/>
        </w:rPr>
      </w:pPr>
      <w:r>
        <w:rPr>
          <w:snapToGrid w:val="0"/>
        </w:rPr>
        <w:tab/>
        <w:t>(2)</w:t>
      </w:r>
      <w:r>
        <w:rPr>
          <w:snapToGrid w:val="0"/>
        </w:rPr>
        <w:tab/>
        <w:t xml:space="preserve">The office of the </w:t>
      </w:r>
      <w:r>
        <w:t>chairperson</w:t>
      </w:r>
      <w:r>
        <w:rPr>
          <w:snapToGrid w:val="0"/>
        </w:rPr>
        <w:t xml:space="preserve"> becomes vacant if —</w:t>
      </w:r>
    </w:p>
    <w:p>
      <w:pPr>
        <w:pStyle w:val="Indenta"/>
        <w:rPr>
          <w:snapToGrid w:val="0"/>
        </w:rPr>
      </w:pPr>
      <w:r>
        <w:rPr>
          <w:snapToGrid w:val="0"/>
        </w:rPr>
        <w:tab/>
        <w:t>(a)</w:t>
      </w:r>
      <w:r>
        <w:rPr>
          <w:snapToGrid w:val="0"/>
        </w:rPr>
        <w:tab/>
        <w:t>the chairperson ceases to be a commissioner; or</w:t>
      </w:r>
    </w:p>
    <w:p>
      <w:pPr>
        <w:pStyle w:val="Indenta"/>
        <w:rPr>
          <w:snapToGrid w:val="0"/>
        </w:rPr>
      </w:pPr>
      <w:r>
        <w:rPr>
          <w:snapToGrid w:val="0"/>
        </w:rPr>
        <w:tab/>
        <w:t>(b)</w:t>
      </w:r>
      <w:r>
        <w:rPr>
          <w:snapToGrid w:val="0"/>
        </w:rPr>
        <w:tab/>
        <w:t>the chairperson’s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Union, at any time terminate the appointment of the </w:t>
      </w:r>
      <w:r>
        <w:t>chairperson</w:t>
      </w:r>
      <w:r>
        <w:rPr>
          <w:snapToGrid w:val="0"/>
        </w:rPr>
        <w:t xml:space="preserve">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becomes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the member resigns pursuant to subsection (6); or</w:t>
      </w:r>
    </w:p>
    <w:p>
      <w:pPr>
        <w:pStyle w:val="Indenta"/>
      </w:pPr>
      <w:r>
        <w:tab/>
        <w:t>(c)</w:t>
      </w:r>
      <w:r>
        <w:tab/>
      </w:r>
      <w:r>
        <w:rPr>
          <w:snapToGrid w:val="0"/>
        </w:rPr>
        <w:t>the member</w:t>
      </w:r>
      <w:r>
        <w:t xml:space="preserv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the member’s appointment is terminated pursuant to subsection (4); or</w:t>
      </w:r>
    </w:p>
    <w:p>
      <w:pPr>
        <w:pStyle w:val="Indenta"/>
        <w:rPr>
          <w:snapToGrid w:val="0"/>
        </w:rPr>
      </w:pPr>
      <w:r>
        <w:rPr>
          <w:snapToGrid w:val="0"/>
        </w:rPr>
        <w:tab/>
        <w:t>(e)</w:t>
      </w:r>
      <w:r>
        <w:rPr>
          <w:snapToGrid w:val="0"/>
        </w:rPr>
        <w:tab/>
        <w:t xml:space="preserve">the member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the member’s office by written notice signed by the member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w:t>
      </w:r>
      <w:r>
        <w:t>chairperson</w:t>
      </w:r>
      <w:r>
        <w:rPr>
          <w:snapToGrid w:val="0"/>
        </w:rPr>
        <w:t xml:space="preserve">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 xml:space="preserve">appoint as deputy of a member, other than the </w:t>
      </w:r>
      <w:r>
        <w:t>chairperson</w:t>
      </w:r>
      <w:r>
        <w:rPr>
          <w:snapToGrid w:val="0"/>
        </w:rPr>
        <w:t>,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keepNext/>
        <w:rPr>
          <w:snapToGrid w:val="0"/>
        </w:rPr>
      </w:pPr>
      <w:r>
        <w:rPr>
          <w:snapToGrid w:val="0"/>
        </w:rPr>
        <w:tab/>
        <w:t>(9)</w:t>
      </w:r>
      <w:r>
        <w:rPr>
          <w:snapToGrid w:val="0"/>
        </w:rPr>
        <w:tab/>
        <w:t>A person appointed pursuant to subsection (7) or (8) has all the functions, powers and duties of the member for whom the person is the deputy, in the person’s capacity as a member, in the event of —</w:t>
      </w:r>
    </w:p>
    <w:p>
      <w:pPr>
        <w:pStyle w:val="Indenta"/>
        <w:rPr>
          <w:snapToGrid w:val="0"/>
        </w:rPr>
      </w:pPr>
      <w:r>
        <w:rPr>
          <w:snapToGrid w:val="0"/>
        </w:rPr>
        <w:tab/>
        <w:t>(a)</w:t>
      </w:r>
      <w:r>
        <w:rPr>
          <w:snapToGrid w:val="0"/>
        </w:rPr>
        <w:tab/>
        <w:t>that member being unable to attend to the member’s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No. 94 of 1984 s. 47; amended: No. 31 of 2003 s. 147(4) and (5); No. 18 of 2009 s. 45; No. 30 of 2021 s. 76(8) and 77(1)</w:t>
      </w:r>
      <w:r>
        <w:noBreakHyphen/>
        <w:t>(3) and (13).]</w:t>
      </w:r>
    </w:p>
    <w:p>
      <w:pPr>
        <w:pStyle w:val="Heading5"/>
        <w:rPr>
          <w:snapToGrid w:val="0"/>
        </w:rPr>
      </w:pPr>
      <w:bookmarkStart w:id="661" w:name="_Toc107476542"/>
      <w:bookmarkStart w:id="662" w:name="_Toc106374076"/>
      <w:r>
        <w:rPr>
          <w:rStyle w:val="CharSectno"/>
        </w:rPr>
        <w:t>80P</w:t>
      </w:r>
      <w:r>
        <w:rPr>
          <w:snapToGrid w:val="0"/>
        </w:rPr>
        <w:t>.</w:t>
      </w:r>
      <w:r>
        <w:rPr>
          <w:snapToGrid w:val="0"/>
        </w:rPr>
        <w:tab/>
        <w:t>Extending appointments</w:t>
      </w:r>
      <w:bookmarkEnd w:id="661"/>
      <w:bookmarkEnd w:id="662"/>
    </w:p>
    <w:p>
      <w:pPr>
        <w:pStyle w:val="Subsection"/>
        <w:rPr>
          <w:snapToGrid w:val="0"/>
        </w:rPr>
      </w:pPr>
      <w:r>
        <w:rPr>
          <w:snapToGrid w:val="0"/>
        </w:rPr>
        <w:tab/>
        <w:t>(1)</w:t>
      </w:r>
      <w:r>
        <w:rPr>
          <w:snapToGrid w:val="0"/>
        </w:rPr>
        <w:tab/>
        <w:t xml:space="preserve">Notwithstanding the expiry of the period of appointment of a person as a member or deputy of a member, the Chief Commissioner or the Governor, as the case may be, may continue </w:t>
      </w:r>
      <w:r>
        <w:t>the person</w:t>
      </w:r>
      <w:r>
        <w:rPr>
          <w:snapToGrid w:val="0"/>
        </w:rPr>
        <w:t xml:space="preserve"> in office for such period as the Chief Commissioner or the Governor determines in order to enable the Board to complete all matters, proceedings or inquiries that it has entered upon while the person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the Chief Commissioner or Governor under subsection (1), notwithstanding the expiry of that period, for such further period or periods as the Chief Commissioner or Governor thinks fit.</w:t>
      </w:r>
    </w:p>
    <w:p>
      <w:pPr>
        <w:pStyle w:val="Footnotesection"/>
      </w:pPr>
      <w:r>
        <w:tab/>
        <w:t>[Section 80P inserted: No. 94 of 1984 s. 47; amended: No. 30 of 2021 s. 77(2), (5) and (13).]</w:t>
      </w:r>
    </w:p>
    <w:p>
      <w:pPr>
        <w:pStyle w:val="Heading5"/>
        <w:rPr>
          <w:snapToGrid w:val="0"/>
        </w:rPr>
      </w:pPr>
      <w:bookmarkStart w:id="663" w:name="_Toc107476543"/>
      <w:bookmarkStart w:id="664" w:name="_Toc106374077"/>
      <w:r>
        <w:rPr>
          <w:rStyle w:val="CharSectno"/>
        </w:rPr>
        <w:t>80Q</w:t>
      </w:r>
      <w:r>
        <w:rPr>
          <w:snapToGrid w:val="0"/>
        </w:rPr>
        <w:t xml:space="preserve">. </w:t>
      </w:r>
      <w:r>
        <w:rPr>
          <w:snapToGrid w:val="0"/>
        </w:rPr>
        <w:tab/>
        <w:t>Validity of acts of Board</w:t>
      </w:r>
      <w:bookmarkEnd w:id="663"/>
      <w:bookmarkEnd w:id="664"/>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No. 94 of 1984 s. 47.]</w:t>
      </w:r>
    </w:p>
    <w:p>
      <w:pPr>
        <w:pStyle w:val="Heading5"/>
        <w:rPr>
          <w:snapToGrid w:val="0"/>
        </w:rPr>
      </w:pPr>
      <w:bookmarkStart w:id="665" w:name="_Toc107476544"/>
      <w:bookmarkStart w:id="666" w:name="_Toc106374078"/>
      <w:r>
        <w:rPr>
          <w:rStyle w:val="CharSectno"/>
        </w:rPr>
        <w:t>80R</w:t>
      </w:r>
      <w:r>
        <w:rPr>
          <w:snapToGrid w:val="0"/>
        </w:rPr>
        <w:t>.</w:t>
      </w:r>
      <w:r>
        <w:rPr>
          <w:snapToGrid w:val="0"/>
        </w:rPr>
        <w:tab/>
        <w:t>Board’s jurisdiction</w:t>
      </w:r>
      <w:bookmarkEnd w:id="665"/>
      <w:bookmarkEnd w:id="666"/>
    </w:p>
    <w:p>
      <w:pPr>
        <w:pStyle w:val="Subsection"/>
        <w:rPr>
          <w:snapToGrid w:val="0"/>
        </w:rPr>
      </w:pPr>
      <w:r>
        <w:rPr>
          <w:snapToGrid w:val="0"/>
        </w:rPr>
        <w:tab/>
        <w:t>(1)</w:t>
      </w:r>
      <w:r>
        <w:rPr>
          <w:snapToGrid w:val="0"/>
        </w:rPr>
        <w:tab/>
        <w:t>Except as provided in Part II Divisions 3, 3AA and 3B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advance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of the relevant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of the relevant position or positions.</w:t>
      </w:r>
    </w:p>
    <w:p>
      <w:pPr>
        <w:pStyle w:val="Subsection"/>
        <w:keepNext/>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keepNext/>
        <w:rPr>
          <w:snapToGrid w:val="0"/>
        </w:rPr>
      </w:pPr>
      <w:r>
        <w:rPr>
          <w:snapToGrid w:val="0"/>
        </w:rPr>
        <w:tab/>
        <w:t>(3)</w:t>
      </w:r>
      <w:r>
        <w:rPr>
          <w:snapToGrid w:val="0"/>
        </w:rPr>
        <w:tab/>
        <w:t>Notwithstanding subsection (1) the Board may —</w:t>
      </w:r>
    </w:p>
    <w:p>
      <w:pPr>
        <w:pStyle w:val="Indenta"/>
        <w:keepNext/>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Board;</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Board, other than a question of interpretation of the rules of an organisation,</w:t>
      </w:r>
    </w:p>
    <w:p>
      <w:pPr>
        <w:pStyle w:val="Subsection"/>
        <w:rPr>
          <w:snapToGrid w:val="0"/>
        </w:rPr>
      </w:pPr>
      <w:r>
        <w:rPr>
          <w:snapToGrid w:val="0"/>
        </w:rPr>
        <w:tab/>
      </w:r>
      <w:r>
        <w:rPr>
          <w:snapToGrid w:val="0"/>
        </w:rPr>
        <w:tab/>
        <w:t xml:space="preserve">and the Commission in Court Session or the Full Bench, as the case may be, may hear and determine the matter, or part </w:t>
      </w:r>
      <w:r>
        <w:t>of the matter</w:t>
      </w:r>
      <w:r>
        <w:rPr>
          <w:snapToGrid w:val="0"/>
        </w:rPr>
        <w:t>,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keepNext/>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No. 94 of 1984 s. 47; amended: No. 99 of 1990 s. 13; No. 1 of 1995 s. 36; No. 20 of 2002 s. 11; No. 31 of 2003 s. 147(5); No. 8 of 2014 s. 7; No. 39 of 2018 s. 50; No. 30 of 2021 s. 41, 76(8), 77(13) and 78(7).]</w:t>
      </w:r>
    </w:p>
    <w:p>
      <w:pPr>
        <w:pStyle w:val="Heading5"/>
        <w:rPr>
          <w:snapToGrid w:val="0"/>
        </w:rPr>
      </w:pPr>
      <w:bookmarkStart w:id="667" w:name="_Toc107476545"/>
      <w:bookmarkStart w:id="668" w:name="_Toc106374079"/>
      <w:r>
        <w:rPr>
          <w:rStyle w:val="CharSectno"/>
        </w:rPr>
        <w:t>80S</w:t>
      </w:r>
      <w:r>
        <w:rPr>
          <w:snapToGrid w:val="0"/>
        </w:rPr>
        <w:t>.</w:t>
      </w:r>
      <w:r>
        <w:rPr>
          <w:snapToGrid w:val="0"/>
        </w:rPr>
        <w:tab/>
        <w:t>Who may refer matters to Board</w:t>
      </w:r>
      <w:bookmarkEnd w:id="667"/>
      <w:bookmarkEnd w:id="668"/>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No. 94 of 1984 s. 47; amended: No. 20 of 2002 s. 12; No. 31 of 2003 s. 147(5); No. 30 of 2021 s. 77(13).]</w:t>
      </w:r>
    </w:p>
    <w:p>
      <w:pPr>
        <w:pStyle w:val="Ednotesection"/>
      </w:pPr>
      <w:r>
        <w:t>[</w:t>
      </w:r>
      <w:r>
        <w:rPr>
          <w:b/>
        </w:rPr>
        <w:t>80T.</w:t>
      </w:r>
      <w:r>
        <w:tab/>
        <w:t>Deleted: No. 1 of 1995 s. 30.]</w:t>
      </w:r>
    </w:p>
    <w:p>
      <w:pPr>
        <w:pStyle w:val="Heading5"/>
        <w:rPr>
          <w:snapToGrid w:val="0"/>
        </w:rPr>
      </w:pPr>
      <w:bookmarkStart w:id="669" w:name="_Toc107476546"/>
      <w:bookmarkStart w:id="670" w:name="_Toc106374080"/>
      <w:r>
        <w:rPr>
          <w:rStyle w:val="CharSectno"/>
        </w:rPr>
        <w:t>80U</w:t>
      </w:r>
      <w:r>
        <w:rPr>
          <w:snapToGrid w:val="0"/>
        </w:rPr>
        <w:t>.</w:t>
      </w:r>
      <w:r>
        <w:rPr>
          <w:snapToGrid w:val="0"/>
        </w:rPr>
        <w:tab/>
        <w:t>Vacant salaried position, reclassification of</w:t>
      </w:r>
      <w:bookmarkEnd w:id="669"/>
      <w:bookmarkEnd w:id="670"/>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keepNext/>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is not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must vary the award in accordance with that reclassification.</w:t>
      </w:r>
    </w:p>
    <w:p>
      <w:pPr>
        <w:pStyle w:val="Footnotesection"/>
      </w:pPr>
      <w:r>
        <w:tab/>
        <w:t>[Section 80U inserted: No. 94 of 1984 s. 47; amended: No. 31 of 2003 s. 147(5); No. 30 of 2021 s. 76(2) and (8).]</w:t>
      </w:r>
    </w:p>
    <w:p>
      <w:pPr>
        <w:pStyle w:val="Heading5"/>
        <w:rPr>
          <w:snapToGrid w:val="0"/>
        </w:rPr>
      </w:pPr>
      <w:bookmarkStart w:id="671" w:name="_Toc107476547"/>
      <w:bookmarkStart w:id="672" w:name="_Toc106374081"/>
      <w:r>
        <w:rPr>
          <w:rStyle w:val="CharSectno"/>
        </w:rPr>
        <w:t>80V</w:t>
      </w:r>
      <w:r>
        <w:rPr>
          <w:snapToGrid w:val="0"/>
        </w:rPr>
        <w:t>.</w:t>
      </w:r>
      <w:r>
        <w:rPr>
          <w:snapToGrid w:val="0"/>
        </w:rPr>
        <w:tab/>
        <w:t>Proceedings of Board</w:t>
      </w:r>
      <w:bookmarkEnd w:id="671"/>
      <w:bookmarkEnd w:id="672"/>
    </w:p>
    <w:p>
      <w:pPr>
        <w:pStyle w:val="Subsection"/>
        <w:rPr>
          <w:snapToGrid w:val="0"/>
        </w:rPr>
      </w:pPr>
      <w:r>
        <w:rPr>
          <w:snapToGrid w:val="0"/>
        </w:rPr>
        <w:tab/>
        <w:t>(1)</w:t>
      </w:r>
      <w:r>
        <w:rPr>
          <w:snapToGrid w:val="0"/>
        </w:rPr>
        <w:tab/>
        <w:t xml:space="preserve">For the purposes of exercising its jurisdiction the Board may sit at any time and place appointed by the </w:t>
      </w:r>
      <w:r>
        <w:t>chairperson</w:t>
      </w:r>
      <w:r>
        <w:rPr>
          <w:snapToGrid w:val="0"/>
        </w:rPr>
        <w:t xml:space="preserve"> and may adjourn to any time and place appointed by </w:t>
      </w:r>
      <w:r>
        <w:t>the chairperson</w:t>
      </w:r>
      <w:r>
        <w:rPr>
          <w:snapToGrid w:val="0"/>
        </w:rPr>
        <w:t>.</w:t>
      </w:r>
    </w:p>
    <w:p>
      <w:pPr>
        <w:pStyle w:val="Subsection"/>
        <w:rPr>
          <w:snapToGrid w:val="0"/>
        </w:rPr>
      </w:pPr>
      <w:r>
        <w:rPr>
          <w:snapToGrid w:val="0"/>
        </w:rPr>
        <w:tab/>
        <w:t>(2)</w:t>
      </w:r>
      <w:r>
        <w:rPr>
          <w:snapToGrid w:val="0"/>
        </w:rPr>
        <w:tab/>
        <w:t>The jurisdiction of the Board must be exercised by all the members sitting together and when the members are divided in opinion on a question, the question must be decided according to the decision of the majority of the members.</w:t>
      </w:r>
    </w:p>
    <w:p>
      <w:pPr>
        <w:pStyle w:val="Subsection"/>
        <w:rPr>
          <w:snapToGrid w:val="0"/>
        </w:rPr>
      </w:pPr>
      <w:r>
        <w:rPr>
          <w:snapToGrid w:val="0"/>
        </w:rPr>
        <w:tab/>
        <w:t>(3)</w:t>
      </w:r>
      <w:r>
        <w:rPr>
          <w:snapToGrid w:val="0"/>
        </w:rPr>
        <w:tab/>
        <w:t xml:space="preserve">The decision of the Board </w:t>
      </w:r>
      <w:r>
        <w:t>must be in the form of an award, order, determination or declaration and must be signed and dated at the time it is made</w:t>
      </w:r>
      <w:r>
        <w:rPr>
          <w:snapToGrid w:val="0"/>
        </w:rPr>
        <w:t xml:space="preserve"> by the </w:t>
      </w:r>
      <w:r>
        <w:t>chairperson</w:t>
      </w:r>
      <w:r>
        <w:rPr>
          <w:snapToGrid w:val="0"/>
        </w:rPr>
        <w:t>.</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No. 94 of 1984 s. 47; amended: No. 39 of 2018 s. 51; No. 30 of 2021 s. 76(2) and 77(1) and (13).]</w:t>
      </w:r>
    </w:p>
    <w:p>
      <w:pPr>
        <w:pStyle w:val="Heading5"/>
        <w:spacing w:before="240"/>
        <w:rPr>
          <w:snapToGrid w:val="0"/>
        </w:rPr>
      </w:pPr>
      <w:bookmarkStart w:id="673" w:name="_Toc107476548"/>
      <w:bookmarkStart w:id="674" w:name="_Toc106374082"/>
      <w:r>
        <w:rPr>
          <w:rStyle w:val="CharSectno"/>
        </w:rPr>
        <w:t>80W</w:t>
      </w:r>
      <w:r>
        <w:rPr>
          <w:snapToGrid w:val="0"/>
        </w:rPr>
        <w:t>.</w:t>
      </w:r>
      <w:r>
        <w:rPr>
          <w:snapToGrid w:val="0"/>
        </w:rPr>
        <w:tab/>
        <w:t>Part II Div. 2 to 2G, application of</w:t>
      </w:r>
      <w:bookmarkEnd w:id="673"/>
      <w:bookmarkEnd w:id="674"/>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No. 94 of 1984 s. 47; amended: No. 79 of 1995 s. 14; No. 20 of 2002 s. 121(5); No. 30 of 2021 s. 76(1).]</w:t>
      </w:r>
    </w:p>
    <w:p>
      <w:pPr>
        <w:pStyle w:val="Ednotedivision"/>
      </w:pPr>
      <w:r>
        <w:t>[Division 4 (s. 80X</w:t>
      </w:r>
      <w:r>
        <w:noBreakHyphen/>
        <w:t>80Z, 80ZA</w:t>
      </w:r>
      <w:r>
        <w:noBreakHyphen/>
        <w:t>80ZD) deleted: No. 1 of 1995 s. 31.]</w:t>
      </w:r>
    </w:p>
    <w:p>
      <w:pPr>
        <w:pStyle w:val="Heading2"/>
      </w:pPr>
      <w:bookmarkStart w:id="675" w:name="_Toc107322420"/>
      <w:bookmarkStart w:id="676" w:name="_Toc107476549"/>
      <w:bookmarkStart w:id="677" w:name="_Toc105760139"/>
      <w:bookmarkStart w:id="678" w:name="_Toc106195409"/>
      <w:bookmarkStart w:id="679" w:name="_Toc106367352"/>
      <w:bookmarkStart w:id="680" w:name="_Toc106374083"/>
      <w:r>
        <w:rPr>
          <w:rStyle w:val="CharPartNo"/>
        </w:rPr>
        <w:t>Part IIB</w:t>
      </w:r>
      <w:r>
        <w:rPr>
          <w:rStyle w:val="CharDivNo"/>
        </w:rPr>
        <w:t> </w:t>
      </w:r>
      <w:r>
        <w:t>—</w:t>
      </w:r>
      <w:r>
        <w:rPr>
          <w:rStyle w:val="CharDivText"/>
        </w:rPr>
        <w:t> </w:t>
      </w:r>
      <w:r>
        <w:rPr>
          <w:rStyle w:val="CharPartText"/>
        </w:rPr>
        <w:t>Enquiries</w:t>
      </w:r>
      <w:bookmarkEnd w:id="675"/>
      <w:bookmarkEnd w:id="676"/>
      <w:bookmarkEnd w:id="677"/>
      <w:bookmarkEnd w:id="678"/>
      <w:bookmarkEnd w:id="679"/>
      <w:bookmarkEnd w:id="680"/>
    </w:p>
    <w:p>
      <w:pPr>
        <w:pStyle w:val="Footnoteheading"/>
        <w:rPr>
          <w:snapToGrid w:val="0"/>
        </w:rPr>
      </w:pPr>
      <w:r>
        <w:rPr>
          <w:snapToGrid w:val="0"/>
        </w:rPr>
        <w:tab/>
        <w:t>[Heading inserted: No. 94 of 1984 s. 47.]</w:t>
      </w:r>
    </w:p>
    <w:p>
      <w:pPr>
        <w:pStyle w:val="Heading5"/>
        <w:rPr>
          <w:snapToGrid w:val="0"/>
        </w:rPr>
      </w:pPr>
      <w:bookmarkStart w:id="681" w:name="_Toc107476550"/>
      <w:bookmarkStart w:id="682" w:name="_Toc106374084"/>
      <w:r>
        <w:rPr>
          <w:rStyle w:val="CharSectno"/>
        </w:rPr>
        <w:t>80ZE</w:t>
      </w:r>
      <w:r>
        <w:rPr>
          <w:snapToGrid w:val="0"/>
        </w:rPr>
        <w:t>.</w:t>
      </w:r>
      <w:r>
        <w:rPr>
          <w:snapToGrid w:val="0"/>
        </w:rPr>
        <w:tab/>
        <w:t>Minister may refer matter to Commission for enquiry</w:t>
      </w:r>
      <w:bookmarkEnd w:id="681"/>
      <w:bookmarkEnd w:id="682"/>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must enquire into that matter and report to the Minister.</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No. 94 of 1984 s. 47; amended: No. 15 of 1993 s. 22; Gazette 15 Aug 2003 p. 3686; No. 30 of 2021 s. 76(2) and 78(7).]</w:t>
      </w:r>
    </w:p>
    <w:p>
      <w:pPr>
        <w:pStyle w:val="Heading2"/>
      </w:pPr>
      <w:bookmarkStart w:id="683" w:name="_Toc107322422"/>
      <w:bookmarkStart w:id="684" w:name="_Toc107476551"/>
      <w:bookmarkStart w:id="685" w:name="_Toc105760141"/>
      <w:bookmarkStart w:id="686" w:name="_Toc106195411"/>
      <w:bookmarkStart w:id="687" w:name="_Toc106367354"/>
      <w:bookmarkStart w:id="688" w:name="_Toc106374085"/>
      <w:r>
        <w:rPr>
          <w:rStyle w:val="CharPartNo"/>
        </w:rPr>
        <w:t>Part IIC</w:t>
      </w:r>
      <w:r>
        <w:rPr>
          <w:rStyle w:val="CharDivNo"/>
        </w:rPr>
        <w:t> </w:t>
      </w:r>
      <w:r>
        <w:t>—</w:t>
      </w:r>
      <w:r>
        <w:rPr>
          <w:rStyle w:val="CharDivText"/>
        </w:rPr>
        <w:t> </w:t>
      </w:r>
      <w:r>
        <w:rPr>
          <w:rStyle w:val="CharPartText"/>
        </w:rPr>
        <w:t>Arrangements with other industrial authorities</w:t>
      </w:r>
      <w:bookmarkEnd w:id="683"/>
      <w:bookmarkEnd w:id="684"/>
      <w:bookmarkEnd w:id="685"/>
      <w:bookmarkEnd w:id="686"/>
      <w:bookmarkEnd w:id="687"/>
      <w:bookmarkEnd w:id="688"/>
    </w:p>
    <w:p>
      <w:pPr>
        <w:pStyle w:val="Footnoteheading"/>
        <w:spacing w:before="100"/>
        <w:rPr>
          <w:snapToGrid w:val="0"/>
        </w:rPr>
      </w:pPr>
      <w:r>
        <w:rPr>
          <w:snapToGrid w:val="0"/>
        </w:rPr>
        <w:tab/>
        <w:t>[Heading inserted: No. 94 of 1984 s. 47.]</w:t>
      </w:r>
    </w:p>
    <w:p>
      <w:pPr>
        <w:pStyle w:val="Heading5"/>
      </w:pPr>
      <w:bookmarkStart w:id="689" w:name="_Toc107476552"/>
      <w:bookmarkStart w:id="690" w:name="_Toc106374086"/>
      <w:r>
        <w:rPr>
          <w:rStyle w:val="CharSectno"/>
        </w:rPr>
        <w:t>80ZF</w:t>
      </w:r>
      <w:r>
        <w:t>.</w:t>
      </w:r>
      <w:r>
        <w:tab/>
      </w:r>
      <w:r>
        <w:rPr>
          <w:bCs/>
        </w:rPr>
        <w:t>Term used: FW Commission</w:t>
      </w:r>
      <w:bookmarkEnd w:id="689"/>
      <w:bookmarkEnd w:id="690"/>
    </w:p>
    <w:p>
      <w:pPr>
        <w:pStyle w:val="Subsection"/>
      </w:pPr>
      <w:r>
        <w:tab/>
      </w:r>
      <w:r>
        <w:tab/>
        <w:t xml:space="preserve">In this Part — </w:t>
      </w:r>
    </w:p>
    <w:p>
      <w:pPr>
        <w:pStyle w:val="Defstart"/>
      </w:pPr>
      <w:r>
        <w:tab/>
      </w:r>
      <w:r>
        <w:rPr>
          <w:b/>
          <w:i/>
        </w:rPr>
        <w:t>FW Commission</w:t>
      </w:r>
      <w:r>
        <w:t xml:space="preserve"> includes a member of the FW Commission.</w:t>
      </w:r>
    </w:p>
    <w:p>
      <w:pPr>
        <w:pStyle w:val="Footnotesection"/>
      </w:pPr>
      <w:r>
        <w:tab/>
        <w:t>[Section 80ZF inserted: No. 39 of 2018 s. 52; amended: No. 30 of 2021 s. 75(1).]</w:t>
      </w:r>
    </w:p>
    <w:p>
      <w:pPr>
        <w:pStyle w:val="Heading5"/>
        <w:rPr>
          <w:snapToGrid w:val="0"/>
        </w:rPr>
      </w:pPr>
      <w:bookmarkStart w:id="691" w:name="_Toc107476553"/>
      <w:bookmarkStart w:id="692" w:name="_Toc106374087"/>
      <w:r>
        <w:rPr>
          <w:rStyle w:val="CharSectno"/>
        </w:rPr>
        <w:t>80ZG</w:t>
      </w:r>
      <w:r>
        <w:rPr>
          <w:snapToGrid w:val="0"/>
        </w:rPr>
        <w:t>.</w:t>
      </w:r>
      <w:r>
        <w:rPr>
          <w:snapToGrid w:val="0"/>
        </w:rPr>
        <w:tab/>
      </w:r>
      <w:r>
        <w:rPr>
          <w:bCs/>
        </w:rPr>
        <w:t>Joint proceedings of Commission and FW Commission</w:t>
      </w:r>
      <w:bookmarkEnd w:id="691"/>
      <w:bookmarkEnd w:id="692"/>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pPr>
      <w:r>
        <w:tab/>
        <w:t>(a)</w:t>
      </w:r>
      <w:r>
        <w:tab/>
        <w:t>the FW Commission; and</w:t>
      </w:r>
    </w:p>
    <w:p>
      <w:pPr>
        <w:pStyle w:val="Indenta"/>
        <w:rPr>
          <w:snapToGrid w:val="0"/>
        </w:rPr>
      </w:pPr>
      <w:r>
        <w:tab/>
        <w:t>(b)</w:t>
      </w:r>
      <w:r>
        <w:tab/>
      </w:r>
      <w:r>
        <w:rPr>
          <w:snapToGrid w:val="0"/>
        </w:rPr>
        <w:t xml:space="preserve">the parties to an industrial dispute in relation to which the </w:t>
      </w:r>
      <w:r>
        <w:t>FW Commission</w:t>
      </w:r>
      <w:r>
        <w:rPr>
          <w:snapToGrid w:val="0"/>
        </w:rPr>
        <w:t xml:space="preserve"> is exercising power; and</w:t>
      </w:r>
    </w:p>
    <w:p>
      <w:pPr>
        <w:pStyle w:val="Indenta"/>
        <w:rPr>
          <w:snapToGrid w:val="0"/>
        </w:rPr>
      </w:pPr>
      <w:r>
        <w:tab/>
        <w:t>(c)</w:t>
      </w:r>
      <w:r>
        <w:tab/>
      </w:r>
      <w:r>
        <w:rPr>
          <w:snapToGrid w:val="0"/>
        </w:rPr>
        <w:t>any witness summoned by</w:t>
      </w:r>
      <w:r>
        <w:t xml:space="preserve"> the FW Commission</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FW Commission</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is taken to prevent the Commission from exercising powers in relation to an industrial matter in the presence of any person other than </w:t>
      </w:r>
      <w:r>
        <w:t xml:space="preserve">the FW Commission </w:t>
      </w:r>
      <w:r>
        <w:rPr>
          <w:snapToGrid w:val="0"/>
        </w:rPr>
        <w:t>or a person referred to in subsection (1)(b) or (c).</w:t>
      </w:r>
    </w:p>
    <w:p>
      <w:pPr>
        <w:pStyle w:val="Footnotesection"/>
        <w:spacing w:before="100"/>
        <w:ind w:left="890" w:hanging="890"/>
      </w:pPr>
      <w:r>
        <w:tab/>
        <w:t>[Section 80ZG inserted: No. 94 of 1984 s. 47; amended: No. 53 of 2011 s. 39; No. 39 of 2018 s. 53; No. 30 of 2021 s. 75(1) and 76(3).]</w:t>
      </w:r>
    </w:p>
    <w:p>
      <w:pPr>
        <w:pStyle w:val="Heading5"/>
        <w:spacing w:before="120"/>
        <w:rPr>
          <w:snapToGrid w:val="0"/>
        </w:rPr>
      </w:pPr>
      <w:bookmarkStart w:id="693" w:name="_Toc107476554"/>
      <w:bookmarkStart w:id="694" w:name="_Toc106374088"/>
      <w:r>
        <w:rPr>
          <w:rStyle w:val="CharSectno"/>
        </w:rPr>
        <w:t>80ZH</w:t>
      </w:r>
      <w:r>
        <w:rPr>
          <w:snapToGrid w:val="0"/>
        </w:rPr>
        <w:t>.</w:t>
      </w:r>
      <w:r>
        <w:rPr>
          <w:snapToGrid w:val="0"/>
        </w:rPr>
        <w:tab/>
      </w:r>
      <w:r>
        <w:rPr>
          <w:bCs/>
        </w:rPr>
        <w:t>Referring matters to FW Commission for determination under this Act</w:t>
      </w:r>
      <w:bookmarkEnd w:id="693"/>
      <w:bookmarkEnd w:id="694"/>
    </w:p>
    <w:p>
      <w:pPr>
        <w:pStyle w:val="Subsection"/>
        <w:rPr>
          <w:snapToGrid w:val="0"/>
        </w:rPr>
      </w:pPr>
      <w:r>
        <w:rPr>
          <w:snapToGrid w:val="0"/>
        </w:rPr>
        <w:tab/>
        <w:t>(1)</w:t>
      </w:r>
      <w:r>
        <w:rPr>
          <w:snapToGrid w:val="0"/>
        </w:rPr>
        <w:tab/>
        <w:t xml:space="preserve">The Chief Commissioner may, if it is appropriate to do so, request the President of </w:t>
      </w:r>
      <w:r>
        <w:t>the FW Commission</w:t>
      </w:r>
      <w:r>
        <w:rPr>
          <w:snapToGrid w:val="0"/>
        </w:rPr>
        <w:t xml:space="preserve"> to nominate a member of the </w:t>
      </w:r>
      <w:r>
        <w:t xml:space="preserve">FW Commission </w:t>
      </w:r>
      <w:r>
        <w:rPr>
          <w:snapToGrid w:val="0"/>
        </w:rPr>
        <w:t>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the FW Commission</w:t>
      </w:r>
      <w:r>
        <w:rPr>
          <w:snapToGrid w:val="0"/>
        </w:rPr>
        <w:t xml:space="preserve"> nominates a member of</w:t>
      </w:r>
      <w:r>
        <w:t xml:space="preserve"> the FW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the member of the FW Commission under subsection (2), the member may exercise all the powers of the Commission under this Act that are exercisable by a commissioner or by a constituent authority and in the exercise of those powers is </w:t>
      </w:r>
      <w:r>
        <w:t>taken</w:t>
      </w:r>
      <w:r>
        <w:rPr>
          <w:snapToGrid w:val="0"/>
        </w:rPr>
        <w:t xml:space="preserve"> to be the Commission.</w:t>
      </w:r>
    </w:p>
    <w:p>
      <w:pPr>
        <w:pStyle w:val="Subsection"/>
        <w:rPr>
          <w:snapToGrid w:val="0"/>
        </w:rPr>
      </w:pPr>
      <w:r>
        <w:rPr>
          <w:snapToGrid w:val="0"/>
        </w:rPr>
        <w:tab/>
        <w:t>(4)</w:t>
      </w:r>
      <w:r>
        <w:rPr>
          <w:snapToGrid w:val="0"/>
        </w:rPr>
        <w:tab/>
        <w:t xml:space="preserve">Without limiting subsection (3), a decision made by a member of </w:t>
      </w:r>
      <w:r>
        <w:t xml:space="preserve">the FW Commission </w:t>
      </w:r>
      <w:r>
        <w:rPr>
          <w:snapToGrid w:val="0"/>
        </w:rPr>
        <w:t xml:space="preserve">in relation to an industrial matter referred to the member under subsection (2) is, for the purposes of this Act, </w:t>
      </w:r>
      <w:r>
        <w:t>taken</w:t>
      </w:r>
      <w:r>
        <w:rPr>
          <w:snapToGrid w:val="0"/>
        </w:rPr>
        <w:t xml:space="preserve"> to be an award, order or declaration as the case may require, made by the Commission under this Act.</w:t>
      </w:r>
    </w:p>
    <w:p>
      <w:pPr>
        <w:pStyle w:val="Footnotesection"/>
        <w:keepLines w:val="0"/>
      </w:pPr>
      <w:r>
        <w:tab/>
        <w:t>[Section 80ZH inserted: No. 94 of 1984 s. 47; amended: No. 53 of 2011 s. 39; No. 39 of 2018 s. 54; No. 30 of 2021 s. 75(1), 76(3) and (7), 77(13), 78(3) and (6).]</w:t>
      </w:r>
    </w:p>
    <w:p>
      <w:pPr>
        <w:pStyle w:val="Heading5"/>
        <w:pageBreakBefore/>
        <w:spacing w:before="0"/>
        <w:rPr>
          <w:snapToGrid w:val="0"/>
        </w:rPr>
      </w:pPr>
      <w:bookmarkStart w:id="695" w:name="_Toc107476555"/>
      <w:bookmarkStart w:id="696" w:name="_Toc106374089"/>
      <w:r>
        <w:rPr>
          <w:rStyle w:val="CharSectno"/>
        </w:rPr>
        <w:t>80ZI</w:t>
      </w:r>
      <w:r>
        <w:rPr>
          <w:snapToGrid w:val="0"/>
        </w:rPr>
        <w:t>.</w:t>
      </w:r>
      <w:r>
        <w:rPr>
          <w:snapToGrid w:val="0"/>
        </w:rPr>
        <w:tab/>
        <w:t>Conferences with other industrial authorities</w:t>
      </w:r>
      <w:bookmarkEnd w:id="695"/>
      <w:bookmarkEnd w:id="696"/>
    </w:p>
    <w:p>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w:t>
      </w:r>
      <w:r>
        <w:t>the Chief Commissioner may confer with the FW Commission</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FW Commission</w:t>
      </w:r>
      <w:r>
        <w:rPr>
          <w:snapToGrid w:val="0"/>
        </w:rPr>
        <w:t xml:space="preserve"> or any board or court of conciliation or arbitration or other tribunal, body or persons having authority under the laws of another State or a Territory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No. 94 of 1984 s. 47; amended: No. 53 of 2011 s. 39; No. 39 of 2018 s. 55; No. 30 of 2021 s. 75(1) and 78(7).]</w:t>
      </w:r>
    </w:p>
    <w:p>
      <w:pPr>
        <w:pStyle w:val="Heading5"/>
        <w:rPr>
          <w:snapToGrid w:val="0"/>
        </w:rPr>
      </w:pPr>
      <w:bookmarkStart w:id="697" w:name="_Toc107476556"/>
      <w:bookmarkStart w:id="698" w:name="_Toc106374090"/>
      <w:r>
        <w:rPr>
          <w:rStyle w:val="CharSectno"/>
        </w:rPr>
        <w:t>80ZJ</w:t>
      </w:r>
      <w:r>
        <w:rPr>
          <w:snapToGrid w:val="0"/>
        </w:rPr>
        <w:t>.</w:t>
      </w:r>
      <w:r>
        <w:rPr>
          <w:snapToGrid w:val="0"/>
        </w:rPr>
        <w:tab/>
      </w:r>
      <w:r>
        <w:rPr>
          <w:bCs/>
        </w:rPr>
        <w:t>Commission may exercise powers conferred by FW Act or prescribed enactments</w:t>
      </w:r>
      <w:bookmarkEnd w:id="697"/>
      <w:bookmarkEnd w:id="698"/>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t xml:space="preserve">FW Act </w:t>
      </w:r>
      <w:r>
        <w:rPr>
          <w:snapToGrid w:val="0"/>
        </w:rPr>
        <w:t>or of any other prescribed enactment.</w:t>
      </w:r>
    </w:p>
    <w:p>
      <w:pPr>
        <w:pStyle w:val="Subsection"/>
        <w:rPr>
          <w:snapToGrid w:val="0"/>
        </w:rPr>
      </w:pPr>
      <w:r>
        <w:rPr>
          <w:snapToGrid w:val="0"/>
        </w:rPr>
        <w:tab/>
        <w:t>(2)</w:t>
      </w:r>
      <w:r>
        <w:rPr>
          <w:snapToGrid w:val="0"/>
        </w:rPr>
        <w:tab/>
        <w:t xml:space="preserve">A decision made by the Commission in exercise of the powers referred to in subsection (1) is, for the purposes of this Act, </w:t>
      </w:r>
      <w:r>
        <w:t>taken</w:t>
      </w:r>
      <w:r>
        <w:rPr>
          <w:snapToGrid w:val="0"/>
        </w:rPr>
        <w:t xml:space="preserve"> not to have been made by the Commission under this Act.</w:t>
      </w:r>
    </w:p>
    <w:p>
      <w:pPr>
        <w:pStyle w:val="Footnotesection"/>
      </w:pPr>
      <w:r>
        <w:tab/>
        <w:t>[Section 80ZJ inserted: No. 94 of 1984 s. 47; amended: No. 53 of 2011 s. 37; No. 30 of 2021 s. 75(1), 76(7) and 78(6).]</w:t>
      </w:r>
    </w:p>
    <w:p>
      <w:pPr>
        <w:pStyle w:val="Heading2"/>
      </w:pPr>
      <w:bookmarkStart w:id="699" w:name="_Toc107322428"/>
      <w:bookmarkStart w:id="700" w:name="_Toc107476557"/>
      <w:bookmarkStart w:id="701" w:name="_Toc105760147"/>
      <w:bookmarkStart w:id="702" w:name="_Toc106195417"/>
      <w:bookmarkStart w:id="703" w:name="_Toc106367360"/>
      <w:bookmarkStart w:id="704" w:name="_Toc106374091"/>
      <w:r>
        <w:rPr>
          <w:rStyle w:val="CharPartNo"/>
        </w:rPr>
        <w:t>Part III</w:t>
      </w:r>
      <w:r>
        <w:rPr>
          <w:rStyle w:val="CharDivNo"/>
        </w:rPr>
        <w:t> </w:t>
      </w:r>
      <w:r>
        <w:t>—</w:t>
      </w:r>
      <w:r>
        <w:rPr>
          <w:rStyle w:val="CharDivText"/>
        </w:rPr>
        <w:t> </w:t>
      </w:r>
      <w:r>
        <w:rPr>
          <w:rStyle w:val="CharPartText"/>
        </w:rPr>
        <w:t>Enforcement of Act, awards, industrial agreements and orders</w:t>
      </w:r>
      <w:bookmarkEnd w:id="699"/>
      <w:bookmarkEnd w:id="700"/>
      <w:bookmarkEnd w:id="701"/>
      <w:bookmarkEnd w:id="702"/>
      <w:bookmarkEnd w:id="703"/>
      <w:bookmarkEnd w:id="704"/>
    </w:p>
    <w:p>
      <w:pPr>
        <w:pStyle w:val="Footnoteheading"/>
        <w:rPr>
          <w:snapToGrid w:val="0"/>
        </w:rPr>
      </w:pPr>
      <w:r>
        <w:rPr>
          <w:snapToGrid w:val="0"/>
        </w:rPr>
        <w:tab/>
        <w:t>[Heading amended: No. 94 of 1984 s. 48.]</w:t>
      </w:r>
    </w:p>
    <w:p>
      <w:pPr>
        <w:pStyle w:val="Heading3"/>
      </w:pPr>
      <w:bookmarkStart w:id="705" w:name="_Toc107322429"/>
      <w:bookmarkStart w:id="706" w:name="_Toc107476558"/>
      <w:bookmarkStart w:id="707" w:name="_Toc84926110"/>
      <w:bookmarkStart w:id="708" w:name="_Toc84927526"/>
      <w:bookmarkStart w:id="709" w:name="_Toc84935506"/>
      <w:bookmarkStart w:id="710" w:name="_Toc85533303"/>
      <w:bookmarkStart w:id="711" w:name="_Toc85543919"/>
      <w:bookmarkStart w:id="712" w:name="_Toc90551712"/>
      <w:bookmarkStart w:id="713" w:name="_Toc90553680"/>
      <w:bookmarkStart w:id="714" w:name="_Toc90558283"/>
      <w:bookmarkStart w:id="715" w:name="_Toc91144525"/>
      <w:bookmarkStart w:id="716" w:name="_Toc95209364"/>
      <w:bookmarkStart w:id="717" w:name="_Toc106195418"/>
      <w:bookmarkStart w:id="718" w:name="_Toc106367361"/>
      <w:bookmarkStart w:id="719" w:name="_Toc106374092"/>
      <w:r>
        <w:t>Division 1 — Industrial magistrate’s court</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pPr>
        <w:pStyle w:val="Footnoteheading"/>
        <w:keepNext/>
        <w:keepLines/>
      </w:pPr>
      <w:r>
        <w:tab/>
        <w:t>[Heading inserted: No. 30 of 2021 s. 42.]</w:t>
      </w:r>
    </w:p>
    <w:p>
      <w:pPr>
        <w:pStyle w:val="Heading5"/>
        <w:rPr>
          <w:snapToGrid w:val="0"/>
        </w:rPr>
      </w:pPr>
      <w:bookmarkStart w:id="720" w:name="_Toc107476559"/>
      <w:bookmarkStart w:id="721" w:name="_Toc106374093"/>
      <w:r>
        <w:rPr>
          <w:rStyle w:val="CharSectno"/>
        </w:rPr>
        <w:t>81</w:t>
      </w:r>
      <w:r>
        <w:rPr>
          <w:snapToGrid w:val="0"/>
        </w:rPr>
        <w:t>.</w:t>
      </w:r>
      <w:r>
        <w:rPr>
          <w:snapToGrid w:val="0"/>
        </w:rPr>
        <w:tab/>
        <w:t>Industrial magistrate’s courts established</w:t>
      </w:r>
      <w:bookmarkEnd w:id="720"/>
      <w:bookmarkEnd w:id="721"/>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must have an official seal of which judicial notice must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must be transferred to such other industrial magistrate’s court as the Governor in the relevant proclamation referred to in subsection (3) directs.</w:t>
      </w:r>
    </w:p>
    <w:p>
      <w:pPr>
        <w:pStyle w:val="Footnotesection"/>
      </w:pPr>
      <w:r>
        <w:tab/>
        <w:t>[Section 81 inserted: No. 44 of 1991 s. 6; amended: No. 30 of 2021 s. 76(2).]</w:t>
      </w:r>
    </w:p>
    <w:p>
      <w:pPr>
        <w:pStyle w:val="Heading5"/>
        <w:rPr>
          <w:snapToGrid w:val="0"/>
        </w:rPr>
      </w:pPr>
      <w:bookmarkStart w:id="722" w:name="_Toc107476560"/>
      <w:bookmarkStart w:id="723" w:name="_Toc106374094"/>
      <w:r>
        <w:rPr>
          <w:rStyle w:val="CharSectno"/>
        </w:rPr>
        <w:t>81A</w:t>
      </w:r>
      <w:r>
        <w:rPr>
          <w:snapToGrid w:val="0"/>
        </w:rPr>
        <w:t>.</w:t>
      </w:r>
      <w:r>
        <w:rPr>
          <w:snapToGrid w:val="0"/>
        </w:rPr>
        <w:tab/>
        <w:t>Jurisdiction under this Act of industrial magistrate’s court</w:t>
      </w:r>
      <w:bookmarkEnd w:id="722"/>
      <w:bookmarkEnd w:id="723"/>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No. 79 of 1995 s. 19; amended: No. 3 of 1997 s. 8, 18, and 21(1); No. 20 of 2002 s. 13, 160(1), 193(3) and 195(2).]</w:t>
      </w:r>
    </w:p>
    <w:p>
      <w:pPr>
        <w:pStyle w:val="Heading5"/>
        <w:rPr>
          <w:snapToGrid w:val="0"/>
        </w:rPr>
      </w:pPr>
      <w:bookmarkStart w:id="724" w:name="_Toc107476561"/>
      <w:bookmarkStart w:id="725" w:name="_Toc106374095"/>
      <w:r>
        <w:rPr>
          <w:rStyle w:val="CharSectno"/>
        </w:rPr>
        <w:t>81AA</w:t>
      </w:r>
      <w:r>
        <w:rPr>
          <w:snapToGrid w:val="0"/>
        </w:rPr>
        <w:t>.</w:t>
      </w:r>
      <w:r>
        <w:rPr>
          <w:snapToGrid w:val="0"/>
        </w:rPr>
        <w:tab/>
        <w:t>Jurisdiction under other Acts of industrial magistrate’s court</w:t>
      </w:r>
      <w:bookmarkEnd w:id="724"/>
      <w:bookmarkEnd w:id="725"/>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r>
      <w:r>
        <w:t>the LSL Act Part IV</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No. 15 of 1993 s. 24; amended: No. 79 of 1995 s. 20; No. 20 of 2002 s. 113(2) and 182; No. 34 of 2004 s. 251; No. 36 of 2006 s. 68; No. 53 of 2011 s. 29 and 42; No. 30 of 2021 s. 75(1).]</w:t>
      </w:r>
    </w:p>
    <w:p>
      <w:pPr>
        <w:pStyle w:val="Heading5"/>
        <w:rPr>
          <w:snapToGrid w:val="0"/>
        </w:rPr>
      </w:pPr>
      <w:bookmarkStart w:id="726" w:name="_Toc107476562"/>
      <w:bookmarkStart w:id="727" w:name="_Toc106374096"/>
      <w:r>
        <w:rPr>
          <w:rStyle w:val="CharSectno"/>
        </w:rPr>
        <w:t>81B</w:t>
      </w:r>
      <w:r>
        <w:rPr>
          <w:snapToGrid w:val="0"/>
        </w:rPr>
        <w:t>.</w:t>
      </w:r>
      <w:r>
        <w:rPr>
          <w:snapToGrid w:val="0"/>
        </w:rPr>
        <w:tab/>
        <w:t>Industrial magistrate’s courts, constitution of</w:t>
      </w:r>
      <w:bookmarkEnd w:id="726"/>
      <w:bookmarkEnd w:id="727"/>
    </w:p>
    <w:p>
      <w:pPr>
        <w:pStyle w:val="Subsection"/>
        <w:rPr>
          <w:snapToGrid w:val="0"/>
        </w:rPr>
      </w:pPr>
      <w:r>
        <w:rPr>
          <w:snapToGrid w:val="0"/>
        </w:rPr>
        <w:tab/>
        <w:t>(1)</w:t>
      </w:r>
      <w:r>
        <w:rPr>
          <w:snapToGrid w:val="0"/>
        </w:rPr>
        <w:tab/>
        <w:t>An industrial magistrate’s court is constituted by an industrial magistrate.</w:t>
      </w:r>
    </w:p>
    <w:p>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pPr>
        <w:pStyle w:val="Subsection"/>
      </w:pPr>
      <w:r>
        <w:tab/>
        <w:t>(2A)</w:t>
      </w:r>
      <w:r>
        <w:tab/>
        <w:t xml:space="preserve">The Governor may appoint a commissioner who meets the qualifications referred to in the </w:t>
      </w:r>
      <w:r>
        <w:rPr>
          <w:i/>
        </w:rPr>
        <w:t>Magistrates Court Act 2004</w:t>
      </w:r>
      <w:r>
        <w:t xml:space="preserve"> Schedule 1 clause 2 (a </w:t>
      </w:r>
      <w:r>
        <w:rPr>
          <w:rStyle w:val="CharDefText"/>
        </w:rPr>
        <w:t>qualified commissioner</w:t>
      </w:r>
      <w:r>
        <w:t>) to be an industrial magistrate.</w:t>
      </w:r>
    </w:p>
    <w:p>
      <w:pPr>
        <w:pStyle w:val="Subsection"/>
        <w:rPr>
          <w:snapToGrid w:val="0"/>
        </w:rPr>
      </w:pPr>
      <w:r>
        <w:rPr>
          <w:snapToGrid w:val="0"/>
        </w:rPr>
        <w:tab/>
        <w:t>(3)</w:t>
      </w:r>
      <w:r>
        <w:rPr>
          <w:snapToGrid w:val="0"/>
        </w:rPr>
        <w:tab/>
        <w:t>An industrial magistrate ceases to hold office as such when the industrial magistrate —</w:t>
      </w:r>
    </w:p>
    <w:p>
      <w:pPr>
        <w:pStyle w:val="Indenta"/>
        <w:rPr>
          <w:snapToGrid w:val="0"/>
        </w:rPr>
      </w:pPr>
      <w:r>
        <w:rPr>
          <w:snapToGrid w:val="0"/>
        </w:rPr>
        <w:tab/>
        <w:t>(a)</w:t>
      </w:r>
      <w:r>
        <w:rPr>
          <w:snapToGrid w:val="0"/>
        </w:rPr>
        <w:tab/>
        <w:t xml:space="preserve">ceases to be a </w:t>
      </w:r>
      <w:r>
        <w:t>magistrate or commissioner; or</w:t>
      </w:r>
    </w:p>
    <w:p>
      <w:pPr>
        <w:pStyle w:val="Indenta"/>
        <w:rPr>
          <w:snapToGrid w:val="0"/>
        </w:rPr>
      </w:pPr>
      <w:r>
        <w:rPr>
          <w:snapToGrid w:val="0"/>
        </w:rPr>
        <w:tab/>
        <w:t>(b)</w:t>
      </w:r>
      <w:r>
        <w:rPr>
          <w:snapToGrid w:val="0"/>
        </w:rPr>
        <w:tab/>
        <w:t>in the case of a person appointed under subsection (2), resigns from office as industrial magistrate by writing delivered to the Governor.</w:t>
      </w:r>
    </w:p>
    <w:p>
      <w:pPr>
        <w:pStyle w:val="Subsection"/>
        <w:rPr>
          <w:snapToGrid w:val="0"/>
        </w:rPr>
      </w:pPr>
      <w:r>
        <w:rPr>
          <w:snapToGrid w:val="0"/>
        </w:rPr>
        <w:tab/>
        <w:t>(4)</w:t>
      </w:r>
      <w:r>
        <w:rPr>
          <w:snapToGrid w:val="0"/>
        </w:rPr>
        <w:tab/>
        <w:t xml:space="preserve">When an industrial magistrate is, or is expected to be, for any reason unable to perform the functions of office, the Governor </w:t>
      </w:r>
      <w:r>
        <w:t>may</w:t>
      </w:r>
      <w:r>
        <w:rPr>
          <w:snapToGrid w:val="0"/>
        </w:rPr>
        <w:t xml:space="preserve"> appoint a person holding office as a magistrate </w:t>
      </w:r>
      <w:r>
        <w:t>or a qualified commissioner</w:t>
      </w:r>
      <w:r>
        <w:rPr>
          <w:snapToGrid w:val="0"/>
        </w:rPr>
        <w:t xml:space="preserve"> to act in the office of the industrial magistrate for the period, or the remainder of the period, as the case requires, during which the industrial magistrate is, or is expected to be, so unable.</w:t>
      </w:r>
    </w:p>
    <w:p>
      <w:pPr>
        <w:pStyle w:val="Subsection"/>
      </w:pPr>
      <w:r>
        <w:tab/>
        <w:t>(4A)</w:t>
      </w:r>
      <w:r>
        <w:tab/>
        <w:t>Subsections (2) and (2A) apply, with the necessary modifications, to an appointment of an acting industrial magistrate.</w:t>
      </w:r>
    </w:p>
    <w:p>
      <w:pPr>
        <w:pStyle w:val="Subsection"/>
        <w:rPr>
          <w:snapToGrid w:val="0"/>
        </w:rPr>
      </w:pPr>
      <w:r>
        <w:rPr>
          <w:snapToGrid w:val="0"/>
        </w:rPr>
        <w:tab/>
        <w:t>(5)</w:t>
      </w:r>
      <w:r>
        <w:rPr>
          <w:snapToGrid w:val="0"/>
        </w:rPr>
        <w:tab/>
        <w:t>If an industrial magistrate’s court constituted by an industrial magistrate or acting industrial magistrate has not completed the hearing and determination of any application when the magistrate ceases to be an industrial magistrate or acting industrial magistrate, as the case requires, the magistrate is, despite the cessation, taken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Magistrates Court.</w:t>
      </w:r>
    </w:p>
    <w:p>
      <w:pPr>
        <w:pStyle w:val="Footnotesection"/>
      </w:pPr>
      <w:r>
        <w:tab/>
        <w:t>[Section 81B inserted: No. 44 of 1991 s. 6; amended: No. 59 of 2004 s. 112; No. 39 of 2018 s. 56; No. 30 of 2021 s. 43, 76(3) and (8), 77(13) and 78(7).]</w:t>
      </w:r>
    </w:p>
    <w:p>
      <w:pPr>
        <w:pStyle w:val="Heading5"/>
        <w:rPr>
          <w:snapToGrid w:val="0"/>
        </w:rPr>
      </w:pPr>
      <w:bookmarkStart w:id="728" w:name="_Toc107476563"/>
      <w:bookmarkStart w:id="729" w:name="_Toc106374097"/>
      <w:r>
        <w:rPr>
          <w:rStyle w:val="CharSectno"/>
        </w:rPr>
        <w:t>81C</w:t>
      </w:r>
      <w:r>
        <w:rPr>
          <w:snapToGrid w:val="0"/>
        </w:rPr>
        <w:t>.</w:t>
      </w:r>
      <w:r>
        <w:rPr>
          <w:snapToGrid w:val="0"/>
        </w:rPr>
        <w:tab/>
        <w:t>Sittings of industrial magistrate’s courts</w:t>
      </w:r>
      <w:bookmarkEnd w:id="728"/>
      <w:bookmarkEnd w:id="729"/>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keepNext/>
        <w:rPr>
          <w:snapToGrid w:val="0"/>
        </w:rPr>
      </w:pPr>
      <w:r>
        <w:rPr>
          <w:snapToGrid w:val="0"/>
        </w:rPr>
        <w:tab/>
        <w:t>(2)</w:t>
      </w:r>
      <w:r>
        <w:rPr>
          <w:snapToGrid w:val="0"/>
        </w:rPr>
        <w:tab/>
        <w:t>Notice of the time when an industrial magistrate’s court will sit must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No. 44 of 1991 s. 6; amended: No. 30 of 2021 s. 76(2).]</w:t>
      </w:r>
    </w:p>
    <w:p>
      <w:pPr>
        <w:pStyle w:val="Heading5"/>
        <w:rPr>
          <w:snapToGrid w:val="0"/>
        </w:rPr>
      </w:pPr>
      <w:bookmarkStart w:id="730" w:name="_Toc107476564"/>
      <w:bookmarkStart w:id="731" w:name="_Toc106374098"/>
      <w:r>
        <w:rPr>
          <w:rStyle w:val="CharSectno"/>
        </w:rPr>
        <w:t>81CA</w:t>
      </w:r>
      <w:r>
        <w:rPr>
          <w:snapToGrid w:val="0"/>
        </w:rPr>
        <w:t>.</w:t>
      </w:r>
      <w:r>
        <w:rPr>
          <w:snapToGrid w:val="0"/>
        </w:rPr>
        <w:tab/>
        <w:t>Procedure etc. of industrial magistrate’s courts</w:t>
      </w:r>
      <w:bookmarkEnd w:id="730"/>
      <w:bookmarkEnd w:id="731"/>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the LSL Act Part IV; or</w:t>
      </w:r>
    </w:p>
    <w:p>
      <w:pPr>
        <w:pStyle w:val="Defpara"/>
      </w:pPr>
      <w:r>
        <w:tab/>
        <w:t>(c)</w:t>
      </w:r>
      <w:r>
        <w:tab/>
        <w:t xml:space="preserve">the </w:t>
      </w:r>
      <w:r>
        <w:rPr>
          <w:i/>
        </w:rPr>
        <w:t>Construction Industry Portable Paid Long Service Leave Act 1985</w:t>
      </w:r>
      <w:r>
        <w:t xml:space="preserve"> section 53;</w:t>
      </w:r>
    </w:p>
    <w:p>
      <w:pPr>
        <w:pStyle w:val="Defstart"/>
        <w:keepNext/>
      </w:pPr>
      <w:r>
        <w:rPr>
          <w:b/>
        </w:rPr>
        <w:tab/>
      </w:r>
      <w:r>
        <w:rPr>
          <w:rStyle w:val="CharDefText"/>
        </w:rPr>
        <w:t>prosecution jurisdiction</w:t>
      </w:r>
      <w:r>
        <w:t xml:space="preserve"> means the jurisdiction of an industrial magistrate’s court under —</w:t>
      </w:r>
    </w:p>
    <w:p>
      <w:pPr>
        <w:pStyle w:val="Defpara"/>
        <w:keepNext/>
      </w:pPr>
      <w:r>
        <w:tab/>
        <w:t>(a)</w:t>
      </w:r>
      <w:r>
        <w:tab/>
        <w:t>section 83D; or</w:t>
      </w:r>
    </w:p>
    <w:p>
      <w:pPr>
        <w:pStyle w:val="Ednotedefpara"/>
        <w:keepNext/>
      </w:pPr>
      <w:r>
        <w:tab/>
        <w:t>[(b), (c)</w:t>
      </w:r>
      <w:r>
        <w:tab/>
        <w:t>deleted]</w:t>
      </w:r>
    </w:p>
    <w:p>
      <w:pPr>
        <w:pStyle w:val="Defpara"/>
      </w:pPr>
      <w:r>
        <w:tab/>
        <w:t>(d)</w:t>
      </w:r>
      <w:r>
        <w:tab/>
        <w:t xml:space="preserve">section 196(2) of the </w:t>
      </w:r>
      <w:r>
        <w:rPr>
          <w:i/>
        </w:rPr>
        <w:t>Children and Community Services Act 2004</w:t>
      </w:r>
      <w:r>
        <w:t>.</w:t>
      </w:r>
    </w:p>
    <w:p>
      <w:pPr>
        <w:pStyle w:val="Ednotesubsection"/>
      </w:pPr>
      <w:r>
        <w:tab/>
        <w:t>[(2)-(4)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is taken to have been done within its jurisdiction.</w:t>
      </w:r>
    </w:p>
    <w:p>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 No. 30 of 2021 s. 44, 75(1) and 76(3).]</w:t>
      </w:r>
    </w:p>
    <w:p>
      <w:pPr>
        <w:pStyle w:val="Heading5"/>
      </w:pPr>
      <w:bookmarkStart w:id="732" w:name="_Toc107476565"/>
      <w:bookmarkStart w:id="733" w:name="_Toc106374099"/>
      <w:r>
        <w:rPr>
          <w:rStyle w:val="CharSectno"/>
        </w:rPr>
        <w:t>81CB</w:t>
      </w:r>
      <w:r>
        <w:t>.</w:t>
      </w:r>
      <w:r>
        <w:tab/>
        <w:t>Industrial magistrate’s court judgments, enforcement of</w:t>
      </w:r>
      <w:bookmarkEnd w:id="732"/>
      <w:bookmarkEnd w:id="733"/>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No. 5 of 2008 s. 62.]</w:t>
      </w:r>
    </w:p>
    <w:p>
      <w:pPr>
        <w:pStyle w:val="Heading5"/>
        <w:rPr>
          <w:snapToGrid w:val="0"/>
        </w:rPr>
      </w:pPr>
      <w:bookmarkStart w:id="734" w:name="_Toc107476566"/>
      <w:bookmarkStart w:id="735" w:name="_Toc106374100"/>
      <w:r>
        <w:rPr>
          <w:rStyle w:val="CharSectno"/>
        </w:rPr>
        <w:t>81D</w:t>
      </w:r>
      <w:r>
        <w:rPr>
          <w:snapToGrid w:val="0"/>
        </w:rPr>
        <w:t xml:space="preserve">. </w:t>
      </w:r>
      <w:r>
        <w:rPr>
          <w:snapToGrid w:val="0"/>
        </w:rPr>
        <w:tab/>
        <w:t>Clerks of industrial magistrate’s courts</w:t>
      </w:r>
      <w:bookmarkEnd w:id="734"/>
      <w:bookmarkEnd w:id="735"/>
    </w:p>
    <w:p>
      <w:pPr>
        <w:pStyle w:val="Subsection"/>
        <w:rPr>
          <w:snapToGrid w:val="0"/>
        </w:rPr>
      </w:pPr>
      <w:r>
        <w:rPr>
          <w:snapToGrid w:val="0"/>
        </w:rPr>
        <w:tab/>
        <w:t>(1)</w:t>
      </w:r>
      <w:r>
        <w:rPr>
          <w:snapToGrid w:val="0"/>
        </w:rPr>
        <w:tab/>
        <w:t>Each industrial magistrate’s court must have a clerk, who is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[Section 81D inserted: No. 44 of 1991 s. 6; amended: No. 15 of 1993 s. 25; No. 79 of 1995 s. 22; No. 59 of 2004 s. 109; No. 84 of 2004 s. 78; No. 30 of 2021 s. 76(2) and (3).]</w:t>
      </w:r>
    </w:p>
    <w:p>
      <w:pPr>
        <w:pStyle w:val="Heading5"/>
      </w:pPr>
      <w:bookmarkStart w:id="736" w:name="_Toc107476567"/>
      <w:bookmarkStart w:id="737" w:name="_Toc106374101"/>
      <w:r>
        <w:rPr>
          <w:rStyle w:val="CharSectno"/>
        </w:rPr>
        <w:t>81E</w:t>
      </w:r>
      <w:r>
        <w:t>.</w:t>
      </w:r>
      <w:r>
        <w:tab/>
        <w:t>Representation of parties in industrial magistrate’s court</w:t>
      </w:r>
      <w:bookmarkEnd w:id="736"/>
      <w:bookmarkEnd w:id="737"/>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No. 79 of 1995 s. 15.]</w:t>
      </w:r>
    </w:p>
    <w:p>
      <w:pPr>
        <w:pStyle w:val="Heading5"/>
      </w:pPr>
      <w:bookmarkStart w:id="738" w:name="_Toc107476568"/>
      <w:bookmarkStart w:id="739" w:name="_Toc106374102"/>
      <w:r>
        <w:rPr>
          <w:rStyle w:val="CharSectno"/>
        </w:rPr>
        <w:t>81F</w:t>
      </w:r>
      <w:r>
        <w:t>.</w:t>
      </w:r>
      <w:r>
        <w:tab/>
        <w:t>Industrial magistrate’s court records, access to</w:t>
      </w:r>
      <w:bookmarkEnd w:id="738"/>
      <w:bookmarkEnd w:id="739"/>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No. 59 of 2004 s. 110.]</w:t>
      </w:r>
    </w:p>
    <w:p>
      <w:pPr>
        <w:pStyle w:val="Heading5"/>
      </w:pPr>
      <w:bookmarkStart w:id="740" w:name="_Toc107476569"/>
      <w:bookmarkStart w:id="741" w:name="_Toc90558287"/>
      <w:bookmarkStart w:id="742" w:name="_Toc95209368"/>
      <w:bookmarkStart w:id="743" w:name="_Toc106374103"/>
      <w:r>
        <w:rPr>
          <w:rStyle w:val="CharSectno"/>
        </w:rPr>
        <w:t>81G</w:t>
      </w:r>
      <w:r>
        <w:t>.</w:t>
      </w:r>
      <w:r>
        <w:tab/>
        <w:t>Industrial inspectors may assist industrial magistrate’s court</w:t>
      </w:r>
      <w:bookmarkEnd w:id="740"/>
      <w:bookmarkEnd w:id="741"/>
      <w:bookmarkEnd w:id="742"/>
      <w:bookmarkEnd w:id="743"/>
    </w:p>
    <w:p>
      <w:pPr>
        <w:pStyle w:val="Subsection"/>
      </w:pPr>
      <w:r>
        <w:tab/>
        <w:t>(1)</w:t>
      </w:r>
      <w:r>
        <w:tab/>
        <w:t>An industrial inspector may, with the leave of the industrial magistrate’s court, assist the court.</w:t>
      </w:r>
    </w:p>
    <w:p>
      <w:pPr>
        <w:pStyle w:val="Subsection"/>
      </w:pPr>
      <w:r>
        <w:tab/>
        <w:t>(2)</w:t>
      </w:r>
      <w:r>
        <w:tab/>
        <w:t xml:space="preserve">The industrial magistrate’s court may grant the leave in respect of — </w:t>
      </w:r>
    </w:p>
    <w:p>
      <w:pPr>
        <w:pStyle w:val="Indenta"/>
      </w:pPr>
      <w:r>
        <w:tab/>
        <w:t>(a)</w:t>
      </w:r>
      <w:r>
        <w:tab/>
        <w:t>proceedings that, in the opinion of the court, have significant implications for the administration of this Act, the LSL Act or the MCE Act; or</w:t>
      </w:r>
    </w:p>
    <w:p>
      <w:pPr>
        <w:pStyle w:val="Indenta"/>
      </w:pPr>
      <w:r>
        <w:tab/>
        <w:t>(b)</w:t>
      </w:r>
      <w:r>
        <w:tab/>
        <w:t>proceedings that involve special circumstances that satisfy the court that it would be in the public interest for the industrial inspector to assist the court.</w:t>
      </w:r>
    </w:p>
    <w:p>
      <w:pPr>
        <w:pStyle w:val="Footnotesection"/>
      </w:pPr>
      <w:r>
        <w:tab/>
        <w:t>[Section 81G inserted: No. 30 of 2021 s. 45.]</w:t>
      </w:r>
    </w:p>
    <w:p>
      <w:pPr>
        <w:pStyle w:val="Heading3"/>
      </w:pPr>
      <w:bookmarkStart w:id="744" w:name="_Toc107322441"/>
      <w:bookmarkStart w:id="745" w:name="_Toc107476570"/>
      <w:bookmarkStart w:id="746" w:name="_Toc84926116"/>
      <w:bookmarkStart w:id="747" w:name="_Toc84927532"/>
      <w:bookmarkStart w:id="748" w:name="_Toc84935512"/>
      <w:bookmarkStart w:id="749" w:name="_Toc85533309"/>
      <w:bookmarkStart w:id="750" w:name="_Toc85543925"/>
      <w:bookmarkStart w:id="751" w:name="_Toc90551718"/>
      <w:bookmarkStart w:id="752" w:name="_Toc90553686"/>
      <w:bookmarkStart w:id="753" w:name="_Toc90558289"/>
      <w:bookmarkStart w:id="754" w:name="_Toc91144531"/>
      <w:bookmarkStart w:id="755" w:name="_Toc95209370"/>
      <w:bookmarkStart w:id="756" w:name="_Toc106195430"/>
      <w:bookmarkStart w:id="757" w:name="_Toc106367373"/>
      <w:bookmarkStart w:id="758" w:name="_Toc106374104"/>
      <w:r>
        <w:rPr>
          <w:rStyle w:val="CharDivNo"/>
        </w:rPr>
        <w:t>Division 2</w:t>
      </w:r>
      <w:r>
        <w:t> — </w:t>
      </w:r>
      <w:r>
        <w:rPr>
          <w:rStyle w:val="CharDivText"/>
        </w:rPr>
        <w:t>Enforcement generally</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pPr>
        <w:pStyle w:val="Footnoteheading"/>
        <w:keepNext/>
        <w:keepLines/>
      </w:pPr>
      <w:r>
        <w:tab/>
        <w:t>[Heading inserted: No. 30 of 2021 s. 46.]</w:t>
      </w:r>
    </w:p>
    <w:p>
      <w:pPr>
        <w:pStyle w:val="Heading5"/>
        <w:rPr>
          <w:snapToGrid w:val="0"/>
        </w:rPr>
      </w:pPr>
      <w:bookmarkStart w:id="759" w:name="_Toc107476571"/>
      <w:bookmarkStart w:id="760" w:name="_Toc106374105"/>
      <w:r>
        <w:rPr>
          <w:rStyle w:val="CharSectno"/>
        </w:rPr>
        <w:t>82</w:t>
      </w:r>
      <w:r>
        <w:rPr>
          <w:snapToGrid w:val="0"/>
        </w:rPr>
        <w:t>.</w:t>
      </w:r>
      <w:r>
        <w:rPr>
          <w:snapToGrid w:val="0"/>
        </w:rPr>
        <w:tab/>
        <w:t>Jurisdiction of Full Bench</w:t>
      </w:r>
      <w:bookmarkEnd w:id="759"/>
      <w:bookmarkEnd w:id="760"/>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must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No. 44 of 1991 s. 6; amended: No. 20 of 2002 s. 154; No. 30 of 2021 s. 76(2).]</w:t>
      </w:r>
    </w:p>
    <w:p>
      <w:pPr>
        <w:pStyle w:val="Heading5"/>
        <w:rPr>
          <w:snapToGrid w:val="0"/>
        </w:rPr>
      </w:pPr>
      <w:bookmarkStart w:id="761" w:name="_Toc107476572"/>
      <w:bookmarkStart w:id="762" w:name="_Toc106374106"/>
      <w:r>
        <w:rPr>
          <w:rStyle w:val="CharSectno"/>
        </w:rPr>
        <w:t>82A</w:t>
      </w:r>
      <w:r>
        <w:rPr>
          <w:snapToGrid w:val="0"/>
        </w:rPr>
        <w:t>.</w:t>
      </w:r>
      <w:r>
        <w:rPr>
          <w:snapToGrid w:val="0"/>
        </w:rPr>
        <w:tab/>
        <w:t>Time limit for certain applications</w:t>
      </w:r>
      <w:bookmarkEnd w:id="761"/>
      <w:bookmarkEnd w:id="762"/>
    </w:p>
    <w:p>
      <w:pPr>
        <w:pStyle w:val="Subsection"/>
        <w:rPr>
          <w:snapToGrid w:val="0"/>
        </w:rPr>
      </w:pPr>
      <w:r>
        <w:rPr>
          <w:snapToGrid w:val="0"/>
        </w:rPr>
        <w:tab/>
      </w:r>
      <w:r>
        <w:rPr>
          <w:snapToGrid w:val="0"/>
        </w:rPr>
        <w:tab/>
        <w:t>An application under section 77, 83, 83B, 83E or 84A must be made within 6 years from the time of the alleged contravention or failure to comply.</w:t>
      </w:r>
    </w:p>
    <w:p>
      <w:pPr>
        <w:pStyle w:val="Footnotesection"/>
      </w:pPr>
      <w:r>
        <w:tab/>
        <w:t>[Section 82A inserted: No. 94 of 1984 s. 50; amended: No. 79 of 1995 s. 23; No. 20 of 2002 s. 160(3); No. 30 of 2021 s. 76(2).]</w:t>
      </w:r>
    </w:p>
    <w:p>
      <w:pPr>
        <w:pStyle w:val="Heading5"/>
      </w:pPr>
      <w:bookmarkStart w:id="763" w:name="_Toc107476573"/>
      <w:bookmarkStart w:id="764" w:name="_Toc106374107"/>
      <w:r>
        <w:rPr>
          <w:rStyle w:val="CharSectno"/>
        </w:rPr>
        <w:t>83</w:t>
      </w:r>
      <w:r>
        <w:t>.</w:t>
      </w:r>
      <w:r>
        <w:tab/>
        <w:t>Enforcing awards etc.</w:t>
      </w:r>
      <w:bookmarkEnd w:id="763"/>
      <w:bookmarkEnd w:id="764"/>
    </w:p>
    <w:p>
      <w:pPr>
        <w:pStyle w:val="Subsection"/>
      </w:pPr>
      <w:r>
        <w:tab/>
        <w:t>(1A)</w:t>
      </w:r>
      <w:r>
        <w:tab/>
        <w:t>In this section —</w:t>
      </w:r>
    </w:p>
    <w:p>
      <w:pPr>
        <w:pStyle w:val="Defstart"/>
      </w:pPr>
      <w:r>
        <w:tab/>
      </w:r>
      <w:r>
        <w:rPr>
          <w:rStyle w:val="CharDefText"/>
        </w:rPr>
        <w:t>contravene</w:t>
      </w:r>
      <w:r>
        <w:t>, in relation to an entitlement provision, includes fail to comply with that provision.</w:t>
      </w:r>
    </w:p>
    <w:p>
      <w:pPr>
        <w:pStyle w:val="Subsection"/>
      </w:pPr>
      <w:r>
        <w:tab/>
        <w:t>(1)</w:t>
      </w:r>
      <w:r>
        <w:tab/>
        <w:t>Subject to this Act, if a person contravenes an entitlement provision,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 xml:space="preserve">a person — </w:t>
      </w:r>
    </w:p>
    <w:p>
      <w:pPr>
        <w:pStyle w:val="Indenti"/>
      </w:pPr>
      <w:r>
        <w:tab/>
        <w:t>(i)</w:t>
      </w:r>
      <w:r>
        <w:tab/>
        <w:t>who is a party to the award, agreement or order or to whom the award, agreement or order applies; or</w:t>
      </w:r>
    </w:p>
    <w:p>
      <w:pPr>
        <w:pStyle w:val="Indenti"/>
      </w:pPr>
      <w:r>
        <w:tab/>
        <w:t>(ii)</w:t>
      </w:r>
      <w:r>
        <w:tab/>
        <w:t>to whom the entitlement provision applies under the LSL Act or MCE Act;</w:t>
      </w:r>
    </w:p>
    <w:p>
      <w:pPr>
        <w:pStyle w:val="Indenta"/>
      </w:pPr>
      <w:r>
        <w:tab/>
        <w:t>(f)</w:t>
      </w:r>
      <w:r>
        <w:tab/>
        <w:t>if an employee under an employer</w:t>
      </w:r>
      <w:r>
        <w:noBreakHyphen/>
        <w:t>employee agreement is a represented person, a representative acting on the employee’s behalf.</w:t>
      </w:r>
    </w:p>
    <w:p>
      <w:pPr>
        <w:pStyle w:val="Subsection"/>
      </w:pPr>
      <w:r>
        <w:tab/>
        <w:t>(2)</w:t>
      </w:r>
      <w:r>
        <w:tab/>
        <w:t>A person who is involved in a contravention of an entitlement provision is taken to contravene that provision.</w:t>
      </w:r>
    </w:p>
    <w:p>
      <w:pPr>
        <w:pStyle w:val="Subsection"/>
      </w:pPr>
      <w:r>
        <w:tab/>
        <w:t>(2A)</w:t>
      </w:r>
      <w:r>
        <w:tab/>
        <w:t xml:space="preserve">A person is </w:t>
      </w:r>
      <w:r>
        <w:rPr>
          <w:rStyle w:val="CharDefText"/>
        </w:rPr>
        <w:t>involved in</w:t>
      </w:r>
      <w:r>
        <w:t xml:space="preserve"> a contravention of an entitlement provision if, and only if, the person — </w:t>
      </w:r>
    </w:p>
    <w:p>
      <w:pPr>
        <w:pStyle w:val="Indenta"/>
      </w:pPr>
      <w:r>
        <w:tab/>
        <w:t>(a)</w:t>
      </w:r>
      <w:r>
        <w:tab/>
        <w:t>aids, abets, counsels or procures the contravention; or</w:t>
      </w:r>
    </w:p>
    <w:p>
      <w:pPr>
        <w:pStyle w:val="Indenta"/>
      </w:pPr>
      <w:r>
        <w:tab/>
        <w:t>(b)</w:t>
      </w:r>
      <w:r>
        <w:tab/>
        <w:t>induces the contravention, whether by threats or promises or otherwise; or</w:t>
      </w:r>
    </w:p>
    <w:p>
      <w:pPr>
        <w:pStyle w:val="Indenta"/>
      </w:pPr>
      <w:r>
        <w:tab/>
        <w:t>(c)</w:t>
      </w:r>
      <w:r>
        <w:tab/>
        <w:t>is in any way, by act or omission, directly or indirectly, knowingly concerned in or party to the contravention; or</w:t>
      </w:r>
    </w:p>
    <w:p>
      <w:pPr>
        <w:pStyle w:val="Indenta"/>
      </w:pPr>
      <w:r>
        <w:tab/>
        <w:t>(d)</w:t>
      </w:r>
      <w:r>
        <w:tab/>
        <w:t>conspires with others to effect the contravention.</w:t>
      </w:r>
    </w:p>
    <w:p>
      <w:pPr>
        <w:pStyle w:val="Subsection"/>
      </w:pPr>
      <w:r>
        <w:tab/>
        <w:t>(3)</w:t>
      </w:r>
      <w:r>
        <w:tab/>
        <w:t>An application for the enforcement of an entitlement provision must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is proved —</w:t>
      </w:r>
    </w:p>
    <w:p>
      <w:pPr>
        <w:pStyle w:val="Indenti"/>
      </w:pPr>
      <w:r>
        <w:tab/>
        <w:t>(i)</w:t>
      </w:r>
      <w:r>
        <w:tab/>
        <w:t>issue a caution; or</w:t>
      </w:r>
    </w:p>
    <w:p>
      <w:pPr>
        <w:pStyle w:val="Indenti"/>
      </w:pPr>
      <w:r>
        <w:tab/>
        <w:t>(ii)</w:t>
      </w:r>
      <w:r>
        <w:tab/>
        <w:t>impose a pecuniary penalty in accordance with subsection (4A);</w:t>
      </w:r>
    </w:p>
    <w:p>
      <w:pPr>
        <w:pStyle w:val="Indenta"/>
      </w:pPr>
      <w:r>
        <w:tab/>
      </w:r>
      <w:r>
        <w:tab/>
        <w:t>or</w:t>
      </w:r>
    </w:p>
    <w:p>
      <w:pPr>
        <w:pStyle w:val="Indenta"/>
      </w:pPr>
      <w:r>
        <w:tab/>
        <w:t>(b)</w:t>
      </w:r>
      <w:r>
        <w:tab/>
        <w:t>dismiss the application.</w:t>
      </w:r>
    </w:p>
    <w:p>
      <w:pPr>
        <w:pStyle w:val="Subsection"/>
      </w:pPr>
      <w:r>
        <w:tab/>
        <w:t>(4A)</w:t>
      </w:r>
      <w:r>
        <w:tab/>
        <w:t xml:space="preserve">The pecuniary penalty may be an amount not exceeding — </w:t>
      </w:r>
    </w:p>
    <w:p>
      <w:pPr>
        <w:pStyle w:val="Indenta"/>
      </w:pPr>
      <w:r>
        <w:tab/>
        <w:t>(a)</w:t>
      </w:r>
      <w:r>
        <w:tab/>
        <w:t xml:space="preserve">in the case of a body corporate — </w:t>
      </w:r>
    </w:p>
    <w:p>
      <w:pPr>
        <w:pStyle w:val="Indenti"/>
      </w:pPr>
      <w:r>
        <w:tab/>
        <w:t>(i)</w:t>
      </w:r>
      <w:r>
        <w:tab/>
        <w:t>if the contravention is a serious contravention — $650 000; or</w:t>
      </w:r>
    </w:p>
    <w:p>
      <w:pPr>
        <w:pStyle w:val="Indenti"/>
      </w:pPr>
      <w:r>
        <w:tab/>
        <w:t>(ii)</w:t>
      </w:r>
      <w:r>
        <w:tab/>
        <w:t>if the contravention is not a serious contravention — $65 000;</w:t>
      </w:r>
    </w:p>
    <w:p>
      <w:pPr>
        <w:pStyle w:val="Indenta"/>
      </w:pPr>
      <w:r>
        <w:tab/>
      </w:r>
      <w:r>
        <w:tab/>
        <w:t>and</w:t>
      </w:r>
    </w:p>
    <w:p>
      <w:pPr>
        <w:pStyle w:val="Indenta"/>
      </w:pPr>
      <w:r>
        <w:tab/>
        <w:t>(b)</w:t>
      </w:r>
      <w:r>
        <w:tab/>
        <w:t xml:space="preserve">in the case of an individual — </w:t>
      </w:r>
    </w:p>
    <w:p>
      <w:pPr>
        <w:pStyle w:val="Indenti"/>
      </w:pPr>
      <w:r>
        <w:tab/>
        <w:t>(i)</w:t>
      </w:r>
      <w:r>
        <w:tab/>
        <w:t>if the contravention is a serious contravention — $130 000; or</w:t>
      </w:r>
    </w:p>
    <w:p>
      <w:pPr>
        <w:pStyle w:val="Indenti"/>
      </w:pPr>
      <w:r>
        <w:tab/>
        <w:t>(ii)</w:t>
      </w:r>
      <w:r>
        <w:tab/>
        <w:t>if the contravention is not a serious contravention — $13 000.</w:t>
      </w:r>
    </w:p>
    <w:p>
      <w:pPr>
        <w:pStyle w:val="Subsection"/>
      </w:pPr>
      <w:r>
        <w:tab/>
        <w:t>(5)</w:t>
      </w:r>
      <w:r>
        <w:tab/>
        <w:t>If a contravention of an entitlement provision is proved against a person as mentioned in subsection (4) the industrial magistrate’s court may, in addition to imposing a penalty under that subsection, make an order against the person for the purpose of preventing any further contravention of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must comply with an order made against the person under subsection (5).</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Subsection"/>
      </w:pPr>
      <w:r>
        <w:tab/>
        <w:t>(9)</w:t>
      </w:r>
      <w:r>
        <w:tab/>
        <w:t>A contravention of an entitlement provision is not an offence and section 83E(8) applies to the contravention as if it were a contravention of a civil penalty provision.</w:t>
      </w:r>
    </w:p>
    <w:p>
      <w:pPr>
        <w:pStyle w:val="Footnotesection"/>
        <w:spacing w:before="140"/>
        <w:ind w:left="890" w:hanging="890"/>
      </w:pPr>
      <w:r>
        <w:tab/>
        <w:t>[Section 83 inserted: No. 20 of 2002 s. 155(1); amended: No. 30 of 2021 s. 47, 76(2) and 77(7) and (11).]</w:t>
      </w:r>
    </w:p>
    <w:p>
      <w:pPr>
        <w:pStyle w:val="Heading5"/>
      </w:pPr>
      <w:bookmarkStart w:id="765" w:name="_Toc107476574"/>
      <w:bookmarkStart w:id="766" w:name="_Toc106374108"/>
      <w:r>
        <w:rPr>
          <w:rStyle w:val="CharSectno"/>
        </w:rPr>
        <w:t>83A</w:t>
      </w:r>
      <w:r>
        <w:t>.</w:t>
      </w:r>
      <w:r>
        <w:tab/>
        <w:t>Underpayment of employee, orders to remedy</w:t>
      </w:r>
      <w:bookmarkEnd w:id="765"/>
      <w:bookmarkEnd w:id="766"/>
    </w:p>
    <w:p>
      <w:pPr>
        <w:pStyle w:val="Subsection"/>
      </w:pPr>
      <w:r>
        <w:tab/>
        <w:t>(1)</w:t>
      </w:r>
      <w:r>
        <w:tab/>
        <w:t>Where in any proceedings brought under section 83(1) against a person it appears to the industrial magistrate’s court that an employee has not been paid the amount which the employee was entitled to be paid under an entitlement provision, the industrial magistrate’s court must, subject to subsection (2), order that person to pay to that employee the amount by which the employee has been underpaid.</w:t>
      </w:r>
    </w:p>
    <w:p>
      <w:pPr>
        <w:pStyle w:val="Subsection"/>
        <w:keepNext/>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person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person’s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is taken to be a penalty imposed under this Act and may be recovered accordingly, but on recovery must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No. 20 of 2002 s. 155(1); amended: No. 30 of 2021 s. 48 and 76(2) and (3).]</w:t>
      </w:r>
    </w:p>
    <w:p>
      <w:pPr>
        <w:pStyle w:val="Heading5"/>
      </w:pPr>
      <w:bookmarkStart w:id="767" w:name="_Toc107476575"/>
      <w:bookmarkStart w:id="768" w:name="_Toc106374109"/>
      <w:r>
        <w:rPr>
          <w:rStyle w:val="CharSectno"/>
        </w:rPr>
        <w:t>83B</w:t>
      </w:r>
      <w:r>
        <w:t>.</w:t>
      </w:r>
      <w:r>
        <w:tab/>
        <w:t>Unfair dismissal, enforcing s. 23A order as to</w:t>
      </w:r>
      <w:bookmarkEnd w:id="767"/>
      <w:bookmarkEnd w:id="768"/>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of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of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$13 000;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of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must,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must comply with an order made against that person under subsection (3)(a) or (4)(a).</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Footnotesection"/>
      </w:pPr>
      <w:r>
        <w:tab/>
        <w:t>[Section 83B inserted: No. 20 of 2002 s. 155(1); amended: No. 30 of 2021 s. 49 and 76(2).]</w:t>
      </w:r>
    </w:p>
    <w:p>
      <w:pPr>
        <w:pStyle w:val="Heading5"/>
        <w:spacing w:before="240"/>
      </w:pPr>
      <w:bookmarkStart w:id="769" w:name="_Toc107476576"/>
      <w:bookmarkStart w:id="770" w:name="_Toc106374110"/>
      <w:r>
        <w:rPr>
          <w:rStyle w:val="CharSectno"/>
        </w:rPr>
        <w:t>83C</w:t>
      </w:r>
      <w:r>
        <w:t>.</w:t>
      </w:r>
      <w:r>
        <w:tab/>
        <w:t>Costs of enforcement orders under s. 83, 83A and 83B</w:t>
      </w:r>
      <w:bookmarkEnd w:id="769"/>
      <w:bookmarkEnd w:id="770"/>
    </w:p>
    <w:p>
      <w:pPr>
        <w:pStyle w:val="Subsection"/>
        <w:spacing w:before="140"/>
      </w:pPr>
      <w:r>
        <w:tab/>
        <w:t>(1)</w:t>
      </w:r>
      <w:r>
        <w:tab/>
        <w:t>Subject to subsection (2), an order under section 83, 83A or 83B may be made in any case with or without costs, but in no case can any costs be given against the Registrar, a deputy registrar, or an industrial inspector.</w:t>
      </w:r>
    </w:p>
    <w:p>
      <w:pPr>
        <w:pStyle w:val="Subsection"/>
      </w:pPr>
      <w:r>
        <w:tab/>
        <w:t>(2)</w:t>
      </w:r>
      <w:r>
        <w:tab/>
        <w:t xml:space="preserve">In proceedings under section 83 or 83B costs must not be given to any party to the proceedings for the services of a legal practitioner or agent of that party unless — </w:t>
      </w:r>
    </w:p>
    <w:p>
      <w:pPr>
        <w:pStyle w:val="Indenta"/>
      </w:pPr>
      <w:r>
        <w:tab/>
        <w:t>(a)</w:t>
      </w:r>
      <w:r>
        <w:tab/>
        <w:t>the industrial magistrate’s court finds that the other party has committed a serious contravention; or</w:t>
      </w:r>
    </w:p>
    <w:p>
      <w:pPr>
        <w:pStyle w:val="Indenta"/>
      </w:pPr>
      <w:r>
        <w:tab/>
        <w:t>(b)</w:t>
      </w:r>
      <w:r>
        <w:tab/>
        <w:t>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No. 20 of 2002 s. 155(1); amended: No. 30 of 2021 s. 50 and 76(6).]</w:t>
      </w:r>
    </w:p>
    <w:p>
      <w:pPr>
        <w:pStyle w:val="Heading5"/>
        <w:rPr>
          <w:snapToGrid w:val="0"/>
        </w:rPr>
      </w:pPr>
      <w:bookmarkStart w:id="771" w:name="_Toc107476577"/>
      <w:bookmarkStart w:id="772" w:name="_Toc106374111"/>
      <w:r>
        <w:rPr>
          <w:rStyle w:val="CharSectno"/>
        </w:rPr>
        <w:t>83D</w:t>
      </w:r>
      <w:r>
        <w:rPr>
          <w:snapToGrid w:val="0"/>
        </w:rPr>
        <w:t>.</w:t>
      </w:r>
      <w:r>
        <w:rPr>
          <w:snapToGrid w:val="0"/>
        </w:rPr>
        <w:tab/>
        <w:t>Offences under this Act, jurisdiction as to</w:t>
      </w:r>
      <w:bookmarkEnd w:id="771"/>
      <w:bookmarkEnd w:id="772"/>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cannot be exercised by any other court.</w:t>
      </w:r>
    </w:p>
    <w:p>
      <w:pPr>
        <w:pStyle w:val="Footnotesection"/>
        <w:spacing w:before="100"/>
        <w:ind w:left="890" w:hanging="890"/>
      </w:pPr>
      <w:r>
        <w:tab/>
        <w:t>[Section 83D inserted as section 83A: No. 79 of 1995 s. 25; renumbered as section 83D: No. 20 of 2002 s. 156; amended: No. 59 of 2004 s. 112; No. 84 of 2004 s. 78 and 80; No. 5 of 2008 s. 63; No. 30 of 2021 s. 76(5).]</w:t>
      </w:r>
    </w:p>
    <w:p>
      <w:pPr>
        <w:pStyle w:val="Heading5"/>
      </w:pPr>
      <w:bookmarkStart w:id="773" w:name="_Toc107476578"/>
      <w:bookmarkStart w:id="774" w:name="_Toc106374112"/>
      <w:r>
        <w:rPr>
          <w:rStyle w:val="CharSectno"/>
        </w:rPr>
        <w:t>83E</w:t>
      </w:r>
      <w:r>
        <w:t>.</w:t>
      </w:r>
      <w:r>
        <w:tab/>
        <w:t>Civil penalty provision, proceedings for contravening</w:t>
      </w:r>
      <w:bookmarkEnd w:id="773"/>
      <w:bookmarkEnd w:id="774"/>
    </w:p>
    <w:p>
      <w:pPr>
        <w:pStyle w:val="Subsection"/>
      </w:pPr>
      <w:r>
        <w:tab/>
        <w:t>(1)</w:t>
      </w:r>
      <w:r>
        <w:tab/>
        <w:t>If a person contravenes a civil penalty provision, the industrial magistrate’s court may, on an application to the court, make an order imposing a pecuniary penalty on the person, not exceeding —</w:t>
      </w:r>
    </w:p>
    <w:p>
      <w:pPr>
        <w:pStyle w:val="Indenta"/>
      </w:pPr>
      <w:r>
        <w:tab/>
        <w:t>(a)</w:t>
      </w:r>
      <w:r>
        <w:tab/>
        <w:t xml:space="preserve">in the case of a body corporate — </w:t>
      </w:r>
    </w:p>
    <w:p>
      <w:pPr>
        <w:pStyle w:val="Indenti"/>
      </w:pPr>
      <w:r>
        <w:tab/>
        <w:t>(i)</w:t>
      </w:r>
      <w:r>
        <w:tab/>
        <w:t>if the contravention is a serious contravention — $650 000; or</w:t>
      </w:r>
    </w:p>
    <w:p>
      <w:pPr>
        <w:pStyle w:val="Indenti"/>
      </w:pPr>
      <w:r>
        <w:tab/>
        <w:t>(ii)</w:t>
      </w:r>
      <w:r>
        <w:tab/>
        <w:t>if the contravention is not a serious contravention — $65 000;</w:t>
      </w:r>
    </w:p>
    <w:p>
      <w:pPr>
        <w:pStyle w:val="Indenta"/>
        <w:keepNext/>
      </w:pPr>
      <w:r>
        <w:tab/>
        <w:t>(b)</w:t>
      </w:r>
      <w:r>
        <w:tab/>
        <w:t xml:space="preserve">in the case of an individual — </w:t>
      </w:r>
    </w:p>
    <w:p>
      <w:pPr>
        <w:pStyle w:val="Indenti"/>
        <w:keepNext/>
      </w:pPr>
      <w:r>
        <w:tab/>
        <w:t>(i)</w:t>
      </w:r>
      <w:r>
        <w:tab/>
        <w:t>if the contravention is a serious contravention — $130 000; or</w:t>
      </w:r>
    </w:p>
    <w:p>
      <w:pPr>
        <w:pStyle w:val="Indenti"/>
      </w:pPr>
      <w:r>
        <w:tab/>
        <w:t>(ii)</w:t>
      </w:r>
      <w:r>
        <w:tab/>
        <w:t>if the contravention is not a serious contravention — $13 000.</w:t>
      </w:r>
    </w:p>
    <w:p>
      <w:pPr>
        <w:pStyle w:val="Subsection"/>
      </w:pPr>
      <w:r>
        <w:tab/>
        <w:t>(1A)</w:t>
      </w:r>
      <w:r>
        <w:tab/>
        <w:t>A person who is involved in a contravention of a civil penalty provision is taken to contravene that provision.</w:t>
      </w:r>
    </w:p>
    <w:p>
      <w:pPr>
        <w:pStyle w:val="Subsection"/>
      </w:pPr>
      <w:r>
        <w:tab/>
        <w:t>(1B)</w:t>
      </w:r>
      <w:r>
        <w:tab/>
        <w:t xml:space="preserve">A person is </w:t>
      </w:r>
      <w:r>
        <w:rPr>
          <w:rStyle w:val="CharDefText"/>
        </w:rPr>
        <w:t>involved in</w:t>
      </w:r>
      <w:r>
        <w:t xml:space="preserve"> a contravention of a civil penalty provision if, and only if, the person — </w:t>
      </w:r>
    </w:p>
    <w:p>
      <w:pPr>
        <w:pStyle w:val="Indenta"/>
      </w:pPr>
      <w:r>
        <w:tab/>
        <w:t>(a)</w:t>
      </w:r>
      <w:r>
        <w:tab/>
        <w:t>aids, abets, counsels or procures the contravention; or</w:t>
      </w:r>
    </w:p>
    <w:p>
      <w:pPr>
        <w:pStyle w:val="Indenta"/>
      </w:pPr>
      <w:r>
        <w:tab/>
        <w:t>(b)</w:t>
      </w:r>
      <w:r>
        <w:tab/>
        <w:t>induces the contravention, whether by threats or promises or otherwise; or</w:t>
      </w:r>
    </w:p>
    <w:p>
      <w:pPr>
        <w:pStyle w:val="Indenta"/>
      </w:pPr>
      <w:r>
        <w:tab/>
        <w:t>(c)</w:t>
      </w:r>
      <w:r>
        <w:tab/>
        <w:t>is in any way, by act or omission, directly or indirectly, knowingly concerned in or party to the contravention; or</w:t>
      </w:r>
    </w:p>
    <w:p>
      <w:pPr>
        <w:pStyle w:val="Indenta"/>
      </w:pPr>
      <w:r>
        <w:tab/>
        <w:t>(d)</w:t>
      </w:r>
      <w:r>
        <w:tab/>
        <w:t>conspires with others to effect the contravention.</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49D(1) or (8) or section 49DA(1) or (3), or the LSL Act section 26(1) or (2),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the person’s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the MCE Act section 8(3) or the </w:t>
      </w:r>
      <w:r>
        <w:rPr>
          <w:snapToGrid w:val="0"/>
        </w:rPr>
        <w:t>LSL Act</w:t>
      </w:r>
      <w:r>
        <w:t xml:space="preserve"> section 7I(2), 26(1) or (2) or 26A(1).</w:t>
      </w:r>
    </w:p>
    <w:p>
      <w:pPr>
        <w:pStyle w:val="Subsection"/>
      </w:pPr>
      <w:r>
        <w:tab/>
        <w:t>(7A)</w:t>
      </w:r>
      <w:r>
        <w:tab/>
        <w:t xml:space="preserve">In the case of a contravention of a provision under the </w:t>
      </w:r>
      <w:r>
        <w:rPr>
          <w:i/>
        </w:rPr>
        <w:t>Construction Industry Portable Paid Long Service Leave Act 1985</w:t>
      </w:r>
      <w:r>
        <w:t xml:space="preserve"> that is a civil penalty provision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the person under subsection (2).</w:t>
      </w:r>
    </w:p>
    <w:p>
      <w:pPr>
        <w:pStyle w:val="Penstart"/>
        <w:keepNex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can any costs be given against the Registrar, the deputy registrar, or an industrial inspector.</w:t>
      </w:r>
    </w:p>
    <w:p>
      <w:pPr>
        <w:pStyle w:val="Subsection"/>
      </w:pPr>
      <w:r>
        <w:tab/>
        <w:t>(12)</w:t>
      </w:r>
      <w:r>
        <w:tab/>
        <w:t xml:space="preserve">In proceedings under this section costs must not be given to any party to the proceedings for the services of a legal practitioner or agent of that party unless — </w:t>
      </w:r>
    </w:p>
    <w:p>
      <w:pPr>
        <w:pStyle w:val="Indenta"/>
      </w:pPr>
      <w:r>
        <w:tab/>
        <w:t>(a)</w:t>
      </w:r>
      <w:r>
        <w:tab/>
        <w:t>the industrial magistrate’s court finds that the other party has committed a serious contravention; or</w:t>
      </w:r>
    </w:p>
    <w:p>
      <w:pPr>
        <w:pStyle w:val="Indenta"/>
      </w:pPr>
      <w:r>
        <w:tab/>
        <w:t>(b)</w:t>
      </w:r>
      <w:r>
        <w:tab/>
        <w:t>in the opinion of the industrial magistrate’s court, the proceedings have been frivolously or vexatiously instituted or defended, as the case requires, by the other party.</w:t>
      </w:r>
    </w:p>
    <w:p>
      <w:pPr>
        <w:pStyle w:val="Footnotesection"/>
      </w:pPr>
      <w:r>
        <w:tab/>
        <w:t>[Section 83E inserted: No. 20 of 2002 s. 157; amended: No. 36 of 2006 s. 70; No. 53 of 2011 s. 31; No. 30 of 2021 s. 51, 76(6) and 77(9) and (11).]</w:t>
      </w:r>
    </w:p>
    <w:p>
      <w:pPr>
        <w:pStyle w:val="Heading5"/>
      </w:pPr>
      <w:bookmarkStart w:id="775" w:name="_Toc107476579"/>
      <w:bookmarkStart w:id="776" w:name="_Toc90558296"/>
      <w:bookmarkStart w:id="777" w:name="_Toc95209377"/>
      <w:bookmarkStart w:id="778" w:name="_Toc106374113"/>
      <w:r>
        <w:rPr>
          <w:rStyle w:val="CharSectno"/>
        </w:rPr>
        <w:t>83EA</w:t>
      </w:r>
      <w:r>
        <w:t>.</w:t>
      </w:r>
      <w:r>
        <w:tab/>
        <w:t>Serious contravention of entitlement provision or civil penalty provision</w:t>
      </w:r>
      <w:bookmarkEnd w:id="775"/>
      <w:bookmarkEnd w:id="776"/>
      <w:bookmarkEnd w:id="777"/>
      <w:bookmarkEnd w:id="778"/>
    </w:p>
    <w:p>
      <w:pPr>
        <w:pStyle w:val="Subsection"/>
      </w:pPr>
      <w:r>
        <w:tab/>
        <w:t>(1)</w:t>
      </w:r>
      <w:r>
        <w:tab/>
        <w:t xml:space="preserve">In this section — </w:t>
      </w:r>
    </w:p>
    <w:p>
      <w:pPr>
        <w:pStyle w:val="Defstart"/>
      </w:pPr>
      <w:r>
        <w:tab/>
      </w:r>
      <w:r>
        <w:rPr>
          <w:rStyle w:val="CharDefText"/>
        </w:rPr>
        <w:t>contravention</w:t>
      </w:r>
      <w:r>
        <w:t xml:space="preserve"> means a contravention of or failure to comply with — </w:t>
      </w:r>
    </w:p>
    <w:p>
      <w:pPr>
        <w:pStyle w:val="Defpara"/>
      </w:pPr>
      <w:r>
        <w:tab/>
        <w:t>(a)</w:t>
      </w:r>
      <w:r>
        <w:tab/>
        <w:t>a civil penalty provision; or</w:t>
      </w:r>
    </w:p>
    <w:p>
      <w:pPr>
        <w:pStyle w:val="Defpara"/>
      </w:pPr>
      <w:r>
        <w:tab/>
        <w:t>(b)</w:t>
      </w:r>
      <w:r>
        <w:tab/>
        <w:t>an entitlement provision.</w:t>
      </w:r>
    </w:p>
    <w:p>
      <w:pPr>
        <w:pStyle w:val="Subsection"/>
      </w:pPr>
      <w:r>
        <w:tab/>
        <w:t>(2)</w:t>
      </w:r>
      <w:r>
        <w:tab/>
        <w:t xml:space="preserve">A contravention by a person is a </w:t>
      </w:r>
      <w:r>
        <w:rPr>
          <w:rStyle w:val="CharDefText"/>
        </w:rPr>
        <w:t>serious contravention</w:t>
      </w:r>
      <w:r>
        <w:t xml:space="preserve"> if — </w:t>
      </w:r>
    </w:p>
    <w:p>
      <w:pPr>
        <w:pStyle w:val="Indenta"/>
      </w:pPr>
      <w:r>
        <w:tab/>
        <w:t>(a)</w:t>
      </w:r>
      <w:r>
        <w:tab/>
        <w:t>the person knowingly commits the contravention; and</w:t>
      </w:r>
    </w:p>
    <w:p>
      <w:pPr>
        <w:pStyle w:val="Indenta"/>
      </w:pPr>
      <w:r>
        <w:tab/>
        <w:t>(b)</w:t>
      </w:r>
      <w:r>
        <w:tab/>
        <w:t>the person’s conduct constituting the contravention is part of a systematic pattern of conduct relating to 1 or more other persons.</w:t>
      </w:r>
    </w:p>
    <w:p>
      <w:pPr>
        <w:pStyle w:val="Subsection"/>
      </w:pPr>
      <w:r>
        <w:tab/>
        <w:t>(3)</w:t>
      </w:r>
      <w:r>
        <w:tab/>
        <w:t>For the purposes of subsection (2), a body corporate knowingly commits a contravention if the body corporate expressly, tacitly or impliedly authorises the contravention.</w:t>
      </w:r>
    </w:p>
    <w:p>
      <w:pPr>
        <w:pStyle w:val="Subsection"/>
      </w:pPr>
      <w:r>
        <w:tab/>
        <w:t>(4)</w:t>
      </w:r>
      <w:r>
        <w:tab/>
        <w:t xml:space="preserve">In determining whether the person’s conduct constituting the contravention was part of a systematic pattern of conduct, the industrial magistrate’s court may have regard to all or any of the following — </w:t>
      </w:r>
    </w:p>
    <w:p>
      <w:pPr>
        <w:pStyle w:val="Indenta"/>
      </w:pPr>
      <w:r>
        <w:tab/>
        <w:t>(a)</w:t>
      </w:r>
      <w:r>
        <w:tab/>
        <w:t xml:space="preserve">the number of contraventions (the </w:t>
      </w:r>
      <w:r>
        <w:rPr>
          <w:rStyle w:val="CharDefText"/>
        </w:rPr>
        <w:t>relevant contraventions</w:t>
      </w:r>
      <w:r>
        <w:t>) committed by the person;</w:t>
      </w:r>
    </w:p>
    <w:p>
      <w:pPr>
        <w:pStyle w:val="Indenta"/>
      </w:pPr>
      <w:r>
        <w:tab/>
        <w:t>(b)</w:t>
      </w:r>
      <w:r>
        <w:tab/>
        <w:t>the period over which the relevant contraventions were committed;</w:t>
      </w:r>
    </w:p>
    <w:p>
      <w:pPr>
        <w:pStyle w:val="Indenta"/>
      </w:pPr>
      <w:r>
        <w:tab/>
        <w:t>(c)</w:t>
      </w:r>
      <w:r>
        <w:tab/>
        <w:t>the number of other persons affected by the relevant contraventions;</w:t>
      </w:r>
    </w:p>
    <w:p>
      <w:pPr>
        <w:pStyle w:val="Indenta"/>
      </w:pPr>
      <w:r>
        <w:tab/>
        <w:t>(d)</w:t>
      </w:r>
      <w:r>
        <w:tab/>
        <w:t>the person’s response, or failure to respond, to any complaints made about the relevant contraventions;</w:t>
      </w:r>
    </w:p>
    <w:p>
      <w:pPr>
        <w:pStyle w:val="Indenta"/>
      </w:pPr>
      <w:r>
        <w:tab/>
        <w:t>(e)</w:t>
      </w:r>
      <w:r>
        <w:tab/>
        <w:t>unless the provision contravened is a record</w:t>
      </w:r>
      <w:r>
        <w:noBreakHyphen/>
        <w:t>related civil penalty provision — whether the person also failed to comply with a record</w:t>
      </w:r>
      <w:r>
        <w:noBreakHyphen/>
        <w:t>related civil penalty provision relating to the conduct constituting the relevant contraventions.</w:t>
      </w:r>
    </w:p>
    <w:p>
      <w:pPr>
        <w:pStyle w:val="Subsection"/>
      </w:pPr>
      <w:r>
        <w:tab/>
        <w:t>(5)</w:t>
      </w:r>
      <w:r>
        <w:tab/>
        <w:t>Subsection (4) does not limit the matters to which the industrial magistrate’s court may have regard.</w:t>
      </w:r>
    </w:p>
    <w:p>
      <w:pPr>
        <w:pStyle w:val="Subsection"/>
        <w:keepNext/>
      </w:pPr>
      <w:r>
        <w:tab/>
        <w:t>(6)</w:t>
      </w:r>
      <w:r>
        <w:tab/>
        <w:t xml:space="preserve">A person (the </w:t>
      </w:r>
      <w:r>
        <w:rPr>
          <w:rStyle w:val="CharDefText"/>
        </w:rPr>
        <w:t>involved person</w:t>
      </w:r>
      <w:r>
        <w:t xml:space="preserve">) who is involved in a contravention by another person (the </w:t>
      </w:r>
      <w:r>
        <w:rPr>
          <w:rStyle w:val="CharDefText"/>
        </w:rPr>
        <w:t>principal</w:t>
      </w:r>
      <w:r>
        <w:t xml:space="preserve">) commits a serious contravention only if — </w:t>
      </w:r>
    </w:p>
    <w:p>
      <w:pPr>
        <w:pStyle w:val="Indenta"/>
      </w:pPr>
      <w:r>
        <w:tab/>
        <w:t>(a)</w:t>
      </w:r>
      <w:r>
        <w:tab/>
        <w:t>the principal’s contravention is a serious contravention; and</w:t>
      </w:r>
    </w:p>
    <w:p>
      <w:pPr>
        <w:pStyle w:val="Indenta"/>
      </w:pPr>
      <w:r>
        <w:tab/>
        <w:t>(b)</w:t>
      </w:r>
      <w:r>
        <w:tab/>
        <w:t>the involved person knows that the principal’s contravention is a serious contravention.</w:t>
      </w:r>
    </w:p>
    <w:p>
      <w:pPr>
        <w:pStyle w:val="Subsection"/>
      </w:pPr>
      <w:r>
        <w:tab/>
        <w:t>(7)</w:t>
      </w:r>
      <w:r>
        <w:tab/>
        <w:t>Subsection (8) applies in proceedings for an order in relation to a serious contravention.</w:t>
      </w:r>
    </w:p>
    <w:p>
      <w:pPr>
        <w:pStyle w:val="Subsection"/>
      </w:pPr>
      <w:r>
        <w:tab/>
        <w:t>(8)</w:t>
      </w:r>
      <w:r>
        <w:tab/>
        <w:t xml:space="preserve">The industrial magistrate’s court may, instead of imposing a pecuniary penalty on a person for the serious contravention, impose a pecuniary penalty on the person for the contravention if the court — </w:t>
      </w:r>
    </w:p>
    <w:p>
      <w:pPr>
        <w:pStyle w:val="Indenta"/>
      </w:pPr>
      <w:r>
        <w:tab/>
        <w:t>(a)</w:t>
      </w:r>
      <w:r>
        <w:tab/>
        <w:t>is not satisfied that the person has committed a serious contravention; but</w:t>
      </w:r>
    </w:p>
    <w:p>
      <w:pPr>
        <w:pStyle w:val="Indenta"/>
      </w:pPr>
      <w:r>
        <w:tab/>
        <w:t>(b)</w:t>
      </w:r>
      <w:r>
        <w:tab/>
        <w:t>is satisfied that the person has committed a contravention.</w:t>
      </w:r>
    </w:p>
    <w:p>
      <w:pPr>
        <w:pStyle w:val="Footnotesection"/>
      </w:pPr>
      <w:bookmarkStart w:id="779" w:name="_Toc90558297"/>
      <w:bookmarkStart w:id="780" w:name="_Toc95209378"/>
      <w:r>
        <w:tab/>
        <w:t>[Section 83EA inserted: No. 30 of 2021 s. 52.]</w:t>
      </w:r>
    </w:p>
    <w:p>
      <w:pPr>
        <w:pStyle w:val="Heading5"/>
      </w:pPr>
      <w:bookmarkStart w:id="781" w:name="_Toc107476580"/>
      <w:bookmarkStart w:id="782" w:name="_Toc106374114"/>
      <w:r>
        <w:rPr>
          <w:rStyle w:val="CharSectno"/>
        </w:rPr>
        <w:t>83EB</w:t>
      </w:r>
      <w:r>
        <w:t>.</w:t>
      </w:r>
      <w:r>
        <w:tab/>
        <w:t>Employer to have burden of disproving certain allegations by applicant under s. 83</w:t>
      </w:r>
      <w:bookmarkEnd w:id="781"/>
      <w:bookmarkEnd w:id="779"/>
      <w:bookmarkEnd w:id="780"/>
      <w:bookmarkEnd w:id="782"/>
    </w:p>
    <w:p>
      <w:pPr>
        <w:pStyle w:val="Subsection"/>
      </w:pPr>
      <w:r>
        <w:tab/>
        <w:t>(1)</w:t>
      </w:r>
      <w:r>
        <w:tab/>
        <w:t xml:space="preserve">In proceedings under section 83, the employer has the burden of disproving an allegation by an applicant in relation to a matter if the employer — </w:t>
      </w:r>
    </w:p>
    <w:p>
      <w:pPr>
        <w:pStyle w:val="Indenta"/>
      </w:pPr>
      <w:r>
        <w:tab/>
        <w:t>(a)</w:t>
      </w:r>
      <w:r>
        <w:tab/>
        <w:t xml:space="preserve">was required under this Act or the LSL Act to — </w:t>
      </w:r>
    </w:p>
    <w:p>
      <w:pPr>
        <w:pStyle w:val="Indenti"/>
      </w:pPr>
      <w:r>
        <w:tab/>
        <w:t>(i)</w:t>
      </w:r>
      <w:r>
        <w:tab/>
        <w:t>make or keep a record in relation to the matter; or</w:t>
      </w:r>
    </w:p>
    <w:p>
      <w:pPr>
        <w:pStyle w:val="Indenti"/>
      </w:pPr>
      <w:r>
        <w:tab/>
        <w:t>(ii)</w:t>
      </w:r>
      <w:r>
        <w:tab/>
        <w:t>give a pay slip in relation to the matter; or</w:t>
      </w:r>
    </w:p>
    <w:p>
      <w:pPr>
        <w:pStyle w:val="Indenti"/>
      </w:pPr>
      <w:r>
        <w:tab/>
        <w:t>(iii)</w:t>
      </w:r>
      <w:r>
        <w:tab/>
        <w:t>make available for inspection a record in relation to the matter;</w:t>
      </w:r>
    </w:p>
    <w:p>
      <w:pPr>
        <w:pStyle w:val="Indenta"/>
      </w:pPr>
      <w:r>
        <w:tab/>
      </w:r>
      <w:r>
        <w:tab/>
        <w:t>and</w:t>
      </w:r>
    </w:p>
    <w:p>
      <w:pPr>
        <w:pStyle w:val="Indenta"/>
      </w:pPr>
      <w:r>
        <w:tab/>
        <w:t>(b)</w:t>
      </w:r>
      <w:r>
        <w:tab/>
        <w:t>failed to comply with the requirement.</w:t>
      </w:r>
    </w:p>
    <w:p>
      <w:pPr>
        <w:pStyle w:val="Subsection"/>
      </w:pPr>
      <w:r>
        <w:tab/>
        <w:t>(2)</w:t>
      </w:r>
      <w:r>
        <w:tab/>
        <w:t>Subsection (1) does not apply if the employer provides a reasonable excuse for the failure to comply with the requirement.</w:t>
      </w:r>
    </w:p>
    <w:p>
      <w:pPr>
        <w:pStyle w:val="Footnotesection"/>
      </w:pPr>
      <w:r>
        <w:tab/>
        <w:t>[Section 83EB inserted: No. 30 of 2021 s. 52.]</w:t>
      </w:r>
    </w:p>
    <w:p>
      <w:pPr>
        <w:pStyle w:val="Heading5"/>
        <w:spacing w:before="240"/>
      </w:pPr>
      <w:bookmarkStart w:id="783" w:name="_Toc107476581"/>
      <w:bookmarkStart w:id="784" w:name="_Toc106374115"/>
      <w:r>
        <w:rPr>
          <w:rStyle w:val="CharSectno"/>
        </w:rPr>
        <w:t>83F</w:t>
      </w:r>
      <w:r>
        <w:t>.</w:t>
      </w:r>
      <w:r>
        <w:tab/>
        <w:t>Costs and penalties, payment of</w:t>
      </w:r>
      <w:bookmarkEnd w:id="783"/>
      <w:bookmarkEnd w:id="784"/>
    </w:p>
    <w:p>
      <w:pPr>
        <w:pStyle w:val="Subsection"/>
      </w:pPr>
      <w:r>
        <w:tab/>
        <w:t>(1)</w:t>
      </w:r>
      <w:r>
        <w:tab/>
        <w:t>Where the industrial magistrate’s court, by an order made under section 83, 83A, 83B or 83E, imposes a penalty or costs the industrial magistrate’s court must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No. 20 of 2002 s. 157; amended: No. 30 of 2021 s. 76(2).]</w:t>
      </w:r>
    </w:p>
    <w:p>
      <w:pPr>
        <w:pStyle w:val="Heading5"/>
        <w:keepNext w:val="0"/>
        <w:keepLines w:val="0"/>
        <w:rPr>
          <w:snapToGrid w:val="0"/>
        </w:rPr>
      </w:pPr>
      <w:bookmarkStart w:id="785" w:name="_Toc107476582"/>
      <w:bookmarkStart w:id="786" w:name="_Toc106374116"/>
      <w:r>
        <w:rPr>
          <w:rStyle w:val="CharSectno"/>
        </w:rPr>
        <w:t>84</w:t>
      </w:r>
      <w:r>
        <w:rPr>
          <w:snapToGrid w:val="0"/>
        </w:rPr>
        <w:t>.</w:t>
      </w:r>
      <w:r>
        <w:rPr>
          <w:snapToGrid w:val="0"/>
        </w:rPr>
        <w:tab/>
        <w:t>Appeal from industrial magistrate’s court to Full Bench</w:t>
      </w:r>
      <w:bookmarkEnd w:id="785"/>
      <w:bookmarkEnd w:id="786"/>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 xml:space="preserve">An appeal under this section must be instituted within 21 days from the date of the decision against which the appeal is brought and may be instituted by any party to the proceedings </w:t>
      </w:r>
      <w:r>
        <w:t>in which</w:t>
      </w:r>
      <w:r>
        <w:rPr>
          <w:snapToGrid w:val="0"/>
        </w:rPr>
        <w:t xml:space="preserve">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pPr>
      <w:r>
        <w:tab/>
        <w:t>(5)</w:t>
      </w:r>
      <w:r>
        <w:tab/>
      </w:r>
      <w:r>
        <w:rPr>
          <w:snapToGrid w:val="0"/>
        </w:rPr>
        <w:t xml:space="preserve">In proceedings under this section costs must not </w:t>
      </w:r>
      <w:r>
        <w:t xml:space="preserve">be given to any party to the proceedings for the services of a legal practitioner or agent of that party except — </w:t>
      </w:r>
    </w:p>
    <w:p>
      <w:pPr>
        <w:pStyle w:val="Indenta"/>
      </w:pPr>
      <w:r>
        <w:tab/>
        <w:t>(a)</w:t>
      </w:r>
      <w:r>
        <w:tab/>
        <w:t>in respect of an appeal from proceedings under section 83 or 83E — to the party that was the applicant in those proceedings, if the Full Bench finds, or upholds a finding, that the other party has committed a serious contravention; or</w:t>
      </w:r>
    </w:p>
    <w:p>
      <w:pPr>
        <w:pStyle w:val="Indenta"/>
      </w:pPr>
      <w:r>
        <w:tab/>
        <w:t>(b)</w:t>
      </w:r>
      <w:r>
        <w:tab/>
        <w:t>if, in the opinion of the Full Bench, the proceedings have been frivolously or vexatiously instituted or defended, as the case requires, by the other party.</w:t>
      </w:r>
    </w:p>
    <w:p>
      <w:pPr>
        <w:pStyle w:val="Subsection"/>
        <w:rPr>
          <w:snapToGrid w:val="0"/>
        </w:rPr>
      </w:pPr>
      <w:r>
        <w:rPr>
          <w:snapToGrid w:val="0"/>
        </w:rPr>
        <w:tab/>
        <w:t>(6)</w:t>
      </w:r>
      <w:r>
        <w:rPr>
          <w:snapToGrid w:val="0"/>
        </w:rPr>
        <w:tab/>
        <w:t>At any time after an appeal to the Full Bench has been instituted under this section, a party to the proceedings may apply to the Commission for an order that the operation of the decision appealed against be stayed, wholly or in part, pending the hearing and determination of the appeal.</w:t>
      </w:r>
    </w:p>
    <w:p>
      <w:pPr>
        <w:pStyle w:val="Subsection"/>
      </w:pPr>
      <w:r>
        <w:tab/>
        <w:t>(7)</w:t>
      </w:r>
      <w:r>
        <w:tab/>
        <w:t>For the purposes of hearing and determining an application under subsection (6) for an order in respect of a decision, the Commission must be constituted by the presiding commissioner of the Full Bench allocated the appeal against the decision.</w:t>
      </w:r>
    </w:p>
    <w:p>
      <w:pPr>
        <w:pStyle w:val="Footnotesection"/>
      </w:pPr>
      <w:r>
        <w:tab/>
        <w:t>[Section 84 amended: No. 94 of 1984 s. 66; No. 44 of 1991 s. 8; No. 15 of 1993 s. 26; No. 20 of 2002 s. 113(4); No. 30 of 2021 s. 53, 76(2) and 78(7).]</w:t>
      </w:r>
    </w:p>
    <w:p>
      <w:pPr>
        <w:pStyle w:val="Heading5"/>
      </w:pPr>
      <w:bookmarkStart w:id="787" w:name="_Toc107476583"/>
      <w:bookmarkStart w:id="788" w:name="_Toc90558300"/>
      <w:bookmarkStart w:id="789" w:name="_Toc95209381"/>
      <w:bookmarkStart w:id="790" w:name="_Toc106374117"/>
      <w:r>
        <w:rPr>
          <w:rStyle w:val="CharSectno"/>
        </w:rPr>
        <w:t>84AA</w:t>
      </w:r>
      <w:r>
        <w:t>.</w:t>
      </w:r>
      <w:r>
        <w:tab/>
        <w:t>Illegal contracts of employment may be treated as valid</w:t>
      </w:r>
      <w:bookmarkEnd w:id="787"/>
      <w:bookmarkEnd w:id="788"/>
      <w:bookmarkEnd w:id="789"/>
      <w:bookmarkEnd w:id="790"/>
    </w:p>
    <w:p>
      <w:pPr>
        <w:pStyle w:val="Subsection"/>
      </w:pPr>
      <w:r>
        <w:tab/>
        <w:t>(1)</w:t>
      </w:r>
      <w:r>
        <w:tab/>
        <w:t xml:space="preserve">In this section — </w:t>
      </w:r>
    </w:p>
    <w:p>
      <w:pPr>
        <w:pStyle w:val="Defstart"/>
      </w:pPr>
      <w:r>
        <w:tab/>
      </w:r>
      <w:r>
        <w:rPr>
          <w:rStyle w:val="CharDefText"/>
        </w:rPr>
        <w:t>contravention</w:t>
      </w:r>
      <w:r>
        <w:t xml:space="preserve"> means a contravention of or failure to comply with — </w:t>
      </w:r>
    </w:p>
    <w:p>
      <w:pPr>
        <w:pStyle w:val="Defpara"/>
      </w:pPr>
      <w:r>
        <w:tab/>
        <w:t>(a)</w:t>
      </w:r>
      <w:r>
        <w:tab/>
        <w:t>a civil penalty provision; or</w:t>
      </w:r>
    </w:p>
    <w:p>
      <w:pPr>
        <w:pStyle w:val="Defpara"/>
      </w:pPr>
      <w:r>
        <w:tab/>
        <w:t>(b)</w:t>
      </w:r>
      <w:r>
        <w:tab/>
        <w:t>an entitlement provision.</w:t>
      </w:r>
    </w:p>
    <w:p>
      <w:pPr>
        <w:pStyle w:val="Subsection"/>
        <w:rPr>
          <w:snapToGrid w:val="0"/>
        </w:rPr>
      </w:pPr>
      <w:r>
        <w:rPr>
          <w:snapToGrid w:val="0"/>
        </w:rPr>
        <w:tab/>
        <w:t>(2)</w:t>
      </w:r>
      <w:r>
        <w:rPr>
          <w:snapToGrid w:val="0"/>
        </w:rPr>
        <w:tab/>
        <w:t>If in any proceedings under section 83 or 83E the industrial magistrate’s court finds that an employee was employed or engaged under an illegal contract at the time a contravention occurred, the court may nonetheless deal with the matter as if the contract was valid.</w:t>
      </w:r>
    </w:p>
    <w:p>
      <w:pPr>
        <w:pStyle w:val="Footnotesection"/>
      </w:pPr>
      <w:r>
        <w:tab/>
        <w:t>[Section 84AA inserted: No. 30 of 2021 s. 54.]</w:t>
      </w:r>
    </w:p>
    <w:p>
      <w:pPr>
        <w:pStyle w:val="Heading5"/>
        <w:rPr>
          <w:snapToGrid w:val="0"/>
        </w:rPr>
      </w:pPr>
      <w:bookmarkStart w:id="791" w:name="_Toc107476584"/>
      <w:bookmarkStart w:id="792" w:name="_Toc106374118"/>
      <w:r>
        <w:rPr>
          <w:rStyle w:val="CharSectno"/>
        </w:rPr>
        <w:t>84A</w:t>
      </w:r>
      <w:r>
        <w:rPr>
          <w:snapToGrid w:val="0"/>
        </w:rPr>
        <w:t>.</w:t>
      </w:r>
      <w:r>
        <w:rPr>
          <w:snapToGrid w:val="0"/>
        </w:rPr>
        <w:tab/>
        <w:t>Certain contraventions of Act, enforcement of before Full Bench</w:t>
      </w:r>
      <w:bookmarkEnd w:id="791"/>
      <w:bookmarkEnd w:id="792"/>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 xml:space="preserve">any provision of this Act (other than section 42B(1), </w:t>
      </w:r>
      <w:r>
        <w:t>44(3)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must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must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 xml:space="preserve">by order, issue a caution or impose such penalty as it considers just but not exceeding </w:t>
      </w:r>
      <w:r>
        <w:t>$10 000;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can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cannot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must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is the standard observed in civil proceedings.</w:t>
      </w:r>
    </w:p>
    <w:p>
      <w:pPr>
        <w:pStyle w:val="Footnotesection"/>
      </w:pPr>
      <w:r>
        <w:tab/>
        <w:t>[Section 84A inserted: No. 94 of 1984 s. 52; amended: No. 119 of 1987 s. 21; No. 79 of 1995 s. 8(2); No. 20 of 2002 s. 134 and 158; No. 36 of 2006 s. 26; No. 30 of 2021 s. 55 and 76(2), (3), (5) and (6).]</w:t>
      </w:r>
    </w:p>
    <w:p>
      <w:pPr>
        <w:pStyle w:val="Heading3"/>
      </w:pPr>
      <w:bookmarkStart w:id="793" w:name="_Toc107322456"/>
      <w:bookmarkStart w:id="794" w:name="_Toc107476585"/>
      <w:bookmarkStart w:id="795" w:name="_Toc84926130"/>
      <w:bookmarkStart w:id="796" w:name="_Toc84927546"/>
      <w:bookmarkStart w:id="797" w:name="_Toc84935526"/>
      <w:bookmarkStart w:id="798" w:name="_Toc85533323"/>
      <w:bookmarkStart w:id="799" w:name="_Toc85543939"/>
      <w:bookmarkStart w:id="800" w:name="_Toc90551732"/>
      <w:bookmarkStart w:id="801" w:name="_Toc90553700"/>
      <w:bookmarkStart w:id="802" w:name="_Toc90558303"/>
      <w:bookmarkStart w:id="803" w:name="_Toc91144545"/>
      <w:bookmarkStart w:id="804" w:name="_Toc95209384"/>
      <w:bookmarkStart w:id="805" w:name="_Toc106195445"/>
      <w:bookmarkStart w:id="806" w:name="_Toc106367388"/>
      <w:bookmarkStart w:id="807" w:name="_Toc106374119"/>
      <w:r>
        <w:rPr>
          <w:rStyle w:val="CharDivNo"/>
        </w:rPr>
        <w:t>Division 3</w:t>
      </w:r>
      <w:r>
        <w:t> — </w:t>
      </w:r>
      <w:r>
        <w:rPr>
          <w:rStyle w:val="CharDivText"/>
        </w:rPr>
        <w:t>Civil infringement notices</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pPr>
        <w:pStyle w:val="Footnoteheading"/>
        <w:keepNext/>
        <w:keepLines/>
      </w:pPr>
      <w:bookmarkStart w:id="808" w:name="_Toc90558304"/>
      <w:bookmarkStart w:id="809" w:name="_Toc95209385"/>
      <w:r>
        <w:tab/>
        <w:t>[Heading inserted: No. 30 of 2021 s. 56.]</w:t>
      </w:r>
    </w:p>
    <w:p>
      <w:pPr>
        <w:pStyle w:val="Heading5"/>
      </w:pPr>
      <w:bookmarkStart w:id="810" w:name="_Toc107476586"/>
      <w:bookmarkStart w:id="811" w:name="_Toc106374120"/>
      <w:r>
        <w:rPr>
          <w:rStyle w:val="CharSectno"/>
        </w:rPr>
        <w:t>84B</w:t>
      </w:r>
      <w:r>
        <w:t>.</w:t>
      </w:r>
      <w:r>
        <w:tab/>
        <w:t>Terms used</w:t>
      </w:r>
      <w:bookmarkEnd w:id="810"/>
      <w:bookmarkEnd w:id="808"/>
      <w:bookmarkEnd w:id="809"/>
      <w:bookmarkEnd w:id="811"/>
    </w:p>
    <w:p>
      <w:pPr>
        <w:pStyle w:val="Subsection"/>
      </w:pPr>
      <w:r>
        <w:tab/>
      </w:r>
      <w:r>
        <w:tab/>
        <w:t xml:space="preserve">In this Division — </w:t>
      </w:r>
    </w:p>
    <w:p>
      <w:pPr>
        <w:pStyle w:val="Defstart"/>
      </w:pPr>
      <w:r>
        <w:tab/>
      </w:r>
      <w:r>
        <w:rPr>
          <w:rStyle w:val="CharDefText"/>
        </w:rPr>
        <w:t>civil infringement notice</w:t>
      </w:r>
      <w:r>
        <w:t xml:space="preserve"> has the meaning given in section 84C(2);</w:t>
      </w:r>
    </w:p>
    <w:p>
      <w:pPr>
        <w:pStyle w:val="Defstart"/>
      </w:pPr>
      <w:r>
        <w:tab/>
      </w:r>
      <w:r>
        <w:rPr>
          <w:rStyle w:val="CharDefText"/>
        </w:rPr>
        <w:t>civil infringement notice penalty</w:t>
      </w:r>
      <w:r>
        <w:t xml:space="preserve"> has the meaning given in section 84C(2);</w:t>
      </w:r>
    </w:p>
    <w:p>
      <w:pPr>
        <w:pStyle w:val="Defstart"/>
        <w:keepNext/>
      </w:pPr>
      <w:r>
        <w:tab/>
      </w:r>
      <w:r>
        <w:rPr>
          <w:rStyle w:val="CharDefText"/>
        </w:rPr>
        <w:t>nominated person</w:t>
      </w:r>
      <w:r>
        <w:t xml:space="preserve"> means the person to whom a recipient can apply — </w:t>
      </w:r>
    </w:p>
    <w:p>
      <w:pPr>
        <w:pStyle w:val="Defpara"/>
      </w:pPr>
      <w:r>
        <w:tab/>
        <w:t>(a)</w:t>
      </w:r>
      <w:r>
        <w:tab/>
        <w:t xml:space="preserve">to have a civil infringement notice withdrawn; or </w:t>
      </w:r>
    </w:p>
    <w:p>
      <w:pPr>
        <w:pStyle w:val="Defpara"/>
      </w:pPr>
      <w:r>
        <w:tab/>
        <w:t>(b)</w:t>
      </w:r>
      <w:r>
        <w:tab/>
        <w:t>to be allowed more time to pay a civil infringement notice penalty;</w:t>
      </w:r>
    </w:p>
    <w:p>
      <w:pPr>
        <w:pStyle w:val="Defstart"/>
      </w:pPr>
      <w:r>
        <w:tab/>
      </w:r>
      <w:r>
        <w:rPr>
          <w:rStyle w:val="CharDefText"/>
        </w:rPr>
        <w:t>recipient</w:t>
      </w:r>
      <w:r>
        <w:t xml:space="preserve"> means a person to whom a civil infringement notice is given under section 84C(2).</w:t>
      </w:r>
    </w:p>
    <w:p>
      <w:pPr>
        <w:pStyle w:val="Footnotesection"/>
      </w:pPr>
      <w:bookmarkStart w:id="812" w:name="_Toc90558305"/>
      <w:bookmarkStart w:id="813" w:name="_Toc95209386"/>
      <w:r>
        <w:tab/>
        <w:t>[Section 84B inserted: No. 30 of 2021 s. 56.]</w:t>
      </w:r>
    </w:p>
    <w:p>
      <w:pPr>
        <w:pStyle w:val="Heading5"/>
      </w:pPr>
      <w:bookmarkStart w:id="814" w:name="_Toc107476587"/>
      <w:bookmarkStart w:id="815" w:name="_Toc106374121"/>
      <w:r>
        <w:rPr>
          <w:rStyle w:val="CharSectno"/>
        </w:rPr>
        <w:t>84C</w:t>
      </w:r>
      <w:r>
        <w:t>.</w:t>
      </w:r>
      <w:r>
        <w:tab/>
        <w:t>Giving civil infringement notice</w:t>
      </w:r>
      <w:bookmarkEnd w:id="814"/>
      <w:bookmarkEnd w:id="812"/>
      <w:bookmarkEnd w:id="813"/>
      <w:bookmarkEnd w:id="815"/>
    </w:p>
    <w:p>
      <w:pPr>
        <w:pStyle w:val="Subsection"/>
      </w:pPr>
      <w:r>
        <w:tab/>
        <w:t>(1)</w:t>
      </w:r>
      <w:r>
        <w:tab/>
        <w:t>This section applies if an industrial inspector reasonably believes that a person has committed 1 or more contraventions of a record</w:t>
      </w:r>
      <w:r>
        <w:noBreakHyphen/>
        <w:t>related civil penalty provision other than section 49D(8) or 49DA(3).</w:t>
      </w:r>
    </w:p>
    <w:p>
      <w:pPr>
        <w:pStyle w:val="Subsection"/>
      </w:pPr>
      <w:r>
        <w:tab/>
        <w:t>(2)</w:t>
      </w:r>
      <w:r>
        <w:tab/>
        <w:t xml:space="preserve">The industrial inspector may give to the person a notice (a </w:t>
      </w:r>
      <w:r>
        <w:rPr>
          <w:rStyle w:val="CharDefText"/>
        </w:rPr>
        <w:t>civil infringement notice</w:t>
      </w:r>
      <w:r>
        <w:t xml:space="preserve">) relating to the alleged contravention or contraventions inviting the person, as an alternative to proceedings under section 83E, to pay to the Treasurer a penalty specified in the notice (a </w:t>
      </w:r>
      <w:r>
        <w:rPr>
          <w:rStyle w:val="CharDefText"/>
        </w:rPr>
        <w:t>civil infringement notice penalty</w:t>
      </w:r>
      <w:r>
        <w:t>).</w:t>
      </w:r>
    </w:p>
    <w:p>
      <w:pPr>
        <w:pStyle w:val="Subsection"/>
      </w:pPr>
      <w:r>
        <w:tab/>
        <w:t>(3)</w:t>
      </w:r>
      <w:r>
        <w:tab/>
        <w:t>The civil infringement notice must be given within 12 months after the day on which the contravention or contraventions are alleged to have taken place.</w:t>
      </w:r>
    </w:p>
    <w:p>
      <w:pPr>
        <w:pStyle w:val="Subsection"/>
      </w:pPr>
      <w:r>
        <w:tab/>
        <w:t>(4)</w:t>
      </w:r>
      <w:r>
        <w:tab/>
        <w:t>This section does not authorise the giving of 2 or more civil infringement notices to a person in relation to contraventions of a record</w:t>
      </w:r>
      <w:r>
        <w:noBreakHyphen/>
        <w:t xml:space="preserve">related civil penalty provision that allegedly — </w:t>
      </w:r>
    </w:p>
    <w:p>
      <w:pPr>
        <w:pStyle w:val="Indenta"/>
      </w:pPr>
      <w:r>
        <w:tab/>
        <w:t>(a)</w:t>
      </w:r>
      <w:r>
        <w:tab/>
        <w:t>took place on the same day; and</w:t>
      </w:r>
    </w:p>
    <w:p>
      <w:pPr>
        <w:pStyle w:val="Indenta"/>
      </w:pPr>
      <w:r>
        <w:tab/>
        <w:t>(b)</w:t>
      </w:r>
      <w:r>
        <w:tab/>
        <w:t>relate to the same action or conduct by the person.</w:t>
      </w:r>
    </w:p>
    <w:p>
      <w:pPr>
        <w:pStyle w:val="Footnotesection"/>
      </w:pPr>
      <w:bookmarkStart w:id="816" w:name="_Toc90558306"/>
      <w:bookmarkStart w:id="817" w:name="_Toc95209387"/>
      <w:r>
        <w:tab/>
        <w:t>[Section 84C inserted: No. 30 of 2021 s. 56.]</w:t>
      </w:r>
    </w:p>
    <w:p>
      <w:pPr>
        <w:pStyle w:val="Heading5"/>
      </w:pPr>
      <w:bookmarkStart w:id="818" w:name="_Toc107476588"/>
      <w:bookmarkStart w:id="819" w:name="_Toc106374122"/>
      <w:r>
        <w:rPr>
          <w:rStyle w:val="CharSectno"/>
        </w:rPr>
        <w:t>84D</w:t>
      </w:r>
      <w:r>
        <w:t>.</w:t>
      </w:r>
      <w:r>
        <w:tab/>
        <w:t>Content of civil infringement notice</w:t>
      </w:r>
      <w:bookmarkEnd w:id="818"/>
      <w:bookmarkEnd w:id="816"/>
      <w:bookmarkEnd w:id="817"/>
      <w:bookmarkEnd w:id="819"/>
    </w:p>
    <w:p>
      <w:pPr>
        <w:pStyle w:val="Subsection"/>
      </w:pPr>
      <w:r>
        <w:tab/>
        <w:t>(1)</w:t>
      </w:r>
      <w:r>
        <w:tab/>
        <w:t xml:space="preserve">A civil infringement notice must — </w:t>
      </w:r>
    </w:p>
    <w:p>
      <w:pPr>
        <w:pStyle w:val="Indenta"/>
      </w:pPr>
      <w:r>
        <w:tab/>
        <w:t>(a)</w:t>
      </w:r>
      <w:r>
        <w:tab/>
        <w:t>specify the recipient’s full name; and</w:t>
      </w:r>
    </w:p>
    <w:p>
      <w:pPr>
        <w:pStyle w:val="Indenta"/>
      </w:pPr>
      <w:r>
        <w:tab/>
        <w:t>(b)</w:t>
      </w:r>
      <w:r>
        <w:tab/>
        <w:t>specify the recipient’s address; and</w:t>
      </w:r>
    </w:p>
    <w:p>
      <w:pPr>
        <w:pStyle w:val="Indenta"/>
      </w:pPr>
      <w:r>
        <w:tab/>
        <w:t>(c)</w:t>
      </w:r>
      <w:r>
        <w:tab/>
        <w:t>specify the name of the industrial inspector who issued it; and</w:t>
      </w:r>
    </w:p>
    <w:p>
      <w:pPr>
        <w:pStyle w:val="Indenta"/>
      </w:pPr>
      <w:r>
        <w:tab/>
        <w:t>(d)</w:t>
      </w:r>
      <w:r>
        <w:tab/>
        <w:t>specify its date of issue; and</w:t>
      </w:r>
    </w:p>
    <w:p>
      <w:pPr>
        <w:pStyle w:val="Indenta"/>
      </w:pPr>
      <w:r>
        <w:tab/>
        <w:t>(e)</w:t>
      </w:r>
      <w:r>
        <w:tab/>
        <w:t>set out brief details of the alleged contravention or contraventions, including the record</w:t>
      </w:r>
      <w:r>
        <w:noBreakHyphen/>
        <w:t>related civil penalty provision that has been allegedly contravened; and</w:t>
      </w:r>
    </w:p>
    <w:p>
      <w:pPr>
        <w:pStyle w:val="Indenta"/>
      </w:pPr>
      <w:r>
        <w:tab/>
        <w:t>(f)</w:t>
      </w:r>
      <w:r>
        <w:tab/>
        <w:t>specify the civil infringement notice penalty; and</w:t>
      </w:r>
    </w:p>
    <w:p>
      <w:pPr>
        <w:pStyle w:val="Indenta"/>
      </w:pPr>
      <w:r>
        <w:tab/>
        <w:t>(g)</w:t>
      </w:r>
      <w:r>
        <w:tab/>
        <w:t>state how the civil infringement notice penalty can be paid; and</w:t>
      </w:r>
    </w:p>
    <w:p>
      <w:pPr>
        <w:pStyle w:val="Indenta"/>
      </w:pPr>
      <w:r>
        <w:tab/>
        <w:t>(h)</w:t>
      </w:r>
      <w:r>
        <w:tab/>
        <w:t>specify the maximum penalty that the industrial magistrate’s court could impose on the recipient for the alleged contravention or contraventions; and</w:t>
      </w:r>
    </w:p>
    <w:p>
      <w:pPr>
        <w:pStyle w:val="Indenta"/>
      </w:pPr>
      <w:r>
        <w:tab/>
        <w:t>(i)</w:t>
      </w:r>
      <w:r>
        <w:tab/>
        <w:t>identify the nominated person; and</w:t>
      </w:r>
    </w:p>
    <w:p>
      <w:pPr>
        <w:pStyle w:val="Indenta"/>
      </w:pPr>
      <w:r>
        <w:tab/>
        <w:t>(j)</w:t>
      </w:r>
      <w:r>
        <w:tab/>
        <w:t xml:space="preserve">explain how the recipient can apply to the nominated person — </w:t>
      </w:r>
    </w:p>
    <w:p>
      <w:pPr>
        <w:pStyle w:val="Indenti"/>
      </w:pPr>
      <w:r>
        <w:tab/>
        <w:t>(i)</w:t>
      </w:r>
      <w:r>
        <w:tab/>
        <w:t xml:space="preserve">to have the civil infringement notice withdrawn; or </w:t>
      </w:r>
    </w:p>
    <w:p>
      <w:pPr>
        <w:pStyle w:val="Indenti"/>
      </w:pPr>
      <w:r>
        <w:tab/>
        <w:t>(ii)</w:t>
      </w:r>
      <w:r>
        <w:tab/>
        <w:t xml:space="preserve">to be allowed more time to pay the civil infringement notice penalty; </w:t>
      </w:r>
    </w:p>
    <w:p>
      <w:pPr>
        <w:pStyle w:val="Indenta"/>
      </w:pPr>
      <w:r>
        <w:tab/>
      </w:r>
      <w:r>
        <w:tab/>
        <w:t>and</w:t>
      </w:r>
    </w:p>
    <w:p>
      <w:pPr>
        <w:pStyle w:val="Indenta"/>
      </w:pPr>
      <w:r>
        <w:tab/>
        <w:t>(k)</w:t>
      </w:r>
      <w:r>
        <w:tab/>
        <w:t>state the effect of the recipient paying the civil infringement notice penalty within the required time, as explained in section 84I; and</w:t>
      </w:r>
    </w:p>
    <w:p>
      <w:pPr>
        <w:pStyle w:val="Indenta"/>
      </w:pPr>
      <w:r>
        <w:tab/>
        <w:t>(l)</w:t>
      </w:r>
      <w:r>
        <w:tab/>
        <w:t>be signed by the industrial inspector who issued it.</w:t>
      </w:r>
    </w:p>
    <w:p>
      <w:pPr>
        <w:pStyle w:val="Subsection"/>
      </w:pPr>
      <w:r>
        <w:tab/>
        <w:t>(2)</w:t>
      </w:r>
      <w:r>
        <w:tab/>
        <w:t>The civil infringement notice may contain any other information that the industrial inspector who issues it thinks necessary.</w:t>
      </w:r>
    </w:p>
    <w:p>
      <w:pPr>
        <w:pStyle w:val="Footnotesection"/>
      </w:pPr>
      <w:bookmarkStart w:id="820" w:name="_Toc90558307"/>
      <w:bookmarkStart w:id="821" w:name="_Toc95209388"/>
      <w:r>
        <w:tab/>
        <w:t>[Section 84D inserted: No. 30 of 2021 s. 56.]</w:t>
      </w:r>
    </w:p>
    <w:p>
      <w:pPr>
        <w:pStyle w:val="Heading5"/>
      </w:pPr>
      <w:bookmarkStart w:id="822" w:name="_Toc107476589"/>
      <w:bookmarkStart w:id="823" w:name="_Toc106374123"/>
      <w:r>
        <w:rPr>
          <w:rStyle w:val="CharSectno"/>
        </w:rPr>
        <w:t>84E</w:t>
      </w:r>
      <w:r>
        <w:t>.</w:t>
      </w:r>
      <w:r>
        <w:tab/>
        <w:t>Amount of civil infringement notice penalty</w:t>
      </w:r>
      <w:bookmarkEnd w:id="822"/>
      <w:bookmarkEnd w:id="820"/>
      <w:bookmarkEnd w:id="821"/>
      <w:bookmarkEnd w:id="823"/>
    </w:p>
    <w:p>
      <w:pPr>
        <w:pStyle w:val="Subsection"/>
      </w:pPr>
      <w:r>
        <w:tab/>
      </w:r>
      <w:r>
        <w:tab/>
        <w:t>A civil infringement notice penalty must not exceed one</w:t>
      </w:r>
      <w:r>
        <w:noBreakHyphen/>
        <w:t>tenth of the statutory penalty that the industrial magistrate’s court could have ordered the recipient to pay under section 83E(1) for contravening the record</w:t>
      </w:r>
      <w:r>
        <w:noBreakHyphen/>
        <w:t>related civil penalty provision specified in the civil infringement notice.</w:t>
      </w:r>
    </w:p>
    <w:p>
      <w:pPr>
        <w:pStyle w:val="Footnotesection"/>
      </w:pPr>
      <w:bookmarkStart w:id="824" w:name="_Toc90558308"/>
      <w:bookmarkStart w:id="825" w:name="_Toc95209389"/>
      <w:r>
        <w:tab/>
        <w:t>[Section 84E inserted: No. 30 of 2021 s. 56.]</w:t>
      </w:r>
    </w:p>
    <w:p>
      <w:pPr>
        <w:pStyle w:val="Heading5"/>
      </w:pPr>
      <w:bookmarkStart w:id="826" w:name="_Toc107476590"/>
      <w:bookmarkStart w:id="827" w:name="_Toc106374124"/>
      <w:r>
        <w:rPr>
          <w:rStyle w:val="CharSectno"/>
        </w:rPr>
        <w:t>84F</w:t>
      </w:r>
      <w:r>
        <w:t>.</w:t>
      </w:r>
      <w:r>
        <w:tab/>
        <w:t>Time for payment of civil infringement notice penalty</w:t>
      </w:r>
      <w:bookmarkEnd w:id="826"/>
      <w:bookmarkEnd w:id="824"/>
      <w:bookmarkEnd w:id="825"/>
      <w:bookmarkEnd w:id="827"/>
    </w:p>
    <w:p>
      <w:pPr>
        <w:pStyle w:val="Subsection"/>
      </w:pPr>
      <w:r>
        <w:tab/>
        <w:t>(1)</w:t>
      </w:r>
      <w:r>
        <w:tab/>
        <w:t>A civil infringement notice penalty must be paid within 28 days after the day on which the notice is served on the recipient unless subsection (2), (3) or (4) applies.</w:t>
      </w:r>
    </w:p>
    <w:p>
      <w:pPr>
        <w:pStyle w:val="Subsection"/>
      </w:pPr>
      <w:r>
        <w:tab/>
        <w:t>(2)</w:t>
      </w:r>
      <w:r>
        <w:tab/>
        <w:t>If the recipient applies for a further period of time in which to pay the civil infringement notice penalty and the application is granted, the penalty must be paid within the further period allowed.</w:t>
      </w:r>
    </w:p>
    <w:p>
      <w:pPr>
        <w:pStyle w:val="Subsection"/>
      </w:pPr>
      <w:r>
        <w:tab/>
        <w:t>(3)</w:t>
      </w:r>
      <w:r>
        <w:tab/>
        <w:t>If the recipient applies for a further period of time in which to pay the civil infringement notice penalty and the application is refused, the penalty must be paid within 7 days after the notice of the refusal is served on the recipient.</w:t>
      </w:r>
    </w:p>
    <w:p>
      <w:pPr>
        <w:pStyle w:val="Subsection"/>
      </w:pPr>
      <w:r>
        <w:tab/>
        <w:t>(4)</w:t>
      </w:r>
      <w:r>
        <w:tab/>
        <w:t>If the recipient applies for the notice to be withdrawn and the application is refused, the civil infringement notice penalty must be paid within 28 days after the notice of the refusal is served on the recipient.</w:t>
      </w:r>
    </w:p>
    <w:p>
      <w:pPr>
        <w:pStyle w:val="Footnotesection"/>
      </w:pPr>
      <w:bookmarkStart w:id="828" w:name="_Toc90558309"/>
      <w:bookmarkStart w:id="829" w:name="_Toc95209390"/>
      <w:r>
        <w:tab/>
        <w:t>[Section 84F inserted: No. 30 of 2021 s. 56.]</w:t>
      </w:r>
    </w:p>
    <w:p>
      <w:pPr>
        <w:pStyle w:val="Heading5"/>
      </w:pPr>
      <w:bookmarkStart w:id="830" w:name="_Toc107476591"/>
      <w:bookmarkStart w:id="831" w:name="_Toc106374125"/>
      <w:r>
        <w:rPr>
          <w:rStyle w:val="CharSectno"/>
        </w:rPr>
        <w:t>84G</w:t>
      </w:r>
      <w:r>
        <w:t>.</w:t>
      </w:r>
      <w:r>
        <w:tab/>
        <w:t>Extension of time to pay civil infringement notice penalty</w:t>
      </w:r>
      <w:bookmarkEnd w:id="830"/>
      <w:bookmarkEnd w:id="828"/>
      <w:bookmarkEnd w:id="829"/>
      <w:bookmarkEnd w:id="831"/>
    </w:p>
    <w:p>
      <w:pPr>
        <w:pStyle w:val="Subsection"/>
      </w:pPr>
      <w:r>
        <w:tab/>
        <w:t>(1)</w:t>
      </w:r>
      <w:r>
        <w:tab/>
        <w:t>Before the end of 28 days after receiving a civil infringement notice, the recipient may apply, in writing, to the nominated person for a further period of up to 28 days in which to pay the civil infringement notice penalty.</w:t>
      </w:r>
    </w:p>
    <w:p>
      <w:pPr>
        <w:pStyle w:val="Subsection"/>
      </w:pPr>
      <w:r>
        <w:tab/>
        <w:t>(2)</w:t>
      </w:r>
      <w:r>
        <w:tab/>
        <w:t xml:space="preserve">Within 14 days after receiving the application, the nominated person must — </w:t>
      </w:r>
    </w:p>
    <w:p>
      <w:pPr>
        <w:pStyle w:val="Indenta"/>
      </w:pPr>
      <w:r>
        <w:tab/>
        <w:t>(a)</w:t>
      </w:r>
      <w:r>
        <w:tab/>
        <w:t>grant or refuse a further period not longer than the period sought (but less than 28 days); and</w:t>
      </w:r>
    </w:p>
    <w:p>
      <w:pPr>
        <w:pStyle w:val="Indenta"/>
      </w:pPr>
      <w:r>
        <w:tab/>
        <w:t>(b)</w:t>
      </w:r>
      <w:r>
        <w:tab/>
        <w:t>notify the recipient in writing of the decision and, if the decision is a refusal, the reasons for the decision.</w:t>
      </w:r>
    </w:p>
    <w:p>
      <w:pPr>
        <w:pStyle w:val="Footnotesection"/>
      </w:pPr>
      <w:bookmarkStart w:id="832" w:name="_Toc90558310"/>
      <w:bookmarkStart w:id="833" w:name="_Toc95209391"/>
      <w:r>
        <w:tab/>
        <w:t>[Section 84G inserted: No. 30 of 2021 s. 56.]</w:t>
      </w:r>
    </w:p>
    <w:p>
      <w:pPr>
        <w:pStyle w:val="Heading5"/>
      </w:pPr>
      <w:bookmarkStart w:id="834" w:name="_Toc107476592"/>
      <w:bookmarkStart w:id="835" w:name="_Toc106374126"/>
      <w:r>
        <w:rPr>
          <w:rStyle w:val="CharSectno"/>
        </w:rPr>
        <w:t>84H</w:t>
      </w:r>
      <w:r>
        <w:t>.</w:t>
      </w:r>
      <w:r>
        <w:tab/>
        <w:t>Withdrawal of civil infringement notice</w:t>
      </w:r>
      <w:bookmarkEnd w:id="834"/>
      <w:bookmarkEnd w:id="832"/>
      <w:bookmarkEnd w:id="833"/>
      <w:bookmarkEnd w:id="835"/>
    </w:p>
    <w:p>
      <w:pPr>
        <w:pStyle w:val="Subsection"/>
      </w:pPr>
      <w:r>
        <w:tab/>
        <w:t>(1)</w:t>
      </w:r>
      <w:r>
        <w:tab/>
        <w:t>Before the end of 28 days after receiving the civil infringement notice, the recipient may apply, in writing, to the nominated person for the civil infringement notice to be withdrawn.</w:t>
      </w:r>
    </w:p>
    <w:p>
      <w:pPr>
        <w:pStyle w:val="Subsection"/>
      </w:pPr>
      <w:r>
        <w:tab/>
        <w:t>(2)</w:t>
      </w:r>
      <w:r>
        <w:tab/>
        <w:t xml:space="preserve">Within 14 days after receiving the application, the nominated person must — </w:t>
      </w:r>
    </w:p>
    <w:p>
      <w:pPr>
        <w:pStyle w:val="Indenta"/>
      </w:pPr>
      <w:r>
        <w:tab/>
        <w:t>(a)</w:t>
      </w:r>
      <w:r>
        <w:tab/>
        <w:t>withdraw or refuse to withdraw the civil infringement notice; and</w:t>
      </w:r>
    </w:p>
    <w:p>
      <w:pPr>
        <w:pStyle w:val="Indenta"/>
      </w:pPr>
      <w:r>
        <w:tab/>
        <w:t>(b)</w:t>
      </w:r>
      <w:r>
        <w:tab/>
        <w:t>notify the recipient in writing of the decision and, if the decision is a refusal, the reasons for the decision.</w:t>
      </w:r>
    </w:p>
    <w:p>
      <w:pPr>
        <w:pStyle w:val="Subsection"/>
      </w:pPr>
      <w:r>
        <w:tab/>
        <w:t>(3)</w:t>
      </w:r>
      <w:r>
        <w:tab/>
        <w:t>If the nominated person has not approved the withdrawal of the civil infringement notice within the period allowed by subsection (2), the application is taken to have been refused.</w:t>
      </w:r>
    </w:p>
    <w:p>
      <w:pPr>
        <w:pStyle w:val="Subsection"/>
      </w:pPr>
      <w:r>
        <w:tab/>
        <w:t>(4)</w:t>
      </w:r>
      <w:r>
        <w:tab/>
        <w:t>The inspector who issued it may also withdraw the civil infringement notice at any time by serving a notice of withdrawal on the recipient.</w:t>
      </w:r>
    </w:p>
    <w:p>
      <w:pPr>
        <w:pStyle w:val="Subsection"/>
      </w:pPr>
      <w:r>
        <w:tab/>
        <w:t>(5)</w:t>
      </w:r>
      <w:r>
        <w:tab/>
        <w:t xml:space="preserve">A notice of the withdrawal of a civil infringement notice under subsection (4) must — </w:t>
      </w:r>
    </w:p>
    <w:p>
      <w:pPr>
        <w:pStyle w:val="Indenta"/>
      </w:pPr>
      <w:r>
        <w:tab/>
        <w:t>(a)</w:t>
      </w:r>
      <w:r>
        <w:tab/>
        <w:t>specify the recipient’s full name; and</w:t>
      </w:r>
    </w:p>
    <w:p>
      <w:pPr>
        <w:pStyle w:val="Indenta"/>
      </w:pPr>
      <w:r>
        <w:tab/>
        <w:t>(b)</w:t>
      </w:r>
      <w:r>
        <w:tab/>
        <w:t>specify the recipient’s address; and</w:t>
      </w:r>
    </w:p>
    <w:p>
      <w:pPr>
        <w:pStyle w:val="Indenta"/>
      </w:pPr>
      <w:r>
        <w:tab/>
        <w:t>(c)</w:t>
      </w:r>
      <w:r>
        <w:tab/>
        <w:t>specify its date of issue; and</w:t>
      </w:r>
    </w:p>
    <w:p>
      <w:pPr>
        <w:pStyle w:val="Indenta"/>
      </w:pPr>
      <w:r>
        <w:tab/>
        <w:t>(d)</w:t>
      </w:r>
      <w:r>
        <w:tab/>
        <w:t>state that the civil infringement notice is withdrawn.</w:t>
      </w:r>
    </w:p>
    <w:p>
      <w:pPr>
        <w:pStyle w:val="Footnotesection"/>
      </w:pPr>
      <w:bookmarkStart w:id="836" w:name="_Toc90558311"/>
      <w:bookmarkStart w:id="837" w:name="_Toc95209392"/>
      <w:r>
        <w:tab/>
        <w:t>[Section 84H inserted: No. 30 of 2021 s. 56.]</w:t>
      </w:r>
    </w:p>
    <w:p>
      <w:pPr>
        <w:pStyle w:val="Heading5"/>
      </w:pPr>
      <w:bookmarkStart w:id="838" w:name="_Toc107476593"/>
      <w:bookmarkStart w:id="839" w:name="_Toc106374127"/>
      <w:r>
        <w:rPr>
          <w:rStyle w:val="CharSectno"/>
        </w:rPr>
        <w:t>84I</w:t>
      </w:r>
      <w:r>
        <w:t>.</w:t>
      </w:r>
      <w:r>
        <w:tab/>
        <w:t>Effect of payment of civil infringement notice penalty</w:t>
      </w:r>
      <w:bookmarkEnd w:id="838"/>
      <w:bookmarkEnd w:id="836"/>
      <w:bookmarkEnd w:id="837"/>
      <w:bookmarkEnd w:id="839"/>
    </w:p>
    <w:p>
      <w:pPr>
        <w:pStyle w:val="Subsection"/>
        <w:keepNext/>
      </w:pPr>
      <w:r>
        <w:tab/>
      </w:r>
      <w:r>
        <w:tab/>
        <w:t xml:space="preserve">If a civil infringement notice is not withdrawn and the recipient pays the civil infringement notice penalty — </w:t>
      </w:r>
    </w:p>
    <w:p>
      <w:pPr>
        <w:pStyle w:val="Indenta"/>
      </w:pPr>
      <w:r>
        <w:tab/>
        <w:t>(a)</w:t>
      </w:r>
      <w:r>
        <w:tab/>
        <w:t>any liability of the recipient for the alleged contravention is discharged; and</w:t>
      </w:r>
    </w:p>
    <w:p>
      <w:pPr>
        <w:pStyle w:val="Indenta"/>
      </w:pPr>
      <w:r>
        <w:tab/>
        <w:t>(b)</w:t>
      </w:r>
      <w:r>
        <w:tab/>
        <w:t>no proceedings may be brought against the recipient, by any person, for the alleged contravention; and</w:t>
      </w:r>
    </w:p>
    <w:p>
      <w:pPr>
        <w:pStyle w:val="Indenta"/>
      </w:pPr>
      <w:r>
        <w:tab/>
        <w:t>(c)</w:t>
      </w:r>
      <w:r>
        <w:tab/>
        <w:t>the recipient is not taken to have admitted to having contravened the record</w:t>
      </w:r>
      <w:r>
        <w:noBreakHyphen/>
        <w:t>related civil penalty provision; and</w:t>
      </w:r>
    </w:p>
    <w:p>
      <w:pPr>
        <w:pStyle w:val="Indenta"/>
      </w:pPr>
      <w:r>
        <w:tab/>
        <w:t>(d)</w:t>
      </w:r>
      <w:r>
        <w:tab/>
        <w:t>the recipient is not taken to have committed a contravention of the provision in relation to which the civil infringement notice was issued.</w:t>
      </w:r>
    </w:p>
    <w:p>
      <w:pPr>
        <w:pStyle w:val="Footnotesection"/>
      </w:pPr>
      <w:bookmarkStart w:id="840" w:name="_Toc90558312"/>
      <w:bookmarkStart w:id="841" w:name="_Toc95209393"/>
      <w:r>
        <w:tab/>
        <w:t>[Section 84I inserted: No. 30 of 2021 s. 56.]</w:t>
      </w:r>
    </w:p>
    <w:p>
      <w:pPr>
        <w:pStyle w:val="Heading5"/>
      </w:pPr>
      <w:bookmarkStart w:id="842" w:name="_Toc107476594"/>
      <w:bookmarkStart w:id="843" w:name="_Toc106374128"/>
      <w:r>
        <w:rPr>
          <w:rStyle w:val="CharSectno"/>
        </w:rPr>
        <w:t>84J</w:t>
      </w:r>
      <w:r>
        <w:t>.</w:t>
      </w:r>
      <w:r>
        <w:tab/>
        <w:t>Refund of civil infringement notice penalty</w:t>
      </w:r>
      <w:bookmarkEnd w:id="842"/>
      <w:bookmarkEnd w:id="840"/>
      <w:bookmarkEnd w:id="841"/>
      <w:bookmarkEnd w:id="843"/>
    </w:p>
    <w:p>
      <w:pPr>
        <w:pStyle w:val="Subsection"/>
      </w:pPr>
      <w:r>
        <w:tab/>
      </w:r>
      <w:r>
        <w:tab/>
        <w:t>If a civil infringement notice is withdrawn after the civil infringement notice penalty has been paid, the Treasurer must refund the amount of the penalty to the person who paid it.</w:t>
      </w:r>
    </w:p>
    <w:p>
      <w:pPr>
        <w:pStyle w:val="Footnotesection"/>
      </w:pPr>
      <w:bookmarkStart w:id="844" w:name="_Toc84926140"/>
      <w:bookmarkStart w:id="845" w:name="_Toc84927556"/>
      <w:bookmarkStart w:id="846" w:name="_Toc84935536"/>
      <w:bookmarkStart w:id="847" w:name="_Toc85533333"/>
      <w:bookmarkStart w:id="848" w:name="_Toc85543949"/>
      <w:bookmarkStart w:id="849" w:name="_Toc90551742"/>
      <w:bookmarkStart w:id="850" w:name="_Toc90553710"/>
      <w:bookmarkStart w:id="851" w:name="_Toc90558313"/>
      <w:bookmarkStart w:id="852" w:name="_Toc91144555"/>
      <w:bookmarkStart w:id="853" w:name="_Toc95209394"/>
      <w:r>
        <w:tab/>
        <w:t>[Section 84J inserted: No. 30 of 2021 s. 56.]</w:t>
      </w:r>
    </w:p>
    <w:p>
      <w:pPr>
        <w:pStyle w:val="Heading3"/>
      </w:pPr>
      <w:bookmarkStart w:id="854" w:name="_Toc107322466"/>
      <w:bookmarkStart w:id="855" w:name="_Toc107476595"/>
      <w:bookmarkStart w:id="856" w:name="_Toc106195455"/>
      <w:bookmarkStart w:id="857" w:name="_Toc106367398"/>
      <w:bookmarkStart w:id="858" w:name="_Toc106374129"/>
      <w:r>
        <w:rPr>
          <w:rStyle w:val="CharDivNo"/>
        </w:rPr>
        <w:t>Division 4</w:t>
      </w:r>
      <w:r>
        <w:t> — </w:t>
      </w:r>
      <w:r>
        <w:rPr>
          <w:rStyle w:val="CharDivText"/>
        </w:rPr>
        <w:t>Enforceable undertakings</w:t>
      </w:r>
      <w:bookmarkEnd w:id="854"/>
      <w:bookmarkEnd w:id="855"/>
      <w:bookmarkEnd w:id="844"/>
      <w:bookmarkEnd w:id="845"/>
      <w:bookmarkEnd w:id="846"/>
      <w:bookmarkEnd w:id="847"/>
      <w:bookmarkEnd w:id="848"/>
      <w:bookmarkEnd w:id="849"/>
      <w:bookmarkEnd w:id="850"/>
      <w:bookmarkEnd w:id="851"/>
      <w:bookmarkEnd w:id="852"/>
      <w:bookmarkEnd w:id="853"/>
      <w:bookmarkEnd w:id="856"/>
      <w:bookmarkEnd w:id="857"/>
      <w:bookmarkEnd w:id="858"/>
    </w:p>
    <w:p>
      <w:pPr>
        <w:pStyle w:val="Footnoteheading"/>
        <w:keepNext/>
        <w:keepLines/>
      </w:pPr>
      <w:bookmarkStart w:id="859" w:name="_Toc90558314"/>
      <w:bookmarkStart w:id="860" w:name="_Toc95209395"/>
      <w:r>
        <w:tab/>
        <w:t>[Heading inserted: No. 30 of 2021 s. 56.]</w:t>
      </w:r>
    </w:p>
    <w:p>
      <w:pPr>
        <w:pStyle w:val="Heading5"/>
      </w:pPr>
      <w:bookmarkStart w:id="861" w:name="_Toc107476596"/>
      <w:bookmarkStart w:id="862" w:name="_Toc106374130"/>
      <w:r>
        <w:rPr>
          <w:rStyle w:val="CharSectno"/>
        </w:rPr>
        <w:t>84K</w:t>
      </w:r>
      <w:r>
        <w:t>.</w:t>
      </w:r>
      <w:r>
        <w:tab/>
        <w:t>Terms used</w:t>
      </w:r>
      <w:bookmarkEnd w:id="861"/>
      <w:bookmarkEnd w:id="859"/>
      <w:bookmarkEnd w:id="860"/>
      <w:bookmarkEnd w:id="862"/>
    </w:p>
    <w:p>
      <w:pPr>
        <w:pStyle w:val="Subsection"/>
      </w:pPr>
      <w:r>
        <w:tab/>
      </w:r>
      <w:r>
        <w:tab/>
        <w:t xml:space="preserve">In this Division — </w:t>
      </w:r>
    </w:p>
    <w:p>
      <w:pPr>
        <w:pStyle w:val="Defstart"/>
      </w:pPr>
      <w:r>
        <w:tab/>
      </w:r>
      <w:r>
        <w:rPr>
          <w:rStyle w:val="CharDefText"/>
        </w:rPr>
        <w:t>contravention</w:t>
      </w:r>
      <w:r>
        <w:t xml:space="preserve"> means a contravention of or failure to comply with — </w:t>
      </w:r>
    </w:p>
    <w:p>
      <w:pPr>
        <w:pStyle w:val="Defpara"/>
      </w:pPr>
      <w:r>
        <w:tab/>
        <w:t>(a)</w:t>
      </w:r>
      <w:r>
        <w:tab/>
        <w:t>a civil penalty provision; or</w:t>
      </w:r>
    </w:p>
    <w:p>
      <w:pPr>
        <w:pStyle w:val="Defpara"/>
      </w:pPr>
      <w:r>
        <w:tab/>
        <w:t>(b)</w:t>
      </w:r>
      <w:r>
        <w:tab/>
        <w:t>an entitlement provision.</w:t>
      </w:r>
    </w:p>
    <w:p>
      <w:pPr>
        <w:pStyle w:val="Defstart"/>
      </w:pPr>
      <w:r>
        <w:tab/>
      </w:r>
      <w:r>
        <w:rPr>
          <w:rStyle w:val="CharDefText"/>
        </w:rPr>
        <w:t>enforceable undertaking</w:t>
      </w:r>
      <w:r>
        <w:t xml:space="preserve"> means a written undertaking accepted under section 84M(1).</w:t>
      </w:r>
    </w:p>
    <w:p>
      <w:pPr>
        <w:pStyle w:val="Footnotesection"/>
      </w:pPr>
      <w:bookmarkStart w:id="863" w:name="_Toc90558315"/>
      <w:bookmarkStart w:id="864" w:name="_Toc95209396"/>
      <w:r>
        <w:tab/>
        <w:t>[Section 84K inserted: No. 30 of 2021 s. 56.]</w:t>
      </w:r>
    </w:p>
    <w:p>
      <w:pPr>
        <w:pStyle w:val="Heading5"/>
      </w:pPr>
      <w:bookmarkStart w:id="865" w:name="_Toc107476597"/>
      <w:bookmarkStart w:id="866" w:name="_Toc106374131"/>
      <w:r>
        <w:rPr>
          <w:rStyle w:val="CharSectno"/>
        </w:rPr>
        <w:t>84L</w:t>
      </w:r>
      <w:r>
        <w:t>.</w:t>
      </w:r>
      <w:r>
        <w:tab/>
        <w:t>Application of Division</w:t>
      </w:r>
      <w:bookmarkEnd w:id="865"/>
      <w:bookmarkEnd w:id="863"/>
      <w:bookmarkEnd w:id="864"/>
      <w:bookmarkEnd w:id="866"/>
    </w:p>
    <w:p>
      <w:pPr>
        <w:pStyle w:val="Subsection"/>
      </w:pPr>
      <w:r>
        <w:tab/>
      </w:r>
      <w:r>
        <w:tab/>
        <w:t>This Division applies if an industrial inspector reasonably believes that a person has committed a contravention.</w:t>
      </w:r>
    </w:p>
    <w:p>
      <w:pPr>
        <w:pStyle w:val="Footnotesection"/>
      </w:pPr>
      <w:bookmarkStart w:id="867" w:name="_Toc90558316"/>
      <w:bookmarkStart w:id="868" w:name="_Toc95209397"/>
      <w:r>
        <w:tab/>
        <w:t>[Section 84L inserted: No. 30 of 2021 s. 56.]</w:t>
      </w:r>
    </w:p>
    <w:p>
      <w:pPr>
        <w:pStyle w:val="Heading5"/>
      </w:pPr>
      <w:bookmarkStart w:id="869" w:name="_Toc107476598"/>
      <w:bookmarkStart w:id="870" w:name="_Toc106374132"/>
      <w:r>
        <w:rPr>
          <w:rStyle w:val="CharSectno"/>
        </w:rPr>
        <w:t>84M</w:t>
      </w:r>
      <w:r>
        <w:t>.</w:t>
      </w:r>
      <w:r>
        <w:tab/>
        <w:t>Enforceable undertaking</w:t>
      </w:r>
      <w:bookmarkEnd w:id="869"/>
      <w:bookmarkEnd w:id="867"/>
      <w:bookmarkEnd w:id="868"/>
      <w:bookmarkEnd w:id="870"/>
    </w:p>
    <w:p>
      <w:pPr>
        <w:pStyle w:val="Subsection"/>
      </w:pPr>
      <w:r>
        <w:tab/>
        <w:t>(1)</w:t>
      </w:r>
      <w:r>
        <w:tab/>
        <w:t>Except as provided by subsection (4), an industrial inspector may accept a written undertaking given by a person in relation to a contravention.</w:t>
      </w:r>
    </w:p>
    <w:p>
      <w:pPr>
        <w:pStyle w:val="Subsection"/>
      </w:pPr>
      <w:r>
        <w:tab/>
        <w:t>(2)</w:t>
      </w:r>
      <w:r>
        <w:tab/>
        <w:t>The person may withdraw or vary the enforceable undertaking at any time, but only with the industrial inspector’s consent.</w:t>
      </w:r>
    </w:p>
    <w:p>
      <w:pPr>
        <w:pStyle w:val="Subsection"/>
      </w:pPr>
      <w:r>
        <w:tab/>
        <w:t>(3)</w:t>
      </w:r>
      <w:r>
        <w:tab/>
        <w:t xml:space="preserve">An industrial inspector must not apply for an order under section 83 or 83E in relation to the contravention unless the enforceable undertaking has been — </w:t>
      </w:r>
    </w:p>
    <w:p>
      <w:pPr>
        <w:pStyle w:val="Indenta"/>
      </w:pPr>
      <w:r>
        <w:tab/>
        <w:t>(a)</w:t>
      </w:r>
      <w:r>
        <w:tab/>
        <w:t xml:space="preserve">withdrawn; or </w:t>
      </w:r>
    </w:p>
    <w:p>
      <w:pPr>
        <w:pStyle w:val="Indenta"/>
      </w:pPr>
      <w:r>
        <w:tab/>
        <w:t>(b)</w:t>
      </w:r>
      <w:r>
        <w:tab/>
        <w:t>cancelled under section 84N(2)(c).</w:t>
      </w:r>
    </w:p>
    <w:p>
      <w:pPr>
        <w:pStyle w:val="Subsection"/>
      </w:pPr>
      <w:r>
        <w:tab/>
        <w:t>(4)</w:t>
      </w:r>
      <w:r>
        <w:tab/>
        <w:t>The industrial inspector must not accept an enforceable undertaking in relation to a contravention if the person has been given a compliance notice as defined in section 84Q in relation to the contravention.</w:t>
      </w:r>
    </w:p>
    <w:p>
      <w:pPr>
        <w:pStyle w:val="Footnotesection"/>
      </w:pPr>
      <w:bookmarkStart w:id="871" w:name="_Toc90558317"/>
      <w:bookmarkStart w:id="872" w:name="_Toc95209398"/>
      <w:r>
        <w:tab/>
        <w:t>[Section 84M inserted: No. 30 of 2021 s. 56.]</w:t>
      </w:r>
    </w:p>
    <w:p>
      <w:pPr>
        <w:pStyle w:val="Heading5"/>
      </w:pPr>
      <w:bookmarkStart w:id="873" w:name="_Toc107476599"/>
      <w:bookmarkStart w:id="874" w:name="_Toc106374133"/>
      <w:r>
        <w:rPr>
          <w:rStyle w:val="CharSectno"/>
        </w:rPr>
        <w:t>84N</w:t>
      </w:r>
      <w:r>
        <w:t>.</w:t>
      </w:r>
      <w:r>
        <w:tab/>
        <w:t>Enforcement of enforceable undertakings</w:t>
      </w:r>
      <w:bookmarkEnd w:id="873"/>
      <w:bookmarkEnd w:id="871"/>
      <w:bookmarkEnd w:id="872"/>
      <w:bookmarkEnd w:id="874"/>
    </w:p>
    <w:p>
      <w:pPr>
        <w:pStyle w:val="Subsection"/>
      </w:pPr>
      <w:r>
        <w:tab/>
        <w:t>(1)</w:t>
      </w:r>
      <w:r>
        <w:tab/>
        <w:t>If an industrial inspector considers that a person who gave an enforceable undertaking has contravened any of its terms, the industrial inspector may apply to the industrial magistrate’s court for an order under subsection (2).</w:t>
      </w:r>
    </w:p>
    <w:p>
      <w:pPr>
        <w:pStyle w:val="Subsection"/>
        <w:keepNext/>
      </w:pPr>
      <w:r>
        <w:tab/>
        <w:t>(2)</w:t>
      </w:r>
      <w:r>
        <w:tab/>
        <w:t xml:space="preserve">If the industrial magistrate’s court is satisfied that the person has contravened a term of the enforceable undertaking, the court may make 1 or more of the following orders — </w:t>
      </w:r>
    </w:p>
    <w:p>
      <w:pPr>
        <w:pStyle w:val="Indenta"/>
      </w:pPr>
      <w:r>
        <w:tab/>
        <w:t>(a)</w:t>
      </w:r>
      <w:r>
        <w:tab/>
        <w:t>an order directing the person to comply with the term of the undertaking;</w:t>
      </w:r>
    </w:p>
    <w:p>
      <w:pPr>
        <w:pStyle w:val="Indenta"/>
      </w:pPr>
      <w:r>
        <w:tab/>
        <w:t>(b)</w:t>
      </w:r>
      <w:r>
        <w:tab/>
        <w:t>an order awarding compensation for loss that a person has suffered because of the contravention;</w:t>
      </w:r>
    </w:p>
    <w:p>
      <w:pPr>
        <w:pStyle w:val="Indenta"/>
      </w:pPr>
      <w:r>
        <w:tab/>
        <w:t>(c)</w:t>
      </w:r>
      <w:r>
        <w:tab/>
        <w:t>an order varying or cancelling the enforceable undertaking;</w:t>
      </w:r>
    </w:p>
    <w:p>
      <w:pPr>
        <w:pStyle w:val="Indenta"/>
      </w:pPr>
      <w:r>
        <w:tab/>
        <w:t>(d)</w:t>
      </w:r>
      <w:r>
        <w:tab/>
        <w:t>any other order that the court considers appropriate.</w:t>
      </w:r>
    </w:p>
    <w:p>
      <w:pPr>
        <w:pStyle w:val="Footnotesection"/>
      </w:pPr>
      <w:bookmarkStart w:id="875" w:name="_Toc84926145"/>
      <w:bookmarkStart w:id="876" w:name="_Toc84927561"/>
      <w:bookmarkStart w:id="877" w:name="_Toc84935541"/>
      <w:bookmarkStart w:id="878" w:name="_Toc85533338"/>
      <w:bookmarkStart w:id="879" w:name="_Toc85543954"/>
      <w:bookmarkStart w:id="880" w:name="_Toc90551747"/>
      <w:bookmarkStart w:id="881" w:name="_Toc90553715"/>
      <w:bookmarkStart w:id="882" w:name="_Toc90558318"/>
      <w:bookmarkStart w:id="883" w:name="_Toc91144560"/>
      <w:bookmarkStart w:id="884" w:name="_Toc95209399"/>
      <w:r>
        <w:tab/>
        <w:t>[Section 84N inserted: No. 30 of 2021 s. 56.]</w:t>
      </w:r>
    </w:p>
    <w:p>
      <w:pPr>
        <w:pStyle w:val="Heading3"/>
      </w:pPr>
      <w:bookmarkStart w:id="885" w:name="_Toc107322471"/>
      <w:bookmarkStart w:id="886" w:name="_Toc107476600"/>
      <w:bookmarkStart w:id="887" w:name="_Toc106195460"/>
      <w:bookmarkStart w:id="888" w:name="_Toc106367403"/>
      <w:bookmarkStart w:id="889" w:name="_Toc106374134"/>
      <w:r>
        <w:rPr>
          <w:rStyle w:val="CharDivNo"/>
        </w:rPr>
        <w:t>Division 5</w:t>
      </w:r>
      <w:r>
        <w:t> — </w:t>
      </w:r>
      <w:r>
        <w:rPr>
          <w:rStyle w:val="CharDivText"/>
        </w:rPr>
        <w:t>Compliance notices</w:t>
      </w:r>
      <w:bookmarkEnd w:id="885"/>
      <w:bookmarkEnd w:id="886"/>
      <w:bookmarkEnd w:id="875"/>
      <w:bookmarkEnd w:id="876"/>
      <w:bookmarkEnd w:id="877"/>
      <w:bookmarkEnd w:id="878"/>
      <w:bookmarkEnd w:id="879"/>
      <w:bookmarkEnd w:id="880"/>
      <w:bookmarkEnd w:id="881"/>
      <w:bookmarkEnd w:id="882"/>
      <w:bookmarkEnd w:id="883"/>
      <w:bookmarkEnd w:id="884"/>
      <w:bookmarkEnd w:id="887"/>
      <w:bookmarkEnd w:id="888"/>
      <w:bookmarkEnd w:id="889"/>
    </w:p>
    <w:p>
      <w:pPr>
        <w:pStyle w:val="Footnoteheading"/>
        <w:keepNext/>
        <w:keepLines/>
      </w:pPr>
      <w:bookmarkStart w:id="890" w:name="_Toc90558319"/>
      <w:bookmarkStart w:id="891" w:name="_Toc95209400"/>
      <w:r>
        <w:tab/>
        <w:t>[Heading inserted: No. 30 of 2021 s. 56.]</w:t>
      </w:r>
    </w:p>
    <w:p>
      <w:pPr>
        <w:pStyle w:val="Heading5"/>
      </w:pPr>
      <w:bookmarkStart w:id="892" w:name="_Toc107476601"/>
      <w:bookmarkStart w:id="893" w:name="_Toc106374135"/>
      <w:r>
        <w:rPr>
          <w:rStyle w:val="CharSectno"/>
        </w:rPr>
        <w:t>84O</w:t>
      </w:r>
      <w:r>
        <w:t>.</w:t>
      </w:r>
      <w:r>
        <w:tab/>
        <w:t>Terms used</w:t>
      </w:r>
      <w:bookmarkEnd w:id="892"/>
      <w:bookmarkEnd w:id="890"/>
      <w:bookmarkEnd w:id="891"/>
      <w:bookmarkEnd w:id="893"/>
    </w:p>
    <w:p>
      <w:pPr>
        <w:pStyle w:val="Subsection"/>
      </w:pPr>
      <w:r>
        <w:tab/>
      </w:r>
      <w:r>
        <w:tab/>
        <w:t xml:space="preserve">In this Division — </w:t>
      </w:r>
    </w:p>
    <w:p>
      <w:pPr>
        <w:pStyle w:val="Defstart"/>
      </w:pPr>
      <w:r>
        <w:tab/>
      </w:r>
      <w:r>
        <w:rPr>
          <w:rStyle w:val="CharDefText"/>
        </w:rPr>
        <w:t>compliance notice</w:t>
      </w:r>
      <w:r>
        <w:t xml:space="preserve"> has the meaning given in section 84Q;</w:t>
      </w:r>
    </w:p>
    <w:p>
      <w:pPr>
        <w:pStyle w:val="Defstart"/>
      </w:pPr>
      <w:r>
        <w:tab/>
      </w:r>
      <w:r>
        <w:rPr>
          <w:rStyle w:val="CharDefText"/>
        </w:rPr>
        <w:t>contravention</w:t>
      </w:r>
      <w:r>
        <w:t xml:space="preserve"> means a contravention of or failure to comply with an entitlement provision.</w:t>
      </w:r>
    </w:p>
    <w:p>
      <w:pPr>
        <w:pStyle w:val="Footnotesection"/>
      </w:pPr>
      <w:bookmarkStart w:id="894" w:name="_Toc90558320"/>
      <w:bookmarkStart w:id="895" w:name="_Toc95209401"/>
      <w:r>
        <w:tab/>
        <w:t>[Section 84O inserted: No. 30 of 2021 s. 56.]</w:t>
      </w:r>
    </w:p>
    <w:p>
      <w:pPr>
        <w:pStyle w:val="Heading5"/>
      </w:pPr>
      <w:bookmarkStart w:id="896" w:name="_Toc107476602"/>
      <w:bookmarkStart w:id="897" w:name="_Toc106374136"/>
      <w:r>
        <w:rPr>
          <w:rStyle w:val="CharSectno"/>
        </w:rPr>
        <w:t>84P</w:t>
      </w:r>
      <w:r>
        <w:t>.</w:t>
      </w:r>
      <w:r>
        <w:tab/>
        <w:t>Application of Division</w:t>
      </w:r>
      <w:bookmarkEnd w:id="896"/>
      <w:bookmarkEnd w:id="894"/>
      <w:bookmarkEnd w:id="895"/>
      <w:bookmarkEnd w:id="897"/>
    </w:p>
    <w:p>
      <w:pPr>
        <w:pStyle w:val="Subsection"/>
      </w:pPr>
      <w:r>
        <w:tab/>
      </w:r>
      <w:r>
        <w:tab/>
        <w:t xml:space="preserve">This Division applies if an industrial inspector (the </w:t>
      </w:r>
      <w:r>
        <w:rPr>
          <w:rStyle w:val="CharDefText"/>
        </w:rPr>
        <w:t>industrial inspector</w:t>
      </w:r>
      <w:r>
        <w:t>) reasonably believes that a person has contravened an entitlement provision.</w:t>
      </w:r>
    </w:p>
    <w:p>
      <w:pPr>
        <w:pStyle w:val="Footnotesection"/>
      </w:pPr>
      <w:bookmarkStart w:id="898" w:name="_Toc90558321"/>
      <w:bookmarkStart w:id="899" w:name="_Toc95209402"/>
      <w:r>
        <w:tab/>
        <w:t>[Section 84P inserted: No. 30 of 2021 s. 56.]</w:t>
      </w:r>
    </w:p>
    <w:p>
      <w:pPr>
        <w:pStyle w:val="Heading5"/>
      </w:pPr>
      <w:bookmarkStart w:id="900" w:name="_Toc107476603"/>
      <w:bookmarkStart w:id="901" w:name="_Toc106374137"/>
      <w:r>
        <w:rPr>
          <w:rStyle w:val="CharSectno"/>
        </w:rPr>
        <w:t>84Q</w:t>
      </w:r>
      <w:r>
        <w:t>.</w:t>
      </w:r>
      <w:r>
        <w:tab/>
        <w:t>Giving compliance notice</w:t>
      </w:r>
      <w:bookmarkEnd w:id="900"/>
      <w:bookmarkEnd w:id="898"/>
      <w:bookmarkEnd w:id="899"/>
      <w:bookmarkEnd w:id="901"/>
    </w:p>
    <w:p>
      <w:pPr>
        <w:pStyle w:val="Subsection"/>
        <w:keepNext/>
      </w:pPr>
      <w:r>
        <w:tab/>
        <w:t>(1)</w:t>
      </w:r>
      <w:r>
        <w:tab/>
        <w:t xml:space="preserve">Except as provided in section 84R, the industrial inspector may give the person a notice (a </w:t>
      </w:r>
      <w:r>
        <w:rPr>
          <w:rStyle w:val="CharDefText"/>
        </w:rPr>
        <w:t>compliance notice</w:t>
      </w:r>
      <w:r>
        <w:t xml:space="preserve">) requiring the person to do either or both of the following within a reasonable time specified in the notice — </w:t>
      </w:r>
    </w:p>
    <w:p>
      <w:pPr>
        <w:pStyle w:val="Indenta"/>
      </w:pPr>
      <w:r>
        <w:tab/>
        <w:t>(a)</w:t>
      </w:r>
      <w:r>
        <w:tab/>
        <w:t>take specified action to remedy the direct effects of the contravention;</w:t>
      </w:r>
    </w:p>
    <w:p>
      <w:pPr>
        <w:pStyle w:val="Indenta"/>
      </w:pPr>
      <w:r>
        <w:tab/>
        <w:t>(b)</w:t>
      </w:r>
      <w:r>
        <w:tab/>
        <w:t>produce reasonable evidence of the person’s compliance with the notice.</w:t>
      </w:r>
    </w:p>
    <w:p>
      <w:pPr>
        <w:pStyle w:val="Subsection"/>
      </w:pPr>
      <w:r>
        <w:tab/>
        <w:t>(2)</w:t>
      </w:r>
      <w:r>
        <w:tab/>
        <w:t xml:space="preserve">The compliance notice must also set out all of the following — </w:t>
      </w:r>
    </w:p>
    <w:p>
      <w:pPr>
        <w:pStyle w:val="Indenta"/>
      </w:pPr>
      <w:r>
        <w:tab/>
        <w:t>(a)</w:t>
      </w:r>
      <w:r>
        <w:tab/>
        <w:t>the name of the person to whom the notice is given;</w:t>
      </w:r>
    </w:p>
    <w:p>
      <w:pPr>
        <w:pStyle w:val="Indenta"/>
      </w:pPr>
      <w:r>
        <w:tab/>
        <w:t>(b)</w:t>
      </w:r>
      <w:r>
        <w:tab/>
        <w:t>the name of the industrial inspector who gave the notice;</w:t>
      </w:r>
    </w:p>
    <w:p>
      <w:pPr>
        <w:pStyle w:val="Indenta"/>
      </w:pPr>
      <w:r>
        <w:tab/>
        <w:t>(c)</w:t>
      </w:r>
      <w:r>
        <w:tab/>
        <w:t>brief details of the contravention;</w:t>
      </w:r>
    </w:p>
    <w:p>
      <w:pPr>
        <w:pStyle w:val="Indenta"/>
      </w:pPr>
      <w:r>
        <w:tab/>
        <w:t>(d)</w:t>
      </w:r>
      <w:r>
        <w:tab/>
        <w:t>an explanation that a failure to comply with the notice may contravene a civil penalty provision;</w:t>
      </w:r>
    </w:p>
    <w:p>
      <w:pPr>
        <w:pStyle w:val="Indenta"/>
      </w:pPr>
      <w:r>
        <w:tab/>
        <w:t>(e)</w:t>
      </w:r>
      <w:r>
        <w:tab/>
        <w:t xml:space="preserve">an explanation that the person may apply to the industrial magistrate’s court for a review of the notice on either or both of the following grounds — </w:t>
      </w:r>
    </w:p>
    <w:p>
      <w:pPr>
        <w:pStyle w:val="Indenti"/>
      </w:pPr>
      <w:r>
        <w:tab/>
        <w:t>(i)</w:t>
      </w:r>
      <w:r>
        <w:tab/>
        <w:t>the person has not committed a contravention set out in the notice;</w:t>
      </w:r>
    </w:p>
    <w:p>
      <w:pPr>
        <w:pStyle w:val="Indenti"/>
      </w:pPr>
      <w:r>
        <w:tab/>
        <w:t>(ii)</w:t>
      </w:r>
      <w:r>
        <w:tab/>
        <w:t xml:space="preserve">the notice does not comply with subsection (1) or this subsection; </w:t>
      </w:r>
    </w:p>
    <w:p>
      <w:pPr>
        <w:pStyle w:val="Indenta"/>
      </w:pPr>
      <w:r>
        <w:tab/>
        <w:t>(f)</w:t>
      </w:r>
      <w:r>
        <w:tab/>
        <w:t>any other matters prescribed by the regulations.</w:t>
      </w:r>
    </w:p>
    <w:p>
      <w:pPr>
        <w:pStyle w:val="Footnotesection"/>
      </w:pPr>
      <w:bookmarkStart w:id="902" w:name="_Toc90558322"/>
      <w:bookmarkStart w:id="903" w:name="_Toc95209403"/>
      <w:r>
        <w:tab/>
        <w:t>[Section 84Q inserted: No. 30 of 2021 s. 56.]</w:t>
      </w:r>
    </w:p>
    <w:p>
      <w:pPr>
        <w:pStyle w:val="Heading5"/>
      </w:pPr>
      <w:bookmarkStart w:id="904" w:name="_Toc107476604"/>
      <w:bookmarkStart w:id="905" w:name="_Toc106374138"/>
      <w:r>
        <w:rPr>
          <w:rStyle w:val="CharSectno"/>
        </w:rPr>
        <w:t>84R</w:t>
      </w:r>
      <w:r>
        <w:t>.</w:t>
      </w:r>
      <w:r>
        <w:tab/>
        <w:t>Relationship with enforceable undertakings</w:t>
      </w:r>
      <w:bookmarkEnd w:id="904"/>
      <w:bookmarkEnd w:id="902"/>
      <w:bookmarkEnd w:id="903"/>
      <w:bookmarkEnd w:id="905"/>
    </w:p>
    <w:p>
      <w:pPr>
        <w:pStyle w:val="Subsection"/>
      </w:pPr>
      <w:r>
        <w:tab/>
      </w:r>
      <w:r>
        <w:tab/>
        <w:t xml:space="preserve">The industrial inspector must not give a person a compliance notice in relation to a contravention if — </w:t>
      </w:r>
    </w:p>
    <w:p>
      <w:pPr>
        <w:pStyle w:val="Indenta"/>
      </w:pPr>
      <w:r>
        <w:tab/>
        <w:t>(a)</w:t>
      </w:r>
      <w:r>
        <w:tab/>
        <w:t>the person has given an enforceable undertaking as defined in section 84M(1) in relation to the contravention; and</w:t>
      </w:r>
    </w:p>
    <w:p>
      <w:pPr>
        <w:pStyle w:val="Indenta"/>
      </w:pPr>
      <w:r>
        <w:tab/>
        <w:t>(b)</w:t>
      </w:r>
      <w:r>
        <w:tab/>
        <w:t>the undertaking has not been withdrawn under section 84M(2) or cancelled under section 84N(2)(c).</w:t>
      </w:r>
    </w:p>
    <w:p>
      <w:pPr>
        <w:pStyle w:val="Footnotesection"/>
      </w:pPr>
      <w:bookmarkStart w:id="906" w:name="_Toc90558323"/>
      <w:bookmarkStart w:id="907" w:name="_Toc95209404"/>
      <w:r>
        <w:tab/>
        <w:t>[Section 84R inserted: No. 30 of 2021 s. 56.]</w:t>
      </w:r>
    </w:p>
    <w:p>
      <w:pPr>
        <w:pStyle w:val="Heading5"/>
      </w:pPr>
      <w:bookmarkStart w:id="908" w:name="_Toc107476605"/>
      <w:bookmarkStart w:id="909" w:name="_Toc106374139"/>
      <w:r>
        <w:rPr>
          <w:rStyle w:val="CharSectno"/>
        </w:rPr>
        <w:t>84S</w:t>
      </w:r>
      <w:r>
        <w:t>.</w:t>
      </w:r>
      <w:r>
        <w:tab/>
        <w:t>Relationship with proceedings under s. 83</w:t>
      </w:r>
      <w:bookmarkEnd w:id="908"/>
      <w:bookmarkEnd w:id="906"/>
      <w:bookmarkEnd w:id="907"/>
      <w:bookmarkEnd w:id="909"/>
    </w:p>
    <w:p>
      <w:pPr>
        <w:pStyle w:val="Subsection"/>
        <w:keepNext/>
      </w:pPr>
      <w:r>
        <w:tab/>
        <w:t>(1)</w:t>
      </w:r>
      <w:r>
        <w:tab/>
        <w:t xml:space="preserve">The industrial inspector must not apply for an order under section 83 in relation to a contravention by a person if — </w:t>
      </w:r>
    </w:p>
    <w:p>
      <w:pPr>
        <w:pStyle w:val="Indenta"/>
      </w:pPr>
      <w:r>
        <w:tab/>
        <w:t>(a)</w:t>
      </w:r>
      <w:r>
        <w:tab/>
        <w:t>the inspector has given the person a compliance notice in relation to the contravention; and</w:t>
      </w:r>
    </w:p>
    <w:p>
      <w:pPr>
        <w:pStyle w:val="Indenta"/>
      </w:pPr>
      <w:r>
        <w:tab/>
        <w:t>(b)</w:t>
      </w:r>
      <w:r>
        <w:tab/>
        <w:t>the compliance notice has not been withdrawn; and</w:t>
      </w:r>
    </w:p>
    <w:p>
      <w:pPr>
        <w:pStyle w:val="Indenta"/>
      </w:pPr>
      <w:r>
        <w:tab/>
        <w:t>(c)</w:t>
      </w:r>
      <w:r>
        <w:tab/>
        <w:t xml:space="preserve">either of the following applies — </w:t>
      </w:r>
    </w:p>
    <w:p>
      <w:pPr>
        <w:pStyle w:val="Indenti"/>
      </w:pPr>
      <w:r>
        <w:tab/>
        <w:t>(i)</w:t>
      </w:r>
      <w:r>
        <w:tab/>
        <w:t>the person has complied with the notice;</w:t>
      </w:r>
    </w:p>
    <w:p>
      <w:pPr>
        <w:pStyle w:val="Indenti"/>
      </w:pPr>
      <w:r>
        <w:tab/>
        <w:t>(ii)</w:t>
      </w:r>
      <w:r>
        <w:tab/>
        <w:t>the person has made an application under section 84U(1) in relation to the compliance notice and that application has not been completely dealt with.</w:t>
      </w:r>
    </w:p>
    <w:p>
      <w:pPr>
        <w:pStyle w:val="Subsection"/>
      </w:pPr>
      <w:r>
        <w:tab/>
        <w:t>(2)</w:t>
      </w:r>
      <w:r>
        <w:tab/>
        <w:t xml:space="preserve">A person who complies with a compliance notice is not taken to have — </w:t>
      </w:r>
    </w:p>
    <w:p>
      <w:pPr>
        <w:pStyle w:val="Indenta"/>
      </w:pPr>
      <w:r>
        <w:tab/>
        <w:t>(a)</w:t>
      </w:r>
      <w:r>
        <w:tab/>
        <w:t>admitted to contravening an entitlement provision to which the compliance notice relates; or</w:t>
      </w:r>
    </w:p>
    <w:p>
      <w:pPr>
        <w:pStyle w:val="Indenta"/>
      </w:pPr>
      <w:r>
        <w:tab/>
        <w:t>(b)</w:t>
      </w:r>
      <w:r>
        <w:tab/>
        <w:t>been found to have contravened an entitlement provision to which the compliance notice relates.</w:t>
      </w:r>
    </w:p>
    <w:p>
      <w:pPr>
        <w:pStyle w:val="Footnotesection"/>
      </w:pPr>
      <w:bookmarkStart w:id="910" w:name="_Toc90558324"/>
      <w:bookmarkStart w:id="911" w:name="_Toc95209405"/>
      <w:r>
        <w:tab/>
        <w:t>[Section 84S inserted: No. 30 of 2021 s. 56.]</w:t>
      </w:r>
    </w:p>
    <w:p>
      <w:pPr>
        <w:pStyle w:val="Heading5"/>
      </w:pPr>
      <w:bookmarkStart w:id="912" w:name="_Toc107476606"/>
      <w:bookmarkStart w:id="913" w:name="_Toc106374140"/>
      <w:r>
        <w:rPr>
          <w:rStyle w:val="CharSectno"/>
        </w:rPr>
        <w:t>84T</w:t>
      </w:r>
      <w:r>
        <w:t>.</w:t>
      </w:r>
      <w:r>
        <w:tab/>
        <w:t>Person must comply with compliance notice</w:t>
      </w:r>
      <w:bookmarkEnd w:id="912"/>
      <w:bookmarkEnd w:id="910"/>
      <w:bookmarkEnd w:id="911"/>
      <w:bookmarkEnd w:id="913"/>
    </w:p>
    <w:p>
      <w:pPr>
        <w:pStyle w:val="Subsection"/>
      </w:pPr>
      <w:r>
        <w:tab/>
        <w:t>(1)</w:t>
      </w:r>
      <w:r>
        <w:tab/>
        <w:t>A person must comply with a compliance notice.</w:t>
      </w:r>
    </w:p>
    <w:p>
      <w:pPr>
        <w:pStyle w:val="Subsection"/>
      </w:pPr>
      <w:r>
        <w:tab/>
        <w:t>(2)</w:t>
      </w:r>
      <w:r>
        <w:tab/>
        <w:t xml:space="preserve">A contravention of subsection (1) is not an offence but the subsection is a civil penalty provision for the purposes of section 83E, except that the pecuniary penalty cannot exceed — </w:t>
      </w:r>
    </w:p>
    <w:p>
      <w:pPr>
        <w:pStyle w:val="Indenta"/>
      </w:pPr>
      <w:r>
        <w:tab/>
        <w:t>(a)</w:t>
      </w:r>
      <w:r>
        <w:tab/>
        <w:t>in the case of a body corporate — $30 000;</w:t>
      </w:r>
    </w:p>
    <w:p>
      <w:pPr>
        <w:pStyle w:val="Indenta"/>
      </w:pPr>
      <w:r>
        <w:tab/>
        <w:t>(b)</w:t>
      </w:r>
      <w:r>
        <w:tab/>
        <w:t>in the case of an individual — $6 000.</w:t>
      </w:r>
    </w:p>
    <w:p>
      <w:pPr>
        <w:pStyle w:val="Subsection"/>
      </w:pPr>
      <w:r>
        <w:tab/>
        <w:t>(3)</w:t>
      </w:r>
      <w:r>
        <w:tab/>
        <w:t>Subsection (1) does not apply if the person has a reasonable excuse.</w:t>
      </w:r>
    </w:p>
    <w:p>
      <w:pPr>
        <w:pStyle w:val="Footnotesection"/>
      </w:pPr>
      <w:bookmarkStart w:id="914" w:name="_Toc90558325"/>
      <w:bookmarkStart w:id="915" w:name="_Toc95209406"/>
      <w:r>
        <w:tab/>
        <w:t>[Section 84T inserted: No. 30 of 2021 s. 56.]</w:t>
      </w:r>
    </w:p>
    <w:p>
      <w:pPr>
        <w:pStyle w:val="Heading5"/>
      </w:pPr>
      <w:bookmarkStart w:id="916" w:name="_Toc107476607"/>
      <w:bookmarkStart w:id="917" w:name="_Toc106374141"/>
      <w:r>
        <w:rPr>
          <w:rStyle w:val="CharSectno"/>
        </w:rPr>
        <w:t>84U</w:t>
      </w:r>
      <w:r>
        <w:t>.</w:t>
      </w:r>
      <w:r>
        <w:tab/>
        <w:t>Review of compliance notices</w:t>
      </w:r>
      <w:bookmarkEnd w:id="916"/>
      <w:bookmarkEnd w:id="914"/>
      <w:bookmarkEnd w:id="915"/>
      <w:bookmarkEnd w:id="917"/>
    </w:p>
    <w:p>
      <w:pPr>
        <w:pStyle w:val="Subsection"/>
      </w:pPr>
      <w:r>
        <w:tab/>
        <w:t>(1)</w:t>
      </w:r>
      <w:r>
        <w:tab/>
        <w:t xml:space="preserve">A person who has been given a compliance notice may apply to the industrial magistrate’s court for a review of the notice on either or both of the following grounds — </w:t>
      </w:r>
    </w:p>
    <w:p>
      <w:pPr>
        <w:pStyle w:val="Indenta"/>
      </w:pPr>
      <w:r>
        <w:tab/>
        <w:t>(a)</w:t>
      </w:r>
      <w:r>
        <w:tab/>
        <w:t>the person has not committed a contravention set out in the notice;</w:t>
      </w:r>
    </w:p>
    <w:p>
      <w:pPr>
        <w:pStyle w:val="Indenta"/>
      </w:pPr>
      <w:r>
        <w:tab/>
        <w:t>(b)</w:t>
      </w:r>
      <w:r>
        <w:tab/>
        <w:t>the notice does not comply with section 84Q.</w:t>
      </w:r>
    </w:p>
    <w:p>
      <w:pPr>
        <w:pStyle w:val="Subsection"/>
      </w:pPr>
      <w:r>
        <w:tab/>
        <w:t>(2)</w:t>
      </w:r>
      <w:r>
        <w:tab/>
        <w:t>At any time after the application has been made, the industrial magistrate’s court may stay the operation of the notice on the terms and conditions that the court considers appropriate.</w:t>
      </w:r>
    </w:p>
    <w:p>
      <w:pPr>
        <w:pStyle w:val="Subsection"/>
      </w:pPr>
      <w:r>
        <w:tab/>
        <w:t>(3)</w:t>
      </w:r>
      <w:r>
        <w:tab/>
        <w:t>In an application made on the ground referred to in subsection (1)(a), the person making the application has the burden of proving that the person has not committed the contravention.</w:t>
      </w:r>
    </w:p>
    <w:p>
      <w:pPr>
        <w:pStyle w:val="Subsection"/>
      </w:pPr>
      <w:r>
        <w:tab/>
        <w:t>(4)</w:t>
      </w:r>
      <w:r>
        <w:tab/>
        <w:t>The industrial magistrate’s court may confirm, cancel or vary the notice after reviewing it.</w:t>
      </w:r>
    </w:p>
    <w:p>
      <w:pPr>
        <w:pStyle w:val="Footnotesection"/>
      </w:pPr>
      <w:bookmarkStart w:id="918" w:name="_Toc90558326"/>
      <w:bookmarkStart w:id="919" w:name="_Toc95209407"/>
      <w:r>
        <w:tab/>
        <w:t>[Section 84U inserted: No. 30 of 2021 s. 56.]</w:t>
      </w:r>
    </w:p>
    <w:p>
      <w:pPr>
        <w:pStyle w:val="Heading5"/>
      </w:pPr>
      <w:bookmarkStart w:id="920" w:name="_Toc107476608"/>
      <w:bookmarkStart w:id="921" w:name="_Toc106374142"/>
      <w:r>
        <w:rPr>
          <w:rStyle w:val="CharSectno"/>
        </w:rPr>
        <w:t>84V</w:t>
      </w:r>
      <w:r>
        <w:t>.</w:t>
      </w:r>
      <w:r>
        <w:tab/>
        <w:t>Withdrawal of compliance notice</w:t>
      </w:r>
      <w:bookmarkEnd w:id="920"/>
      <w:bookmarkEnd w:id="918"/>
      <w:bookmarkEnd w:id="919"/>
      <w:bookmarkEnd w:id="921"/>
    </w:p>
    <w:p>
      <w:pPr>
        <w:pStyle w:val="Subsection"/>
      </w:pPr>
      <w:r>
        <w:tab/>
        <w:t>(1)</w:t>
      </w:r>
      <w:r>
        <w:tab/>
        <w:t xml:space="preserve">The industrial inspector may withdraw the compliance notice at any time by serving a notice of withdrawal on the person (the </w:t>
      </w:r>
      <w:r>
        <w:rPr>
          <w:rStyle w:val="CharDefText"/>
        </w:rPr>
        <w:t>recipient</w:t>
      </w:r>
      <w:r>
        <w:t>) who has been given the compliance notice.</w:t>
      </w:r>
    </w:p>
    <w:p>
      <w:pPr>
        <w:pStyle w:val="Subsection"/>
      </w:pPr>
      <w:r>
        <w:tab/>
        <w:t>(2)</w:t>
      </w:r>
      <w:r>
        <w:tab/>
        <w:t xml:space="preserve">The notice of withdrawal must — </w:t>
      </w:r>
    </w:p>
    <w:p>
      <w:pPr>
        <w:pStyle w:val="Indenta"/>
      </w:pPr>
      <w:r>
        <w:tab/>
        <w:t>(a)</w:t>
      </w:r>
      <w:r>
        <w:tab/>
        <w:t>specify the full name of the recipient; and</w:t>
      </w:r>
    </w:p>
    <w:p>
      <w:pPr>
        <w:pStyle w:val="Indenta"/>
      </w:pPr>
      <w:r>
        <w:tab/>
        <w:t>(b)</w:t>
      </w:r>
      <w:r>
        <w:tab/>
        <w:t>specify the recipient’s address; and</w:t>
      </w:r>
    </w:p>
    <w:p>
      <w:pPr>
        <w:pStyle w:val="Indenta"/>
      </w:pPr>
      <w:r>
        <w:tab/>
        <w:t>(c)</w:t>
      </w:r>
      <w:r>
        <w:tab/>
        <w:t>specify its date of issue; and</w:t>
      </w:r>
    </w:p>
    <w:p>
      <w:pPr>
        <w:pStyle w:val="Indenta"/>
      </w:pPr>
      <w:r>
        <w:tab/>
        <w:t>(d)</w:t>
      </w:r>
      <w:r>
        <w:tab/>
        <w:t>state that the compliance notice is withdrawn.</w:t>
      </w:r>
    </w:p>
    <w:p>
      <w:pPr>
        <w:pStyle w:val="Footnotesection"/>
      </w:pPr>
      <w:r>
        <w:tab/>
        <w:t>[Section 84V inserted: No. 30 of 2021 s. 56.]</w:t>
      </w:r>
    </w:p>
    <w:p>
      <w:pPr>
        <w:pStyle w:val="Heading2"/>
      </w:pPr>
      <w:bookmarkStart w:id="922" w:name="_Toc107322480"/>
      <w:bookmarkStart w:id="923" w:name="_Toc107476609"/>
      <w:bookmarkStart w:id="924" w:name="_Toc105760169"/>
      <w:bookmarkStart w:id="925" w:name="_Toc106195469"/>
      <w:bookmarkStart w:id="926" w:name="_Toc106367412"/>
      <w:bookmarkStart w:id="927" w:name="_Toc106374143"/>
      <w:r>
        <w:rPr>
          <w:rStyle w:val="CharPartNo"/>
        </w:rPr>
        <w:t>Part IV</w:t>
      </w:r>
      <w:r>
        <w:rPr>
          <w:rStyle w:val="CharDivNo"/>
        </w:rPr>
        <w:t> </w:t>
      </w:r>
      <w:r>
        <w:t>—</w:t>
      </w:r>
      <w:r>
        <w:rPr>
          <w:rStyle w:val="CharDivText"/>
        </w:rPr>
        <w:t> </w:t>
      </w:r>
      <w:r>
        <w:rPr>
          <w:rStyle w:val="CharPartText"/>
        </w:rPr>
        <w:t>Western Australian Industrial Appeal Court</w:t>
      </w:r>
      <w:bookmarkEnd w:id="922"/>
      <w:bookmarkEnd w:id="923"/>
      <w:bookmarkEnd w:id="924"/>
      <w:bookmarkEnd w:id="925"/>
      <w:bookmarkEnd w:id="926"/>
      <w:bookmarkEnd w:id="927"/>
    </w:p>
    <w:p>
      <w:pPr>
        <w:pStyle w:val="Heading5"/>
        <w:rPr>
          <w:snapToGrid w:val="0"/>
        </w:rPr>
      </w:pPr>
      <w:bookmarkStart w:id="928" w:name="_Toc107476610"/>
      <w:bookmarkStart w:id="929" w:name="_Toc106374144"/>
      <w:r>
        <w:rPr>
          <w:rStyle w:val="CharSectno"/>
        </w:rPr>
        <w:t>85</w:t>
      </w:r>
      <w:r>
        <w:rPr>
          <w:snapToGrid w:val="0"/>
        </w:rPr>
        <w:t>.</w:t>
      </w:r>
      <w:r>
        <w:rPr>
          <w:snapToGrid w:val="0"/>
        </w:rPr>
        <w:tab/>
        <w:t>Constitution of Court</w:t>
      </w:r>
      <w:bookmarkEnd w:id="928"/>
      <w:bookmarkEnd w:id="929"/>
    </w:p>
    <w:p>
      <w:pPr>
        <w:pStyle w:val="Subsection"/>
        <w:rPr>
          <w:snapToGrid w:val="0"/>
        </w:rPr>
      </w:pPr>
      <w:r>
        <w:rPr>
          <w:snapToGrid w:val="0"/>
        </w:rPr>
        <w:tab/>
        <w:t>(1)</w:t>
      </w:r>
      <w:r>
        <w:rPr>
          <w:snapToGrid w:val="0"/>
        </w:rPr>
        <w:tab/>
        <w:t>The Court by the name “Western Australian Industrial Appeal Court” established under the repealed Act is, under that name, continued in existence under and subject to this Act.</w:t>
      </w:r>
    </w:p>
    <w:p>
      <w:pPr>
        <w:pStyle w:val="Subsection"/>
        <w:rPr>
          <w:snapToGrid w:val="0"/>
        </w:rPr>
      </w:pPr>
      <w:r>
        <w:rPr>
          <w:snapToGrid w:val="0"/>
        </w:rPr>
        <w:tab/>
        <w:t>(2)</w:t>
      </w:r>
      <w:r>
        <w:rPr>
          <w:snapToGrid w:val="0"/>
        </w:rPr>
        <w:tab/>
        <w:t>The Court consists of 4 members namely —</w:t>
      </w:r>
    </w:p>
    <w:p>
      <w:pPr>
        <w:pStyle w:val="Indenta"/>
        <w:rPr>
          <w:snapToGrid w:val="0"/>
        </w:rPr>
      </w:pPr>
      <w:r>
        <w:rPr>
          <w:snapToGrid w:val="0"/>
        </w:rPr>
        <w:tab/>
        <w:t>(a)</w:t>
      </w:r>
      <w:r>
        <w:rPr>
          <w:snapToGrid w:val="0"/>
        </w:rPr>
        <w:tab/>
        <w:t>a judge who is the presiding judge; and</w:t>
      </w:r>
    </w:p>
    <w:p>
      <w:pPr>
        <w:pStyle w:val="Indenta"/>
        <w:rPr>
          <w:snapToGrid w:val="0"/>
        </w:rPr>
      </w:pPr>
      <w:r>
        <w:rPr>
          <w:snapToGrid w:val="0"/>
        </w:rPr>
        <w:tab/>
        <w:t>(b)</w:t>
      </w:r>
      <w:r>
        <w:rPr>
          <w:snapToGrid w:val="0"/>
        </w:rPr>
        <w:tab/>
        <w:t>a judge who is the deputy presiding judge; and</w:t>
      </w:r>
    </w:p>
    <w:p>
      <w:pPr>
        <w:pStyle w:val="Indenta"/>
        <w:rPr>
          <w:snapToGrid w:val="0"/>
        </w:rPr>
      </w:pPr>
      <w:r>
        <w:rPr>
          <w:snapToGrid w:val="0"/>
        </w:rPr>
        <w:tab/>
        <w:t>(c)</w:t>
      </w:r>
      <w:r>
        <w:rPr>
          <w:snapToGrid w:val="0"/>
        </w:rPr>
        <w:tab/>
        <w:t>2 judges who are ordinary members.</w:t>
      </w:r>
    </w:p>
    <w:p>
      <w:pPr>
        <w:pStyle w:val="Subsection"/>
        <w:rPr>
          <w:snapToGrid w:val="0"/>
        </w:rPr>
      </w:pPr>
      <w:r>
        <w:rPr>
          <w:snapToGrid w:val="0"/>
        </w:rPr>
        <w:tab/>
        <w:t>(3)</w:t>
      </w:r>
      <w:r>
        <w:rPr>
          <w:snapToGrid w:val="0"/>
        </w:rPr>
        <w:tab/>
        <w:t>The members of the Court are judges the Chief Justice of Western Australia from time to time nominates, either generally or for a specified time, to be members of the Court and the presiding judge and the deputy presiding judge are members the Chief Justice of Western Australia nominates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is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is to be read as a reference to the deputy presiding judge.</w:t>
      </w:r>
    </w:p>
    <w:p>
      <w:pPr>
        <w:pStyle w:val="Subsection"/>
        <w:rPr>
          <w:snapToGrid w:val="0"/>
        </w:rPr>
      </w:pPr>
      <w:r>
        <w:rPr>
          <w:snapToGrid w:val="0"/>
        </w:rPr>
        <w:tab/>
        <w:t>(4)</w:t>
      </w:r>
      <w:r>
        <w:rPr>
          <w:snapToGrid w:val="0"/>
        </w:rPr>
        <w:tab/>
        <w:t>The Court is a court of record and must have an official seal.</w:t>
      </w:r>
    </w:p>
    <w:p>
      <w:pPr>
        <w:pStyle w:val="Subsection"/>
        <w:rPr>
          <w:snapToGrid w:val="0"/>
        </w:rPr>
      </w:pPr>
      <w:r>
        <w:rPr>
          <w:snapToGrid w:val="0"/>
        </w:rPr>
        <w:tab/>
        <w:t>(5)</w:t>
      </w:r>
      <w:r>
        <w:rPr>
          <w:snapToGrid w:val="0"/>
        </w:rPr>
        <w:tab/>
        <w:t>All courts and persons acting judicially must take judicial notice of the seal of the Court affixed to a document and must presume that it has been duly so affixed.</w:t>
      </w:r>
    </w:p>
    <w:p>
      <w:pPr>
        <w:pStyle w:val="Subsection"/>
        <w:rPr>
          <w:snapToGrid w:val="0"/>
        </w:rPr>
      </w:pPr>
      <w:r>
        <w:rPr>
          <w:snapToGrid w:val="0"/>
        </w:rPr>
        <w:tab/>
        <w:t>(6)</w:t>
      </w:r>
      <w:r>
        <w:rPr>
          <w:snapToGrid w:val="0"/>
        </w:rPr>
        <w:tab/>
        <w:t>Where a member of the Court is, or is expected to be, unable to attend to the member’s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the judge to participate in the completion of the hearing and determination of any proceedings that the judge may be participating in at the expiration of that period so that the judge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No. 94 of 1984 s. 53; No. 32 of 1994 s. 14; No. 53 of 2011 s. 43; No. 30 of 2021 s. 76(2)</w:t>
      </w:r>
      <w:r>
        <w:noBreakHyphen/>
        <w:t>(4) and (8), 77(13), 78(2) and (7).]</w:t>
      </w:r>
    </w:p>
    <w:p>
      <w:pPr>
        <w:pStyle w:val="Heading5"/>
        <w:rPr>
          <w:snapToGrid w:val="0"/>
        </w:rPr>
      </w:pPr>
      <w:bookmarkStart w:id="930" w:name="_Toc107476611"/>
      <w:bookmarkStart w:id="931" w:name="_Toc106374145"/>
      <w:r>
        <w:rPr>
          <w:rStyle w:val="CharSectno"/>
        </w:rPr>
        <w:t>86</w:t>
      </w:r>
      <w:r>
        <w:rPr>
          <w:snapToGrid w:val="0"/>
        </w:rPr>
        <w:t>.</w:t>
      </w:r>
      <w:r>
        <w:rPr>
          <w:snapToGrid w:val="0"/>
        </w:rPr>
        <w:tab/>
        <w:t>Jurisdiction of Court</w:t>
      </w:r>
      <w:bookmarkEnd w:id="930"/>
      <w:bookmarkEnd w:id="931"/>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Ednotesubsection"/>
      </w:pPr>
      <w:r>
        <w:tab/>
        <w:t>[(2)</w:t>
      </w:r>
      <w:r>
        <w:tab/>
        <w:t>deleted]</w:t>
      </w:r>
    </w:p>
    <w:p>
      <w:pPr>
        <w:pStyle w:val="Footnotesection"/>
      </w:pPr>
      <w:r>
        <w:tab/>
        <w:t>[Section 86 amended: No. 15 of 1993 s. 27; No. 30 of 2021 s. 57.]</w:t>
      </w:r>
    </w:p>
    <w:p>
      <w:pPr>
        <w:pStyle w:val="Heading5"/>
        <w:rPr>
          <w:snapToGrid w:val="0"/>
        </w:rPr>
      </w:pPr>
      <w:bookmarkStart w:id="932" w:name="_Toc107476612"/>
      <w:bookmarkStart w:id="933" w:name="_Toc106374146"/>
      <w:r>
        <w:rPr>
          <w:rStyle w:val="CharSectno"/>
        </w:rPr>
        <w:t>87</w:t>
      </w:r>
      <w:r>
        <w:rPr>
          <w:snapToGrid w:val="0"/>
        </w:rPr>
        <w:t>.</w:t>
      </w:r>
      <w:r>
        <w:rPr>
          <w:snapToGrid w:val="0"/>
        </w:rPr>
        <w:tab/>
        <w:t>Decision of Court</w:t>
      </w:r>
      <w:bookmarkEnd w:id="932"/>
      <w:bookmarkEnd w:id="933"/>
    </w:p>
    <w:p>
      <w:pPr>
        <w:pStyle w:val="Subsection"/>
        <w:rPr>
          <w:snapToGrid w:val="0"/>
        </w:rPr>
      </w:pPr>
      <w:r>
        <w:rPr>
          <w:snapToGrid w:val="0"/>
        </w:rPr>
        <w:tab/>
        <w:t>(1)</w:t>
      </w:r>
      <w:r>
        <w:rPr>
          <w:snapToGrid w:val="0"/>
        </w:rPr>
        <w:tab/>
        <w:t>When the members of the Court are divided in opinion on a question, the question must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is not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the member thinks just as to any interlocutory proceeding to be taken before the hearing, including, without affecting the generality of this subsection,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No. 94 of 1984 s. 66; No. 30 of 2021 s. 76(2) and (8), 77(13) and 78(7).]</w:t>
      </w:r>
    </w:p>
    <w:p>
      <w:pPr>
        <w:pStyle w:val="Heading5"/>
      </w:pPr>
      <w:bookmarkStart w:id="934" w:name="_Toc107476613"/>
      <w:bookmarkStart w:id="935" w:name="_Toc106374147"/>
      <w:r>
        <w:rPr>
          <w:rStyle w:val="CharSectno"/>
        </w:rPr>
        <w:t>88</w:t>
      </w:r>
      <w:r>
        <w:t>.</w:t>
      </w:r>
      <w:r>
        <w:tab/>
        <w:t>Judgments, enforcement of</w:t>
      </w:r>
      <w:bookmarkEnd w:id="934"/>
      <w:bookmarkEnd w:id="935"/>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keepNext/>
        <w:keepLines/>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No. 59 of 2004 s. 111.]</w:t>
      </w:r>
    </w:p>
    <w:p>
      <w:pPr>
        <w:pStyle w:val="Ednotesection"/>
        <w:ind w:left="890" w:hanging="890"/>
      </w:pPr>
      <w:r>
        <w:t>[</w:t>
      </w:r>
      <w:r>
        <w:rPr>
          <w:b/>
        </w:rPr>
        <w:t>89.</w:t>
      </w:r>
      <w:r>
        <w:rPr>
          <w:b/>
        </w:rPr>
        <w:tab/>
      </w:r>
      <w:r>
        <w:t>Deleted: No. 59 of 2004 s. 111.]</w:t>
      </w:r>
    </w:p>
    <w:p>
      <w:pPr>
        <w:pStyle w:val="Heading5"/>
        <w:rPr>
          <w:snapToGrid w:val="0"/>
        </w:rPr>
      </w:pPr>
      <w:bookmarkStart w:id="936" w:name="_Toc107476614"/>
      <w:bookmarkStart w:id="937" w:name="_Toc106374148"/>
      <w:r>
        <w:rPr>
          <w:rStyle w:val="CharSectno"/>
        </w:rPr>
        <w:t>90</w:t>
      </w:r>
      <w:r>
        <w:rPr>
          <w:snapToGrid w:val="0"/>
        </w:rPr>
        <w:t>.</w:t>
      </w:r>
      <w:r>
        <w:rPr>
          <w:snapToGrid w:val="0"/>
        </w:rPr>
        <w:tab/>
        <w:t>Appeal from Commission to Court</w:t>
      </w:r>
      <w:bookmarkEnd w:id="936"/>
      <w:bookmarkEnd w:id="937"/>
    </w:p>
    <w:p>
      <w:pPr>
        <w:pStyle w:val="Subsection"/>
      </w:pPr>
      <w:r>
        <w:tab/>
        <w:t>(1)</w:t>
      </w:r>
      <w:r>
        <w:tab/>
        <w:t>Subject to this section, an appeal lies to the Court in the manner prescribed from any decision of the Full Bench, the Commission on an application under section 49(11)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keepNext/>
        <w:rPr>
          <w:snapToGrid w:val="0"/>
        </w:rPr>
      </w:pPr>
      <w:r>
        <w:rPr>
          <w:snapToGrid w:val="0"/>
        </w:rPr>
        <w:tab/>
        <w:t>(2)</w:t>
      </w:r>
      <w:r>
        <w:rPr>
          <w:snapToGrid w:val="0"/>
        </w:rPr>
        <w:tab/>
        <w:t>An appeal under this section must be instituted within 21 days from the date of the decision against which the appeal is brought and may be instituted —</w:t>
      </w:r>
    </w:p>
    <w:p>
      <w:pPr>
        <w:pStyle w:val="Indenta"/>
        <w:keepNext/>
        <w:spacing w:before="60"/>
        <w:rPr>
          <w:snapToGrid w:val="0"/>
        </w:rPr>
      </w:pPr>
      <w:r>
        <w:rPr>
          <w:snapToGrid w:val="0"/>
        </w:rPr>
        <w:tab/>
        <w:t>(a)</w:t>
      </w:r>
      <w:r>
        <w:rPr>
          <w:snapToGrid w:val="0"/>
        </w:rPr>
        <w:tab/>
        <w:t xml:space="preserve">by any party to the proceedings </w:t>
      </w:r>
      <w:r>
        <w:t>in which</w:t>
      </w:r>
      <w:r>
        <w:rPr>
          <w:snapToGrid w:val="0"/>
        </w:rPr>
        <w:t xml:space="preserve">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must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No. 94 of 1984 s. 54; No. 119 of 1987 s. 22; No. 20 of 2002 s. 126; No. 8 of 2009 s. 77(5); No. 39 of 2018 s. 57; No. 30 of 2021 s. 76(2) and 78(7).]</w:t>
      </w:r>
    </w:p>
    <w:p>
      <w:pPr>
        <w:pStyle w:val="Heading5"/>
        <w:spacing w:before="260"/>
        <w:rPr>
          <w:snapToGrid w:val="0"/>
        </w:rPr>
      </w:pPr>
      <w:bookmarkStart w:id="938" w:name="_Toc107476615"/>
      <w:bookmarkStart w:id="939" w:name="_Toc106374149"/>
      <w:r>
        <w:rPr>
          <w:rStyle w:val="CharSectno"/>
        </w:rPr>
        <w:t>91</w:t>
      </w:r>
      <w:r>
        <w:rPr>
          <w:snapToGrid w:val="0"/>
        </w:rPr>
        <w:t>.</w:t>
      </w:r>
      <w:r>
        <w:rPr>
          <w:snapToGrid w:val="0"/>
        </w:rPr>
        <w:tab/>
        <w:t>Representation before Court</w:t>
      </w:r>
      <w:bookmarkEnd w:id="938"/>
      <w:bookmarkEnd w:id="939"/>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No. 21 of 2008 s. 668(6); No. 30 of 2021 s. 77(3).]</w:t>
      </w:r>
    </w:p>
    <w:p>
      <w:pPr>
        <w:pStyle w:val="Heading5"/>
      </w:pPr>
      <w:bookmarkStart w:id="940" w:name="_Toc107476616"/>
      <w:bookmarkStart w:id="941" w:name="_Toc90558329"/>
      <w:bookmarkStart w:id="942" w:name="_Toc95209410"/>
      <w:bookmarkStart w:id="943" w:name="_Toc106374150"/>
      <w:r>
        <w:rPr>
          <w:rStyle w:val="CharSectno"/>
        </w:rPr>
        <w:t>91A</w:t>
      </w:r>
      <w:r>
        <w:t>.</w:t>
      </w:r>
      <w:r>
        <w:tab/>
        <w:t>Court’s power to order costs and expenses</w:t>
      </w:r>
      <w:bookmarkEnd w:id="940"/>
      <w:bookmarkEnd w:id="941"/>
      <w:bookmarkEnd w:id="942"/>
      <w:bookmarkEnd w:id="943"/>
    </w:p>
    <w:p>
      <w:pPr>
        <w:pStyle w:val="Subsection"/>
        <w:rPr>
          <w:snapToGrid w:val="0"/>
        </w:rPr>
      </w:pPr>
      <w:r>
        <w:rPr>
          <w:snapToGrid w:val="0"/>
        </w:rPr>
        <w:tab/>
        <w:t>(1)</w:t>
      </w:r>
      <w:r>
        <w:rPr>
          <w:snapToGrid w:val="0"/>
        </w:rPr>
        <w:tab/>
        <w:t>Except as provided in subsection (2), in the exercise of its jurisdiction under this Act the Court may make such orders as it thinks just as to the costs and expenses (including the expenses of witnesses) of proceedings before the Court, including proceedings dismissed for want of jurisdiction.</w:t>
      </w:r>
    </w:p>
    <w:p>
      <w:pPr>
        <w:pStyle w:val="Subsection"/>
        <w:rPr>
          <w:snapToGrid w:val="0"/>
        </w:rPr>
      </w:pPr>
      <w:r>
        <w:rPr>
          <w:snapToGrid w:val="0"/>
        </w:rPr>
        <w:tab/>
        <w:t>(2)</w:t>
      </w:r>
      <w:r>
        <w:rPr>
          <w:snapToGrid w:val="0"/>
        </w:rPr>
        <w:tab/>
        <w:t xml:space="preserve">Costs for the services of any legal practitioner or agent of any party to the proceedings must not be given to that party except as follows — </w:t>
      </w:r>
    </w:p>
    <w:p>
      <w:pPr>
        <w:pStyle w:val="Indenta"/>
      </w:pPr>
      <w:r>
        <w:tab/>
        <w:t>(a)</w:t>
      </w:r>
      <w:r>
        <w:tab/>
        <w:t>costs can be given to that party if, in the opinion of the Court, the proceedings have been frivolously or vexatiously instituted or defended, as the case requires, by the other party;</w:t>
      </w:r>
    </w:p>
    <w:p>
      <w:pPr>
        <w:pStyle w:val="Indenta"/>
      </w:pPr>
      <w:r>
        <w:tab/>
        <w:t>(b)</w:t>
      </w:r>
      <w:r>
        <w:tab/>
        <w:t>in respect of an appeal from proceedings under section 83 or 83E — costs can be given to the party that was the applicant in those proceedings, if the Court finds, or upholds a finding, that the other party has committed a serious contravention.</w:t>
      </w:r>
    </w:p>
    <w:p>
      <w:pPr>
        <w:pStyle w:val="Footnotesection"/>
      </w:pPr>
      <w:r>
        <w:tab/>
        <w:t>[Section 91A inserted: No. 30 of 2021 s. 58.]</w:t>
      </w:r>
    </w:p>
    <w:p>
      <w:pPr>
        <w:pStyle w:val="Heading5"/>
        <w:rPr>
          <w:snapToGrid w:val="0"/>
        </w:rPr>
      </w:pPr>
      <w:bookmarkStart w:id="944" w:name="_Toc107476617"/>
      <w:bookmarkStart w:id="945" w:name="_Toc106374151"/>
      <w:r>
        <w:rPr>
          <w:rStyle w:val="CharSectno"/>
        </w:rPr>
        <w:t>92</w:t>
      </w:r>
      <w:r>
        <w:rPr>
          <w:snapToGrid w:val="0"/>
        </w:rPr>
        <w:t>.</w:t>
      </w:r>
      <w:r>
        <w:rPr>
          <w:snapToGrid w:val="0"/>
        </w:rPr>
        <w:tab/>
        <w:t>Contempt, Court’s powers as to</w:t>
      </w:r>
      <w:bookmarkEnd w:id="944"/>
      <w:bookmarkEnd w:id="945"/>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 xml:space="preserve">A person who counsels, procures, aids, abets, instigates, or incites a contempt of the Court is </w:t>
      </w:r>
      <w:r>
        <w:t>taken</w:t>
      </w:r>
      <w:r>
        <w:rPr>
          <w:snapToGrid w:val="0"/>
        </w:rPr>
        <w:t xml:space="preserve"> to have committed a contempt and is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Ednotesubsection"/>
      </w:pPr>
      <w:r>
        <w:tab/>
        <w:t>[(4)</w:t>
      </w:r>
      <w:r>
        <w:tab/>
        <w:t>deleted]</w:t>
      </w:r>
    </w:p>
    <w:p>
      <w:pPr>
        <w:pStyle w:val="Footnotesection"/>
      </w:pPr>
      <w:r>
        <w:tab/>
        <w:t>[Section 92 amended: No. 121 of 1982 s. 28; No. 39 of 2018 s. 58; No. 30 of 2021 s. 76(3) and 78(3).]</w:t>
      </w:r>
    </w:p>
    <w:p>
      <w:pPr>
        <w:pStyle w:val="Heading2"/>
      </w:pPr>
      <w:bookmarkStart w:id="946" w:name="_Toc107322489"/>
      <w:bookmarkStart w:id="947" w:name="_Toc107476618"/>
      <w:bookmarkStart w:id="948" w:name="_Toc105760177"/>
      <w:bookmarkStart w:id="949" w:name="_Toc106195478"/>
      <w:bookmarkStart w:id="950" w:name="_Toc106367421"/>
      <w:bookmarkStart w:id="951" w:name="_Toc106374152"/>
      <w:r>
        <w:rPr>
          <w:rStyle w:val="CharPartNo"/>
        </w:rPr>
        <w:t>Part V</w:t>
      </w:r>
      <w:r>
        <w:rPr>
          <w:rStyle w:val="CharDivNo"/>
        </w:rPr>
        <w:t> </w:t>
      </w:r>
      <w:r>
        <w:t>—</w:t>
      </w:r>
      <w:r>
        <w:rPr>
          <w:rStyle w:val="CharDivText"/>
        </w:rPr>
        <w:t> </w:t>
      </w:r>
      <w:r>
        <w:rPr>
          <w:rStyle w:val="CharPartText"/>
        </w:rPr>
        <w:t>The Registrar and other officers of the Commission</w:t>
      </w:r>
      <w:bookmarkEnd w:id="946"/>
      <w:bookmarkEnd w:id="947"/>
      <w:bookmarkEnd w:id="948"/>
      <w:bookmarkEnd w:id="949"/>
      <w:bookmarkEnd w:id="950"/>
      <w:bookmarkEnd w:id="951"/>
    </w:p>
    <w:p>
      <w:pPr>
        <w:pStyle w:val="Footnoteheading"/>
        <w:rPr>
          <w:snapToGrid w:val="0"/>
        </w:rPr>
      </w:pPr>
      <w:r>
        <w:rPr>
          <w:snapToGrid w:val="0"/>
        </w:rPr>
        <w:tab/>
        <w:t>[Heading amended: No. 94 of 1984 s. 55.]</w:t>
      </w:r>
    </w:p>
    <w:p>
      <w:pPr>
        <w:pStyle w:val="Heading5"/>
        <w:rPr>
          <w:snapToGrid w:val="0"/>
        </w:rPr>
      </w:pPr>
      <w:bookmarkStart w:id="952" w:name="_Toc107476619"/>
      <w:bookmarkStart w:id="953" w:name="_Toc106374153"/>
      <w:r>
        <w:rPr>
          <w:rStyle w:val="CharSectno"/>
        </w:rPr>
        <w:t>93</w:t>
      </w:r>
      <w:r>
        <w:rPr>
          <w:snapToGrid w:val="0"/>
        </w:rPr>
        <w:t>.</w:t>
      </w:r>
      <w:r>
        <w:rPr>
          <w:snapToGrid w:val="0"/>
        </w:rPr>
        <w:tab/>
        <w:t>Appointment and duties of officers</w:t>
      </w:r>
      <w:bookmarkEnd w:id="952"/>
      <w:bookmarkEnd w:id="953"/>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may appoint as officers of the Commission such associates as the Chief Commissioner considers necessary, and such officers </w:t>
      </w:r>
      <w:r>
        <w:t>are not</w:t>
      </w:r>
      <w:r>
        <w:rPr>
          <w:snapToGrid w:val="0"/>
        </w:rPr>
        <w:t xml:space="preserve"> </w:t>
      </w:r>
      <w:r>
        <w:t>public service officers.</w:t>
      </w:r>
    </w:p>
    <w:p>
      <w:pPr>
        <w:pStyle w:val="Subsection"/>
        <w:rPr>
          <w:snapToGrid w:val="0"/>
        </w:rPr>
      </w:pPr>
      <w:r>
        <w:rPr>
          <w:snapToGrid w:val="0"/>
        </w:rPr>
        <w:tab/>
        <w:t>(2)</w:t>
      </w:r>
      <w:r>
        <w:rPr>
          <w:snapToGrid w:val="0"/>
        </w:rPr>
        <w:tab/>
        <w:t>The duties of officers of the Commission are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must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 xml:space="preserve">awards and orders filed in </w:t>
      </w:r>
      <w:r>
        <w:t>the Registrar’s</w:t>
      </w:r>
      <w:r>
        <w:rPr>
          <w:snapToGrid w:val="0"/>
        </w:rPr>
        <w:t xml:space="preserve"> office and all notices and matters set out in Schedule 1.</w:t>
      </w:r>
    </w:p>
    <w:p>
      <w:pPr>
        <w:pStyle w:val="Subsection"/>
      </w:pPr>
      <w:r>
        <w:tab/>
        <w:t>(4)</w:t>
      </w:r>
      <w:r>
        <w:tab/>
        <w:t xml:space="preserve">The </w:t>
      </w:r>
      <w:r>
        <w:rPr>
          <w:i/>
        </w:rPr>
        <w:t>Industrial Gazette</w:t>
      </w:r>
      <w:r>
        <w:t xml:space="preserve"> must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must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r>
      <w:r>
        <w:t>The</w:t>
      </w:r>
      <w:r>
        <w:rPr>
          <w:snapToGrid w:val="0"/>
        </w:rPr>
        <w:t xml:space="preserve"> Registrar must keep all awards under review and, where</w:t>
      </w:r>
      <w:r>
        <w:t xml:space="preserve"> the Registrar</w:t>
      </w:r>
      <w:r>
        <w:rPr>
          <w:snapToGrid w:val="0"/>
        </w:rPr>
        <w:t xml:space="preserve"> considers it necessary or desirable or is directed by the Commission so to do, must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Ednotesubsection"/>
      </w:pPr>
      <w:r>
        <w:tab/>
        <w:t>[(6a)</w:t>
      </w:r>
      <w:r>
        <w:tab/>
        <w:t>deleted]</w:t>
      </w:r>
    </w:p>
    <w:p>
      <w:pPr>
        <w:pStyle w:val="Subsection"/>
        <w:rPr>
          <w:snapToGrid w:val="0"/>
        </w:rPr>
      </w:pPr>
      <w:r>
        <w:rPr>
          <w:snapToGrid w:val="0"/>
        </w:rPr>
        <w:tab/>
        <w:t>(7)</w:t>
      </w:r>
      <w:r>
        <w:rPr>
          <w:snapToGrid w:val="0"/>
        </w:rPr>
        <w:tab/>
        <w:t xml:space="preserve">Whenever the Registrar becomes aware of the occurrence or continuance of industrial action in any industry or is of the opinion that such industrial action is likely </w:t>
      </w:r>
      <w:r>
        <w:t>the Registrar</w:t>
      </w:r>
      <w:r>
        <w:rPr>
          <w:snapToGrid w:val="0"/>
        </w:rPr>
        <w:t xml:space="preserve"> </w:t>
      </w:r>
      <w:r>
        <w:t>must immediately</w:t>
      </w:r>
      <w:r>
        <w:rPr>
          <w:snapToGrid w:val="0"/>
        </w:rPr>
        <w:t xml:space="preserve"> acquaint the Chief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considers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duties under this Act the Registrar is entitled to the assistance of all officers of the Court and of the Commission.</w:t>
      </w:r>
    </w:p>
    <w:p>
      <w:pPr>
        <w:pStyle w:val="Footnotesection"/>
      </w:pPr>
      <w:r>
        <w:tab/>
        <w:t>[Section 93 amended: No. 94 of 1984 s. 56; No. 119 of 1987 s. 23; No. 32 of 1994 s. 14; No. 1 of 1995 s. 53; No. 79 of 1995 s. 8(2); No. 20 of 2002 s. 135, 160(4) and 190(7)</w:t>
      </w:r>
      <w:r>
        <w:noBreakHyphen/>
        <w:t>(9); No. 53 of 2011 s. 44; No. 30 of 2021 s. 59 and 76(2), (4) and (8), 77(3), (6), (10) and (13) and 78(7).]</w:t>
      </w:r>
    </w:p>
    <w:p>
      <w:pPr>
        <w:pStyle w:val="Heading5"/>
        <w:rPr>
          <w:snapToGrid w:val="0"/>
        </w:rPr>
      </w:pPr>
      <w:bookmarkStart w:id="954" w:name="_Toc107476620"/>
      <w:bookmarkStart w:id="955" w:name="_Toc106374154"/>
      <w:r>
        <w:rPr>
          <w:rStyle w:val="CharSectno"/>
        </w:rPr>
        <w:t>94</w:t>
      </w:r>
      <w:r>
        <w:rPr>
          <w:snapToGrid w:val="0"/>
        </w:rPr>
        <w:t>.</w:t>
      </w:r>
      <w:r>
        <w:rPr>
          <w:snapToGrid w:val="0"/>
        </w:rPr>
        <w:tab/>
        <w:t>Authority of officers to do acts as directed</w:t>
      </w:r>
      <w:bookmarkEnd w:id="954"/>
      <w:bookmarkEnd w:id="955"/>
    </w:p>
    <w:p>
      <w:pPr>
        <w:pStyle w:val="Subsection"/>
        <w:rPr>
          <w:snapToGrid w:val="0"/>
        </w:rPr>
      </w:pPr>
      <w:r>
        <w:rPr>
          <w:snapToGrid w:val="0"/>
        </w:rPr>
        <w:tab/>
      </w:r>
      <w:r>
        <w:rPr>
          <w:snapToGrid w:val="0"/>
        </w:rPr>
        <w:tab/>
        <w:t>Wherever this Act authorises the Commission to direct the Registrar or any other officer of the Court or of the Commission to do anything, this Act is to be construed as imposing on that officer the duty to do that thing and as empowering the officer to do so.</w:t>
      </w:r>
    </w:p>
    <w:p>
      <w:pPr>
        <w:pStyle w:val="Footnotesection"/>
      </w:pPr>
      <w:r>
        <w:tab/>
        <w:t>[Section 94 amended: No. 1 of 1995 s. 53; No. 30 of 2021 s. 77(13) and 78(7).]</w:t>
      </w:r>
    </w:p>
    <w:p>
      <w:pPr>
        <w:pStyle w:val="Heading5"/>
        <w:rPr>
          <w:snapToGrid w:val="0"/>
        </w:rPr>
      </w:pPr>
      <w:bookmarkStart w:id="956" w:name="_Toc107476621"/>
      <w:bookmarkStart w:id="957" w:name="_Toc106374155"/>
      <w:r>
        <w:rPr>
          <w:rStyle w:val="CharSectno"/>
        </w:rPr>
        <w:t>95</w:t>
      </w:r>
      <w:r>
        <w:rPr>
          <w:snapToGrid w:val="0"/>
        </w:rPr>
        <w:t>.</w:t>
      </w:r>
      <w:r>
        <w:rPr>
          <w:snapToGrid w:val="0"/>
        </w:rPr>
        <w:tab/>
        <w:t>Deputy registrar’s functions</w:t>
      </w:r>
      <w:bookmarkEnd w:id="956"/>
      <w:bookmarkEnd w:id="957"/>
    </w:p>
    <w:p>
      <w:pPr>
        <w:pStyle w:val="Subsection"/>
        <w:rPr>
          <w:snapToGrid w:val="0"/>
        </w:rPr>
      </w:pPr>
      <w:r>
        <w:rPr>
          <w:snapToGrid w:val="0"/>
        </w:rPr>
        <w:tab/>
        <w:t>(1)</w:t>
      </w:r>
      <w:r>
        <w:rPr>
          <w:snapToGrid w:val="0"/>
        </w:rPr>
        <w:tab/>
        <w:t xml:space="preserve">A deputy registrar </w:t>
      </w:r>
      <w:r>
        <w:t>has</w:t>
      </w:r>
      <w:r>
        <w:rPr>
          <w:snapToGrid w:val="0"/>
        </w:rPr>
        <w:t xml:space="preser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the deputy registrar generally; or</w:t>
      </w:r>
    </w:p>
    <w:p>
      <w:pPr>
        <w:pStyle w:val="Indenta"/>
        <w:rPr>
          <w:snapToGrid w:val="0"/>
        </w:rPr>
      </w:pPr>
      <w:r>
        <w:rPr>
          <w:snapToGrid w:val="0"/>
        </w:rPr>
        <w:tab/>
        <w:t>(b)</w:t>
      </w:r>
      <w:r>
        <w:rPr>
          <w:snapToGrid w:val="0"/>
        </w:rPr>
        <w:tab/>
        <w:t>the Registrar or the Commission may assign to the deputy registrar in any particular case.</w:t>
      </w:r>
    </w:p>
    <w:p>
      <w:pPr>
        <w:pStyle w:val="Subsection"/>
        <w:rPr>
          <w:snapToGrid w:val="0"/>
        </w:rPr>
      </w:pPr>
      <w:r>
        <w:rPr>
          <w:snapToGrid w:val="0"/>
        </w:rPr>
        <w:tab/>
        <w:t>(2)</w:t>
      </w:r>
      <w:r>
        <w:rPr>
          <w:snapToGrid w:val="0"/>
        </w:rPr>
        <w:tab/>
        <w:t xml:space="preserve">During the illness, temporary incapacity, or temporary absence from office of the Registrar, the designated deputy registrar </w:t>
      </w:r>
      <w:r>
        <w:t>has</w:t>
      </w:r>
      <w:r>
        <w:rPr>
          <w:snapToGrid w:val="0"/>
        </w:rPr>
        <w:t xml:space="preserve"> and may exercise the powers and authorities and must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No. 94 of 1984 s. 57; amended: No. 30 of 2021 s. 76(2) and (8) and 77(13).]</w:t>
      </w:r>
    </w:p>
    <w:p>
      <w:pPr>
        <w:pStyle w:val="Heading5"/>
      </w:pPr>
      <w:bookmarkStart w:id="958" w:name="_Toc107476622"/>
      <w:bookmarkStart w:id="959" w:name="_Toc106374156"/>
      <w:r>
        <w:rPr>
          <w:rStyle w:val="CharSectno"/>
        </w:rPr>
        <w:t>96</w:t>
      </w:r>
      <w:r>
        <w:t>.</w:t>
      </w:r>
      <w:r>
        <w:tab/>
        <w:t>Delegation by Commission to Registrar</w:t>
      </w:r>
      <w:bookmarkEnd w:id="958"/>
      <w:bookmarkEnd w:id="959"/>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29(1)(c) or (d);</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 xml:space="preserve">to make an order that an employee has not been allowed by an employer a benefit to which </w:t>
      </w:r>
      <w:r>
        <w:rPr>
          <w:snapToGrid w:val="0"/>
        </w:rPr>
        <w:t>the employee</w:t>
      </w:r>
      <w:r>
        <w:t xml:space="preserve"> is entitled under a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w:t>
      </w:r>
      <w:r>
        <w:rPr>
          <w:snapToGrid w:val="0"/>
        </w:rPr>
        <w:t>the Chief Commissioner’s</w:t>
      </w:r>
      <w:r>
        <w:t xml:space="preserve">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No. 20 of 2002 s. 161; amended: No. 30 of 2021 s. 60 and 77(13).]</w:t>
      </w:r>
    </w:p>
    <w:p>
      <w:pPr>
        <w:pStyle w:val="Ednotepart"/>
      </w:pPr>
      <w:r>
        <w:t>[Part VI deleted: No. 94 of 1984 s. 58.]</w:t>
      </w:r>
    </w:p>
    <w:p>
      <w:pPr>
        <w:pStyle w:val="Heading2"/>
      </w:pPr>
      <w:bookmarkStart w:id="960" w:name="_Toc107322494"/>
      <w:bookmarkStart w:id="961" w:name="_Toc107476623"/>
      <w:bookmarkStart w:id="962" w:name="_Toc105760182"/>
      <w:bookmarkStart w:id="963" w:name="_Toc106195483"/>
      <w:bookmarkStart w:id="964" w:name="_Toc106367426"/>
      <w:bookmarkStart w:id="965" w:name="_Toc106374157"/>
      <w:r>
        <w:rPr>
          <w:rStyle w:val="CharPartNo"/>
        </w:rPr>
        <w:t>Part VIA</w:t>
      </w:r>
      <w:r>
        <w:t xml:space="preserve"> — </w:t>
      </w:r>
      <w:r>
        <w:rPr>
          <w:rStyle w:val="CharPartText"/>
        </w:rPr>
        <w:t>Freedom of association</w:t>
      </w:r>
      <w:bookmarkEnd w:id="960"/>
      <w:bookmarkEnd w:id="961"/>
      <w:bookmarkEnd w:id="962"/>
      <w:bookmarkEnd w:id="963"/>
      <w:bookmarkEnd w:id="964"/>
      <w:bookmarkEnd w:id="965"/>
    </w:p>
    <w:p>
      <w:pPr>
        <w:pStyle w:val="Footnoteheading"/>
        <w:rPr>
          <w:snapToGrid w:val="0"/>
        </w:rPr>
      </w:pPr>
      <w:r>
        <w:rPr>
          <w:snapToGrid w:val="0"/>
        </w:rPr>
        <w:tab/>
        <w:t>[Heading inserted: No. 15 of 1993 s. 28.]</w:t>
      </w:r>
    </w:p>
    <w:p>
      <w:pPr>
        <w:pStyle w:val="Heading5"/>
        <w:rPr>
          <w:snapToGrid w:val="0"/>
        </w:rPr>
      </w:pPr>
      <w:bookmarkStart w:id="966" w:name="_Toc107476624"/>
      <w:bookmarkStart w:id="967" w:name="_Toc106374158"/>
      <w:r>
        <w:rPr>
          <w:rStyle w:val="CharSectno"/>
        </w:rPr>
        <w:t>96A</w:t>
      </w:r>
      <w:r>
        <w:rPr>
          <w:snapToGrid w:val="0"/>
        </w:rPr>
        <w:t>.</w:t>
      </w:r>
      <w:r>
        <w:rPr>
          <w:snapToGrid w:val="0"/>
        </w:rPr>
        <w:tab/>
        <w:t>Terms used</w:t>
      </w:r>
      <w:bookmarkEnd w:id="966"/>
      <w:bookmarkEnd w:id="967"/>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No. 15 of 1993 s. 28.]</w:t>
      </w:r>
    </w:p>
    <w:p>
      <w:pPr>
        <w:pStyle w:val="Heading5"/>
        <w:rPr>
          <w:snapToGrid w:val="0"/>
        </w:rPr>
      </w:pPr>
      <w:bookmarkStart w:id="968" w:name="_Toc107476625"/>
      <w:bookmarkStart w:id="969" w:name="_Toc106374159"/>
      <w:r>
        <w:rPr>
          <w:rStyle w:val="CharSectno"/>
        </w:rPr>
        <w:t>96B</w:t>
      </w:r>
      <w:r>
        <w:rPr>
          <w:snapToGrid w:val="0"/>
        </w:rPr>
        <w:t>.</w:t>
      </w:r>
      <w:r>
        <w:rPr>
          <w:snapToGrid w:val="0"/>
        </w:rPr>
        <w:tab/>
        <w:t>Awards etc. not to contain certain provisions about membership of organisations</w:t>
      </w:r>
      <w:bookmarkEnd w:id="968"/>
      <w:bookmarkEnd w:id="969"/>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No. 15 of 1993 s. 28.]</w:t>
      </w:r>
    </w:p>
    <w:p>
      <w:pPr>
        <w:pStyle w:val="Heading5"/>
        <w:rPr>
          <w:snapToGrid w:val="0"/>
        </w:rPr>
      </w:pPr>
      <w:bookmarkStart w:id="970" w:name="_Toc107476626"/>
      <w:bookmarkStart w:id="971" w:name="_Toc106374160"/>
      <w:r>
        <w:rPr>
          <w:rStyle w:val="CharSectno"/>
        </w:rPr>
        <w:t>96C</w:t>
      </w:r>
      <w:r>
        <w:rPr>
          <w:snapToGrid w:val="0"/>
        </w:rPr>
        <w:t>.</w:t>
      </w:r>
      <w:r>
        <w:rPr>
          <w:snapToGrid w:val="0"/>
        </w:rPr>
        <w:tab/>
        <w:t>Discrimination because of membership of organisation, offence</w:t>
      </w:r>
      <w:bookmarkEnd w:id="970"/>
      <w:bookmarkEnd w:id="971"/>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keepNext/>
        <w:spacing w:before="140"/>
        <w:rPr>
          <w:snapToGrid w:val="0"/>
        </w:rPr>
      </w:pPr>
      <w:r>
        <w:rPr>
          <w:snapToGrid w:val="0"/>
        </w:rPr>
        <w:tab/>
        <w:t>(2)</w:t>
      </w:r>
      <w:r>
        <w:rPr>
          <w:snapToGrid w:val="0"/>
        </w:rPr>
        <w:tab/>
        <w:t>A person must not conspire with another person to commit an offence against subsection (1).</w:t>
      </w:r>
    </w:p>
    <w:p>
      <w:pPr>
        <w:pStyle w:val="Penstart"/>
        <w:keepNex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by which the cost of services provided to members of an organisation is less than the cost ordinarily charged by the person for those services.</w:t>
      </w:r>
    </w:p>
    <w:p>
      <w:pPr>
        <w:pStyle w:val="Footnotesection"/>
      </w:pPr>
      <w:r>
        <w:tab/>
        <w:t>[Section 96C inserted: No. 15 of 1993 s. 28; amended: No. 30 of 2021 s. 72(4) and (5) and 78(7).]</w:t>
      </w:r>
    </w:p>
    <w:p>
      <w:pPr>
        <w:pStyle w:val="Heading5"/>
        <w:spacing w:before="240"/>
        <w:rPr>
          <w:snapToGrid w:val="0"/>
        </w:rPr>
      </w:pPr>
      <w:bookmarkStart w:id="972" w:name="_Toc107476627"/>
      <w:bookmarkStart w:id="973" w:name="_Toc106374161"/>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972"/>
      <w:bookmarkEnd w:id="973"/>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keepNext/>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No. 15 of 1993 s. 28; amended: No. 30 of 2021 s. 72(4) and (6).]</w:t>
      </w:r>
    </w:p>
    <w:p>
      <w:pPr>
        <w:pStyle w:val="Heading5"/>
        <w:rPr>
          <w:snapToGrid w:val="0"/>
        </w:rPr>
      </w:pPr>
      <w:bookmarkStart w:id="974" w:name="_Toc107476628"/>
      <w:bookmarkStart w:id="975" w:name="_Toc106374162"/>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974"/>
      <w:bookmarkEnd w:id="975"/>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keepNext/>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keepNext/>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No. 15 of 1993 s. 28; amended: No. 30 of 2021 s. 72(4) and (7).]</w:t>
      </w:r>
    </w:p>
    <w:p>
      <w:pPr>
        <w:pStyle w:val="Heading5"/>
        <w:keepLines w:val="0"/>
        <w:rPr>
          <w:snapToGrid w:val="0"/>
        </w:rPr>
      </w:pPr>
      <w:bookmarkStart w:id="976" w:name="_Toc107476629"/>
      <w:bookmarkStart w:id="977" w:name="_Toc106374163"/>
      <w:r>
        <w:rPr>
          <w:rStyle w:val="CharSectno"/>
        </w:rPr>
        <w:t>96F</w:t>
      </w:r>
      <w:r>
        <w:rPr>
          <w:snapToGrid w:val="0"/>
        </w:rPr>
        <w:t>.</w:t>
      </w:r>
      <w:r>
        <w:rPr>
          <w:snapToGrid w:val="0"/>
        </w:rPr>
        <w:tab/>
        <w:t>Penalties under s. 96C, 96D and 96E, provisions about</w:t>
      </w:r>
      <w:bookmarkEnd w:id="976"/>
      <w:bookmarkEnd w:id="977"/>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immediately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must not be joined as an applicant in any proceeding referred to in paragraph (a); and</w:t>
      </w:r>
    </w:p>
    <w:p>
      <w:pPr>
        <w:pStyle w:val="Indenta"/>
        <w:rPr>
          <w:snapToGrid w:val="0"/>
        </w:rPr>
      </w:pPr>
      <w:r>
        <w:rPr>
          <w:snapToGrid w:val="0"/>
        </w:rPr>
        <w:tab/>
        <w:t>(c)</w:t>
      </w:r>
      <w:r>
        <w:rPr>
          <w:snapToGrid w:val="0"/>
        </w:rPr>
        <w:tab/>
        <w:t xml:space="preserve">an award or order must not be made or </w:t>
      </w:r>
      <w:r>
        <w:t>taken</w:t>
      </w:r>
      <w:r>
        <w:rPr>
          <w:snapToGrid w:val="0"/>
        </w:rPr>
        <w:t xml:space="preserve"> to have been made for the benefit of the organisation concerned or any of its members; and</w:t>
      </w:r>
    </w:p>
    <w:p>
      <w:pPr>
        <w:pStyle w:val="Indenta"/>
        <w:rPr>
          <w:snapToGrid w:val="0"/>
        </w:rPr>
      </w:pPr>
      <w:r>
        <w:rPr>
          <w:snapToGrid w:val="0"/>
        </w:rPr>
        <w:tab/>
        <w:t>(d)</w:t>
      </w:r>
      <w:r>
        <w:rPr>
          <w:snapToGrid w:val="0"/>
        </w:rPr>
        <w:tab/>
        <w:t xml:space="preserve">rights or entitlements are </w:t>
      </w:r>
      <w:r>
        <w:t>taken</w:t>
      </w:r>
      <w:r>
        <w:rPr>
          <w:snapToGrid w:val="0"/>
        </w:rPr>
        <w:t xml:space="preserve"> not to become due to the organisation or its members under this Act or any award or order in force under this Act.</w:t>
      </w:r>
    </w:p>
    <w:p>
      <w:pPr>
        <w:pStyle w:val="Footnotesection"/>
      </w:pPr>
      <w:r>
        <w:tab/>
        <w:t>[Section 96F inserted: No. 15 of 1993 s. 28; amended: No. 78 of 1995 s. 53; No. 30 of 2021 s. 76(2) and (4), 78(3), (6) and (7).]</w:t>
      </w:r>
    </w:p>
    <w:p>
      <w:pPr>
        <w:pStyle w:val="Heading5"/>
        <w:rPr>
          <w:snapToGrid w:val="0"/>
        </w:rPr>
      </w:pPr>
      <w:bookmarkStart w:id="978" w:name="_Toc107476630"/>
      <w:bookmarkStart w:id="979" w:name="_Toc106374164"/>
      <w:r>
        <w:rPr>
          <w:rStyle w:val="CharSectno"/>
        </w:rPr>
        <w:t>96G</w:t>
      </w:r>
      <w:r>
        <w:rPr>
          <w:snapToGrid w:val="0"/>
        </w:rPr>
        <w:t>.</w:t>
      </w:r>
      <w:r>
        <w:rPr>
          <w:snapToGrid w:val="0"/>
        </w:rPr>
        <w:tab/>
        <w:t>Criminal responsibility of officers etc. for offences in s. 96C, 96D and 96E</w:t>
      </w:r>
      <w:bookmarkEnd w:id="978"/>
      <w:bookmarkEnd w:id="979"/>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No. 15 of 1993 s. 28.]</w:t>
      </w:r>
    </w:p>
    <w:p>
      <w:pPr>
        <w:pStyle w:val="Heading5"/>
        <w:rPr>
          <w:snapToGrid w:val="0"/>
        </w:rPr>
      </w:pPr>
      <w:bookmarkStart w:id="980" w:name="_Toc107476631"/>
      <w:bookmarkStart w:id="981" w:name="_Toc106374165"/>
      <w:r>
        <w:rPr>
          <w:rStyle w:val="CharSectno"/>
        </w:rPr>
        <w:t>96H</w:t>
      </w:r>
      <w:r>
        <w:rPr>
          <w:snapToGrid w:val="0"/>
        </w:rPr>
        <w:t>.</w:t>
      </w:r>
      <w:r>
        <w:rPr>
          <w:snapToGrid w:val="0"/>
        </w:rPr>
        <w:tab/>
        <w:t>Criminal responsibility of corporations etc. for offences in s. 96C, 96D and 96E</w:t>
      </w:r>
      <w:bookmarkEnd w:id="980"/>
      <w:bookmarkEnd w:id="981"/>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(Commonwealth), other than an exempt body within the meaning of section 66A of that Act.</w:t>
      </w:r>
    </w:p>
    <w:p>
      <w:pPr>
        <w:pStyle w:val="Footnotesection"/>
        <w:spacing w:before="80"/>
        <w:ind w:left="890" w:hanging="890"/>
      </w:pPr>
      <w:r>
        <w:tab/>
        <w:t>[Section 96H inserted: No. 15 of 1993 s. 28; amended: No. 10 of 2001 s. 113; No. 20 of 2003 s. 32; No. 30 of 2021 s. 78(1).]</w:t>
      </w:r>
    </w:p>
    <w:p>
      <w:pPr>
        <w:pStyle w:val="Heading5"/>
        <w:rPr>
          <w:snapToGrid w:val="0"/>
        </w:rPr>
      </w:pPr>
      <w:bookmarkStart w:id="982" w:name="_Toc107476632"/>
      <w:bookmarkStart w:id="983" w:name="_Toc106374166"/>
      <w:r>
        <w:rPr>
          <w:rStyle w:val="CharSectno"/>
        </w:rPr>
        <w:t>96I</w:t>
      </w:r>
      <w:r>
        <w:rPr>
          <w:snapToGrid w:val="0"/>
        </w:rPr>
        <w:t>.</w:t>
      </w:r>
      <w:r>
        <w:rPr>
          <w:snapToGrid w:val="0"/>
        </w:rPr>
        <w:tab/>
        <w:t>Evidentiary provisions for s. 96C, 96D and 96E</w:t>
      </w:r>
      <w:bookmarkEnd w:id="982"/>
      <w:bookmarkEnd w:id="983"/>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is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is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No. 15 of 1993 s. 28; amended: No. 84 of 2004 s. 80 and 82; No. 30 of 2021 s. 76(3).]</w:t>
      </w:r>
    </w:p>
    <w:p>
      <w:pPr>
        <w:pStyle w:val="Heading5"/>
        <w:rPr>
          <w:snapToGrid w:val="0"/>
        </w:rPr>
      </w:pPr>
      <w:bookmarkStart w:id="984" w:name="_Toc107476633"/>
      <w:bookmarkStart w:id="985" w:name="_Toc106374167"/>
      <w:r>
        <w:rPr>
          <w:rStyle w:val="CharSectno"/>
        </w:rPr>
        <w:t>96J</w:t>
      </w:r>
      <w:r>
        <w:rPr>
          <w:snapToGrid w:val="0"/>
        </w:rPr>
        <w:t>.</w:t>
      </w:r>
      <w:r>
        <w:rPr>
          <w:snapToGrid w:val="0"/>
        </w:rPr>
        <w:tab/>
        <w:t>Court may order compliance with s. 96C, 96D or 96E</w:t>
      </w:r>
      <w:bookmarkEnd w:id="984"/>
      <w:bookmarkEnd w:id="985"/>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must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No. 15 of 1993 s. 28; amended: No. 79 of 1995 s. 26; No. 30 of 2021 s. 76(2).]</w:t>
      </w:r>
    </w:p>
    <w:p>
      <w:pPr>
        <w:pStyle w:val="Heading5"/>
        <w:spacing w:before="260"/>
        <w:rPr>
          <w:snapToGrid w:val="0"/>
        </w:rPr>
      </w:pPr>
      <w:bookmarkStart w:id="986" w:name="_Toc107476634"/>
      <w:bookmarkStart w:id="987" w:name="_Toc106374168"/>
      <w:r>
        <w:rPr>
          <w:rStyle w:val="CharSectno"/>
        </w:rPr>
        <w:t>96K</w:t>
      </w:r>
      <w:r>
        <w:rPr>
          <w:snapToGrid w:val="0"/>
        </w:rPr>
        <w:t>.</w:t>
      </w:r>
      <w:r>
        <w:rPr>
          <w:snapToGrid w:val="0"/>
        </w:rPr>
        <w:tab/>
        <w:t>Appeal against decision under s. 96J</w:t>
      </w:r>
      <w:bookmarkEnd w:id="986"/>
      <w:bookmarkEnd w:id="987"/>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No. 15 of 1993 s. 28.]</w:t>
      </w:r>
    </w:p>
    <w:p>
      <w:pPr>
        <w:pStyle w:val="Heading5"/>
        <w:rPr>
          <w:snapToGrid w:val="0"/>
        </w:rPr>
      </w:pPr>
      <w:bookmarkStart w:id="988" w:name="_Toc107476635"/>
      <w:bookmarkStart w:id="989" w:name="_Toc106374169"/>
      <w:r>
        <w:rPr>
          <w:rStyle w:val="CharSectno"/>
        </w:rPr>
        <w:t>96L</w:t>
      </w:r>
      <w:r>
        <w:rPr>
          <w:snapToGrid w:val="0"/>
        </w:rPr>
        <w:t>.</w:t>
      </w:r>
      <w:r>
        <w:rPr>
          <w:snapToGrid w:val="0"/>
        </w:rPr>
        <w:tab/>
        <w:t>Other court orders after conviction under s. 96C, 96D or 96E</w:t>
      </w:r>
      <w:bookmarkEnd w:id="988"/>
      <w:bookmarkEnd w:id="989"/>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the complainant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the complainant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No. 15 of 1993 s. 28; amended: No. 30 of 2021 s. 77(13).]</w:t>
      </w:r>
    </w:p>
    <w:p>
      <w:pPr>
        <w:pStyle w:val="Ednotesection"/>
      </w:pPr>
      <w:r>
        <w:t>[</w:t>
      </w:r>
      <w:r>
        <w:rPr>
          <w:b/>
        </w:rPr>
        <w:t>96M.</w:t>
      </w:r>
      <w:r>
        <w:tab/>
        <w:t>Deleted: No. 79 of 1995 s. 37.]</w:t>
      </w:r>
    </w:p>
    <w:p>
      <w:pPr>
        <w:pStyle w:val="Heading2"/>
      </w:pPr>
      <w:bookmarkStart w:id="990" w:name="_Toc107322507"/>
      <w:bookmarkStart w:id="991" w:name="_Toc107476636"/>
      <w:bookmarkStart w:id="992" w:name="_Toc84926160"/>
      <w:bookmarkStart w:id="993" w:name="_Toc84927576"/>
      <w:bookmarkStart w:id="994" w:name="_Toc84935556"/>
      <w:bookmarkStart w:id="995" w:name="_Toc85533353"/>
      <w:bookmarkStart w:id="996" w:name="_Toc85543969"/>
      <w:bookmarkStart w:id="997" w:name="_Toc90551762"/>
      <w:bookmarkStart w:id="998" w:name="_Toc90553730"/>
      <w:bookmarkStart w:id="999" w:name="_Toc90558333"/>
      <w:bookmarkStart w:id="1000" w:name="_Toc91144575"/>
      <w:bookmarkStart w:id="1001" w:name="_Toc95209414"/>
      <w:bookmarkStart w:id="1002" w:name="_Toc106195496"/>
      <w:bookmarkStart w:id="1003" w:name="_Toc106367439"/>
      <w:bookmarkStart w:id="1004" w:name="_Toc106374170"/>
      <w:r>
        <w:rPr>
          <w:rStyle w:val="CharPartNo"/>
        </w:rPr>
        <w:t>Part 6B</w:t>
      </w:r>
      <w:r>
        <w:t> — </w:t>
      </w:r>
      <w:r>
        <w:rPr>
          <w:rStyle w:val="CharPartText"/>
        </w:rPr>
        <w:t>Protection of employee rights</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p>
    <w:p>
      <w:pPr>
        <w:pStyle w:val="Footnoteheading"/>
        <w:keepNext/>
        <w:keepLines/>
      </w:pPr>
      <w:bookmarkStart w:id="1005" w:name="_Toc84926161"/>
      <w:bookmarkStart w:id="1006" w:name="_Toc84927577"/>
      <w:bookmarkStart w:id="1007" w:name="_Toc84935557"/>
      <w:bookmarkStart w:id="1008" w:name="_Toc85533354"/>
      <w:bookmarkStart w:id="1009" w:name="_Toc85543970"/>
      <w:bookmarkStart w:id="1010" w:name="_Toc90551763"/>
      <w:bookmarkStart w:id="1011" w:name="_Toc90553731"/>
      <w:bookmarkStart w:id="1012" w:name="_Toc90558334"/>
      <w:bookmarkStart w:id="1013" w:name="_Toc91144576"/>
      <w:bookmarkStart w:id="1014" w:name="_Toc95209415"/>
      <w:r>
        <w:tab/>
        <w:t>[Heading inserted: No. 30 of 2021 s. 61.]</w:t>
      </w:r>
    </w:p>
    <w:p>
      <w:pPr>
        <w:pStyle w:val="Heading3"/>
      </w:pPr>
      <w:bookmarkStart w:id="1015" w:name="_Toc107322508"/>
      <w:bookmarkStart w:id="1016" w:name="_Toc107476637"/>
      <w:bookmarkStart w:id="1017" w:name="_Toc106195497"/>
      <w:bookmarkStart w:id="1018" w:name="_Toc106367440"/>
      <w:bookmarkStart w:id="1019" w:name="_Toc106374171"/>
      <w:r>
        <w:rPr>
          <w:rStyle w:val="CharDivNo"/>
        </w:rPr>
        <w:t>Division 1</w:t>
      </w:r>
      <w:r>
        <w:t> — </w:t>
      </w:r>
      <w:r>
        <w:rPr>
          <w:rStyle w:val="CharDivText"/>
        </w:rPr>
        <w:t>Preliminary</w:t>
      </w:r>
      <w:bookmarkEnd w:id="1015"/>
      <w:bookmarkEnd w:id="1016"/>
      <w:bookmarkEnd w:id="1005"/>
      <w:bookmarkEnd w:id="1006"/>
      <w:bookmarkEnd w:id="1007"/>
      <w:bookmarkEnd w:id="1008"/>
      <w:bookmarkEnd w:id="1009"/>
      <w:bookmarkEnd w:id="1010"/>
      <w:bookmarkEnd w:id="1011"/>
      <w:bookmarkEnd w:id="1012"/>
      <w:bookmarkEnd w:id="1013"/>
      <w:bookmarkEnd w:id="1014"/>
      <w:bookmarkEnd w:id="1017"/>
      <w:bookmarkEnd w:id="1018"/>
      <w:bookmarkEnd w:id="1019"/>
    </w:p>
    <w:p>
      <w:pPr>
        <w:pStyle w:val="Footnoteheading"/>
        <w:keepNext/>
        <w:keepLines/>
      </w:pPr>
      <w:bookmarkStart w:id="1020" w:name="_Toc90558335"/>
      <w:bookmarkStart w:id="1021" w:name="_Toc95209416"/>
      <w:r>
        <w:tab/>
        <w:t>[Heading inserted: No. 30 of 2021 s. 61.]</w:t>
      </w:r>
    </w:p>
    <w:p>
      <w:pPr>
        <w:pStyle w:val="Heading5"/>
      </w:pPr>
      <w:bookmarkStart w:id="1022" w:name="_Toc107476638"/>
      <w:bookmarkStart w:id="1023" w:name="_Toc106374172"/>
      <w:r>
        <w:rPr>
          <w:rStyle w:val="CharSectno"/>
        </w:rPr>
        <w:t>97</w:t>
      </w:r>
      <w:r>
        <w:t>.</w:t>
      </w:r>
      <w:r>
        <w:tab/>
        <w:t>Terms used</w:t>
      </w:r>
      <w:bookmarkEnd w:id="1022"/>
      <w:bookmarkEnd w:id="1020"/>
      <w:bookmarkEnd w:id="1021"/>
      <w:bookmarkEnd w:id="1023"/>
    </w:p>
    <w:p>
      <w:pPr>
        <w:pStyle w:val="Subsection"/>
      </w:pPr>
      <w:r>
        <w:tab/>
      </w:r>
      <w:r>
        <w:tab/>
        <w:t xml:space="preserve">In this Part — </w:t>
      </w:r>
    </w:p>
    <w:p>
      <w:pPr>
        <w:pStyle w:val="Defstart"/>
      </w:pPr>
      <w:r>
        <w:tab/>
      </w:r>
      <w:r>
        <w:rPr>
          <w:rStyle w:val="CharDefText"/>
        </w:rPr>
        <w:t>damaging action</w:t>
      </w:r>
      <w:r>
        <w:t xml:space="preserve">, against an employee, means — </w:t>
      </w:r>
    </w:p>
    <w:p>
      <w:pPr>
        <w:pStyle w:val="Defpara"/>
      </w:pPr>
      <w:r>
        <w:tab/>
        <w:t>(a)</w:t>
      </w:r>
      <w:r>
        <w:tab/>
        <w:t xml:space="preserve">in the case of an employee — </w:t>
      </w:r>
    </w:p>
    <w:p>
      <w:pPr>
        <w:pStyle w:val="Defsubpara"/>
      </w:pPr>
      <w:r>
        <w:tab/>
        <w:t>(i)</w:t>
      </w:r>
      <w:r>
        <w:tab/>
        <w:t>dismissing the employee; or</w:t>
      </w:r>
    </w:p>
    <w:p>
      <w:pPr>
        <w:pStyle w:val="Defsubpara"/>
      </w:pPr>
      <w:r>
        <w:tab/>
        <w:t>(ii)</w:t>
      </w:r>
      <w:r>
        <w:tab/>
        <w:t>altering the employee’s position to the employee’s disadvantage; or</w:t>
      </w:r>
    </w:p>
    <w:p>
      <w:pPr>
        <w:pStyle w:val="Defsubpara"/>
      </w:pPr>
      <w:r>
        <w:tab/>
        <w:t>(iii)</w:t>
      </w:r>
      <w:r>
        <w:tab/>
        <w:t>refusing to promote or transfer the employee; or</w:t>
      </w:r>
    </w:p>
    <w:p>
      <w:pPr>
        <w:pStyle w:val="Defsubpara"/>
      </w:pPr>
      <w:r>
        <w:tab/>
        <w:t>(iv)</w:t>
      </w:r>
      <w:r>
        <w:tab/>
        <w:t>otherwise injuring the employee in relation to the employee’s employment with the employer or another person; or</w:t>
      </w:r>
    </w:p>
    <w:p>
      <w:pPr>
        <w:pStyle w:val="Defsubpara"/>
      </w:pPr>
      <w:r>
        <w:tab/>
        <w:t>(v)</w:t>
      </w:r>
      <w:r>
        <w:tab/>
        <w:t>threatening to do anything referred to in subparagraphs (i) to (iv);</w:t>
      </w:r>
    </w:p>
    <w:p>
      <w:pPr>
        <w:pStyle w:val="Defpara"/>
      </w:pPr>
      <w:r>
        <w:tab/>
      </w:r>
      <w:r>
        <w:tab/>
        <w:t>and</w:t>
      </w:r>
    </w:p>
    <w:p>
      <w:pPr>
        <w:pStyle w:val="Defpara"/>
      </w:pPr>
      <w:r>
        <w:tab/>
        <w:t>(b)</w:t>
      </w:r>
      <w:r>
        <w:tab/>
        <w:t xml:space="preserve">in the case of a prospective employee — </w:t>
      </w:r>
    </w:p>
    <w:p>
      <w:pPr>
        <w:pStyle w:val="Defsubpara"/>
      </w:pPr>
      <w:r>
        <w:tab/>
        <w:t>(i)</w:t>
      </w:r>
      <w:r>
        <w:tab/>
        <w:t>refusing to employ the prospective employee; or</w:t>
      </w:r>
    </w:p>
    <w:p>
      <w:pPr>
        <w:pStyle w:val="Defsubpara"/>
      </w:pPr>
      <w:r>
        <w:tab/>
        <w:t>(ii)</w:t>
      </w:r>
      <w:r>
        <w:tab/>
        <w:t>discriminating against the prospective employee in the terms or conditions on which the employer offers to employ the prospective employee; or</w:t>
      </w:r>
    </w:p>
    <w:p>
      <w:pPr>
        <w:pStyle w:val="Defsubpara"/>
      </w:pPr>
      <w:r>
        <w:tab/>
        <w:t>(iii)</w:t>
      </w:r>
      <w:r>
        <w:tab/>
        <w:t>threatening to do anything referred to in subparagraphs (i) and (ii);</w:t>
      </w:r>
    </w:p>
    <w:p>
      <w:pPr>
        <w:pStyle w:val="Defstart"/>
      </w:pPr>
      <w:r>
        <w:tab/>
      </w:r>
      <w:r>
        <w:rPr>
          <w:rStyle w:val="CharDefText"/>
        </w:rPr>
        <w:t>employee</w:t>
      </w:r>
      <w:r>
        <w:t xml:space="preserve"> includes a prospective employee;</w:t>
      </w:r>
    </w:p>
    <w:p>
      <w:pPr>
        <w:pStyle w:val="Defstart"/>
      </w:pPr>
      <w:r>
        <w:tab/>
      </w:r>
      <w:r>
        <w:rPr>
          <w:rStyle w:val="CharDefText"/>
        </w:rPr>
        <w:t>employer</w:t>
      </w:r>
      <w:r>
        <w:t xml:space="preserve"> includes a former employer or prospective employer.</w:t>
      </w:r>
    </w:p>
    <w:p>
      <w:pPr>
        <w:pStyle w:val="Footnotesection"/>
      </w:pPr>
      <w:bookmarkStart w:id="1024" w:name="_Toc84926163"/>
      <w:bookmarkStart w:id="1025" w:name="_Toc84927579"/>
      <w:bookmarkStart w:id="1026" w:name="_Toc84935559"/>
      <w:bookmarkStart w:id="1027" w:name="_Toc85533356"/>
      <w:bookmarkStart w:id="1028" w:name="_Toc85543972"/>
      <w:bookmarkStart w:id="1029" w:name="_Toc90551765"/>
      <w:bookmarkStart w:id="1030" w:name="_Toc90553733"/>
      <w:bookmarkStart w:id="1031" w:name="_Toc90558336"/>
      <w:bookmarkStart w:id="1032" w:name="_Toc91144578"/>
      <w:bookmarkStart w:id="1033" w:name="_Toc95209417"/>
      <w:r>
        <w:tab/>
        <w:t>[Section 97 inserted: No. 30 of 2021 s. 61.]</w:t>
      </w:r>
    </w:p>
    <w:p>
      <w:pPr>
        <w:pStyle w:val="Heading3"/>
      </w:pPr>
      <w:bookmarkStart w:id="1034" w:name="_Toc107322510"/>
      <w:bookmarkStart w:id="1035" w:name="_Toc107476639"/>
      <w:bookmarkStart w:id="1036" w:name="_Toc106195499"/>
      <w:bookmarkStart w:id="1037" w:name="_Toc106367442"/>
      <w:bookmarkStart w:id="1038" w:name="_Toc106374173"/>
      <w:r>
        <w:rPr>
          <w:rStyle w:val="CharDivNo"/>
        </w:rPr>
        <w:t>Division 2</w:t>
      </w:r>
      <w:r>
        <w:t> — </w:t>
      </w:r>
      <w:r>
        <w:rPr>
          <w:rStyle w:val="CharDivText"/>
        </w:rPr>
        <w:t>Damaging action</w:t>
      </w:r>
      <w:bookmarkEnd w:id="1034"/>
      <w:bookmarkEnd w:id="1035"/>
      <w:bookmarkEnd w:id="1024"/>
      <w:bookmarkEnd w:id="1025"/>
      <w:bookmarkEnd w:id="1026"/>
      <w:bookmarkEnd w:id="1027"/>
      <w:bookmarkEnd w:id="1028"/>
      <w:bookmarkEnd w:id="1029"/>
      <w:bookmarkEnd w:id="1030"/>
      <w:bookmarkEnd w:id="1031"/>
      <w:bookmarkEnd w:id="1032"/>
      <w:bookmarkEnd w:id="1033"/>
      <w:bookmarkEnd w:id="1036"/>
      <w:bookmarkEnd w:id="1037"/>
      <w:bookmarkEnd w:id="1038"/>
    </w:p>
    <w:p>
      <w:pPr>
        <w:pStyle w:val="Footnoteheading"/>
        <w:keepNext/>
        <w:keepLines/>
      </w:pPr>
      <w:bookmarkStart w:id="1039" w:name="_Toc90558337"/>
      <w:bookmarkStart w:id="1040" w:name="_Toc95209418"/>
      <w:r>
        <w:tab/>
        <w:t>[Heading inserted: No. 30 of 2021 s. 61.]</w:t>
      </w:r>
    </w:p>
    <w:p>
      <w:pPr>
        <w:pStyle w:val="Heading5"/>
      </w:pPr>
      <w:bookmarkStart w:id="1041" w:name="_Toc107476640"/>
      <w:bookmarkStart w:id="1042" w:name="_Toc106374174"/>
      <w:r>
        <w:rPr>
          <w:rStyle w:val="CharSectno"/>
        </w:rPr>
        <w:t>97A</w:t>
      </w:r>
      <w:r>
        <w:t>.</w:t>
      </w:r>
      <w:r>
        <w:tab/>
        <w:t>Damaging action because of inquiry or complaint</w:t>
      </w:r>
      <w:bookmarkEnd w:id="1041"/>
      <w:bookmarkEnd w:id="1039"/>
      <w:bookmarkEnd w:id="1040"/>
      <w:bookmarkEnd w:id="1042"/>
    </w:p>
    <w:p>
      <w:pPr>
        <w:pStyle w:val="Subsection"/>
      </w:pPr>
      <w:r>
        <w:tab/>
        <w:t>(1)</w:t>
      </w:r>
      <w:r>
        <w:tab/>
        <w:t>An employer must not take damaging action against an employee for the reason, or for reasons that include, that the employee is able to make an employment</w:t>
      </w:r>
      <w:r>
        <w:noBreakHyphen/>
        <w:t>related inquiry or complaint to the employer or another person.</w:t>
      </w:r>
    </w:p>
    <w:p>
      <w:pPr>
        <w:pStyle w:val="Subsection"/>
      </w:pPr>
      <w:r>
        <w:tab/>
        <w:t>(2)</w:t>
      </w:r>
      <w:r>
        <w:tab/>
        <w:t>In any proceedings for a contravention of subsection (1), if it is proved that an employer took the damaging action against the employee, it is for the employer to prove that the employer did not do so because the employee made the inquiry or complaint or proposed to make the inquiry or complaint.</w:t>
      </w:r>
    </w:p>
    <w:p>
      <w:pPr>
        <w:pStyle w:val="Subsection"/>
      </w:pPr>
      <w:r>
        <w:tab/>
        <w:t>(3)</w:t>
      </w:r>
      <w:r>
        <w:tab/>
        <w:t>A contravention of subsection (1) is not an offence but that subsection is a civil penalty provision for the purposes of section 83E.</w:t>
      </w:r>
    </w:p>
    <w:p>
      <w:pPr>
        <w:pStyle w:val="Footnotesection"/>
      </w:pPr>
      <w:bookmarkStart w:id="1043" w:name="_Toc90558338"/>
      <w:bookmarkStart w:id="1044" w:name="_Toc95209419"/>
      <w:r>
        <w:tab/>
        <w:t>[Section 97A inserted: No. 30 of 2021 s. 61.]</w:t>
      </w:r>
    </w:p>
    <w:p>
      <w:pPr>
        <w:pStyle w:val="Heading5"/>
      </w:pPr>
      <w:bookmarkStart w:id="1045" w:name="_Toc107476641"/>
      <w:bookmarkStart w:id="1046" w:name="_Toc106374175"/>
      <w:r>
        <w:rPr>
          <w:rStyle w:val="CharSectno"/>
        </w:rPr>
        <w:t>97B</w:t>
      </w:r>
      <w:r>
        <w:t>.</w:t>
      </w:r>
      <w:r>
        <w:tab/>
        <w:t>Court orders to employers</w:t>
      </w:r>
      <w:bookmarkEnd w:id="1045"/>
      <w:bookmarkEnd w:id="1043"/>
      <w:bookmarkEnd w:id="1044"/>
      <w:bookmarkEnd w:id="1046"/>
    </w:p>
    <w:p>
      <w:pPr>
        <w:pStyle w:val="Subsection"/>
      </w:pPr>
      <w:r>
        <w:tab/>
        <w:t>(1)</w:t>
      </w:r>
      <w:r>
        <w:tab/>
        <w:t>This section applies if the industrial magistrate’s court determines that an employer has contravened section 97A(1) in respect of an employee.</w:t>
      </w:r>
    </w:p>
    <w:p>
      <w:pPr>
        <w:pStyle w:val="Subsection"/>
      </w:pPr>
      <w:r>
        <w:tab/>
        <w:t>(2)</w:t>
      </w:r>
      <w:r>
        <w:tab/>
        <w:t>Except as provided in subsection (5), the industrial magistrate’s court may order the employer to do 1 or more of the following —</w:t>
      </w:r>
    </w:p>
    <w:p>
      <w:pPr>
        <w:pStyle w:val="Indenta"/>
      </w:pPr>
      <w:r>
        <w:tab/>
        <w:t>(a)</w:t>
      </w:r>
      <w:r>
        <w:tab/>
        <w:t>if the employee was dismissed from employment — to reinstate the employee;</w:t>
      </w:r>
    </w:p>
    <w:p>
      <w:pPr>
        <w:pStyle w:val="Indenta"/>
      </w:pPr>
      <w:r>
        <w:tab/>
        <w:t>(b)</w:t>
      </w:r>
      <w:r>
        <w:tab/>
        <w:t>if the employee was refused employment — to employ the employee;</w:t>
      </w:r>
    </w:p>
    <w:p>
      <w:pPr>
        <w:pStyle w:val="Indenta"/>
      </w:pPr>
      <w:r>
        <w:tab/>
        <w:t>(c)</w:t>
      </w:r>
      <w:r>
        <w:tab/>
        <w:t>to pay to the employee compensation for any loss or injury suffered as a result of the contravention.</w:t>
      </w:r>
    </w:p>
    <w:p>
      <w:pPr>
        <w:pStyle w:val="Subsection"/>
      </w:pPr>
      <w:r>
        <w:tab/>
        <w:t>(3)</w:t>
      </w:r>
      <w:r>
        <w:tab/>
        <w:t>The employer must comply with the order.</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Subsection"/>
      </w:pPr>
      <w:r>
        <w:tab/>
        <w:t>(4)</w:t>
      </w:r>
      <w:r>
        <w:tab/>
        <w:t>The industrial magistrate’s court may make the order in addition to imposing a penalty under section 83E.</w:t>
      </w:r>
    </w:p>
    <w:p>
      <w:pPr>
        <w:pStyle w:val="Subsection"/>
      </w:pPr>
      <w:r>
        <w:tab/>
        <w:t>(5)</w:t>
      </w:r>
      <w:r>
        <w:tab/>
        <w:t>The industrial magistrate’s court must not make the order if the employee has applied under another provision of this Act or any other written law for relief in relation to the same damaging action unless the proceedings for that relief have been withdrawn or failed for want of jurisdiction.</w:t>
      </w:r>
    </w:p>
    <w:p>
      <w:pPr>
        <w:pStyle w:val="Subsection"/>
      </w:pPr>
      <w:r>
        <w:tab/>
        <w:t>(6)</w:t>
      </w:r>
      <w:r>
        <w:tab/>
        <w:t>The employee is not entitled to compensation for the same damaging action under both subsection (2)(c) and another provision of this Act or any other written law.</w:t>
      </w:r>
    </w:p>
    <w:p>
      <w:pPr>
        <w:pStyle w:val="Footnotesection"/>
      </w:pPr>
      <w:bookmarkStart w:id="1047" w:name="_Toc90558339"/>
      <w:bookmarkStart w:id="1048" w:name="_Toc95209420"/>
      <w:r>
        <w:tab/>
        <w:t>[Section 97B inserted: No. 30 of 2021 s. 61.]</w:t>
      </w:r>
    </w:p>
    <w:p>
      <w:pPr>
        <w:pStyle w:val="Heading5"/>
      </w:pPr>
      <w:bookmarkStart w:id="1049" w:name="_Toc107476642"/>
      <w:bookmarkStart w:id="1050" w:name="_Toc106374176"/>
      <w:r>
        <w:t>97C.</w:t>
      </w:r>
      <w:r>
        <w:tab/>
        <w:t>Court orders to third parties</w:t>
      </w:r>
      <w:bookmarkEnd w:id="1049"/>
      <w:bookmarkEnd w:id="1047"/>
      <w:bookmarkEnd w:id="1048"/>
      <w:bookmarkEnd w:id="1050"/>
    </w:p>
    <w:p>
      <w:pPr>
        <w:pStyle w:val="Subsection"/>
      </w:pPr>
      <w:r>
        <w:tab/>
        <w:t>(1)</w:t>
      </w:r>
      <w:r>
        <w:tab/>
        <w:t>In this section —</w:t>
      </w:r>
    </w:p>
    <w:p>
      <w:pPr>
        <w:pStyle w:val="Defstart"/>
      </w:pPr>
      <w:r>
        <w:tab/>
      </w:r>
      <w:r>
        <w:rPr>
          <w:rStyle w:val="CharDefText"/>
        </w:rPr>
        <w:t>third party</w:t>
      </w:r>
      <w:r>
        <w:t>, in relation to proceedings for a contravention of section 97A(1), means a person, other than the employer, on whom a copy of the application under section 83E(1) has been served.</w:t>
      </w:r>
    </w:p>
    <w:p>
      <w:pPr>
        <w:pStyle w:val="Subsection"/>
      </w:pPr>
      <w:r>
        <w:tab/>
        <w:t>(2)</w:t>
      </w:r>
      <w:r>
        <w:tab/>
        <w:t>This section applies if the industrial magistrate’s court determines that an employer has contravened section 97A(1) in respect of an employee.</w:t>
      </w:r>
    </w:p>
    <w:p>
      <w:pPr>
        <w:pStyle w:val="Subsection"/>
      </w:pPr>
      <w:r>
        <w:tab/>
        <w:t>(3)</w:t>
      </w:r>
      <w:r>
        <w:tab/>
        <w:t xml:space="preserve">The industrial magistrate’s court may order a third party — </w:t>
      </w:r>
    </w:p>
    <w:p>
      <w:pPr>
        <w:pStyle w:val="Indenta"/>
      </w:pPr>
      <w:r>
        <w:tab/>
        <w:t>(a)</w:t>
      </w:r>
      <w:r>
        <w:tab/>
        <w:t>to refrain from taking any damaging action against the employee; and</w:t>
      </w:r>
    </w:p>
    <w:p>
      <w:pPr>
        <w:pStyle w:val="Indenta"/>
      </w:pPr>
      <w:r>
        <w:tab/>
        <w:t>(b)</w:t>
      </w:r>
      <w:r>
        <w:tab/>
        <w:t>to take any action necessary or desirable to give effect to an order under section 97B(2).</w:t>
      </w:r>
    </w:p>
    <w:p>
      <w:pPr>
        <w:pStyle w:val="Subsection"/>
      </w:pPr>
      <w:r>
        <w:tab/>
        <w:t>(4)</w:t>
      </w:r>
      <w:r>
        <w:tab/>
        <w:t>The third party must comply with the order.</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Footnotesection"/>
      </w:pPr>
      <w:bookmarkStart w:id="1051" w:name="_Toc84926167"/>
      <w:bookmarkStart w:id="1052" w:name="_Toc84927583"/>
      <w:bookmarkStart w:id="1053" w:name="_Toc84935563"/>
      <w:bookmarkStart w:id="1054" w:name="_Toc85533360"/>
      <w:bookmarkStart w:id="1055" w:name="_Toc85543976"/>
      <w:bookmarkStart w:id="1056" w:name="_Toc90551769"/>
      <w:bookmarkStart w:id="1057" w:name="_Toc90553737"/>
      <w:bookmarkStart w:id="1058" w:name="_Toc90558340"/>
      <w:bookmarkStart w:id="1059" w:name="_Toc91144582"/>
      <w:bookmarkStart w:id="1060" w:name="_Toc95209421"/>
      <w:r>
        <w:tab/>
        <w:t>[Section 97C inserted: No. 30 of 2021 s. 61.]</w:t>
      </w:r>
    </w:p>
    <w:p>
      <w:pPr>
        <w:pStyle w:val="Heading3"/>
      </w:pPr>
      <w:bookmarkStart w:id="1061" w:name="_Toc107322514"/>
      <w:bookmarkStart w:id="1062" w:name="_Toc107476643"/>
      <w:bookmarkStart w:id="1063" w:name="_Toc106195503"/>
      <w:bookmarkStart w:id="1064" w:name="_Toc106367446"/>
      <w:bookmarkStart w:id="1065" w:name="_Toc106374177"/>
      <w:r>
        <w:rPr>
          <w:rStyle w:val="CharDivNo"/>
        </w:rPr>
        <w:t>Division 3</w:t>
      </w:r>
      <w:r>
        <w:t> — </w:t>
      </w:r>
      <w:r>
        <w:rPr>
          <w:rStyle w:val="CharDivText"/>
        </w:rPr>
        <w:t>Sham contracts for services</w:t>
      </w:r>
      <w:bookmarkEnd w:id="1061"/>
      <w:bookmarkEnd w:id="1062"/>
      <w:bookmarkEnd w:id="1051"/>
      <w:bookmarkEnd w:id="1052"/>
      <w:bookmarkEnd w:id="1053"/>
      <w:bookmarkEnd w:id="1054"/>
      <w:bookmarkEnd w:id="1055"/>
      <w:bookmarkEnd w:id="1056"/>
      <w:bookmarkEnd w:id="1057"/>
      <w:bookmarkEnd w:id="1058"/>
      <w:bookmarkEnd w:id="1059"/>
      <w:bookmarkEnd w:id="1060"/>
      <w:bookmarkEnd w:id="1063"/>
      <w:bookmarkEnd w:id="1064"/>
      <w:bookmarkEnd w:id="1065"/>
    </w:p>
    <w:p>
      <w:pPr>
        <w:pStyle w:val="Footnoteheading"/>
        <w:keepNext/>
        <w:keepLines/>
      </w:pPr>
      <w:bookmarkStart w:id="1066" w:name="_Toc90558341"/>
      <w:bookmarkStart w:id="1067" w:name="_Toc95209422"/>
      <w:r>
        <w:tab/>
        <w:t>[Heading inserted: No. 30 of 2021 s. 61.]</w:t>
      </w:r>
    </w:p>
    <w:p>
      <w:pPr>
        <w:pStyle w:val="Heading5"/>
      </w:pPr>
      <w:bookmarkStart w:id="1068" w:name="_Toc107476644"/>
      <w:bookmarkStart w:id="1069" w:name="_Toc106374178"/>
      <w:r>
        <w:rPr>
          <w:rStyle w:val="CharSectno"/>
        </w:rPr>
        <w:t>97D</w:t>
      </w:r>
      <w:r>
        <w:t>.</w:t>
      </w:r>
      <w:r>
        <w:tab/>
        <w:t>Misrepresenting contract of employment as contract for services</w:t>
      </w:r>
      <w:bookmarkEnd w:id="1068"/>
      <w:bookmarkEnd w:id="1066"/>
      <w:bookmarkEnd w:id="1067"/>
      <w:bookmarkEnd w:id="1069"/>
    </w:p>
    <w:p>
      <w:pPr>
        <w:pStyle w:val="Subsection"/>
      </w:pPr>
      <w:r>
        <w:tab/>
        <w:t>(1)</w:t>
      </w:r>
      <w:r>
        <w:tab/>
        <w:t>An employer must not represent to an employee that a contract of employment is a contract for services.</w:t>
      </w:r>
    </w:p>
    <w:p>
      <w:pPr>
        <w:pStyle w:val="Subsection"/>
      </w:pPr>
      <w:r>
        <w:tab/>
        <w:t>(2)</w:t>
      </w:r>
      <w:r>
        <w:tab/>
        <w:t>Subsection (1) does not apply if the employer proves that, when the representation was made, the employer did not know, and could not reasonably be expected to have known, that the contract was a contract of employment rather than a contract for services.</w:t>
      </w:r>
    </w:p>
    <w:p>
      <w:pPr>
        <w:pStyle w:val="Subsection"/>
      </w:pPr>
      <w:r>
        <w:tab/>
        <w:t>(3)</w:t>
      </w:r>
      <w:r>
        <w:tab/>
        <w:t>A contravention of subsection (1) is not an offence but that subsection is a civil penalty provision for the purposes of section 83E.</w:t>
      </w:r>
    </w:p>
    <w:p>
      <w:pPr>
        <w:pStyle w:val="Footnotesection"/>
      </w:pPr>
      <w:bookmarkStart w:id="1070" w:name="_Toc90558342"/>
      <w:bookmarkStart w:id="1071" w:name="_Toc95209423"/>
      <w:r>
        <w:tab/>
        <w:t>[Section 97D inserted: No. 30 of 2021 s. 61.]</w:t>
      </w:r>
    </w:p>
    <w:p>
      <w:pPr>
        <w:pStyle w:val="Heading5"/>
      </w:pPr>
      <w:bookmarkStart w:id="1072" w:name="_Toc107476645"/>
      <w:bookmarkStart w:id="1073" w:name="_Toc106374179"/>
      <w:r>
        <w:rPr>
          <w:rStyle w:val="CharSectno"/>
        </w:rPr>
        <w:t>97E</w:t>
      </w:r>
      <w:r>
        <w:t>.</w:t>
      </w:r>
      <w:r>
        <w:tab/>
        <w:t>Dismissing to engage under contract for services</w:t>
      </w:r>
      <w:bookmarkEnd w:id="1072"/>
      <w:bookmarkEnd w:id="1070"/>
      <w:bookmarkEnd w:id="1071"/>
      <w:bookmarkEnd w:id="1073"/>
    </w:p>
    <w:p>
      <w:pPr>
        <w:pStyle w:val="Subsection"/>
      </w:pPr>
      <w:r>
        <w:tab/>
        <w:t>(1)</w:t>
      </w:r>
      <w:r>
        <w:tab/>
        <w:t>An employer must not dismiss or threaten to dismiss an employee performing particular work for the employer in order to engage the employee to perform the same, or substantially the same, work under a contract for services.</w:t>
      </w:r>
    </w:p>
    <w:p>
      <w:pPr>
        <w:pStyle w:val="Subsection"/>
      </w:pPr>
      <w:r>
        <w:tab/>
        <w:t>(2)</w:t>
      </w:r>
      <w:r>
        <w:tab/>
        <w:t>In any proceedings for a contravention of subsection (1), if it is proved that an employer dismissed, or threatened to dismiss, the employee, it is for the employer to prove that the employer did not do so in order to engage the employee under the contract for services.</w:t>
      </w:r>
    </w:p>
    <w:p>
      <w:pPr>
        <w:pStyle w:val="Subsection"/>
      </w:pPr>
      <w:r>
        <w:tab/>
        <w:t>(3)</w:t>
      </w:r>
      <w:r>
        <w:tab/>
        <w:t>A contravention of subsection (1) is not an offence but that subsection is a civil penalty provision for the purposes of section 83E.</w:t>
      </w:r>
    </w:p>
    <w:p>
      <w:pPr>
        <w:pStyle w:val="Footnotesection"/>
      </w:pPr>
      <w:bookmarkStart w:id="1074" w:name="_Toc90558343"/>
      <w:bookmarkStart w:id="1075" w:name="_Toc95209424"/>
      <w:r>
        <w:tab/>
        <w:t>[Section 97E inserted: No. 30 of 2021 s. 61.]</w:t>
      </w:r>
    </w:p>
    <w:p>
      <w:pPr>
        <w:pStyle w:val="Heading5"/>
      </w:pPr>
      <w:bookmarkStart w:id="1076" w:name="_Toc107476646"/>
      <w:bookmarkStart w:id="1077" w:name="_Toc106374180"/>
      <w:r>
        <w:rPr>
          <w:rStyle w:val="CharSectno"/>
        </w:rPr>
        <w:t>97F</w:t>
      </w:r>
      <w:r>
        <w:t>.</w:t>
      </w:r>
      <w:r>
        <w:tab/>
        <w:t>False statement to engage under contract for services</w:t>
      </w:r>
      <w:bookmarkEnd w:id="1076"/>
      <w:bookmarkEnd w:id="1074"/>
      <w:bookmarkEnd w:id="1075"/>
      <w:bookmarkEnd w:id="1077"/>
    </w:p>
    <w:p>
      <w:pPr>
        <w:pStyle w:val="Subsection"/>
      </w:pPr>
      <w:r>
        <w:tab/>
        <w:t>(1)</w:t>
      </w:r>
      <w:r>
        <w:tab/>
        <w:t>An employer must not make a statement that the employer knows, or could reasonably be expected to know, is false in order to persuade or influence an employee performing particular work for the employer to enter into a contract for services under which the employee will perform the same, or substantially the same, work.</w:t>
      </w:r>
    </w:p>
    <w:p>
      <w:pPr>
        <w:pStyle w:val="Subsection"/>
      </w:pPr>
      <w:r>
        <w:tab/>
        <w:t>(2)</w:t>
      </w:r>
      <w:r>
        <w:tab/>
        <w:t>In any proceedings for a contravention of subsection (1), if it is proved that an employer made the statement, it is for the employer to prove that the employer did not do so in order to persuade or influence the employee to enter into the contract for services.</w:t>
      </w:r>
    </w:p>
    <w:p>
      <w:pPr>
        <w:pStyle w:val="Subsection"/>
      </w:pPr>
      <w:r>
        <w:tab/>
        <w:t>(3)</w:t>
      </w:r>
      <w:r>
        <w:tab/>
        <w:t>A contravention of subsection (1) is not an offence but that subsection is a civil penalty provision for the purposes of section 83E.</w:t>
      </w:r>
    </w:p>
    <w:p>
      <w:pPr>
        <w:pStyle w:val="Footnotesection"/>
      </w:pPr>
      <w:bookmarkStart w:id="1078" w:name="_Toc90558344"/>
      <w:bookmarkStart w:id="1079" w:name="_Toc95209425"/>
      <w:r>
        <w:tab/>
        <w:t>[Section 97F inserted: No. 30 of 2021 s. 61.]</w:t>
      </w:r>
    </w:p>
    <w:p>
      <w:pPr>
        <w:pStyle w:val="Heading5"/>
      </w:pPr>
      <w:bookmarkStart w:id="1080" w:name="_Toc107476647"/>
      <w:bookmarkStart w:id="1081" w:name="_Toc106374181"/>
      <w:r>
        <w:rPr>
          <w:rStyle w:val="CharSectno"/>
        </w:rPr>
        <w:t>97G</w:t>
      </w:r>
      <w:r>
        <w:t>.</w:t>
      </w:r>
      <w:r>
        <w:tab/>
        <w:t>Court orders to employers</w:t>
      </w:r>
      <w:bookmarkEnd w:id="1080"/>
      <w:bookmarkEnd w:id="1078"/>
      <w:bookmarkEnd w:id="1079"/>
      <w:bookmarkEnd w:id="1081"/>
    </w:p>
    <w:p>
      <w:pPr>
        <w:pStyle w:val="Subsection"/>
      </w:pPr>
      <w:r>
        <w:tab/>
        <w:t>(1)</w:t>
      </w:r>
      <w:r>
        <w:tab/>
        <w:t>This section applies if an industrial magistrate’s court determines that an employer has contravened section 97D(1), 97E(1) or 97F(1) in respect of an employee.</w:t>
      </w:r>
    </w:p>
    <w:p>
      <w:pPr>
        <w:pStyle w:val="Subsection"/>
      </w:pPr>
      <w:r>
        <w:tab/>
        <w:t>(2)</w:t>
      </w:r>
      <w:r>
        <w:tab/>
        <w:t>Except as provided in subsection (5), the industrial magistrate’s court may order the employer to do 1 or more of the following —</w:t>
      </w:r>
    </w:p>
    <w:p>
      <w:pPr>
        <w:pStyle w:val="Indenta"/>
      </w:pPr>
      <w:r>
        <w:tab/>
        <w:t>(a)</w:t>
      </w:r>
      <w:r>
        <w:tab/>
        <w:t>if the employee was dismissed from employment — to reinstate the employee;</w:t>
      </w:r>
    </w:p>
    <w:p>
      <w:pPr>
        <w:pStyle w:val="Indenta"/>
      </w:pPr>
      <w:r>
        <w:tab/>
        <w:t>(b)</w:t>
      </w:r>
      <w:r>
        <w:tab/>
        <w:t>if the employee was refused employment — to employ the employee;</w:t>
      </w:r>
    </w:p>
    <w:p>
      <w:pPr>
        <w:pStyle w:val="Indenta"/>
      </w:pPr>
      <w:r>
        <w:tab/>
        <w:t>(c)</w:t>
      </w:r>
      <w:r>
        <w:tab/>
        <w:t>to pay to the employee compensation for any loss or injury suffered as a result of the contravention.</w:t>
      </w:r>
    </w:p>
    <w:p>
      <w:pPr>
        <w:pStyle w:val="Subsection"/>
      </w:pPr>
      <w:r>
        <w:tab/>
        <w:t>(3)</w:t>
      </w:r>
      <w:r>
        <w:tab/>
        <w:t>The employer must comply with the order.</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Subsection"/>
      </w:pPr>
      <w:r>
        <w:tab/>
        <w:t>(4)</w:t>
      </w:r>
      <w:r>
        <w:tab/>
        <w:t>The court may make the order in addition to imposing a penalty under section 83E.</w:t>
      </w:r>
    </w:p>
    <w:p>
      <w:pPr>
        <w:pStyle w:val="Subsection"/>
      </w:pPr>
      <w:r>
        <w:tab/>
        <w:t>(5)</w:t>
      </w:r>
      <w:r>
        <w:tab/>
        <w:t>The industrial magistrate’s court must not make the order if the employee has applied under another provision of this Act or any other written law for relief in relation to the same act or omission unless the proceedings for that relief have been withdrawn or failed for want of jurisdiction.</w:t>
      </w:r>
    </w:p>
    <w:p>
      <w:pPr>
        <w:pStyle w:val="Subsection"/>
      </w:pPr>
      <w:r>
        <w:tab/>
        <w:t>(6)</w:t>
      </w:r>
      <w:r>
        <w:tab/>
        <w:t>The employee is not entitled to compensation for the same act or omission under both subsection (2)(c) and another provision of this Act or any other written law.</w:t>
      </w:r>
    </w:p>
    <w:p>
      <w:pPr>
        <w:pStyle w:val="Footnotesection"/>
      </w:pPr>
      <w:bookmarkStart w:id="1082" w:name="_Toc84926172"/>
      <w:bookmarkStart w:id="1083" w:name="_Toc84927588"/>
      <w:bookmarkStart w:id="1084" w:name="_Toc84935568"/>
      <w:bookmarkStart w:id="1085" w:name="_Toc85533365"/>
      <w:bookmarkStart w:id="1086" w:name="_Toc85543981"/>
      <w:bookmarkStart w:id="1087" w:name="_Toc90551774"/>
      <w:bookmarkStart w:id="1088" w:name="_Toc90553742"/>
      <w:bookmarkStart w:id="1089" w:name="_Toc90558345"/>
      <w:bookmarkStart w:id="1090" w:name="_Toc91144587"/>
      <w:bookmarkStart w:id="1091" w:name="_Toc95209426"/>
      <w:r>
        <w:tab/>
        <w:t>[Section 97G inserted: No. 30 of 2021 s. 61.]</w:t>
      </w:r>
    </w:p>
    <w:p>
      <w:pPr>
        <w:pStyle w:val="Heading3"/>
      </w:pPr>
      <w:bookmarkStart w:id="1092" w:name="_Toc107322519"/>
      <w:bookmarkStart w:id="1093" w:name="_Toc107476648"/>
      <w:bookmarkStart w:id="1094" w:name="_Toc106195508"/>
      <w:bookmarkStart w:id="1095" w:name="_Toc106367451"/>
      <w:bookmarkStart w:id="1096" w:name="_Toc106374182"/>
      <w:r>
        <w:rPr>
          <w:rStyle w:val="CharDivNo"/>
        </w:rPr>
        <w:t>Division 4</w:t>
      </w:r>
      <w:r>
        <w:t> — </w:t>
      </w:r>
      <w:r>
        <w:rPr>
          <w:rStyle w:val="CharDivText"/>
        </w:rPr>
        <w:t>Miscellaneous</w:t>
      </w:r>
      <w:bookmarkEnd w:id="1092"/>
      <w:bookmarkEnd w:id="1093"/>
      <w:bookmarkEnd w:id="1082"/>
      <w:bookmarkEnd w:id="1083"/>
      <w:bookmarkEnd w:id="1084"/>
      <w:bookmarkEnd w:id="1085"/>
      <w:bookmarkEnd w:id="1086"/>
      <w:bookmarkEnd w:id="1087"/>
      <w:bookmarkEnd w:id="1088"/>
      <w:bookmarkEnd w:id="1089"/>
      <w:bookmarkEnd w:id="1090"/>
      <w:bookmarkEnd w:id="1091"/>
      <w:bookmarkEnd w:id="1094"/>
      <w:bookmarkEnd w:id="1095"/>
      <w:bookmarkEnd w:id="1096"/>
    </w:p>
    <w:p>
      <w:pPr>
        <w:pStyle w:val="Footnoteheading"/>
        <w:keepNext/>
        <w:keepLines/>
      </w:pPr>
      <w:bookmarkStart w:id="1097" w:name="_Toc90558346"/>
      <w:bookmarkStart w:id="1098" w:name="_Toc95209427"/>
      <w:r>
        <w:tab/>
        <w:t>[Heading inserted: No. 30 of 2021 s. 61.]</w:t>
      </w:r>
    </w:p>
    <w:p>
      <w:pPr>
        <w:pStyle w:val="Heading5"/>
      </w:pPr>
      <w:bookmarkStart w:id="1099" w:name="_Toc107476649"/>
      <w:bookmarkStart w:id="1100" w:name="_Toc106374183"/>
      <w:r>
        <w:rPr>
          <w:rStyle w:val="CharSectno"/>
        </w:rPr>
        <w:t>97H</w:t>
      </w:r>
      <w:r>
        <w:t>.</w:t>
      </w:r>
      <w:r>
        <w:tab/>
        <w:t>Certain advertising prohibited</w:t>
      </w:r>
      <w:bookmarkEnd w:id="1099"/>
      <w:bookmarkEnd w:id="1097"/>
      <w:bookmarkEnd w:id="1098"/>
      <w:bookmarkEnd w:id="1100"/>
    </w:p>
    <w:p>
      <w:pPr>
        <w:pStyle w:val="Subsection"/>
      </w:pPr>
      <w:r>
        <w:tab/>
        <w:t>(1)</w:t>
      </w:r>
      <w:r>
        <w:tab/>
        <w:t>A person must not advertise the availability of employment at a rate of pay that is less than the minimum wage applicable to the position under the MCE Act or an award, order of the Commission or an industrial agreement.</w:t>
      </w:r>
    </w:p>
    <w:p>
      <w:pPr>
        <w:pStyle w:val="Subsection"/>
      </w:pPr>
      <w:r>
        <w:tab/>
        <w:t>(2)</w:t>
      </w:r>
      <w:r>
        <w:tab/>
        <w:t>A contravention of subsection (1) is not an offence but that subsection is a civil penalty provision for the purposes of section 83E.</w:t>
      </w:r>
    </w:p>
    <w:p>
      <w:pPr>
        <w:pStyle w:val="Footnotesection"/>
      </w:pPr>
      <w:r>
        <w:tab/>
        <w:t>[Section 97H inserted: No. 30 of 2021 s. 61.]</w:t>
      </w:r>
    </w:p>
    <w:p>
      <w:pPr>
        <w:pStyle w:val="Ednotesection"/>
      </w:pPr>
      <w:r>
        <w:t>[</w:t>
      </w:r>
      <w:r>
        <w:rPr>
          <w:b/>
        </w:rPr>
        <w:t>97I-97M.</w:t>
      </w:r>
      <w:r>
        <w:tab/>
        <w:t>Deleted: No. 20 of 2002 s. 194(1).]</w:t>
      </w:r>
    </w:p>
    <w:p>
      <w:pPr>
        <w:pStyle w:val="Ednotepart"/>
      </w:pPr>
      <w:r>
        <w:t>[Part VIC (s. 97N</w:t>
      </w:r>
      <w:r>
        <w:noBreakHyphen/>
        <w:t>97U) deleted: No. 20 of 2002 s. 195(1).]</w:t>
      </w:r>
    </w:p>
    <w:p>
      <w:pPr>
        <w:pStyle w:val="Heading2"/>
      </w:pPr>
      <w:bookmarkStart w:id="1101" w:name="_Toc107322521"/>
      <w:bookmarkStart w:id="1102" w:name="_Toc107476650"/>
      <w:bookmarkStart w:id="1103" w:name="_Toc105760195"/>
      <w:bookmarkStart w:id="1104" w:name="_Toc106195510"/>
      <w:bookmarkStart w:id="1105" w:name="_Toc106367453"/>
      <w:bookmarkStart w:id="1106" w:name="_Toc106374184"/>
      <w:r>
        <w:rPr>
          <w:rStyle w:val="CharPartNo"/>
        </w:rPr>
        <w:t>Part VID</w:t>
      </w:r>
      <w:r>
        <w:t> — </w:t>
      </w:r>
      <w:r>
        <w:rPr>
          <w:rStyle w:val="CharPartText"/>
        </w:rPr>
        <w:t>Employer</w:t>
      </w:r>
      <w:r>
        <w:rPr>
          <w:rStyle w:val="CharPartText"/>
        </w:rPr>
        <w:noBreakHyphen/>
        <w:t>employee agreements</w:t>
      </w:r>
      <w:bookmarkEnd w:id="1101"/>
      <w:bookmarkEnd w:id="1102"/>
      <w:bookmarkEnd w:id="1103"/>
      <w:bookmarkEnd w:id="1104"/>
      <w:bookmarkEnd w:id="1105"/>
      <w:bookmarkEnd w:id="1106"/>
    </w:p>
    <w:p>
      <w:pPr>
        <w:pStyle w:val="Footnoteheading"/>
        <w:tabs>
          <w:tab w:val="left" w:pos="851"/>
        </w:tabs>
      </w:pPr>
      <w:r>
        <w:tab/>
        <w:t>[Heading inserted: No. 20 of 2002 s. 4.]</w:t>
      </w:r>
    </w:p>
    <w:p>
      <w:pPr>
        <w:pStyle w:val="Heading3"/>
        <w:spacing w:before="260"/>
      </w:pPr>
      <w:bookmarkStart w:id="1107" w:name="_Toc107322522"/>
      <w:bookmarkStart w:id="1108" w:name="_Toc107476651"/>
      <w:bookmarkStart w:id="1109" w:name="_Toc105760196"/>
      <w:bookmarkStart w:id="1110" w:name="_Toc106195511"/>
      <w:bookmarkStart w:id="1111" w:name="_Toc106367454"/>
      <w:bookmarkStart w:id="1112" w:name="_Toc106374185"/>
      <w:r>
        <w:rPr>
          <w:rStyle w:val="CharDivNo"/>
        </w:rPr>
        <w:t>Division 1</w:t>
      </w:r>
      <w:r>
        <w:t> — </w:t>
      </w:r>
      <w:r>
        <w:rPr>
          <w:rStyle w:val="CharDivText"/>
        </w:rPr>
        <w:t>Preliminary</w:t>
      </w:r>
      <w:bookmarkEnd w:id="1107"/>
      <w:bookmarkEnd w:id="1108"/>
      <w:bookmarkEnd w:id="1109"/>
      <w:bookmarkEnd w:id="1110"/>
      <w:bookmarkEnd w:id="1111"/>
      <w:bookmarkEnd w:id="1112"/>
    </w:p>
    <w:p>
      <w:pPr>
        <w:pStyle w:val="Footnoteheading"/>
        <w:tabs>
          <w:tab w:val="left" w:pos="851"/>
        </w:tabs>
      </w:pPr>
      <w:r>
        <w:tab/>
        <w:t>[Heading inserted: No. 20 of 2002 s. 4.]</w:t>
      </w:r>
    </w:p>
    <w:p>
      <w:pPr>
        <w:pStyle w:val="Heading5"/>
        <w:spacing w:before="240"/>
      </w:pPr>
      <w:bookmarkStart w:id="1113" w:name="_Toc107476652"/>
      <w:bookmarkStart w:id="1114" w:name="_Toc106374186"/>
      <w:r>
        <w:rPr>
          <w:rStyle w:val="CharSectno"/>
        </w:rPr>
        <w:t>97U</w:t>
      </w:r>
      <w:r>
        <w:t>.</w:t>
      </w:r>
      <w:r>
        <w:tab/>
        <w:t>Terms used</w:t>
      </w:r>
      <w:bookmarkEnd w:id="1113"/>
      <w:bookmarkEnd w:id="1114"/>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pPr>
      <w:r>
        <w:tab/>
        <w:t>(b)</w:t>
      </w:r>
      <w:r>
        <w:tab/>
        <w:t>in the provisions mentioned in subsection (4), if the employee is a represented person, also means the employee’s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No. 20 of 2002 s. 4; amended: No. 50 of 2016 s. 7; No. 30 of 2021 s. 62, 77(7) and 78(1).]</w:t>
      </w:r>
    </w:p>
    <w:p>
      <w:pPr>
        <w:pStyle w:val="Heading3"/>
      </w:pPr>
      <w:bookmarkStart w:id="1115" w:name="_Toc107322524"/>
      <w:bookmarkStart w:id="1116" w:name="_Toc107476653"/>
      <w:bookmarkStart w:id="1117" w:name="_Toc105760198"/>
      <w:bookmarkStart w:id="1118" w:name="_Toc106195513"/>
      <w:bookmarkStart w:id="1119" w:name="_Toc106367456"/>
      <w:bookmarkStart w:id="1120" w:name="_Toc106374187"/>
      <w:r>
        <w:rPr>
          <w:rStyle w:val="CharDivNo"/>
        </w:rPr>
        <w:t>Division 2 </w:t>
      </w:r>
      <w:r>
        <w:t>— </w:t>
      </w:r>
      <w:r>
        <w:rPr>
          <w:rStyle w:val="CharDivText"/>
        </w:rPr>
        <w:t>The making of an EEA</w:t>
      </w:r>
      <w:bookmarkEnd w:id="1115"/>
      <w:bookmarkEnd w:id="1116"/>
      <w:bookmarkEnd w:id="1117"/>
      <w:bookmarkEnd w:id="1118"/>
      <w:bookmarkEnd w:id="1119"/>
      <w:bookmarkEnd w:id="1120"/>
    </w:p>
    <w:p>
      <w:pPr>
        <w:pStyle w:val="Footnoteheading"/>
        <w:tabs>
          <w:tab w:val="left" w:pos="851"/>
        </w:tabs>
      </w:pPr>
      <w:r>
        <w:tab/>
        <w:t>[Heading inserted: No. 20 of 2002 s. 4.]</w:t>
      </w:r>
    </w:p>
    <w:p>
      <w:pPr>
        <w:pStyle w:val="Heading5"/>
      </w:pPr>
      <w:bookmarkStart w:id="1121" w:name="_Toc107476654"/>
      <w:bookmarkStart w:id="1122" w:name="_Toc106374188"/>
      <w:r>
        <w:rPr>
          <w:rStyle w:val="CharSectno"/>
        </w:rPr>
        <w:t>97UA</w:t>
      </w:r>
      <w:r>
        <w:t>.</w:t>
      </w:r>
      <w:r>
        <w:tab/>
        <w:t>Employer and employee may make EEA</w:t>
      </w:r>
      <w:bookmarkEnd w:id="1121"/>
      <w:bookmarkEnd w:id="1122"/>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No. 20 of 2002 s. 4.]</w:t>
      </w:r>
    </w:p>
    <w:p>
      <w:pPr>
        <w:pStyle w:val="Heading5"/>
      </w:pPr>
      <w:bookmarkStart w:id="1123" w:name="_Toc107476655"/>
      <w:bookmarkStart w:id="1124" w:name="_Toc106374189"/>
      <w:r>
        <w:rPr>
          <w:rStyle w:val="CharSectno"/>
        </w:rPr>
        <w:t>97UB</w:t>
      </w:r>
      <w:r>
        <w:t>.</w:t>
      </w:r>
      <w:r>
        <w:tab/>
        <w:t>EEA may deal with post</w:t>
      </w:r>
      <w:r>
        <w:noBreakHyphen/>
        <w:t>employment matters</w:t>
      </w:r>
      <w:bookmarkEnd w:id="1123"/>
      <w:bookmarkEnd w:id="1124"/>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No. 20 of 2002 s. 4.]</w:t>
      </w:r>
    </w:p>
    <w:p>
      <w:pPr>
        <w:pStyle w:val="Heading5"/>
        <w:spacing w:before="240"/>
      </w:pPr>
      <w:bookmarkStart w:id="1125" w:name="_Toc107476656"/>
      <w:bookmarkStart w:id="1126" w:name="_Toc106374190"/>
      <w:r>
        <w:rPr>
          <w:rStyle w:val="CharSectno"/>
        </w:rPr>
        <w:t>97UC</w:t>
      </w:r>
      <w:r>
        <w:t>.</w:t>
      </w:r>
      <w:r>
        <w:tab/>
        <w:t>Other provisions about making EEA</w:t>
      </w:r>
      <w:bookmarkEnd w:id="1125"/>
      <w:bookmarkEnd w:id="1126"/>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No. 20 of 2002 s. 4.]</w:t>
      </w:r>
    </w:p>
    <w:p>
      <w:pPr>
        <w:pStyle w:val="Heading5"/>
      </w:pPr>
      <w:bookmarkStart w:id="1127" w:name="_Toc107476657"/>
      <w:bookmarkStart w:id="1128" w:name="_Toc106374191"/>
      <w:r>
        <w:rPr>
          <w:rStyle w:val="CharSectno"/>
        </w:rPr>
        <w:t>97UD</w:t>
      </w:r>
      <w:r>
        <w:t>.</w:t>
      </w:r>
      <w:r>
        <w:tab/>
        <w:t>Making of EEA by person with a mental disability</w:t>
      </w:r>
      <w:bookmarkEnd w:id="1127"/>
      <w:bookmarkEnd w:id="1128"/>
    </w:p>
    <w:p>
      <w:pPr>
        <w:pStyle w:val="Subsection"/>
      </w:pPr>
      <w:r>
        <w:tab/>
        <w:t>(1)</w:t>
      </w:r>
      <w:r>
        <w:tab/>
        <w:t>An EEA may be made for a represented person as an employee by the person’s representative.</w:t>
      </w:r>
    </w:p>
    <w:p>
      <w:pPr>
        <w:pStyle w:val="Subsection"/>
      </w:pPr>
      <w:r>
        <w:tab/>
        <w:t>(2)</w:t>
      </w:r>
      <w:r>
        <w:tab/>
        <w:t xml:space="preserve">The EEA is to be made in the name of the represented person as an employee but is to be signed on </w:t>
      </w:r>
      <w:r>
        <w:rPr>
          <w:snapToGrid w:val="0"/>
        </w:rPr>
        <w:t>the represented person’s</w:t>
      </w:r>
      <w:r>
        <w:t xml:space="preserve">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pPr>
      <w:r>
        <w:tab/>
        <w:t>(b)</w:t>
      </w:r>
      <w:r>
        <w:tab/>
        <w:t>the represented person were of full legal capacity.</w:t>
      </w:r>
    </w:p>
    <w:p>
      <w:pPr>
        <w:pStyle w:val="Footnotesection"/>
      </w:pPr>
      <w:r>
        <w:tab/>
        <w:t>[Section 97UD inserted: No. 20 of 2002 s. 4; amended: No. 30 of 2021 s. 77(13).]</w:t>
      </w:r>
    </w:p>
    <w:p>
      <w:pPr>
        <w:pStyle w:val="Heading5"/>
      </w:pPr>
      <w:bookmarkStart w:id="1129" w:name="_Toc107476658"/>
      <w:bookmarkStart w:id="1130" w:name="_Toc106374192"/>
      <w:r>
        <w:rPr>
          <w:rStyle w:val="CharSectno"/>
        </w:rPr>
        <w:t>97UE</w:t>
      </w:r>
      <w:r>
        <w:t>.</w:t>
      </w:r>
      <w:r>
        <w:tab/>
        <w:t>Effect of EEA</w:t>
      </w:r>
      <w:bookmarkEnd w:id="1129"/>
      <w:bookmarkEnd w:id="1130"/>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keepNext/>
      </w:pPr>
      <w:r>
        <w:tab/>
        <w:t>(3)</w:t>
      </w:r>
      <w:r>
        <w:tab/>
        <w:t>The provisions of an EEA have effect subject to section 5 of the MCE Act.</w:t>
      </w:r>
    </w:p>
    <w:p>
      <w:pPr>
        <w:pStyle w:val="Footnotesection"/>
      </w:pPr>
      <w:r>
        <w:tab/>
        <w:t>[Section 97UE inserted: No. 20 of 2002 s. 4.]</w:t>
      </w:r>
    </w:p>
    <w:p>
      <w:pPr>
        <w:pStyle w:val="Heading5"/>
      </w:pPr>
      <w:bookmarkStart w:id="1131" w:name="_Toc107476659"/>
      <w:bookmarkStart w:id="1132" w:name="_Toc106374193"/>
      <w:r>
        <w:rPr>
          <w:rStyle w:val="CharSectno"/>
        </w:rPr>
        <w:t>97UF</w:t>
      </w:r>
      <w:r>
        <w:t>.</w:t>
      </w:r>
      <w:r>
        <w:tab/>
        <w:t>EEA not to be made while industrial agreement in operation</w:t>
      </w:r>
      <w:bookmarkEnd w:id="1131"/>
      <w:bookmarkEnd w:id="1132"/>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the employee’s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a SWIIP; and</w:t>
      </w:r>
    </w:p>
    <w:p>
      <w:pPr>
        <w:pStyle w:val="Indenta"/>
      </w:pPr>
      <w:r>
        <w:tab/>
        <w:t>(b)</w:t>
      </w:r>
      <w:r>
        <w:tab/>
        <w:t>employment under the EEA has been arranged through an entity that provides employment services for persons with disabilities.</w:t>
      </w:r>
    </w:p>
    <w:p>
      <w:pPr>
        <w:pStyle w:val="Footnotesection"/>
      </w:pPr>
      <w:r>
        <w:tab/>
        <w:t>[Section 97UF inserted: No. 20 of 2002 s. 4; amended: No. 50 of 2016 s. 8; No. 30 of 2021 s. 63 and 77(7).]</w:t>
      </w:r>
    </w:p>
    <w:p>
      <w:pPr>
        <w:pStyle w:val="Heading5"/>
        <w:spacing w:before="240"/>
      </w:pPr>
      <w:bookmarkStart w:id="1133" w:name="_Toc107476660"/>
      <w:bookmarkStart w:id="1134" w:name="_Toc106374194"/>
      <w:r>
        <w:rPr>
          <w:rStyle w:val="CharSectno"/>
        </w:rPr>
        <w:t>97UG</w:t>
      </w:r>
      <w:r>
        <w:t>.</w:t>
      </w:r>
      <w:r>
        <w:tab/>
        <w:t>Documents etc. to be given to employee before EEA signed</w:t>
      </w:r>
      <w:bookmarkEnd w:id="1133"/>
      <w:bookmarkEnd w:id="1134"/>
    </w:p>
    <w:p>
      <w:pPr>
        <w:pStyle w:val="Subsection"/>
      </w:pPr>
      <w:r>
        <w:tab/>
        <w:t>(1)</w:t>
      </w:r>
      <w:r>
        <w:tab/>
        <w:t xml:space="preserve">An employer must not make an EEA with an employee unless </w:t>
      </w:r>
      <w:r>
        <w:rPr>
          <w:snapToGrid w:val="0"/>
        </w:rPr>
        <w:t>the employer</w:t>
      </w:r>
      <w:r>
        <w:t xml:space="preserve"> has given a copy of certain documents —</w:t>
      </w:r>
    </w:p>
    <w:p>
      <w:pPr>
        <w:pStyle w:val="Indenta"/>
      </w:pPr>
      <w:r>
        <w:tab/>
        <w:t>(a)</w:t>
      </w:r>
      <w:r>
        <w:tab/>
        <w:t>to the employee; or</w:t>
      </w:r>
    </w:p>
    <w:p>
      <w:pPr>
        <w:pStyle w:val="Indenta"/>
      </w:pPr>
      <w:r>
        <w:tab/>
        <w:t>(b)</w:t>
      </w:r>
      <w:r>
        <w:tab/>
        <w:t>if the employee is a represented person, to the employee’s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the employee’s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keepNext/>
      </w:pPr>
      <w:r>
        <w:tab/>
        <w:t>(7)</w:t>
      </w:r>
      <w:r>
        <w:tab/>
        <w:t>In subsections (2)(c)(i) and (3) —</w:t>
      </w:r>
    </w:p>
    <w:p>
      <w:pPr>
        <w:pStyle w:val="Defstart"/>
        <w:keepNext/>
      </w:pPr>
      <w:r>
        <w:tab/>
      </w:r>
      <w:r>
        <w:rPr>
          <w:rStyle w:val="CharDefText"/>
        </w:rPr>
        <w:t>award</w:t>
      </w:r>
      <w:r>
        <w:t xml:space="preserve"> includes an enterprise order.</w:t>
      </w:r>
    </w:p>
    <w:p>
      <w:pPr>
        <w:pStyle w:val="Footnotesection"/>
        <w:spacing w:before="100"/>
        <w:ind w:left="890" w:hanging="890"/>
      </w:pPr>
      <w:r>
        <w:tab/>
        <w:t>[Section 97UG inserted: No. 20 of 2002 s. 4; amended: No. 50 of 2016 s. 9; No. 30 of 2021 s. 77(7) and (13).]</w:t>
      </w:r>
    </w:p>
    <w:p>
      <w:pPr>
        <w:pStyle w:val="Heading5"/>
        <w:spacing w:before="240"/>
      </w:pPr>
      <w:bookmarkStart w:id="1135" w:name="_Toc107476661"/>
      <w:bookmarkStart w:id="1136" w:name="_Toc106374195"/>
      <w:r>
        <w:rPr>
          <w:rStyle w:val="CharSectno"/>
        </w:rPr>
        <w:t>97UH</w:t>
      </w:r>
      <w:r>
        <w:t>.</w:t>
      </w:r>
      <w:r>
        <w:tab/>
        <w:t>Application of s. 97UG if draft EEA amended</w:t>
      </w:r>
      <w:bookmarkEnd w:id="1135"/>
      <w:bookmarkEnd w:id="1136"/>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the employee’s representative; and</w:t>
      </w:r>
    </w:p>
    <w:p>
      <w:pPr>
        <w:pStyle w:val="Indenti"/>
        <w:keepNext/>
        <w:spacing w:before="100"/>
      </w:pPr>
      <w:r>
        <w:tab/>
        <w:t>(ii)</w:t>
      </w:r>
      <w:r>
        <w:tab/>
        <w:t>if section 97UM applies to the EEA, by a section 97UM signatory,</w:t>
      </w:r>
    </w:p>
    <w:p>
      <w:pPr>
        <w:pStyle w:val="Subsection"/>
      </w:pPr>
      <w:r>
        <w:tab/>
      </w:r>
      <w:r>
        <w:tab/>
        <w:t xml:space="preserve">the employer is not required to comply with that section again in relation to the proposed EEA unless the employee in writing requests </w:t>
      </w:r>
      <w:r>
        <w:rPr>
          <w:snapToGrid w:val="0"/>
        </w:rPr>
        <w:t>the employer</w:t>
      </w:r>
      <w:r>
        <w:t xml:space="preserve"> to do so.</w:t>
      </w:r>
    </w:p>
    <w:p>
      <w:pPr>
        <w:pStyle w:val="Footnotesection"/>
        <w:spacing w:before="100"/>
        <w:ind w:left="890" w:hanging="890"/>
      </w:pPr>
      <w:r>
        <w:tab/>
        <w:t>[Section 97UH inserted: No. 20 of 2002 s. 4; amended: No. 30 of 2021 s. 77(7) and (13).]</w:t>
      </w:r>
    </w:p>
    <w:p>
      <w:pPr>
        <w:pStyle w:val="Heading5"/>
        <w:keepLines w:val="0"/>
      </w:pPr>
      <w:bookmarkStart w:id="1137" w:name="_Toc107476662"/>
      <w:bookmarkStart w:id="1138" w:name="_Toc106374196"/>
      <w:r>
        <w:rPr>
          <w:rStyle w:val="CharSectno"/>
        </w:rPr>
        <w:t>97UI</w:t>
      </w:r>
      <w:r>
        <w:t>.</w:t>
      </w:r>
      <w:r>
        <w:tab/>
        <w:t>EEA information statement, form of (s. 97UG(2)(b))</w:t>
      </w:r>
      <w:bookmarkEnd w:id="1137"/>
      <w:bookmarkEnd w:id="1138"/>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No. 20 of 2002 s. 4.]</w:t>
      </w:r>
    </w:p>
    <w:p>
      <w:pPr>
        <w:pStyle w:val="Heading5"/>
      </w:pPr>
      <w:bookmarkStart w:id="1139" w:name="_Toc107476663"/>
      <w:bookmarkStart w:id="1140" w:name="_Toc106374197"/>
      <w:r>
        <w:rPr>
          <w:rStyle w:val="CharSectno"/>
        </w:rPr>
        <w:t>97UJ</w:t>
      </w:r>
      <w:r>
        <w:t>.</w:t>
      </w:r>
      <w:r>
        <w:tab/>
        <w:t>Bargaining agents, appointing etc.</w:t>
      </w:r>
      <w:bookmarkEnd w:id="1139"/>
      <w:bookmarkEnd w:id="1140"/>
    </w:p>
    <w:p>
      <w:pPr>
        <w:pStyle w:val="Subsection"/>
      </w:pPr>
      <w:r>
        <w:tab/>
        <w:t>(1)</w:t>
      </w:r>
      <w:r>
        <w:tab/>
        <w:t>An employer or employee may, by instrument in writing, appoint a person to be a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 xml:space="preserve">for the purpose of acting for </w:t>
      </w:r>
      <w:r>
        <w:rPr>
          <w:snapToGrid w:val="0"/>
        </w:rPr>
        <w:t>the employer or employee</w:t>
      </w:r>
      <w:r>
        <w:t xml:space="preserve">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r>
      <w:bookmarkStart w:id="1141" w:name="_Hlk107319949"/>
      <w:del w:id="1142" w:author="Master Repository Process" w:date="2022-06-30T14:38:00Z">
        <w:r>
          <w:delText>For the purposes of section 12 of</w:delText>
        </w:r>
      </w:del>
      <w:ins w:id="1143" w:author="Master Repository Process" w:date="2022-06-30T14:38:00Z">
        <w:r>
          <w:t>Despite</w:t>
        </w:r>
      </w:ins>
      <w:r>
        <w:t xml:space="preserve"> the </w:t>
      </w:r>
      <w:r>
        <w:rPr>
          <w:i/>
        </w:rPr>
        <w:t xml:space="preserve">Legal Profession </w:t>
      </w:r>
      <w:del w:id="1144" w:author="Master Repository Process" w:date="2022-06-30T14:38:00Z">
        <w:r>
          <w:rPr>
            <w:i/>
            <w:iCs/>
          </w:rPr>
          <w:delText>Act 2008</w:delText>
        </w:r>
      </w:del>
      <w:ins w:id="1145" w:author="Master Repository Process" w:date="2022-06-30T14:38:00Z">
        <w:r>
          <w:rPr>
            <w:i/>
          </w:rPr>
          <w:t>Uniform Law (WA)</w:t>
        </w:r>
        <w:r>
          <w:t xml:space="preserve"> section 10,</w:t>
        </w:r>
      </w:ins>
      <w:bookmarkEnd w:id="1141"/>
      <w:r>
        <w:t xml:space="preserve"> 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 xml:space="preserve">[Section 97UJ inserted: No. 20 of 2002 s. 4; amended: No. 65 of 2003 s. 41(3); No. 21 of 2008 s. 668(5); </w:t>
      </w:r>
      <w:del w:id="1146" w:author="Master Repository Process" w:date="2022-06-30T14:38:00Z">
        <w:r>
          <w:delText xml:space="preserve">amended: </w:delText>
        </w:r>
      </w:del>
      <w:r>
        <w:t>No. 30 of 2021 s. 77(13</w:t>
      </w:r>
      <w:del w:id="1147" w:author="Master Repository Process" w:date="2022-06-30T14:38:00Z">
        <w:r>
          <w:delText>).]</w:delText>
        </w:r>
      </w:del>
      <w:ins w:id="1148" w:author="Master Repository Process" w:date="2022-06-30T14:38:00Z">
        <w:r>
          <w:t>); No. 9 of 2022 s. 424.]</w:t>
        </w:r>
      </w:ins>
    </w:p>
    <w:p>
      <w:pPr>
        <w:pStyle w:val="Heading5"/>
      </w:pPr>
      <w:bookmarkStart w:id="1149" w:name="_Toc107476664"/>
      <w:bookmarkStart w:id="1150" w:name="_Toc106374198"/>
      <w:r>
        <w:rPr>
          <w:rStyle w:val="CharSectno"/>
        </w:rPr>
        <w:t>97UK</w:t>
      </w:r>
      <w:r>
        <w:t>.</w:t>
      </w:r>
      <w:r>
        <w:tab/>
        <w:t>Prohibited conduct relating to bargaining agents</w:t>
      </w:r>
      <w:bookmarkEnd w:id="1149"/>
      <w:bookmarkEnd w:id="1150"/>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No. 20 of 2002 s. 4.]</w:t>
      </w:r>
    </w:p>
    <w:p>
      <w:pPr>
        <w:pStyle w:val="Heading3"/>
        <w:spacing w:before="260"/>
      </w:pPr>
      <w:bookmarkStart w:id="1151" w:name="_Toc107322536"/>
      <w:bookmarkStart w:id="1152" w:name="_Toc107476665"/>
      <w:bookmarkStart w:id="1153" w:name="_Toc105760210"/>
      <w:bookmarkStart w:id="1154" w:name="_Toc106195525"/>
      <w:bookmarkStart w:id="1155" w:name="_Toc106367468"/>
      <w:bookmarkStart w:id="1156" w:name="_Toc106374199"/>
      <w:r>
        <w:rPr>
          <w:rStyle w:val="CharDivNo"/>
        </w:rPr>
        <w:t>Division 3</w:t>
      </w:r>
      <w:r>
        <w:t> — </w:t>
      </w:r>
      <w:r>
        <w:rPr>
          <w:rStyle w:val="CharDivText"/>
        </w:rPr>
        <w:t>Form and content of EEA</w:t>
      </w:r>
      <w:bookmarkEnd w:id="1151"/>
      <w:bookmarkEnd w:id="1152"/>
      <w:bookmarkEnd w:id="1153"/>
      <w:bookmarkEnd w:id="1154"/>
      <w:bookmarkEnd w:id="1155"/>
      <w:bookmarkEnd w:id="1156"/>
    </w:p>
    <w:p>
      <w:pPr>
        <w:pStyle w:val="Footnoteheading"/>
        <w:tabs>
          <w:tab w:val="left" w:pos="851"/>
        </w:tabs>
      </w:pPr>
      <w:r>
        <w:tab/>
        <w:t>[Heading inserted: No. 20 of 2002 s. 4.]</w:t>
      </w:r>
    </w:p>
    <w:p>
      <w:pPr>
        <w:pStyle w:val="Heading5"/>
      </w:pPr>
      <w:bookmarkStart w:id="1157" w:name="_Toc107476666"/>
      <w:bookmarkStart w:id="1158" w:name="_Toc106374200"/>
      <w:r>
        <w:rPr>
          <w:rStyle w:val="CharSectno"/>
        </w:rPr>
        <w:t>97UL</w:t>
      </w:r>
      <w:r>
        <w:t>.</w:t>
      </w:r>
      <w:r>
        <w:tab/>
        <w:t>Form of EEA</w:t>
      </w:r>
      <w:bookmarkEnd w:id="1157"/>
      <w:bookmarkEnd w:id="1158"/>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tab/>
        <w:t>(d)</w:t>
      </w:r>
      <w:r>
        <w:tab/>
        <w:t>be signed by —</w:t>
      </w:r>
    </w:p>
    <w:p>
      <w:pPr>
        <w:pStyle w:val="Indenti"/>
      </w:pPr>
      <w:r>
        <w:tab/>
        <w:t>(i)</w:t>
      </w:r>
      <w:r>
        <w:tab/>
        <w:t>the employer; and</w:t>
      </w:r>
    </w:p>
    <w:p>
      <w:pPr>
        <w:pStyle w:val="Indenti"/>
      </w:pPr>
      <w:r>
        <w:tab/>
        <w:t>(ii)</w:t>
      </w:r>
      <w:r>
        <w:tab/>
        <w:t>the employee, or where applicable, the employee’s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the employee’s representative,</w:t>
      </w:r>
    </w:p>
    <w:p>
      <w:pPr>
        <w:pStyle w:val="Subsection"/>
        <w:keepNext/>
      </w:pPr>
      <w:r>
        <w:tab/>
      </w:r>
      <w:r>
        <w:tab/>
        <w:t>must be witnessed by a person who has reached 18 years of age and is not a party to the EEA.</w:t>
      </w:r>
    </w:p>
    <w:p>
      <w:pPr>
        <w:pStyle w:val="Footnotesection"/>
      </w:pPr>
      <w:r>
        <w:tab/>
        <w:t>[Section 97UL inserted: No. 20 of 2002 s. 4; amended: No. 30 of 2021 s. 77(7).]</w:t>
      </w:r>
    </w:p>
    <w:p>
      <w:pPr>
        <w:pStyle w:val="Heading5"/>
      </w:pPr>
      <w:bookmarkStart w:id="1159" w:name="_Toc107476667"/>
      <w:bookmarkStart w:id="1160" w:name="_Toc106374201"/>
      <w:r>
        <w:rPr>
          <w:rStyle w:val="CharSectno"/>
        </w:rPr>
        <w:t>97UM</w:t>
      </w:r>
      <w:r>
        <w:t>.</w:t>
      </w:r>
      <w:r>
        <w:tab/>
        <w:t>Additional formalities for EEA made with employee under 18</w:t>
      </w:r>
      <w:bookmarkEnd w:id="1159"/>
      <w:bookmarkEnd w:id="1160"/>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 xml:space="preserve">Subject to subsections (2) and (3), an EEA to which this section applies binds the employee as if </w:t>
      </w:r>
      <w:r>
        <w:rPr>
          <w:snapToGrid w:val="0"/>
        </w:rPr>
        <w:t>the employee</w:t>
      </w:r>
      <w:r>
        <w:t xml:space="preserve"> were of full age.</w:t>
      </w:r>
    </w:p>
    <w:p>
      <w:pPr>
        <w:pStyle w:val="Footnotesection"/>
      </w:pPr>
      <w:r>
        <w:tab/>
        <w:t>[Section 97UM inserted: No. 20 of 2002 s. 4; amended: No. 30 of 2021 s. 77(13).]</w:t>
      </w:r>
    </w:p>
    <w:p>
      <w:pPr>
        <w:pStyle w:val="Heading5"/>
        <w:spacing w:before="240"/>
      </w:pPr>
      <w:bookmarkStart w:id="1161" w:name="_Toc107476668"/>
      <w:bookmarkStart w:id="1162" w:name="_Toc106374202"/>
      <w:r>
        <w:rPr>
          <w:rStyle w:val="CharSectno"/>
        </w:rPr>
        <w:t>97UN</w:t>
      </w:r>
      <w:r>
        <w:t>.</w:t>
      </w:r>
      <w:r>
        <w:tab/>
        <w:t>EEA must provide for resolution of disputes</w:t>
      </w:r>
      <w:bookmarkEnd w:id="1161"/>
      <w:bookmarkEnd w:id="1162"/>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No. 20 of 2002 s. 4.]</w:t>
      </w:r>
    </w:p>
    <w:p>
      <w:pPr>
        <w:pStyle w:val="Heading5"/>
        <w:spacing w:before="240"/>
      </w:pPr>
      <w:bookmarkStart w:id="1163" w:name="_Toc107476669"/>
      <w:bookmarkStart w:id="1164" w:name="_Toc106374203"/>
      <w:r>
        <w:rPr>
          <w:rStyle w:val="CharSectno"/>
        </w:rPr>
        <w:t>97UO</w:t>
      </w:r>
      <w:r>
        <w:t>.</w:t>
      </w:r>
      <w:r>
        <w:tab/>
        <w:t>EEA dispute provisions, content of</w:t>
      </w:r>
      <w:bookmarkEnd w:id="1163"/>
      <w:bookmarkEnd w:id="1164"/>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No. 20 of 2002 s. 4.]</w:t>
      </w:r>
    </w:p>
    <w:p>
      <w:pPr>
        <w:pStyle w:val="Heading5"/>
      </w:pPr>
      <w:bookmarkStart w:id="1165" w:name="_Toc107476670"/>
      <w:bookmarkStart w:id="1166" w:name="_Toc106374204"/>
      <w:r>
        <w:rPr>
          <w:rStyle w:val="CharSectno"/>
        </w:rPr>
        <w:t>97UP</w:t>
      </w:r>
      <w:r>
        <w:t>.</w:t>
      </w:r>
      <w:r>
        <w:tab/>
        <w:t>Industrial authority may be specified as arbitrator</w:t>
      </w:r>
      <w:bookmarkEnd w:id="1165"/>
      <w:bookmarkEnd w:id="1166"/>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No. 20 of 2002 s. 4.]</w:t>
      </w:r>
    </w:p>
    <w:p>
      <w:pPr>
        <w:pStyle w:val="Heading3"/>
        <w:spacing w:before="220"/>
      </w:pPr>
      <w:bookmarkStart w:id="1167" w:name="_Toc107322542"/>
      <w:bookmarkStart w:id="1168" w:name="_Toc107476671"/>
      <w:bookmarkStart w:id="1169" w:name="_Toc105760216"/>
      <w:bookmarkStart w:id="1170" w:name="_Toc106195531"/>
      <w:bookmarkStart w:id="1171" w:name="_Toc106367474"/>
      <w:bookmarkStart w:id="1172" w:name="_Toc106374205"/>
      <w:r>
        <w:rPr>
          <w:rStyle w:val="CharDivNo"/>
        </w:rPr>
        <w:t>Division 4 </w:t>
      </w:r>
      <w:r>
        <w:t>— </w:t>
      </w:r>
      <w:r>
        <w:rPr>
          <w:rStyle w:val="CharDivText"/>
        </w:rPr>
        <w:t>Commencement, duration and variation</w:t>
      </w:r>
      <w:bookmarkEnd w:id="1167"/>
      <w:bookmarkEnd w:id="1168"/>
      <w:bookmarkEnd w:id="1169"/>
      <w:bookmarkEnd w:id="1170"/>
      <w:bookmarkEnd w:id="1171"/>
      <w:bookmarkEnd w:id="1172"/>
    </w:p>
    <w:p>
      <w:pPr>
        <w:pStyle w:val="Footnoteheading"/>
        <w:tabs>
          <w:tab w:val="left" w:pos="851"/>
        </w:tabs>
      </w:pPr>
      <w:r>
        <w:tab/>
        <w:t>[Heading inserted: No. 20 of 2002 s. 4.]</w:t>
      </w:r>
    </w:p>
    <w:p>
      <w:pPr>
        <w:pStyle w:val="Heading5"/>
      </w:pPr>
      <w:bookmarkStart w:id="1173" w:name="_Toc107476672"/>
      <w:bookmarkStart w:id="1174" w:name="_Toc106374206"/>
      <w:r>
        <w:rPr>
          <w:rStyle w:val="CharSectno"/>
        </w:rPr>
        <w:t>97UQ</w:t>
      </w:r>
      <w:r>
        <w:t>.</w:t>
      </w:r>
      <w:r>
        <w:tab/>
        <w:t>New employee, when EEA commences</w:t>
      </w:r>
      <w:bookmarkEnd w:id="1173"/>
      <w:bookmarkEnd w:id="1174"/>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No. 20 of 2002 s. 4.]</w:t>
      </w:r>
    </w:p>
    <w:p>
      <w:pPr>
        <w:pStyle w:val="Heading5"/>
      </w:pPr>
      <w:bookmarkStart w:id="1175" w:name="_Toc107476673"/>
      <w:bookmarkStart w:id="1176" w:name="_Toc106374207"/>
      <w:r>
        <w:rPr>
          <w:rStyle w:val="CharSectno"/>
        </w:rPr>
        <w:t>97UR</w:t>
      </w:r>
      <w:r>
        <w:t>.</w:t>
      </w:r>
      <w:r>
        <w:tab/>
        <w:t>Existing employee, when EEA commences</w:t>
      </w:r>
      <w:bookmarkEnd w:id="1175"/>
      <w:bookmarkEnd w:id="1176"/>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No. 20 of 2002 s. 4.]</w:t>
      </w:r>
    </w:p>
    <w:p>
      <w:pPr>
        <w:pStyle w:val="Heading5"/>
      </w:pPr>
      <w:bookmarkStart w:id="1177" w:name="_Toc107476674"/>
      <w:bookmarkStart w:id="1178" w:name="_Toc106374208"/>
      <w:r>
        <w:rPr>
          <w:rStyle w:val="CharSectno"/>
        </w:rPr>
        <w:t>97US</w:t>
      </w:r>
      <w:r>
        <w:t>.</w:t>
      </w:r>
      <w:r>
        <w:tab/>
        <w:t>Expiry of EEA</w:t>
      </w:r>
      <w:bookmarkEnd w:id="1177"/>
      <w:bookmarkEnd w:id="1178"/>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tab/>
        <w:t>(2)</w:t>
      </w:r>
      <w:r>
        <w:tab/>
        <w:t>The expiry of an EEA does not of itself terminate the contract of employment between the employer and the employee.</w:t>
      </w:r>
    </w:p>
    <w:p>
      <w:pPr>
        <w:pStyle w:val="Footnotesection"/>
        <w:ind w:left="890" w:hanging="890"/>
      </w:pPr>
      <w:r>
        <w:tab/>
        <w:t>[Section 97US inserted: No. 20 of 2002 s. 4.]</w:t>
      </w:r>
    </w:p>
    <w:p>
      <w:pPr>
        <w:pStyle w:val="Heading5"/>
      </w:pPr>
      <w:bookmarkStart w:id="1179" w:name="_Toc107476675"/>
      <w:bookmarkStart w:id="1180" w:name="_Toc106374209"/>
      <w:r>
        <w:rPr>
          <w:rStyle w:val="CharSectno"/>
        </w:rPr>
        <w:t>97UT</w:t>
      </w:r>
      <w:r>
        <w:t>.</w:t>
      </w:r>
      <w:r>
        <w:tab/>
        <w:t>Employment conditions applicable on expiry of EEA</w:t>
      </w:r>
      <w:bookmarkEnd w:id="1179"/>
      <w:bookmarkEnd w:id="1180"/>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No. 20 of 2002 s. 4.]</w:t>
      </w:r>
    </w:p>
    <w:p>
      <w:pPr>
        <w:pStyle w:val="Heading5"/>
        <w:spacing w:before="240"/>
      </w:pPr>
      <w:bookmarkStart w:id="1181" w:name="_Toc107476676"/>
      <w:bookmarkStart w:id="1182" w:name="_Toc106374210"/>
      <w:r>
        <w:rPr>
          <w:rStyle w:val="CharSectno"/>
        </w:rPr>
        <w:t>97UU</w:t>
      </w:r>
      <w:r>
        <w:t>.</w:t>
      </w:r>
      <w:r>
        <w:tab/>
        <w:t>EEA cannot be varied</w:t>
      </w:r>
      <w:bookmarkEnd w:id="1181"/>
      <w:bookmarkEnd w:id="1182"/>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the employee’s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No. 20 of 2002 s. 4; amended: No. 30 of 2021 s. 77(7).]</w:t>
      </w:r>
    </w:p>
    <w:p>
      <w:pPr>
        <w:pStyle w:val="Heading5"/>
      </w:pPr>
      <w:bookmarkStart w:id="1183" w:name="_Toc107476677"/>
      <w:bookmarkStart w:id="1184" w:name="_Toc106374211"/>
      <w:r>
        <w:rPr>
          <w:rStyle w:val="CharSectno"/>
        </w:rPr>
        <w:t>97UV</w:t>
      </w:r>
      <w:r>
        <w:t>.</w:t>
      </w:r>
      <w:r>
        <w:tab/>
        <w:t>Cancelling EEA</w:t>
      </w:r>
      <w:bookmarkEnd w:id="1183"/>
      <w:bookmarkEnd w:id="1184"/>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No. 20 of 2002 s. 4.]</w:t>
      </w:r>
    </w:p>
    <w:p>
      <w:pPr>
        <w:pStyle w:val="Heading5"/>
      </w:pPr>
      <w:bookmarkStart w:id="1185" w:name="_Toc107476678"/>
      <w:bookmarkStart w:id="1186" w:name="_Toc106374212"/>
      <w:r>
        <w:rPr>
          <w:rStyle w:val="CharSectno"/>
        </w:rPr>
        <w:t>97UW</w:t>
      </w:r>
      <w:r>
        <w:t>.</w:t>
      </w:r>
      <w:r>
        <w:tab/>
        <w:t>Termination of employment, effect of on EEA</w:t>
      </w:r>
      <w:bookmarkEnd w:id="1185"/>
      <w:bookmarkEnd w:id="1186"/>
    </w:p>
    <w:p>
      <w:pPr>
        <w:pStyle w:val="Subsection"/>
      </w:pPr>
      <w:r>
        <w:tab/>
      </w:r>
      <w:r>
        <w:tab/>
        <w:t>The termination of the contract of employment of an employee terminates an EEA that applies to the employment.</w:t>
      </w:r>
    </w:p>
    <w:p>
      <w:pPr>
        <w:pStyle w:val="Footnotesection"/>
      </w:pPr>
      <w:r>
        <w:tab/>
        <w:t>[Section 97UW inserted: No. 20 of 2002 s. 4.]</w:t>
      </w:r>
    </w:p>
    <w:p>
      <w:pPr>
        <w:pStyle w:val="Heading3"/>
        <w:keepLines/>
        <w:spacing w:before="260"/>
      </w:pPr>
      <w:bookmarkStart w:id="1187" w:name="_Toc107322550"/>
      <w:bookmarkStart w:id="1188" w:name="_Toc107476679"/>
      <w:bookmarkStart w:id="1189" w:name="_Toc105760224"/>
      <w:bookmarkStart w:id="1190" w:name="_Toc106195539"/>
      <w:bookmarkStart w:id="1191" w:name="_Toc106367482"/>
      <w:bookmarkStart w:id="1192" w:name="_Toc106374213"/>
      <w:r>
        <w:rPr>
          <w:rStyle w:val="CharDivNo"/>
        </w:rPr>
        <w:t>Division 5</w:t>
      </w:r>
      <w:r>
        <w:t> — </w:t>
      </w:r>
      <w:r>
        <w:rPr>
          <w:rStyle w:val="CharDivText"/>
        </w:rPr>
        <w:t>Registration of EEAs</w:t>
      </w:r>
      <w:bookmarkEnd w:id="1187"/>
      <w:bookmarkEnd w:id="1188"/>
      <w:bookmarkEnd w:id="1189"/>
      <w:bookmarkEnd w:id="1190"/>
      <w:bookmarkEnd w:id="1191"/>
      <w:bookmarkEnd w:id="1192"/>
    </w:p>
    <w:p>
      <w:pPr>
        <w:pStyle w:val="Footnoteheading"/>
        <w:keepNext/>
        <w:keepLines/>
        <w:tabs>
          <w:tab w:val="left" w:pos="851"/>
        </w:tabs>
      </w:pPr>
      <w:r>
        <w:tab/>
        <w:t>[Heading inserted: No. 20 of 2002 s. 4.]</w:t>
      </w:r>
    </w:p>
    <w:p>
      <w:pPr>
        <w:pStyle w:val="Heading4"/>
        <w:keepLines/>
        <w:spacing w:before="260"/>
      </w:pPr>
      <w:bookmarkStart w:id="1193" w:name="_Toc107322551"/>
      <w:bookmarkStart w:id="1194" w:name="_Toc107476680"/>
      <w:bookmarkStart w:id="1195" w:name="_Toc105760225"/>
      <w:bookmarkStart w:id="1196" w:name="_Toc106195540"/>
      <w:bookmarkStart w:id="1197" w:name="_Toc106367483"/>
      <w:bookmarkStart w:id="1198" w:name="_Toc106374214"/>
      <w:r>
        <w:t>Subdivision 1 — Preliminary</w:t>
      </w:r>
      <w:bookmarkEnd w:id="1193"/>
      <w:bookmarkEnd w:id="1194"/>
      <w:bookmarkEnd w:id="1195"/>
      <w:bookmarkEnd w:id="1196"/>
      <w:bookmarkEnd w:id="1197"/>
      <w:bookmarkEnd w:id="1198"/>
    </w:p>
    <w:p>
      <w:pPr>
        <w:pStyle w:val="Footnoteheading"/>
        <w:keepLines/>
        <w:tabs>
          <w:tab w:val="left" w:pos="851"/>
        </w:tabs>
      </w:pPr>
      <w:r>
        <w:tab/>
        <w:t>[Heading inserted: No. 20 of 2002 s. 4.]</w:t>
      </w:r>
    </w:p>
    <w:p>
      <w:pPr>
        <w:pStyle w:val="Heading5"/>
        <w:keepNext w:val="0"/>
        <w:spacing w:before="240"/>
      </w:pPr>
      <w:bookmarkStart w:id="1199" w:name="_Toc107476681"/>
      <w:bookmarkStart w:id="1200" w:name="_Toc106374215"/>
      <w:r>
        <w:rPr>
          <w:rStyle w:val="CharSectno"/>
        </w:rPr>
        <w:t>97UX</w:t>
      </w:r>
      <w:r>
        <w:t>.</w:t>
      </w:r>
      <w:r>
        <w:tab/>
        <w:t>Delegation by Registrar</w:t>
      </w:r>
      <w:bookmarkEnd w:id="1199"/>
      <w:bookmarkEnd w:id="1200"/>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No. 20 of 2002 s. 4.]</w:t>
      </w:r>
    </w:p>
    <w:p>
      <w:pPr>
        <w:pStyle w:val="Heading4"/>
        <w:keepLines/>
        <w:spacing w:before="280"/>
      </w:pPr>
      <w:bookmarkStart w:id="1201" w:name="_Toc107322553"/>
      <w:bookmarkStart w:id="1202" w:name="_Toc107476682"/>
      <w:bookmarkStart w:id="1203" w:name="_Toc105760227"/>
      <w:bookmarkStart w:id="1204" w:name="_Toc106195542"/>
      <w:bookmarkStart w:id="1205" w:name="_Toc106367485"/>
      <w:bookmarkStart w:id="1206" w:name="_Toc106374216"/>
      <w:r>
        <w:t>Subdivision 2 — Registration</w:t>
      </w:r>
      <w:bookmarkEnd w:id="1201"/>
      <w:bookmarkEnd w:id="1202"/>
      <w:bookmarkEnd w:id="1203"/>
      <w:bookmarkEnd w:id="1204"/>
      <w:bookmarkEnd w:id="1205"/>
      <w:bookmarkEnd w:id="1206"/>
    </w:p>
    <w:p>
      <w:pPr>
        <w:pStyle w:val="Footnoteheading"/>
        <w:keepNext/>
        <w:keepLines/>
        <w:tabs>
          <w:tab w:val="left" w:pos="851"/>
        </w:tabs>
      </w:pPr>
      <w:r>
        <w:tab/>
        <w:t>[Heading inserted: No. 20 of 2002 s. 4.]</w:t>
      </w:r>
    </w:p>
    <w:p>
      <w:pPr>
        <w:pStyle w:val="Heading5"/>
      </w:pPr>
      <w:bookmarkStart w:id="1207" w:name="_Toc107476683"/>
      <w:bookmarkStart w:id="1208" w:name="_Toc106374217"/>
      <w:r>
        <w:rPr>
          <w:rStyle w:val="CharSectno"/>
        </w:rPr>
        <w:t>97UY</w:t>
      </w:r>
      <w:r>
        <w:t>.</w:t>
      </w:r>
      <w:r>
        <w:tab/>
        <w:t>Lodgment of EEA for registration</w:t>
      </w:r>
      <w:bookmarkEnd w:id="1207"/>
      <w:bookmarkEnd w:id="1208"/>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the employee’s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No. 20 of 2002 s. 4; amended: No. 30 of 2021 s. 77(7).]</w:t>
      </w:r>
    </w:p>
    <w:p>
      <w:pPr>
        <w:pStyle w:val="Heading5"/>
      </w:pPr>
      <w:bookmarkStart w:id="1209" w:name="_Toc107476684"/>
      <w:bookmarkStart w:id="1210" w:name="_Toc106374218"/>
      <w:r>
        <w:rPr>
          <w:rStyle w:val="CharSectno"/>
        </w:rPr>
        <w:t>97UZ</w:t>
      </w:r>
      <w:r>
        <w:t>.</w:t>
      </w:r>
      <w:r>
        <w:tab/>
        <w:t>EEA with new employee, effect of not lodging</w:t>
      </w:r>
      <w:bookmarkEnd w:id="1209"/>
      <w:bookmarkEnd w:id="1210"/>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No. 20 of 2002 s. 4.]</w:t>
      </w:r>
    </w:p>
    <w:p>
      <w:pPr>
        <w:pStyle w:val="Heading5"/>
        <w:rPr>
          <w:snapToGrid w:val="0"/>
        </w:rPr>
      </w:pPr>
      <w:bookmarkStart w:id="1211" w:name="_Toc107476685"/>
      <w:bookmarkStart w:id="1212" w:name="_Toc106374219"/>
      <w:r>
        <w:rPr>
          <w:rStyle w:val="CharSectno"/>
        </w:rPr>
        <w:t>97V</w:t>
      </w:r>
      <w:r>
        <w:rPr>
          <w:snapToGrid w:val="0"/>
        </w:rPr>
        <w:t>.</w:t>
      </w:r>
      <w:r>
        <w:rPr>
          <w:snapToGrid w:val="0"/>
        </w:rPr>
        <w:tab/>
        <w:t>Recovery of money if s. 97UZ applies</w:t>
      </w:r>
      <w:bookmarkEnd w:id="1211"/>
      <w:bookmarkEnd w:id="1212"/>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the party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No. 20 of 2002 s. 4; amended: No. 30 of 2021 s. 77(13).]</w:t>
      </w:r>
    </w:p>
    <w:p>
      <w:pPr>
        <w:pStyle w:val="Heading5"/>
      </w:pPr>
      <w:bookmarkStart w:id="1213" w:name="_Toc107476686"/>
      <w:bookmarkStart w:id="1214" w:name="_Toc106374220"/>
      <w:r>
        <w:rPr>
          <w:rStyle w:val="CharSectno"/>
        </w:rPr>
        <w:t>97VA</w:t>
      </w:r>
      <w:r>
        <w:t>.</w:t>
      </w:r>
      <w:r>
        <w:tab/>
        <w:t>Employment conditions of new employee if EEA not lodged</w:t>
      </w:r>
      <w:bookmarkEnd w:id="1213"/>
      <w:bookmarkEnd w:id="1214"/>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the employee’s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No. 20 of 2002 s. 4; amended: No. 30 of 2021 s. 77(7).]</w:t>
      </w:r>
    </w:p>
    <w:p>
      <w:pPr>
        <w:pStyle w:val="Heading5"/>
        <w:keepLines w:val="0"/>
      </w:pPr>
      <w:bookmarkStart w:id="1215" w:name="_Toc107476687"/>
      <w:bookmarkStart w:id="1216" w:name="_Toc106374221"/>
      <w:r>
        <w:rPr>
          <w:rStyle w:val="CharSectno"/>
        </w:rPr>
        <w:t>97VB</w:t>
      </w:r>
      <w:r>
        <w:t>.</w:t>
      </w:r>
      <w:r>
        <w:tab/>
        <w:t>Registrar to be satisfied EEA is in order for registration</w:t>
      </w:r>
      <w:bookmarkEnd w:id="1215"/>
      <w:bookmarkEnd w:id="1216"/>
    </w:p>
    <w:p>
      <w:pPr>
        <w:pStyle w:val="Subsection"/>
      </w:pPr>
      <w:r>
        <w:tab/>
      </w:r>
      <w:r>
        <w:tab/>
        <w:t xml:space="preserve">Where an EEA is lodged under section 97UY, the Registrar must </w:t>
      </w:r>
      <w:r>
        <w:rPr>
          <w:snapToGrid w:val="0"/>
        </w:rPr>
        <w:t>consider whether</w:t>
      </w:r>
      <w:r>
        <w:t xml:space="preserve"> it is in order for registration as required by the provisions of Schedule 4.</w:t>
      </w:r>
    </w:p>
    <w:p>
      <w:pPr>
        <w:pStyle w:val="Footnotesection"/>
      </w:pPr>
      <w:r>
        <w:tab/>
        <w:t>[Section 97VB inserted: No. 20 of 2002 s. 4; amended: No. 30 of 2021 s. 77(13).]</w:t>
      </w:r>
    </w:p>
    <w:p>
      <w:pPr>
        <w:pStyle w:val="Heading5"/>
        <w:spacing w:before="240"/>
      </w:pPr>
      <w:bookmarkStart w:id="1217" w:name="_Toc107476688"/>
      <w:bookmarkStart w:id="1218" w:name="_Toc106374222"/>
      <w:r>
        <w:rPr>
          <w:rStyle w:val="CharSectno"/>
        </w:rPr>
        <w:t>97VC</w:t>
      </w:r>
      <w:r>
        <w:t>.</w:t>
      </w:r>
      <w:r>
        <w:tab/>
        <w:t>Registrar’s powers for s. 97VB</w:t>
      </w:r>
      <w:bookmarkEnd w:id="1217"/>
      <w:bookmarkEnd w:id="1218"/>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 xml:space="preserve">A party to an EEA that has been lodged for registration, or </w:t>
      </w:r>
      <w:r>
        <w:rPr>
          <w:snapToGrid w:val="0"/>
        </w:rPr>
        <w:t>the party’s</w:t>
      </w:r>
      <w:r>
        <w:t xml:space="preserve">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No. 20 of 2002 s. 4; amended: No. 30 of 2021 s. 77(13).]</w:t>
      </w:r>
    </w:p>
    <w:p>
      <w:pPr>
        <w:pStyle w:val="Heading5"/>
      </w:pPr>
      <w:bookmarkStart w:id="1219" w:name="_Toc107476689"/>
      <w:bookmarkStart w:id="1220" w:name="_Toc106374223"/>
      <w:r>
        <w:rPr>
          <w:rStyle w:val="CharSectno"/>
        </w:rPr>
        <w:t>97VD</w:t>
      </w:r>
      <w:r>
        <w:t>.</w:t>
      </w:r>
      <w:r>
        <w:tab/>
        <w:t>Registrar to notify parties of certain deficiencies in EEA</w:t>
      </w:r>
      <w:bookmarkEnd w:id="1219"/>
      <w:bookmarkEnd w:id="1220"/>
    </w:p>
    <w:p>
      <w:pPr>
        <w:pStyle w:val="Subsection"/>
        <w:keepNext/>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tab/>
        <w:t>(2)</w:t>
      </w:r>
      <w:r>
        <w:tab/>
        <w:t>Where this section applies the Registrar must give notice in writing to the parties setting out —</w:t>
      </w:r>
    </w:p>
    <w:p>
      <w:pPr>
        <w:pStyle w:val="Indenta"/>
      </w:pPr>
      <w:r>
        <w:tab/>
        <w:t>(a)</w:t>
      </w:r>
      <w:r>
        <w:tab/>
        <w:t xml:space="preserve">the deficiencies in the EEA that, in </w:t>
      </w:r>
      <w:r>
        <w:rPr>
          <w:snapToGrid w:val="0"/>
        </w:rPr>
        <w:t>the Registrar’s</w:t>
      </w:r>
      <w:r>
        <w:t xml:space="preserve">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No. 20 of 2002 s. 4; amended: No. 30 of 2021 s. 77(13).]</w:t>
      </w:r>
    </w:p>
    <w:p>
      <w:pPr>
        <w:pStyle w:val="Heading5"/>
        <w:keepNext w:val="0"/>
        <w:keepLines w:val="0"/>
        <w:spacing w:before="240"/>
      </w:pPr>
      <w:bookmarkStart w:id="1221" w:name="_Toc107476690"/>
      <w:bookmarkStart w:id="1222" w:name="_Toc106374224"/>
      <w:r>
        <w:rPr>
          <w:rStyle w:val="CharSectno"/>
        </w:rPr>
        <w:t>97VE</w:t>
      </w:r>
      <w:r>
        <w:t>.</w:t>
      </w:r>
      <w:r>
        <w:tab/>
        <w:t>Parties may correct deficiencies in EEA</w:t>
      </w:r>
      <w:bookmarkEnd w:id="1221"/>
      <w:bookmarkEnd w:id="1222"/>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No. 20 of 2002 s. 4.]</w:t>
      </w:r>
    </w:p>
    <w:p>
      <w:pPr>
        <w:pStyle w:val="Heading5"/>
      </w:pPr>
      <w:bookmarkStart w:id="1223" w:name="_Toc107476691"/>
      <w:bookmarkStart w:id="1224" w:name="_Toc106374225"/>
      <w:r>
        <w:rPr>
          <w:rStyle w:val="CharSectno"/>
        </w:rPr>
        <w:t>97VF</w:t>
      </w:r>
      <w:r>
        <w:t>.</w:t>
      </w:r>
      <w:r>
        <w:tab/>
        <w:t>Registration of EEA</w:t>
      </w:r>
      <w:bookmarkEnd w:id="1223"/>
      <w:bookmarkEnd w:id="1224"/>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No. 20 of 2002 s. 4.]</w:t>
      </w:r>
    </w:p>
    <w:p>
      <w:pPr>
        <w:pStyle w:val="Heading5"/>
      </w:pPr>
      <w:bookmarkStart w:id="1225" w:name="_Toc107476692"/>
      <w:bookmarkStart w:id="1226" w:name="_Toc106374226"/>
      <w:r>
        <w:rPr>
          <w:rStyle w:val="CharSectno"/>
        </w:rPr>
        <w:t>97VG</w:t>
      </w:r>
      <w:r>
        <w:t>.</w:t>
      </w:r>
      <w:r>
        <w:tab/>
        <w:t>Refusal of registration of EEA</w:t>
      </w:r>
      <w:bookmarkEnd w:id="1225"/>
      <w:bookmarkEnd w:id="1226"/>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No. 20 of 2002 s. 4.]</w:t>
      </w:r>
    </w:p>
    <w:p>
      <w:pPr>
        <w:pStyle w:val="Heading5"/>
      </w:pPr>
      <w:bookmarkStart w:id="1227" w:name="_Toc107476693"/>
      <w:bookmarkStart w:id="1228" w:name="_Toc106374227"/>
      <w:r>
        <w:rPr>
          <w:rStyle w:val="CharSectno"/>
        </w:rPr>
        <w:t>97VH</w:t>
      </w:r>
      <w:r>
        <w:t>.</w:t>
      </w:r>
      <w:r>
        <w:tab/>
        <w:t>When refusal has effect</w:t>
      </w:r>
      <w:bookmarkEnd w:id="1227"/>
      <w:bookmarkEnd w:id="1228"/>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No. 20 of 2002 s. 4.]</w:t>
      </w:r>
    </w:p>
    <w:p>
      <w:pPr>
        <w:pStyle w:val="Heading5"/>
        <w:spacing w:before="180"/>
      </w:pPr>
      <w:bookmarkStart w:id="1229" w:name="_Toc107476694"/>
      <w:bookmarkStart w:id="1230" w:name="_Toc106374228"/>
      <w:r>
        <w:rPr>
          <w:rStyle w:val="CharSectno"/>
        </w:rPr>
        <w:t>97VI</w:t>
      </w:r>
      <w:r>
        <w:t>.</w:t>
      </w:r>
      <w:r>
        <w:tab/>
        <w:t>EEA for new employee refused registration, effect ceases</w:t>
      </w:r>
      <w:bookmarkEnd w:id="1229"/>
      <w:bookmarkEnd w:id="1230"/>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No. 20 of 2002 s. 4.]</w:t>
      </w:r>
    </w:p>
    <w:p>
      <w:pPr>
        <w:pStyle w:val="Heading5"/>
        <w:spacing w:before="120"/>
        <w:rPr>
          <w:snapToGrid w:val="0"/>
        </w:rPr>
      </w:pPr>
      <w:bookmarkStart w:id="1231" w:name="_Toc107476695"/>
      <w:bookmarkStart w:id="1232" w:name="_Toc106374229"/>
      <w:r>
        <w:rPr>
          <w:rStyle w:val="CharSectno"/>
        </w:rPr>
        <w:t>97VJ</w:t>
      </w:r>
      <w:r>
        <w:rPr>
          <w:snapToGrid w:val="0"/>
        </w:rPr>
        <w:t>.</w:t>
      </w:r>
      <w:r>
        <w:rPr>
          <w:snapToGrid w:val="0"/>
        </w:rPr>
        <w:tab/>
        <w:t>Recovery of money if s. 97VI applies</w:t>
      </w:r>
      <w:bookmarkEnd w:id="1231"/>
      <w:bookmarkEnd w:id="1232"/>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the party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No. 20 of 2002 s. 4; amended: No. 30 of 2021 s. 77(13).]</w:t>
      </w:r>
    </w:p>
    <w:p>
      <w:pPr>
        <w:pStyle w:val="Heading5"/>
        <w:spacing w:before="120"/>
      </w:pPr>
      <w:bookmarkStart w:id="1233" w:name="_Toc107476696"/>
      <w:bookmarkStart w:id="1234" w:name="_Toc106374230"/>
      <w:r>
        <w:rPr>
          <w:rStyle w:val="CharSectno"/>
        </w:rPr>
        <w:t>97VK</w:t>
      </w:r>
      <w:r>
        <w:t>.</w:t>
      </w:r>
      <w:r>
        <w:tab/>
        <w:t>Employment conditions of new employee if registration refused</w:t>
      </w:r>
      <w:bookmarkEnd w:id="1233"/>
      <w:bookmarkEnd w:id="1234"/>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the employee’s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No. 20 of 2002 s. 4; amended: No. 30 of 2021 s. 77(7).]</w:t>
      </w:r>
    </w:p>
    <w:p>
      <w:pPr>
        <w:pStyle w:val="Heading5"/>
      </w:pPr>
      <w:bookmarkStart w:id="1235" w:name="_Toc107476697"/>
      <w:bookmarkStart w:id="1236" w:name="_Toc106374231"/>
      <w:r>
        <w:rPr>
          <w:rStyle w:val="CharSectno"/>
        </w:rPr>
        <w:t>97VL</w:t>
      </w:r>
      <w:r>
        <w:t>.</w:t>
      </w:r>
      <w:r>
        <w:tab/>
        <w:t>Registrar to provide copy of registered EEA</w:t>
      </w:r>
      <w:bookmarkEnd w:id="1235"/>
      <w:bookmarkEnd w:id="1236"/>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keepNext/>
      </w:pPr>
      <w:r>
        <w:tab/>
        <w:t>(b)</w:t>
      </w:r>
      <w:r>
        <w:tab/>
        <w:t>by order of a relevant industrial authority under section 97VP(2)(b).</w:t>
      </w:r>
    </w:p>
    <w:p>
      <w:pPr>
        <w:pStyle w:val="Footnotesection"/>
      </w:pPr>
      <w:r>
        <w:tab/>
        <w:t>[Section 97VL inserted: No. 20 of 2002 s. 4.]</w:t>
      </w:r>
    </w:p>
    <w:p>
      <w:pPr>
        <w:pStyle w:val="Heading4"/>
      </w:pPr>
      <w:bookmarkStart w:id="1237" w:name="_Toc107322569"/>
      <w:bookmarkStart w:id="1238" w:name="_Toc107476698"/>
      <w:bookmarkStart w:id="1239" w:name="_Toc105760243"/>
      <w:bookmarkStart w:id="1240" w:name="_Toc106195558"/>
      <w:bookmarkStart w:id="1241" w:name="_Toc106367501"/>
      <w:bookmarkStart w:id="1242" w:name="_Toc106374232"/>
      <w:r>
        <w:t>Subdivision 3 — Appeal against refusal of registration</w:t>
      </w:r>
      <w:bookmarkEnd w:id="1237"/>
      <w:bookmarkEnd w:id="1238"/>
      <w:bookmarkEnd w:id="1239"/>
      <w:bookmarkEnd w:id="1240"/>
      <w:bookmarkEnd w:id="1241"/>
      <w:bookmarkEnd w:id="1242"/>
    </w:p>
    <w:p>
      <w:pPr>
        <w:pStyle w:val="Footnoteheading"/>
        <w:tabs>
          <w:tab w:val="left" w:pos="851"/>
        </w:tabs>
      </w:pPr>
      <w:r>
        <w:tab/>
        <w:t>[Heading inserted: No. 20 of 2002 s. 4.]</w:t>
      </w:r>
    </w:p>
    <w:p>
      <w:pPr>
        <w:pStyle w:val="Heading5"/>
        <w:spacing w:before="180"/>
      </w:pPr>
      <w:bookmarkStart w:id="1243" w:name="_Toc107476699"/>
      <w:bookmarkStart w:id="1244" w:name="_Toc106374233"/>
      <w:r>
        <w:rPr>
          <w:rStyle w:val="CharSectno"/>
        </w:rPr>
        <w:t>97VM</w:t>
      </w:r>
      <w:r>
        <w:t>.</w:t>
      </w:r>
      <w:r>
        <w:tab/>
        <w:t>Appeal against refusal of registration</w:t>
      </w:r>
      <w:bookmarkEnd w:id="1243"/>
      <w:bookmarkEnd w:id="1244"/>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No. 20 of 2002 s. 4.]</w:t>
      </w:r>
    </w:p>
    <w:p>
      <w:pPr>
        <w:pStyle w:val="Heading5"/>
      </w:pPr>
      <w:bookmarkStart w:id="1245" w:name="_Toc107476700"/>
      <w:bookmarkStart w:id="1246" w:name="_Toc106374234"/>
      <w:r>
        <w:rPr>
          <w:rStyle w:val="CharSectno"/>
        </w:rPr>
        <w:t>97VN</w:t>
      </w:r>
      <w:r>
        <w:t>.</w:t>
      </w:r>
      <w:r>
        <w:tab/>
        <w:t>Relevant industrial authority to notify parties of certain deficiencies in EEA</w:t>
      </w:r>
      <w:bookmarkEnd w:id="1245"/>
      <w:bookmarkEnd w:id="1246"/>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No. 20 of 2002 s. 4.]</w:t>
      </w:r>
    </w:p>
    <w:p>
      <w:pPr>
        <w:pStyle w:val="Heading5"/>
      </w:pPr>
      <w:bookmarkStart w:id="1247" w:name="_Toc107476701"/>
      <w:bookmarkStart w:id="1248" w:name="_Toc106374235"/>
      <w:r>
        <w:rPr>
          <w:rStyle w:val="CharSectno"/>
        </w:rPr>
        <w:t>97VO</w:t>
      </w:r>
      <w:r>
        <w:t>.</w:t>
      </w:r>
      <w:r>
        <w:tab/>
        <w:t>Parties may correct deficiencies in EEA</w:t>
      </w:r>
      <w:bookmarkEnd w:id="1247"/>
      <w:bookmarkEnd w:id="1248"/>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No. 20 of 2002 s. 4.]</w:t>
      </w:r>
    </w:p>
    <w:p>
      <w:pPr>
        <w:pStyle w:val="Heading5"/>
      </w:pPr>
      <w:bookmarkStart w:id="1249" w:name="_Toc107476702"/>
      <w:bookmarkStart w:id="1250" w:name="_Toc106374236"/>
      <w:r>
        <w:rPr>
          <w:rStyle w:val="CharSectno"/>
        </w:rPr>
        <w:t>97VP</w:t>
      </w:r>
      <w:r>
        <w:t>.</w:t>
      </w:r>
      <w:r>
        <w:tab/>
        <w:t>Determination of appeal</w:t>
      </w:r>
      <w:bookmarkEnd w:id="1249"/>
      <w:bookmarkEnd w:id="1250"/>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No. 20 of 2002 s. 4.]</w:t>
      </w:r>
    </w:p>
    <w:p>
      <w:pPr>
        <w:pStyle w:val="Heading5"/>
        <w:spacing w:before="240"/>
      </w:pPr>
      <w:bookmarkStart w:id="1251" w:name="_Toc107476703"/>
      <w:bookmarkStart w:id="1252" w:name="_Toc106374237"/>
      <w:r>
        <w:rPr>
          <w:rStyle w:val="CharSectno"/>
        </w:rPr>
        <w:t>97VQ</w:t>
      </w:r>
      <w:r>
        <w:t>.</w:t>
      </w:r>
      <w:r>
        <w:tab/>
        <w:t>Procedure on appeal</w:t>
      </w:r>
      <w:bookmarkEnd w:id="1251"/>
      <w:bookmarkEnd w:id="1252"/>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No. 20 of 2002 s. 4.]</w:t>
      </w:r>
    </w:p>
    <w:p>
      <w:pPr>
        <w:pStyle w:val="Heading3"/>
      </w:pPr>
      <w:bookmarkStart w:id="1253" w:name="_Toc107322575"/>
      <w:bookmarkStart w:id="1254" w:name="_Toc107476704"/>
      <w:bookmarkStart w:id="1255" w:name="_Toc105760249"/>
      <w:bookmarkStart w:id="1256" w:name="_Toc106195564"/>
      <w:bookmarkStart w:id="1257" w:name="_Toc106367507"/>
      <w:bookmarkStart w:id="1258" w:name="_Toc106374238"/>
      <w:r>
        <w:rPr>
          <w:rStyle w:val="CharDivNo"/>
        </w:rPr>
        <w:t>Division 6</w:t>
      </w:r>
      <w:r>
        <w:t> — </w:t>
      </w:r>
      <w:r>
        <w:rPr>
          <w:rStyle w:val="CharDivText"/>
        </w:rPr>
        <w:t>No</w:t>
      </w:r>
      <w:r>
        <w:rPr>
          <w:rStyle w:val="CharDivText"/>
        </w:rPr>
        <w:noBreakHyphen/>
        <w:t>disadvantage test</w:t>
      </w:r>
      <w:bookmarkEnd w:id="1253"/>
      <w:bookmarkEnd w:id="1254"/>
      <w:bookmarkEnd w:id="1255"/>
      <w:bookmarkEnd w:id="1256"/>
      <w:bookmarkEnd w:id="1257"/>
      <w:bookmarkEnd w:id="1258"/>
    </w:p>
    <w:p>
      <w:pPr>
        <w:pStyle w:val="Footnoteheading"/>
        <w:keepNext/>
        <w:tabs>
          <w:tab w:val="left" w:pos="851"/>
        </w:tabs>
      </w:pPr>
      <w:r>
        <w:tab/>
        <w:t>[Heading inserted: No. 20 of 2002 s. 4.]</w:t>
      </w:r>
    </w:p>
    <w:p>
      <w:pPr>
        <w:pStyle w:val="Heading4"/>
      </w:pPr>
      <w:bookmarkStart w:id="1259" w:name="_Toc107322576"/>
      <w:bookmarkStart w:id="1260" w:name="_Toc107476705"/>
      <w:bookmarkStart w:id="1261" w:name="_Toc105760250"/>
      <w:bookmarkStart w:id="1262" w:name="_Toc106195565"/>
      <w:bookmarkStart w:id="1263" w:name="_Toc106367508"/>
      <w:bookmarkStart w:id="1264" w:name="_Toc106374239"/>
      <w:r>
        <w:t>Subdivision 1 — Definition</w:t>
      </w:r>
      <w:bookmarkEnd w:id="1259"/>
      <w:bookmarkEnd w:id="1260"/>
      <w:bookmarkEnd w:id="1261"/>
      <w:bookmarkEnd w:id="1262"/>
      <w:bookmarkEnd w:id="1263"/>
      <w:bookmarkEnd w:id="1264"/>
    </w:p>
    <w:p>
      <w:pPr>
        <w:pStyle w:val="Footnoteheading"/>
        <w:keepNext/>
        <w:tabs>
          <w:tab w:val="left" w:pos="851"/>
        </w:tabs>
      </w:pPr>
      <w:r>
        <w:tab/>
        <w:t>[Heading inserted: No. 20 of 2002 s. 4.]</w:t>
      </w:r>
    </w:p>
    <w:p>
      <w:pPr>
        <w:pStyle w:val="Heading5"/>
      </w:pPr>
      <w:bookmarkStart w:id="1265" w:name="_Toc107476706"/>
      <w:bookmarkStart w:id="1266" w:name="_Toc106374240"/>
      <w:r>
        <w:rPr>
          <w:rStyle w:val="CharSectno"/>
        </w:rPr>
        <w:t>97VR</w:t>
      </w:r>
      <w:r>
        <w:t>.</w:t>
      </w:r>
      <w:r>
        <w:tab/>
        <w:t>Terms used</w:t>
      </w:r>
      <w:bookmarkEnd w:id="1265"/>
      <w:bookmarkEnd w:id="1266"/>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No. 20 of 2002 s. 4; amended: No. 50 of 2016 s. 10.]</w:t>
      </w:r>
    </w:p>
    <w:p>
      <w:pPr>
        <w:pStyle w:val="Heading5"/>
      </w:pPr>
      <w:bookmarkStart w:id="1267" w:name="_Toc107476707"/>
      <w:bookmarkStart w:id="1268" w:name="_Toc106374241"/>
      <w:r>
        <w:rPr>
          <w:rStyle w:val="CharSectno"/>
        </w:rPr>
        <w:t>97VS</w:t>
      </w:r>
      <w:r>
        <w:t>.</w:t>
      </w:r>
      <w:r>
        <w:tab/>
        <w:t>No</w:t>
      </w:r>
      <w:r>
        <w:noBreakHyphen/>
        <w:t>disadvantage test defined</w:t>
      </w:r>
      <w:bookmarkEnd w:id="1267"/>
      <w:bookmarkEnd w:id="1268"/>
    </w:p>
    <w:p>
      <w:pPr>
        <w:pStyle w:val="Subsection"/>
      </w:pPr>
      <w:r>
        <w:tab/>
        <w:t>(1)</w:t>
      </w:r>
      <w:r>
        <w:tab/>
        <w:t>For the purposes of Schedule 4 clause 1(1)(e), an EEA passes the no</w:t>
      </w:r>
      <w:r>
        <w:noBreakHyphen/>
        <w:t>disadvantage test if it does not disadvantage the employee in relation to the terms and conditions of the employee’s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keepNext/>
      </w:pPr>
      <w:r>
        <w:tab/>
        <w:t>(5)</w:t>
      </w:r>
      <w:r>
        <w:tab/>
        <w:t>If the Registrar is satisfied that there is no award that would otherwise extend to the employee, subsection (2) applies to —</w:t>
      </w:r>
    </w:p>
    <w:p>
      <w:pPr>
        <w:pStyle w:val="Indenta"/>
      </w:pPr>
      <w:r>
        <w:tab/>
        <w:t>(a)</w:t>
      </w:r>
      <w:r>
        <w:tab/>
        <w:t>any award, including an award made under the FW Act or continued in existence under the FW (Transitional) Act, that the Registrar determines, whether under section 97VT or otherwise, to be a comparable award; and</w:t>
      </w:r>
    </w:p>
    <w:p>
      <w:pPr>
        <w:pStyle w:val="Indenta"/>
      </w:pPr>
      <w:r>
        <w:tab/>
        <w:t>(b)</w:t>
      </w:r>
      <w:r>
        <w:tab/>
        <w:t>a relevant order.</w:t>
      </w:r>
    </w:p>
    <w:p>
      <w:pPr>
        <w:pStyle w:val="Subsection"/>
        <w:keepNext/>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the employee’s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t>MCE Act</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No. 20 of 2002 s. 4; amended: No. 53 of 2011 s. 38; No. 30 of 2021 s. 75(1) and 77(7).]</w:t>
      </w:r>
    </w:p>
    <w:p>
      <w:pPr>
        <w:pStyle w:val="Heading5"/>
      </w:pPr>
      <w:bookmarkStart w:id="1269" w:name="_Toc107476708"/>
      <w:bookmarkStart w:id="1270" w:name="_Toc106374242"/>
      <w:r>
        <w:rPr>
          <w:rStyle w:val="CharSectno"/>
        </w:rPr>
        <w:t>97VT</w:t>
      </w:r>
      <w:r>
        <w:t>.</w:t>
      </w:r>
      <w:r>
        <w:tab/>
        <w:t>Determining which award etc. is relevant for s. 97VS</w:t>
      </w:r>
      <w:bookmarkEnd w:id="1269"/>
      <w:bookmarkEnd w:id="1270"/>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keepNext/>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No. 20 of 2002 s. 4.]</w:t>
      </w:r>
    </w:p>
    <w:p>
      <w:pPr>
        <w:pStyle w:val="Heading5"/>
        <w:spacing w:before="260"/>
      </w:pPr>
      <w:bookmarkStart w:id="1271" w:name="_Toc107476709"/>
      <w:bookmarkStart w:id="1272" w:name="_Toc106374243"/>
      <w:r>
        <w:rPr>
          <w:rStyle w:val="CharSectno"/>
        </w:rPr>
        <w:t>97VU</w:t>
      </w:r>
      <w:r>
        <w:t>.</w:t>
      </w:r>
      <w:r>
        <w:tab/>
        <w:t>All entitlements to be considered</w:t>
      </w:r>
      <w:bookmarkEnd w:id="1271"/>
      <w:bookmarkEnd w:id="1272"/>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No. 20 of 2002 s. 4.]</w:t>
      </w:r>
    </w:p>
    <w:p>
      <w:pPr>
        <w:pStyle w:val="Heading5"/>
        <w:spacing w:before="260"/>
      </w:pPr>
      <w:bookmarkStart w:id="1273" w:name="_Toc107476710"/>
      <w:bookmarkStart w:id="1274" w:name="_Toc106374244"/>
      <w:r>
        <w:rPr>
          <w:rStyle w:val="CharSectno"/>
        </w:rPr>
        <w:t>97VV</w:t>
      </w:r>
      <w:r>
        <w:t>.</w:t>
      </w:r>
      <w:r>
        <w:tab/>
        <w:t>Application of test if Supported Wage System applies</w:t>
      </w:r>
      <w:bookmarkEnd w:id="1273"/>
      <w:bookmarkEnd w:id="1274"/>
    </w:p>
    <w:p>
      <w:pPr>
        <w:pStyle w:val="Subsection"/>
      </w:pPr>
      <w:r>
        <w:tab/>
      </w:r>
      <w:r>
        <w:tab/>
        <w:t>An EEA does not disadvantage an employee in relation to the employee’s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No. 20 of 2002 s. 4; amended: No. 30 of 2021 s. 77(7).]</w:t>
      </w:r>
    </w:p>
    <w:p>
      <w:pPr>
        <w:pStyle w:val="Heading4"/>
      </w:pPr>
      <w:bookmarkStart w:id="1275" w:name="_Toc107322582"/>
      <w:bookmarkStart w:id="1276" w:name="_Toc107476711"/>
      <w:bookmarkStart w:id="1277" w:name="_Toc105760256"/>
      <w:bookmarkStart w:id="1278" w:name="_Toc106195571"/>
      <w:bookmarkStart w:id="1279" w:name="_Toc106367514"/>
      <w:bookmarkStart w:id="1280" w:name="_Toc106374245"/>
      <w:r>
        <w:t>Subdivision 2 — Principles to be followed in application of no</w:t>
      </w:r>
      <w:r>
        <w:noBreakHyphen/>
        <w:t>disadvantage test</w:t>
      </w:r>
      <w:bookmarkEnd w:id="1275"/>
      <w:bookmarkEnd w:id="1276"/>
      <w:bookmarkEnd w:id="1277"/>
      <w:bookmarkEnd w:id="1278"/>
      <w:bookmarkEnd w:id="1279"/>
      <w:bookmarkEnd w:id="1280"/>
    </w:p>
    <w:p>
      <w:pPr>
        <w:pStyle w:val="Footnoteheading"/>
        <w:keepNext/>
        <w:tabs>
          <w:tab w:val="left" w:pos="851"/>
        </w:tabs>
        <w:spacing w:before="100"/>
      </w:pPr>
      <w:r>
        <w:tab/>
        <w:t>[Heading inserted: No. 20 of 2002 s. 4.]</w:t>
      </w:r>
    </w:p>
    <w:p>
      <w:pPr>
        <w:pStyle w:val="Heading5"/>
      </w:pPr>
      <w:bookmarkStart w:id="1281" w:name="_Toc107476712"/>
      <w:bookmarkStart w:id="1282" w:name="_Toc106374246"/>
      <w:r>
        <w:rPr>
          <w:rStyle w:val="CharSectno"/>
        </w:rPr>
        <w:t>97VW</w:t>
      </w:r>
      <w:r>
        <w:t>.</w:t>
      </w:r>
      <w:r>
        <w:tab/>
      </w:r>
      <w:r>
        <w:rPr>
          <w:snapToGrid w:val="0"/>
        </w:rPr>
        <w:t>Term used: Commission</w:t>
      </w:r>
      <w:bookmarkEnd w:id="1281"/>
      <w:bookmarkEnd w:id="1282"/>
    </w:p>
    <w:p>
      <w:pPr>
        <w:pStyle w:val="Subsection"/>
        <w:keepNext/>
      </w:pPr>
      <w:r>
        <w:tab/>
      </w:r>
      <w:r>
        <w:tab/>
        <w:t>In this Subdivision —</w:t>
      </w:r>
    </w:p>
    <w:p>
      <w:pPr>
        <w:pStyle w:val="Defstart"/>
        <w:keepNext/>
      </w:pPr>
      <w:r>
        <w:tab/>
      </w:r>
      <w:r>
        <w:rPr>
          <w:rStyle w:val="CharDefText"/>
        </w:rPr>
        <w:t>Commission</w:t>
      </w:r>
      <w:r>
        <w:t xml:space="preserve"> means the Commission in Court Session.</w:t>
      </w:r>
    </w:p>
    <w:p>
      <w:pPr>
        <w:pStyle w:val="Footnotesection"/>
        <w:spacing w:before="100"/>
        <w:ind w:left="890" w:hanging="890"/>
      </w:pPr>
      <w:r>
        <w:tab/>
        <w:t>[Section 97VW inserted: No. 20 of 2002 s. 4.]</w:t>
      </w:r>
    </w:p>
    <w:p>
      <w:pPr>
        <w:pStyle w:val="Heading5"/>
      </w:pPr>
      <w:bookmarkStart w:id="1283" w:name="_Toc107476713"/>
      <w:bookmarkStart w:id="1284" w:name="_Toc106374247"/>
      <w:r>
        <w:rPr>
          <w:rStyle w:val="CharSectno"/>
        </w:rPr>
        <w:t>97VX</w:t>
      </w:r>
      <w:r>
        <w:t>.</w:t>
      </w:r>
      <w:r>
        <w:tab/>
        <w:t>Commission to establish principles and guidelines</w:t>
      </w:r>
      <w:bookmarkEnd w:id="1283"/>
      <w:bookmarkEnd w:id="1284"/>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No. 20 of 2002 s. 4.]</w:t>
      </w:r>
    </w:p>
    <w:p>
      <w:pPr>
        <w:pStyle w:val="Heading5"/>
      </w:pPr>
      <w:bookmarkStart w:id="1285" w:name="_Toc107476714"/>
      <w:bookmarkStart w:id="1286" w:name="_Toc106374248"/>
      <w:r>
        <w:rPr>
          <w:rStyle w:val="CharSectno"/>
        </w:rPr>
        <w:t>97VY</w:t>
      </w:r>
      <w:r>
        <w:t>.</w:t>
      </w:r>
      <w:r>
        <w:tab/>
        <w:t>Registrar and Commission to give effect to s. 97VX instrument</w:t>
      </w:r>
      <w:bookmarkEnd w:id="1285"/>
      <w:bookmarkEnd w:id="1286"/>
    </w:p>
    <w:p>
      <w:pPr>
        <w:pStyle w:val="Subsection"/>
        <w:keepNext/>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No. 20 of 2002 s. 4.]</w:t>
      </w:r>
    </w:p>
    <w:p>
      <w:pPr>
        <w:pStyle w:val="Heading5"/>
        <w:spacing w:before="260"/>
      </w:pPr>
      <w:bookmarkStart w:id="1287" w:name="_Toc107476715"/>
      <w:bookmarkStart w:id="1288" w:name="_Toc106374249"/>
      <w:r>
        <w:rPr>
          <w:rStyle w:val="CharSectno"/>
        </w:rPr>
        <w:t>97VZ</w:t>
      </w:r>
      <w:r>
        <w:t>.</w:t>
      </w:r>
      <w:r>
        <w:tab/>
        <w:t>Minister or peak industry body may seek amendment etc. of s. 97VX instrument</w:t>
      </w:r>
      <w:bookmarkEnd w:id="1287"/>
      <w:bookmarkEnd w:id="1288"/>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No. 20 of 2002 s. 4; amended: No. 53 of 2011 s. 48.]</w:t>
      </w:r>
    </w:p>
    <w:p>
      <w:pPr>
        <w:pStyle w:val="Heading5"/>
      </w:pPr>
      <w:bookmarkStart w:id="1289" w:name="_Toc107476716"/>
      <w:bookmarkStart w:id="1290" w:name="_Toc106374250"/>
      <w:r>
        <w:rPr>
          <w:rStyle w:val="CharSectno"/>
        </w:rPr>
        <w:t>97W</w:t>
      </w:r>
      <w:r>
        <w:t>.</w:t>
      </w:r>
      <w:r>
        <w:tab/>
        <w:t>Public comment to be sought before s. 97VX instrument amended etc.</w:t>
      </w:r>
      <w:bookmarkEnd w:id="1289"/>
      <w:bookmarkEnd w:id="1290"/>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No. 20 of 2002 s. 4.]</w:t>
      </w:r>
    </w:p>
    <w:p>
      <w:pPr>
        <w:pStyle w:val="Heading5"/>
        <w:spacing w:before="240"/>
      </w:pPr>
      <w:bookmarkStart w:id="1291" w:name="_Toc107476717"/>
      <w:bookmarkStart w:id="1292" w:name="_Toc106374251"/>
      <w:r>
        <w:rPr>
          <w:rStyle w:val="CharSectno"/>
        </w:rPr>
        <w:t>97WA</w:t>
      </w:r>
      <w:r>
        <w:t>.</w:t>
      </w:r>
      <w:r>
        <w:tab/>
        <w:t>How public comment to be sought</w:t>
      </w:r>
      <w:bookmarkEnd w:id="1291"/>
      <w:bookmarkEnd w:id="1292"/>
    </w:p>
    <w:p>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keepNext/>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No. 20 of 2002 s. 4.]</w:t>
      </w:r>
    </w:p>
    <w:p>
      <w:pPr>
        <w:pStyle w:val="Heading3"/>
      </w:pPr>
      <w:bookmarkStart w:id="1293" w:name="_Toc107322589"/>
      <w:bookmarkStart w:id="1294" w:name="_Toc107476718"/>
      <w:bookmarkStart w:id="1295" w:name="_Toc105760263"/>
      <w:bookmarkStart w:id="1296" w:name="_Toc106195578"/>
      <w:bookmarkStart w:id="1297" w:name="_Toc106367521"/>
      <w:bookmarkStart w:id="1298" w:name="_Toc106374252"/>
      <w:r>
        <w:rPr>
          <w:rStyle w:val="CharDivNo"/>
        </w:rPr>
        <w:t>Division 7</w:t>
      </w:r>
      <w:r>
        <w:t> — </w:t>
      </w:r>
      <w:r>
        <w:rPr>
          <w:rStyle w:val="CharDivText"/>
        </w:rPr>
        <w:t>Register</w:t>
      </w:r>
      <w:bookmarkEnd w:id="1293"/>
      <w:bookmarkEnd w:id="1294"/>
      <w:bookmarkEnd w:id="1295"/>
      <w:bookmarkEnd w:id="1296"/>
      <w:bookmarkEnd w:id="1297"/>
      <w:bookmarkEnd w:id="1298"/>
    </w:p>
    <w:p>
      <w:pPr>
        <w:pStyle w:val="Footnoteheading"/>
        <w:keepNext/>
        <w:tabs>
          <w:tab w:val="left" w:pos="851"/>
        </w:tabs>
        <w:spacing w:before="100"/>
      </w:pPr>
      <w:r>
        <w:tab/>
        <w:t>[Heading inserted: No. 20 of 2002 s. 4.]</w:t>
      </w:r>
    </w:p>
    <w:p>
      <w:pPr>
        <w:pStyle w:val="Heading5"/>
      </w:pPr>
      <w:bookmarkStart w:id="1299" w:name="_Toc107476719"/>
      <w:bookmarkStart w:id="1300" w:name="_Toc106374253"/>
      <w:r>
        <w:rPr>
          <w:rStyle w:val="CharSectno"/>
        </w:rPr>
        <w:t>97WB</w:t>
      </w:r>
      <w:r>
        <w:t>.</w:t>
      </w:r>
      <w:r>
        <w:tab/>
      </w:r>
      <w:r>
        <w:rPr>
          <w:snapToGrid w:val="0"/>
        </w:rPr>
        <w:t>Terms used</w:t>
      </w:r>
      <w:bookmarkEnd w:id="1299"/>
      <w:bookmarkEnd w:id="1300"/>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No. 20 of 2002 s. 4.]</w:t>
      </w:r>
    </w:p>
    <w:p>
      <w:pPr>
        <w:pStyle w:val="Heading5"/>
      </w:pPr>
      <w:bookmarkStart w:id="1301" w:name="_Toc107476720"/>
      <w:bookmarkStart w:id="1302" w:name="_Toc106374254"/>
      <w:r>
        <w:rPr>
          <w:rStyle w:val="CharSectno"/>
        </w:rPr>
        <w:t>97WC</w:t>
      </w:r>
      <w:r>
        <w:t>.</w:t>
      </w:r>
      <w:r>
        <w:tab/>
        <w:t>Register of EEAs</w:t>
      </w:r>
      <w:bookmarkEnd w:id="1301"/>
      <w:bookmarkEnd w:id="1302"/>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No. 20 of 2002 s. 4.]</w:t>
      </w:r>
    </w:p>
    <w:p>
      <w:pPr>
        <w:pStyle w:val="Heading5"/>
        <w:spacing w:before="260"/>
      </w:pPr>
      <w:bookmarkStart w:id="1303" w:name="_Toc107476721"/>
      <w:bookmarkStart w:id="1304" w:name="_Toc106374255"/>
      <w:r>
        <w:rPr>
          <w:rStyle w:val="CharSectno"/>
        </w:rPr>
        <w:t>97WD</w:t>
      </w:r>
      <w:r>
        <w:t>.</w:t>
      </w:r>
      <w:r>
        <w:tab/>
        <w:t>Inspection of register</w:t>
      </w:r>
      <w:bookmarkEnd w:id="1303"/>
      <w:bookmarkEnd w:id="1304"/>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No. 20 of 2002 s. 4.]</w:t>
      </w:r>
    </w:p>
    <w:p>
      <w:pPr>
        <w:pStyle w:val="Heading5"/>
      </w:pPr>
      <w:bookmarkStart w:id="1305" w:name="_Toc107476722"/>
      <w:bookmarkStart w:id="1306" w:name="_Toc106374256"/>
      <w:r>
        <w:rPr>
          <w:rStyle w:val="CharSectno"/>
        </w:rPr>
        <w:t>97WE</w:t>
      </w:r>
      <w:r>
        <w:t>.</w:t>
      </w:r>
      <w:r>
        <w:tab/>
        <w:t>Commission may exempt an EEA from inspection</w:t>
      </w:r>
      <w:bookmarkEnd w:id="1305"/>
      <w:bookmarkEnd w:id="1306"/>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No. 20 of 2002 s. 4.]</w:t>
      </w:r>
    </w:p>
    <w:p>
      <w:pPr>
        <w:pStyle w:val="Heading5"/>
      </w:pPr>
      <w:bookmarkStart w:id="1307" w:name="_Toc107476723"/>
      <w:bookmarkStart w:id="1308" w:name="_Toc106374257"/>
      <w:r>
        <w:rPr>
          <w:rStyle w:val="CharSectno"/>
        </w:rPr>
        <w:t>97WF</w:t>
      </w:r>
      <w:r>
        <w:t>.</w:t>
      </w:r>
      <w:r>
        <w:tab/>
        <w:t>Protected information not to be disclosed</w:t>
      </w:r>
      <w:bookmarkEnd w:id="1307"/>
      <w:bookmarkEnd w:id="1308"/>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for this subsection: a fine of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No. 20 of 2002 s. 4; amended: No. 30 of 2021 s. 72(1).]</w:t>
      </w:r>
    </w:p>
    <w:p>
      <w:pPr>
        <w:pStyle w:val="Heading5"/>
      </w:pPr>
      <w:bookmarkStart w:id="1309" w:name="_Toc107476724"/>
      <w:bookmarkStart w:id="1310" w:name="_Toc106374258"/>
      <w:r>
        <w:rPr>
          <w:rStyle w:val="CharSectno"/>
        </w:rPr>
        <w:t>97WG</w:t>
      </w:r>
      <w:r>
        <w:t>.</w:t>
      </w:r>
      <w:r>
        <w:tab/>
        <w:t>Certified copies of EEAs</w:t>
      </w:r>
      <w:bookmarkEnd w:id="1309"/>
      <w:bookmarkEnd w:id="1310"/>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No. 20 of 2002 s. 4.]</w:t>
      </w:r>
    </w:p>
    <w:p>
      <w:pPr>
        <w:pStyle w:val="Heading3"/>
        <w:keepLines/>
      </w:pPr>
      <w:bookmarkStart w:id="1311" w:name="_Toc107322596"/>
      <w:bookmarkStart w:id="1312" w:name="_Toc107476725"/>
      <w:bookmarkStart w:id="1313" w:name="_Toc105760270"/>
      <w:bookmarkStart w:id="1314" w:name="_Toc106195585"/>
      <w:bookmarkStart w:id="1315" w:name="_Toc106367528"/>
      <w:bookmarkStart w:id="1316" w:name="_Toc106374259"/>
      <w:r>
        <w:rPr>
          <w:rStyle w:val="CharDivNo"/>
        </w:rPr>
        <w:t>Division 8</w:t>
      </w:r>
      <w:r>
        <w:t> — </w:t>
      </w:r>
      <w:r>
        <w:rPr>
          <w:rStyle w:val="CharDivText"/>
        </w:rPr>
        <w:t>Disputes</w:t>
      </w:r>
      <w:bookmarkEnd w:id="1311"/>
      <w:bookmarkEnd w:id="1312"/>
      <w:bookmarkEnd w:id="1313"/>
      <w:bookmarkEnd w:id="1314"/>
      <w:bookmarkEnd w:id="1315"/>
      <w:bookmarkEnd w:id="1316"/>
    </w:p>
    <w:p>
      <w:pPr>
        <w:pStyle w:val="Footnoteheading"/>
        <w:keepNext/>
        <w:keepLines/>
        <w:tabs>
          <w:tab w:val="left" w:pos="851"/>
        </w:tabs>
      </w:pPr>
      <w:r>
        <w:tab/>
        <w:t>[Heading inserted: No. 20 of 2002 s. 4.]</w:t>
      </w:r>
    </w:p>
    <w:p>
      <w:pPr>
        <w:pStyle w:val="Heading5"/>
      </w:pPr>
      <w:bookmarkStart w:id="1317" w:name="_Toc107476726"/>
      <w:bookmarkStart w:id="1318" w:name="_Toc106374260"/>
      <w:r>
        <w:rPr>
          <w:rStyle w:val="CharSectno"/>
        </w:rPr>
        <w:t>97WH</w:t>
      </w:r>
      <w:r>
        <w:t>.</w:t>
      </w:r>
      <w:r>
        <w:tab/>
      </w:r>
      <w:r>
        <w:rPr>
          <w:snapToGrid w:val="0"/>
        </w:rPr>
        <w:t>Terms used</w:t>
      </w:r>
      <w:bookmarkEnd w:id="1317"/>
      <w:bookmarkEnd w:id="1318"/>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No. 20 of 2002 s. 4.]</w:t>
      </w:r>
    </w:p>
    <w:p>
      <w:pPr>
        <w:pStyle w:val="Heading5"/>
      </w:pPr>
      <w:bookmarkStart w:id="1319" w:name="_Toc107476727"/>
      <w:bookmarkStart w:id="1320" w:name="_Toc106374261"/>
      <w:r>
        <w:rPr>
          <w:rStyle w:val="CharSectno"/>
        </w:rPr>
        <w:t>97WI</w:t>
      </w:r>
      <w:r>
        <w:t>.</w:t>
      </w:r>
      <w:r>
        <w:tab/>
        <w:t>Arbitration jurisdiction of relevant industrial authority</w:t>
      </w:r>
      <w:bookmarkEnd w:id="1319"/>
      <w:bookmarkEnd w:id="1320"/>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No. 20 of 2002 s. 4.]</w:t>
      </w:r>
    </w:p>
    <w:p>
      <w:pPr>
        <w:pStyle w:val="Heading5"/>
        <w:spacing w:before="240"/>
      </w:pPr>
      <w:bookmarkStart w:id="1321" w:name="_Toc107476728"/>
      <w:bookmarkStart w:id="1322" w:name="_Toc106374262"/>
      <w:r>
        <w:rPr>
          <w:rStyle w:val="CharSectno"/>
        </w:rPr>
        <w:t>97WJ</w:t>
      </w:r>
      <w:r>
        <w:t>.</w:t>
      </w:r>
      <w:r>
        <w:tab/>
        <w:t>Representation of parties</w:t>
      </w:r>
      <w:bookmarkEnd w:id="1321"/>
      <w:bookmarkEnd w:id="1322"/>
    </w:p>
    <w:p>
      <w:pPr>
        <w:pStyle w:val="Subsection"/>
      </w:pPr>
      <w:r>
        <w:tab/>
      </w:r>
      <w:r>
        <w:tab/>
        <w:t xml:space="preserve">An employer or an employee may be represented by </w:t>
      </w:r>
      <w:r>
        <w:rPr>
          <w:snapToGrid w:val="0"/>
        </w:rPr>
        <w:t>a</w:t>
      </w:r>
      <w:r>
        <w:t xml:space="preserve"> bargaining agent in connection with a dispute, including in proceedings before an arbitrator under EEA dispute provisions.</w:t>
      </w:r>
    </w:p>
    <w:p>
      <w:pPr>
        <w:pStyle w:val="Footnotesection"/>
      </w:pPr>
      <w:r>
        <w:tab/>
        <w:t>[Section 97WJ inserted: No. 20 of 2002 s. 4; amended: No. 30 of 2021 s. 77(13).]</w:t>
      </w:r>
    </w:p>
    <w:p>
      <w:pPr>
        <w:pStyle w:val="Heading5"/>
        <w:spacing w:before="240"/>
      </w:pPr>
      <w:bookmarkStart w:id="1323" w:name="_Toc107476729"/>
      <w:bookmarkStart w:id="1324" w:name="_Toc106374263"/>
      <w:r>
        <w:rPr>
          <w:rStyle w:val="CharSectno"/>
        </w:rPr>
        <w:t>97WK</w:t>
      </w:r>
      <w:r>
        <w:t>.</w:t>
      </w:r>
      <w:r>
        <w:tab/>
        <w:t>Alleged delay in dispute resolution, referral of to relevant industrial authority etc.</w:t>
      </w:r>
      <w:bookmarkEnd w:id="1323"/>
      <w:bookmarkEnd w:id="1324"/>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keepNext/>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No. 20 of 2002 s. 4.]</w:t>
      </w:r>
    </w:p>
    <w:p>
      <w:pPr>
        <w:pStyle w:val="Heading5"/>
      </w:pPr>
      <w:bookmarkStart w:id="1325" w:name="_Toc107476730"/>
      <w:bookmarkStart w:id="1326" w:name="_Toc106374264"/>
      <w:r>
        <w:rPr>
          <w:rStyle w:val="CharSectno"/>
        </w:rPr>
        <w:t>97WL</w:t>
      </w:r>
      <w:r>
        <w:t>.</w:t>
      </w:r>
      <w:r>
        <w:tab/>
        <w:t>Several disputes may be subject of one arbitration</w:t>
      </w:r>
      <w:bookmarkEnd w:id="1325"/>
      <w:bookmarkEnd w:id="1326"/>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No. 20 of 2002 s. 4.]</w:t>
      </w:r>
    </w:p>
    <w:p>
      <w:pPr>
        <w:pStyle w:val="Heading5"/>
        <w:spacing w:before="180"/>
      </w:pPr>
      <w:bookmarkStart w:id="1327" w:name="_Toc107476731"/>
      <w:bookmarkStart w:id="1328" w:name="_Toc106374265"/>
      <w:r>
        <w:rPr>
          <w:rStyle w:val="CharSectno"/>
        </w:rPr>
        <w:t>97WM</w:t>
      </w:r>
      <w:r>
        <w:t>.</w:t>
      </w:r>
      <w:r>
        <w:tab/>
        <w:t>Arbitrator’s power to obtain information</w:t>
      </w:r>
      <w:bookmarkEnd w:id="1327"/>
      <w:bookmarkEnd w:id="1328"/>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No. 20 of 2002 s. 4.]</w:t>
      </w:r>
    </w:p>
    <w:p>
      <w:pPr>
        <w:pStyle w:val="Heading5"/>
        <w:spacing w:before="180"/>
      </w:pPr>
      <w:bookmarkStart w:id="1329" w:name="_Toc107476732"/>
      <w:bookmarkStart w:id="1330" w:name="_Toc106374266"/>
      <w:r>
        <w:rPr>
          <w:rStyle w:val="CharSectno"/>
        </w:rPr>
        <w:t>97WN</w:t>
      </w:r>
      <w:r>
        <w:t>.</w:t>
      </w:r>
      <w:r>
        <w:tab/>
        <w:t>Orders and determinations of arbitrators</w:t>
      </w:r>
      <w:bookmarkEnd w:id="1329"/>
      <w:bookmarkEnd w:id="1330"/>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keepNext/>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 xml:space="preserve">refuse to make any order or determination if </w:t>
      </w:r>
      <w:r>
        <w:rPr>
          <w:snapToGrid w:val="0"/>
        </w:rPr>
        <w:t>the arbitrator</w:t>
      </w:r>
      <w:r>
        <w:t xml:space="preserv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 xml:space="preserve">make any other order or determination that </w:t>
      </w:r>
      <w:r>
        <w:rPr>
          <w:snapToGrid w:val="0"/>
        </w:rPr>
        <w:t>the arbitrator</w:t>
      </w:r>
      <w:r>
        <w:t xml:space="preserv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No. 20 of 2002 s. 4; amended: No. 30 of 2021 s. 77(13).]</w:t>
      </w:r>
    </w:p>
    <w:p>
      <w:pPr>
        <w:pStyle w:val="Heading5"/>
      </w:pPr>
      <w:bookmarkStart w:id="1331" w:name="_Toc107476733"/>
      <w:bookmarkStart w:id="1332" w:name="_Toc106374267"/>
      <w:r>
        <w:rPr>
          <w:rStyle w:val="CharSectno"/>
        </w:rPr>
        <w:t>97WO</w:t>
      </w:r>
      <w:r>
        <w:t>.</w:t>
      </w:r>
      <w:r>
        <w:tab/>
        <w:t>Orders and determinations, form of etc.</w:t>
      </w:r>
      <w:bookmarkEnd w:id="1331"/>
      <w:bookmarkEnd w:id="1332"/>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No. 20 of 2002 s. 4.]</w:t>
      </w:r>
    </w:p>
    <w:p>
      <w:pPr>
        <w:pStyle w:val="Heading5"/>
        <w:spacing w:before="240"/>
      </w:pPr>
      <w:bookmarkStart w:id="1333" w:name="_Toc107476734"/>
      <w:bookmarkStart w:id="1334" w:name="_Toc106374268"/>
      <w:r>
        <w:rPr>
          <w:rStyle w:val="CharSectno"/>
        </w:rPr>
        <w:t>97WP</w:t>
      </w:r>
      <w:r>
        <w:t>.</w:t>
      </w:r>
      <w:r>
        <w:tab/>
        <w:t>Enforcing orders and determinations</w:t>
      </w:r>
      <w:bookmarkEnd w:id="1333"/>
      <w:bookmarkEnd w:id="1334"/>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No. 20 of 2002 s. 4.]</w:t>
      </w:r>
    </w:p>
    <w:p>
      <w:pPr>
        <w:pStyle w:val="Heading5"/>
      </w:pPr>
      <w:bookmarkStart w:id="1335" w:name="_Toc107476735"/>
      <w:bookmarkStart w:id="1336" w:name="_Toc106374269"/>
      <w:r>
        <w:rPr>
          <w:rStyle w:val="CharSectno"/>
        </w:rPr>
        <w:t>97WQ</w:t>
      </w:r>
      <w:r>
        <w:t>.</w:t>
      </w:r>
      <w:r>
        <w:tab/>
        <w:t>Industrial magistrate’s court not bound by arbitrator’s interpretation of EEA</w:t>
      </w:r>
      <w:bookmarkEnd w:id="1335"/>
      <w:bookmarkEnd w:id="1336"/>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No. 20 of 2002 s. 4.]</w:t>
      </w:r>
    </w:p>
    <w:p>
      <w:pPr>
        <w:pStyle w:val="Heading3"/>
      </w:pPr>
      <w:bookmarkStart w:id="1337" w:name="_Toc107322607"/>
      <w:bookmarkStart w:id="1338" w:name="_Toc107476736"/>
      <w:bookmarkStart w:id="1339" w:name="_Toc105760281"/>
      <w:bookmarkStart w:id="1340" w:name="_Toc106195596"/>
      <w:bookmarkStart w:id="1341" w:name="_Toc106367539"/>
      <w:bookmarkStart w:id="1342" w:name="_Toc106374270"/>
      <w:r>
        <w:rPr>
          <w:rStyle w:val="CharDivNo"/>
        </w:rPr>
        <w:t>Division 9</w:t>
      </w:r>
      <w:r>
        <w:t> — </w:t>
      </w:r>
      <w:r>
        <w:rPr>
          <w:rStyle w:val="CharDivText"/>
        </w:rPr>
        <w:t>EEAs for persons with mental disabilities</w:t>
      </w:r>
      <w:bookmarkEnd w:id="1337"/>
      <w:bookmarkEnd w:id="1338"/>
      <w:bookmarkEnd w:id="1339"/>
      <w:bookmarkEnd w:id="1340"/>
      <w:bookmarkEnd w:id="1341"/>
      <w:bookmarkEnd w:id="1342"/>
    </w:p>
    <w:p>
      <w:pPr>
        <w:pStyle w:val="Footnoteheading"/>
        <w:keepNext/>
        <w:tabs>
          <w:tab w:val="left" w:pos="851"/>
        </w:tabs>
        <w:spacing w:before="80"/>
      </w:pPr>
      <w:r>
        <w:tab/>
        <w:t>[Heading inserted: No. 20 of 2002 s. 4.]</w:t>
      </w:r>
    </w:p>
    <w:p>
      <w:pPr>
        <w:pStyle w:val="Heading4"/>
      </w:pPr>
      <w:bookmarkStart w:id="1343" w:name="_Toc107322608"/>
      <w:bookmarkStart w:id="1344" w:name="_Toc107476737"/>
      <w:bookmarkStart w:id="1345" w:name="_Toc105760282"/>
      <w:bookmarkStart w:id="1346" w:name="_Toc106195597"/>
      <w:bookmarkStart w:id="1347" w:name="_Toc106367540"/>
      <w:bookmarkStart w:id="1348" w:name="_Toc106374271"/>
      <w:r>
        <w:t>Subdivision 1 — Preliminary</w:t>
      </w:r>
      <w:bookmarkEnd w:id="1343"/>
      <w:bookmarkEnd w:id="1344"/>
      <w:bookmarkEnd w:id="1345"/>
      <w:bookmarkEnd w:id="1346"/>
      <w:bookmarkEnd w:id="1347"/>
      <w:bookmarkEnd w:id="1348"/>
    </w:p>
    <w:p>
      <w:pPr>
        <w:pStyle w:val="Footnoteheading"/>
        <w:tabs>
          <w:tab w:val="left" w:pos="851"/>
        </w:tabs>
        <w:spacing w:before="80"/>
      </w:pPr>
      <w:r>
        <w:tab/>
        <w:t>[Heading inserted: No. 20 of 2002 s. 4.]</w:t>
      </w:r>
    </w:p>
    <w:p>
      <w:pPr>
        <w:pStyle w:val="Heading5"/>
      </w:pPr>
      <w:bookmarkStart w:id="1349" w:name="_Toc107476738"/>
      <w:bookmarkStart w:id="1350" w:name="_Toc106374272"/>
      <w:r>
        <w:rPr>
          <w:rStyle w:val="CharSectno"/>
        </w:rPr>
        <w:t>97WR</w:t>
      </w:r>
      <w:r>
        <w:t>.</w:t>
      </w:r>
      <w:r>
        <w:tab/>
        <w:t>Terms used</w:t>
      </w:r>
      <w:bookmarkEnd w:id="1349"/>
      <w:bookmarkEnd w:id="1350"/>
    </w:p>
    <w:p>
      <w:pPr>
        <w:pStyle w:val="Subsection"/>
        <w:spacing w:before="140"/>
      </w:pPr>
      <w:r>
        <w:tab/>
      </w:r>
      <w:r>
        <w:tab/>
        <w:t>In this Division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No. 20 of 2002 s. 4; amended: No. 55 of 2004 s. 469(2); No. 22 of 2008 Sch. 3 cl. 30(3); No. 35 of 2010 s. 100.]</w:t>
      </w:r>
    </w:p>
    <w:p>
      <w:pPr>
        <w:pStyle w:val="Heading5"/>
        <w:spacing w:before="260"/>
      </w:pPr>
      <w:bookmarkStart w:id="1351" w:name="_Toc107476739"/>
      <w:bookmarkStart w:id="1352" w:name="_Toc106374273"/>
      <w:r>
        <w:rPr>
          <w:rStyle w:val="CharSectno"/>
        </w:rPr>
        <w:t>97WS</w:t>
      </w:r>
      <w:r>
        <w:t>.</w:t>
      </w:r>
      <w:r>
        <w:tab/>
      </w:r>
      <w:r>
        <w:rPr>
          <w:i/>
        </w:rPr>
        <w:t>Guardianship and Administration Act 1990</w:t>
      </w:r>
      <w:r>
        <w:t>, relationship of this Division to</w:t>
      </w:r>
      <w:bookmarkEnd w:id="1351"/>
      <w:bookmarkEnd w:id="1352"/>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 xml:space="preserve">The revocation of an order by operation of subsection (2) does not affect anything done in good faith by the representative concerned before </w:t>
      </w:r>
      <w:r>
        <w:rPr>
          <w:snapToGrid w:val="0"/>
        </w:rPr>
        <w:t>the representative</w:t>
      </w:r>
      <w:r>
        <w:t xml:space="preserv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No. 20 of 2002 s. 4; amended: No. 30 of 2021 s. 77(13).]</w:t>
      </w:r>
    </w:p>
    <w:p>
      <w:pPr>
        <w:pStyle w:val="Heading5"/>
      </w:pPr>
      <w:bookmarkStart w:id="1353" w:name="_Toc107476740"/>
      <w:bookmarkStart w:id="1354" w:name="_Toc106374274"/>
      <w:r>
        <w:rPr>
          <w:rStyle w:val="CharSectno"/>
        </w:rPr>
        <w:t>97WT</w:t>
      </w:r>
      <w:r>
        <w:t>.</w:t>
      </w:r>
      <w:r>
        <w:tab/>
        <w:t>Registrar to notify Public Advocate of applications and orders for approval of representative</w:t>
      </w:r>
      <w:bookmarkEnd w:id="1353"/>
      <w:bookmarkEnd w:id="1354"/>
    </w:p>
    <w:p>
      <w:pPr>
        <w:pStyle w:val="Subsection"/>
        <w:keepNext/>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No. 20 of 2002 s. 4; amended: No. 55 of 2004 s. 469(8) and (9).]</w:t>
      </w:r>
    </w:p>
    <w:p>
      <w:pPr>
        <w:pStyle w:val="Heading5"/>
      </w:pPr>
      <w:bookmarkStart w:id="1355" w:name="_Toc107476741"/>
      <w:bookmarkStart w:id="1356" w:name="_Toc106374275"/>
      <w:r>
        <w:rPr>
          <w:rStyle w:val="CharSectno"/>
        </w:rPr>
        <w:t>97WU</w:t>
      </w:r>
      <w:r>
        <w:t>.</w:t>
      </w:r>
      <w:r>
        <w:tab/>
        <w:t>Public Advocate to notify Registrar of relevant guardianship orders</w:t>
      </w:r>
      <w:bookmarkEnd w:id="1355"/>
      <w:bookmarkEnd w:id="1356"/>
    </w:p>
    <w:p>
      <w:pPr>
        <w:pStyle w:val="Subsection"/>
      </w:pPr>
      <w:r>
        <w:tab/>
        <w:t>(1)</w:t>
      </w:r>
      <w:r>
        <w:tab/>
        <w:t xml:space="preserve">Where the Public Advocate receives a notice under section 97WT </w:t>
      </w:r>
      <w:r>
        <w:rPr>
          <w:snapToGrid w:val="0"/>
        </w:rPr>
        <w:t>the Public Advocate</w:t>
      </w:r>
      <w:r>
        <w:t xml:space="preserv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No. 20 of 2002 s. 4; amended: No. 55 of 2004 s. 469(3), (4) and (9); No. 30 of 2021 s. 77(13).]</w:t>
      </w:r>
    </w:p>
    <w:p>
      <w:pPr>
        <w:pStyle w:val="Heading4"/>
      </w:pPr>
      <w:bookmarkStart w:id="1357" w:name="_Toc107322613"/>
      <w:bookmarkStart w:id="1358" w:name="_Toc107476742"/>
      <w:bookmarkStart w:id="1359" w:name="_Toc105760287"/>
      <w:bookmarkStart w:id="1360" w:name="_Toc106195602"/>
      <w:bookmarkStart w:id="1361" w:name="_Toc106367545"/>
      <w:bookmarkStart w:id="1362" w:name="_Toc106374276"/>
      <w:r>
        <w:t>Subdivision 2 — Approval of person to act on behalf of person with a mental disability</w:t>
      </w:r>
      <w:bookmarkEnd w:id="1357"/>
      <w:bookmarkEnd w:id="1358"/>
      <w:bookmarkEnd w:id="1359"/>
      <w:bookmarkEnd w:id="1360"/>
      <w:bookmarkEnd w:id="1361"/>
      <w:bookmarkEnd w:id="1362"/>
    </w:p>
    <w:p>
      <w:pPr>
        <w:pStyle w:val="Footnoteheading"/>
        <w:tabs>
          <w:tab w:val="left" w:pos="851"/>
        </w:tabs>
      </w:pPr>
      <w:r>
        <w:tab/>
        <w:t>[Heading inserted: No. 20 of 2002 s. 4.]</w:t>
      </w:r>
    </w:p>
    <w:p>
      <w:pPr>
        <w:pStyle w:val="Heading5"/>
      </w:pPr>
      <w:bookmarkStart w:id="1363" w:name="_Toc107476743"/>
      <w:bookmarkStart w:id="1364" w:name="_Toc106374277"/>
      <w:r>
        <w:rPr>
          <w:rStyle w:val="CharSectno"/>
        </w:rPr>
        <w:t>97WV</w:t>
      </w:r>
      <w:r>
        <w:t>.</w:t>
      </w:r>
      <w:r>
        <w:tab/>
        <w:t>Application for approval</w:t>
      </w:r>
      <w:bookmarkEnd w:id="1363"/>
      <w:bookmarkEnd w:id="1364"/>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the person’s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No. 20 of 2002 s. 4; amended: No. 30 of 2021 s. 77(9).]</w:t>
      </w:r>
    </w:p>
    <w:p>
      <w:pPr>
        <w:pStyle w:val="Heading5"/>
      </w:pPr>
      <w:bookmarkStart w:id="1365" w:name="_Toc107476744"/>
      <w:bookmarkStart w:id="1366" w:name="_Toc106374278"/>
      <w:r>
        <w:rPr>
          <w:rStyle w:val="CharSectno"/>
        </w:rPr>
        <w:t>97WW</w:t>
      </w:r>
      <w:r>
        <w:t>.</w:t>
      </w:r>
      <w:r>
        <w:tab/>
        <w:t>Requirements for s. 97WV application</w:t>
      </w:r>
      <w:bookmarkEnd w:id="1365"/>
      <w:bookmarkEnd w:id="1366"/>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No. 20 of 2002 s. 4.]</w:t>
      </w:r>
    </w:p>
    <w:p>
      <w:pPr>
        <w:pStyle w:val="Heading5"/>
      </w:pPr>
      <w:bookmarkStart w:id="1367" w:name="_Toc107476745"/>
      <w:bookmarkStart w:id="1368" w:name="_Toc106374279"/>
      <w:r>
        <w:rPr>
          <w:rStyle w:val="CharSectno"/>
        </w:rPr>
        <w:t>97WX</w:t>
      </w:r>
      <w:r>
        <w:t>.</w:t>
      </w:r>
      <w:r>
        <w:tab/>
        <w:t>Forms for s. 97WW to be prescribed</w:t>
      </w:r>
      <w:bookmarkEnd w:id="1367"/>
      <w:bookmarkEnd w:id="1368"/>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No. 20 of 2002 s. 4; amended: No. 30 of 2021 s. 77(13).]</w:t>
      </w:r>
    </w:p>
    <w:p>
      <w:pPr>
        <w:pStyle w:val="Heading5"/>
      </w:pPr>
      <w:bookmarkStart w:id="1369" w:name="_Toc107476746"/>
      <w:bookmarkStart w:id="1370" w:name="_Toc106374280"/>
      <w:r>
        <w:rPr>
          <w:rStyle w:val="CharSectno"/>
        </w:rPr>
        <w:t>97WY</w:t>
      </w:r>
      <w:r>
        <w:t>.</w:t>
      </w:r>
      <w:r>
        <w:tab/>
        <w:t>Who may be approved as a representative</w:t>
      </w:r>
      <w:bookmarkEnd w:id="1369"/>
      <w:bookmarkEnd w:id="1370"/>
    </w:p>
    <w:p>
      <w:pPr>
        <w:pStyle w:val="Subsection"/>
      </w:pPr>
      <w:r>
        <w:tab/>
        <w:t>(1)</w:t>
      </w:r>
      <w:r>
        <w:tab/>
        <w:t>A person may be approved under section 97WZ or 97XN only if the person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No. 20 of 2002 s. 4; amended: No. 28 of 2003 s. 90; No. 30 of 2021 s. 77(8).]</w:t>
      </w:r>
    </w:p>
    <w:p>
      <w:pPr>
        <w:pStyle w:val="Heading5"/>
      </w:pPr>
      <w:bookmarkStart w:id="1371" w:name="_Toc107476747"/>
      <w:bookmarkStart w:id="1372" w:name="_Toc106374281"/>
      <w:r>
        <w:rPr>
          <w:rStyle w:val="CharSectno"/>
        </w:rPr>
        <w:t>97WZ</w:t>
      </w:r>
      <w:r>
        <w:t>.</w:t>
      </w:r>
      <w:r>
        <w:tab/>
        <w:t>Approval of representative</w:t>
      </w:r>
      <w:bookmarkEnd w:id="1371"/>
      <w:bookmarkEnd w:id="1372"/>
    </w:p>
    <w:p>
      <w:pPr>
        <w:pStyle w:val="Subsection"/>
      </w:pPr>
      <w:r>
        <w:tab/>
        <w:t>(1)</w:t>
      </w:r>
      <w:r>
        <w:tab/>
        <w:t>Where an application is made under section 97WV, the Registrar must make an order approving the proposed representative if the Registrar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w:t>
      </w:r>
      <w:r>
        <w:rPr>
          <w:snapToGrid w:val="0"/>
        </w:rPr>
        <w:t>the Registrar’s</w:t>
      </w:r>
      <w:r>
        <w:t xml:space="preserve">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 xml:space="preserve">the represented person, the applicant (if </w:t>
      </w:r>
      <w:r>
        <w:rPr>
          <w:snapToGrid w:val="0"/>
        </w:rPr>
        <w:t>the applicant</w:t>
      </w:r>
      <w:r>
        <w:t xml:space="preserve"> was not the represented person) and the representative; and</w:t>
      </w:r>
    </w:p>
    <w:p>
      <w:pPr>
        <w:pStyle w:val="Indenta"/>
      </w:pPr>
      <w:r>
        <w:tab/>
        <w:t>(b)</w:t>
      </w:r>
      <w:r>
        <w:tab/>
        <w:t>the Public Advocate.</w:t>
      </w:r>
    </w:p>
    <w:p>
      <w:pPr>
        <w:pStyle w:val="Footnotesection"/>
      </w:pPr>
      <w:r>
        <w:tab/>
        <w:t>[Section 97WZ inserted: No. 20 of 2002 s. 4; amended: No. 55 of 2004 s. 469(8); No. 30 of 2021 s. 77(12) and (13).]</w:t>
      </w:r>
    </w:p>
    <w:p>
      <w:pPr>
        <w:pStyle w:val="Heading5"/>
      </w:pPr>
      <w:bookmarkStart w:id="1373" w:name="_Toc107476748"/>
      <w:bookmarkStart w:id="1374" w:name="_Toc106374282"/>
      <w:r>
        <w:rPr>
          <w:rStyle w:val="CharSectno"/>
        </w:rPr>
        <w:t>97X</w:t>
      </w:r>
      <w:r>
        <w:t>.</w:t>
      </w:r>
      <w:r>
        <w:tab/>
        <w:t>Effect of s. 97WZ order</w:t>
      </w:r>
      <w:bookmarkEnd w:id="1373"/>
      <w:bookmarkEnd w:id="1374"/>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No. 20 of 2002 s. 4.]</w:t>
      </w:r>
    </w:p>
    <w:p>
      <w:pPr>
        <w:pStyle w:val="Heading5"/>
      </w:pPr>
      <w:bookmarkStart w:id="1375" w:name="_Toc107476749"/>
      <w:bookmarkStart w:id="1376" w:name="_Toc106374283"/>
      <w:r>
        <w:rPr>
          <w:rStyle w:val="CharSectno"/>
        </w:rPr>
        <w:t>97XA</w:t>
      </w:r>
      <w:r>
        <w:t>.</w:t>
      </w:r>
      <w:r>
        <w:tab/>
        <w:t>Refusal of approval</w:t>
      </w:r>
      <w:bookmarkEnd w:id="1375"/>
      <w:bookmarkEnd w:id="1376"/>
    </w:p>
    <w:p>
      <w:pPr>
        <w:pStyle w:val="Subsection"/>
      </w:pPr>
      <w:r>
        <w:tab/>
      </w:r>
      <w:r>
        <w:tab/>
        <w:t>If the Registrar is not satisfied as mentioned in section 97WZ(1) the Registrar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No. 20 of 2002 s. 4; amended: No. 30 of 2021 s. 77(12).]</w:t>
      </w:r>
    </w:p>
    <w:p>
      <w:pPr>
        <w:pStyle w:val="Heading5"/>
      </w:pPr>
      <w:bookmarkStart w:id="1377" w:name="_Toc107476750"/>
      <w:bookmarkStart w:id="1378" w:name="_Toc106374284"/>
      <w:r>
        <w:rPr>
          <w:rStyle w:val="CharSectno"/>
        </w:rPr>
        <w:t>97XB</w:t>
      </w:r>
      <w:r>
        <w:t>.</w:t>
      </w:r>
      <w:r>
        <w:tab/>
        <w:t>Appeal against refusal of approval</w:t>
      </w:r>
      <w:bookmarkEnd w:id="1377"/>
      <w:bookmarkEnd w:id="1378"/>
    </w:p>
    <w:p>
      <w:pPr>
        <w:pStyle w:val="Subsection"/>
      </w:pPr>
      <w:r>
        <w:tab/>
        <w:t>(1)</w:t>
      </w:r>
      <w:r>
        <w:tab/>
        <w:t xml:space="preserve">If the Registrar refuses to make an order under section 97WZ the person with a mental disability, or a person acting on </w:t>
      </w:r>
      <w:r>
        <w:rPr>
          <w:snapToGrid w:val="0"/>
        </w:rPr>
        <w:t>that person’s</w:t>
      </w:r>
      <w:r>
        <w:t xml:space="preserve">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No. 20 of 2002 s. 4; amended: No. 30 of 2021 s. 77(13).]</w:t>
      </w:r>
    </w:p>
    <w:p>
      <w:pPr>
        <w:pStyle w:val="Heading5"/>
      </w:pPr>
      <w:bookmarkStart w:id="1379" w:name="_Toc107476751"/>
      <w:bookmarkStart w:id="1380" w:name="_Toc106374285"/>
      <w:r>
        <w:rPr>
          <w:rStyle w:val="CharSectno"/>
        </w:rPr>
        <w:t>97XC</w:t>
      </w:r>
      <w:r>
        <w:t>.</w:t>
      </w:r>
      <w:r>
        <w:tab/>
        <w:t>Determination of appeal</w:t>
      </w:r>
      <w:bookmarkEnd w:id="1379"/>
      <w:bookmarkEnd w:id="1380"/>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No. 20 of 2002 s. 4.]</w:t>
      </w:r>
    </w:p>
    <w:p>
      <w:pPr>
        <w:pStyle w:val="Heading4"/>
      </w:pPr>
      <w:bookmarkStart w:id="1381" w:name="_Toc107322623"/>
      <w:bookmarkStart w:id="1382" w:name="_Toc107476752"/>
      <w:bookmarkStart w:id="1383" w:name="_Toc105760297"/>
      <w:bookmarkStart w:id="1384" w:name="_Toc106195612"/>
      <w:bookmarkStart w:id="1385" w:name="_Toc106367555"/>
      <w:bookmarkStart w:id="1386" w:name="_Toc106374286"/>
      <w:r>
        <w:t>Subdivision 3 — Functions of representative</w:t>
      </w:r>
      <w:bookmarkEnd w:id="1381"/>
      <w:bookmarkEnd w:id="1382"/>
      <w:bookmarkEnd w:id="1383"/>
      <w:bookmarkEnd w:id="1384"/>
      <w:bookmarkEnd w:id="1385"/>
      <w:bookmarkEnd w:id="1386"/>
    </w:p>
    <w:p>
      <w:pPr>
        <w:pStyle w:val="Footnoteheading"/>
        <w:keepNext/>
        <w:tabs>
          <w:tab w:val="left" w:pos="851"/>
        </w:tabs>
        <w:spacing w:before="100"/>
      </w:pPr>
      <w:r>
        <w:tab/>
        <w:t>[Heading inserted: No. 20 of 2002 s. 4.]</w:t>
      </w:r>
    </w:p>
    <w:p>
      <w:pPr>
        <w:pStyle w:val="Heading5"/>
      </w:pPr>
      <w:bookmarkStart w:id="1387" w:name="_Toc107476753"/>
      <w:bookmarkStart w:id="1388" w:name="_Toc106374287"/>
      <w:r>
        <w:rPr>
          <w:rStyle w:val="CharSectno"/>
        </w:rPr>
        <w:t>97XD</w:t>
      </w:r>
      <w:r>
        <w:t>.</w:t>
      </w:r>
      <w:r>
        <w:tab/>
        <w:t>Functions</w:t>
      </w:r>
      <w:bookmarkEnd w:id="1387"/>
      <w:bookmarkEnd w:id="1388"/>
    </w:p>
    <w:p>
      <w:pPr>
        <w:pStyle w:val="Subsection"/>
      </w:pPr>
      <w:r>
        <w:tab/>
        <w:t>(1)</w:t>
      </w:r>
      <w:r>
        <w:tab/>
        <w:t xml:space="preserve">In addition to </w:t>
      </w:r>
      <w:r>
        <w:rPr>
          <w:snapToGrid w:val="0"/>
        </w:rPr>
        <w:t>performing</w:t>
      </w:r>
      <w:r>
        <w:t xml:space="preserve">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No. 20 of 2002 s. 4; amended: No. 30 of 2021 s. 77(13).]</w:t>
      </w:r>
    </w:p>
    <w:p>
      <w:pPr>
        <w:pStyle w:val="Heading5"/>
      </w:pPr>
      <w:bookmarkStart w:id="1389" w:name="_Toc107476754"/>
      <w:bookmarkStart w:id="1390" w:name="_Toc106374288"/>
      <w:r>
        <w:rPr>
          <w:rStyle w:val="CharSectno"/>
        </w:rPr>
        <w:t>97XE</w:t>
      </w:r>
      <w:r>
        <w:t>.</w:t>
      </w:r>
      <w:r>
        <w:tab/>
        <w:t>Effect of acts of representative</w:t>
      </w:r>
      <w:bookmarkEnd w:id="1389"/>
      <w:bookmarkEnd w:id="1390"/>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No. 20 of 2002 s. 4.]</w:t>
      </w:r>
    </w:p>
    <w:p>
      <w:pPr>
        <w:pStyle w:val="Heading5"/>
      </w:pPr>
      <w:bookmarkStart w:id="1391" w:name="_Toc107476755"/>
      <w:bookmarkStart w:id="1392" w:name="_Toc106374289"/>
      <w:r>
        <w:rPr>
          <w:rStyle w:val="CharSectno"/>
        </w:rPr>
        <w:t>97XF</w:t>
      </w:r>
      <w:r>
        <w:t>.</w:t>
      </w:r>
      <w:r>
        <w:tab/>
        <w:t>Duties of representative</w:t>
      </w:r>
      <w:bookmarkEnd w:id="1391"/>
      <w:bookmarkEnd w:id="1392"/>
    </w:p>
    <w:p>
      <w:pPr>
        <w:pStyle w:val="Subsection"/>
      </w:pPr>
      <w:r>
        <w:tab/>
        <w:t>(1)</w:t>
      </w:r>
      <w:r>
        <w:tab/>
        <w:t xml:space="preserve">In performing the functions referred to in section 97XD a representative is to act according to </w:t>
      </w:r>
      <w:r>
        <w:rPr>
          <w:snapToGrid w:val="0"/>
        </w:rPr>
        <w:t>the representative’s</w:t>
      </w:r>
      <w:r>
        <w:t xml:space="preserve"> opinion of the best interests of the represented person.</w:t>
      </w:r>
    </w:p>
    <w:p>
      <w:pPr>
        <w:pStyle w:val="Subsection"/>
      </w:pPr>
      <w:r>
        <w:tab/>
        <w:t>(2)</w:t>
      </w:r>
      <w:r>
        <w:tab/>
        <w:t xml:space="preserve">Without limiting subsection (1), a representative acts in the best interests of the represented person if </w:t>
      </w:r>
      <w:r>
        <w:rPr>
          <w:snapToGrid w:val="0"/>
        </w:rPr>
        <w:t>the representative</w:t>
      </w:r>
      <w:r>
        <w:t xml:space="preserv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No. 20 of 2002 s. 4; amended: No. 30 of 2021 s. 77(13).]</w:t>
      </w:r>
    </w:p>
    <w:p>
      <w:pPr>
        <w:pStyle w:val="Heading4"/>
      </w:pPr>
      <w:bookmarkStart w:id="1393" w:name="_Toc107322627"/>
      <w:bookmarkStart w:id="1394" w:name="_Toc107476756"/>
      <w:bookmarkStart w:id="1395" w:name="_Toc105760301"/>
      <w:bookmarkStart w:id="1396" w:name="_Toc106195616"/>
      <w:bookmarkStart w:id="1397" w:name="_Toc106367559"/>
      <w:bookmarkStart w:id="1398" w:name="_Toc106374290"/>
      <w:r>
        <w:t>Subdivision 4 — Termination of representative’s authority to act</w:t>
      </w:r>
      <w:bookmarkEnd w:id="1393"/>
      <w:bookmarkEnd w:id="1394"/>
      <w:bookmarkEnd w:id="1395"/>
      <w:bookmarkEnd w:id="1396"/>
      <w:bookmarkEnd w:id="1397"/>
      <w:bookmarkEnd w:id="1398"/>
    </w:p>
    <w:p>
      <w:pPr>
        <w:pStyle w:val="Footnoteheading"/>
        <w:tabs>
          <w:tab w:val="left" w:pos="851"/>
        </w:tabs>
      </w:pPr>
      <w:r>
        <w:tab/>
        <w:t>[Heading inserted: No. 20 of 2002 s. 4.]</w:t>
      </w:r>
    </w:p>
    <w:p>
      <w:pPr>
        <w:pStyle w:val="Heading5"/>
      </w:pPr>
      <w:bookmarkStart w:id="1399" w:name="_Toc107476757"/>
      <w:bookmarkStart w:id="1400" w:name="_Toc106374291"/>
      <w:r>
        <w:rPr>
          <w:rStyle w:val="CharSectno"/>
        </w:rPr>
        <w:t>97XG</w:t>
      </w:r>
      <w:r>
        <w:t>.</w:t>
      </w:r>
      <w:r>
        <w:tab/>
        <w:t>Duration of order approving representative</w:t>
      </w:r>
      <w:bookmarkEnd w:id="1399"/>
      <w:bookmarkEnd w:id="1400"/>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No. 20 of 2002 s. 4.]</w:t>
      </w:r>
    </w:p>
    <w:p>
      <w:pPr>
        <w:pStyle w:val="Heading5"/>
        <w:spacing w:before="240"/>
      </w:pPr>
      <w:bookmarkStart w:id="1401" w:name="_Toc107476758"/>
      <w:bookmarkStart w:id="1402" w:name="_Toc106374292"/>
      <w:r>
        <w:rPr>
          <w:rStyle w:val="CharSectno"/>
        </w:rPr>
        <w:t>97XH</w:t>
      </w:r>
      <w:r>
        <w:t>.</w:t>
      </w:r>
      <w:r>
        <w:tab/>
        <w:t>Resignation of representative</w:t>
      </w:r>
      <w:bookmarkEnd w:id="1401"/>
      <w:bookmarkEnd w:id="1402"/>
    </w:p>
    <w:p>
      <w:pPr>
        <w:pStyle w:val="Subsection"/>
      </w:pPr>
      <w:r>
        <w:tab/>
        <w:t>(1)</w:t>
      </w:r>
      <w:r>
        <w:tab/>
        <w:t xml:space="preserve">A representative may give notice in writing to the Registrar </w:t>
      </w:r>
      <w:r>
        <w:rPr>
          <w:snapToGrid w:val="0"/>
        </w:rPr>
        <w:t>that the representative wishes</w:t>
      </w:r>
      <w:r>
        <w:t xml:space="preserve"> to resign from the position of representative.</w:t>
      </w:r>
    </w:p>
    <w:p>
      <w:pPr>
        <w:pStyle w:val="Subsection"/>
      </w:pPr>
      <w:r>
        <w:tab/>
        <w:t>(2)</w:t>
      </w:r>
      <w:r>
        <w:tab/>
        <w:t>Where notice is so given the Registrar must approve the resignation.</w:t>
      </w:r>
    </w:p>
    <w:p>
      <w:pPr>
        <w:pStyle w:val="Subsection"/>
        <w:keepNext/>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No. 20 of 2002 s. 4; amended: No. 30 of 2021 s. 77(13).]</w:t>
      </w:r>
    </w:p>
    <w:p>
      <w:pPr>
        <w:pStyle w:val="Heading5"/>
      </w:pPr>
      <w:bookmarkStart w:id="1403" w:name="_Toc107476759"/>
      <w:bookmarkStart w:id="1404" w:name="_Toc106374293"/>
      <w:r>
        <w:rPr>
          <w:rStyle w:val="CharSectno"/>
        </w:rPr>
        <w:t>97XI</w:t>
      </w:r>
      <w:r>
        <w:t>.</w:t>
      </w:r>
      <w:r>
        <w:tab/>
        <w:t>Revocation order, application to SAT for</w:t>
      </w:r>
      <w:bookmarkEnd w:id="1403"/>
      <w:bookmarkEnd w:id="1404"/>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 xml:space="preserve">the represented person or a person acting on </w:t>
      </w:r>
      <w:r>
        <w:rPr>
          <w:snapToGrid w:val="0"/>
        </w:rPr>
        <w:t>behalf of the represented person</w:t>
      </w:r>
      <w:r>
        <w:t>; or</w:t>
      </w:r>
    </w:p>
    <w:p>
      <w:pPr>
        <w:pStyle w:val="Indenta"/>
        <w:spacing w:before="60"/>
      </w:pPr>
      <w:r>
        <w:tab/>
        <w:t>(b)</w:t>
      </w:r>
      <w:r>
        <w:tab/>
        <w:t>any other person who satisfies the State Administrative Tribunal that the person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 xml:space="preserve">that it is for some other reason no longer in the interests of the represented person for the representative to act on </w:t>
      </w:r>
      <w:r>
        <w:rPr>
          <w:snapToGrid w:val="0"/>
        </w:rPr>
        <w:t>behalf of the represented person</w:t>
      </w:r>
      <w:r>
        <w:t>.</w:t>
      </w:r>
    </w:p>
    <w:p>
      <w:pPr>
        <w:pStyle w:val="Footnotesection"/>
        <w:spacing w:before="100"/>
        <w:ind w:left="890" w:hanging="890"/>
      </w:pPr>
      <w:r>
        <w:tab/>
        <w:t>[Section 97XI inserted: No. 20 of 2002 s. 4; amended: No. 55 of 2004 s. 469(5) and (10); No. 30 of 2021 s. 77(8) and (13).]</w:t>
      </w:r>
    </w:p>
    <w:p>
      <w:pPr>
        <w:pStyle w:val="Heading5"/>
        <w:spacing w:before="240"/>
      </w:pPr>
      <w:bookmarkStart w:id="1405" w:name="_Toc107476760"/>
      <w:bookmarkStart w:id="1406" w:name="_Toc106374294"/>
      <w:r>
        <w:rPr>
          <w:rStyle w:val="CharSectno"/>
        </w:rPr>
        <w:t>97XJ</w:t>
      </w:r>
      <w:r>
        <w:t>.</w:t>
      </w:r>
      <w:r>
        <w:tab/>
        <w:t>Right to be heard on s. 97XI application</w:t>
      </w:r>
      <w:bookmarkEnd w:id="1405"/>
      <w:bookmarkEnd w:id="1406"/>
    </w:p>
    <w:p>
      <w:pPr>
        <w:pStyle w:val="Subsection"/>
      </w:pPr>
      <w:r>
        <w:tab/>
        <w:t>(1)</w:t>
      </w:r>
      <w:r>
        <w:tab/>
        <w:t>The representative must be given a reasonable opportunity to be heard on an application for a revocation order.</w:t>
      </w:r>
    </w:p>
    <w:p>
      <w:pPr>
        <w:pStyle w:val="Subsection"/>
      </w:pPr>
      <w:r>
        <w:tab/>
        <w:t>(2)</w:t>
      </w:r>
      <w:r>
        <w:tab/>
        <w:t xml:space="preserve">The represented person, or another person acting on </w:t>
      </w:r>
      <w:r>
        <w:rPr>
          <w:snapToGrid w:val="0"/>
        </w:rPr>
        <w:t>the represented person’s</w:t>
      </w:r>
      <w:r>
        <w:t xml:space="preserve"> behalf, must be given a reasonable opportunity to be heard if an application for a revocation order is made other than by or on behalf of the represented person.</w:t>
      </w:r>
    </w:p>
    <w:p>
      <w:pPr>
        <w:pStyle w:val="Footnotesection"/>
      </w:pPr>
      <w:r>
        <w:tab/>
        <w:t>[Section 97XJ inserted: No. 20 of 2002 s. 4; amended: No. 30 of 2021 s. 77(13).]</w:t>
      </w:r>
    </w:p>
    <w:p>
      <w:pPr>
        <w:pStyle w:val="Heading5"/>
      </w:pPr>
      <w:bookmarkStart w:id="1407" w:name="_Toc107476761"/>
      <w:bookmarkStart w:id="1408" w:name="_Toc106374295"/>
      <w:r>
        <w:rPr>
          <w:rStyle w:val="CharSectno"/>
        </w:rPr>
        <w:t>97XK</w:t>
      </w:r>
      <w:r>
        <w:t>.</w:t>
      </w:r>
      <w:r>
        <w:tab/>
        <w:t>SAT may make revocation order</w:t>
      </w:r>
      <w:bookmarkEnd w:id="1407"/>
      <w:bookmarkEnd w:id="1408"/>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 xml:space="preserve">it is for some other reason no longer in the interests of the represented person for the representative to act on </w:t>
      </w:r>
      <w:r>
        <w:rPr>
          <w:snapToGrid w:val="0"/>
        </w:rPr>
        <w:t>behalf of the represented person</w:t>
      </w:r>
      <w:r>
        <w:t>.</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No. 20 of 2002 s. 4; amended: No. 55 of 2004 s. 469(10); No. 30 of 2021 s. 77(13).]</w:t>
      </w:r>
    </w:p>
    <w:p>
      <w:pPr>
        <w:pStyle w:val="Heading5"/>
      </w:pPr>
      <w:bookmarkStart w:id="1409" w:name="_Toc107476762"/>
      <w:bookmarkStart w:id="1410" w:name="_Toc106374296"/>
      <w:r>
        <w:rPr>
          <w:rStyle w:val="CharSectno"/>
        </w:rPr>
        <w:t>97XL</w:t>
      </w:r>
      <w:r>
        <w:t>.</w:t>
      </w:r>
      <w:r>
        <w:tab/>
      </w:r>
      <w:r>
        <w:rPr>
          <w:i/>
        </w:rPr>
        <w:t>Guardianship and Administration Act 1990</w:t>
      </w:r>
      <w:r>
        <w:t>, application of for s. 97XK</w:t>
      </w:r>
      <w:bookmarkEnd w:id="1409"/>
      <w:bookmarkEnd w:id="1410"/>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No. 20 of 2002 s. 4; amended: No. 55 of 2004 s. 469(6), (7) and (10).]</w:t>
      </w:r>
    </w:p>
    <w:p>
      <w:pPr>
        <w:pStyle w:val="Heading4"/>
      </w:pPr>
      <w:bookmarkStart w:id="1411" w:name="_Toc107322634"/>
      <w:bookmarkStart w:id="1412" w:name="_Toc107476763"/>
      <w:bookmarkStart w:id="1413" w:name="_Toc105760308"/>
      <w:bookmarkStart w:id="1414" w:name="_Toc106195623"/>
      <w:bookmarkStart w:id="1415" w:name="_Toc106367566"/>
      <w:bookmarkStart w:id="1416" w:name="_Toc106374297"/>
      <w:r>
        <w:t>Subdivision 5 — Approval of new representative</w:t>
      </w:r>
      <w:bookmarkEnd w:id="1411"/>
      <w:bookmarkEnd w:id="1412"/>
      <w:bookmarkEnd w:id="1413"/>
      <w:bookmarkEnd w:id="1414"/>
      <w:bookmarkEnd w:id="1415"/>
      <w:bookmarkEnd w:id="1416"/>
    </w:p>
    <w:p>
      <w:pPr>
        <w:pStyle w:val="Footnoteheading"/>
        <w:tabs>
          <w:tab w:val="left" w:pos="851"/>
        </w:tabs>
      </w:pPr>
      <w:r>
        <w:tab/>
        <w:t>[Heading inserted: No. 20 of 2002 s. 4.]</w:t>
      </w:r>
    </w:p>
    <w:p>
      <w:pPr>
        <w:pStyle w:val="Heading5"/>
      </w:pPr>
      <w:bookmarkStart w:id="1417" w:name="_Toc107476764"/>
      <w:bookmarkStart w:id="1418" w:name="_Toc106374298"/>
      <w:r>
        <w:rPr>
          <w:rStyle w:val="CharSectno"/>
        </w:rPr>
        <w:t>97XM</w:t>
      </w:r>
      <w:r>
        <w:t>.</w:t>
      </w:r>
      <w:r>
        <w:tab/>
        <w:t>Application for new approval where representative dies or approval is revoked</w:t>
      </w:r>
      <w:bookmarkEnd w:id="1417"/>
      <w:bookmarkEnd w:id="1418"/>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No. 20 of 2002 s. 4; amended: No. 30 of 2021 s. 77(13).]</w:t>
      </w:r>
    </w:p>
    <w:p>
      <w:pPr>
        <w:pStyle w:val="Heading5"/>
      </w:pPr>
      <w:bookmarkStart w:id="1419" w:name="_Toc107476765"/>
      <w:bookmarkStart w:id="1420" w:name="_Toc106374299"/>
      <w:r>
        <w:rPr>
          <w:rStyle w:val="CharSectno"/>
        </w:rPr>
        <w:t>97XN</w:t>
      </w:r>
      <w:r>
        <w:t>.</w:t>
      </w:r>
      <w:r>
        <w:tab/>
        <w:t>Approval of representative</w:t>
      </w:r>
      <w:bookmarkEnd w:id="1419"/>
      <w:bookmarkEnd w:id="1420"/>
    </w:p>
    <w:p>
      <w:pPr>
        <w:pStyle w:val="Subsection"/>
        <w:spacing w:before="180"/>
      </w:pPr>
      <w:r>
        <w:tab/>
        <w:t>(1)</w:t>
      </w:r>
      <w:r>
        <w:tab/>
        <w:t>Where an application is made under section 97XM, the Registrar must make an order approving the proposed representative if the Registrar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 xml:space="preserve">the represented person, the applicant (if </w:t>
      </w:r>
      <w:r>
        <w:rPr>
          <w:snapToGrid w:val="0"/>
        </w:rPr>
        <w:t>the applicant</w:t>
      </w:r>
      <w:r>
        <w:t xml:space="preserve"> was not the represented person) and the representative; and</w:t>
      </w:r>
    </w:p>
    <w:p>
      <w:pPr>
        <w:pStyle w:val="Indenta"/>
      </w:pPr>
      <w:r>
        <w:tab/>
        <w:t>(b)</w:t>
      </w:r>
      <w:r>
        <w:tab/>
        <w:t>the Public Advocate.</w:t>
      </w:r>
    </w:p>
    <w:p>
      <w:pPr>
        <w:pStyle w:val="Footnotesection"/>
      </w:pPr>
      <w:r>
        <w:tab/>
        <w:t>[Section 97XN inserted: No. 20 of 2002 s. 4; amended: No. 55 of 2004 s. 469(8); No. 30 of 2021 s. 77(12) and (13).]</w:t>
      </w:r>
    </w:p>
    <w:p>
      <w:pPr>
        <w:pStyle w:val="Heading5"/>
      </w:pPr>
      <w:bookmarkStart w:id="1421" w:name="_Toc107476766"/>
      <w:bookmarkStart w:id="1422" w:name="_Toc106374300"/>
      <w:r>
        <w:rPr>
          <w:rStyle w:val="CharSectno"/>
        </w:rPr>
        <w:t>97XO</w:t>
      </w:r>
      <w:r>
        <w:t>.</w:t>
      </w:r>
      <w:r>
        <w:tab/>
        <w:t>Effect of s. 97XN order</w:t>
      </w:r>
      <w:bookmarkEnd w:id="1421"/>
      <w:bookmarkEnd w:id="1422"/>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No. 20 of 2002 s. 4.]</w:t>
      </w:r>
    </w:p>
    <w:p>
      <w:pPr>
        <w:pStyle w:val="Heading5"/>
      </w:pPr>
      <w:bookmarkStart w:id="1423" w:name="_Toc107476767"/>
      <w:bookmarkStart w:id="1424" w:name="_Toc106374301"/>
      <w:r>
        <w:rPr>
          <w:rStyle w:val="CharSectno"/>
        </w:rPr>
        <w:t>97XP</w:t>
      </w:r>
      <w:r>
        <w:t>.</w:t>
      </w:r>
      <w:r>
        <w:tab/>
        <w:t>Refusal of approval</w:t>
      </w:r>
      <w:bookmarkEnd w:id="1423"/>
      <w:bookmarkEnd w:id="1424"/>
    </w:p>
    <w:p>
      <w:pPr>
        <w:pStyle w:val="Subsection"/>
        <w:keepNext/>
        <w:keepLines/>
      </w:pPr>
      <w:r>
        <w:tab/>
      </w:r>
      <w:r>
        <w:tab/>
        <w:t>If the Registrar is not satisfied as mentioned in section 97XN(1) the Registrar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No. 20 of 2002 s. 4; amended: No. 30 of 2021 s. 77(12).]</w:t>
      </w:r>
    </w:p>
    <w:p>
      <w:pPr>
        <w:pStyle w:val="Heading5"/>
      </w:pPr>
      <w:bookmarkStart w:id="1425" w:name="_Toc107476768"/>
      <w:bookmarkStart w:id="1426" w:name="_Toc106374302"/>
      <w:r>
        <w:rPr>
          <w:rStyle w:val="CharSectno"/>
        </w:rPr>
        <w:t>97XQ</w:t>
      </w:r>
      <w:r>
        <w:t>.</w:t>
      </w:r>
      <w:r>
        <w:tab/>
        <w:t>Appeal against refusal of approval</w:t>
      </w:r>
      <w:bookmarkEnd w:id="1425"/>
      <w:bookmarkEnd w:id="1426"/>
    </w:p>
    <w:p>
      <w:pPr>
        <w:pStyle w:val="Subsection"/>
        <w:keepNext/>
      </w:pPr>
      <w:r>
        <w:tab/>
      </w:r>
      <w:r>
        <w:tab/>
        <w:t>Sections 97XB and 97XC apply where the Registrar refuses to make an order under section 97XN in the same way as they apply to a refusal of approval under section 97XA.</w:t>
      </w:r>
    </w:p>
    <w:p>
      <w:pPr>
        <w:pStyle w:val="Footnotesection"/>
      </w:pPr>
      <w:r>
        <w:tab/>
        <w:t>[Section 97XQ inserted: No. 20 of 2002 s. 4.]</w:t>
      </w:r>
    </w:p>
    <w:p>
      <w:pPr>
        <w:pStyle w:val="Heading4"/>
      </w:pPr>
      <w:bookmarkStart w:id="1427" w:name="_Toc107322640"/>
      <w:bookmarkStart w:id="1428" w:name="_Toc107476769"/>
      <w:bookmarkStart w:id="1429" w:name="_Toc105760314"/>
      <w:bookmarkStart w:id="1430" w:name="_Toc106195629"/>
      <w:bookmarkStart w:id="1431" w:name="_Toc106367572"/>
      <w:bookmarkStart w:id="1432" w:name="_Toc106374303"/>
      <w:r>
        <w:t>Subdivision 6 — Miscellaneous</w:t>
      </w:r>
      <w:bookmarkEnd w:id="1427"/>
      <w:bookmarkEnd w:id="1428"/>
      <w:bookmarkEnd w:id="1429"/>
      <w:bookmarkEnd w:id="1430"/>
      <w:bookmarkEnd w:id="1431"/>
      <w:bookmarkEnd w:id="1432"/>
    </w:p>
    <w:p>
      <w:pPr>
        <w:pStyle w:val="Footnoteheading"/>
        <w:keepNext/>
        <w:tabs>
          <w:tab w:val="left" w:pos="851"/>
        </w:tabs>
      </w:pPr>
      <w:r>
        <w:tab/>
        <w:t>[Heading inserted: No. 20 of 2002 s. 4.]</w:t>
      </w:r>
    </w:p>
    <w:p>
      <w:pPr>
        <w:pStyle w:val="Heading5"/>
      </w:pPr>
      <w:bookmarkStart w:id="1433" w:name="_Toc107476770"/>
      <w:bookmarkStart w:id="1434" w:name="_Toc106374304"/>
      <w:r>
        <w:rPr>
          <w:rStyle w:val="CharSectno"/>
        </w:rPr>
        <w:t>97XR</w:t>
      </w:r>
      <w:r>
        <w:t>.</w:t>
      </w:r>
      <w:r>
        <w:tab/>
        <w:t>Registrar’s powers for s. 97WV and 97XM</w:t>
      </w:r>
      <w:bookmarkEnd w:id="1433"/>
      <w:bookmarkEnd w:id="1434"/>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No. 20 of 2002 s. 4.]</w:t>
      </w:r>
    </w:p>
    <w:p>
      <w:pPr>
        <w:pStyle w:val="Heading5"/>
      </w:pPr>
      <w:bookmarkStart w:id="1435" w:name="_Toc107476771"/>
      <w:bookmarkStart w:id="1436" w:name="_Toc106374305"/>
      <w:r>
        <w:rPr>
          <w:rStyle w:val="CharSectno"/>
        </w:rPr>
        <w:t>97XS</w:t>
      </w:r>
      <w:r>
        <w:t>.</w:t>
      </w:r>
      <w:r>
        <w:tab/>
        <w:t>EEA not affected by revocation of order or vacancy in position of representative</w:t>
      </w:r>
      <w:bookmarkEnd w:id="1435"/>
      <w:bookmarkEnd w:id="1436"/>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No. 20 of 2002 s. 4.]</w:t>
      </w:r>
    </w:p>
    <w:p>
      <w:pPr>
        <w:pStyle w:val="Heading5"/>
      </w:pPr>
      <w:bookmarkStart w:id="1437" w:name="_Toc107476772"/>
      <w:bookmarkStart w:id="1438" w:name="_Toc106374306"/>
      <w:r>
        <w:rPr>
          <w:rStyle w:val="CharSectno"/>
        </w:rPr>
        <w:t>97XT</w:t>
      </w:r>
      <w:r>
        <w:t>.</w:t>
      </w:r>
      <w:r>
        <w:tab/>
        <w:t>Register of s. 97WZ and 97XN orders</w:t>
      </w:r>
      <w:bookmarkEnd w:id="1437"/>
      <w:bookmarkEnd w:id="1438"/>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No. 20 of 2002 s. 4.]</w:t>
      </w:r>
    </w:p>
    <w:p>
      <w:pPr>
        <w:pStyle w:val="Heading5"/>
      </w:pPr>
      <w:bookmarkStart w:id="1439" w:name="_Toc107476773"/>
      <w:bookmarkStart w:id="1440" w:name="_Toc106374307"/>
      <w:r>
        <w:rPr>
          <w:rStyle w:val="CharSectno"/>
        </w:rPr>
        <w:t>97XU</w:t>
      </w:r>
      <w:r>
        <w:t>.</w:t>
      </w:r>
      <w:r>
        <w:tab/>
        <w:t>Certified copies of registered entry</w:t>
      </w:r>
      <w:bookmarkEnd w:id="1439"/>
      <w:bookmarkEnd w:id="1440"/>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No. 20 of 2002 s. 4.]</w:t>
      </w:r>
    </w:p>
    <w:p>
      <w:pPr>
        <w:pStyle w:val="Heading5"/>
      </w:pPr>
      <w:bookmarkStart w:id="1441" w:name="_Toc107476774"/>
      <w:bookmarkStart w:id="1442" w:name="_Toc106374308"/>
      <w:r>
        <w:rPr>
          <w:rStyle w:val="CharSectno"/>
        </w:rPr>
        <w:t>97XV</w:t>
      </w:r>
      <w:r>
        <w:t>.</w:t>
      </w:r>
      <w:r>
        <w:tab/>
        <w:t>Information obtained under this Division not to be disclosed</w:t>
      </w:r>
      <w:bookmarkEnd w:id="1441"/>
      <w:bookmarkEnd w:id="1442"/>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for this subsection: a fine of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No. 20 of 2002 s. 4; amended: No. 30 of 2021 s. 72(1).]</w:t>
      </w:r>
    </w:p>
    <w:p>
      <w:pPr>
        <w:pStyle w:val="Heading5"/>
      </w:pPr>
      <w:bookmarkStart w:id="1443" w:name="_Toc107476775"/>
      <w:bookmarkStart w:id="1444" w:name="_Toc106374309"/>
      <w:r>
        <w:rPr>
          <w:rStyle w:val="CharSectno"/>
        </w:rPr>
        <w:t>97XW</w:t>
      </w:r>
      <w:r>
        <w:t>.</w:t>
      </w:r>
      <w:r>
        <w:tab/>
        <w:t>Procedure in proceedings under this Division</w:t>
      </w:r>
      <w:bookmarkEnd w:id="1443"/>
      <w:bookmarkEnd w:id="1444"/>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No. 20 of 2002 s. 4.]</w:t>
      </w:r>
    </w:p>
    <w:p>
      <w:pPr>
        <w:pStyle w:val="Heading3"/>
      </w:pPr>
      <w:bookmarkStart w:id="1445" w:name="_Toc107322647"/>
      <w:bookmarkStart w:id="1446" w:name="_Toc107476776"/>
      <w:bookmarkStart w:id="1447" w:name="_Toc105760321"/>
      <w:bookmarkStart w:id="1448" w:name="_Toc106195636"/>
      <w:bookmarkStart w:id="1449" w:name="_Toc106367579"/>
      <w:bookmarkStart w:id="1450" w:name="_Toc106374310"/>
      <w:r>
        <w:rPr>
          <w:rStyle w:val="CharDivNo"/>
        </w:rPr>
        <w:t>Division 10</w:t>
      </w:r>
      <w:r>
        <w:t> — </w:t>
      </w:r>
      <w:r>
        <w:rPr>
          <w:rStyle w:val="CharDivText"/>
        </w:rPr>
        <w:t>Certain conduct prohibited</w:t>
      </w:r>
      <w:bookmarkEnd w:id="1445"/>
      <w:bookmarkEnd w:id="1446"/>
      <w:bookmarkEnd w:id="1447"/>
      <w:bookmarkEnd w:id="1448"/>
      <w:bookmarkEnd w:id="1449"/>
      <w:bookmarkEnd w:id="1450"/>
    </w:p>
    <w:p>
      <w:pPr>
        <w:pStyle w:val="Footnoteheading"/>
        <w:keepNext/>
        <w:tabs>
          <w:tab w:val="left" w:pos="851"/>
        </w:tabs>
      </w:pPr>
      <w:r>
        <w:tab/>
        <w:t>[Heading inserted: No. 20 of 2002 s. 4.]</w:t>
      </w:r>
    </w:p>
    <w:p>
      <w:pPr>
        <w:pStyle w:val="Heading5"/>
      </w:pPr>
      <w:bookmarkStart w:id="1451" w:name="_Toc107476777"/>
      <w:bookmarkStart w:id="1452" w:name="_Toc106374311"/>
      <w:r>
        <w:rPr>
          <w:rStyle w:val="CharSectno"/>
        </w:rPr>
        <w:t>97XX</w:t>
      </w:r>
      <w:r>
        <w:t>.</w:t>
      </w:r>
      <w:r>
        <w:tab/>
        <w:t>Purpose of this Division</w:t>
      </w:r>
      <w:bookmarkEnd w:id="1451"/>
      <w:bookmarkEnd w:id="1452"/>
    </w:p>
    <w:p>
      <w:pPr>
        <w:pStyle w:val="Subsection"/>
        <w:keepNext/>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No. 20 of 2002 s. 4.]</w:t>
      </w:r>
    </w:p>
    <w:p>
      <w:pPr>
        <w:pStyle w:val="Heading5"/>
        <w:spacing w:before="240"/>
      </w:pPr>
      <w:bookmarkStart w:id="1453" w:name="_Toc107476778"/>
      <w:bookmarkStart w:id="1454" w:name="_Toc106374312"/>
      <w:r>
        <w:rPr>
          <w:rStyle w:val="CharSectno"/>
        </w:rPr>
        <w:t>97XY</w:t>
      </w:r>
      <w:r>
        <w:t>.</w:t>
      </w:r>
      <w:r>
        <w:tab/>
        <w:t>Enforcing prohibitions in this Division</w:t>
      </w:r>
      <w:bookmarkEnd w:id="1453"/>
      <w:bookmarkEnd w:id="1454"/>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No. 20 of 2002 s. 4.]</w:t>
      </w:r>
    </w:p>
    <w:p>
      <w:pPr>
        <w:pStyle w:val="Heading5"/>
        <w:spacing w:before="180"/>
      </w:pPr>
      <w:bookmarkStart w:id="1455" w:name="_Toc107476779"/>
      <w:bookmarkStart w:id="1456" w:name="_Toc106374313"/>
      <w:r>
        <w:rPr>
          <w:rStyle w:val="CharSectno"/>
        </w:rPr>
        <w:t>97XZ</w:t>
      </w:r>
      <w:r>
        <w:t>.</w:t>
      </w:r>
      <w:r>
        <w:tab/>
        <w:t>Making employment etc. conditional on EEA being entered into prohibited</w:t>
      </w:r>
      <w:bookmarkEnd w:id="1455"/>
      <w:bookmarkEnd w:id="1456"/>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the person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No. 20 of 2002 s. 4; amended: No. 30 of 2021 s. 77(8).]</w:t>
      </w:r>
    </w:p>
    <w:p>
      <w:pPr>
        <w:pStyle w:val="Heading5"/>
        <w:keepLines w:val="0"/>
      </w:pPr>
      <w:bookmarkStart w:id="1457" w:name="_Toc107476780"/>
      <w:bookmarkStart w:id="1458" w:name="_Toc106374314"/>
      <w:r>
        <w:rPr>
          <w:rStyle w:val="CharSectno"/>
        </w:rPr>
        <w:t>97Y</w:t>
      </w:r>
      <w:r>
        <w:t>.</w:t>
      </w:r>
      <w:r>
        <w:tab/>
        <w:t>Certain advertising prohibited</w:t>
      </w:r>
      <w:bookmarkEnd w:id="1457"/>
      <w:bookmarkEnd w:id="1458"/>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No. 20 of 2002 s. 4.]</w:t>
      </w:r>
    </w:p>
    <w:p>
      <w:pPr>
        <w:pStyle w:val="Heading5"/>
      </w:pPr>
      <w:bookmarkStart w:id="1459" w:name="_Toc107476781"/>
      <w:bookmarkStart w:id="1460" w:name="_Toc106374315"/>
      <w:r>
        <w:rPr>
          <w:rStyle w:val="CharSectno"/>
        </w:rPr>
        <w:t>97YA</w:t>
      </w:r>
      <w:r>
        <w:t>.</w:t>
      </w:r>
      <w:r>
        <w:tab/>
        <w:t>Exception to s. 97XZ and 97YB</w:t>
      </w:r>
      <w:bookmarkEnd w:id="1459"/>
      <w:bookmarkEnd w:id="1460"/>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a SWIIP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No. 20 of 2002 s. 4; amended: No. 50 of 2016 s. 11; No. 30 of 2021 s. 64.]</w:t>
      </w:r>
    </w:p>
    <w:p>
      <w:pPr>
        <w:pStyle w:val="Heading5"/>
        <w:spacing w:before="240"/>
      </w:pPr>
      <w:bookmarkStart w:id="1461" w:name="_Toc107476782"/>
      <w:bookmarkStart w:id="1462" w:name="_Toc106374316"/>
      <w:r>
        <w:rPr>
          <w:rStyle w:val="CharSectno"/>
        </w:rPr>
        <w:t>97YB</w:t>
      </w:r>
      <w:r>
        <w:t>.</w:t>
      </w:r>
      <w:r>
        <w:tab/>
        <w:t>Employer offering EEA to also offer other employment arrangements</w:t>
      </w:r>
      <w:bookmarkEnd w:id="1461"/>
      <w:bookmarkEnd w:id="1462"/>
    </w:p>
    <w:p>
      <w:pPr>
        <w:pStyle w:val="Subsection"/>
        <w:keepNext/>
      </w:pPr>
      <w:r>
        <w:tab/>
        <w:t>(1)</w:t>
      </w:r>
      <w:r>
        <w:tab/>
        <w:t>This section applies where —</w:t>
      </w:r>
    </w:p>
    <w:p>
      <w:pPr>
        <w:pStyle w:val="Indenta"/>
        <w:keepNext/>
      </w:pPr>
      <w:r>
        <w:tab/>
        <w:t>(a)</w:t>
      </w:r>
      <w:r>
        <w:tab/>
        <w:t>a person offers —</w:t>
      </w:r>
    </w:p>
    <w:p>
      <w:pPr>
        <w:pStyle w:val="Indenti"/>
        <w:keepNext/>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No. 20 of 2002 s. 4.]</w:t>
      </w:r>
    </w:p>
    <w:p>
      <w:pPr>
        <w:pStyle w:val="Heading5"/>
      </w:pPr>
      <w:bookmarkStart w:id="1463" w:name="_Toc107476783"/>
      <w:bookmarkStart w:id="1464" w:name="_Toc106374317"/>
      <w:r>
        <w:rPr>
          <w:rStyle w:val="CharSectno"/>
        </w:rPr>
        <w:t>97YC</w:t>
      </w:r>
      <w:r>
        <w:t>.</w:t>
      </w:r>
      <w:r>
        <w:tab/>
        <w:t>Order for compliance with s. 97YB</w:t>
      </w:r>
      <w:bookmarkEnd w:id="1463"/>
      <w:bookmarkEnd w:id="1464"/>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the person under this section.</w:t>
      </w:r>
    </w:p>
    <w:p>
      <w:pPr>
        <w:pStyle w:val="Penstart"/>
      </w:pPr>
      <w:r>
        <w:tab/>
        <w:t>Penalty for this subsection:</w:t>
      </w:r>
    </w:p>
    <w:p>
      <w:pPr>
        <w:pStyle w:val="Penpara"/>
      </w:pPr>
      <w:r>
        <w:tab/>
        <w:t>(a)</w:t>
      </w:r>
      <w:r>
        <w:tab/>
        <w:t>a fine of $5 000;</w:t>
      </w:r>
    </w:p>
    <w:p>
      <w:pPr>
        <w:pStyle w:val="Penpara"/>
      </w:pPr>
      <w:r>
        <w:tab/>
        <w:t>(b)</w:t>
      </w:r>
      <w:r>
        <w:tab/>
        <w:t>a daily penalty of a fine of $500 for each day or part of a day during which the offence continues.</w:t>
      </w:r>
    </w:p>
    <w:p>
      <w:pPr>
        <w:pStyle w:val="Footnotesection"/>
      </w:pPr>
      <w:r>
        <w:tab/>
        <w:t>[Section 97YC inserted: No. 20 of 2002 s. 4; amended: No. 30 of 2021 s. 72(8) and 77(11).]</w:t>
      </w:r>
    </w:p>
    <w:p>
      <w:pPr>
        <w:pStyle w:val="Heading5"/>
        <w:spacing w:before="180"/>
      </w:pPr>
      <w:bookmarkStart w:id="1465" w:name="_Toc107476784"/>
      <w:bookmarkStart w:id="1466" w:name="_Toc106374318"/>
      <w:r>
        <w:rPr>
          <w:rStyle w:val="CharSectno"/>
        </w:rPr>
        <w:t>97YD</w:t>
      </w:r>
      <w:r>
        <w:t>.</w:t>
      </w:r>
      <w:r>
        <w:tab/>
        <w:t>Threats and intimidation as to EEA prohibited</w:t>
      </w:r>
      <w:bookmarkEnd w:id="1465"/>
      <w:bookmarkEnd w:id="1466"/>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No. 20 of 2002 s. 4.]</w:t>
      </w:r>
    </w:p>
    <w:p>
      <w:pPr>
        <w:pStyle w:val="Heading5"/>
        <w:spacing w:before="240"/>
      </w:pPr>
      <w:bookmarkStart w:id="1467" w:name="_Toc107476785"/>
      <w:bookmarkStart w:id="1468" w:name="_Toc106374319"/>
      <w:r>
        <w:rPr>
          <w:rStyle w:val="CharSectno"/>
        </w:rPr>
        <w:t>97YE</w:t>
      </w:r>
      <w:r>
        <w:t>.</w:t>
      </w:r>
      <w:r>
        <w:tab/>
        <w:t>Misinformation prohibited</w:t>
      </w:r>
      <w:bookmarkEnd w:id="1467"/>
      <w:bookmarkEnd w:id="1468"/>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No. 20 of 2002 s. 4.]</w:t>
      </w:r>
    </w:p>
    <w:p>
      <w:pPr>
        <w:pStyle w:val="Heading5"/>
      </w:pPr>
      <w:bookmarkStart w:id="1469" w:name="_Toc107476786"/>
      <w:bookmarkStart w:id="1470" w:name="_Toc106374320"/>
      <w:r>
        <w:rPr>
          <w:rStyle w:val="CharSectno"/>
        </w:rPr>
        <w:t>97YF</w:t>
      </w:r>
      <w:r>
        <w:t>.</w:t>
      </w:r>
      <w:r>
        <w:tab/>
        <w:t>Dismissal etc. because of refusal to make or cancel EEA prohibited</w:t>
      </w:r>
      <w:bookmarkEnd w:id="1469"/>
      <w:bookmarkEnd w:id="1470"/>
    </w:p>
    <w:p>
      <w:pPr>
        <w:pStyle w:val="Subsection"/>
      </w:pPr>
      <w:r>
        <w:tab/>
      </w:r>
      <w:r>
        <w:tab/>
        <w:t>An employer must not —</w:t>
      </w:r>
    </w:p>
    <w:p>
      <w:pPr>
        <w:pStyle w:val="Indenta"/>
      </w:pPr>
      <w:r>
        <w:tab/>
        <w:t>(a)</w:t>
      </w:r>
      <w:r>
        <w:tab/>
        <w:t>dismiss an employee; or</w:t>
      </w:r>
    </w:p>
    <w:p>
      <w:pPr>
        <w:pStyle w:val="Indenta"/>
      </w:pPr>
      <w:r>
        <w:tab/>
        <w:t>(b)</w:t>
      </w:r>
      <w:r>
        <w:tab/>
        <w:t>alter an employee’s position to the employee’s disadvantage; or</w:t>
      </w:r>
    </w:p>
    <w:p>
      <w:pPr>
        <w:pStyle w:val="Indenta"/>
      </w:pPr>
      <w:r>
        <w:tab/>
        <w:t>(c)</w:t>
      </w:r>
      <w:r>
        <w:tab/>
        <w:t>refuse to promote or transfer an employee; or</w:t>
      </w:r>
    </w:p>
    <w:p>
      <w:pPr>
        <w:pStyle w:val="Indenta"/>
        <w:keepNext/>
      </w:pPr>
      <w:r>
        <w:tab/>
        <w:t>(d)</w:t>
      </w:r>
      <w:r>
        <w:tab/>
        <w:t>otherwise injure an employee in relation to the employee’s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No. 20 of 2002 s. 4; amended: No. 30 of 2021 s. 77(7).]</w:t>
      </w:r>
    </w:p>
    <w:p>
      <w:pPr>
        <w:pStyle w:val="Heading5"/>
      </w:pPr>
      <w:bookmarkStart w:id="1471" w:name="_Toc107476787"/>
      <w:bookmarkStart w:id="1472" w:name="_Toc106374321"/>
      <w:r>
        <w:rPr>
          <w:rStyle w:val="CharSectno"/>
        </w:rPr>
        <w:t>97YG</w:t>
      </w:r>
      <w:r>
        <w:t>.</w:t>
      </w:r>
      <w:r>
        <w:tab/>
        <w:t>Breach of s. 97YF, court orders that may be made for</w:t>
      </w:r>
      <w:bookmarkEnd w:id="1471"/>
      <w:bookmarkEnd w:id="1472"/>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the person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keepNext/>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the person under this section.</w:t>
      </w:r>
    </w:p>
    <w:p>
      <w:pPr>
        <w:pStyle w:val="Penstart"/>
      </w:pPr>
      <w:r>
        <w:tab/>
        <w:t>Penalty for this subsection:</w:t>
      </w:r>
    </w:p>
    <w:p>
      <w:pPr>
        <w:pStyle w:val="Penpara"/>
      </w:pPr>
      <w:r>
        <w:tab/>
        <w:t>(a)</w:t>
      </w:r>
      <w:r>
        <w:tab/>
        <w:t>a fine of $5 000;</w:t>
      </w:r>
    </w:p>
    <w:p>
      <w:pPr>
        <w:pStyle w:val="Penpara"/>
      </w:pPr>
      <w:r>
        <w:tab/>
        <w:t>(b)</w:t>
      </w:r>
      <w:r>
        <w:tab/>
        <w:t>a daily penalty of a fine of $500 for each day or part of a day during which the offence continues.</w:t>
      </w:r>
    </w:p>
    <w:p>
      <w:pPr>
        <w:pStyle w:val="Footnotesection"/>
      </w:pPr>
      <w:r>
        <w:tab/>
        <w:t>[Section 97YG inserted: No. 20 of 2002 s. 4; amended: No. 30 of 2021 s. 72(9) and 77(8) and (11).]</w:t>
      </w:r>
    </w:p>
    <w:p>
      <w:pPr>
        <w:pStyle w:val="Heading5"/>
      </w:pPr>
      <w:bookmarkStart w:id="1473" w:name="_Toc107476788"/>
      <w:bookmarkStart w:id="1474" w:name="_Toc106374322"/>
      <w:r>
        <w:rPr>
          <w:rStyle w:val="CharSectno"/>
        </w:rPr>
        <w:t>97YH</w:t>
      </w:r>
      <w:r>
        <w:t>.</w:t>
      </w:r>
      <w:r>
        <w:tab/>
        <w:t>Burden of proof in s. 97YF proceedings</w:t>
      </w:r>
      <w:bookmarkEnd w:id="1473"/>
      <w:bookmarkEnd w:id="1474"/>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 xml:space="preserve">it is for the employer to prove that </w:t>
      </w:r>
      <w:r>
        <w:rPr>
          <w:snapToGrid w:val="0"/>
        </w:rPr>
        <w:t>the employer</w:t>
      </w:r>
      <w:r>
        <w:t xml:space="preserve"> took that course of action for some reason other than because the employee or representative refused to enter into any EEA or cancellation agreement, as the case may be.</w:t>
      </w:r>
    </w:p>
    <w:p>
      <w:pPr>
        <w:pStyle w:val="Footnotesection"/>
      </w:pPr>
      <w:r>
        <w:tab/>
        <w:t>[Section 97YH inserted: No. 20 of 2002 s. 4; amended: No. 30 of 2021 s. 77(13).]</w:t>
      </w:r>
    </w:p>
    <w:p>
      <w:pPr>
        <w:pStyle w:val="Heading3"/>
      </w:pPr>
      <w:bookmarkStart w:id="1475" w:name="_Toc107322660"/>
      <w:bookmarkStart w:id="1476" w:name="_Toc107476789"/>
      <w:bookmarkStart w:id="1477" w:name="_Toc105760334"/>
      <w:bookmarkStart w:id="1478" w:name="_Toc106195649"/>
      <w:bookmarkStart w:id="1479" w:name="_Toc106367592"/>
      <w:bookmarkStart w:id="1480" w:name="_Toc106374323"/>
      <w:r>
        <w:rPr>
          <w:rStyle w:val="CharDivNo"/>
        </w:rPr>
        <w:t>Division 11</w:t>
      </w:r>
      <w:r>
        <w:t> — </w:t>
      </w:r>
      <w:r>
        <w:rPr>
          <w:rStyle w:val="CharDivText"/>
        </w:rPr>
        <w:t>General</w:t>
      </w:r>
      <w:bookmarkEnd w:id="1475"/>
      <w:bookmarkEnd w:id="1476"/>
      <w:bookmarkEnd w:id="1477"/>
      <w:bookmarkEnd w:id="1478"/>
      <w:bookmarkEnd w:id="1479"/>
      <w:bookmarkEnd w:id="1480"/>
    </w:p>
    <w:p>
      <w:pPr>
        <w:pStyle w:val="Footnoteheading"/>
        <w:keepNext/>
        <w:tabs>
          <w:tab w:val="left" w:pos="851"/>
        </w:tabs>
      </w:pPr>
      <w:r>
        <w:tab/>
        <w:t>[Heading inserted: No. 20 of 2002 s. 4.]</w:t>
      </w:r>
    </w:p>
    <w:p>
      <w:pPr>
        <w:pStyle w:val="Heading5"/>
      </w:pPr>
      <w:bookmarkStart w:id="1481" w:name="_Toc107476790"/>
      <w:bookmarkStart w:id="1482" w:name="_Toc106374324"/>
      <w:r>
        <w:rPr>
          <w:rStyle w:val="CharSectno"/>
        </w:rPr>
        <w:t>97YI</w:t>
      </w:r>
      <w:r>
        <w:t>.</w:t>
      </w:r>
      <w:r>
        <w:tab/>
        <w:t>Review of Div. 5, 6 and 7</w:t>
      </w:r>
      <w:bookmarkEnd w:id="1481"/>
      <w:bookmarkEnd w:id="1482"/>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No. 20 of 2002 s. 4; amended: No. 50 of 2016 s. 17.]</w:t>
      </w:r>
    </w:p>
    <w:p>
      <w:pPr>
        <w:pStyle w:val="Heading5"/>
      </w:pPr>
      <w:bookmarkStart w:id="1483" w:name="_Toc107476791"/>
      <w:bookmarkStart w:id="1484" w:name="_Toc106374325"/>
      <w:r>
        <w:rPr>
          <w:rStyle w:val="CharSectno"/>
        </w:rPr>
        <w:t>97YJ</w:t>
      </w:r>
      <w:r>
        <w:t>.</w:t>
      </w:r>
      <w:r>
        <w:tab/>
        <w:t>Regulations</w:t>
      </w:r>
      <w:bookmarkEnd w:id="1483"/>
      <w:bookmarkEnd w:id="1484"/>
    </w:p>
    <w:p>
      <w:pPr>
        <w:pStyle w:val="Subsection"/>
      </w:pPr>
      <w:r>
        <w:tab/>
      </w:r>
      <w:r>
        <w:tab/>
        <w:t>The Governor may make any regulation that is required or permitted to be made, or necessary or convenient, for the purposes of this Part.</w:t>
      </w:r>
    </w:p>
    <w:p>
      <w:pPr>
        <w:pStyle w:val="Footnotesection"/>
      </w:pPr>
      <w:r>
        <w:tab/>
        <w:t>[Section 97YJ inserted: No. 20 of 2002 s. 4.]</w:t>
      </w:r>
    </w:p>
    <w:p>
      <w:pPr>
        <w:pStyle w:val="Heading2"/>
      </w:pPr>
      <w:bookmarkStart w:id="1485" w:name="_Toc107322663"/>
      <w:bookmarkStart w:id="1486" w:name="_Toc107476792"/>
      <w:bookmarkStart w:id="1487" w:name="_Toc105760337"/>
      <w:bookmarkStart w:id="1488" w:name="_Toc106195652"/>
      <w:bookmarkStart w:id="1489" w:name="_Toc106367595"/>
      <w:bookmarkStart w:id="1490" w:name="_Toc106374326"/>
      <w:r>
        <w:rPr>
          <w:rStyle w:val="CharPartNo"/>
        </w:rPr>
        <w:t>Part VII</w:t>
      </w:r>
      <w:r>
        <w:rPr>
          <w:rStyle w:val="CharDivNo"/>
        </w:rPr>
        <w:t> </w:t>
      </w:r>
      <w:r>
        <w:t>—</w:t>
      </w:r>
      <w:r>
        <w:rPr>
          <w:rStyle w:val="CharDivText"/>
        </w:rPr>
        <w:t> </w:t>
      </w:r>
      <w:r>
        <w:rPr>
          <w:rStyle w:val="CharPartText"/>
        </w:rPr>
        <w:t>Miscellaneous</w:t>
      </w:r>
      <w:bookmarkEnd w:id="1485"/>
      <w:bookmarkEnd w:id="1486"/>
      <w:bookmarkEnd w:id="1487"/>
      <w:bookmarkEnd w:id="1488"/>
      <w:bookmarkEnd w:id="1489"/>
      <w:bookmarkEnd w:id="1490"/>
    </w:p>
    <w:p>
      <w:pPr>
        <w:pStyle w:val="Heading5"/>
        <w:rPr>
          <w:snapToGrid w:val="0"/>
        </w:rPr>
      </w:pPr>
      <w:bookmarkStart w:id="1491" w:name="_Toc107476793"/>
      <w:bookmarkStart w:id="1492" w:name="_Toc106374327"/>
      <w:r>
        <w:rPr>
          <w:rStyle w:val="CharSectno"/>
        </w:rPr>
        <w:t>98</w:t>
      </w:r>
      <w:r>
        <w:rPr>
          <w:snapToGrid w:val="0"/>
        </w:rPr>
        <w:t>.</w:t>
      </w:r>
      <w:r>
        <w:rPr>
          <w:snapToGrid w:val="0"/>
        </w:rPr>
        <w:tab/>
        <w:t>Industrial inspectors, designation and functions of etc.</w:t>
      </w:r>
      <w:bookmarkEnd w:id="1491"/>
      <w:bookmarkEnd w:id="1492"/>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must perform such duties and must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the inspector’s functions under this Act —</w:t>
      </w:r>
    </w:p>
    <w:p>
      <w:pPr>
        <w:pStyle w:val="Indenta"/>
      </w:pPr>
      <w:r>
        <w:tab/>
        <w:t>(a)</w:t>
      </w:r>
      <w:r>
        <w:tab/>
        <w:t xml:space="preserve">with or without giving notice to the owner or occupier, enter — </w:t>
      </w:r>
    </w:p>
    <w:p>
      <w:pPr>
        <w:pStyle w:val="Indenti"/>
      </w:pPr>
      <w:r>
        <w:tab/>
        <w:t>(i)</w:t>
      </w:r>
      <w:r>
        <w:tab/>
        <w:t>a place (</w:t>
      </w:r>
      <w:r>
        <w:rPr>
          <w:rStyle w:val="CharDefText"/>
        </w:rPr>
        <w:t>industrial location</w:t>
      </w:r>
      <w:r>
        <w:t>) at which there are reasonable grounds to suspect that an industry is being or has been carried on or any work is being done or has been done or commenced in relation to an industry; or</w:t>
      </w:r>
    </w:p>
    <w:p>
      <w:pPr>
        <w:pStyle w:val="Indenti"/>
      </w:pPr>
      <w:r>
        <w:tab/>
        <w:t>(ii)</w:t>
      </w:r>
      <w:r>
        <w:tab/>
        <w:t>a place (</w:t>
      </w:r>
      <w:r>
        <w:rPr>
          <w:rStyle w:val="CharDefText"/>
        </w:rPr>
        <w:t>business premises</w:t>
      </w:r>
      <w:r>
        <w:t>) at which there are reasonable grounds to suspect that records relevant to an industry are kept or can be accessed;</w:t>
      </w:r>
    </w:p>
    <w:p>
      <w:pPr>
        <w:pStyle w:val="Indenta"/>
      </w:pPr>
      <w:r>
        <w:tab/>
      </w:r>
      <w:r>
        <w:tab/>
        <w:t>and</w:t>
      </w:r>
    </w:p>
    <w:p>
      <w:pPr>
        <w:pStyle w:val="Indenta"/>
        <w:rPr>
          <w:snapToGrid w:val="0"/>
        </w:rPr>
      </w:pPr>
      <w:r>
        <w:rPr>
          <w:snapToGrid w:val="0"/>
        </w:rPr>
        <w:tab/>
        <w:t>(b)</w:t>
      </w:r>
      <w:r>
        <w:rPr>
          <w:snapToGrid w:val="0"/>
        </w:rPr>
        <w:tab/>
        <w:t xml:space="preserve">inspect and view any work, material, machinery, appliance, article, record, matter or other thing which is in an industrial </w:t>
      </w:r>
      <w:r>
        <w:t>location or business premises, or any record accessible from a computer kept at the industrial location or business premises; and</w:t>
      </w:r>
    </w:p>
    <w:p>
      <w:pPr>
        <w:pStyle w:val="Indenta"/>
        <w:rPr>
          <w:snapToGrid w:val="0"/>
        </w:rPr>
      </w:pPr>
      <w:r>
        <w:rPr>
          <w:snapToGrid w:val="0"/>
        </w:rPr>
        <w:tab/>
        <w:t>(c)</w:t>
      </w:r>
      <w:r>
        <w:rPr>
          <w:snapToGrid w:val="0"/>
        </w:rPr>
        <w:tab/>
        <w:t>take with the inspector into an industrial location or business premises any person or persons the inspector considers necessary to provide assistance to the inspector; and</w:t>
      </w:r>
    </w:p>
    <w:p>
      <w:pPr>
        <w:pStyle w:val="Indenta"/>
        <w:rPr>
          <w:snapToGrid w:val="0"/>
        </w:rPr>
      </w:pPr>
      <w:r>
        <w:rPr>
          <w:snapToGrid w:val="0"/>
        </w:rPr>
        <w:tab/>
        <w:t>(d)</w:t>
      </w:r>
      <w:r>
        <w:rPr>
          <w:snapToGrid w:val="0"/>
        </w:rPr>
        <w:tab/>
        <w:t xml:space="preserve">require (either alone or in the presence, or with the assistance, of some other person) any person the inspector finds in an industrial location or business premises to answer questions by the inspector — </w:t>
      </w:r>
    </w:p>
    <w:p>
      <w:pPr>
        <w:pStyle w:val="Indenti"/>
      </w:pPr>
      <w:r>
        <w:tab/>
        <w:t>(i)</w:t>
      </w:r>
      <w:r>
        <w:tab/>
        <w:t xml:space="preserve">orally; or </w:t>
      </w:r>
    </w:p>
    <w:p>
      <w:pPr>
        <w:pStyle w:val="Indenti"/>
      </w:pPr>
      <w:r>
        <w:tab/>
        <w:t>(ii)</w:t>
      </w:r>
      <w:r>
        <w:tab/>
        <w:t xml:space="preserve">if the inspector thinks fit — in writing;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by notice in writing or orally require a person having the control of, or access to, a record to produce the record for inspection by the inspector; and</w:t>
      </w:r>
    </w:p>
    <w:p>
      <w:pPr>
        <w:pStyle w:val="Indenta"/>
        <w:rPr>
          <w:snapToGrid w:val="0"/>
        </w:rPr>
      </w:pPr>
      <w:r>
        <w:rPr>
          <w:snapToGrid w:val="0"/>
        </w:rPr>
        <w:tab/>
        <w:t>(f)</w:t>
      </w:r>
      <w:r>
        <w:rPr>
          <w:snapToGrid w:val="0"/>
        </w:rPr>
        <w:tab/>
        <w:t xml:space="preserve">in relation to a record referred to in paragraph (b) or (e), do all or any of the following — </w:t>
      </w:r>
    </w:p>
    <w:p>
      <w:pPr>
        <w:pStyle w:val="Indenti"/>
      </w:pPr>
      <w:r>
        <w:tab/>
        <w:t>(i)</w:t>
      </w:r>
      <w:r>
        <w:tab/>
        <w:t>seize the record;</w:t>
      </w:r>
    </w:p>
    <w:p>
      <w:pPr>
        <w:pStyle w:val="Indenti"/>
      </w:pPr>
      <w:r>
        <w:tab/>
        <w:t>(ii)</w:t>
      </w:r>
      <w:r>
        <w:tab/>
        <w:t>retain the record for as long as is necessary for the purposes of carrying out the function to which the record is relevant;</w:t>
      </w:r>
    </w:p>
    <w:p>
      <w:pPr>
        <w:pStyle w:val="Indenti"/>
      </w:pPr>
      <w:r>
        <w:tab/>
        <w:t>(iii)</w:t>
      </w:r>
      <w:r>
        <w:tab/>
        <w:t>take extracts from or copies of the record;</w:t>
      </w:r>
    </w:p>
    <w:p>
      <w:pPr>
        <w:pStyle w:val="Indenta"/>
        <w:rPr>
          <w:snapToGrid w:val="0"/>
        </w:rPr>
      </w:pPr>
      <w:r>
        <w:rPr>
          <w:snapToGrid w:val="0"/>
        </w:rPr>
        <w:tab/>
      </w:r>
      <w:r>
        <w:rPr>
          <w:snapToGrid w:val="0"/>
        </w:rPr>
        <w:tab/>
        <w:t>and</w:t>
      </w:r>
    </w:p>
    <w:p>
      <w:pPr>
        <w:pStyle w:val="Indenta"/>
        <w:rPr>
          <w:snapToGrid w:val="0"/>
        </w:rPr>
      </w:pPr>
      <w:r>
        <w:rPr>
          <w:snapToGrid w:val="0"/>
        </w:rPr>
        <w:tab/>
        <w:t>(fa)</w:t>
      </w:r>
      <w:r>
        <w:rPr>
          <w:snapToGrid w:val="0"/>
        </w:rPr>
        <w:tab/>
        <w:t xml:space="preserve">post at an industrial location, in a place where it may be viewed by employees at the location, a notice containing information regarding any of the following — </w:t>
      </w:r>
    </w:p>
    <w:p>
      <w:pPr>
        <w:pStyle w:val="Indenti"/>
      </w:pPr>
      <w:r>
        <w:tab/>
        <w:t>(i)</w:t>
      </w:r>
      <w:r>
        <w:tab/>
        <w:t xml:space="preserve">the rights and obligations under any law of the State or Commonwealth relating to employment (an </w:t>
      </w:r>
      <w:r>
        <w:rPr>
          <w:rStyle w:val="CharDefText"/>
        </w:rPr>
        <w:t>employment law</w:t>
      </w:r>
      <w:r>
        <w:t>) of the employees or their employer;</w:t>
      </w:r>
    </w:p>
    <w:p>
      <w:pPr>
        <w:pStyle w:val="Indenti"/>
      </w:pPr>
      <w:r>
        <w:tab/>
        <w:t>(ii)</w:t>
      </w:r>
      <w:r>
        <w:tab/>
        <w:t>a conviction of the employer of an offence under an employment law;</w:t>
      </w:r>
    </w:p>
    <w:p>
      <w:pPr>
        <w:pStyle w:val="Indenti"/>
      </w:pPr>
      <w:r>
        <w:tab/>
        <w:t>(iii)</w:t>
      </w:r>
      <w:r>
        <w:tab/>
        <w:t>a finding that the employer has contravened an entitlement provision or civil penalty provision under this Act or a civil remedy provision under the FW Act;</w:t>
      </w:r>
    </w:p>
    <w:p>
      <w:pPr>
        <w:pStyle w:val="Indenta"/>
      </w:pPr>
      <w:r>
        <w:tab/>
      </w:r>
      <w:r>
        <w:tab/>
        <w:t>and</w:t>
      </w:r>
    </w:p>
    <w:p>
      <w:pPr>
        <w:pStyle w:val="Indenta"/>
        <w:rPr>
          <w:snapToGrid w:val="0"/>
        </w:rPr>
      </w:pPr>
      <w:r>
        <w:rPr>
          <w:snapToGrid w:val="0"/>
        </w:rPr>
        <w:tab/>
        <w:t>(g)</w:t>
      </w:r>
      <w:r>
        <w:rPr>
          <w:snapToGrid w:val="0"/>
        </w:rPr>
        <w:tab/>
        <w:t>if the inspector has reasonable cause to apprehend any obstruction in the carrying out of those functions, call to the inspector’s assistance any member of the Police Force; and</w:t>
      </w:r>
    </w:p>
    <w:p>
      <w:pPr>
        <w:pStyle w:val="Indenta"/>
        <w:rPr>
          <w:snapToGrid w:val="0"/>
        </w:rPr>
      </w:pPr>
      <w:r>
        <w:rPr>
          <w:snapToGrid w:val="0"/>
        </w:rPr>
        <w:tab/>
        <w:t>(h)</w:t>
      </w:r>
      <w:r>
        <w:rPr>
          <w:snapToGrid w:val="0"/>
        </w:rPr>
        <w:tab/>
        <w:t xml:space="preserve">exercise any power, other than a power referred to in paragraph (a), (b), (c), (d), (e), </w:t>
      </w:r>
      <w:r>
        <w:t>(f), (fa)</w:t>
      </w:r>
      <w:r>
        <w:rPr>
          <w:snapToGrid w:val="0"/>
        </w:rPr>
        <w:t xml:space="preserve"> or (g), conferred on the inspector by this Act or by any direction given under this Act.</w:t>
      </w:r>
    </w:p>
    <w:p>
      <w:pPr>
        <w:pStyle w:val="Subsection"/>
      </w:pPr>
      <w:r>
        <w:tab/>
        <w:t>(3A)</w:t>
      </w:r>
      <w:r>
        <w:tab/>
        <w:t xml:space="preserve">If an industrial inspector proposes to exercise the power under subsection (3)(a) to enter an industrial location or business premises that also comprises premises principally used for habitation, the inspector must give the owner or occupier of the location or premises at least 24 hours’ written notice of the proposed entry unless — </w:t>
      </w:r>
    </w:p>
    <w:p>
      <w:pPr>
        <w:pStyle w:val="Indenta"/>
      </w:pPr>
      <w:r>
        <w:tab/>
        <w:t>(a)</w:t>
      </w:r>
      <w:r>
        <w:tab/>
        <w:t>the owner or occupier is carrying on an industry at the location or premises; or</w:t>
      </w:r>
    </w:p>
    <w:p>
      <w:pPr>
        <w:pStyle w:val="Indenta"/>
      </w:pPr>
      <w:r>
        <w:tab/>
        <w:t>(b)</w:t>
      </w:r>
      <w:r>
        <w:tab/>
        <w:t>the Commission has made an order waiving the requirement under this subsection to give the notice.</w:t>
      </w:r>
    </w:p>
    <w:p>
      <w:pPr>
        <w:pStyle w:val="Subsection"/>
      </w:pPr>
      <w:r>
        <w:tab/>
        <w:t>(3B)</w:t>
      </w:r>
      <w:r>
        <w:tab/>
        <w:t>An industrial inspector may apply to the Commission for an order under subsection (3A)(b).</w:t>
      </w:r>
    </w:p>
    <w:p>
      <w:pPr>
        <w:pStyle w:val="Subsection"/>
      </w:pPr>
      <w:r>
        <w:tab/>
        <w:t>(3C)</w:t>
      </w:r>
      <w:r>
        <w:tab/>
        <w:t>The application may be heard in the absence of the owner or occupier of the industrial location or business premises.</w:t>
      </w:r>
    </w:p>
    <w:p>
      <w:pPr>
        <w:pStyle w:val="Subsection"/>
      </w:pPr>
      <w:r>
        <w:tab/>
        <w:t>(3D)</w:t>
      </w:r>
      <w:r>
        <w:tab/>
        <w:t>The Commission may make the order if it is satisfied that a notice under subsection (3A) would defeat the purpose for which the power in subsection (3)(a) is intended to be exercised.</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is taken to be put or made to the person by the industrial inspector, and any answer or other statement given or made by the person to the interpreter is taken to be given or made to the industrial inspector.</w:t>
      </w:r>
    </w:p>
    <w:p>
      <w:pPr>
        <w:pStyle w:val="Subsection"/>
      </w:pPr>
      <w:r>
        <w:tab/>
        <w:t>(5)</w:t>
      </w:r>
      <w:r>
        <w:tab/>
        <w:t xml:space="preserve">The power of an industrial inspector under subsection (3)(e) may be exercised — </w:t>
      </w:r>
    </w:p>
    <w:p>
      <w:pPr>
        <w:pStyle w:val="Indenta"/>
      </w:pPr>
      <w:r>
        <w:tab/>
        <w:t>(a)</w:t>
      </w:r>
      <w:r>
        <w:tab/>
        <w:t>whether or not the industrial inspector has entered, or proposes to enter, an industrial location or business premises; and</w:t>
      </w:r>
    </w:p>
    <w:p>
      <w:pPr>
        <w:pStyle w:val="Indenta"/>
      </w:pPr>
      <w:r>
        <w:tab/>
        <w:t>(b)</w:t>
      </w:r>
      <w:r>
        <w:tab/>
        <w:t>if exercised when the industrial inspector has entered an industrial location or business premises — in relation to any record whether or not it is kept at the location or premises.</w:t>
      </w:r>
    </w:p>
    <w:p>
      <w:pPr>
        <w:pStyle w:val="Subsection"/>
      </w:pPr>
      <w:r>
        <w:tab/>
        <w:t>(5A)</w:t>
      </w:r>
      <w:r>
        <w:tab/>
        <w:t>The regulations may prescribe the form and manner in which records may be produced for inspection under subsection (3)(e).</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or (3) includes a reference to another written law referred to in subsection (2A).</w:t>
      </w:r>
    </w:p>
    <w:p>
      <w:pPr>
        <w:pStyle w:val="Footnotesection"/>
      </w:pPr>
      <w:r>
        <w:tab/>
        <w:t>[Section 98 amended: No. 121 of 1982 s. 32; No. 32 of 1994 s. 14; No. 79 of 1995 s. 38; No. 20 of 2002 s. 147; No. 14 of 2005 s. 9; No. 53 of 2011 s. 45; No. 39 of 2018 s. 59; No. 30 of 2021 s. 65, 76(2) and (8), 77(13) and 78(7).]</w:t>
      </w:r>
    </w:p>
    <w:p>
      <w:pPr>
        <w:pStyle w:val="Heading5"/>
      </w:pPr>
      <w:bookmarkStart w:id="1493" w:name="_Toc107476794"/>
      <w:bookmarkStart w:id="1494" w:name="_Toc90558352"/>
      <w:bookmarkStart w:id="1495" w:name="_Toc95209433"/>
      <w:bookmarkStart w:id="1496" w:name="_Toc106374328"/>
      <w:r>
        <w:rPr>
          <w:rStyle w:val="CharSectno"/>
        </w:rPr>
        <w:t>98A</w:t>
      </w:r>
      <w:r>
        <w:t>.</w:t>
      </w:r>
      <w:r>
        <w:tab/>
        <w:t>Information obtained under s. 98 not to be disclosed</w:t>
      </w:r>
      <w:bookmarkEnd w:id="1493"/>
      <w:bookmarkEnd w:id="1494"/>
      <w:bookmarkEnd w:id="1495"/>
      <w:bookmarkEnd w:id="1496"/>
    </w:p>
    <w:p>
      <w:pPr>
        <w:pStyle w:val="Subsection"/>
      </w:pPr>
      <w:r>
        <w:tab/>
        <w:t>(1)</w:t>
      </w:r>
      <w:r>
        <w:tab/>
        <w:t>This section applies to a person who is —</w:t>
      </w:r>
    </w:p>
    <w:p>
      <w:pPr>
        <w:pStyle w:val="Indenta"/>
      </w:pPr>
      <w:r>
        <w:tab/>
        <w:t>(a)</w:t>
      </w:r>
      <w:r>
        <w:tab/>
        <w:t>an industrial inspector; or</w:t>
      </w:r>
    </w:p>
    <w:p>
      <w:pPr>
        <w:pStyle w:val="Indenta"/>
      </w:pPr>
      <w:r>
        <w:tab/>
        <w:t>(b)</w:t>
      </w:r>
      <w:r>
        <w:tab/>
        <w:t>a person assisting an industrial inspector under section 98(3)(c) or (d).</w:t>
      </w:r>
    </w:p>
    <w:p>
      <w:pPr>
        <w:pStyle w:val="Subsection"/>
      </w:pPr>
      <w:r>
        <w:tab/>
        <w:t>(2)</w:t>
      </w:r>
      <w:r>
        <w:tab/>
        <w:t>The person must not, directly or indirectly, record, disclose or make use of information obtained in the course of performing functions under section 98 except —</w:t>
      </w:r>
    </w:p>
    <w:p>
      <w:pPr>
        <w:pStyle w:val="Indenta"/>
      </w:pPr>
      <w:r>
        <w:tab/>
        <w:t>(a)</w:t>
      </w:r>
      <w:r>
        <w:tab/>
        <w:t>in the course of performing those functions; or</w:t>
      </w:r>
    </w:p>
    <w:p>
      <w:pPr>
        <w:pStyle w:val="Indenta"/>
      </w:pPr>
      <w:r>
        <w:tab/>
        <w:t>(b)</w:t>
      </w:r>
      <w:r>
        <w:tab/>
        <w:t>as required or allowed by this Act or any other written law or a law of the Commonwealth, another State or a Territory; or</w:t>
      </w:r>
    </w:p>
    <w:p>
      <w:pPr>
        <w:pStyle w:val="Indenta"/>
      </w:pPr>
      <w:r>
        <w:tab/>
        <w:t>(c)</w:t>
      </w:r>
      <w:r>
        <w:tab/>
        <w:t>to assist in the administration or enforcement of a written law or a law of the Commonwealth, another State or a Territory; or</w:t>
      </w:r>
    </w:p>
    <w:p>
      <w:pPr>
        <w:pStyle w:val="Indenta"/>
      </w:pPr>
      <w:r>
        <w:tab/>
        <w:t>(d)</w:t>
      </w:r>
      <w:r>
        <w:tab/>
        <w:t>for the purpose of proceedings in a court; or</w:t>
      </w:r>
    </w:p>
    <w:p>
      <w:pPr>
        <w:pStyle w:val="Indenta"/>
      </w:pPr>
      <w:r>
        <w:tab/>
        <w:t>(e)</w:t>
      </w:r>
      <w:r>
        <w:tab/>
        <w:t>with the written authority of each person to whom the information relates; or</w:t>
      </w:r>
    </w:p>
    <w:p>
      <w:pPr>
        <w:pStyle w:val="Indenta"/>
      </w:pPr>
      <w:r>
        <w:tab/>
        <w:t>(f)</w:t>
      </w:r>
      <w:r>
        <w:tab/>
        <w:t>in other circumstances prescribed by the regulations.</w:t>
      </w:r>
    </w:p>
    <w:p>
      <w:pPr>
        <w:pStyle w:val="Penstart"/>
      </w:pPr>
      <w:r>
        <w:tab/>
        <w:t>Penalty for this subsection: a fine of $5 000.</w:t>
      </w:r>
    </w:p>
    <w:p>
      <w:pPr>
        <w:pStyle w:val="Footnotesection"/>
      </w:pPr>
      <w:r>
        <w:tab/>
        <w:t>[Section 98A inserted: No. 30 of 2021 s. 66.]</w:t>
      </w:r>
    </w:p>
    <w:p>
      <w:pPr>
        <w:pStyle w:val="Heading5"/>
      </w:pPr>
      <w:bookmarkStart w:id="1497" w:name="_Toc107476795"/>
      <w:bookmarkStart w:id="1498" w:name="_Toc106374329"/>
      <w:r>
        <w:rPr>
          <w:rStyle w:val="CharSectno"/>
        </w:rPr>
        <w:t>99A</w:t>
      </w:r>
      <w:r>
        <w:t>.</w:t>
      </w:r>
      <w:r>
        <w:tab/>
        <w:t>Identity cards for industrial inspectors</w:t>
      </w:r>
      <w:bookmarkEnd w:id="1497"/>
      <w:bookmarkEnd w:id="1498"/>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for this subsection: a fine of $2 000.</w:t>
      </w:r>
    </w:p>
    <w:p>
      <w:pPr>
        <w:pStyle w:val="Footnotesection"/>
      </w:pPr>
      <w:r>
        <w:tab/>
        <w:t>[Section 99A inserted: No. 53 of 2011 s. 46; amended: No. 30 of 2021 s. 72(1).]</w:t>
      </w:r>
    </w:p>
    <w:p>
      <w:pPr>
        <w:pStyle w:val="Heading5"/>
        <w:spacing w:before="240"/>
      </w:pPr>
      <w:bookmarkStart w:id="1499" w:name="_Toc107476796"/>
      <w:bookmarkStart w:id="1500" w:name="_Toc106374330"/>
      <w:r>
        <w:rPr>
          <w:rStyle w:val="CharSectno"/>
        </w:rPr>
        <w:t>99B</w:t>
      </w:r>
      <w:r>
        <w:t>.</w:t>
      </w:r>
      <w:r>
        <w:tab/>
        <w:t>Production of identity card</w:t>
      </w:r>
      <w:bookmarkEnd w:id="1499"/>
      <w:bookmarkEnd w:id="1500"/>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No. 53 of 2011 s. 46.]</w:t>
      </w:r>
    </w:p>
    <w:p>
      <w:pPr>
        <w:pStyle w:val="Heading5"/>
      </w:pPr>
      <w:bookmarkStart w:id="1501" w:name="_Toc107476797"/>
      <w:bookmarkStart w:id="1502" w:name="_Toc106374331"/>
      <w:r>
        <w:rPr>
          <w:rStyle w:val="CharSectno"/>
        </w:rPr>
        <w:t>99C</w:t>
      </w:r>
      <w:r>
        <w:t>.</w:t>
      </w:r>
      <w:r>
        <w:tab/>
        <w:t>Staff for Department</w:t>
      </w:r>
      <w:bookmarkEnd w:id="1501"/>
      <w:bookmarkEnd w:id="1502"/>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No. 53 of 2011 s. 46.]</w:t>
      </w:r>
    </w:p>
    <w:p>
      <w:pPr>
        <w:pStyle w:val="Heading5"/>
        <w:spacing w:before="240"/>
      </w:pPr>
      <w:bookmarkStart w:id="1503" w:name="_Toc107476798"/>
      <w:bookmarkStart w:id="1504" w:name="_Toc106374332"/>
      <w:r>
        <w:rPr>
          <w:rStyle w:val="CharSectno"/>
        </w:rPr>
        <w:t>99D</w:t>
      </w:r>
      <w:r>
        <w:t>.</w:t>
      </w:r>
      <w:r>
        <w:tab/>
        <w:t>Designation of officers, generally</w:t>
      </w:r>
      <w:bookmarkEnd w:id="1503"/>
      <w:bookmarkEnd w:id="1504"/>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CEO, as the case may be, may, in writing, delegate the power to make a designation to another person.</w:t>
      </w:r>
    </w:p>
    <w:p>
      <w:pPr>
        <w:pStyle w:val="Footnotesection"/>
      </w:pPr>
      <w:r>
        <w:tab/>
        <w:t>[Section 99D inserted: No. 53 of 2011 s. 46; amended: No. 39 of 2018 s. 60.]</w:t>
      </w:r>
    </w:p>
    <w:p>
      <w:pPr>
        <w:pStyle w:val="Heading5"/>
        <w:rPr>
          <w:snapToGrid w:val="0"/>
        </w:rPr>
      </w:pPr>
      <w:bookmarkStart w:id="1505" w:name="_Toc107476799"/>
      <w:bookmarkStart w:id="1506" w:name="_Toc106374333"/>
      <w:r>
        <w:rPr>
          <w:rStyle w:val="CharSectno"/>
        </w:rPr>
        <w:t>99</w:t>
      </w:r>
      <w:r>
        <w:rPr>
          <w:snapToGrid w:val="0"/>
        </w:rPr>
        <w:t>.</w:t>
      </w:r>
      <w:r>
        <w:rPr>
          <w:snapToGrid w:val="0"/>
        </w:rPr>
        <w:tab/>
        <w:t>Wage rates in awards not affected by repeal of basic wage provisions</w:t>
      </w:r>
      <w:bookmarkEnd w:id="1505"/>
      <w:bookmarkEnd w:id="1506"/>
    </w:p>
    <w:p>
      <w:pPr>
        <w:pStyle w:val="Subsection"/>
        <w:rPr>
          <w:snapToGrid w:val="0"/>
        </w:rPr>
      </w:pPr>
      <w:r>
        <w:rPr>
          <w:snapToGrid w:val="0"/>
        </w:rPr>
        <w:tab/>
      </w:r>
      <w:r>
        <w:rPr>
          <w:snapToGrid w:val="0"/>
        </w:rPr>
        <w:tab/>
        <w:t>The repeal effected by this Act does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Footnotesection"/>
      </w:pPr>
      <w:r>
        <w:tab/>
        <w:t>[Section 99 amended: No. 30 of 2021 s. 76(8).]</w:t>
      </w:r>
    </w:p>
    <w:p>
      <w:pPr>
        <w:pStyle w:val="Ednotesection"/>
      </w:pPr>
      <w:r>
        <w:t>[</w:t>
      </w:r>
      <w:r>
        <w:rPr>
          <w:b/>
        </w:rPr>
        <w:t>100.</w:t>
      </w:r>
      <w:r>
        <w:tab/>
        <w:t>Deleted: No. 121 of 1982 s. 33.]</w:t>
      </w:r>
    </w:p>
    <w:p>
      <w:pPr>
        <w:pStyle w:val="Ednotesection"/>
      </w:pPr>
      <w:r>
        <w:t>[</w:t>
      </w:r>
      <w:r>
        <w:rPr>
          <w:b/>
        </w:rPr>
        <w:t>101.</w:t>
      </w:r>
      <w:r>
        <w:tab/>
        <w:t>Deleted: No. 94 of 1984 s. 59.]</w:t>
      </w:r>
    </w:p>
    <w:p>
      <w:pPr>
        <w:pStyle w:val="Heading5"/>
        <w:rPr>
          <w:snapToGrid w:val="0"/>
        </w:rPr>
      </w:pPr>
      <w:bookmarkStart w:id="1507" w:name="_Toc107476800"/>
      <w:bookmarkStart w:id="1508" w:name="_Toc106374334"/>
      <w:r>
        <w:rPr>
          <w:rStyle w:val="CharSectno"/>
        </w:rPr>
        <w:t>102</w:t>
      </w:r>
      <w:r>
        <w:rPr>
          <w:snapToGrid w:val="0"/>
        </w:rPr>
        <w:t>.</w:t>
      </w:r>
      <w:r>
        <w:rPr>
          <w:snapToGrid w:val="0"/>
        </w:rPr>
        <w:tab/>
        <w:t>Obstruction etc. prohibited</w:t>
      </w:r>
      <w:bookmarkEnd w:id="1507"/>
      <w:bookmarkEnd w:id="1508"/>
    </w:p>
    <w:p>
      <w:pPr>
        <w:pStyle w:val="Subsection"/>
        <w:rPr>
          <w:snapToGrid w:val="0"/>
        </w:rPr>
      </w:pPr>
      <w:r>
        <w:rPr>
          <w:snapToGrid w:val="0"/>
        </w:rPr>
        <w:tab/>
        <w:t>(1)</w:t>
      </w:r>
      <w:r>
        <w:rPr>
          <w:snapToGrid w:val="0"/>
        </w:rPr>
        <w:tab/>
        <w:t>A person must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 xml:space="preserve">being lawfully asked a question by a person under this Act, fail to answer truthfully to the best of </w:t>
      </w:r>
      <w:r>
        <w:t>the person’s</w:t>
      </w:r>
      <w:r>
        <w:rPr>
          <w:snapToGrid w:val="0"/>
        </w:rPr>
        <w:t xml:space="preserve">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the returning officer’s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the person is a member of an organisation.</w:t>
      </w:r>
    </w:p>
    <w:p>
      <w:pPr>
        <w:pStyle w:val="Subsection"/>
        <w:rPr>
          <w:snapToGrid w:val="0"/>
        </w:rPr>
      </w:pPr>
      <w:r>
        <w:rPr>
          <w:snapToGrid w:val="0"/>
        </w:rPr>
        <w:tab/>
        <w:t>(2)</w:t>
      </w:r>
      <w:r>
        <w:rPr>
          <w:snapToGrid w:val="0"/>
        </w:rPr>
        <w:tab/>
        <w:t>A person must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pPr>
      <w:r>
        <w:tab/>
        <w:t>(2A)</w:t>
      </w:r>
      <w:r>
        <w:tab/>
        <w:t>For the purposes of subsection (2)(a), a person who destroys, defaces, alters, takes, or otherwise interferes with a notice posted at an industrial location by an industrial inspector under section 98(3)(fa) is taken to obstruct the industrial inspector in the performance of the inspector’s function under that section.</w:t>
      </w:r>
    </w:p>
    <w:p>
      <w:pPr>
        <w:pStyle w:val="Subsection"/>
        <w:rPr>
          <w:snapToGrid w:val="0"/>
        </w:rPr>
      </w:pPr>
      <w:r>
        <w:tab/>
        <w:t>(3)</w:t>
      </w:r>
      <w:r>
        <w:tab/>
        <w:t>A contravention of subsection (1) or (2) is not an offence but those subsections are civil penalty provisions for the purposes of section 83E.</w:t>
      </w:r>
    </w:p>
    <w:p>
      <w:pPr>
        <w:pStyle w:val="Subsection"/>
      </w:pPr>
      <w:r>
        <w:tab/>
        <w:t>(4)</w:t>
      </w:r>
      <w:r>
        <w:tab/>
        <w:t>If in proceedings under section 83E an industrial magistrate’s court is required to consider whether a contravention of subsection (1)(a) has occurred it may, as an alternative, determine that a contravention of a record</w:t>
      </w:r>
      <w:r>
        <w:noBreakHyphen/>
        <w:t>related civil penalty provision has occurred.</w:t>
      </w:r>
    </w:p>
    <w:p>
      <w:pPr>
        <w:pStyle w:val="Subsection"/>
      </w:pPr>
      <w:r>
        <w:tab/>
        <w:t>(5)</w:t>
      </w:r>
      <w:r>
        <w:tab/>
        <w:t>If in proceedings under section 83E an industrial magistrate’s court is required to consider whether a contravention of a record</w:t>
      </w:r>
      <w:r>
        <w:noBreakHyphen/>
        <w:t>related civil penalty provision has occurred it may, as an alternative, determine that a contravention of subsection (1)(a) has occurred.</w:t>
      </w:r>
    </w:p>
    <w:p>
      <w:pPr>
        <w:pStyle w:val="Footnotesection"/>
      </w:pPr>
      <w:r>
        <w:tab/>
        <w:t>[Section 102 amended: No. 121 of 1982 s. 34; No. 94 of 1984 s. 65; No. 1 of 1995 s. 53; No. 20 of 2002 s. 148 and 159; No. 30 of 2021 s. 67, 76(2) and 77(2), (4) and (13).]</w:t>
      </w:r>
    </w:p>
    <w:p>
      <w:pPr>
        <w:pStyle w:val="Heading5"/>
        <w:spacing w:before="240"/>
        <w:rPr>
          <w:snapToGrid w:val="0"/>
        </w:rPr>
      </w:pPr>
      <w:bookmarkStart w:id="1509" w:name="_Toc107476801"/>
      <w:bookmarkStart w:id="1510" w:name="_Toc106374335"/>
      <w:r>
        <w:rPr>
          <w:rStyle w:val="CharSectno"/>
        </w:rPr>
        <w:t>102A</w:t>
      </w:r>
      <w:r>
        <w:rPr>
          <w:snapToGrid w:val="0"/>
        </w:rPr>
        <w:t>.</w:t>
      </w:r>
      <w:r>
        <w:rPr>
          <w:snapToGrid w:val="0"/>
        </w:rPr>
        <w:tab/>
        <w:t>Institution of certain proceedings, powers of Registrar etc. for</w:t>
      </w:r>
      <w:bookmarkEnd w:id="1509"/>
      <w:bookmarkEnd w:id="1510"/>
    </w:p>
    <w:p>
      <w:pPr>
        <w:pStyle w:val="Subsection"/>
        <w:rPr>
          <w:snapToGrid w:val="0"/>
        </w:rPr>
      </w:pPr>
      <w:r>
        <w:rPr>
          <w:snapToGrid w:val="0"/>
        </w:rPr>
        <w:tab/>
        <w:t>(1)</w:t>
      </w:r>
      <w:r>
        <w:rPr>
          <w:snapToGrid w:val="0"/>
        </w:rPr>
        <w:tab/>
        <w:t>Subject to this Act, the Registrar or a deputy registrar may, of the Registrar’s or deputy registrar’s own motion, and must, if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the inspector’s own motion, make an application under section </w:t>
      </w:r>
      <w:r>
        <w:t>77, 83, 83B, 83E or</w:t>
      </w:r>
      <w:r>
        <w:rPr>
          <w:snapToGrid w:val="0"/>
        </w:rPr>
        <w:t> 84A.</w:t>
      </w:r>
    </w:p>
    <w:p>
      <w:pPr>
        <w:pStyle w:val="Footnotesection"/>
      </w:pPr>
      <w:r>
        <w:tab/>
        <w:t>[Section 102A inserted: No. 94 of 1984 s. 60; amended: No. 79 of 1995 s. 8(2) and 39; No. 20 of 2002 s. 160(5) and (6); No. 30 of 2021 s. 76(8) and 77(13).]</w:t>
      </w:r>
    </w:p>
    <w:p>
      <w:pPr>
        <w:pStyle w:val="Heading5"/>
        <w:keepLines w:val="0"/>
        <w:rPr>
          <w:snapToGrid w:val="0"/>
        </w:rPr>
      </w:pPr>
      <w:bookmarkStart w:id="1511" w:name="_Toc107476802"/>
      <w:bookmarkStart w:id="1512" w:name="_Toc106374336"/>
      <w:r>
        <w:rPr>
          <w:rStyle w:val="CharSectno"/>
        </w:rPr>
        <w:t>103</w:t>
      </w:r>
      <w:r>
        <w:rPr>
          <w:snapToGrid w:val="0"/>
        </w:rPr>
        <w:t>.</w:t>
      </w:r>
      <w:r>
        <w:rPr>
          <w:snapToGrid w:val="0"/>
        </w:rPr>
        <w:tab/>
        <w:t>Certain applications may relate to more than one breach</w:t>
      </w:r>
      <w:bookmarkEnd w:id="1511"/>
      <w:bookmarkEnd w:id="1512"/>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the applicant will proceed, and may direct that the matter so elected must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of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No. 94 of 1984 s. 60; amended: No. 44 of 1991 s. 8; No. 79 of 1995 s. 8(2); No. 20 of 2002 s. 15 and 160(7); No. 30 of 2021 s. 68, 76(2) and 77(13).]</w:t>
      </w:r>
    </w:p>
    <w:p>
      <w:pPr>
        <w:pStyle w:val="Heading5"/>
        <w:rPr>
          <w:snapToGrid w:val="0"/>
        </w:rPr>
      </w:pPr>
      <w:bookmarkStart w:id="1513" w:name="_Toc107476803"/>
      <w:bookmarkStart w:id="1514" w:name="_Toc106374337"/>
      <w:r>
        <w:rPr>
          <w:rStyle w:val="CharSectno"/>
        </w:rPr>
        <w:t>104</w:t>
      </w:r>
      <w:r>
        <w:rPr>
          <w:snapToGrid w:val="0"/>
        </w:rPr>
        <w:t>.</w:t>
      </w:r>
      <w:r>
        <w:rPr>
          <w:snapToGrid w:val="0"/>
        </w:rPr>
        <w:tab/>
        <w:t>Prosecutions</w:t>
      </w:r>
      <w:bookmarkEnd w:id="1513"/>
      <w:bookmarkEnd w:id="1514"/>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the inspector’s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the Registrar’s or deputy registrar’s own motion, and must, if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No. 79 of 1995 s. 40; amended: No. 84 of 2004 s. 80; No. 30 of 2021 s. 76(8) and 77(13).]</w:t>
      </w:r>
    </w:p>
    <w:p>
      <w:pPr>
        <w:pStyle w:val="Heading5"/>
        <w:rPr>
          <w:snapToGrid w:val="0"/>
        </w:rPr>
      </w:pPr>
      <w:bookmarkStart w:id="1515" w:name="_Toc107476804"/>
      <w:bookmarkStart w:id="1516" w:name="_Toc106374338"/>
      <w:r>
        <w:rPr>
          <w:rStyle w:val="CharSectno"/>
        </w:rPr>
        <w:t>105</w:t>
      </w:r>
      <w:r>
        <w:rPr>
          <w:snapToGrid w:val="0"/>
        </w:rPr>
        <w:t>.</w:t>
      </w:r>
      <w:r>
        <w:rPr>
          <w:snapToGrid w:val="0"/>
        </w:rPr>
        <w:tab/>
        <w:t>Awards etc., evidence of</w:t>
      </w:r>
      <w:bookmarkEnd w:id="1515"/>
      <w:bookmarkEnd w:id="1516"/>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is, before all courts and persons acting judicially, </w:t>
      </w:r>
      <w:r>
        <w:t>evidence</w:t>
      </w:r>
      <w:r>
        <w:rPr>
          <w:snapToGrid w:val="0"/>
        </w:rPr>
        <w:t xml:space="preserve"> of the award, industrial agreement, order, notification, notice, or matter and of any of the matters stated </w:t>
      </w:r>
      <w:r>
        <w:t>in it</w:t>
      </w:r>
      <w:r>
        <w:rPr>
          <w:snapToGrid w:val="0"/>
        </w:rPr>
        <w:t>.</w:t>
      </w:r>
    </w:p>
    <w:p>
      <w:pPr>
        <w:pStyle w:val="Footnotesection"/>
      </w:pPr>
      <w:r>
        <w:tab/>
        <w:t>[Section 105 amended: No. 94 of 1984 s. 66; No. 30 of 2021 s. 76(7) and 78(7).]</w:t>
      </w:r>
    </w:p>
    <w:p>
      <w:pPr>
        <w:pStyle w:val="Heading5"/>
        <w:rPr>
          <w:snapToGrid w:val="0"/>
        </w:rPr>
      </w:pPr>
      <w:bookmarkStart w:id="1517" w:name="_Toc107476805"/>
      <w:bookmarkStart w:id="1518" w:name="_Toc106374339"/>
      <w:r>
        <w:rPr>
          <w:rStyle w:val="CharSectno"/>
        </w:rPr>
        <w:t>106</w:t>
      </w:r>
      <w:r>
        <w:rPr>
          <w:snapToGrid w:val="0"/>
        </w:rPr>
        <w:t>.</w:t>
      </w:r>
      <w:r>
        <w:rPr>
          <w:snapToGrid w:val="0"/>
        </w:rPr>
        <w:tab/>
        <w:t>Official signatures and appointments, judicial notice of</w:t>
      </w:r>
      <w:bookmarkEnd w:id="1517"/>
      <w:bookmarkEnd w:id="1518"/>
    </w:p>
    <w:p>
      <w:pPr>
        <w:pStyle w:val="Subsection"/>
        <w:keepNext/>
        <w:rPr>
          <w:snapToGrid w:val="0"/>
        </w:rPr>
      </w:pPr>
      <w:r>
        <w:rPr>
          <w:snapToGrid w:val="0"/>
        </w:rPr>
        <w:tab/>
      </w:r>
      <w:r>
        <w:rPr>
          <w:snapToGrid w:val="0"/>
        </w:rPr>
        <w:tab/>
        <w:t xml:space="preserve">All courts </w:t>
      </w:r>
      <w:r>
        <w:t>and</w:t>
      </w:r>
      <w:r>
        <w:rPr>
          <w:snapToGrid w:val="0"/>
        </w:rPr>
        <w:t xml:space="preserve"> all persons acting judicially must take judicial notice of —</w:t>
      </w:r>
    </w:p>
    <w:p>
      <w:pPr>
        <w:pStyle w:val="Indenta"/>
        <w:keepNext/>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No. 121 of 1982 s. 36; No. 94 of 1984 s. 66; No. 44 of 1991 s. 8; No. 39 of 2018 s. 61; No. 30 of 2021 s. 76(2).]</w:t>
      </w:r>
    </w:p>
    <w:p>
      <w:pPr>
        <w:pStyle w:val="Heading5"/>
        <w:rPr>
          <w:snapToGrid w:val="0"/>
        </w:rPr>
      </w:pPr>
      <w:bookmarkStart w:id="1519" w:name="_Toc107476806"/>
      <w:bookmarkStart w:id="1520" w:name="_Toc106374340"/>
      <w:r>
        <w:rPr>
          <w:rStyle w:val="CharSectno"/>
        </w:rPr>
        <w:t>107</w:t>
      </w:r>
      <w:r>
        <w:rPr>
          <w:snapToGrid w:val="0"/>
        </w:rPr>
        <w:t>.</w:t>
      </w:r>
      <w:r>
        <w:rPr>
          <w:snapToGrid w:val="0"/>
        </w:rPr>
        <w:tab/>
        <w:t>No costs to be awarded against Registrar, deputy registrar or industrial inspector</w:t>
      </w:r>
      <w:bookmarkEnd w:id="1519"/>
      <w:bookmarkEnd w:id="1520"/>
    </w:p>
    <w:p>
      <w:pPr>
        <w:pStyle w:val="Subsection"/>
        <w:rPr>
          <w:snapToGrid w:val="0"/>
        </w:rPr>
      </w:pPr>
      <w:r>
        <w:rPr>
          <w:snapToGrid w:val="0"/>
        </w:rPr>
        <w:tab/>
      </w:r>
      <w:r>
        <w:rPr>
          <w:snapToGrid w:val="0"/>
        </w:rPr>
        <w:tab/>
        <w:t>No order for costs can be made against the Registrar, a deputy registrar, or an industrial inspector in proceedings instituted pursuant to a direction given under this Act.</w:t>
      </w:r>
    </w:p>
    <w:p>
      <w:pPr>
        <w:pStyle w:val="Footnotesection"/>
        <w:ind w:left="890" w:hanging="890"/>
      </w:pPr>
      <w:r>
        <w:tab/>
        <w:t>[Section 107 amended: No. 94 of 1984 s. 66; No. 30 of 2021 s. 76(6) and 77(13).]</w:t>
      </w:r>
    </w:p>
    <w:p>
      <w:pPr>
        <w:pStyle w:val="Heading5"/>
        <w:rPr>
          <w:snapToGrid w:val="0"/>
        </w:rPr>
      </w:pPr>
      <w:bookmarkStart w:id="1521" w:name="_Toc107476807"/>
      <w:bookmarkStart w:id="1522" w:name="_Toc106374341"/>
      <w:r>
        <w:rPr>
          <w:rStyle w:val="CharSectno"/>
        </w:rPr>
        <w:t>108</w:t>
      </w:r>
      <w:r>
        <w:rPr>
          <w:snapToGrid w:val="0"/>
        </w:rPr>
        <w:t>.</w:t>
      </w:r>
      <w:r>
        <w:rPr>
          <w:snapToGrid w:val="0"/>
        </w:rPr>
        <w:tab/>
        <w:t>Organisations and associations not affected by certain Imperial Acts</w:t>
      </w:r>
      <w:bookmarkEnd w:id="1521"/>
      <w:bookmarkEnd w:id="1522"/>
    </w:p>
    <w:p>
      <w:pPr>
        <w:pStyle w:val="Subsection"/>
        <w:rPr>
          <w:snapToGrid w:val="0"/>
        </w:rPr>
      </w:pPr>
      <w:r>
        <w:rPr>
          <w:snapToGrid w:val="0"/>
        </w:rPr>
        <w:tab/>
      </w:r>
      <w:r>
        <w:rPr>
          <w:snapToGrid w:val="0"/>
        </w:rPr>
        <w:tab/>
        <w:t>An organisation or association is not, on and from the date of its registration, and while so registered,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No. 94 of 1984 s. 66; No. 30 of 2021 s. 76(8).]</w:t>
      </w:r>
    </w:p>
    <w:p>
      <w:pPr>
        <w:pStyle w:val="Heading5"/>
        <w:spacing w:before="120"/>
        <w:rPr>
          <w:snapToGrid w:val="0"/>
        </w:rPr>
      </w:pPr>
      <w:bookmarkStart w:id="1523" w:name="_Toc107476808"/>
      <w:bookmarkStart w:id="1524" w:name="_Toc106374342"/>
      <w:r>
        <w:rPr>
          <w:rStyle w:val="CharSectno"/>
        </w:rPr>
        <w:t>109</w:t>
      </w:r>
      <w:r>
        <w:rPr>
          <w:snapToGrid w:val="0"/>
        </w:rPr>
        <w:t>.</w:t>
      </w:r>
      <w:r>
        <w:rPr>
          <w:snapToGrid w:val="0"/>
        </w:rPr>
        <w:tab/>
        <w:t>Dues payable to organisation or association may be sued for</w:t>
      </w:r>
      <w:bookmarkEnd w:id="1523"/>
      <w:bookmarkEnd w:id="1524"/>
    </w:p>
    <w:p>
      <w:pPr>
        <w:pStyle w:val="Subsection"/>
        <w:spacing w:before="120"/>
        <w:rPr>
          <w:snapToGrid w:val="0"/>
        </w:rPr>
      </w:pPr>
      <w:r>
        <w:rPr>
          <w:snapToGrid w:val="0"/>
        </w:rPr>
        <w:tab/>
      </w:r>
      <w:r>
        <w:rPr>
          <w:snapToGrid w:val="0"/>
        </w:rPr>
        <w:tab/>
        <w:t>All fines, subscriptions and levies payable under its rules to an organisation or association by any member or to any association by any organisation may, in so far as they are owing to the organisation or association for any period subsequent to the registration, be sued for and recovered in a court of competent jurisdiction as a debt due to the organisation or association, but every action for the recovery of such fines, subscriptions and levies must be commenced within 12 months from the time when the cause of action arose.</w:t>
      </w:r>
    </w:p>
    <w:p>
      <w:pPr>
        <w:pStyle w:val="Footnotesection"/>
        <w:ind w:left="890" w:hanging="890"/>
      </w:pPr>
      <w:r>
        <w:tab/>
        <w:t>[Section 109 amended: No. 94 of 1984 s. 66; No. 79 of 1995 s. 41; No. 30 of 2021 s. 76(2) and 78(7).]</w:t>
      </w:r>
    </w:p>
    <w:p>
      <w:pPr>
        <w:pStyle w:val="Heading5"/>
        <w:spacing w:before="120"/>
        <w:rPr>
          <w:snapToGrid w:val="0"/>
        </w:rPr>
      </w:pPr>
      <w:bookmarkStart w:id="1525" w:name="_Toc107476809"/>
      <w:bookmarkStart w:id="1526" w:name="_Toc106374343"/>
      <w:r>
        <w:rPr>
          <w:rStyle w:val="CharSectno"/>
        </w:rPr>
        <w:t>110</w:t>
      </w:r>
      <w:r>
        <w:rPr>
          <w:snapToGrid w:val="0"/>
        </w:rPr>
        <w:t>.</w:t>
      </w:r>
      <w:r>
        <w:rPr>
          <w:snapToGrid w:val="0"/>
        </w:rPr>
        <w:tab/>
        <w:t>Disputes between organisation or association and its members, how to be determined</w:t>
      </w:r>
      <w:bookmarkEnd w:id="1525"/>
      <w:bookmarkEnd w:id="1526"/>
    </w:p>
    <w:p>
      <w:pPr>
        <w:pStyle w:val="Subsection"/>
        <w:spacing w:before="120"/>
        <w:rPr>
          <w:snapToGrid w:val="0"/>
        </w:rPr>
      </w:pPr>
      <w:r>
        <w:rPr>
          <w:snapToGrid w:val="0"/>
        </w:rPr>
        <w:tab/>
        <w:t>(1)</w:t>
      </w:r>
      <w:r>
        <w:rPr>
          <w:snapToGrid w:val="0"/>
        </w:rPr>
        <w:tab/>
        <w:t>Every dispute between an organisation and any of its members, or between an association and any organisation, must,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No. 94 of 1984 s. 66; No. 44 of 1991 s. 8; No. 30 of 2021 s. 76(2) and 78(7).]</w:t>
      </w:r>
    </w:p>
    <w:p>
      <w:pPr>
        <w:pStyle w:val="Heading5"/>
        <w:pageBreakBefore/>
        <w:spacing w:before="0"/>
        <w:rPr>
          <w:snapToGrid w:val="0"/>
        </w:rPr>
      </w:pPr>
      <w:bookmarkStart w:id="1527" w:name="_Toc107476810"/>
      <w:bookmarkStart w:id="1528" w:name="_Toc106374344"/>
      <w:r>
        <w:rPr>
          <w:rStyle w:val="CharSectno"/>
        </w:rPr>
        <w:t>111</w:t>
      </w:r>
      <w:r>
        <w:rPr>
          <w:snapToGrid w:val="0"/>
        </w:rPr>
        <w:t>.</w:t>
      </w:r>
      <w:r>
        <w:rPr>
          <w:snapToGrid w:val="0"/>
        </w:rPr>
        <w:tab/>
        <w:t>No premiums etc. to be taken for employment</w:t>
      </w:r>
      <w:bookmarkEnd w:id="1527"/>
      <w:bookmarkEnd w:id="1528"/>
    </w:p>
    <w:p>
      <w:pPr>
        <w:pStyle w:val="Subsection"/>
        <w:rPr>
          <w:snapToGrid w:val="0"/>
        </w:rPr>
      </w:pPr>
      <w:r>
        <w:rPr>
          <w:snapToGrid w:val="0"/>
        </w:rPr>
        <w:tab/>
        <w:t>(1)</w:t>
      </w:r>
      <w:r>
        <w:rPr>
          <w:snapToGrid w:val="0"/>
        </w:rPr>
        <w:tab/>
        <w:t xml:space="preserve">An employer or employee or a person acting on behalf of an employer or employee must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must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r>
      <w:r>
        <w:t>Penalty for this subsection: a fine of</w:t>
      </w:r>
      <w:r>
        <w:rPr>
          <w:snapToGrid w:val="0"/>
        </w:rPr>
        <w:t xml:space="preserve">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No. 94 of 1984 s. 65 and 66; No. 1 of 1995 s. 53; No. 79 of 1995 s. 27; No. 30 of 2021 s. 72(1), 76(2) and 77(3).]</w:t>
      </w:r>
    </w:p>
    <w:p>
      <w:pPr>
        <w:pStyle w:val="Heading5"/>
        <w:rPr>
          <w:snapToGrid w:val="0"/>
        </w:rPr>
      </w:pPr>
      <w:bookmarkStart w:id="1529" w:name="_Toc107476811"/>
      <w:bookmarkStart w:id="1530" w:name="_Toc106374345"/>
      <w:r>
        <w:rPr>
          <w:rStyle w:val="CharSectno"/>
        </w:rPr>
        <w:t>112</w:t>
      </w:r>
      <w:r>
        <w:rPr>
          <w:snapToGrid w:val="0"/>
        </w:rPr>
        <w:t>.</w:t>
      </w:r>
      <w:r>
        <w:rPr>
          <w:snapToGrid w:val="0"/>
        </w:rPr>
        <w:tab/>
        <w:t>Certain rules of organisation as to penalties invalid</w:t>
      </w:r>
      <w:bookmarkEnd w:id="1529"/>
      <w:bookmarkEnd w:id="1530"/>
    </w:p>
    <w:p>
      <w:pPr>
        <w:pStyle w:val="Subsection"/>
        <w:rPr>
          <w:snapToGrid w:val="0"/>
        </w:rPr>
      </w:pPr>
      <w:r>
        <w:rPr>
          <w:snapToGrid w:val="0"/>
        </w:rPr>
        <w:tab/>
        <w:t>(1)</w:t>
      </w:r>
      <w:r>
        <w:rPr>
          <w:snapToGrid w:val="0"/>
        </w:rPr>
        <w:tab/>
        <w:t xml:space="preserve">Where the rules of an organisation contain a provision that authorises or purports to authorise the imposition of a penalty by way of a fine or levy or otherwise on an employee who complies with </w:t>
      </w:r>
      <w:r>
        <w:t>a</w:t>
      </w:r>
      <w:r>
        <w:rPr>
          <w:snapToGrid w:val="0"/>
        </w:rPr>
        <w:t xml:space="preserve"> contract of service the provision is invalid.</w:t>
      </w:r>
    </w:p>
    <w:p>
      <w:pPr>
        <w:pStyle w:val="Subsection"/>
        <w:rPr>
          <w:snapToGrid w:val="0"/>
        </w:rPr>
      </w:pPr>
      <w:r>
        <w:rPr>
          <w:snapToGrid w:val="0"/>
        </w:rPr>
        <w:tab/>
        <w:t>(2)</w:t>
      </w:r>
      <w:r>
        <w:rPr>
          <w:snapToGrid w:val="0"/>
        </w:rPr>
        <w:tab/>
        <w:t>An organisation or any person must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No. 94 of 1984 s. 65 and 66; No. 1 of 1995 s. 53; No. 79 of 1995 s. 28; No. 30 of 2021 s. 76(2) and 77(13).]</w:t>
      </w:r>
    </w:p>
    <w:p>
      <w:pPr>
        <w:pStyle w:val="Heading5"/>
      </w:pPr>
      <w:bookmarkStart w:id="1531" w:name="_Toc107476812"/>
      <w:bookmarkStart w:id="1532" w:name="_Toc106374346"/>
      <w:r>
        <w:rPr>
          <w:rStyle w:val="CharSectno"/>
        </w:rPr>
        <w:t>112A</w:t>
      </w:r>
      <w:r>
        <w:t>.</w:t>
      </w:r>
      <w:r>
        <w:tab/>
        <w:t>Industrial agents, registration of</w:t>
      </w:r>
      <w:bookmarkEnd w:id="1531"/>
      <w:bookmarkEnd w:id="1532"/>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represents that the person is carrying on business as an industrial agent, commits an offence.</w:t>
      </w:r>
    </w:p>
    <w:p>
      <w:pPr>
        <w:pStyle w:val="Penstart"/>
      </w:pPr>
      <w:r>
        <w:tab/>
        <w:t>Penalty for this subsection: a fine of $2 000.</w:t>
      </w:r>
    </w:p>
    <w:p>
      <w:pPr>
        <w:pStyle w:val="Subsection"/>
      </w:pPr>
      <w:r>
        <w:tab/>
        <w:t>(3)</w:t>
      </w:r>
      <w:r>
        <w:tab/>
      </w:r>
      <w:del w:id="1533" w:author="Master Repository Process" w:date="2022-06-30T14:38:00Z">
        <w:r>
          <w:delText>For the purposes of section 12 of</w:delText>
        </w:r>
      </w:del>
      <w:ins w:id="1534" w:author="Master Repository Process" w:date="2022-06-30T14:38:00Z">
        <w:r>
          <w:t>Despite</w:t>
        </w:r>
      </w:ins>
      <w:r>
        <w:t xml:space="preserve"> the </w:t>
      </w:r>
      <w:r>
        <w:rPr>
          <w:i/>
        </w:rPr>
        <w:t xml:space="preserve">Legal Profession </w:t>
      </w:r>
      <w:del w:id="1535" w:author="Master Repository Process" w:date="2022-06-30T14:38:00Z">
        <w:r>
          <w:rPr>
            <w:i/>
            <w:iCs/>
          </w:rPr>
          <w:delText>Act 2008</w:delText>
        </w:r>
      </w:del>
      <w:ins w:id="1536" w:author="Master Repository Process" w:date="2022-06-30T14:38:00Z">
        <w:r>
          <w:rPr>
            <w:i/>
          </w:rPr>
          <w:t>Uniform Law (WA)</w:t>
        </w:r>
        <w:r>
          <w:t xml:space="preserve"> section 10,</w:t>
        </w:r>
      </w:ins>
      <w:r>
        <w:t xml:space="preserve"> 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(3A)</w:t>
      </w:r>
      <w:r>
        <w:tab/>
        <w:t>Subsection (3) does not apply to a disqualified person.</w:t>
      </w:r>
    </w:p>
    <w:p>
      <w:pPr>
        <w:pStyle w:val="Subsection"/>
      </w:pPr>
      <w:bookmarkStart w:id="1537" w:name="_Hlk95483434"/>
      <w:r>
        <w:tab/>
        <w:t>(3B)</w:t>
      </w:r>
      <w:r>
        <w:tab/>
        <w:t xml:space="preserve">In subsection (3A) — </w:t>
      </w:r>
    </w:p>
    <w:p>
      <w:pPr>
        <w:pStyle w:val="Defstart"/>
        <w:rPr>
          <w:ins w:id="1538" w:author="Master Repository Process" w:date="2022-06-30T14:38:00Z"/>
        </w:rPr>
      </w:pPr>
      <w:r>
        <w:tab/>
      </w:r>
      <w:r>
        <w:rPr>
          <w:rStyle w:val="CharDefText"/>
        </w:rPr>
        <w:t>disqualified person</w:t>
      </w:r>
      <w:del w:id="1539" w:author="Master Repository Process" w:date="2022-06-30T14:38:00Z">
        <w:r>
          <w:delText xml:space="preserve"> </w:delText>
        </w:r>
      </w:del>
      <w:ins w:id="1540" w:author="Master Repository Process" w:date="2022-06-30T14:38:00Z">
        <w:r>
          <w:t xml:space="preserve"> — </w:t>
        </w:r>
      </w:ins>
    </w:p>
    <w:p>
      <w:pPr>
        <w:pStyle w:val="Defpara"/>
        <w:rPr>
          <w:ins w:id="1541" w:author="Master Repository Process" w:date="2022-06-30T14:38:00Z"/>
        </w:rPr>
      </w:pPr>
      <w:ins w:id="1542" w:author="Master Repository Process" w:date="2022-06-30T14:38:00Z">
        <w:r>
          <w:tab/>
          <w:t>(a)</w:t>
        </w:r>
        <w:r>
          <w:tab/>
        </w:r>
      </w:ins>
      <w:r>
        <w:t>means</w:t>
      </w:r>
      <w:del w:id="1543" w:author="Master Repository Process" w:date="2022-06-30T14:38:00Z">
        <w:r>
          <w:delText xml:space="preserve"> </w:delText>
        </w:r>
      </w:del>
      <w:ins w:id="1544" w:author="Master Repository Process" w:date="2022-06-30T14:38:00Z">
        <w:r>
          <w:t xml:space="preserve"> — </w:t>
        </w:r>
      </w:ins>
    </w:p>
    <w:p>
      <w:pPr>
        <w:pStyle w:val="Defsubpara"/>
      </w:pPr>
      <w:ins w:id="1545" w:author="Master Repository Process" w:date="2022-06-30T14:38:00Z">
        <w:r>
          <w:tab/>
          <w:t>(i)</w:t>
        </w:r>
        <w:r>
          <w:tab/>
        </w:r>
      </w:ins>
      <w:r>
        <w:t xml:space="preserve">a disqualified person as defined in the </w:t>
      </w:r>
      <w:r>
        <w:rPr>
          <w:i/>
        </w:rPr>
        <w:t xml:space="preserve">Legal Profession </w:t>
      </w:r>
      <w:del w:id="1546" w:author="Master Repository Process" w:date="2022-06-30T14:38:00Z">
        <w:r>
          <w:rPr>
            <w:i/>
          </w:rPr>
          <w:delText>Act 2008</w:delText>
        </w:r>
      </w:del>
      <w:ins w:id="1547" w:author="Master Repository Process" w:date="2022-06-30T14:38:00Z">
        <w:r>
          <w:rPr>
            <w:i/>
          </w:rPr>
          <w:t>Uniform Law (WA)</w:t>
        </w:r>
      </w:ins>
      <w:r>
        <w:t xml:space="preserve"> section </w:t>
      </w:r>
      <w:del w:id="1548" w:author="Master Repository Process" w:date="2022-06-30T14:38:00Z">
        <w:r>
          <w:delText>3 except that —</w:delText>
        </w:r>
      </w:del>
      <w:ins w:id="1549" w:author="Master Repository Process" w:date="2022-06-30T14:38:00Z">
        <w:r>
          <w:t>6(1); or</w:t>
        </w:r>
      </w:ins>
      <w:r>
        <w:t xml:space="preserve"> </w:t>
      </w:r>
    </w:p>
    <w:p>
      <w:pPr>
        <w:pStyle w:val="Defpara"/>
        <w:rPr>
          <w:del w:id="1550" w:author="Master Repository Process" w:date="2022-06-30T14:38:00Z"/>
        </w:rPr>
      </w:pPr>
      <w:r>
        <w:tab/>
        <w:t>(</w:t>
      </w:r>
      <w:del w:id="1551" w:author="Master Repository Process" w:date="2022-06-30T14:38:00Z">
        <w:r>
          <w:delText>a)</w:delText>
        </w:r>
        <w:r>
          <w:tab/>
          <w:delText xml:space="preserve">it includes — </w:delText>
        </w:r>
      </w:del>
    </w:p>
    <w:p>
      <w:pPr>
        <w:pStyle w:val="Defsubpara"/>
        <w:rPr>
          <w:del w:id="1552" w:author="Master Repository Process" w:date="2022-06-30T14:38:00Z"/>
        </w:rPr>
      </w:pPr>
      <w:del w:id="1553" w:author="Master Repository Process" w:date="2022-06-30T14:38:00Z">
        <w:r>
          <w:tab/>
          <w:delText>(i</w:delText>
        </w:r>
      </w:del>
      <w:ins w:id="1554" w:author="Master Repository Process" w:date="2022-06-30T14:38:00Z">
        <w:r>
          <w:t>ii</w:t>
        </w:r>
      </w:ins>
      <w:r>
        <w:t>)</w:t>
      </w:r>
      <w:r>
        <w:tab/>
        <w:t xml:space="preserve">a person whose name has been removed from </w:t>
      </w:r>
      <w:del w:id="1555" w:author="Master Repository Process" w:date="2022-06-30T14:38:00Z">
        <w:r>
          <w:delText>a foreign</w:delText>
        </w:r>
      </w:del>
      <w:ins w:id="1556" w:author="Master Repository Process" w:date="2022-06-30T14:38:00Z">
        <w:r>
          <w:t>an official</w:t>
        </w:r>
      </w:ins>
      <w:r>
        <w:t xml:space="preserve"> roll </w:t>
      </w:r>
      <w:del w:id="1557" w:author="Master Repository Process" w:date="2022-06-30T14:38:00Z">
        <w:r>
          <w:delText xml:space="preserve">as defined in section 3 </w:delText>
        </w:r>
      </w:del>
      <w:r>
        <w:t xml:space="preserve">of </w:t>
      </w:r>
      <w:del w:id="1558" w:author="Master Repository Process" w:date="2022-06-30T14:38:00Z">
        <w:r>
          <w:delText>that Act; and</w:delText>
        </w:r>
      </w:del>
    </w:p>
    <w:p>
      <w:pPr>
        <w:pStyle w:val="Defsubpara"/>
      </w:pPr>
      <w:del w:id="1559" w:author="Master Repository Process" w:date="2022-06-30T14:38:00Z">
        <w:r>
          <w:tab/>
          <w:delText>(ii)</w:delText>
        </w:r>
        <w:r>
          <w:tab/>
          <w:delText>a person in relation to whom the grant or renewal of a local</w:delText>
        </w:r>
      </w:del>
      <w:ins w:id="1560" w:author="Master Repository Process" w:date="2022-06-30T14:38:00Z">
        <w:r>
          <w:t>lawyers (whether admitted,</w:t>
        </w:r>
      </w:ins>
      <w:r>
        <w:t xml:space="preserve"> practising </w:t>
      </w:r>
      <w:del w:id="1561" w:author="Master Repository Process" w:date="2022-06-30T14:38:00Z">
        <w:r>
          <w:delText>certificate as defined in section 3 of that Act has been refused;</w:delText>
        </w:r>
      </w:del>
      <w:ins w:id="1562" w:author="Master Repository Process" w:date="2022-06-30T14:38:00Z">
        <w:r>
          <w:t xml:space="preserve">or otherwise) kept in a foreign country (a </w:t>
        </w:r>
        <w:r>
          <w:rPr>
            <w:rStyle w:val="CharDefText"/>
          </w:rPr>
          <w:t>foreign roll</w:t>
        </w:r>
        <w:r>
          <w:t xml:space="preserve">); </w:t>
        </w:r>
      </w:ins>
    </w:p>
    <w:p>
      <w:pPr>
        <w:pStyle w:val="Defpara"/>
      </w:pPr>
      <w:r>
        <w:tab/>
      </w:r>
      <w:r>
        <w:tab/>
        <w:t>but</w:t>
      </w:r>
    </w:p>
    <w:p>
      <w:pPr>
        <w:pStyle w:val="Defpara"/>
      </w:pPr>
      <w:r>
        <w:tab/>
        <w:t>(b)</w:t>
      </w:r>
      <w:r>
        <w:tab/>
      </w:r>
      <w:del w:id="1563" w:author="Master Repository Process" w:date="2022-06-30T14:38:00Z">
        <w:r>
          <w:delText xml:space="preserve">it </w:delText>
        </w:r>
      </w:del>
      <w:r>
        <w:t xml:space="preserve">does not include — </w:t>
      </w:r>
    </w:p>
    <w:p>
      <w:pPr>
        <w:pStyle w:val="Defsubpara"/>
      </w:pPr>
      <w:r>
        <w:tab/>
        <w:t>(i)</w:t>
      </w:r>
      <w:r>
        <w:tab/>
        <w:t xml:space="preserve">a person whose name has, for reasons </w:t>
      </w:r>
      <w:del w:id="1564" w:author="Master Repository Process" w:date="2022-06-30T14:38:00Z">
        <w:r>
          <w:delText>other than or in connection</w:delText>
        </w:r>
      </w:del>
      <w:ins w:id="1565" w:author="Master Repository Process" w:date="2022-06-30T14:38:00Z">
        <w:r>
          <w:t>unconnected</w:t>
        </w:r>
      </w:ins>
      <w:r>
        <w:t xml:space="preserve"> with disciplinary action, been removed from </w:t>
      </w:r>
      <w:del w:id="1566" w:author="Master Repository Process" w:date="2022-06-30T14:38:00Z">
        <w:r>
          <w:delText xml:space="preserve">an Australian roll or </w:delText>
        </w:r>
      </w:del>
      <w:ins w:id="1567" w:author="Master Repository Process" w:date="2022-06-30T14:38:00Z">
        <w:r>
          <w:t xml:space="preserve">a </w:t>
        </w:r>
      </w:ins>
      <w:r>
        <w:t xml:space="preserve">foreign roll </w:t>
      </w:r>
      <w:ins w:id="1568" w:author="Master Repository Process" w:date="2022-06-30T14:38:00Z">
        <w:r>
          <w:t xml:space="preserve">or a Supreme Court roll </w:t>
        </w:r>
      </w:ins>
      <w:r>
        <w:t xml:space="preserve">as </w:t>
      </w:r>
      <w:del w:id="1569" w:author="Master Repository Process" w:date="2022-06-30T14:38:00Z">
        <w:r>
          <w:delText xml:space="preserve">those terms are </w:delText>
        </w:r>
      </w:del>
      <w:r>
        <w:t xml:space="preserve">defined in </w:t>
      </w:r>
      <w:ins w:id="1570" w:author="Master Repository Process" w:date="2022-06-30T14:38:00Z">
        <w:r>
          <w:t xml:space="preserve">the </w:t>
        </w:r>
        <w:r>
          <w:rPr>
            <w:i/>
          </w:rPr>
          <w:t>Legal Profession Uniform Law (WA)</w:t>
        </w:r>
        <w:r>
          <w:t xml:space="preserve"> </w:t>
        </w:r>
      </w:ins>
      <w:r>
        <w:t>section </w:t>
      </w:r>
      <w:del w:id="1571" w:author="Master Repository Process" w:date="2022-06-30T14:38:00Z">
        <w:r>
          <w:delText>3 of that Act;</w:delText>
        </w:r>
      </w:del>
      <w:ins w:id="1572" w:author="Master Repository Process" w:date="2022-06-30T14:38:00Z">
        <w:r>
          <w:t>6(1);</w:t>
        </w:r>
      </w:ins>
      <w:r>
        <w:t xml:space="preserve"> or</w:t>
      </w:r>
    </w:p>
    <w:p>
      <w:pPr>
        <w:pStyle w:val="Defsubpara"/>
      </w:pPr>
      <w:r>
        <w:tab/>
        <w:t>(ii)</w:t>
      </w:r>
      <w:r>
        <w:tab/>
        <w:t xml:space="preserve">a person whose </w:t>
      </w:r>
      <w:del w:id="1573" w:author="Master Repository Process" w:date="2022-06-30T14:38:00Z">
        <w:r>
          <w:delText>local</w:delText>
        </w:r>
      </w:del>
      <w:ins w:id="1574" w:author="Master Repository Process" w:date="2022-06-30T14:38:00Z">
        <w:r>
          <w:t>Australian</w:t>
        </w:r>
      </w:ins>
      <w:r>
        <w:t xml:space="preserve"> practising certificate </w:t>
      </w:r>
      <w:ins w:id="1575" w:author="Master Repository Process" w:date="2022-06-30T14:38:00Z">
        <w:r>
          <w:t>(</w:t>
        </w:r>
      </w:ins>
      <w:r>
        <w:t xml:space="preserve">as defined in </w:t>
      </w:r>
      <w:ins w:id="1576" w:author="Master Repository Process" w:date="2022-06-30T14:38:00Z">
        <w:r>
          <w:t xml:space="preserve">the </w:t>
        </w:r>
        <w:r>
          <w:rPr>
            <w:i/>
          </w:rPr>
          <w:t>Legal Profession Uniform Law (WA)</w:t>
        </w:r>
        <w:r>
          <w:t xml:space="preserve"> </w:t>
        </w:r>
      </w:ins>
      <w:r>
        <w:t>section </w:t>
      </w:r>
      <w:del w:id="1577" w:author="Master Repository Process" w:date="2022-06-30T14:38:00Z">
        <w:r>
          <w:delText>3 of that Act</w:delText>
        </w:r>
      </w:del>
      <w:ins w:id="1578" w:author="Master Repository Process" w:date="2022-06-30T14:38:00Z">
        <w:r>
          <w:t>6(1))</w:t>
        </w:r>
      </w:ins>
      <w:r>
        <w:t xml:space="preserve"> has, for reasons </w:t>
      </w:r>
      <w:del w:id="1579" w:author="Master Repository Process" w:date="2022-06-30T14:38:00Z">
        <w:r>
          <w:delText>other than or in connection</w:delText>
        </w:r>
      </w:del>
      <w:ins w:id="1580" w:author="Master Repository Process" w:date="2022-06-30T14:38:00Z">
        <w:r>
          <w:t>unconnected</w:t>
        </w:r>
      </w:ins>
      <w:r>
        <w:t xml:space="preserve"> with disciplinary action, been suspended or cancelled.</w:t>
      </w:r>
      <w:bookmarkEnd w:id="1537"/>
    </w:p>
    <w:p>
      <w:pPr>
        <w:pStyle w:val="Subsection"/>
      </w:pPr>
      <w:r>
        <w:tab/>
        <w:t>(4)</w:t>
      </w:r>
      <w:r>
        <w:tab/>
        <w:t>A person must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anything which is authorised or required to be prescribed for the purposes of this section.</w:t>
      </w:r>
    </w:p>
    <w:p>
      <w:pPr>
        <w:pStyle w:val="Footnotesection"/>
        <w:spacing w:before="80"/>
        <w:ind w:left="890" w:hanging="890"/>
      </w:pPr>
      <w:r>
        <w:tab/>
        <w:t>[Section 112A inserted: No. 79 of 1995 s. 16; amended: No. 20 of 2002 s. 136; No. 65 of 2003 s. 41(3); No. 21 of 2008 s. 668(5); No. 53 of 2011 s. 48; No. 30 of 2021 s. 69, 72(1), 76(2), 77(13) and 78(5</w:t>
      </w:r>
      <w:del w:id="1581" w:author="Master Repository Process" w:date="2022-06-30T14:38:00Z">
        <w:r>
          <w:delText>).]</w:delText>
        </w:r>
      </w:del>
      <w:ins w:id="1582" w:author="Master Repository Process" w:date="2022-06-30T14:38:00Z">
        <w:r>
          <w:t>); No. 9 of 2022 s. 359.]</w:t>
        </w:r>
      </w:ins>
    </w:p>
    <w:p>
      <w:pPr>
        <w:pStyle w:val="Heading5"/>
        <w:rPr>
          <w:snapToGrid w:val="0"/>
        </w:rPr>
      </w:pPr>
      <w:bookmarkStart w:id="1583" w:name="_Toc107476813"/>
      <w:bookmarkStart w:id="1584" w:name="_Toc106374347"/>
      <w:r>
        <w:rPr>
          <w:rStyle w:val="CharSectno"/>
        </w:rPr>
        <w:t>113</w:t>
      </w:r>
      <w:r>
        <w:rPr>
          <w:snapToGrid w:val="0"/>
        </w:rPr>
        <w:t>.</w:t>
      </w:r>
      <w:r>
        <w:rPr>
          <w:snapToGrid w:val="0"/>
        </w:rPr>
        <w:tab/>
        <w:t>Regulations</w:t>
      </w:r>
      <w:bookmarkEnd w:id="1583"/>
      <w:bookmarkEnd w:id="1584"/>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this paragraph,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or 33ZI of the </w:t>
      </w:r>
      <w:r>
        <w:rPr>
          <w:i/>
        </w:rPr>
        <w:t>Police Act 1892</w:t>
      </w:r>
      <w:r>
        <w:t>; and</w:t>
      </w:r>
    </w:p>
    <w:p>
      <w:pPr>
        <w:pStyle w:val="Indenti"/>
      </w:pPr>
      <w:r>
        <w:tab/>
        <w:t>(ia)</w:t>
      </w:r>
      <w:r>
        <w:tab/>
        <w:t xml:space="preserve">disputes under the </w:t>
      </w:r>
      <w:r>
        <w:rPr>
          <w:i/>
        </w:rPr>
        <w:t xml:space="preserve">Police Act 1892 </w:t>
      </w:r>
      <w:r>
        <w:t>Part 2D Division 3;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Work Health and Safety Act 2020</w:t>
      </w:r>
      <w:r>
        <w:t>; and</w:t>
      </w:r>
    </w:p>
    <w:p>
      <w:pPr>
        <w:pStyle w:val="IndentI0"/>
      </w:pPr>
      <w:r>
        <w:tab/>
        <w:t>(II)</w:t>
      </w:r>
      <w:r>
        <w:tab/>
        <w:t xml:space="preserve">the </w:t>
      </w:r>
      <w:r>
        <w:rPr>
          <w:i/>
        </w:rPr>
        <w:t>Owner</w:t>
      </w:r>
      <w:r>
        <w:rPr>
          <w:i/>
        </w:rPr>
        <w:noBreakHyphen/>
        <w:t>Drivers (Contracts and Disputes) Act 2007</w:t>
      </w:r>
      <w:r>
        <w:t>;</w:t>
      </w:r>
    </w:p>
    <w:p>
      <w:pPr>
        <w:pStyle w:val="Ednotesubpara"/>
      </w:pPr>
      <w:r>
        <w:rPr>
          <w:snapToGrid w:val="0"/>
        </w:rPr>
        <w:tab/>
      </w:r>
      <w:r>
        <w:tab/>
        <w:t>[(IIIA)-(V))</w:t>
      </w:r>
      <w:r>
        <w:tab/>
        <w:t>deleted]</w:t>
      </w:r>
    </w:p>
    <w:p>
      <w:pPr>
        <w:pStyle w:val="Indenta"/>
        <w:rPr>
          <w:snapToGrid w:val="0"/>
        </w:rPr>
      </w:pPr>
      <w:r>
        <w:rPr>
          <w:snapToGrid w:val="0"/>
        </w:rPr>
        <w:tab/>
      </w:r>
      <w:r>
        <w:rPr>
          <w:snapToGrid w:val="0"/>
        </w:rPr>
        <w:tab/>
        <w:t>and</w:t>
      </w:r>
    </w:p>
    <w:p>
      <w:pPr>
        <w:pStyle w:val="Indenta"/>
      </w:pPr>
      <w:r>
        <w:tab/>
        <w:t>(daa)</w:t>
      </w:r>
      <w:r>
        <w:tab/>
      </w:r>
      <w:r>
        <w:rPr>
          <w:szCs w:val="24"/>
        </w:rPr>
        <w:t xml:space="preserve">prescribing matters that, under the </w:t>
      </w:r>
      <w:r>
        <w:rPr>
          <w:i/>
        </w:rPr>
        <w:t xml:space="preserve">Police Act 1892 </w:t>
      </w:r>
      <w:r>
        <w:t>section 33ZZJ</w:t>
      </w:r>
      <w:r>
        <w:rPr>
          <w:szCs w:val="24"/>
        </w:rPr>
        <w:t>, are required or permitted to be prescribed under this Act; 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 xml:space="preserve">Regulations made by the Commission must, as far as practicable, prescribe </w:t>
      </w:r>
      <w:r>
        <w:t>or provide for the approval of</w:t>
      </w:r>
      <w:r>
        <w:rPr>
          <w:snapToGrid w:val="0"/>
        </w:rPr>
        <w:t xml:space="preserve"> one form for the reference of all matters to the Commission and may provide for the attachment of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the fees to be paid in respect of any proceeding before the Court and the Commission, and the party by whom such fees must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[Section 113 amended: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 No. 39 of 2018 s. 62; No. 19 of 2019 s. 9; No. 36 of 2020 s. 362; No. 26 of 2021 s. 6; No. 30 of 2021 s. 76(2) and (8) and 78(7).]</w:t>
      </w:r>
    </w:p>
    <w:p>
      <w:pPr>
        <w:pStyle w:val="Heading5"/>
        <w:rPr>
          <w:snapToGrid w:val="0"/>
        </w:rPr>
      </w:pPr>
      <w:bookmarkStart w:id="1585" w:name="_Toc107476814"/>
      <w:bookmarkStart w:id="1586" w:name="_Toc106374348"/>
      <w:r>
        <w:rPr>
          <w:rStyle w:val="CharSectno"/>
        </w:rPr>
        <w:t>114</w:t>
      </w:r>
      <w:r>
        <w:rPr>
          <w:snapToGrid w:val="0"/>
        </w:rPr>
        <w:t>.</w:t>
      </w:r>
      <w:r>
        <w:rPr>
          <w:snapToGrid w:val="0"/>
        </w:rPr>
        <w:tab/>
        <w:t>Contracting out from awards etc. prohibited</w:t>
      </w:r>
      <w:bookmarkEnd w:id="1585"/>
      <w:bookmarkEnd w:id="1586"/>
    </w:p>
    <w:p>
      <w:pPr>
        <w:pStyle w:val="Subsection"/>
        <w:spacing w:before="140"/>
        <w:rPr>
          <w:snapToGrid w:val="0"/>
        </w:rPr>
      </w:pPr>
      <w:r>
        <w:rPr>
          <w:snapToGrid w:val="0"/>
        </w:rPr>
        <w:tab/>
        <w:t>(1)</w:t>
      </w:r>
      <w:r>
        <w:rPr>
          <w:snapToGrid w:val="0"/>
        </w:rPr>
        <w:tab/>
        <w:t xml:space="preserve">Subject to this Act, a person is not freed or discharged from any liability or penalty or from the obligation of any award, industrial agreement or order of the Commission by reason of any contract made or entered into by the person or on </w:t>
      </w:r>
      <w:r>
        <w:t>the person’s</w:t>
      </w:r>
      <w:r>
        <w:rPr>
          <w:snapToGrid w:val="0"/>
        </w:rPr>
        <w:t xml:space="preserve"> behalf, and every contract, in so far as it purports to annul or vary such award, industrial agreement or order of the Commission, is, to that extent, void without prejudice to the other provisions of the contract which are taken to be severable from any voided provisions.</w:t>
      </w:r>
    </w:p>
    <w:p>
      <w:pPr>
        <w:pStyle w:val="Subsection"/>
        <w:spacing w:before="140"/>
        <w:rPr>
          <w:snapToGrid w:val="0"/>
        </w:rPr>
      </w:pPr>
      <w:r>
        <w:rPr>
          <w:snapToGrid w:val="0"/>
        </w:rPr>
        <w:tab/>
        <w:t>(2)</w:t>
      </w:r>
      <w:r>
        <w:rPr>
          <w:snapToGrid w:val="0"/>
        </w:rPr>
        <w:tab/>
        <w:t xml:space="preserve">Each employee is entitled to be paid by the employee’s employer in accordance with any award, industrial agreement or order of the Commission binding on </w:t>
      </w:r>
      <w:r>
        <w:t>the</w:t>
      </w:r>
      <w:r>
        <w:rPr>
          <w:snapToGrid w:val="0"/>
        </w:rPr>
        <w:t xml:space="preserve"> employer and applicable to </w:t>
      </w:r>
      <w:r>
        <w:t>the employee</w:t>
      </w:r>
      <w:r>
        <w:rPr>
          <w:snapToGrid w:val="0"/>
        </w:rPr>
        <w:t xml:space="preserve"> and to the work performed, notwithstanding any contract or pretended contract to the contrary, and the employee may recover as wages the amount to which </w:t>
      </w:r>
      <w:r>
        <w:t>the employee</w:t>
      </w:r>
      <w:r>
        <w:rPr>
          <w:snapToGrid w:val="0"/>
        </w:rPr>
        <w:t xml:space="preserve"> is declared entitled in any court of competent jurisdiction, but every action for the recovery of any such amount must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No. 94 of 1984 s. 62; No. 119 of 1987 s. 24; No. 15 of 1993 s. 29; Gazette 15 Aug 2003 p. 3686; No. 30 of 2021 s. 76(2)</w:t>
      </w:r>
      <w:r>
        <w:noBreakHyphen/>
        <w:t>(4) and (8), 77(4), (5) and (13) and 78(2) and (7).]</w:t>
      </w:r>
    </w:p>
    <w:p>
      <w:pPr>
        <w:pStyle w:val="Heading5"/>
      </w:pPr>
      <w:bookmarkStart w:id="1587" w:name="_Toc107476815"/>
      <w:bookmarkStart w:id="1588" w:name="_Toc106374349"/>
      <w:r>
        <w:rPr>
          <w:rStyle w:val="CharSectno"/>
        </w:rPr>
        <w:t>115</w:t>
      </w:r>
      <w:r>
        <w:t>.</w:t>
      </w:r>
      <w:r>
        <w:tab/>
        <w:t>Police officers, application of Act to (Sch. 3)</w:t>
      </w:r>
      <w:bookmarkEnd w:id="1587"/>
      <w:bookmarkEnd w:id="1588"/>
    </w:p>
    <w:p>
      <w:pPr>
        <w:pStyle w:val="Subsection"/>
        <w:keepNext/>
      </w:pPr>
      <w:r>
        <w:tab/>
      </w:r>
      <w:r>
        <w:tab/>
        <w:t>Schedule 3 has effect.</w:t>
      </w:r>
    </w:p>
    <w:p>
      <w:pPr>
        <w:pStyle w:val="Footnotesection"/>
        <w:keepNext/>
      </w:pPr>
      <w:r>
        <w:tab/>
        <w:t>[Section 115 inserted: No. 58 of 2000 s. 4.]</w:t>
      </w:r>
    </w:p>
    <w:p>
      <w:pPr>
        <w:pStyle w:val="Heading5"/>
        <w:spacing w:before="260"/>
      </w:pPr>
      <w:bookmarkStart w:id="1589" w:name="_Toc107476816"/>
      <w:bookmarkStart w:id="1590" w:name="_Toc106374350"/>
      <w:r>
        <w:rPr>
          <w:rStyle w:val="CharSectno"/>
        </w:rPr>
        <w:t>116</w:t>
      </w:r>
      <w:r>
        <w:t>.</w:t>
      </w:r>
      <w:r>
        <w:tab/>
        <w:t xml:space="preserve">Transitional provisions for </w:t>
      </w:r>
      <w:r>
        <w:rPr>
          <w:i/>
        </w:rPr>
        <w:t>Industrial Relations Amendment Act 2018</w:t>
      </w:r>
      <w:bookmarkEnd w:id="1589"/>
      <w:bookmarkEnd w:id="1590"/>
    </w:p>
    <w:p>
      <w:pPr>
        <w:pStyle w:val="Subsection"/>
      </w:pPr>
      <w:r>
        <w:tab/>
        <w:t>(1)</w:t>
      </w:r>
      <w:r>
        <w:tab/>
        <w:t>Schedule 6 sets out transitional provisions.</w:t>
      </w:r>
    </w:p>
    <w:p>
      <w:pPr>
        <w:pStyle w:val="Subsection"/>
      </w:pPr>
      <w:r>
        <w:tab/>
        <w:t>(2)</w:t>
      </w:r>
      <w:r>
        <w:tab/>
        <w:t xml:space="preserve">Schedule 6 does not affect the operation of the </w:t>
      </w:r>
      <w:r>
        <w:rPr>
          <w:i/>
        </w:rPr>
        <w:t>Interpretation Act 1984</w:t>
      </w:r>
      <w:r>
        <w:t xml:space="preserve"> Part V.</w:t>
      </w:r>
    </w:p>
    <w:p>
      <w:pPr>
        <w:pStyle w:val="Footnotesection"/>
      </w:pPr>
      <w:r>
        <w:tab/>
        <w:t>[Section 116 inserted: No. 39 of 2018 s. 63.]</w:t>
      </w:r>
    </w:p>
    <w:p>
      <w:pPr>
        <w:pStyle w:val="Heading5"/>
      </w:pPr>
      <w:bookmarkStart w:id="1591" w:name="_Toc107476817"/>
      <w:bookmarkStart w:id="1592" w:name="_Toc90558357"/>
      <w:bookmarkStart w:id="1593" w:name="_Toc95209438"/>
      <w:bookmarkStart w:id="1594" w:name="_Toc106374351"/>
      <w:r>
        <w:rPr>
          <w:rStyle w:val="CharSectno"/>
        </w:rPr>
        <w:t>117</w:t>
      </w:r>
      <w:r>
        <w:t>.</w:t>
      </w:r>
      <w:r>
        <w:tab/>
        <w:t xml:space="preserve">Savings and transitional provisions for </w:t>
      </w:r>
      <w:r>
        <w:rPr>
          <w:i/>
        </w:rPr>
        <w:t>Industrial Relations Legislation Amendment Act 2021</w:t>
      </w:r>
      <w:bookmarkEnd w:id="1591"/>
      <w:bookmarkEnd w:id="1592"/>
      <w:bookmarkEnd w:id="1593"/>
      <w:bookmarkEnd w:id="1594"/>
    </w:p>
    <w:p>
      <w:pPr>
        <w:pStyle w:val="Subsection"/>
      </w:pPr>
      <w:r>
        <w:tab/>
        <w:t>(1)</w:t>
      </w:r>
      <w:r>
        <w:tab/>
        <w:t xml:space="preserve">In this section — </w:t>
      </w:r>
    </w:p>
    <w:p>
      <w:pPr>
        <w:pStyle w:val="Defstart"/>
      </w:pPr>
      <w:r>
        <w:tab/>
      </w:r>
      <w:r>
        <w:rPr>
          <w:rStyle w:val="CharDefText"/>
        </w:rPr>
        <w:t>commencement day</w:t>
      </w:r>
      <w:r>
        <w:t xml:space="preserve"> means the day on which the </w:t>
      </w:r>
      <w:r>
        <w:rPr>
          <w:i/>
        </w:rPr>
        <w:t>Industrial Relations Legislation Amendment Act 2021</w:t>
      </w:r>
      <w:r>
        <w:t xml:space="preserve"> section 15 comes into operation;</w:t>
      </w:r>
    </w:p>
    <w:p>
      <w:pPr>
        <w:pStyle w:val="Defstart"/>
      </w:pPr>
      <w:r>
        <w:tab/>
      </w:r>
      <w:r>
        <w:rPr>
          <w:rStyle w:val="CharDefText"/>
        </w:rPr>
        <w:t>former section</w:t>
      </w:r>
      <w:r>
        <w:t xml:space="preserve"> means a section of this Act as in operation immediately before the commencement day;</w:t>
      </w:r>
    </w:p>
    <w:p>
      <w:pPr>
        <w:pStyle w:val="Defstart"/>
      </w:pPr>
      <w:r>
        <w:tab/>
      </w:r>
      <w:r>
        <w:rPr>
          <w:rStyle w:val="CharDefText"/>
        </w:rPr>
        <w:t>transitioned private sector award</w:t>
      </w:r>
      <w:r>
        <w:t xml:space="preserve"> means a private sector award that was in force immediately before the commencement day.</w:t>
      </w:r>
    </w:p>
    <w:p>
      <w:pPr>
        <w:pStyle w:val="Subsection"/>
      </w:pPr>
      <w:r>
        <w:tab/>
        <w:t>(2)</w:t>
      </w:r>
      <w:r>
        <w:tab/>
        <w:t xml:space="preserve">On and after the commencement day, former section 37(1) continues in operation in relation to a transitioned private sector award until the award is — </w:t>
      </w:r>
    </w:p>
    <w:p>
      <w:pPr>
        <w:pStyle w:val="Indenta"/>
      </w:pPr>
      <w:r>
        <w:tab/>
        <w:t>(a)</w:t>
      </w:r>
      <w:r>
        <w:tab/>
        <w:t xml:space="preserve">cancelled; or </w:t>
      </w:r>
    </w:p>
    <w:p>
      <w:pPr>
        <w:pStyle w:val="Indenta"/>
      </w:pPr>
      <w:r>
        <w:tab/>
        <w:t>(b)</w:t>
      </w:r>
      <w:r>
        <w:tab/>
        <w:t>varied under section 37D, 40(2A) or 50(5).</w:t>
      </w:r>
    </w:p>
    <w:p>
      <w:pPr>
        <w:pStyle w:val="Subsection"/>
      </w:pPr>
      <w:r>
        <w:tab/>
        <w:t>(3)</w:t>
      </w:r>
      <w:r>
        <w:tab/>
        <w:t>Sections 37B and 37C do not apply to a transitioned private sector award until it is varied under section 37D, 40(2A) or 50(5).</w:t>
      </w:r>
    </w:p>
    <w:p>
      <w:pPr>
        <w:pStyle w:val="Subsection"/>
      </w:pPr>
      <w:r>
        <w:tab/>
        <w:t>(4)</w:t>
      </w:r>
      <w:r>
        <w:tab/>
        <w:t xml:space="preserve">This section does not affect the operation of the </w:t>
      </w:r>
      <w:r>
        <w:rPr>
          <w:i/>
        </w:rPr>
        <w:t>Interpretation Act 1984</w:t>
      </w:r>
      <w:r>
        <w:t xml:space="preserve"> Part V.</w:t>
      </w:r>
    </w:p>
    <w:p>
      <w:pPr>
        <w:pStyle w:val="Footnotesection"/>
      </w:pPr>
      <w:r>
        <w:tab/>
        <w:t>[Section 117 inserted: No. 30 of 2021 s. 70.]</w:t>
      </w:r>
    </w:p>
    <w:p>
      <w:pPr>
        <w:pStyle w:val="Ednotepart"/>
      </w:pPr>
      <w:r>
        <w:t xml:space="preserve"> [Part VIII deleted: No. 39 of 2018 s. 64.]</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595" w:name="_Toc107322689"/>
      <w:bookmarkStart w:id="1596" w:name="_Toc107476818"/>
      <w:bookmarkStart w:id="1597" w:name="_Toc105760361"/>
      <w:bookmarkStart w:id="1598" w:name="_Toc106195678"/>
      <w:bookmarkStart w:id="1599" w:name="_Toc106367621"/>
      <w:bookmarkStart w:id="1600" w:name="_Toc106374352"/>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1595"/>
      <w:bookmarkEnd w:id="1596"/>
      <w:bookmarkEnd w:id="1597"/>
      <w:bookmarkEnd w:id="1598"/>
      <w:bookmarkEnd w:id="1599"/>
      <w:bookmarkEnd w:id="1600"/>
    </w:p>
    <w:p>
      <w:pPr>
        <w:pStyle w:val="yShoulderClause"/>
      </w:pPr>
      <w:r>
        <w:t>[s. 93(3) and 105]</w:t>
      </w:r>
    </w:p>
    <w:p>
      <w:pPr>
        <w:pStyle w:val="yFootnoteheading"/>
      </w:pPr>
      <w:r>
        <w:tab/>
        <w:t>[Heading amended: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Ednotenumbereditem"/>
        <w:tabs>
          <w:tab w:val="left" w:pos="1022"/>
          <w:tab w:val="left" w:pos="1610"/>
        </w:tabs>
        <w:ind w:left="1624" w:hanging="1624"/>
        <w:rPr>
          <w:snapToGrid w:val="0"/>
        </w:rPr>
      </w:pPr>
      <w:r>
        <w:rPr>
          <w:snapToGrid w:val="0"/>
        </w:rPr>
        <w:tab/>
        <w:t>[(c)</w:t>
      </w:r>
      <w:r>
        <w:rPr>
          <w:snapToGrid w:val="0"/>
        </w:rPr>
        <w:tab/>
        <w:t>deleted]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 xml:space="preserve">Notification of the appointment of any person as </w:t>
      </w:r>
      <w:r>
        <w:t>chairperson</w:t>
      </w:r>
      <w:r>
        <w:rPr>
          <w:snapToGrid w:val="0"/>
        </w:rPr>
        <w:t xml:space="preserve">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pPr>
        <w:pStyle w:val="yFootnotesection"/>
        <w:tabs>
          <w:tab w:val="clear" w:pos="893"/>
          <w:tab w:val="left" w:pos="567"/>
        </w:tabs>
        <w:ind w:left="567" w:hanging="567"/>
      </w:pPr>
      <w:r>
        <w:tab/>
        <w:t>[Schedule 1 amended: No. 94 of 1984 s. 66; No. 15 of 1993 s. 30; No. 79 of 1995 s. 42; No. 20 of 2002 s. 113(5) and 190(10); No. 39 of 2018 s. 65; No. 30 of 2021 s. 77(1).]</w:t>
      </w:r>
    </w:p>
    <w:p>
      <w:pPr>
        <w:pStyle w:val="yEdnoteschedule"/>
      </w:pPr>
      <w:r>
        <w:t>[Schedule 2 deleted: No. 20 of 2002 s. 194(7).]</w:t>
      </w:r>
    </w:p>
    <w:p>
      <w:pPr>
        <w:pStyle w:val="yScheduleHeading"/>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pPr>
      <w:bookmarkStart w:id="1602" w:name="_Toc107322690"/>
      <w:bookmarkStart w:id="1603" w:name="_Toc107476819"/>
      <w:bookmarkStart w:id="1604" w:name="_Toc105760362"/>
      <w:bookmarkStart w:id="1605" w:name="_Toc106195679"/>
      <w:bookmarkStart w:id="1606" w:name="_Toc106367622"/>
      <w:bookmarkStart w:id="1607" w:name="_Toc106374353"/>
      <w:r>
        <w:rPr>
          <w:rStyle w:val="CharSchNo"/>
        </w:rPr>
        <w:t>Schedule 3</w:t>
      </w:r>
      <w:r>
        <w:t> — </w:t>
      </w:r>
      <w:r>
        <w:rPr>
          <w:rStyle w:val="CharSchText"/>
        </w:rPr>
        <w:t>Police officers</w:t>
      </w:r>
      <w:bookmarkEnd w:id="1602"/>
      <w:bookmarkEnd w:id="1603"/>
      <w:bookmarkEnd w:id="1604"/>
      <w:bookmarkEnd w:id="1605"/>
      <w:bookmarkEnd w:id="1606"/>
      <w:bookmarkEnd w:id="1607"/>
    </w:p>
    <w:p>
      <w:pPr>
        <w:pStyle w:val="yShoulderClause"/>
      </w:pPr>
      <w:r>
        <w:t>[s. 115]</w:t>
      </w:r>
    </w:p>
    <w:p>
      <w:pPr>
        <w:pStyle w:val="yFootnoteheading"/>
      </w:pPr>
      <w:r>
        <w:tab/>
        <w:t>[Heading inserted: No. 58 of 2000 s. 5.]</w:t>
      </w:r>
    </w:p>
    <w:p>
      <w:pPr>
        <w:pStyle w:val="yHeading5"/>
        <w:spacing w:before="160"/>
      </w:pPr>
      <w:bookmarkStart w:id="1608" w:name="_Toc107476820"/>
      <w:bookmarkStart w:id="1609" w:name="_Toc106374354"/>
      <w:r>
        <w:rPr>
          <w:rStyle w:val="CharSClsNo"/>
        </w:rPr>
        <w:t>1</w:t>
      </w:r>
      <w:r>
        <w:t>.</w:t>
      </w:r>
      <w:r>
        <w:tab/>
        <w:t>Term used: Arbitrator</w:t>
      </w:r>
      <w:bookmarkEnd w:id="1608"/>
      <w:bookmarkEnd w:id="1609"/>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No. 58 of 2000 s. 5; amended: No. 8 of 2008 s. 13 and 23(3).]</w:t>
      </w:r>
    </w:p>
    <w:p>
      <w:pPr>
        <w:pStyle w:val="yHeading5"/>
        <w:spacing w:before="160"/>
      </w:pPr>
      <w:bookmarkStart w:id="1610" w:name="_Toc107476821"/>
      <w:bookmarkStart w:id="1611" w:name="_Toc106374355"/>
      <w:r>
        <w:rPr>
          <w:rStyle w:val="CharSClsNo"/>
        </w:rPr>
        <w:t>2</w:t>
      </w:r>
      <w:r>
        <w:t>.</w:t>
      </w:r>
      <w:r>
        <w:tab/>
        <w:t>Application of Act to police officer</w:t>
      </w:r>
      <w:bookmarkEnd w:id="1610"/>
      <w:bookmarkEnd w:id="1611"/>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No. 58 of 2000 s. 5; amended: No. 59 of 2006 s. 73; No. 42 of 2009 s. 19.]</w:t>
      </w:r>
    </w:p>
    <w:p>
      <w:pPr>
        <w:pStyle w:val="yHeading5"/>
      </w:pPr>
      <w:bookmarkStart w:id="1612" w:name="_Toc107476822"/>
      <w:bookmarkStart w:id="1613" w:name="_Toc106374356"/>
      <w:r>
        <w:rPr>
          <w:rStyle w:val="CharSClsNo"/>
        </w:rPr>
        <w:t>3</w:t>
      </w:r>
      <w:r>
        <w:t>.</w:t>
      </w:r>
      <w:r>
        <w:tab/>
        <w:t>Western Australian Police Union of Workers, status of</w:t>
      </w:r>
      <w:bookmarkEnd w:id="1612"/>
      <w:bookmarkEnd w:id="1613"/>
    </w:p>
    <w:p>
      <w:pPr>
        <w:pStyle w:val="ySubsection"/>
      </w:pPr>
      <w:r>
        <w:tab/>
      </w:r>
      <w:r>
        <w:tab/>
        <w:t>The Western Australian Police Union of Workers is taken to be, and to have always been, an organisation of employees.</w:t>
      </w:r>
    </w:p>
    <w:p>
      <w:pPr>
        <w:pStyle w:val="yFootnotesection"/>
      </w:pPr>
      <w:r>
        <w:tab/>
        <w:t>[Clause 3 inserted: No. 58 of 2000 s. 5.]</w:t>
      </w:r>
    </w:p>
    <w:p>
      <w:pPr>
        <w:pStyle w:val="yScheduleHeading"/>
      </w:pPr>
      <w:bookmarkStart w:id="1614" w:name="_Toc107322694"/>
      <w:bookmarkStart w:id="1615" w:name="_Toc107476823"/>
      <w:bookmarkStart w:id="1616" w:name="_Toc105760366"/>
      <w:bookmarkStart w:id="1617" w:name="_Toc106195683"/>
      <w:bookmarkStart w:id="1618" w:name="_Toc106367626"/>
      <w:bookmarkStart w:id="1619" w:name="_Toc106374357"/>
      <w:r>
        <w:rPr>
          <w:rStyle w:val="CharSchNo"/>
        </w:rPr>
        <w:t>Schedule 4</w:t>
      </w:r>
      <w:r>
        <w:t> — </w:t>
      </w:r>
      <w:r>
        <w:rPr>
          <w:rStyle w:val="CharSchText"/>
        </w:rPr>
        <w:t>Registration requirements for EEAs</w:t>
      </w:r>
      <w:bookmarkEnd w:id="1614"/>
      <w:bookmarkEnd w:id="1615"/>
      <w:bookmarkEnd w:id="1616"/>
      <w:bookmarkEnd w:id="1617"/>
      <w:bookmarkEnd w:id="1618"/>
      <w:bookmarkEnd w:id="1619"/>
    </w:p>
    <w:p>
      <w:pPr>
        <w:pStyle w:val="yShoulderClause"/>
        <w:rPr>
          <w:snapToGrid w:val="0"/>
        </w:rPr>
      </w:pPr>
      <w:r>
        <w:rPr>
          <w:snapToGrid w:val="0"/>
        </w:rPr>
        <w:t>[s. 97VB]</w:t>
      </w:r>
    </w:p>
    <w:p>
      <w:pPr>
        <w:pStyle w:val="yFootnoteheading"/>
      </w:pPr>
      <w:r>
        <w:tab/>
        <w:t>[Heading inserted: No. 20 of 2002 s. 5.]</w:t>
      </w:r>
    </w:p>
    <w:p>
      <w:pPr>
        <w:pStyle w:val="yHeading5"/>
      </w:pPr>
      <w:bookmarkStart w:id="1620" w:name="_Toc107476824"/>
      <w:bookmarkStart w:id="1621" w:name="_Toc106374358"/>
      <w:r>
        <w:rPr>
          <w:rStyle w:val="CharSClsNo"/>
        </w:rPr>
        <w:t>1</w:t>
      </w:r>
      <w:r>
        <w:t>.</w:t>
      </w:r>
      <w:r>
        <w:tab/>
        <w:t>When EEA is in order for registration</w:t>
      </w:r>
      <w:bookmarkEnd w:id="1620"/>
      <w:bookmarkEnd w:id="1621"/>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t>MCE Act</w:t>
      </w:r>
      <w:r>
        <w:rPr>
          <w:rFonts w:ascii="Times New Roman" w:hAnsi="Times New Roman"/>
          <w:i/>
          <w:sz w:val="20"/>
        </w:rPr>
        <w:t>.</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 xml:space="preserve">intimate to the employee that </w:t>
      </w:r>
      <w:r>
        <w:rPr>
          <w:szCs w:val="22"/>
        </w:rPr>
        <w:t>the employee</w:t>
      </w:r>
      <w:r>
        <w:t xml:space="preserve"> would be employed,</w:t>
      </w:r>
    </w:p>
    <w:p>
      <w:pPr>
        <w:pStyle w:val="yIndenta"/>
      </w:pPr>
      <w:r>
        <w:tab/>
      </w:r>
      <w:r>
        <w:tab/>
        <w:t xml:space="preserve">only if </w:t>
      </w:r>
      <w:r>
        <w:rPr>
          <w:szCs w:val="22"/>
        </w:rPr>
        <w:t>the employee</w:t>
      </w:r>
      <w:r>
        <w:t xml:space="preserv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employment; or</w:t>
      </w:r>
    </w:p>
    <w:p>
      <w:pPr>
        <w:pStyle w:val="yIndenti0"/>
      </w:pPr>
      <w:r>
        <w:tab/>
        <w:t>(ii)</w:t>
      </w:r>
      <w:r>
        <w:tab/>
        <w:t xml:space="preserve">intimate to the employee that </w:t>
      </w:r>
      <w:r>
        <w:rPr>
          <w:szCs w:val="22"/>
        </w:rPr>
        <w:t>the employee</w:t>
      </w:r>
      <w:r>
        <w:t xml:space="preserve"> would be transferred or promoted,</w:t>
      </w:r>
    </w:p>
    <w:p>
      <w:pPr>
        <w:pStyle w:val="yIndenta"/>
      </w:pPr>
      <w:r>
        <w:tab/>
      </w:r>
      <w:r>
        <w:tab/>
        <w:t xml:space="preserve">only if </w:t>
      </w:r>
      <w:r>
        <w:rPr>
          <w:szCs w:val="22"/>
        </w:rPr>
        <w:t>the employee</w:t>
      </w:r>
      <w:r>
        <w:t xml:space="preserve"> agreed to the employment being under an EEA; and</w:t>
      </w:r>
    </w:p>
    <w:p>
      <w:pPr>
        <w:pStyle w:val="yIndenta"/>
      </w:pPr>
      <w:r>
        <w:tab/>
        <w:t>(i)</w:t>
      </w:r>
      <w:r>
        <w:tab/>
        <w:t xml:space="preserve">each party appears to understand </w:t>
      </w:r>
      <w:r>
        <w:rPr>
          <w:szCs w:val="22"/>
        </w:rPr>
        <w:t>that party’s</w:t>
      </w:r>
      <w:r>
        <w:t xml:space="preserve">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industrial instrument containing a SWIIP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No. 20 of 2002 s. 5; amended: No. 30 of 2021 s. 71, 75(1) and 77(13).]</w:t>
      </w:r>
    </w:p>
    <w:p>
      <w:pPr>
        <w:pStyle w:val="yScheduleHeading"/>
      </w:pPr>
      <w:bookmarkStart w:id="1622" w:name="_Toc107322696"/>
      <w:bookmarkStart w:id="1623" w:name="_Toc107476825"/>
      <w:bookmarkStart w:id="1624" w:name="_Toc105760368"/>
      <w:bookmarkStart w:id="1625" w:name="_Toc106195685"/>
      <w:bookmarkStart w:id="1626" w:name="_Toc106367628"/>
      <w:bookmarkStart w:id="1627" w:name="_Toc106374359"/>
      <w:r>
        <w:rPr>
          <w:rStyle w:val="CharSchNo"/>
        </w:rPr>
        <w:t>Schedule 5</w:t>
      </w:r>
      <w:r>
        <w:t> — </w:t>
      </w:r>
      <w:r>
        <w:rPr>
          <w:rStyle w:val="CharSchText"/>
        </w:rPr>
        <w:t>Powers to obtain information, and related provisions</w:t>
      </w:r>
      <w:bookmarkEnd w:id="1622"/>
      <w:bookmarkEnd w:id="1623"/>
      <w:bookmarkEnd w:id="1624"/>
      <w:bookmarkEnd w:id="1625"/>
      <w:bookmarkEnd w:id="1626"/>
      <w:bookmarkEnd w:id="1627"/>
    </w:p>
    <w:p>
      <w:pPr>
        <w:pStyle w:val="yShoulderClause"/>
        <w:rPr>
          <w:snapToGrid w:val="0"/>
        </w:rPr>
      </w:pPr>
      <w:r>
        <w:rPr>
          <w:snapToGrid w:val="0"/>
        </w:rPr>
        <w:t>[s. 97VC(4), 97WM]</w:t>
      </w:r>
    </w:p>
    <w:p>
      <w:pPr>
        <w:pStyle w:val="yFootnoteheading"/>
      </w:pPr>
      <w:r>
        <w:tab/>
        <w:t>[Heading inserted: No. 20 of 2002 s. 5.]</w:t>
      </w:r>
    </w:p>
    <w:p>
      <w:pPr>
        <w:pStyle w:val="yHeading5"/>
        <w:rPr>
          <w:snapToGrid w:val="0"/>
        </w:rPr>
      </w:pPr>
      <w:bookmarkStart w:id="1628" w:name="_Toc107476826"/>
      <w:bookmarkStart w:id="1629" w:name="_Toc106374360"/>
      <w:r>
        <w:rPr>
          <w:rStyle w:val="CharSClsNo"/>
        </w:rPr>
        <w:t>1</w:t>
      </w:r>
      <w:r>
        <w:rPr>
          <w:snapToGrid w:val="0"/>
        </w:rPr>
        <w:t>.</w:t>
      </w:r>
      <w:r>
        <w:rPr>
          <w:snapToGrid w:val="0"/>
        </w:rPr>
        <w:tab/>
        <w:t xml:space="preserve">Authorised person’s powers to obtain </w:t>
      </w:r>
      <w:r>
        <w:t>information</w:t>
      </w:r>
      <w:bookmarkEnd w:id="1628"/>
      <w:bookmarkEnd w:id="1629"/>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 xml:space="preserve">inspect any book, document or record produced and retain it for such reasonable period as </w:t>
      </w:r>
      <w:r>
        <w:rPr>
          <w:szCs w:val="22"/>
        </w:rPr>
        <w:t>the authorised person</w:t>
      </w:r>
      <w:r>
        <w:rPr>
          <w:snapToGrid w:val="0"/>
        </w:rPr>
        <w:t xml:space="preserv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No. 20 of 2002 s. 5; amended: No. 30 of 2021 s. 77(13).]</w:t>
      </w:r>
    </w:p>
    <w:p>
      <w:pPr>
        <w:pStyle w:val="yHeading5"/>
        <w:rPr>
          <w:snapToGrid w:val="0"/>
        </w:rPr>
      </w:pPr>
      <w:bookmarkStart w:id="1630" w:name="_Toc107476827"/>
      <w:bookmarkStart w:id="1631" w:name="_Toc106374361"/>
      <w:r>
        <w:rPr>
          <w:rStyle w:val="CharSClsNo"/>
        </w:rPr>
        <w:t>2</w:t>
      </w:r>
      <w:r>
        <w:rPr>
          <w:snapToGrid w:val="0"/>
        </w:rPr>
        <w:t>.</w:t>
      </w:r>
      <w:r>
        <w:rPr>
          <w:snapToGrid w:val="0"/>
        </w:rPr>
        <w:tab/>
        <w:t>Obstructing authorised person</w:t>
      </w:r>
      <w:bookmarkEnd w:id="1630"/>
      <w:bookmarkEnd w:id="1631"/>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 xml:space="preserve">Penalty: </w:t>
      </w:r>
      <w:r>
        <w:rPr>
          <w:szCs w:val="22"/>
        </w:rPr>
        <w:t>a fine of $2 000</w:t>
      </w:r>
      <w:r>
        <w:rPr>
          <w:snapToGrid w:val="0"/>
        </w:rPr>
        <w:t>.</w:t>
      </w:r>
    </w:p>
    <w:p>
      <w:pPr>
        <w:pStyle w:val="yFootnotesection"/>
      </w:pPr>
      <w:r>
        <w:tab/>
        <w:t>[Clause 2 inserted: No. 20 of 2002 s. 5; amended: No. 30 of 2021 s. 72(1).]</w:t>
      </w:r>
    </w:p>
    <w:p>
      <w:pPr>
        <w:pStyle w:val="yHeading5"/>
        <w:rPr>
          <w:snapToGrid w:val="0"/>
        </w:rPr>
      </w:pPr>
      <w:bookmarkStart w:id="1632" w:name="_Toc107476828"/>
      <w:bookmarkStart w:id="1633" w:name="_Toc106374362"/>
      <w:r>
        <w:rPr>
          <w:rStyle w:val="CharSClsNo"/>
        </w:rPr>
        <w:t>3</w:t>
      </w:r>
      <w:r>
        <w:rPr>
          <w:snapToGrid w:val="0"/>
        </w:rPr>
        <w:t>.</w:t>
      </w:r>
      <w:r>
        <w:rPr>
          <w:snapToGrid w:val="0"/>
        </w:rPr>
        <w:tab/>
        <w:t xml:space="preserve">False </w:t>
      </w:r>
      <w:r>
        <w:t>statement to authorised person</w:t>
      </w:r>
      <w:bookmarkEnd w:id="1632"/>
      <w:bookmarkEnd w:id="1633"/>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 xml:space="preserve">Penalty: </w:t>
      </w:r>
      <w:r>
        <w:rPr>
          <w:szCs w:val="22"/>
        </w:rPr>
        <w:t>a fine of $2 000</w:t>
      </w:r>
      <w:r>
        <w:rPr>
          <w:snapToGrid w:val="0"/>
        </w:rPr>
        <w:t>.</w:t>
      </w:r>
    </w:p>
    <w:p>
      <w:pPr>
        <w:pStyle w:val="yFootnotesection"/>
        <w:spacing w:before="80"/>
      </w:pPr>
      <w:r>
        <w:tab/>
        <w:t>[Clause 3 inserted: No. 20 of 2002 s. 5; amended: No. 30 of 2021 s. 72(1).]</w:t>
      </w:r>
    </w:p>
    <w:p>
      <w:pPr>
        <w:pStyle w:val="yHeading5"/>
        <w:spacing w:before="240"/>
        <w:rPr>
          <w:snapToGrid w:val="0"/>
        </w:rPr>
      </w:pPr>
      <w:bookmarkStart w:id="1634" w:name="_Toc107476829"/>
      <w:bookmarkStart w:id="1635" w:name="_Toc106374363"/>
      <w:r>
        <w:rPr>
          <w:rStyle w:val="CharSClsNo"/>
        </w:rPr>
        <w:t>4</w:t>
      </w:r>
      <w:r>
        <w:rPr>
          <w:snapToGrid w:val="0"/>
        </w:rPr>
        <w:t>.</w:t>
      </w:r>
      <w:r>
        <w:rPr>
          <w:snapToGrid w:val="0"/>
        </w:rPr>
        <w:tab/>
        <w:t>Failure to comply with cl. 1 requirement</w:t>
      </w:r>
      <w:bookmarkEnd w:id="1634"/>
      <w:bookmarkEnd w:id="1635"/>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r>
      <w:r>
        <w:rPr>
          <w:szCs w:val="22"/>
        </w:rPr>
        <w:t>Penalty for this subclause: a fine of</w:t>
      </w:r>
      <w:r>
        <w:rPr>
          <w:snapToGrid w:val="0"/>
        </w:rPr>
        <w:t xml:space="preserve">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r>
      <w:r>
        <w:rPr>
          <w:szCs w:val="22"/>
        </w:rPr>
        <w:t>Penalty for this subclause: a fine of</w:t>
      </w:r>
      <w:r>
        <w:rPr>
          <w:snapToGrid w:val="0"/>
        </w:rPr>
        <w:t xml:space="preserve"> $2 000.</w:t>
      </w:r>
    </w:p>
    <w:p>
      <w:pPr>
        <w:pStyle w:val="yFootnotesection"/>
      </w:pPr>
      <w:r>
        <w:tab/>
        <w:t>[Clause 4 inserted: No. 20 of 2002 s. 5; amended: No. 30 of 2021 s. 72(1).]</w:t>
      </w:r>
    </w:p>
    <w:p>
      <w:pPr>
        <w:pStyle w:val="yHeading5"/>
        <w:rPr>
          <w:snapToGrid w:val="0"/>
        </w:rPr>
      </w:pPr>
      <w:bookmarkStart w:id="1636" w:name="_Toc107476830"/>
      <w:bookmarkStart w:id="1637" w:name="_Toc106374364"/>
      <w:r>
        <w:rPr>
          <w:rStyle w:val="CharSClsNo"/>
        </w:rPr>
        <w:t>5</w:t>
      </w:r>
      <w:r>
        <w:rPr>
          <w:snapToGrid w:val="0"/>
        </w:rPr>
        <w:t>.</w:t>
      </w:r>
      <w:r>
        <w:rPr>
          <w:snapToGrid w:val="0"/>
        </w:rPr>
        <w:tab/>
        <w:t xml:space="preserve">Legal </w:t>
      </w:r>
      <w:r>
        <w:t>professional</w:t>
      </w:r>
      <w:r>
        <w:rPr>
          <w:snapToGrid w:val="0"/>
        </w:rPr>
        <w:t xml:space="preserve"> privilege overridden</w:t>
      </w:r>
      <w:bookmarkEnd w:id="1636"/>
      <w:bookmarkEnd w:id="1637"/>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No. 20 of 2002 s. 5.]</w:t>
      </w:r>
    </w:p>
    <w:p>
      <w:pPr>
        <w:pStyle w:val="yHeading5"/>
        <w:rPr>
          <w:snapToGrid w:val="0"/>
        </w:rPr>
      </w:pPr>
      <w:bookmarkStart w:id="1638" w:name="_Toc107476831"/>
      <w:bookmarkStart w:id="1639" w:name="_Toc106374365"/>
      <w:r>
        <w:rPr>
          <w:rStyle w:val="CharSClsNo"/>
        </w:rPr>
        <w:t>6</w:t>
      </w:r>
      <w:r>
        <w:rPr>
          <w:snapToGrid w:val="0"/>
        </w:rPr>
        <w:t>.</w:t>
      </w:r>
      <w:r>
        <w:rPr>
          <w:snapToGrid w:val="0"/>
        </w:rPr>
        <w:tab/>
      </w:r>
      <w:r>
        <w:t>Incriminating</w:t>
      </w:r>
      <w:r>
        <w:rPr>
          <w:snapToGrid w:val="0"/>
        </w:rPr>
        <w:t xml:space="preserve"> answers or documents</w:t>
      </w:r>
      <w:bookmarkEnd w:id="1638"/>
      <w:bookmarkEnd w:id="1639"/>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keepNext/>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No. 20 of 2002 s. 5.]</w:t>
      </w:r>
    </w:p>
    <w:p>
      <w:pPr>
        <w:pStyle w:val="yScheduleHeading"/>
      </w:pPr>
      <w:bookmarkStart w:id="1640" w:name="_Toc107322703"/>
      <w:bookmarkStart w:id="1641" w:name="_Toc107476832"/>
      <w:bookmarkStart w:id="1642" w:name="_Toc105760375"/>
      <w:bookmarkStart w:id="1643" w:name="_Toc106195692"/>
      <w:bookmarkStart w:id="1644" w:name="_Toc106367635"/>
      <w:bookmarkStart w:id="1645" w:name="_Toc106374366"/>
      <w:r>
        <w:rPr>
          <w:rStyle w:val="CharSchNo"/>
        </w:rPr>
        <w:t>Schedule 6</w:t>
      </w:r>
      <w:r>
        <w:t> — </w:t>
      </w:r>
      <w:r>
        <w:rPr>
          <w:rStyle w:val="CharSchText"/>
        </w:rPr>
        <w:t>Transitional provisions</w:t>
      </w:r>
      <w:bookmarkEnd w:id="1640"/>
      <w:bookmarkEnd w:id="1641"/>
      <w:bookmarkEnd w:id="1642"/>
      <w:bookmarkEnd w:id="1643"/>
      <w:bookmarkEnd w:id="1644"/>
      <w:bookmarkEnd w:id="1645"/>
    </w:p>
    <w:p>
      <w:pPr>
        <w:pStyle w:val="yShoulderClause"/>
      </w:pPr>
      <w:r>
        <w:t>[s. 116]</w:t>
      </w:r>
    </w:p>
    <w:p>
      <w:pPr>
        <w:pStyle w:val="yFootnoteheading"/>
      </w:pPr>
      <w:r>
        <w:tab/>
        <w:t>[Heading inserted: No. 39 of 2018 s. 66.]</w:t>
      </w:r>
    </w:p>
    <w:p>
      <w:pPr>
        <w:pStyle w:val="yHeading3"/>
      </w:pPr>
      <w:bookmarkStart w:id="1646" w:name="_Toc107322704"/>
      <w:bookmarkStart w:id="1647" w:name="_Toc107476833"/>
      <w:bookmarkStart w:id="1648" w:name="_Toc105760376"/>
      <w:bookmarkStart w:id="1649" w:name="_Toc106195693"/>
      <w:bookmarkStart w:id="1650" w:name="_Toc106367636"/>
      <w:bookmarkStart w:id="1651" w:name="_Toc106374367"/>
      <w:r>
        <w:rPr>
          <w:rStyle w:val="CharSDivNo"/>
        </w:rPr>
        <w:t>Division 1</w:t>
      </w:r>
      <w:r>
        <w:rPr>
          <w:b w:val="0"/>
        </w:rPr>
        <w:t> — </w:t>
      </w:r>
      <w:r>
        <w:rPr>
          <w:rStyle w:val="CharSDivText"/>
        </w:rPr>
        <w:t>Preliminary</w:t>
      </w:r>
      <w:bookmarkEnd w:id="1646"/>
      <w:bookmarkEnd w:id="1647"/>
      <w:bookmarkEnd w:id="1648"/>
      <w:bookmarkEnd w:id="1649"/>
      <w:bookmarkEnd w:id="1650"/>
      <w:bookmarkEnd w:id="1651"/>
    </w:p>
    <w:p>
      <w:pPr>
        <w:pStyle w:val="yFootnoteheading"/>
      </w:pPr>
      <w:r>
        <w:tab/>
        <w:t>[Heading inserted: No. 39 of 2018 s. 66.]</w:t>
      </w:r>
    </w:p>
    <w:p>
      <w:pPr>
        <w:pStyle w:val="yHeading5"/>
      </w:pPr>
      <w:bookmarkStart w:id="1652" w:name="_Toc107476834"/>
      <w:bookmarkStart w:id="1653" w:name="_Toc106374368"/>
      <w:r>
        <w:rPr>
          <w:rStyle w:val="CharSClsNo"/>
        </w:rPr>
        <w:t>1</w:t>
      </w:r>
      <w:r>
        <w:t>.</w:t>
      </w:r>
      <w:r>
        <w:tab/>
        <w:t>Terms used</w:t>
      </w:r>
      <w:bookmarkEnd w:id="1652"/>
      <w:bookmarkEnd w:id="1653"/>
    </w:p>
    <w:p>
      <w:pPr>
        <w:pStyle w:val="ySubsection"/>
      </w:pPr>
      <w:r>
        <w:tab/>
      </w:r>
      <w:r>
        <w:tab/>
        <w:t xml:space="preserve">In this Schedule — </w:t>
      </w:r>
    </w:p>
    <w:p>
      <w:pPr>
        <w:pStyle w:val="yDefstart"/>
      </w:pPr>
      <w:r>
        <w:tab/>
      </w:r>
      <w:r>
        <w:rPr>
          <w:rStyle w:val="CharDefText"/>
        </w:rPr>
        <w:t>amended Act</w:t>
      </w:r>
      <w:r>
        <w:t xml:space="preserve"> means this Act as amended by the amending Act;</w:t>
      </w:r>
    </w:p>
    <w:p>
      <w:pPr>
        <w:pStyle w:val="yDefstart"/>
      </w:pPr>
      <w:r>
        <w:tab/>
      </w:r>
      <w:r>
        <w:rPr>
          <w:rStyle w:val="CharDefText"/>
        </w:rPr>
        <w:t>amending Act</w:t>
      </w:r>
      <w:r>
        <w:t xml:space="preserve"> means the </w:t>
      </w:r>
      <w:r>
        <w:rPr>
          <w:i/>
        </w:rPr>
        <w:t>Industrial Relations Amendment Act 2018</w:t>
      </w:r>
      <w:r>
        <w:t>;</w:t>
      </w:r>
    </w:p>
    <w:p>
      <w:pPr>
        <w:pStyle w:val="yDefstart"/>
      </w:pPr>
      <w:r>
        <w:tab/>
      </w:r>
      <w:r>
        <w:rPr>
          <w:rStyle w:val="CharDefText"/>
        </w:rPr>
        <w:t>commencement day</w:t>
      </w:r>
      <w:r>
        <w:t xml:space="preserve"> means the day on which the amending Act section 66 comes into operation;</w:t>
      </w:r>
    </w:p>
    <w:p>
      <w:pPr>
        <w:pStyle w:val="yDefstart"/>
      </w:pPr>
      <w:r>
        <w:tab/>
      </w:r>
      <w:r>
        <w:rPr>
          <w:rStyle w:val="CharDefText"/>
        </w:rPr>
        <w:t>former</w:t>
      </w:r>
      <w:r>
        <w:t>, in relation to a section, means the section as in force immediately before commencement day;</w:t>
      </w:r>
    </w:p>
    <w:p>
      <w:pPr>
        <w:pStyle w:val="yDefstart"/>
      </w:pPr>
      <w:r>
        <w:tab/>
      </w:r>
      <w:r>
        <w:rPr>
          <w:rStyle w:val="CharDefText"/>
        </w:rPr>
        <w:t>former acting President</w:t>
      </w:r>
      <w:r>
        <w:t xml:space="preserve"> — see clause 2(1);</w:t>
      </w:r>
    </w:p>
    <w:p>
      <w:pPr>
        <w:pStyle w:val="yDefstart"/>
      </w:pPr>
      <w:r>
        <w:tab/>
      </w:r>
      <w:r>
        <w:rPr>
          <w:rStyle w:val="CharDefText"/>
        </w:rPr>
        <w:t>matter</w:t>
      </w:r>
      <w:r>
        <w:t xml:space="preserve"> includes any application, reference, proceeding or appeal.</w:t>
      </w:r>
    </w:p>
    <w:p>
      <w:pPr>
        <w:pStyle w:val="yFootnotesection"/>
      </w:pPr>
      <w:r>
        <w:tab/>
        <w:t>[Clause 1 inserted: No. 39 of 2018 s. 66.]</w:t>
      </w:r>
    </w:p>
    <w:p>
      <w:pPr>
        <w:pStyle w:val="yHeading3"/>
      </w:pPr>
      <w:bookmarkStart w:id="1654" w:name="_Toc107322706"/>
      <w:bookmarkStart w:id="1655" w:name="_Toc107476835"/>
      <w:bookmarkStart w:id="1656" w:name="_Toc105760378"/>
      <w:bookmarkStart w:id="1657" w:name="_Toc106195695"/>
      <w:bookmarkStart w:id="1658" w:name="_Toc106367638"/>
      <w:bookmarkStart w:id="1659" w:name="_Toc106374369"/>
      <w:r>
        <w:rPr>
          <w:rStyle w:val="CharSDivNo"/>
        </w:rPr>
        <w:t>Division 2</w:t>
      </w:r>
      <w:r>
        <w:rPr>
          <w:b w:val="0"/>
        </w:rPr>
        <w:t> — </w:t>
      </w:r>
      <w:r>
        <w:rPr>
          <w:rStyle w:val="CharSDivText"/>
        </w:rPr>
        <w:t>Provisions for President</w:t>
      </w:r>
      <w:bookmarkEnd w:id="1654"/>
      <w:bookmarkEnd w:id="1655"/>
      <w:bookmarkEnd w:id="1656"/>
      <w:bookmarkEnd w:id="1657"/>
      <w:bookmarkEnd w:id="1658"/>
      <w:bookmarkEnd w:id="1659"/>
    </w:p>
    <w:p>
      <w:pPr>
        <w:pStyle w:val="yFootnoteheading"/>
      </w:pPr>
      <w:r>
        <w:tab/>
        <w:t>[Heading inserted: No. 39 of 2018 s. 66.]</w:t>
      </w:r>
    </w:p>
    <w:p>
      <w:pPr>
        <w:pStyle w:val="yHeading5"/>
      </w:pPr>
      <w:bookmarkStart w:id="1660" w:name="_Toc107476836"/>
      <w:bookmarkStart w:id="1661" w:name="_Toc106374370"/>
      <w:r>
        <w:rPr>
          <w:rStyle w:val="CharSClsNo"/>
        </w:rPr>
        <w:t>2</w:t>
      </w:r>
      <w:r>
        <w:t>.</w:t>
      </w:r>
      <w:r>
        <w:tab/>
        <w:t>Acting President: continuation in office</w:t>
      </w:r>
      <w:bookmarkEnd w:id="1660"/>
      <w:bookmarkEnd w:id="1661"/>
    </w:p>
    <w:p>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pPr>
        <w:pStyle w:val="ySubsection"/>
      </w:pPr>
      <w:r>
        <w:tab/>
        <w:t>(2)</w:t>
      </w:r>
      <w:r>
        <w:tab/>
        <w:t>The Minister may extend, or further extend, the period approved under subclause (1) and may do so even if the period has expired.</w:t>
      </w:r>
    </w:p>
    <w:p>
      <w:pPr>
        <w:pStyle w:val="yFootnotesection"/>
      </w:pPr>
      <w:r>
        <w:tab/>
        <w:t>[Clause 2 inserted: No. 39 of 2018 s. 66.]</w:t>
      </w:r>
    </w:p>
    <w:p>
      <w:pPr>
        <w:pStyle w:val="yHeading5"/>
        <w:pageBreakBefore/>
        <w:spacing w:before="0"/>
      </w:pPr>
      <w:bookmarkStart w:id="1662" w:name="_Toc107476837"/>
      <w:bookmarkStart w:id="1663" w:name="_Toc106374371"/>
      <w:r>
        <w:rPr>
          <w:rStyle w:val="CharSClsNo"/>
        </w:rPr>
        <w:t>3</w:t>
      </w:r>
      <w:r>
        <w:t>.</w:t>
      </w:r>
      <w:r>
        <w:tab/>
        <w:t>Past President’s pension entitlements</w:t>
      </w:r>
      <w:bookmarkEnd w:id="1662"/>
      <w:bookmarkEnd w:id="1663"/>
    </w:p>
    <w:p>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pPr>
        <w:pStyle w:val="yFootnotesection"/>
      </w:pPr>
      <w:r>
        <w:tab/>
        <w:t>[Clause 3 inserted: No. 39 of 2018 s. 66.]</w:t>
      </w:r>
    </w:p>
    <w:p>
      <w:pPr>
        <w:pStyle w:val="yHeading5"/>
      </w:pPr>
      <w:bookmarkStart w:id="1664" w:name="_Toc107476838"/>
      <w:bookmarkStart w:id="1665" w:name="_Toc106374372"/>
      <w:r>
        <w:rPr>
          <w:rStyle w:val="CharSClsNo"/>
        </w:rPr>
        <w:t>4</w:t>
      </w:r>
      <w:r>
        <w:t>.</w:t>
      </w:r>
      <w:r>
        <w:tab/>
        <w:t>Judicial notice of signature and appointment of President</w:t>
      </w:r>
      <w:bookmarkEnd w:id="1664"/>
      <w:bookmarkEnd w:id="1665"/>
    </w:p>
    <w:p>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pPr>
        <w:pStyle w:val="yFootnotesection"/>
      </w:pPr>
      <w:r>
        <w:tab/>
        <w:t>[Clause 4 inserted: No. 39 of 2018 s. 66.]</w:t>
      </w:r>
    </w:p>
    <w:p>
      <w:pPr>
        <w:pStyle w:val="yHeading3"/>
      </w:pPr>
      <w:bookmarkStart w:id="1666" w:name="_Toc107322710"/>
      <w:bookmarkStart w:id="1667" w:name="_Toc107476839"/>
      <w:bookmarkStart w:id="1668" w:name="_Toc105760382"/>
      <w:bookmarkStart w:id="1669" w:name="_Toc106195699"/>
      <w:bookmarkStart w:id="1670" w:name="_Toc106367642"/>
      <w:bookmarkStart w:id="1671" w:name="_Toc106374373"/>
      <w:r>
        <w:rPr>
          <w:rStyle w:val="CharSDivNo"/>
        </w:rPr>
        <w:t>Division 3</w:t>
      </w:r>
      <w:r>
        <w:rPr>
          <w:b w:val="0"/>
        </w:rPr>
        <w:t> — </w:t>
      </w:r>
      <w:r>
        <w:rPr>
          <w:rStyle w:val="CharSDivText"/>
        </w:rPr>
        <w:t>Provisions for pending matters</w:t>
      </w:r>
      <w:bookmarkEnd w:id="1666"/>
      <w:bookmarkEnd w:id="1667"/>
      <w:bookmarkEnd w:id="1668"/>
      <w:bookmarkEnd w:id="1669"/>
      <w:bookmarkEnd w:id="1670"/>
      <w:bookmarkEnd w:id="1671"/>
    </w:p>
    <w:p>
      <w:pPr>
        <w:pStyle w:val="yFootnoteheading"/>
      </w:pPr>
      <w:r>
        <w:tab/>
        <w:t>[Heading inserted: No. 39 of 2018 s. 66.]</w:t>
      </w:r>
    </w:p>
    <w:p>
      <w:pPr>
        <w:pStyle w:val="yHeading5"/>
      </w:pPr>
      <w:bookmarkStart w:id="1672" w:name="_Toc107476840"/>
      <w:bookmarkStart w:id="1673" w:name="_Toc106374374"/>
      <w:r>
        <w:rPr>
          <w:rStyle w:val="CharSClsNo"/>
        </w:rPr>
        <w:t>5</w:t>
      </w:r>
      <w:r>
        <w:t>.</w:t>
      </w:r>
      <w:r>
        <w:tab/>
        <w:t>Pending matters</w:t>
      </w:r>
      <w:bookmarkEnd w:id="1672"/>
      <w:bookmarkEnd w:id="1673"/>
    </w:p>
    <w:p>
      <w:pPr>
        <w:pStyle w:val="ySubsection"/>
      </w:pPr>
      <w:r>
        <w:tab/>
        <w:t>(1)</w:t>
      </w:r>
      <w:r>
        <w:tab/>
        <w:t xml:space="preserve">In this clause — </w:t>
      </w:r>
    </w:p>
    <w:p>
      <w:pPr>
        <w:pStyle w:val="yDefstart"/>
      </w:pPr>
      <w:r>
        <w:tab/>
      </w:r>
      <w:r>
        <w:rPr>
          <w:rStyle w:val="CharDefText"/>
        </w:rPr>
        <w:t>Commission</w:t>
      </w:r>
      <w:r>
        <w:t xml:space="preserve"> means the Commission constituted by the former acting President, or constituted including the former acting President;</w:t>
      </w:r>
    </w:p>
    <w:p>
      <w:pPr>
        <w:pStyle w:val="yDefstart"/>
      </w:pPr>
      <w:r>
        <w:tab/>
      </w:r>
      <w:r>
        <w:rPr>
          <w:rStyle w:val="CharDefText"/>
        </w:rPr>
        <w:t>former Act</w:t>
      </w:r>
      <w:r>
        <w:t xml:space="preserve"> means the Act as in force immediately before commencement day.</w:t>
      </w:r>
    </w:p>
    <w:p>
      <w:pPr>
        <w:pStyle w:val="ySubsection"/>
      </w:pPr>
      <w:r>
        <w:tab/>
        <w:t>(2)</w:t>
      </w:r>
      <w:r>
        <w:tab/>
        <w:t xml:space="preserve">A matter is to be dealt with in accordance with the relevant provisions of the amended Act if — </w:t>
      </w:r>
    </w:p>
    <w:p>
      <w:pPr>
        <w:pStyle w:val="yIndenta"/>
      </w:pPr>
      <w:r>
        <w:tab/>
        <w:t>(a)</w:t>
      </w:r>
      <w:r>
        <w:tab/>
        <w:t>the matter was before the Commission immediately before commencement day; but</w:t>
      </w:r>
    </w:p>
    <w:p>
      <w:pPr>
        <w:pStyle w:val="yIndenta"/>
      </w:pPr>
      <w:r>
        <w:tab/>
        <w:t>(b)</w:t>
      </w:r>
      <w:r>
        <w:tab/>
        <w:t>the Commission had not begun to hear the matter.</w:t>
      </w:r>
    </w:p>
    <w:p>
      <w:pPr>
        <w:pStyle w:val="ySubsection"/>
      </w:pPr>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p>
    <w:p>
      <w:pPr>
        <w:pStyle w:val="ySubsection"/>
      </w:pPr>
      <w:r>
        <w:tab/>
        <w:t>(4)</w:t>
      </w:r>
      <w:r>
        <w:tab/>
        <w:t xml:space="preserve">A matter is to be dealt with in accordance with the relevant provisions of the amended Act if — </w:t>
      </w:r>
    </w:p>
    <w:p>
      <w:pPr>
        <w:pStyle w:val="yIndenta"/>
      </w:pPr>
      <w:r>
        <w:tab/>
        <w:t>(a)</w:t>
      </w:r>
      <w:r>
        <w:tab/>
        <w:t>the matter was before the Commission immediately before commencement day; and</w:t>
      </w:r>
    </w:p>
    <w:p>
      <w:pPr>
        <w:pStyle w:val="yIndenta"/>
      </w:pPr>
      <w:r>
        <w:tab/>
        <w:t>(b)</w:t>
      </w:r>
      <w:r>
        <w:tab/>
        <w:t>the Commission has begun or completed hearing a matter, but has not finally determined the matter; and</w:t>
      </w:r>
    </w:p>
    <w:p>
      <w:pPr>
        <w:pStyle w:val="yIndenta"/>
      </w:pPr>
      <w:r>
        <w:tab/>
        <w:t>(c)</w:t>
      </w:r>
      <w:r>
        <w:tab/>
        <w:t>the former acting President is not in the office of acting President immediately after commencement day, or ceases to remain in office after commencement day.</w:t>
      </w:r>
    </w:p>
    <w:p>
      <w:pPr>
        <w:pStyle w:val="ySubsection"/>
      </w:pPr>
      <w:r>
        <w:tab/>
        <w:t>(5)</w:t>
      </w:r>
      <w:r>
        <w:tab/>
        <w:t xml:space="preserve">The Chief Commissioner may, after consulting with the former acting President, direct that — </w:t>
      </w:r>
    </w:p>
    <w:p>
      <w:pPr>
        <w:pStyle w:val="yIndenta"/>
      </w:pPr>
      <w:r>
        <w:tab/>
        <w:t>(a)</w:t>
      </w:r>
      <w:r>
        <w:tab/>
        <w:t>subclause (3) does not apply to a matter specified in the direction; and</w:t>
      </w:r>
    </w:p>
    <w:p>
      <w:pPr>
        <w:pStyle w:val="yIndenta"/>
      </w:pPr>
      <w:r>
        <w:tab/>
        <w:t>(b)</w:t>
      </w:r>
      <w:r>
        <w:tab/>
        <w:t>the matter is to be dealt with in accordance with the relevant provisions of the amended Act.</w:t>
      </w:r>
    </w:p>
    <w:p>
      <w:pPr>
        <w:pStyle w:val="ySubsection"/>
      </w:pPr>
      <w:r>
        <w:tab/>
        <w:t>(6)</w:t>
      </w:r>
      <w:r>
        <w:tab/>
        <w:t>A direction under subclause (5) has effect in accordance with its terms.</w:t>
      </w:r>
    </w:p>
    <w:p>
      <w:pPr>
        <w:pStyle w:val="yFootnotesection"/>
      </w:pPr>
      <w:r>
        <w:tab/>
        <w:t>[Clause 5 inserted: No. 39 of 2018 s. 66.]</w:t>
      </w:r>
    </w:p>
    <w:p>
      <w:pPr>
        <w:pStyle w:val="yHeading5"/>
      </w:pPr>
      <w:bookmarkStart w:id="1674" w:name="_Toc107476841"/>
      <w:bookmarkStart w:id="1675" w:name="_Toc106374375"/>
      <w:r>
        <w:rPr>
          <w:rStyle w:val="CharSClsNo"/>
        </w:rPr>
        <w:t>6</w:t>
      </w:r>
      <w:r>
        <w:t>.</w:t>
      </w:r>
      <w:r>
        <w:tab/>
        <w:t>Order under former s. 49 does not begin hearing of appeal</w:t>
      </w:r>
      <w:bookmarkEnd w:id="1674"/>
      <w:bookmarkEnd w:id="1675"/>
    </w:p>
    <w:p>
      <w:pPr>
        <w:pStyle w:val="ySubsection"/>
      </w:pPr>
      <w:r>
        <w:tab/>
      </w:r>
      <w:r>
        <w:tab/>
        <w:t>An appeal under section 49 has not commenced to be heard merely because an application for an order under section 49(11) in respect of the decision appealed against has been made, heard or determined.</w:t>
      </w:r>
    </w:p>
    <w:p>
      <w:pPr>
        <w:pStyle w:val="yFootnotesection"/>
      </w:pPr>
      <w:r>
        <w:tab/>
        <w:t>[Clause 6 inserted: No. 39 of 2018 s. 66.]</w:t>
      </w:r>
    </w:p>
    <w:p>
      <w:pPr>
        <w:pStyle w:val="yHeading5"/>
      </w:pPr>
      <w:bookmarkStart w:id="1676" w:name="_Toc107476842"/>
      <w:bookmarkStart w:id="1677" w:name="_Toc106374376"/>
      <w:r>
        <w:rPr>
          <w:rStyle w:val="CharSClsNo"/>
        </w:rPr>
        <w:t>7</w:t>
      </w:r>
      <w:r>
        <w:t>.</w:t>
      </w:r>
      <w:r>
        <w:tab/>
        <w:t>Notices and applications under former s. 55</w:t>
      </w:r>
      <w:bookmarkEnd w:id="1676"/>
      <w:bookmarkEnd w:id="1677"/>
    </w:p>
    <w:p>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pPr>
        <w:pStyle w:val="ySubsection"/>
      </w:pPr>
      <w:r>
        <w:tab/>
        <w:t>(2)</w:t>
      </w:r>
      <w:r>
        <w:tab/>
        <w:t>If the hearing of an application made under former section 55 has not begun immediately before commencement day, the application must be dealt with under section 55 of the amended Act.</w:t>
      </w:r>
    </w:p>
    <w:p>
      <w:pPr>
        <w:pStyle w:val="yFootnotesection"/>
      </w:pPr>
      <w:r>
        <w:tab/>
        <w:t>[Clause 7 inserted: No. 39 of 2018 s. 66.]</w:t>
      </w:r>
    </w:p>
    <w:p>
      <w:pPr>
        <w:pStyle w:val="yHeading5"/>
        <w:pageBreakBefore/>
        <w:spacing w:before="0"/>
      </w:pPr>
      <w:bookmarkStart w:id="1678" w:name="_Toc107476843"/>
      <w:bookmarkStart w:id="1679" w:name="_Toc106374377"/>
      <w:r>
        <w:rPr>
          <w:rStyle w:val="CharSClsNo"/>
        </w:rPr>
        <w:t>8</w:t>
      </w:r>
      <w:r>
        <w:t>.</w:t>
      </w:r>
      <w:r>
        <w:tab/>
        <w:t>Summonses under former s. 73</w:t>
      </w:r>
      <w:bookmarkEnd w:id="1678"/>
      <w:bookmarkEnd w:id="1679"/>
    </w:p>
    <w:p>
      <w:pPr>
        <w:pStyle w:val="ySubsection"/>
      </w:pPr>
      <w:r>
        <w:tab/>
        <w:t>(1)</w:t>
      </w:r>
      <w:r>
        <w:tab/>
        <w:t xml:space="preserve">In this clause — </w:t>
      </w:r>
    </w:p>
    <w:p>
      <w:pPr>
        <w:pStyle w:val="yDefstart"/>
      </w:pPr>
      <w:r>
        <w:tab/>
      </w:r>
      <w:r>
        <w:rPr>
          <w:rStyle w:val="CharDefText"/>
        </w:rPr>
        <w:t>former section 73 summons</w:t>
      </w:r>
      <w:r>
        <w:t xml:space="preserve"> means a summons issued under former section 73.</w:t>
      </w:r>
    </w:p>
    <w:p>
      <w:pPr>
        <w:pStyle w:val="ySubsection"/>
      </w:pPr>
      <w:r>
        <w:tab/>
        <w:t>(2)</w:t>
      </w:r>
      <w:r>
        <w:tab/>
        <w:t xml:space="preserve">A former section 73 summons to appear before the Full Bench on a date that is on or after commencement day — </w:t>
      </w:r>
    </w:p>
    <w:p>
      <w:pPr>
        <w:pStyle w:val="yIndenta"/>
      </w:pPr>
      <w:r>
        <w:tab/>
        <w:t>(a)</w:t>
      </w:r>
      <w:r>
        <w:tab/>
        <w:t>is taken to be a summons issued under section 73 of the amended Act to appear before the Commission in Court Session on that date; and</w:t>
      </w:r>
    </w:p>
    <w:p>
      <w:pPr>
        <w:pStyle w:val="yIndenta"/>
      </w:pPr>
      <w:r>
        <w:tab/>
        <w:t>(b)</w:t>
      </w:r>
      <w:r>
        <w:tab/>
        <w:t>is to be dealt with under the amended Act as if it were a summons issued under section 73 of the amended Act to appear before the Commission in Court Session.</w:t>
      </w:r>
    </w:p>
    <w:p>
      <w:pPr>
        <w:pStyle w:val="yFootnotesection"/>
      </w:pPr>
      <w:r>
        <w:tab/>
        <w:t>[Clause 8 inserted: No. 39 of 2018 s. 66.]</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1680" w:name="_Toc107322715"/>
      <w:bookmarkStart w:id="1681" w:name="_Toc107476844"/>
      <w:bookmarkStart w:id="1682" w:name="_Toc105760387"/>
      <w:bookmarkStart w:id="1683" w:name="_Toc106195704"/>
      <w:bookmarkStart w:id="1684" w:name="_Toc106367647"/>
      <w:bookmarkStart w:id="1685" w:name="_Toc106374378"/>
      <w:r>
        <w:t>Notes</w:t>
      </w:r>
      <w:bookmarkEnd w:id="1680"/>
      <w:bookmarkEnd w:id="1681"/>
      <w:bookmarkEnd w:id="1682"/>
      <w:bookmarkEnd w:id="1683"/>
      <w:bookmarkEnd w:id="1684"/>
      <w:bookmarkEnd w:id="1685"/>
    </w:p>
    <w:p>
      <w:pPr>
        <w:pStyle w:val="nStatement"/>
      </w:pPr>
      <w:r>
        <w:t xml:space="preserve">This is a compilation of the </w:t>
      </w:r>
      <w:r>
        <w:rPr>
          <w:i/>
          <w:noProof/>
        </w:rPr>
        <w:t>Industrial Relations Act 1979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686" w:name="_Toc107476845"/>
      <w:bookmarkStart w:id="1687" w:name="_Toc106374379"/>
      <w:r>
        <w:t>Compilation table</w:t>
      </w:r>
      <w:bookmarkEnd w:id="1686"/>
      <w:bookmarkEnd w:id="1687"/>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4"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4"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4"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4"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4"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4" w:type="dxa"/>
          </w:tcPr>
          <w:p>
            <w:pPr>
              <w:pStyle w:val="nTable"/>
              <w:spacing w:after="40"/>
            </w:pPr>
            <w:r>
              <w:t>9 Dec 1982</w:t>
            </w:r>
          </w:p>
        </w:tc>
      </w:tr>
      <w:tr>
        <w:trPr>
          <w:cantSplit/>
        </w:trPr>
        <w:tc>
          <w:tcPr>
            <w:tcW w:w="7090"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4"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4" w:type="dxa"/>
          </w:tcPr>
          <w:p>
            <w:pPr>
              <w:pStyle w:val="nTable"/>
              <w:spacing w:after="40"/>
            </w:pPr>
            <w:r>
              <w:t xml:space="preserve">1 Mar 1985 (see s. 2(2) and </w:t>
            </w:r>
            <w:r>
              <w:rPr>
                <w:i/>
              </w:rPr>
              <w:t>Gazette</w:t>
            </w:r>
            <w:r>
              <w:t xml:space="preserve"> 1 Mar 1985 p. 778)</w:t>
            </w:r>
          </w:p>
        </w:tc>
      </w:tr>
      <w:tr>
        <w:trPr>
          <w:cantSplit/>
        </w:trPr>
        <w:tc>
          <w:tcPr>
            <w:tcW w:w="7090"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4" w:type="dxa"/>
          </w:tcPr>
          <w:p>
            <w:pPr>
              <w:pStyle w:val="nTable"/>
              <w:spacing w:after="40"/>
            </w:pPr>
            <w:r>
              <w:t>13 May 1985 (see s. 2)</w:t>
            </w:r>
          </w:p>
        </w:tc>
      </w:tr>
      <w:tr>
        <w:trPr>
          <w:cantSplit/>
        </w:trPr>
        <w:tc>
          <w:tcPr>
            <w:tcW w:w="7090"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4"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4"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Western Australia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4"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4"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4"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4"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spacing w:val="-2"/>
                <w:vertAlign w:val="superscript"/>
              </w:rPr>
            </w:pPr>
            <w:r>
              <w:rPr>
                <w:spacing w:val="-2"/>
              </w:rPr>
              <w:t>99 of 1990 (as amended by No. 1 of 1995 s. 35)</w:t>
            </w:r>
          </w:p>
        </w:tc>
        <w:tc>
          <w:tcPr>
            <w:tcW w:w="1134" w:type="dxa"/>
          </w:tcPr>
          <w:p>
            <w:pPr>
              <w:pStyle w:val="nTable"/>
              <w:spacing w:after="40"/>
            </w:pPr>
            <w:r>
              <w:t>22 Dec 1990</w:t>
            </w:r>
          </w:p>
        </w:tc>
        <w:tc>
          <w:tcPr>
            <w:tcW w:w="2554"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4"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r>
              <w:rPr>
                <w:i/>
                <w:spacing w:val="-2"/>
              </w:rPr>
              <w:t>Western Australian Land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4"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4"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4"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4"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4"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4"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4"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4"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4"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4"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4"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4" w:type="dxa"/>
          </w:tcPr>
          <w:p>
            <w:pPr>
              <w:pStyle w:val="nTable"/>
              <w:spacing w:after="40"/>
            </w:pPr>
            <w:r>
              <w:rPr>
                <w:spacing w:val="-2"/>
              </w:rPr>
              <w:t xml:space="preserve">4 Nov 1996 (see s. 2 and </w:t>
            </w:r>
            <w:r>
              <w:rPr>
                <w:i/>
                <w:spacing w:val="-2"/>
              </w:rPr>
              <w:t>Gazette</w:t>
            </w:r>
            <w:r>
              <w:rPr>
                <w:spacing w:val="-2"/>
              </w:rPr>
              <w:t xml:space="preserve"> 25 Oct 1996 p. 5632)</w:t>
            </w:r>
          </w:p>
        </w:tc>
      </w:tr>
      <w:tr>
        <w:tc>
          <w:tcPr>
            <w:tcW w:w="2268" w:type="dxa"/>
          </w:tcPr>
          <w:p>
            <w:pPr>
              <w:pStyle w:val="nTable"/>
              <w:spacing w:after="40"/>
              <w:ind w:right="113"/>
              <w:rPr>
                <w:i/>
                <w:spacing w:val="-2"/>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rPr>
                <w:spacing w:val="-2"/>
              </w:rPr>
            </w:pPr>
            <w:r>
              <w:rPr>
                <w:spacing w:val="-2"/>
              </w:rPr>
              <w:t>16 Jan 1996</w:t>
            </w:r>
          </w:p>
        </w:tc>
        <w:tc>
          <w:tcPr>
            <w:tcW w:w="2554" w:type="dxa"/>
          </w:tcPr>
          <w:p>
            <w:pPr>
              <w:pStyle w:val="nTable"/>
              <w:spacing w:after="40"/>
              <w:rPr>
                <w:spacing w:val="-2"/>
              </w:rPr>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2"/>
              </w:rPr>
              <w:t xml:space="preserve"> Pt. 2 and s. 35 and 36:</w:t>
            </w:r>
            <w:r>
              <w:rPr>
                <w:spacing w:val="-2"/>
              </w:rPr>
              <w:br/>
              <w:t xml:space="preserve">1 Nov 1996 (see s. 3(2) and </w:t>
            </w:r>
            <w:r>
              <w:rPr>
                <w:i/>
                <w:spacing w:val="-2"/>
              </w:rPr>
              <w:t>Gazette</w:t>
            </w:r>
            <w:r>
              <w:rPr>
                <w:spacing w:val="-2"/>
              </w:rPr>
              <w:t xml:space="preserve"> 1 Nov 1996 p. 5765);</w:t>
            </w:r>
          </w:p>
        </w:tc>
      </w:tr>
      <w:tr>
        <w:trPr>
          <w:cantSplit/>
        </w:trPr>
        <w:tc>
          <w:tcPr>
            <w:tcW w:w="2268" w:type="dxa"/>
          </w:tcPr>
          <w:p>
            <w:pPr>
              <w:pStyle w:val="nTable"/>
              <w:spacing w:after="40"/>
              <w:ind w:right="113"/>
              <w:rPr>
                <w:spacing w:val="-2"/>
                <w:vertAlign w:val="superscript"/>
              </w:rPr>
            </w:pPr>
          </w:p>
        </w:tc>
        <w:tc>
          <w:tcPr>
            <w:tcW w:w="1134" w:type="dxa"/>
          </w:tcPr>
          <w:p>
            <w:pPr>
              <w:pStyle w:val="nTable"/>
              <w:spacing w:after="40"/>
              <w:rPr>
                <w:spacing w:val="-2"/>
              </w:rPr>
            </w:pPr>
          </w:p>
        </w:tc>
        <w:tc>
          <w:tcPr>
            <w:tcW w:w="1134" w:type="dxa"/>
          </w:tcPr>
          <w:p>
            <w:pPr>
              <w:pStyle w:val="nTable"/>
              <w:spacing w:after="40"/>
            </w:pPr>
          </w:p>
        </w:tc>
        <w:tc>
          <w:tcPr>
            <w:tcW w:w="2554" w:type="dxa"/>
          </w:tcPr>
          <w:p>
            <w:pPr>
              <w:pStyle w:val="nTable"/>
              <w:spacing w:after="40"/>
            </w:pP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4"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4"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spacing w:val="-2"/>
                <w:vertAlign w:val="superscript"/>
              </w:rPr>
              <w:t> 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4"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4"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4"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4"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4"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4"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4"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4"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4"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Gazette </w:t>
            </w:r>
            <w:r>
              <w:t>15 Aug 2003 p. 3685</w:t>
            </w:r>
            <w:r>
              <w:noBreakHyphen/>
              <w:t>92</w:t>
            </w:r>
          </w:p>
        </w:tc>
        <w:tc>
          <w:tcPr>
            <w:tcW w:w="2554"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4"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4" w:type="dxa"/>
          </w:tcPr>
          <w:p>
            <w:pPr>
              <w:pStyle w:val="nTable"/>
              <w:keepNext/>
              <w:spacing w:after="40"/>
            </w:pPr>
            <w:r>
              <w:rPr>
                <w:spacing w:val="-2"/>
              </w:rPr>
              <w:t>15 Dec 2003 (see s. 2)</w:t>
            </w:r>
          </w:p>
        </w:tc>
      </w:tr>
      <w:tr>
        <w:trPr>
          <w:cantSplit/>
        </w:trPr>
        <w:tc>
          <w:tcPr>
            <w:tcW w:w="7090"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4"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4"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pPr>
            <w:r>
              <w:rPr>
                <w:snapToGrid w:val="0"/>
              </w:rPr>
              <w:t>59 of 2004</w:t>
            </w:r>
          </w:p>
        </w:tc>
        <w:tc>
          <w:tcPr>
            <w:tcW w:w="1134" w:type="dxa"/>
          </w:tcPr>
          <w:p>
            <w:pPr>
              <w:pStyle w:val="nTable"/>
              <w:spacing w:after="40"/>
              <w:ind w:right="-28"/>
            </w:pPr>
            <w:r>
              <w:rPr>
                <w:snapToGrid w:val="0"/>
              </w:rPr>
              <w:t>23 Nov 2004</w:t>
            </w:r>
          </w:p>
        </w:tc>
        <w:tc>
          <w:tcPr>
            <w:tcW w:w="2554"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4"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i/>
              </w:rPr>
            </w:pPr>
            <w:r>
              <w:rPr>
                <w:i/>
                <w:snapToGrid w:val="0"/>
              </w:rPr>
              <w:t>Mines Safety and Inspection Amendment Act 2004</w:t>
            </w:r>
            <w:r>
              <w:rPr>
                <w:snapToGrid w:val="0"/>
              </w:rPr>
              <w:t xml:space="preserve"> Pt. 7 Div. 2</w:t>
            </w:r>
          </w:p>
        </w:tc>
        <w:tc>
          <w:tcPr>
            <w:tcW w:w="1134" w:type="dxa"/>
          </w:tcPr>
          <w:p>
            <w:pPr>
              <w:pStyle w:val="nTable"/>
              <w:spacing w:after="40"/>
              <w:ind w:right="170"/>
            </w:pPr>
            <w:r>
              <w:rPr>
                <w:snapToGrid w:val="0"/>
              </w:rPr>
              <w:t>68 of 2004</w:t>
            </w:r>
          </w:p>
        </w:tc>
        <w:tc>
          <w:tcPr>
            <w:tcW w:w="1134" w:type="dxa"/>
          </w:tcPr>
          <w:p>
            <w:pPr>
              <w:pStyle w:val="nTable"/>
              <w:spacing w:after="40"/>
              <w:ind w:right="-28"/>
            </w:pPr>
            <w:r>
              <w:rPr>
                <w:snapToGrid w:val="0"/>
              </w:rPr>
              <w:t>8 Dec 2004</w:t>
            </w:r>
          </w:p>
        </w:tc>
        <w:tc>
          <w:tcPr>
            <w:tcW w:w="2554"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4"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trPr>
          <w:cantSplit/>
        </w:trPr>
        <w:tc>
          <w:tcPr>
            <w:tcW w:w="7090"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4"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4"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4" w:type="dxa"/>
          </w:tcPr>
          <w:p>
            <w:pPr>
              <w:pStyle w:val="nTable"/>
              <w:spacing w:after="40"/>
            </w:pPr>
            <w:r>
              <w:rPr>
                <w:snapToGrid w:val="0"/>
              </w:rPr>
              <w:t>4 Jul 2006 (see s. 2(1))</w:t>
            </w:r>
          </w:p>
        </w:tc>
      </w:tr>
      <w:tr>
        <w:trPr>
          <w:cantSplit/>
        </w:trPr>
        <w:tc>
          <w:tcPr>
            <w:tcW w:w="7090"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4"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4"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4"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4"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4"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4"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4"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4"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4" w:type="dxa"/>
          </w:tcPr>
          <w:p>
            <w:pPr>
              <w:pStyle w:val="nTable"/>
              <w:keepNext/>
              <w:spacing w:after="40"/>
            </w:pPr>
            <w:r>
              <w:t>10 Jun 2009 (see s. 2(2))</w:t>
            </w:r>
          </w:p>
        </w:tc>
      </w:tr>
      <w:tr>
        <w:trPr>
          <w:cantSplit/>
        </w:trPr>
        <w:tc>
          <w:tcPr>
            <w:tcW w:w="7090"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4"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4"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4"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4"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90"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4"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4"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4"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4"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90"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4"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4"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4"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4"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4" w:type="dxa"/>
            <w:shd w:val="clear" w:color="auto" w:fill="auto"/>
          </w:tcPr>
          <w:p>
            <w:pPr>
              <w:pStyle w:val="nTable"/>
              <w:keepNext/>
              <w:spacing w:after="40"/>
            </w:pPr>
            <w:r>
              <w:t>29 Nov 2016 (see s. 2(b))</w:t>
            </w:r>
          </w:p>
        </w:tc>
      </w:tr>
      <w:tr>
        <w:trPr>
          <w:cantSplit/>
        </w:trPr>
        <w:tc>
          <w:tcPr>
            <w:tcW w:w="7090" w:type="dxa"/>
            <w:gridSpan w:val="4"/>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snapToGrid w:val="0"/>
              </w:rPr>
            </w:pPr>
            <w:r>
              <w:rPr>
                <w:i/>
              </w:rPr>
              <w:t>Industrial Relations Amendment Act 2018</w:t>
            </w:r>
            <w:r>
              <w:t xml:space="preserve"> Pt. 2</w:t>
            </w:r>
          </w:p>
        </w:tc>
        <w:tc>
          <w:tcPr>
            <w:tcW w:w="1134" w:type="dxa"/>
            <w:shd w:val="clear" w:color="auto" w:fill="auto"/>
          </w:tcPr>
          <w:p>
            <w:pPr>
              <w:pStyle w:val="nTable"/>
              <w:keepNext/>
              <w:spacing w:after="40"/>
            </w:pPr>
            <w:r>
              <w:t>39 of 2018</w:t>
            </w:r>
          </w:p>
        </w:tc>
        <w:tc>
          <w:tcPr>
            <w:tcW w:w="1134" w:type="dxa"/>
            <w:shd w:val="clear" w:color="auto" w:fill="auto"/>
          </w:tcPr>
          <w:p>
            <w:pPr>
              <w:pStyle w:val="nTable"/>
              <w:keepNext/>
              <w:spacing w:after="40"/>
            </w:pPr>
            <w:r>
              <w:t>12 Dec 2018</w:t>
            </w:r>
          </w:p>
        </w:tc>
        <w:tc>
          <w:tcPr>
            <w:tcW w:w="2554" w:type="dxa"/>
            <w:shd w:val="clear" w:color="auto" w:fill="auto"/>
          </w:tcPr>
          <w:p>
            <w:pPr>
              <w:pStyle w:val="nTable"/>
              <w:keepNext/>
              <w:spacing w:after="40"/>
            </w:pPr>
            <w:r>
              <w:t xml:space="preserve">19 Dec 2018 (see s. 2(b) and </w:t>
            </w:r>
            <w:r>
              <w:rPr>
                <w:i/>
              </w:rPr>
              <w:t>Gazette</w:t>
            </w:r>
            <w:r>
              <w:t xml:space="preserve"> 18 Dec 2018 p. 4835)</w:t>
            </w:r>
          </w:p>
        </w:tc>
      </w:tr>
      <w:tr>
        <w:trPr>
          <w:cantSplit/>
        </w:trPr>
        <w:tc>
          <w:tcPr>
            <w:tcW w:w="7090" w:type="dxa"/>
            <w:gridSpan w:val="4"/>
            <w:shd w:val="clear" w:color="auto" w:fill="auto"/>
          </w:tcPr>
          <w:p>
            <w:pPr>
              <w:pStyle w:val="nTable"/>
              <w:keepNext/>
              <w:spacing w:after="40"/>
            </w:pPr>
            <w:r>
              <w:rPr>
                <w:b/>
              </w:rPr>
              <w:t xml:space="preserve">Reprint 16: The </w:t>
            </w:r>
            <w:r>
              <w:rPr>
                <w:b/>
                <w:i/>
                <w:noProof/>
              </w:rPr>
              <w:t>Industrial Relations Act 1979</w:t>
            </w:r>
            <w:r>
              <w:rPr>
                <w:b/>
              </w:rPr>
              <w:t xml:space="preserve"> as at 30 Aug 2019</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i/>
              </w:rPr>
            </w:pPr>
            <w:r>
              <w:rPr>
                <w:i/>
                <w:noProof/>
              </w:rPr>
              <w:t>Police Amendment (Medical Retirement) Act 2019</w:t>
            </w:r>
            <w:r>
              <w:rPr>
                <w:noProof/>
              </w:rPr>
              <w:t xml:space="preserve"> Pt. 3</w:t>
            </w:r>
          </w:p>
        </w:tc>
        <w:tc>
          <w:tcPr>
            <w:tcW w:w="1134" w:type="dxa"/>
            <w:shd w:val="clear" w:color="auto" w:fill="auto"/>
          </w:tcPr>
          <w:p>
            <w:pPr>
              <w:pStyle w:val="nTable"/>
              <w:keepNext/>
              <w:spacing w:after="40"/>
            </w:pPr>
            <w:r>
              <w:t>19 of 2019</w:t>
            </w:r>
          </w:p>
        </w:tc>
        <w:tc>
          <w:tcPr>
            <w:tcW w:w="1134" w:type="dxa"/>
            <w:shd w:val="clear" w:color="auto" w:fill="auto"/>
          </w:tcPr>
          <w:p>
            <w:pPr>
              <w:pStyle w:val="nTable"/>
              <w:keepNext/>
              <w:spacing w:after="40"/>
            </w:pPr>
            <w:r>
              <w:t>15 Aug 2019</w:t>
            </w:r>
          </w:p>
        </w:tc>
        <w:tc>
          <w:tcPr>
            <w:tcW w:w="2554" w:type="dxa"/>
            <w:shd w:val="clear" w:color="auto" w:fill="auto"/>
          </w:tcPr>
          <w:p>
            <w:pPr>
              <w:pStyle w:val="nTable"/>
              <w:keepNext/>
              <w:spacing w:after="40"/>
            </w:pPr>
            <w:r>
              <w:t xml:space="preserve">30 Nov 2019 (see s. 2(b) and </w:t>
            </w:r>
            <w:r>
              <w:rPr>
                <w:i/>
              </w:rPr>
              <w:t xml:space="preserve">Gazette </w:t>
            </w:r>
            <w:r>
              <w:t>29 Nov 2019 p. 4133)</w:t>
            </w:r>
          </w:p>
        </w:tc>
      </w:tr>
      <w:tr>
        <w:trPr>
          <w:cantSplit/>
        </w:trPr>
        <w:tc>
          <w:tcPr>
            <w:tcW w:w="2268" w:type="dxa"/>
            <w:shd w:val="clear" w:color="auto" w:fill="auto"/>
          </w:tcPr>
          <w:p>
            <w:pPr>
              <w:pStyle w:val="nTable"/>
              <w:spacing w:after="40"/>
              <w:ind w:right="113"/>
              <w:rPr>
                <w:i/>
                <w:noProof/>
              </w:rPr>
            </w:pPr>
            <w:r>
              <w:rPr>
                <w:i/>
              </w:rPr>
              <w:t xml:space="preserve">Work Health and Safety Act 2020 </w:t>
            </w:r>
            <w:r>
              <w:t>Pt. 15 Div. 4 Subdiv. 5</w:t>
            </w:r>
          </w:p>
        </w:tc>
        <w:tc>
          <w:tcPr>
            <w:tcW w:w="1134" w:type="dxa"/>
            <w:shd w:val="clear" w:color="auto" w:fill="auto"/>
          </w:tcPr>
          <w:p>
            <w:pPr>
              <w:pStyle w:val="nTable"/>
              <w:keepNext/>
              <w:spacing w:after="40"/>
            </w:pPr>
            <w:r>
              <w:t>36 of 2020</w:t>
            </w:r>
          </w:p>
        </w:tc>
        <w:tc>
          <w:tcPr>
            <w:tcW w:w="1134" w:type="dxa"/>
            <w:shd w:val="clear" w:color="auto" w:fill="auto"/>
          </w:tcPr>
          <w:p>
            <w:pPr>
              <w:pStyle w:val="nTable"/>
              <w:keepNext/>
              <w:spacing w:after="40"/>
            </w:pPr>
            <w:r>
              <w:t>10 Nov 2020</w:t>
            </w:r>
          </w:p>
        </w:tc>
        <w:tc>
          <w:tcPr>
            <w:tcW w:w="2554" w:type="dxa"/>
            <w:shd w:val="clear" w:color="auto" w:fill="auto"/>
          </w:tcPr>
          <w:p>
            <w:pPr>
              <w:pStyle w:val="nTable"/>
              <w:keepNext/>
              <w:spacing w:after="40"/>
            </w:pPr>
            <w:r>
              <w:rPr>
                <w:snapToGrid w:val="0"/>
              </w:rPr>
              <w:t>31 Mar 2022 (see s. 2(1)(c) and SL 2022/18 cl. 2)</w:t>
            </w:r>
          </w:p>
        </w:tc>
      </w:tr>
      <w:tr>
        <w:trPr>
          <w:cantSplit/>
        </w:trPr>
        <w:tc>
          <w:tcPr>
            <w:tcW w:w="2268" w:type="dxa"/>
            <w:shd w:val="clear" w:color="auto" w:fill="auto"/>
          </w:tcPr>
          <w:p>
            <w:pPr>
              <w:pStyle w:val="nTable"/>
              <w:spacing w:after="40"/>
              <w:ind w:right="113"/>
              <w:rPr>
                <w:i/>
                <w:noProof/>
              </w:rPr>
            </w:pPr>
            <w:r>
              <w:rPr>
                <w:i/>
              </w:rPr>
              <w:t>Police Amendment (Compensation Scheme) Act 2021</w:t>
            </w:r>
            <w:r>
              <w:t xml:space="preserve"> Pt. 3</w:t>
            </w:r>
          </w:p>
        </w:tc>
        <w:tc>
          <w:tcPr>
            <w:tcW w:w="1134" w:type="dxa"/>
            <w:shd w:val="clear" w:color="auto" w:fill="auto"/>
          </w:tcPr>
          <w:p>
            <w:pPr>
              <w:pStyle w:val="nTable"/>
              <w:keepNext/>
              <w:spacing w:after="40"/>
            </w:pPr>
            <w:r>
              <w:t>26 of 2021</w:t>
            </w:r>
          </w:p>
        </w:tc>
        <w:tc>
          <w:tcPr>
            <w:tcW w:w="1134" w:type="dxa"/>
            <w:shd w:val="clear" w:color="auto" w:fill="auto"/>
          </w:tcPr>
          <w:p>
            <w:pPr>
              <w:pStyle w:val="nTable"/>
              <w:keepNext/>
              <w:spacing w:after="40"/>
            </w:pPr>
            <w:r>
              <w:t>13 Dec 2021</w:t>
            </w:r>
          </w:p>
        </w:tc>
        <w:tc>
          <w:tcPr>
            <w:tcW w:w="2554" w:type="dxa"/>
            <w:shd w:val="clear" w:color="auto" w:fill="auto"/>
          </w:tcPr>
          <w:p>
            <w:pPr>
              <w:pStyle w:val="nTable"/>
              <w:keepNext/>
              <w:spacing w:after="40"/>
            </w:pPr>
            <w:r>
              <w:t>1 Jan 2022 (see s. 2(b) and SL 2021/222 cl. 2)</w:t>
            </w:r>
          </w:p>
        </w:tc>
      </w:tr>
      <w:tr>
        <w:trPr>
          <w:cantSplit/>
        </w:trPr>
        <w:tc>
          <w:tcPr>
            <w:tcW w:w="2268" w:type="dxa"/>
            <w:shd w:val="clear" w:color="auto" w:fill="auto"/>
          </w:tcPr>
          <w:p>
            <w:pPr>
              <w:pStyle w:val="nTable"/>
              <w:spacing w:after="40"/>
              <w:ind w:right="113"/>
              <w:rPr>
                <w:i/>
              </w:rPr>
            </w:pPr>
            <w:r>
              <w:rPr>
                <w:i/>
              </w:rPr>
              <w:t>Industrial Relations Legislation Amendment Act 2021</w:t>
            </w:r>
            <w:r>
              <w:t xml:space="preserve"> Pt. 2</w:t>
            </w:r>
            <w:r>
              <w:rPr>
                <w:snapToGrid w:val="0"/>
                <w:vertAlign w:val="superscript"/>
              </w:rPr>
              <w:t> 22</w:t>
            </w:r>
          </w:p>
        </w:tc>
        <w:tc>
          <w:tcPr>
            <w:tcW w:w="1134" w:type="dxa"/>
            <w:shd w:val="clear" w:color="auto" w:fill="auto"/>
          </w:tcPr>
          <w:p>
            <w:pPr>
              <w:pStyle w:val="nTable"/>
              <w:keepNext/>
              <w:spacing w:after="40"/>
            </w:pPr>
            <w:r>
              <w:t>30 of 2021</w:t>
            </w:r>
          </w:p>
        </w:tc>
        <w:tc>
          <w:tcPr>
            <w:tcW w:w="1134" w:type="dxa"/>
            <w:shd w:val="clear" w:color="auto" w:fill="auto"/>
          </w:tcPr>
          <w:p>
            <w:pPr>
              <w:pStyle w:val="nTable"/>
              <w:keepNext/>
              <w:spacing w:after="40"/>
              <w:rPr>
                <w:highlight w:val="yellow"/>
              </w:rPr>
            </w:pPr>
            <w:r>
              <w:t>22 Dec 2021</w:t>
            </w:r>
          </w:p>
        </w:tc>
        <w:tc>
          <w:tcPr>
            <w:tcW w:w="2554" w:type="dxa"/>
            <w:shd w:val="clear" w:color="auto" w:fill="auto"/>
          </w:tcPr>
          <w:p>
            <w:pPr>
              <w:pStyle w:val="nTable"/>
              <w:keepNext/>
              <w:spacing w:after="40"/>
              <w:rPr>
                <w:snapToGrid w:val="0"/>
              </w:rPr>
            </w:pPr>
            <w:r>
              <w:rPr>
                <w:snapToGrid w:val="0"/>
              </w:rPr>
              <w:t>20 Jun 2022 (see s. 2(1)(b) and (2) and SL 2022/79 cl. 2)</w:t>
            </w:r>
          </w:p>
        </w:tc>
      </w:tr>
      <w:tr>
        <w:trPr>
          <w:cantSplit/>
          <w:ins w:id="1688" w:author="Master Repository Process" w:date="2022-06-30T14:38:00Z"/>
        </w:trPr>
        <w:tc>
          <w:tcPr>
            <w:tcW w:w="2268" w:type="dxa"/>
            <w:tcBorders>
              <w:bottom w:val="single" w:sz="4" w:space="0" w:color="auto"/>
            </w:tcBorders>
            <w:shd w:val="clear" w:color="auto" w:fill="auto"/>
          </w:tcPr>
          <w:p>
            <w:pPr>
              <w:pStyle w:val="nTable"/>
              <w:spacing w:after="40"/>
              <w:ind w:right="113"/>
              <w:rPr>
                <w:ins w:id="1689" w:author="Master Repository Process" w:date="2022-06-30T14:38:00Z"/>
                <w:i/>
                <w:vertAlign w:val="superscript"/>
              </w:rPr>
            </w:pPr>
            <w:ins w:id="1690" w:author="Master Repository Process" w:date="2022-06-30T14:38:00Z">
              <w:r>
                <w:rPr>
                  <w:i/>
                </w:rPr>
                <w:t>Legal Profession Uniform Law Application Act 2022</w:t>
              </w:r>
              <w:r>
                <w:t xml:space="preserve"> Pt. 17 Div. 9 and s. 424 </w:t>
              </w:r>
              <w:r>
                <w:rPr>
                  <w:vertAlign w:val="superscript"/>
                </w:rPr>
                <w:t>23</w:t>
              </w:r>
            </w:ins>
          </w:p>
        </w:tc>
        <w:tc>
          <w:tcPr>
            <w:tcW w:w="1134" w:type="dxa"/>
            <w:tcBorders>
              <w:bottom w:val="single" w:sz="4" w:space="0" w:color="auto"/>
            </w:tcBorders>
            <w:shd w:val="clear" w:color="auto" w:fill="auto"/>
          </w:tcPr>
          <w:p>
            <w:pPr>
              <w:pStyle w:val="nTable"/>
              <w:keepNext/>
              <w:spacing w:after="40"/>
              <w:rPr>
                <w:ins w:id="1691" w:author="Master Repository Process" w:date="2022-06-30T14:38:00Z"/>
              </w:rPr>
            </w:pPr>
            <w:ins w:id="1692" w:author="Master Repository Process" w:date="2022-06-30T14:38:00Z">
              <w:r>
                <w:t>9 of 2022</w:t>
              </w:r>
            </w:ins>
          </w:p>
        </w:tc>
        <w:tc>
          <w:tcPr>
            <w:tcW w:w="1134" w:type="dxa"/>
            <w:tcBorders>
              <w:bottom w:val="single" w:sz="4" w:space="0" w:color="auto"/>
            </w:tcBorders>
            <w:shd w:val="clear" w:color="auto" w:fill="auto"/>
          </w:tcPr>
          <w:p>
            <w:pPr>
              <w:pStyle w:val="nTable"/>
              <w:keepNext/>
              <w:spacing w:after="40"/>
              <w:rPr>
                <w:ins w:id="1693" w:author="Master Repository Process" w:date="2022-06-30T14:38:00Z"/>
              </w:rPr>
            </w:pPr>
            <w:ins w:id="1694" w:author="Master Repository Process" w:date="2022-06-30T14:38:00Z">
              <w:r>
                <w:t>14 Apr 2022</w:t>
              </w:r>
            </w:ins>
          </w:p>
        </w:tc>
        <w:tc>
          <w:tcPr>
            <w:tcW w:w="2554" w:type="dxa"/>
            <w:tcBorders>
              <w:bottom w:val="single" w:sz="4" w:space="0" w:color="auto"/>
            </w:tcBorders>
            <w:shd w:val="clear" w:color="auto" w:fill="auto"/>
          </w:tcPr>
          <w:p>
            <w:pPr>
              <w:pStyle w:val="nTable"/>
              <w:keepNext/>
              <w:spacing w:after="40"/>
              <w:rPr>
                <w:ins w:id="1695" w:author="Master Repository Process" w:date="2022-06-30T14:38:00Z"/>
                <w:snapToGrid w:val="0"/>
              </w:rPr>
            </w:pPr>
            <w:ins w:id="1696" w:author="Master Repository Process" w:date="2022-06-30T14:38:00Z">
              <w:r>
                <w:rPr>
                  <w:snapToGrid w:val="0"/>
                </w:rPr>
                <w:t>1 Jul 2022 (see s. 2(b)(i) and (c) and SL 2022/113 cl. 2)</w:t>
              </w:r>
            </w:ins>
          </w:p>
        </w:tc>
      </w:tr>
    </w:tbl>
    <w:p>
      <w:pPr>
        <w:pStyle w:val="nHeading3"/>
      </w:pPr>
      <w:bookmarkStart w:id="1697" w:name="_Toc107476846"/>
      <w:bookmarkStart w:id="1698" w:name="_Toc106374380"/>
      <w:r>
        <w:t>Uncommenced provisions table</w:t>
      </w:r>
      <w:bookmarkEnd w:id="1697"/>
      <w:bookmarkEnd w:id="1698"/>
    </w:p>
    <w:p>
      <w:pPr>
        <w:pStyle w:val="nStatement"/>
        <w:keepNext/>
        <w:spacing w:after="240"/>
      </w:pPr>
      <w:r>
        <w:t xml:space="preserve">To view the text of the uncommenced provisions see </w:t>
      </w:r>
      <w:r>
        <w:rPr>
          <w:i/>
        </w:rPr>
        <w:t>Acts as passed</w:t>
      </w:r>
      <w:r>
        <w:t xml:space="preserve"> on the WA Legislation website.</w:t>
      </w:r>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bottom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p>
        </w:tc>
        <w:tc>
          <w:tcPr>
            <w:tcW w:w="1134" w:type="dxa"/>
            <w:tcBorders>
              <w:top w:val="single" w:sz="4" w:space="0" w:color="auto"/>
              <w:bottom w:val="single" w:sz="4" w:space="0" w:color="auto"/>
            </w:tcBorders>
            <w:shd w:val="clear" w:color="auto" w:fill="auto"/>
          </w:tcPr>
          <w:p>
            <w:pPr>
              <w:pStyle w:val="nTable"/>
              <w:keepNext/>
              <w:spacing w:after="40"/>
            </w:pPr>
            <w:r>
              <w:t>43 of 2000</w:t>
            </w:r>
          </w:p>
        </w:tc>
        <w:tc>
          <w:tcPr>
            <w:tcW w:w="1134" w:type="dxa"/>
            <w:tcBorders>
              <w:top w:val="single" w:sz="4" w:space="0" w:color="auto"/>
              <w:bottom w:val="single" w:sz="4" w:space="0" w:color="auto"/>
            </w:tcBorders>
            <w:shd w:val="clear" w:color="auto" w:fill="auto"/>
          </w:tcPr>
          <w:p>
            <w:pPr>
              <w:pStyle w:val="nTable"/>
              <w:keepNext/>
              <w:spacing w:after="40"/>
            </w:pPr>
            <w:r>
              <w:t>2 Nov 2000</w:t>
            </w:r>
          </w:p>
        </w:tc>
        <w:tc>
          <w:tcPr>
            <w:tcW w:w="2554" w:type="dxa"/>
            <w:tcBorders>
              <w:top w:val="single" w:sz="4" w:space="0" w:color="auto"/>
              <w:bottom w:val="single" w:sz="4" w:space="0" w:color="auto"/>
            </w:tcBorders>
            <w:shd w:val="clear" w:color="auto" w:fill="auto"/>
          </w:tcPr>
          <w:p>
            <w:pPr>
              <w:pStyle w:val="nTable"/>
              <w:keepNext/>
              <w:spacing w:after="40"/>
            </w:pPr>
            <w:r>
              <w:t>To be proclaimed (see s. 2(2))</w:t>
            </w:r>
          </w:p>
        </w:tc>
      </w:tr>
      <w:tr>
        <w:trPr>
          <w:cantSplit/>
          <w:del w:id="1699" w:author="Master Repository Process" w:date="2022-06-30T14:38:00Z"/>
        </w:trPr>
        <w:tc>
          <w:tcPr>
            <w:tcW w:w="2268" w:type="dxa"/>
            <w:tcBorders>
              <w:bottom w:val="single" w:sz="4" w:space="0" w:color="auto"/>
            </w:tcBorders>
            <w:shd w:val="clear" w:color="auto" w:fill="auto"/>
          </w:tcPr>
          <w:p>
            <w:pPr>
              <w:pStyle w:val="nTable"/>
              <w:spacing w:after="40"/>
              <w:ind w:right="113"/>
              <w:rPr>
                <w:del w:id="1700" w:author="Master Repository Process" w:date="2022-06-30T14:38:00Z"/>
              </w:rPr>
            </w:pPr>
            <w:del w:id="1701" w:author="Master Repository Process" w:date="2022-06-30T14:38:00Z">
              <w:r>
                <w:rPr>
                  <w:i/>
                </w:rPr>
                <w:delText>Legal Profession Uniform Law Application Act 2022</w:delText>
              </w:r>
              <w:r>
                <w:delText xml:space="preserve"> Pt. 17 Div. 9 and s. 424</w:delText>
              </w:r>
            </w:del>
          </w:p>
        </w:tc>
        <w:tc>
          <w:tcPr>
            <w:tcW w:w="1134" w:type="dxa"/>
            <w:tcBorders>
              <w:bottom w:val="single" w:sz="4" w:space="0" w:color="auto"/>
            </w:tcBorders>
            <w:shd w:val="clear" w:color="auto" w:fill="auto"/>
          </w:tcPr>
          <w:p>
            <w:pPr>
              <w:pStyle w:val="nTable"/>
              <w:keepNext/>
              <w:spacing w:after="40"/>
              <w:rPr>
                <w:del w:id="1702" w:author="Master Repository Process" w:date="2022-06-30T14:38:00Z"/>
              </w:rPr>
            </w:pPr>
            <w:del w:id="1703" w:author="Master Repository Process" w:date="2022-06-30T14:38:00Z">
              <w:r>
                <w:delText>9 of 2022</w:delText>
              </w:r>
            </w:del>
          </w:p>
        </w:tc>
        <w:tc>
          <w:tcPr>
            <w:tcW w:w="1134" w:type="dxa"/>
            <w:tcBorders>
              <w:bottom w:val="single" w:sz="4" w:space="0" w:color="auto"/>
            </w:tcBorders>
            <w:shd w:val="clear" w:color="auto" w:fill="auto"/>
          </w:tcPr>
          <w:p>
            <w:pPr>
              <w:pStyle w:val="nTable"/>
              <w:keepNext/>
              <w:spacing w:after="40"/>
              <w:rPr>
                <w:del w:id="1704" w:author="Master Repository Process" w:date="2022-06-30T14:38:00Z"/>
              </w:rPr>
            </w:pPr>
            <w:del w:id="1705" w:author="Master Repository Process" w:date="2022-06-30T14:38:00Z">
              <w:r>
                <w:delText>14 Apr 2022</w:delText>
              </w:r>
            </w:del>
          </w:p>
        </w:tc>
        <w:tc>
          <w:tcPr>
            <w:tcW w:w="2554" w:type="dxa"/>
            <w:tcBorders>
              <w:bottom w:val="single" w:sz="4" w:space="0" w:color="auto"/>
            </w:tcBorders>
            <w:shd w:val="clear" w:color="auto" w:fill="auto"/>
          </w:tcPr>
          <w:p>
            <w:pPr>
              <w:pStyle w:val="nTable"/>
              <w:keepNext/>
              <w:spacing w:after="40"/>
              <w:rPr>
                <w:del w:id="1706" w:author="Master Repository Process" w:date="2022-06-30T14:38:00Z"/>
              </w:rPr>
            </w:pPr>
            <w:del w:id="1707" w:author="Master Repository Process" w:date="2022-06-30T14:38:00Z">
              <w:r>
                <w:delText xml:space="preserve">s. 359(2): commencement dependent on the day the </w:delText>
              </w:r>
              <w:r>
                <w:rPr>
                  <w:i/>
                </w:rPr>
                <w:delText>Industrial Relations Legislation Amendment Act 2021</w:delText>
              </w:r>
              <w:r>
                <w:delText xml:space="preserve"> s. 69 comes into operation (see s. 2(b));</w:delText>
              </w:r>
            </w:del>
          </w:p>
          <w:p>
            <w:pPr>
              <w:pStyle w:val="nTable"/>
              <w:keepNext/>
              <w:spacing w:after="40"/>
              <w:rPr>
                <w:del w:id="1708" w:author="Master Repository Process" w:date="2022-06-30T14:38:00Z"/>
                <w:snapToGrid w:val="0"/>
              </w:rPr>
            </w:pPr>
            <w:del w:id="1709" w:author="Master Repository Process" w:date="2022-06-30T14:38:00Z">
              <w:r>
                <w:delText>Pt. 17 Div. 9 (other than s. 359(2)) and 424: to be proclaimed (see s. 2(b) and (c))</w:delText>
              </w:r>
            </w:del>
          </w:p>
        </w:tc>
      </w:tr>
    </w:tbl>
    <w:p>
      <w:pPr>
        <w:pStyle w:val="nHeading3"/>
      </w:pPr>
      <w:bookmarkStart w:id="1710" w:name="_Toc107476847"/>
      <w:bookmarkStart w:id="1711" w:name="_Toc106374381"/>
      <w:r>
        <w:t>Other notes</w:t>
      </w:r>
      <w:bookmarkEnd w:id="1710"/>
      <w:bookmarkEnd w:id="1711"/>
    </w:p>
    <w:p>
      <w:pPr>
        <w:pStyle w:val="nNote"/>
        <w:spacing w:before="160"/>
        <w:ind w:left="482" w:hanging="482"/>
        <w:rPr>
          <w:snapToGrid w:val="0"/>
        </w:rPr>
      </w:pPr>
      <w:r>
        <w:rPr>
          <w:snapToGrid w:val="0"/>
          <w:vertAlign w:val="superscript"/>
        </w:rPr>
        <w:t>1</w:t>
      </w:r>
      <w:r>
        <w:rPr>
          <w:snapToGrid w:val="0"/>
          <w:vertAlign w:val="superscript"/>
        </w:rPr>
        <w:tab/>
      </w:r>
      <w:r>
        <w:rPr>
          <w:snapToGrid w:val="0"/>
        </w:rPr>
        <w:t>Footnote no longer applicable.</w:t>
      </w:r>
    </w:p>
    <w:p>
      <w:pPr>
        <w:pStyle w:val="nNote"/>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iCs/>
          <w:snapToGrid w:val="0"/>
        </w:rPr>
        <w:t xml:space="preserve"> (Cwlth)</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Note"/>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Note"/>
        <w:ind w:left="482" w:hanging="482"/>
        <w:rPr>
          <w:del w:id="1712" w:author="Master Repository Process" w:date="2022-06-30T14:38:00Z"/>
        </w:rPr>
      </w:pPr>
      <w:del w:id="1713" w:author="Master Repository Process" w:date="2022-06-30T14:38:00Z">
        <w:r>
          <w:rPr>
            <w:snapToGrid w:val="0"/>
            <w:vertAlign w:val="superscript"/>
          </w:rPr>
          <w:delText>4</w:delText>
        </w:r>
        <w:r>
          <w:rPr>
            <w:snapToGrid w:val="0"/>
          </w:rPr>
          <w:tab/>
        </w:r>
        <w:r>
          <w:delText>Repealed by the</w:delText>
        </w:r>
        <w:r>
          <w:rPr>
            <w:i/>
          </w:rPr>
          <w:delText xml:space="preserve"> Fair Work (Transitional Provisions and Consequential Amendments) Act 2009</w:delText>
        </w:r>
        <w:r>
          <w:delText xml:space="preserve"> (Cwlth). Now see the </w:delText>
        </w:r>
        <w:r>
          <w:rPr>
            <w:i/>
          </w:rPr>
          <w:delText>Fair Work Act 2009</w:delText>
        </w:r>
        <w:r>
          <w:delText xml:space="preserve"> (Cwlth).</w:delText>
        </w:r>
      </w:del>
    </w:p>
    <w:p>
      <w:pPr>
        <w:pStyle w:val="nNote"/>
        <w:ind w:left="482" w:hanging="482"/>
        <w:rPr>
          <w:ins w:id="1714" w:author="Master Repository Process" w:date="2022-06-30T14:38:00Z"/>
        </w:rPr>
      </w:pPr>
      <w:ins w:id="1715" w:author="Master Repository Process" w:date="2022-06-30T14:38:00Z">
        <w:r>
          <w:rPr>
            <w:snapToGrid w:val="0"/>
            <w:vertAlign w:val="superscript"/>
          </w:rPr>
          <w:t>4</w:t>
        </w:r>
        <w:r>
          <w:rPr>
            <w:snapToGrid w:val="0"/>
          </w:rPr>
          <w:tab/>
          <w:t>Footnote no longer applicable.</w:t>
        </w:r>
      </w:ins>
    </w:p>
    <w:p>
      <w:pPr>
        <w:pStyle w:val="nNote"/>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Note"/>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spacing w:before="160"/>
        <w:ind w:left="482" w:hanging="482"/>
        <w:rPr>
          <w:snapToGrid w:val="0"/>
        </w:rPr>
      </w:pPr>
      <w:r>
        <w:rPr>
          <w:snapToGrid w:val="0"/>
          <w:vertAlign w:val="superscript"/>
        </w:rPr>
        <w:t>7</w:t>
      </w:r>
      <w:r>
        <w:rPr>
          <w:snapToGrid w:val="0"/>
          <w:vertAlign w:val="superscript"/>
        </w:rPr>
        <w:tab/>
      </w:r>
      <w:r>
        <w:rPr>
          <w:snapToGrid w:val="0"/>
        </w:rPr>
        <w:t>Footnote no longer applicable.</w:t>
      </w:r>
    </w:p>
    <w:p>
      <w:pPr>
        <w:pStyle w:val="nNote"/>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Note"/>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Note"/>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Note"/>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Note"/>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Note"/>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Note"/>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Note"/>
        <w:keepNext/>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NotePara"/>
      </w:pPr>
      <w:r>
        <w:tab/>
        <w:t>(a)</w:t>
      </w:r>
      <w:r>
        <w:tab/>
        <w:t>in Part 2 Div. 3, relating to the Government School Teachers Tribunal;</w:t>
      </w:r>
    </w:p>
    <w:p>
      <w:pPr>
        <w:pStyle w:val="nNotePara"/>
      </w:pPr>
      <w:r>
        <w:tab/>
        <w:t>(b)</w:t>
      </w:r>
      <w:r>
        <w:tab/>
        <w:t>in s. 34, relating to the Promotions Appeal Board; and</w:t>
      </w:r>
    </w:p>
    <w:p>
      <w:pPr>
        <w:pStyle w:val="nNotePara"/>
      </w:pPr>
      <w:r>
        <w:tab/>
        <w:t>(c)</w:t>
      </w:r>
      <w:r>
        <w:tab/>
        <w:t>in s. 42, relating to dismissals occurring before the commencement of that section.</w:t>
      </w:r>
    </w:p>
    <w:p>
      <w:pPr>
        <w:pStyle w:val="nNote"/>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Note"/>
        <w:spacing w:before="120"/>
        <w:ind w:left="480" w:hanging="480"/>
        <w:rPr>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Note"/>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Note"/>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spacing w:before="120"/>
        <w:ind w:left="480" w:hanging="480"/>
        <w:rPr>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Note"/>
        <w:spacing w:before="120"/>
      </w:pPr>
      <w:r>
        <w:rPr>
          <w:vertAlign w:val="superscript"/>
        </w:rPr>
        <w:t>21</w:t>
      </w:r>
      <w:r>
        <w:tab/>
        <w:t xml:space="preserve">The </w:t>
      </w:r>
      <w:r>
        <w:rPr>
          <w:i/>
        </w:rPr>
        <w:t>Labour Relations Legislation Amendment Act 2006</w:t>
      </w:r>
      <w:r>
        <w:t xml:space="preserve"> s. 22 contains transitional provisions.</w:t>
      </w:r>
    </w:p>
    <w:p>
      <w:pPr>
        <w:pStyle w:val="nNote"/>
        <w:spacing w:before="120"/>
      </w:pPr>
      <w:r>
        <w:rPr>
          <w:vertAlign w:val="superscript"/>
        </w:rPr>
        <w:t>22</w:t>
      </w:r>
      <w:r>
        <w:tab/>
        <w:t xml:space="preserve">The </w:t>
      </w:r>
      <w:r>
        <w:rPr>
          <w:i/>
        </w:rPr>
        <w:t xml:space="preserve">Industrial Relations Legislation Amendment Act 2021 </w:t>
      </w:r>
      <w:r>
        <w:t>s. 7(4), 24(1) and 75(2) were deleted when s. 5(2) of that Act came into operation. See s. 7(5), 24(2) and 75(3) of that Act.</w:t>
      </w:r>
    </w:p>
    <w:p>
      <w:pPr>
        <w:pStyle w:val="nNote"/>
        <w:keepNext/>
        <w:keepLines/>
        <w:spacing w:before="120"/>
        <w:ind w:left="482" w:hanging="482"/>
        <w:rPr>
          <w:ins w:id="1716" w:author="Master Repository Process" w:date="2022-06-30T14:38:00Z"/>
          <w:snapToGrid w:val="0"/>
        </w:rPr>
      </w:pPr>
      <w:ins w:id="1717" w:author="Master Repository Process" w:date="2022-06-30T14:38:00Z">
        <w:r>
          <w:rPr>
            <w:snapToGrid w:val="0"/>
            <w:vertAlign w:val="superscript"/>
          </w:rPr>
          <w:t>23</w:t>
        </w:r>
        <w:r>
          <w:rPr>
            <w:snapToGrid w:val="0"/>
          </w:rPr>
          <w:tab/>
          <w:t xml:space="preserve">The </w:t>
        </w:r>
        <w:r>
          <w:rPr>
            <w:i/>
            <w:snapToGrid w:val="0"/>
          </w:rPr>
          <w:t>Legal Profession Uniform Law Application Act 2022</w:t>
        </w:r>
        <w:r>
          <w:rPr>
            <w:snapToGrid w:val="0"/>
          </w:rPr>
          <w:t xml:space="preserve"> the Table to s. 424 it. 22 amendment to s. 51Q(4) will not come into operation because the section it sought to amend was replaced by the </w:t>
        </w:r>
        <w:r>
          <w:rPr>
            <w:i/>
            <w:snapToGrid w:val="0"/>
          </w:rPr>
          <w:t>Industrial Relations Legislation Amendment Act 2021</w:t>
        </w:r>
        <w:r>
          <w:rPr>
            <w:snapToGrid w:val="0"/>
          </w:rPr>
          <w:t xml:space="preserve"> s. 31.</w:t>
        </w:r>
      </w:ins>
    </w:p>
    <w:p/>
    <w:p>
      <w:pPr>
        <w:sectPr>
          <w:headerReference w:type="even" r:id="rId28"/>
          <w:headerReference w:type="default" r:id="rId29"/>
          <w:pgSz w:w="11907" w:h="16840" w:code="9"/>
          <w:pgMar w:top="2376" w:right="2405" w:bottom="3542" w:left="2405" w:header="706"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718" w:name="Compilation"/>
    <w:bookmarkEnd w:id="1718"/>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19" w:name="Coversheet"/>
    <w:bookmarkEnd w:id="171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490"/>
      <w:gridCol w:w="5773"/>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rPr>
        <w:jc w:val="center"/>
      </w:trP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jc w:val="center"/>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601" w:name="Schedule"/>
    <w:bookmarkEnd w:id="160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117</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8141802"/>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430142427" w:val="RemoveTocBookmarks,RemoveUnusedBookmarks,RemoveLanguageTags,ResetPageSize,RunningHeaders,UpdateStyles,UsedStyles"/>
    <w:docVar w:name="WAFER_20190430142427_GUID" w:val="abad9c6f-5aa9-40e2-b90b-623b62d47f10"/>
    <w:docVar w:name="WAFER_20190703094939" w:val="RemoveTocBookmarks,RemoveUnusedBookmarks,RemoveLanguageTags,ResetPageSize,RunningHeaders,UpdateStyles,UsedStyles"/>
    <w:docVar w:name="WAFER_20190703094939_GUID" w:val="ab040f71-d61b-4bc4-8ec4-fdcf26a39b1d"/>
    <w:docVar w:name="WAFER_20191128111150" w:val="RemoveTocBookmarks,RemoveUnusedBookmarks,RemoveLanguageTags,ResetPageSize,RunningHeaders,UpdateStyles,UsedStyles"/>
    <w:docVar w:name="WAFER_20191128111150_GUID" w:val="ed3c0a35-b154-40f3-b5ef-f690fc34344e"/>
    <w:docVar w:name="WAFER_202002131418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1811_GUID" w:val="4973dfed-ff9c-4d07-b1e3-c7ca07665b9b"/>
    <w:docVar w:name="WAFER_202011091622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62241_GUID" w:val="1726638d-871d-4d7b-8431-95fc759b4437"/>
    <w:docVar w:name="WAFER_202112141045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04545_GUID" w:val="747c2d23-d491-4c73-ab7e-07f294d8b7b9"/>
    <w:docVar w:name="WAFER_202112210846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084638_GUID" w:val="449db215-e74c-4c7d-b90e-7e933b7eb779"/>
    <w:docVar w:name="WAFER_202112211429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42926_GUID" w:val="dced8887-f241-46b8-b61b-df14de1484b6"/>
    <w:docVar w:name="WAFER_202203081041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04110_GUID" w:val="346b4b0c-bfd5-41f9-9204-a1c8e7e37812"/>
    <w:docVar w:name="WAFER_20220318140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450_GUID" w:val="0b8bcd5b-1742-4fa8-9d73-98c513782ed0"/>
    <w:docVar w:name="WAFER_202204081547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154731_GUID" w:val="0adaed40-1165-4f90-bf08-512f7642ab35"/>
    <w:docVar w:name="WAFER_202206101323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0132312_GUID" w:val="0c0ae158-adde-4f46-a52f-0b8ab7140484"/>
    <w:docVar w:name="WAFER_2022062814180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8141802_GUID" w:val="c7654411-a4ae-4675-954a-aa72f2f8ae7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6597AF4-85A4-4663-A5CF-89D615E8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BD32A-E115-4B38-BC19-078799EE1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99056</Words>
  <Characters>473488</Characters>
  <Application>Microsoft Office Word</Application>
  <DocSecurity>0</DocSecurity>
  <Lines>12460</Lines>
  <Paragraphs>6657</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565887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16-i0-01 - 16-j0-00</dc:title>
  <dc:subject/>
  <dc:creator/>
  <cp:keywords/>
  <dc:description/>
  <cp:lastModifiedBy>Master Repository Process</cp:lastModifiedBy>
  <cp:revision>2</cp:revision>
  <cp:lastPrinted>2019-11-28T07:43:00Z</cp:lastPrinted>
  <dcterms:created xsi:type="dcterms:W3CDTF">2022-06-30T06:38:00Z</dcterms:created>
  <dcterms:modified xsi:type="dcterms:W3CDTF">2022-06-30T06:38:00Z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2019-08-29T16:00:00Z</vt:filetime>
  </property>
  <property fmtid="{D5CDD505-2E9C-101B-9397-08002B2CF9AE}" pid="6" name="ReprintNo">
    <vt:lpwstr>16</vt:lpwstr>
  </property>
  <property fmtid="{D5CDD505-2E9C-101B-9397-08002B2CF9AE}" pid="7" name="CommencementDate">
    <vt:lpwstr>20220701</vt:lpwstr>
  </property>
  <property fmtid="{D5CDD505-2E9C-101B-9397-08002B2CF9AE}" pid="8" name="FromSuffix">
    <vt:lpwstr>16-i0-01</vt:lpwstr>
  </property>
  <property fmtid="{D5CDD505-2E9C-101B-9397-08002B2CF9AE}" pid="9" name="FromAsAtDate">
    <vt:lpwstr>20 Jun 2022</vt:lpwstr>
  </property>
  <property fmtid="{D5CDD505-2E9C-101B-9397-08002B2CF9AE}" pid="10" name="ToSuffix">
    <vt:lpwstr>16-j0-00</vt:lpwstr>
  </property>
  <property fmtid="{D5CDD505-2E9C-101B-9397-08002B2CF9AE}" pid="11" name="ToAsAtDate">
    <vt:lpwstr>01 Jul 2022</vt:lpwstr>
  </property>
</Properties>
</file>