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04-n0-00</w:t>
      </w:r>
      <w:r>
        <w:fldChar w:fldCharType="end"/>
      </w:r>
      <w:r>
        <w:t>] and [</w:t>
      </w:r>
      <w:r>
        <w:fldChar w:fldCharType="begin"/>
      </w:r>
      <w:r>
        <w:instrText xml:space="preserve"> DocProperty ToAsAtDate</w:instrText>
      </w:r>
      <w:r>
        <w:fldChar w:fldCharType="separate"/>
      </w:r>
      <w:r>
        <w:t>22 Oct 2022</w:t>
      </w:r>
      <w:r>
        <w:fldChar w:fldCharType="end"/>
      </w:r>
      <w:r>
        <w:t xml:space="preserve">, </w:t>
      </w:r>
      <w:r>
        <w:fldChar w:fldCharType="begin"/>
      </w:r>
      <w:r>
        <w:instrText xml:space="preserve"> DocProperty ToSuffix</w:instrText>
      </w:r>
      <w:r>
        <w:fldChar w:fldCharType="separate"/>
      </w:r>
      <w:r>
        <w:t>04-o0-00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1" w:name="_GoBack"/>
      <w:bookmarkEnd w:id="1"/>
      <w:r>
        <w:rPr>
          <w:snapToGrid w:val="0"/>
        </w:rPr>
        <w:t>n Act to provide for the management, administration and reporting of the public finances of the State, and for related purposes.</w:t>
      </w:r>
    </w:p>
    <w:p>
      <w:pPr>
        <w:pStyle w:val="Heading2"/>
      </w:pPr>
      <w:bookmarkStart w:id="2" w:name="_Toc117000504"/>
      <w:bookmarkStart w:id="3" w:name="_Toc117002784"/>
      <w:bookmarkStart w:id="4" w:name="_Toc117005388"/>
      <w:bookmarkStart w:id="5" w:name="_Toc106788625"/>
      <w:bookmarkStart w:id="6" w:name="_Toc106788879"/>
      <w:bookmarkStart w:id="7" w:name="_Toc106790002"/>
      <w:bookmarkStart w:id="8" w:name="_Toc106802507"/>
      <w:bookmarkStart w:id="9" w:name="_Toc106873902"/>
      <w:bookmarkStart w:id="10" w:name="_Toc10687455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117005389"/>
      <w:bookmarkStart w:id="12" w:name="_Toc106874555"/>
      <w:r>
        <w:rPr>
          <w:rStyle w:val="CharSectno"/>
        </w:rPr>
        <w:t>1</w:t>
      </w:r>
      <w:r>
        <w:t>.</w:t>
      </w:r>
      <w:r>
        <w:tab/>
      </w:r>
      <w:r>
        <w:rPr>
          <w:snapToGrid w:val="0"/>
        </w:rPr>
        <w:t>Short title</w:t>
      </w:r>
      <w:bookmarkEnd w:id="11"/>
      <w:bookmarkEnd w:id="12"/>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13" w:name="_Toc117005390"/>
      <w:bookmarkStart w:id="14" w:name="_Toc106874556"/>
      <w:r>
        <w:rPr>
          <w:rStyle w:val="CharSectno"/>
        </w:rPr>
        <w:t>2</w:t>
      </w:r>
      <w:r>
        <w:rPr>
          <w:snapToGrid w:val="0"/>
        </w:rPr>
        <w:t>.</w:t>
      </w:r>
      <w:r>
        <w:rPr>
          <w:snapToGrid w:val="0"/>
        </w:rPr>
        <w:tab/>
      </w:r>
      <w:r>
        <w:t>Commencement</w:t>
      </w:r>
      <w:bookmarkEnd w:id="13"/>
      <w:bookmarkEnd w:id="14"/>
    </w:p>
    <w:p>
      <w:pPr>
        <w:pStyle w:val="Subsection"/>
        <w:rPr>
          <w:spacing w:val="-2"/>
        </w:rPr>
      </w:pPr>
      <w:r>
        <w:tab/>
      </w:r>
      <w:r>
        <w:tab/>
        <w:t xml:space="preserve">This Act </w:t>
      </w:r>
      <w:r>
        <w:rPr>
          <w:spacing w:val="-2"/>
        </w:rPr>
        <w:t>comes into operation on a day fixed by proclamation.</w:t>
      </w:r>
    </w:p>
    <w:p>
      <w:pPr>
        <w:pStyle w:val="Heading5"/>
      </w:pPr>
      <w:bookmarkStart w:id="15" w:name="_Toc117005391"/>
      <w:bookmarkStart w:id="16" w:name="_Toc106874557"/>
      <w:r>
        <w:rPr>
          <w:rStyle w:val="CharSectno"/>
        </w:rPr>
        <w:t>3</w:t>
      </w:r>
      <w:r>
        <w:t>.</w:t>
      </w:r>
      <w:r>
        <w:tab/>
        <w:t>Terms used</w:t>
      </w:r>
      <w:bookmarkEnd w:id="15"/>
      <w:bookmarkEnd w:id="16"/>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tab/>
      </w:r>
      <w:r>
        <w:rPr>
          <w:rStyle w:val="CharDefText"/>
        </w:rPr>
        <w:t>annual estimates</w:t>
      </w:r>
      <w:r>
        <w:t>, of an agency for a financial year, means the annual estimates of the financial operations of the agency for the whole of the financial year under section 41(3);</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tab/>
      </w:r>
      <w:r>
        <w:rPr>
          <w:rStyle w:val="CharDefText"/>
        </w:rPr>
        <w:t>draft annual estimates</w:t>
      </w:r>
      <w:r>
        <w:t xml:space="preserve"> has the meaning given in section 40(1)(a);</w:t>
      </w:r>
    </w:p>
    <w:p>
      <w:pPr>
        <w:pStyle w:val="Defstart"/>
      </w:pPr>
      <w:r>
        <w:tab/>
      </w:r>
      <w:r>
        <w:rPr>
          <w:rStyle w:val="CharDefText"/>
        </w:rPr>
        <w:t>draft resource agreement</w:t>
      </w:r>
      <w:r>
        <w:t xml:space="preserve"> has the meaning given in section 42(1)(a);</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pPr>
      <w:r>
        <w:tab/>
      </w:r>
      <w:r>
        <w:rPr>
          <w:rStyle w:val="CharDefText"/>
        </w:rPr>
        <w:t>expense limit</w:t>
      </w:r>
      <w:r>
        <w:t xml:space="preserve"> has the meaning given in section 42(2)(b)(iii);</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tab/>
      </w:r>
      <w:r>
        <w:rPr>
          <w:rStyle w:val="CharDefText"/>
        </w:rPr>
        <w:t>submission date</w:t>
      </w:r>
      <w:r>
        <w:t xml:space="preserve"> — </w:t>
      </w:r>
    </w:p>
    <w:p>
      <w:pPr>
        <w:pStyle w:val="Defpara"/>
      </w:pPr>
      <w:r>
        <w:tab/>
        <w:t>(a)</w:t>
      </w:r>
      <w:r>
        <w:tab/>
        <w:t>in relation to draft annual estimates — means the date designated under section 40(2)(a) by which the draft annual estimates must be submitted to the Minister; and</w:t>
      </w:r>
    </w:p>
    <w:p>
      <w:pPr>
        <w:pStyle w:val="Defpara"/>
      </w:pPr>
      <w:r>
        <w:tab/>
        <w:t>(b)</w:t>
      </w:r>
      <w:r>
        <w:tab/>
        <w:t>in relation to a draft resource agreement — means the date designated under section 42(3)(a) by which the draft resource agreement must be submitted to the Treasurer;</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Footnotesection"/>
      </w:pPr>
      <w:r>
        <w:tab/>
        <w:t>[Section 3 amended: No. 12 of 2021 s. 4.]</w:t>
      </w:r>
    </w:p>
    <w:p>
      <w:pPr>
        <w:pStyle w:val="Heading5"/>
      </w:pPr>
      <w:bookmarkStart w:id="17" w:name="_Toc117005392"/>
      <w:bookmarkStart w:id="18" w:name="_Toc106874558"/>
      <w:r>
        <w:rPr>
          <w:rStyle w:val="CharSectno"/>
        </w:rPr>
        <w:t>4</w:t>
      </w:r>
      <w:r>
        <w:t>.</w:t>
      </w:r>
      <w:r>
        <w:tab/>
        <w:t>Relationship of this Act with other laws</w:t>
      </w:r>
      <w:bookmarkEnd w:id="17"/>
      <w:bookmarkEnd w:id="18"/>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9" w:name="_Toc117005393"/>
      <w:bookmarkStart w:id="20" w:name="_Toc106874559"/>
      <w:r>
        <w:rPr>
          <w:rStyle w:val="CharSectno"/>
        </w:rPr>
        <w:t>5</w:t>
      </w:r>
      <w:r>
        <w:t>.</w:t>
      </w:r>
      <w:r>
        <w:tab/>
        <w:t>Act modified for administration of certain bodies (Sch. 2)</w:t>
      </w:r>
      <w:bookmarkEnd w:id="19"/>
      <w:bookmarkEnd w:id="20"/>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1" w:name="_Toc117005394"/>
      <w:bookmarkStart w:id="22" w:name="_Toc106874560"/>
      <w:r>
        <w:rPr>
          <w:rStyle w:val="CharSectno"/>
        </w:rPr>
        <w:t>6</w:t>
      </w:r>
      <w:r>
        <w:t>.</w:t>
      </w:r>
      <w:r>
        <w:tab/>
        <w:t>Sch. 1 may be amended by regulations</w:t>
      </w:r>
      <w:bookmarkEnd w:id="21"/>
      <w:bookmarkEnd w:id="22"/>
    </w:p>
    <w:p>
      <w:pPr>
        <w:pStyle w:val="Subsection"/>
      </w:pPr>
      <w:r>
        <w:tab/>
      </w:r>
      <w:r>
        <w:tab/>
        <w:t>Schedule 1 may be amended by the regulations.</w:t>
      </w:r>
    </w:p>
    <w:p>
      <w:pPr>
        <w:pStyle w:val="Heading2"/>
      </w:pPr>
      <w:bookmarkStart w:id="23" w:name="_Toc117000511"/>
      <w:bookmarkStart w:id="24" w:name="_Toc117002791"/>
      <w:bookmarkStart w:id="25" w:name="_Toc117005395"/>
      <w:bookmarkStart w:id="26" w:name="_Toc106788632"/>
      <w:bookmarkStart w:id="27" w:name="_Toc106788886"/>
      <w:bookmarkStart w:id="28" w:name="_Toc106790009"/>
      <w:bookmarkStart w:id="29" w:name="_Toc106802514"/>
      <w:bookmarkStart w:id="30" w:name="_Toc106873909"/>
      <w:bookmarkStart w:id="31" w:name="_Toc106874561"/>
      <w:r>
        <w:rPr>
          <w:rStyle w:val="CharPartNo"/>
        </w:rPr>
        <w:t>Part 2</w:t>
      </w:r>
      <w:r>
        <w:t> — </w:t>
      </w:r>
      <w:r>
        <w:rPr>
          <w:rStyle w:val="CharPartText"/>
        </w:rPr>
        <w:t>Accounts</w:t>
      </w:r>
      <w:bookmarkEnd w:id="23"/>
      <w:bookmarkEnd w:id="24"/>
      <w:bookmarkEnd w:id="25"/>
      <w:bookmarkEnd w:id="26"/>
      <w:bookmarkEnd w:id="27"/>
      <w:bookmarkEnd w:id="28"/>
      <w:bookmarkEnd w:id="29"/>
      <w:bookmarkEnd w:id="30"/>
      <w:bookmarkEnd w:id="31"/>
    </w:p>
    <w:p>
      <w:pPr>
        <w:pStyle w:val="Heading3"/>
      </w:pPr>
      <w:bookmarkStart w:id="32" w:name="_Toc117000512"/>
      <w:bookmarkStart w:id="33" w:name="_Toc117002792"/>
      <w:bookmarkStart w:id="34" w:name="_Toc117005396"/>
      <w:bookmarkStart w:id="35" w:name="_Toc106788633"/>
      <w:bookmarkStart w:id="36" w:name="_Toc106788887"/>
      <w:bookmarkStart w:id="37" w:name="_Toc106790010"/>
      <w:bookmarkStart w:id="38" w:name="_Toc106802515"/>
      <w:bookmarkStart w:id="39" w:name="_Toc106873910"/>
      <w:bookmarkStart w:id="40" w:name="_Toc106874562"/>
      <w:r>
        <w:rPr>
          <w:rStyle w:val="CharDivNo"/>
        </w:rPr>
        <w:t>Division 1</w:t>
      </w:r>
      <w:r>
        <w:t> — </w:t>
      </w:r>
      <w:r>
        <w:rPr>
          <w:rStyle w:val="CharDivText"/>
        </w:rPr>
        <w:t>Public Ledger</w:t>
      </w:r>
      <w:bookmarkEnd w:id="32"/>
      <w:bookmarkEnd w:id="33"/>
      <w:bookmarkEnd w:id="34"/>
      <w:bookmarkEnd w:id="35"/>
      <w:bookmarkEnd w:id="36"/>
      <w:bookmarkEnd w:id="37"/>
      <w:bookmarkEnd w:id="38"/>
      <w:bookmarkEnd w:id="39"/>
      <w:bookmarkEnd w:id="40"/>
    </w:p>
    <w:p>
      <w:pPr>
        <w:pStyle w:val="Heading5"/>
      </w:pPr>
      <w:bookmarkStart w:id="41" w:name="_Toc117005397"/>
      <w:bookmarkStart w:id="42" w:name="_Toc106874563"/>
      <w:r>
        <w:rPr>
          <w:rStyle w:val="CharSectno"/>
        </w:rPr>
        <w:t>7</w:t>
      </w:r>
      <w:r>
        <w:t>.</w:t>
      </w:r>
      <w:r>
        <w:tab/>
        <w:t>Public Ledger</w:t>
      </w:r>
      <w:bookmarkEnd w:id="41"/>
      <w:bookmarkEnd w:id="42"/>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43" w:name="_Toc117005398"/>
      <w:bookmarkStart w:id="44" w:name="_Toc106874564"/>
      <w:r>
        <w:rPr>
          <w:rStyle w:val="CharSectno"/>
        </w:rPr>
        <w:t>8</w:t>
      </w:r>
      <w:r>
        <w:t>.</w:t>
      </w:r>
      <w:r>
        <w:tab/>
        <w:t>Consolidated Account</w:t>
      </w:r>
      <w:bookmarkEnd w:id="43"/>
      <w:bookmarkEnd w:id="44"/>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45" w:name="_Toc117005399"/>
      <w:bookmarkStart w:id="46" w:name="_Toc106874565"/>
      <w:r>
        <w:rPr>
          <w:rStyle w:val="CharSectno"/>
        </w:rPr>
        <w:t>9</w:t>
      </w:r>
      <w:r>
        <w:t>.</w:t>
      </w:r>
      <w:r>
        <w:tab/>
        <w:t>Treasurer’s Advance Account</w:t>
      </w:r>
      <w:bookmarkEnd w:id="45"/>
      <w:bookmarkEnd w:id="46"/>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47" w:name="_Toc117005400"/>
      <w:bookmarkStart w:id="48" w:name="_Toc106874566"/>
      <w:r>
        <w:rPr>
          <w:rStyle w:val="CharSectno"/>
        </w:rPr>
        <w:t>10</w:t>
      </w:r>
      <w:r>
        <w:t>.</w:t>
      </w:r>
      <w:r>
        <w:tab/>
        <w:t>Treasurer’s special purpose accounts</w:t>
      </w:r>
      <w:bookmarkEnd w:id="47"/>
      <w:bookmarkEnd w:id="48"/>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49" w:name="_Toc117000517"/>
      <w:bookmarkStart w:id="50" w:name="_Toc117002797"/>
      <w:bookmarkStart w:id="51" w:name="_Toc117005401"/>
      <w:bookmarkStart w:id="52" w:name="_Toc106788638"/>
      <w:bookmarkStart w:id="53" w:name="_Toc106788892"/>
      <w:bookmarkStart w:id="54" w:name="_Toc106790015"/>
      <w:bookmarkStart w:id="55" w:name="_Toc106802520"/>
      <w:bookmarkStart w:id="56" w:name="_Toc106873915"/>
      <w:bookmarkStart w:id="57" w:name="_Toc106874567"/>
      <w:r>
        <w:rPr>
          <w:rStyle w:val="CharDivNo"/>
        </w:rPr>
        <w:t>Division 2</w:t>
      </w:r>
      <w:r>
        <w:t> — </w:t>
      </w:r>
      <w:r>
        <w:rPr>
          <w:rStyle w:val="CharDivText"/>
        </w:rPr>
        <w:t>Public Bank Account and other bank accounts</w:t>
      </w:r>
      <w:bookmarkEnd w:id="49"/>
      <w:bookmarkEnd w:id="50"/>
      <w:bookmarkEnd w:id="51"/>
      <w:bookmarkEnd w:id="52"/>
      <w:bookmarkEnd w:id="53"/>
      <w:bookmarkEnd w:id="54"/>
      <w:bookmarkEnd w:id="55"/>
      <w:bookmarkEnd w:id="56"/>
      <w:bookmarkEnd w:id="57"/>
    </w:p>
    <w:p>
      <w:pPr>
        <w:pStyle w:val="Heading5"/>
        <w:spacing w:before="180"/>
      </w:pPr>
      <w:bookmarkStart w:id="58" w:name="_Toc117005402"/>
      <w:bookmarkStart w:id="59" w:name="_Toc106874568"/>
      <w:r>
        <w:rPr>
          <w:rStyle w:val="CharSectno"/>
        </w:rPr>
        <w:t>11</w:t>
      </w:r>
      <w:r>
        <w:t>.</w:t>
      </w:r>
      <w:r>
        <w:tab/>
        <w:t>Public Bank Account</w:t>
      </w:r>
      <w:bookmarkEnd w:id="58"/>
      <w:bookmarkEnd w:id="59"/>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60" w:name="_Toc117005403"/>
      <w:bookmarkStart w:id="61" w:name="_Toc106874569"/>
      <w:r>
        <w:rPr>
          <w:rStyle w:val="CharSectno"/>
        </w:rPr>
        <w:t>12</w:t>
      </w:r>
      <w:r>
        <w:t>.</w:t>
      </w:r>
      <w:r>
        <w:tab/>
        <w:t>Public Bank Account, application of money in</w:t>
      </w:r>
      <w:bookmarkEnd w:id="60"/>
      <w:bookmarkEnd w:id="61"/>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62" w:name="_Toc117005404"/>
      <w:bookmarkStart w:id="63" w:name="_Toc106874570"/>
      <w:r>
        <w:rPr>
          <w:rStyle w:val="CharSectno"/>
        </w:rPr>
        <w:t>13</w:t>
      </w:r>
      <w:r>
        <w:t>.</w:t>
      </w:r>
      <w:r>
        <w:tab/>
        <w:t>Bank accounts for agencies, restrictions on</w:t>
      </w:r>
      <w:bookmarkEnd w:id="62"/>
      <w:bookmarkEnd w:id="63"/>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64" w:name="_Toc117005405"/>
      <w:bookmarkStart w:id="65" w:name="_Toc106874571"/>
      <w:r>
        <w:rPr>
          <w:rStyle w:val="CharSectno"/>
        </w:rPr>
        <w:t>14</w:t>
      </w:r>
      <w:r>
        <w:t>.</w:t>
      </w:r>
      <w:r>
        <w:tab/>
        <w:t>Bank accounts not to be overdrawn except with Treasurer’s approval</w:t>
      </w:r>
      <w:bookmarkEnd w:id="64"/>
      <w:bookmarkEnd w:id="65"/>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66" w:name="_Toc117005406"/>
      <w:bookmarkStart w:id="67" w:name="_Toc106874572"/>
      <w:r>
        <w:rPr>
          <w:rStyle w:val="CharSectno"/>
        </w:rPr>
        <w:t>15</w:t>
      </w:r>
      <w:r>
        <w:t>.</w:t>
      </w:r>
      <w:r>
        <w:tab/>
        <w:t>Bank accounts for public money etc., restrictions on</w:t>
      </w:r>
      <w:bookmarkEnd w:id="66"/>
      <w:bookmarkEnd w:id="6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68" w:name="_Toc117000523"/>
      <w:bookmarkStart w:id="69" w:name="_Toc117002803"/>
      <w:bookmarkStart w:id="70" w:name="_Toc117005407"/>
      <w:bookmarkStart w:id="71" w:name="_Toc106788644"/>
      <w:bookmarkStart w:id="72" w:name="_Toc106788898"/>
      <w:bookmarkStart w:id="73" w:name="_Toc106790021"/>
      <w:bookmarkStart w:id="74" w:name="_Toc106802526"/>
      <w:bookmarkStart w:id="75" w:name="_Toc106873921"/>
      <w:bookmarkStart w:id="76" w:name="_Toc106874573"/>
      <w:r>
        <w:rPr>
          <w:rStyle w:val="CharDivNo"/>
        </w:rPr>
        <w:t>Division 3</w:t>
      </w:r>
      <w:r>
        <w:t> — </w:t>
      </w:r>
      <w:r>
        <w:rPr>
          <w:rStyle w:val="CharDivText"/>
        </w:rPr>
        <w:t>Agency special purpose accounts</w:t>
      </w:r>
      <w:bookmarkEnd w:id="68"/>
      <w:bookmarkEnd w:id="69"/>
      <w:bookmarkEnd w:id="70"/>
      <w:bookmarkEnd w:id="71"/>
      <w:bookmarkEnd w:id="72"/>
      <w:bookmarkEnd w:id="73"/>
      <w:bookmarkEnd w:id="74"/>
      <w:bookmarkEnd w:id="75"/>
      <w:bookmarkEnd w:id="76"/>
    </w:p>
    <w:p>
      <w:pPr>
        <w:pStyle w:val="Heading5"/>
      </w:pPr>
      <w:bookmarkStart w:id="77" w:name="_Toc117005408"/>
      <w:bookmarkStart w:id="78" w:name="_Toc106874574"/>
      <w:r>
        <w:rPr>
          <w:rStyle w:val="CharSectno"/>
        </w:rPr>
        <w:t>16</w:t>
      </w:r>
      <w:r>
        <w:t>.</w:t>
      </w:r>
      <w:r>
        <w:tab/>
        <w:t>Agency special purpose accounts</w:t>
      </w:r>
      <w:bookmarkEnd w:id="77"/>
      <w:bookmarkEnd w:id="78"/>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79" w:name="_Toc117000525"/>
      <w:bookmarkStart w:id="80" w:name="_Toc117002805"/>
      <w:bookmarkStart w:id="81" w:name="_Toc117005409"/>
      <w:bookmarkStart w:id="82" w:name="_Toc106788646"/>
      <w:bookmarkStart w:id="83" w:name="_Toc106788900"/>
      <w:bookmarkStart w:id="84" w:name="_Toc106790023"/>
      <w:bookmarkStart w:id="85" w:name="_Toc106802528"/>
      <w:bookmarkStart w:id="86" w:name="_Toc106873923"/>
      <w:bookmarkStart w:id="87" w:name="_Toc106874575"/>
      <w:r>
        <w:rPr>
          <w:rStyle w:val="CharDivNo"/>
        </w:rPr>
        <w:t>Division 4</w:t>
      </w:r>
      <w:r>
        <w:t> — </w:t>
      </w:r>
      <w:r>
        <w:rPr>
          <w:rStyle w:val="CharDivText"/>
        </w:rPr>
        <w:t>Administration of special purpose accounts</w:t>
      </w:r>
      <w:bookmarkEnd w:id="79"/>
      <w:bookmarkEnd w:id="80"/>
      <w:bookmarkEnd w:id="81"/>
      <w:bookmarkEnd w:id="82"/>
      <w:bookmarkEnd w:id="83"/>
      <w:bookmarkEnd w:id="84"/>
      <w:bookmarkEnd w:id="85"/>
      <w:bookmarkEnd w:id="86"/>
      <w:bookmarkEnd w:id="87"/>
    </w:p>
    <w:p>
      <w:pPr>
        <w:pStyle w:val="Heading5"/>
        <w:spacing w:before="180"/>
      </w:pPr>
      <w:bookmarkStart w:id="88" w:name="_Toc117005410"/>
      <w:bookmarkStart w:id="89" w:name="_Toc106874576"/>
      <w:r>
        <w:rPr>
          <w:rStyle w:val="CharSectno"/>
        </w:rPr>
        <w:t>17</w:t>
      </w:r>
      <w:r>
        <w:t>.</w:t>
      </w:r>
      <w:r>
        <w:tab/>
        <w:t>Special purpose statements and trust statements for accounts, preparation of etc.</w:t>
      </w:r>
      <w:bookmarkEnd w:id="88"/>
      <w:bookmarkEnd w:id="89"/>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90" w:name="_Toc117005411"/>
      <w:bookmarkStart w:id="91" w:name="_Toc106874577"/>
      <w:r>
        <w:rPr>
          <w:rStyle w:val="CharSectno"/>
        </w:rPr>
        <w:t>18</w:t>
      </w:r>
      <w:r>
        <w:t>.</w:t>
      </w:r>
      <w:r>
        <w:tab/>
        <w:t>Payments to and from accounts</w:t>
      </w:r>
      <w:bookmarkEnd w:id="90"/>
      <w:bookmarkEnd w:id="91"/>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92" w:name="_Toc117005412"/>
      <w:bookmarkStart w:id="93" w:name="_Toc106874578"/>
      <w:r>
        <w:rPr>
          <w:rStyle w:val="CharSectno"/>
        </w:rPr>
        <w:t>19</w:t>
      </w:r>
      <w:r>
        <w:t>.</w:t>
      </w:r>
      <w:r>
        <w:tab/>
        <w:t>Accounts not to be overdrawn except with Treasurer’s approval</w:t>
      </w:r>
      <w:bookmarkEnd w:id="92"/>
      <w:bookmarkEnd w:id="93"/>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94" w:name="_Toc117005413"/>
      <w:bookmarkStart w:id="95" w:name="_Toc106874579"/>
      <w:r>
        <w:rPr>
          <w:rStyle w:val="CharSectno"/>
        </w:rPr>
        <w:t>20</w:t>
      </w:r>
      <w:r>
        <w:t>.</w:t>
      </w:r>
      <w:r>
        <w:tab/>
        <w:t>Unrequired money in accounts, transfer of from</w:t>
      </w:r>
      <w:bookmarkEnd w:id="94"/>
      <w:bookmarkEnd w:id="95"/>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96" w:name="_Toc117005414"/>
      <w:bookmarkStart w:id="97" w:name="_Toc106874580"/>
      <w:r>
        <w:rPr>
          <w:rStyle w:val="CharSectno"/>
        </w:rPr>
        <w:t>21</w:t>
      </w:r>
      <w:r>
        <w:t>.</w:t>
      </w:r>
      <w:r>
        <w:tab/>
        <w:t>Closing accounts and consequences of</w:t>
      </w:r>
      <w:bookmarkEnd w:id="96"/>
      <w:bookmarkEnd w:id="97"/>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98" w:name="_Toc117005415"/>
      <w:bookmarkStart w:id="99" w:name="_Toc106874581"/>
      <w:r>
        <w:rPr>
          <w:rStyle w:val="CharSectno"/>
        </w:rPr>
        <w:t>22</w:t>
      </w:r>
      <w:r>
        <w:t>.</w:t>
      </w:r>
      <w:r>
        <w:tab/>
        <w:t>Other written laws not affected by this Division</w:t>
      </w:r>
      <w:bookmarkEnd w:id="98"/>
      <w:bookmarkEnd w:id="99"/>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00" w:name="_Toc117000532"/>
      <w:bookmarkStart w:id="101" w:name="_Toc117002812"/>
      <w:bookmarkStart w:id="102" w:name="_Toc117005416"/>
      <w:bookmarkStart w:id="103" w:name="_Toc106788653"/>
      <w:bookmarkStart w:id="104" w:name="_Toc106788907"/>
      <w:bookmarkStart w:id="105" w:name="_Toc106790030"/>
      <w:bookmarkStart w:id="106" w:name="_Toc106802535"/>
      <w:bookmarkStart w:id="107" w:name="_Toc106873930"/>
      <w:bookmarkStart w:id="108" w:name="_Toc106874582"/>
      <w:r>
        <w:rPr>
          <w:rStyle w:val="CharPartNo"/>
        </w:rPr>
        <w:t>Part 3</w:t>
      </w:r>
      <w:r>
        <w:t> — </w:t>
      </w:r>
      <w:r>
        <w:rPr>
          <w:rStyle w:val="CharPartText"/>
        </w:rPr>
        <w:t>Funds management</w:t>
      </w:r>
      <w:bookmarkEnd w:id="100"/>
      <w:bookmarkEnd w:id="101"/>
      <w:bookmarkEnd w:id="102"/>
      <w:bookmarkEnd w:id="103"/>
      <w:bookmarkEnd w:id="104"/>
      <w:bookmarkEnd w:id="105"/>
      <w:bookmarkEnd w:id="106"/>
      <w:bookmarkEnd w:id="107"/>
      <w:bookmarkEnd w:id="108"/>
    </w:p>
    <w:p>
      <w:pPr>
        <w:pStyle w:val="Heading3"/>
      </w:pPr>
      <w:bookmarkStart w:id="109" w:name="_Toc117000533"/>
      <w:bookmarkStart w:id="110" w:name="_Toc117002813"/>
      <w:bookmarkStart w:id="111" w:name="_Toc117005417"/>
      <w:bookmarkStart w:id="112" w:name="_Toc106788654"/>
      <w:bookmarkStart w:id="113" w:name="_Toc106788908"/>
      <w:bookmarkStart w:id="114" w:name="_Toc106790031"/>
      <w:bookmarkStart w:id="115" w:name="_Toc106802536"/>
      <w:bookmarkStart w:id="116" w:name="_Toc106873931"/>
      <w:bookmarkStart w:id="117" w:name="_Toc106874583"/>
      <w:r>
        <w:rPr>
          <w:rStyle w:val="CharDivNo"/>
        </w:rPr>
        <w:t>Division 1</w:t>
      </w:r>
      <w:r>
        <w:t> — </w:t>
      </w:r>
      <w:r>
        <w:rPr>
          <w:rStyle w:val="CharDivText"/>
        </w:rPr>
        <w:t>Supply and appropriation</w:t>
      </w:r>
      <w:bookmarkEnd w:id="109"/>
      <w:bookmarkEnd w:id="110"/>
      <w:bookmarkEnd w:id="111"/>
      <w:bookmarkEnd w:id="112"/>
      <w:bookmarkEnd w:id="113"/>
      <w:bookmarkEnd w:id="114"/>
      <w:bookmarkEnd w:id="115"/>
      <w:bookmarkEnd w:id="116"/>
      <w:bookmarkEnd w:id="117"/>
    </w:p>
    <w:p>
      <w:pPr>
        <w:pStyle w:val="Heading5"/>
        <w:spacing w:before="200"/>
      </w:pPr>
      <w:bookmarkStart w:id="118" w:name="_Toc117005418"/>
      <w:bookmarkStart w:id="119" w:name="_Toc106874584"/>
      <w:r>
        <w:rPr>
          <w:rStyle w:val="CharSectno"/>
        </w:rPr>
        <w:t>23</w:t>
      </w:r>
      <w:r>
        <w:t>.</w:t>
      </w:r>
      <w:r>
        <w:tab/>
        <w:t>Money received by agency, agency may retain in certain cases</w:t>
      </w:r>
      <w:bookmarkEnd w:id="118"/>
      <w:bookmarkEnd w:id="119"/>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120" w:name="_Toc117005419"/>
      <w:bookmarkStart w:id="121" w:name="_Toc106874585"/>
      <w:r>
        <w:rPr>
          <w:rStyle w:val="CharSectno"/>
        </w:rPr>
        <w:t>24</w:t>
      </w:r>
      <w:r>
        <w:t>.</w:t>
      </w:r>
      <w:r>
        <w:tab/>
        <w:t>Payments before supply granted, Treasurer’s powers to make etc.</w:t>
      </w:r>
      <w:bookmarkEnd w:id="120"/>
      <w:bookmarkEnd w:id="121"/>
    </w:p>
    <w:p>
      <w:pPr>
        <w:pStyle w:val="Subsection"/>
        <w:keepNext/>
      </w:pPr>
      <w:r>
        <w:tab/>
        <w:t>(1A)</w:t>
      </w:r>
      <w:r>
        <w:tab/>
        <w:t xml:space="preserve">In this section — </w:t>
      </w:r>
    </w:p>
    <w:p>
      <w:pPr>
        <w:pStyle w:val="Defstart"/>
      </w:pPr>
      <w:r>
        <w:tab/>
      </w:r>
      <w:r>
        <w:rPr>
          <w:rStyle w:val="CharDefText"/>
        </w:rPr>
        <w:t>election year</w:t>
      </w:r>
      <w:r>
        <w:t xml:space="preserve"> means a year in which a general election, as defined in the </w:t>
      </w:r>
      <w:r>
        <w:rPr>
          <w:i/>
        </w:rPr>
        <w:t>Electoral Act 1907</w:t>
      </w:r>
      <w:r>
        <w:t xml:space="preserve"> section 4(1), for the Legislative Assembly is held.</w:t>
      </w:r>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and after the start of the current year that do not exceed in total an amount equal to —</w:t>
      </w:r>
    </w:p>
    <w:p>
      <w:pPr>
        <w:pStyle w:val="Indenta"/>
      </w:pPr>
      <w:r>
        <w:tab/>
        <w:t>(a)</w:t>
      </w:r>
      <w:r>
        <w:tab/>
        <w:t>if the end of the previous year is in an election year — 35% of the total amount appropriated for the previous year by the Appropriation Acts; or</w:t>
      </w:r>
    </w:p>
    <w:p>
      <w:pPr>
        <w:pStyle w:val="Indenta"/>
      </w:pPr>
      <w:r>
        <w:tab/>
        <w:t>(b)</w:t>
      </w:r>
      <w:r>
        <w:tab/>
        <w:t>otherwise —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The authority conferred on the Treasurer by subsection (1) ceases to have effect when the first of the following occurs —</w:t>
      </w:r>
    </w:p>
    <w:p>
      <w:pPr>
        <w:pStyle w:val="Indenta"/>
        <w:keepNext/>
      </w:pPr>
      <w:r>
        <w:tab/>
        <w:t>(a)</w:t>
      </w:r>
      <w:r>
        <w:tab/>
        <w:t xml:space="preserve">if the end of the previous year — </w:t>
      </w:r>
    </w:p>
    <w:p>
      <w:pPr>
        <w:pStyle w:val="Indenti"/>
      </w:pPr>
      <w:r>
        <w:tab/>
        <w:t>(i)</w:t>
      </w:r>
      <w:r>
        <w:tab/>
        <w:t>is in an election year — at the end of the first 4 months of the current year;</w:t>
      </w:r>
    </w:p>
    <w:p>
      <w:pPr>
        <w:pStyle w:val="Indenti"/>
      </w:pPr>
      <w:r>
        <w:tab/>
        <w:t>(ii)</w:t>
      </w:r>
      <w:r>
        <w:tab/>
        <w:t>is not in an election year — at the end of the first 2 months of the current year;</w:t>
      </w:r>
    </w:p>
    <w:p>
      <w:pPr>
        <w:pStyle w:val="Indenta"/>
      </w:pPr>
      <w:r>
        <w:tab/>
        <w:t>(b)</w:t>
      </w:r>
      <w:r>
        <w:tab/>
        <w:t>on the commencement of an Act granting supply for the current year.</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Footnotesection"/>
      </w:pPr>
      <w:r>
        <w:tab/>
        <w:t>[Section 24 amended: No. 12 of 2021 s. 5.]</w:t>
      </w:r>
    </w:p>
    <w:p>
      <w:pPr>
        <w:pStyle w:val="Heading5"/>
      </w:pPr>
      <w:bookmarkStart w:id="122" w:name="_Toc117005420"/>
      <w:bookmarkStart w:id="123" w:name="_Toc106874586"/>
      <w:r>
        <w:rPr>
          <w:rStyle w:val="CharSectno"/>
        </w:rPr>
        <w:t>25</w:t>
      </w:r>
      <w:r>
        <w:t>.</w:t>
      </w:r>
      <w:r>
        <w:tab/>
        <w:t>Appropriations, saving and transfer of in certain cases</w:t>
      </w:r>
      <w:bookmarkEnd w:id="122"/>
      <w:bookmarkEnd w:id="123"/>
    </w:p>
    <w:p>
      <w:pPr>
        <w:pStyle w:val="Subsection"/>
        <w:keepNext/>
      </w:pPr>
      <w:r>
        <w:tab/>
        <w:t>(1)</w:t>
      </w:r>
      <w:r>
        <w:tab/>
        <w:t xml:space="preserve">In this section — </w:t>
      </w:r>
    </w:p>
    <w:p>
      <w:pPr>
        <w:pStyle w:val="Defstart"/>
        <w:keepNex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keepNext/>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keepNext/>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124" w:name="_Toc117005421"/>
      <w:bookmarkStart w:id="125" w:name="_Toc106874587"/>
      <w:r>
        <w:rPr>
          <w:rStyle w:val="CharSectno"/>
        </w:rPr>
        <w:t>26</w:t>
      </w:r>
      <w:r>
        <w:t>.</w:t>
      </w:r>
      <w:r>
        <w:tab/>
        <w:t>Appropriations, transfer of to suspense account in certain cases</w:t>
      </w:r>
      <w:bookmarkEnd w:id="124"/>
      <w:bookmarkEnd w:id="125"/>
    </w:p>
    <w:p>
      <w:pPr>
        <w:pStyle w:val="Subsection"/>
        <w:keepNext/>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keepNext/>
      </w:pPr>
      <w:r>
        <w:tab/>
      </w:r>
      <w:r>
        <w:rPr>
          <w:rStyle w:val="CharDefText"/>
        </w:rPr>
        <w:t>relevant commitment</w:t>
      </w:r>
      <w:r>
        <w:t xml:space="preserve"> means — </w:t>
      </w:r>
    </w:p>
    <w:p>
      <w:pPr>
        <w:pStyle w:val="Defpara"/>
      </w:pPr>
      <w:r>
        <w:tab/>
        <w:t>(a)</w:t>
      </w:r>
      <w:r>
        <w:tab/>
        <w:t>a commitment relating to salaries, wages, superannuation, leave or depreciation that is relevant to the financial year referred to in subsection (2); or</w:t>
      </w:r>
    </w:p>
    <w:p>
      <w:pPr>
        <w:pStyle w:val="Defpara"/>
      </w:pPr>
      <w:r>
        <w:tab/>
        <w:t>(b)</w:t>
      </w:r>
      <w:r>
        <w:tab/>
        <w:t>any other commitment prescribed by the Treasurer’s instructions that is relevant to the financial year referred to in subsection (2).</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keepNext/>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Subsection"/>
        <w:keepNext/>
      </w:pPr>
      <w:r>
        <w:tab/>
        <w:t>(4)</w:t>
      </w:r>
      <w:r>
        <w:tab/>
        <w:t>Despite subsection (3), the Treasurer may at any time direct that all or part of the money standing to the credit of a suspense account under subsection (2) be credited to the Consolidated Account.</w:t>
      </w:r>
    </w:p>
    <w:p>
      <w:pPr>
        <w:pStyle w:val="Footnotesection"/>
      </w:pPr>
      <w:r>
        <w:tab/>
        <w:t>[Section 26 amended: No. 12 of 2021 s. 6.]</w:t>
      </w:r>
    </w:p>
    <w:p>
      <w:pPr>
        <w:pStyle w:val="Heading5"/>
        <w:spacing w:before="180"/>
      </w:pPr>
      <w:bookmarkStart w:id="126" w:name="_Toc117005422"/>
      <w:bookmarkStart w:id="127" w:name="_Toc106874588"/>
      <w:r>
        <w:rPr>
          <w:rStyle w:val="CharSectno"/>
        </w:rPr>
        <w:t>27</w:t>
      </w:r>
      <w:r>
        <w:t>.</w:t>
      </w:r>
      <w:r>
        <w:tab/>
        <w:t>Expenditure not provided for in, or in excess of amount appropriated by, Appropriation Acts</w:t>
      </w:r>
      <w:bookmarkEnd w:id="126"/>
      <w:bookmarkEnd w:id="127"/>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pPr>
      <w:r>
        <w:tab/>
        <w:t>(3)</w:t>
      </w:r>
      <w:r>
        <w:tab/>
        <w:t>Payments made under subsection (1) or (2) in a financial year must be charged to the Consolidated Account, and the Consolidated Account is appropriated accordingly by this section.</w:t>
      </w:r>
    </w:p>
    <w:p>
      <w:pPr>
        <w:pStyle w:val="Subsection"/>
        <w:keepNext/>
      </w:pPr>
      <w:r>
        <w:tab/>
        <w:t>(4)</w:t>
      </w:r>
      <w:r>
        <w:tab/>
        <w:t xml:space="preserve">Payments made under subsection (1) or (2) in a financial year must be included in the Annual Report on State Finances relating to that financial year released under the </w:t>
      </w:r>
      <w:r>
        <w:rPr>
          <w:i/>
        </w:rPr>
        <w:t>Government Financial Responsibility Act 2000</w:t>
      </w:r>
      <w:r>
        <w:t xml:space="preserve"> section 14A.</w:t>
      </w:r>
    </w:p>
    <w:p>
      <w:pPr>
        <w:pStyle w:val="Footnotesection"/>
      </w:pPr>
      <w:r>
        <w:tab/>
        <w:t>[Section 27 amended: No. 12 of 2021 s. 7.]</w:t>
      </w:r>
    </w:p>
    <w:p>
      <w:pPr>
        <w:pStyle w:val="Heading5"/>
      </w:pPr>
      <w:bookmarkStart w:id="128" w:name="_Toc117005423"/>
      <w:bookmarkStart w:id="129" w:name="_Toc106874589"/>
      <w:r>
        <w:rPr>
          <w:rStyle w:val="CharSectno"/>
        </w:rPr>
        <w:t>27A</w:t>
      </w:r>
      <w:r>
        <w:t>.</w:t>
      </w:r>
      <w:r>
        <w:tab/>
        <w:t xml:space="preserve">Transitional provision for </w:t>
      </w:r>
      <w:r>
        <w:rPr>
          <w:i/>
        </w:rPr>
        <w:t>Financial Legislation Amendment Act 2021</w:t>
      </w:r>
      <w:bookmarkEnd w:id="128"/>
      <w:bookmarkEnd w:id="129"/>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Financial Legislation Amendment Act 2021</w:t>
      </w:r>
      <w:r>
        <w:t xml:space="preserve"> section 8 comes into operation;</w:t>
      </w:r>
    </w:p>
    <w:p>
      <w:pPr>
        <w:pStyle w:val="Defstart"/>
      </w:pPr>
      <w:r>
        <w:tab/>
      </w:r>
      <w:r>
        <w:rPr>
          <w:rStyle w:val="CharDefText"/>
        </w:rPr>
        <w:t>former section 27</w:t>
      </w:r>
      <w:r>
        <w:t xml:space="preserve"> means section 27 as in force immediately before commencement day;</w:t>
      </w:r>
    </w:p>
    <w:p>
      <w:pPr>
        <w:pStyle w:val="Defstart"/>
        <w:keepNext/>
      </w:pPr>
      <w:r>
        <w:tab/>
      </w:r>
      <w:r>
        <w:rPr>
          <w:rStyle w:val="CharDefText"/>
        </w:rPr>
        <w:t>relevant payment</w:t>
      </w:r>
      <w:r>
        <w:t xml:space="preserve"> means a payment made under former section 27 before commencement day that — </w:t>
      </w:r>
    </w:p>
    <w:p>
      <w:pPr>
        <w:pStyle w:val="Defpara"/>
      </w:pPr>
      <w:r>
        <w:tab/>
        <w:t>(a)</w:t>
      </w:r>
      <w:r>
        <w:tab/>
        <w:t>had been charged to the Consolidated Account; but</w:t>
      </w:r>
    </w:p>
    <w:p>
      <w:pPr>
        <w:pStyle w:val="Defpara"/>
      </w:pPr>
      <w:r>
        <w:tab/>
        <w:t>(b)</w:t>
      </w:r>
      <w:r>
        <w:tab/>
        <w:t>had not been provided for in an Appropriation Act in accordance with former section 27.</w:t>
      </w:r>
    </w:p>
    <w:p>
      <w:pPr>
        <w:pStyle w:val="Subsection"/>
        <w:keepNext/>
      </w:pPr>
      <w:r>
        <w:tab/>
        <w:t>(2)</w:t>
      </w:r>
      <w:r>
        <w:tab/>
        <w:t>On commencement day, the amount of a relevant payment is, by this section, appropriated from the Consolidated Account for the purpose for which the relevant payment was made.</w:t>
      </w:r>
    </w:p>
    <w:p>
      <w:pPr>
        <w:pStyle w:val="Footnotesection"/>
      </w:pPr>
      <w:r>
        <w:tab/>
        <w:t>[Section 27A inserted: No. 12 of 2021 s. 8.]</w:t>
      </w:r>
    </w:p>
    <w:p>
      <w:pPr>
        <w:pStyle w:val="Heading5"/>
        <w:spacing w:before="180"/>
      </w:pPr>
      <w:bookmarkStart w:id="130" w:name="_Toc117005424"/>
      <w:bookmarkStart w:id="131" w:name="_Toc106874590"/>
      <w:r>
        <w:rPr>
          <w:rStyle w:val="CharSectno"/>
        </w:rPr>
        <w:t>28</w:t>
      </w:r>
      <w:r>
        <w:t>.</w:t>
      </w:r>
      <w:r>
        <w:tab/>
        <w:t>Advances, Treasurer may authorise etc.</w:t>
      </w:r>
      <w:bookmarkEnd w:id="130"/>
      <w:bookmarkEnd w:id="131"/>
    </w:p>
    <w:p>
      <w:pPr>
        <w:pStyle w:val="Subsection"/>
        <w:keepNext/>
        <w:spacing w:before="120"/>
      </w:pPr>
      <w:r>
        <w:tab/>
        <w:t>(1)</w:t>
      </w:r>
      <w:r>
        <w:tab/>
        <w:t xml:space="preserve">The Treasurer may authorise advances to be made — </w:t>
      </w:r>
    </w:p>
    <w:p>
      <w:pPr>
        <w:pStyle w:val="Indenta"/>
        <w:keepNext/>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keepNext/>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keepNext/>
      </w:pPr>
      <w:r>
        <w:tab/>
        <w:t>(2)</w:t>
      </w:r>
      <w:r>
        <w:tab/>
        <w:t xml:space="preserve">In subsection (1)(a) — </w:t>
      </w:r>
    </w:p>
    <w:p>
      <w:pPr>
        <w:pStyle w:val="Defstart"/>
        <w:keepNex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keepNext/>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keepNext/>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keepNext/>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132" w:name="_Toc117005425"/>
      <w:bookmarkStart w:id="133" w:name="_Toc106874591"/>
      <w:r>
        <w:rPr>
          <w:rStyle w:val="CharSectno"/>
        </w:rPr>
        <w:t>29</w:t>
      </w:r>
      <w:r>
        <w:t>.</w:t>
      </w:r>
      <w:r>
        <w:tab/>
        <w:t>Expenditure under s. 27 and 28 limited</w:t>
      </w:r>
      <w:bookmarkEnd w:id="132"/>
      <w:bookmarkEnd w:id="13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under section 27(1) or (2) or to make advances for the purposes referred to in section 28(1).</w:t>
      </w:r>
    </w:p>
    <w:p>
      <w:pPr>
        <w:pStyle w:val="Footnotesection"/>
      </w:pPr>
      <w:r>
        <w:tab/>
        <w:t>[Section 29 amended: No. 12 of 2021 s. 9.]</w:t>
      </w:r>
    </w:p>
    <w:p>
      <w:pPr>
        <w:pStyle w:val="Heading5"/>
      </w:pPr>
      <w:bookmarkStart w:id="134" w:name="_Toc117005426"/>
      <w:bookmarkStart w:id="135" w:name="_Toc106874592"/>
      <w:r>
        <w:rPr>
          <w:rStyle w:val="CharSectno"/>
        </w:rPr>
        <w:t>30</w:t>
      </w:r>
      <w:r>
        <w:t>.</w:t>
      </w:r>
      <w:r>
        <w:tab/>
        <w:t>Unexpended appropriations lapse</w:t>
      </w:r>
      <w:bookmarkEnd w:id="134"/>
      <w:bookmarkEnd w:id="135"/>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136" w:name="_Toc117005427"/>
      <w:bookmarkStart w:id="137" w:name="_Toc106874593"/>
      <w:r>
        <w:rPr>
          <w:rStyle w:val="CharSectno"/>
        </w:rPr>
        <w:t>31</w:t>
      </w:r>
      <w:r>
        <w:t>.</w:t>
      </w:r>
      <w:r>
        <w:tab/>
        <w:t>Public Bank Account Interest Earned Account, application of money in</w:t>
      </w:r>
      <w:bookmarkEnd w:id="136"/>
      <w:bookmarkEnd w:id="137"/>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138" w:name="_Toc117000544"/>
      <w:bookmarkStart w:id="139" w:name="_Toc117002824"/>
      <w:bookmarkStart w:id="140" w:name="_Toc117005428"/>
      <w:bookmarkStart w:id="141" w:name="_Toc106788665"/>
      <w:bookmarkStart w:id="142" w:name="_Toc106788919"/>
      <w:bookmarkStart w:id="143" w:name="_Toc106790042"/>
      <w:bookmarkStart w:id="144" w:name="_Toc106802547"/>
      <w:bookmarkStart w:id="145" w:name="_Toc106873942"/>
      <w:bookmarkStart w:id="146" w:name="_Toc106874594"/>
      <w:r>
        <w:rPr>
          <w:rStyle w:val="CharDivNo"/>
        </w:rPr>
        <w:t>Division 2</w:t>
      </w:r>
      <w:r>
        <w:t> — </w:t>
      </w:r>
      <w:r>
        <w:rPr>
          <w:rStyle w:val="CharDivText"/>
        </w:rPr>
        <w:t>Payments and transfers</w:t>
      </w:r>
      <w:bookmarkEnd w:id="138"/>
      <w:bookmarkEnd w:id="139"/>
      <w:bookmarkEnd w:id="140"/>
      <w:bookmarkEnd w:id="141"/>
      <w:bookmarkEnd w:id="142"/>
      <w:bookmarkEnd w:id="143"/>
      <w:bookmarkEnd w:id="144"/>
      <w:bookmarkEnd w:id="145"/>
      <w:bookmarkEnd w:id="146"/>
    </w:p>
    <w:p>
      <w:pPr>
        <w:pStyle w:val="Heading5"/>
      </w:pPr>
      <w:bookmarkStart w:id="147" w:name="_Toc117005429"/>
      <w:bookmarkStart w:id="148" w:name="_Toc106874595"/>
      <w:r>
        <w:rPr>
          <w:rStyle w:val="CharSectno"/>
        </w:rPr>
        <w:t>32</w:t>
      </w:r>
      <w:r>
        <w:t>.</w:t>
      </w:r>
      <w:r>
        <w:tab/>
        <w:t>Certain payments and transfers to be authorised</w:t>
      </w:r>
      <w:bookmarkEnd w:id="147"/>
      <w:bookmarkEnd w:id="148"/>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keepNext/>
      </w:pPr>
      <w:r>
        <w:tab/>
        <w:t>(2)</w:t>
      </w:r>
      <w:r>
        <w:tab/>
        <w:t xml:space="preserve">In subsection (1) — </w:t>
      </w:r>
    </w:p>
    <w:p>
      <w:pPr>
        <w:pStyle w:val="Defstart"/>
        <w:keepNex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149" w:name="_Toc117005430"/>
      <w:bookmarkStart w:id="150" w:name="_Toc106874596"/>
      <w:r>
        <w:rPr>
          <w:rStyle w:val="CharSectno"/>
        </w:rPr>
        <w:t>33</w:t>
      </w:r>
      <w:r>
        <w:t>.</w:t>
      </w:r>
      <w:r>
        <w:tab/>
        <w:t>Consolidated Account, payments from to be under Governor’s warrant etc.</w:t>
      </w:r>
      <w:bookmarkEnd w:id="149"/>
      <w:bookmarkEnd w:id="150"/>
    </w:p>
    <w:p>
      <w:pPr>
        <w:pStyle w:val="Subsection"/>
        <w:keepNext/>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keepNext/>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151" w:name="_Toc117005431"/>
      <w:bookmarkStart w:id="152" w:name="_Toc106874597"/>
      <w:r>
        <w:rPr>
          <w:rStyle w:val="CharSectno"/>
        </w:rPr>
        <w:t>34</w:t>
      </w:r>
      <w:r>
        <w:t>.</w:t>
      </w:r>
      <w:r>
        <w:tab/>
        <w:t>Public etc. money received, how to be dealt with</w:t>
      </w:r>
      <w:bookmarkEnd w:id="151"/>
      <w:bookmarkEnd w:id="152"/>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153" w:name="_Toc117005432"/>
      <w:bookmarkStart w:id="154" w:name="_Toc106874598"/>
      <w:r>
        <w:rPr>
          <w:rStyle w:val="CharSectno"/>
        </w:rPr>
        <w:t>35</w:t>
      </w:r>
      <w:r>
        <w:t>.</w:t>
      </w:r>
      <w:r>
        <w:tab/>
        <w:t>Public Bank Account, how payments into to be credited</w:t>
      </w:r>
      <w:bookmarkEnd w:id="153"/>
      <w:bookmarkEnd w:id="154"/>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155" w:name="_Toc117005433"/>
      <w:bookmarkStart w:id="156" w:name="_Toc106874599"/>
      <w:r>
        <w:rPr>
          <w:rStyle w:val="CharSectno"/>
        </w:rPr>
        <w:t>36</w:t>
      </w:r>
      <w:r>
        <w:t>.</w:t>
      </w:r>
      <w:r>
        <w:tab/>
        <w:t>Other money, how to be dealt with</w:t>
      </w:r>
      <w:bookmarkEnd w:id="155"/>
      <w:bookmarkEnd w:id="156"/>
    </w:p>
    <w:p>
      <w:pPr>
        <w:pStyle w:val="Subsection"/>
        <w:keepNext/>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keepNext/>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keepNext/>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keepNext/>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pPr>
      <w:bookmarkStart w:id="157" w:name="_Toc117000550"/>
      <w:bookmarkStart w:id="158" w:name="_Toc117002830"/>
      <w:bookmarkStart w:id="159" w:name="_Toc117005434"/>
      <w:bookmarkStart w:id="160" w:name="_Toc106788671"/>
      <w:bookmarkStart w:id="161" w:name="_Toc106788925"/>
      <w:bookmarkStart w:id="162" w:name="_Toc106790048"/>
      <w:bookmarkStart w:id="163" w:name="_Toc106802553"/>
      <w:bookmarkStart w:id="164" w:name="_Toc106873948"/>
      <w:bookmarkStart w:id="165" w:name="_Toc106874600"/>
      <w:r>
        <w:rPr>
          <w:rStyle w:val="CharDivNo"/>
        </w:rPr>
        <w:t>Division 3</w:t>
      </w:r>
      <w:r>
        <w:t> — </w:t>
      </w:r>
      <w:r>
        <w:rPr>
          <w:rStyle w:val="CharDivText"/>
        </w:rPr>
        <w:t>Investments</w:t>
      </w:r>
      <w:bookmarkEnd w:id="157"/>
      <w:bookmarkEnd w:id="158"/>
      <w:bookmarkEnd w:id="159"/>
      <w:bookmarkEnd w:id="160"/>
      <w:bookmarkEnd w:id="161"/>
      <w:bookmarkEnd w:id="162"/>
      <w:bookmarkEnd w:id="163"/>
      <w:bookmarkEnd w:id="164"/>
      <w:bookmarkEnd w:id="165"/>
    </w:p>
    <w:p>
      <w:pPr>
        <w:pStyle w:val="Heading5"/>
      </w:pPr>
      <w:bookmarkStart w:id="166" w:name="_Toc117005435"/>
      <w:bookmarkStart w:id="167" w:name="_Toc106874601"/>
      <w:r>
        <w:rPr>
          <w:rStyle w:val="CharSectno"/>
        </w:rPr>
        <w:t>37</w:t>
      </w:r>
      <w:r>
        <w:t>.</w:t>
      </w:r>
      <w:r>
        <w:tab/>
        <w:t>Public Bank Account, investment of</w:t>
      </w:r>
      <w:bookmarkEnd w:id="166"/>
      <w:bookmarkEnd w:id="16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68" w:name="_Toc117005436"/>
      <w:bookmarkStart w:id="169" w:name="_Toc106874602"/>
      <w:r>
        <w:rPr>
          <w:rStyle w:val="CharSectno"/>
        </w:rPr>
        <w:t>38</w:t>
      </w:r>
      <w:r>
        <w:t>.</w:t>
      </w:r>
      <w:r>
        <w:tab/>
        <w:t>Investment under s. 37, application of proceeds of</w:t>
      </w:r>
      <w:bookmarkEnd w:id="168"/>
      <w:bookmarkEnd w:id="169"/>
    </w:p>
    <w:p>
      <w:pPr>
        <w:pStyle w:val="Subsection"/>
        <w:keepNext/>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keepNext/>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170" w:name="_Toc117005437"/>
      <w:bookmarkStart w:id="171" w:name="_Toc106874603"/>
      <w:r>
        <w:rPr>
          <w:rStyle w:val="CharSectno"/>
        </w:rPr>
        <w:t>39</w:t>
      </w:r>
      <w:r>
        <w:t>.</w:t>
      </w:r>
      <w:r>
        <w:tab/>
        <w:t>Investment by agencies</w:t>
      </w:r>
      <w:bookmarkEnd w:id="170"/>
      <w:bookmarkEnd w:id="171"/>
    </w:p>
    <w:p>
      <w:pPr>
        <w:pStyle w:val="Subsection"/>
        <w:keepNext/>
        <w:spacing w:before="180"/>
      </w:pPr>
      <w:r>
        <w:tab/>
        <w:t>(1)</w:t>
      </w:r>
      <w:r>
        <w:tab/>
        <w:t xml:space="preserve">Subsection (2) applies 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keepNext/>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keepNext/>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keepNext/>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keepNext/>
      </w:pPr>
      <w:r>
        <w:tab/>
        <w:t>(5)</w:t>
      </w:r>
      <w:r>
        <w:tab/>
        <w:t xml:space="preserve">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keepNext/>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72" w:name="_Toc117000554"/>
      <w:bookmarkStart w:id="173" w:name="_Toc117002834"/>
      <w:bookmarkStart w:id="174" w:name="_Toc117005438"/>
      <w:bookmarkStart w:id="175" w:name="_Toc106788675"/>
      <w:bookmarkStart w:id="176" w:name="_Toc106788929"/>
      <w:bookmarkStart w:id="177" w:name="_Toc106790052"/>
      <w:bookmarkStart w:id="178" w:name="_Toc106802557"/>
      <w:bookmarkStart w:id="179" w:name="_Toc106873952"/>
      <w:bookmarkStart w:id="180" w:name="_Toc106874604"/>
      <w:r>
        <w:rPr>
          <w:rStyle w:val="CharDivNo"/>
        </w:rPr>
        <w:t>Division 4</w:t>
      </w:r>
      <w:r>
        <w:t> — </w:t>
      </w:r>
      <w:r>
        <w:rPr>
          <w:rStyle w:val="CharDivText"/>
        </w:rPr>
        <w:t>Annual estimates of agencies</w:t>
      </w:r>
      <w:bookmarkEnd w:id="172"/>
      <w:bookmarkEnd w:id="173"/>
      <w:bookmarkEnd w:id="174"/>
      <w:bookmarkEnd w:id="175"/>
      <w:bookmarkEnd w:id="176"/>
      <w:bookmarkEnd w:id="177"/>
      <w:bookmarkEnd w:id="178"/>
      <w:bookmarkEnd w:id="179"/>
      <w:bookmarkEnd w:id="180"/>
    </w:p>
    <w:p>
      <w:pPr>
        <w:pStyle w:val="Footnoteheading"/>
      </w:pPr>
      <w:r>
        <w:tab/>
        <w:t>[Heading inserted: No. 12 of 2021 s. 10.]</w:t>
      </w:r>
    </w:p>
    <w:p>
      <w:pPr>
        <w:pStyle w:val="Heading5"/>
      </w:pPr>
      <w:bookmarkStart w:id="181" w:name="_Toc117005439"/>
      <w:bookmarkStart w:id="182" w:name="_Toc106874605"/>
      <w:r>
        <w:rPr>
          <w:rStyle w:val="CharSectno"/>
        </w:rPr>
        <w:t>40</w:t>
      </w:r>
      <w:r>
        <w:t>.</w:t>
      </w:r>
      <w:r>
        <w:tab/>
        <w:t>Preparation of draft annual estimates</w:t>
      </w:r>
      <w:bookmarkEnd w:id="181"/>
      <w:bookmarkEnd w:id="182"/>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prepare draft annual estimates of the financial operations of the agency for the next financial year (</w:t>
      </w:r>
      <w:r>
        <w:rPr>
          <w:rStyle w:val="CharDefText"/>
        </w:rPr>
        <w:t>draft annual estimates</w:t>
      </w:r>
      <w:r>
        <w:t>) in the manner prescribed by the Treasurer’s instructions; and</w:t>
      </w:r>
    </w:p>
    <w:p>
      <w:pPr>
        <w:pStyle w:val="Indenta"/>
      </w:pPr>
      <w:r>
        <w:tab/>
        <w:t>(b)</w:t>
      </w:r>
      <w:r>
        <w:tab/>
        <w:t>submit the draft annual estimates to the Minister on or before the date designated by the Treasurer under subsection (2).</w:t>
      </w:r>
    </w:p>
    <w:p>
      <w:pPr>
        <w:pStyle w:val="Subsection"/>
        <w:keepNext/>
      </w:pPr>
      <w:r>
        <w:tab/>
        <w:t>(2)</w:t>
      </w:r>
      <w:r>
        <w:tab/>
        <w:t xml:space="preserve">For the purposes of subsection (1)(b), the Treasurer must — </w:t>
      </w:r>
    </w:p>
    <w:p>
      <w:pPr>
        <w:pStyle w:val="Indenta"/>
      </w:pPr>
      <w:r>
        <w:tab/>
        <w:t>(a)</w:t>
      </w:r>
      <w:r>
        <w:tab/>
        <w:t>for each financial year, designate the date by which the accountable authority must submit the draft annual estimates to the Minister; and</w:t>
      </w:r>
    </w:p>
    <w:p>
      <w:pPr>
        <w:pStyle w:val="Indenta"/>
        <w:keepNext/>
      </w:pPr>
      <w:r>
        <w:tab/>
        <w:t>(b)</w:t>
      </w:r>
      <w:r>
        <w:tab/>
        <w:t>make the date known to the accountable authority in a manner that the Treasurer considers appropriate.</w:t>
      </w:r>
    </w:p>
    <w:p>
      <w:pPr>
        <w:pStyle w:val="Footnotesection"/>
      </w:pPr>
      <w:r>
        <w:tab/>
        <w:t>[Section 40 inserted: No. 12 of 2021 s. 10.]</w:t>
      </w:r>
    </w:p>
    <w:p>
      <w:pPr>
        <w:pStyle w:val="Heading5"/>
      </w:pPr>
      <w:bookmarkStart w:id="183" w:name="_Toc117005440"/>
      <w:bookmarkStart w:id="184" w:name="_Toc106874606"/>
      <w:r>
        <w:rPr>
          <w:rStyle w:val="CharSectno"/>
        </w:rPr>
        <w:t>41</w:t>
      </w:r>
      <w:r>
        <w:t>.</w:t>
      </w:r>
      <w:r>
        <w:tab/>
        <w:t>Approval of annual estimates</w:t>
      </w:r>
      <w:bookmarkEnd w:id="183"/>
      <w:bookmarkEnd w:id="184"/>
    </w:p>
    <w:p>
      <w:pPr>
        <w:pStyle w:val="Subsection"/>
        <w:keepNext/>
      </w:pPr>
      <w:r>
        <w:tab/>
        <w:t>(1)</w:t>
      </w:r>
      <w:r>
        <w:tab/>
        <w:t xml:space="preserve">After receiving draft annual estimates submitted by an accountable authority under section 40(1), the Minister must, within the period of 1 month after the submission date for the draft annual estimates or such other period as is specified in a determination under subsection (2), either — </w:t>
      </w:r>
    </w:p>
    <w:p>
      <w:pPr>
        <w:pStyle w:val="Indenta"/>
      </w:pPr>
      <w:r>
        <w:tab/>
        <w:t>(a)</w:t>
      </w:r>
      <w:r>
        <w:tab/>
        <w:t>approve the draft annual estimates; or</w:t>
      </w:r>
    </w:p>
    <w:p>
      <w:pPr>
        <w:pStyle w:val="Indenta"/>
      </w:pPr>
      <w:r>
        <w:tab/>
        <w:t>(b)</w:t>
      </w:r>
      <w:r>
        <w:tab/>
        <w:t>present the accountable authority of the agency with annual estimates of the financial operations of the agency for the financial year to which the draft annual estimates relate, and direct that they are to be the annual estimates of the financial operations of the agency for the financial year.</w:t>
      </w:r>
    </w:p>
    <w:p>
      <w:pPr>
        <w:pStyle w:val="Subsection"/>
      </w:pPr>
      <w:r>
        <w:tab/>
        <w:t>(2)</w:t>
      </w:r>
      <w:r>
        <w:tab/>
        <w:t>The Treasurer may, in writing, determine the period that applies for the purposes of subsection (1) in a particular case.</w:t>
      </w:r>
    </w:p>
    <w:p>
      <w:pPr>
        <w:pStyle w:val="Subsection"/>
      </w:pPr>
      <w:r>
        <w:tab/>
        <w:t>(3)</w:t>
      </w:r>
      <w:r>
        <w:tab/>
        <w:t>When the Minister approves draft annual estimates under subsection (1)(a), or gives a direction under subsection (1)(b) in relation to annual estimates, they become the annual estimates of the financial operations of the agency to which they relate for the whole of the financial year to which they relate.</w:t>
      </w:r>
    </w:p>
    <w:p>
      <w:pPr>
        <w:pStyle w:val="Subsection"/>
      </w:pPr>
      <w:r>
        <w:tab/>
        <w:t>(4)</w:t>
      </w:r>
      <w:r>
        <w:tab/>
        <w:t>Subsection (3) has effect even if the approval or direction was given after the start of the financial year.</w:t>
      </w:r>
    </w:p>
    <w:p>
      <w:pPr>
        <w:pStyle w:val="Subsection"/>
        <w:keepNext/>
      </w:pPr>
      <w:r>
        <w:tab/>
        <w:t>(5)</w:t>
      </w:r>
      <w:r>
        <w:tab/>
        <w:t xml:space="preserve">The accountable authority of an agency must make the annual estimates of the financial operations of the agency for a financial year available to the public — </w:t>
      </w:r>
    </w:p>
    <w:p>
      <w:pPr>
        <w:pStyle w:val="Indenta"/>
      </w:pPr>
      <w:r>
        <w:tab/>
        <w:t>(a)</w:t>
      </w:r>
      <w:r>
        <w:tab/>
        <w:t>as soon as is practicable after they become the annual estimates of the financial operations of the agency for the financial year; and</w:t>
      </w:r>
    </w:p>
    <w:p>
      <w:pPr>
        <w:pStyle w:val="Indenta"/>
        <w:keepNext/>
      </w:pPr>
      <w:r>
        <w:tab/>
        <w:t>(b)</w:t>
      </w:r>
      <w:r>
        <w:tab/>
        <w:t>in the manner prescribed by the Treasurer’s instructions.</w:t>
      </w:r>
    </w:p>
    <w:p>
      <w:pPr>
        <w:pStyle w:val="Footnotesection"/>
      </w:pPr>
      <w:r>
        <w:tab/>
        <w:t>[Section 41 inserted: No. 12 of 2021 s. 10.]</w:t>
      </w:r>
    </w:p>
    <w:p>
      <w:pPr>
        <w:pStyle w:val="Heading3"/>
      </w:pPr>
      <w:bookmarkStart w:id="185" w:name="_Toc117000557"/>
      <w:bookmarkStart w:id="186" w:name="_Toc117002837"/>
      <w:bookmarkStart w:id="187" w:name="_Toc117005441"/>
      <w:bookmarkStart w:id="188" w:name="_Toc106788678"/>
      <w:bookmarkStart w:id="189" w:name="_Toc106788932"/>
      <w:bookmarkStart w:id="190" w:name="_Toc106790055"/>
      <w:bookmarkStart w:id="191" w:name="_Toc106802560"/>
      <w:bookmarkStart w:id="192" w:name="_Toc106873955"/>
      <w:bookmarkStart w:id="193" w:name="_Toc106874607"/>
      <w:r>
        <w:t>Division 5 — Resource agreements</w:t>
      </w:r>
      <w:bookmarkEnd w:id="185"/>
      <w:bookmarkEnd w:id="186"/>
      <w:bookmarkEnd w:id="187"/>
      <w:bookmarkEnd w:id="188"/>
      <w:bookmarkEnd w:id="189"/>
      <w:bookmarkEnd w:id="190"/>
      <w:bookmarkEnd w:id="191"/>
      <w:bookmarkEnd w:id="192"/>
      <w:bookmarkEnd w:id="193"/>
    </w:p>
    <w:p>
      <w:pPr>
        <w:pStyle w:val="Footnoteheading"/>
        <w:keepNext/>
      </w:pPr>
      <w:r>
        <w:tab/>
        <w:t>[Heading inserted: No. 12 of 2021 s. 11.]</w:t>
      </w:r>
    </w:p>
    <w:p>
      <w:pPr>
        <w:pStyle w:val="Heading5"/>
      </w:pPr>
      <w:bookmarkStart w:id="194" w:name="_Toc117005442"/>
      <w:bookmarkStart w:id="195" w:name="_Toc106874608"/>
      <w:r>
        <w:rPr>
          <w:rStyle w:val="CharSectno"/>
        </w:rPr>
        <w:t>42</w:t>
      </w:r>
      <w:r>
        <w:t>.</w:t>
      </w:r>
      <w:r>
        <w:tab/>
        <w:t>Preparation of draft resource agreements</w:t>
      </w:r>
      <w:bookmarkEnd w:id="194"/>
      <w:bookmarkEnd w:id="195"/>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 xml:space="preserve">prepare a draft resource agreement for the agency for the next financial year (a </w:t>
      </w:r>
      <w:r>
        <w:rPr>
          <w:rStyle w:val="CharDefText"/>
        </w:rPr>
        <w:t>draft resource agreement</w:t>
      </w:r>
      <w:r>
        <w:t>) in accordance with subsection (2); and</w:t>
      </w:r>
    </w:p>
    <w:p>
      <w:pPr>
        <w:pStyle w:val="Indenta"/>
      </w:pPr>
      <w:r>
        <w:tab/>
        <w:t>(b)</w:t>
      </w:r>
      <w:r>
        <w:tab/>
        <w:t>submit the draft resource agreement to the Treasurer on or before the date designated by the Treasurer under subsection (3).</w:t>
      </w:r>
    </w:p>
    <w:p>
      <w:pPr>
        <w:pStyle w:val="Subsection"/>
        <w:keepNext/>
      </w:pPr>
      <w:r>
        <w:tab/>
        <w:t>(2)</w:t>
      </w:r>
      <w:r>
        <w:tab/>
        <w:t xml:space="preserve">The draft resource agreement must — </w:t>
      </w:r>
    </w:p>
    <w:p>
      <w:pPr>
        <w:pStyle w:val="Indenta"/>
      </w:pPr>
      <w:r>
        <w:tab/>
        <w:t>(a)</w:t>
      </w:r>
      <w:r>
        <w:tab/>
        <w:t>be in a form prescribed by the Treasurer’s instructions; and</w:t>
      </w:r>
    </w:p>
    <w:p>
      <w:pPr>
        <w:pStyle w:val="Indenta"/>
        <w:keepNext/>
      </w:pPr>
      <w:r>
        <w:tab/>
        <w:t>(b)</w:t>
      </w:r>
      <w:r>
        <w:tab/>
        <w:t xml:space="preserve">contain — </w:t>
      </w:r>
    </w:p>
    <w:p>
      <w:pPr>
        <w:pStyle w:val="Indenti"/>
      </w:pPr>
      <w:r>
        <w:tab/>
        <w:t>(i)</w:t>
      </w:r>
      <w:r>
        <w:tab/>
        <w:t>the total amount of resources that are expected to be made available to the agency for the financial year to which it relates; and</w:t>
      </w:r>
    </w:p>
    <w:p>
      <w:pPr>
        <w:pStyle w:val="Indenti"/>
      </w:pPr>
      <w:r>
        <w:tab/>
        <w:t>(ii)</w:t>
      </w:r>
      <w:r>
        <w:tab/>
        <w:t>the services proposed to be provided by the agency during the financial year; and</w:t>
      </w:r>
    </w:p>
    <w:p>
      <w:pPr>
        <w:pStyle w:val="Indenti"/>
      </w:pPr>
      <w:r>
        <w:tab/>
        <w:t>(iii)</w:t>
      </w:r>
      <w:r>
        <w:tab/>
        <w:t xml:space="preserve">the estimated total cost of services for the agency for the financial year (the </w:t>
      </w:r>
      <w:r>
        <w:rPr>
          <w:rStyle w:val="CharDefText"/>
        </w:rPr>
        <w:t>expense limit</w:t>
      </w:r>
      <w:r>
        <w:t>); and</w:t>
      </w:r>
    </w:p>
    <w:p>
      <w:pPr>
        <w:pStyle w:val="Indenti"/>
      </w:pPr>
      <w:r>
        <w:tab/>
        <w:t>(iv)</w:t>
      </w:r>
      <w:r>
        <w:tab/>
        <w:t>any other matters required by the Treasurer’s instructions to be specified in the resource agreement.</w:t>
      </w:r>
    </w:p>
    <w:p>
      <w:pPr>
        <w:pStyle w:val="Subsection"/>
        <w:keepNext/>
      </w:pPr>
      <w:r>
        <w:tab/>
        <w:t>(3)</w:t>
      </w:r>
      <w:r>
        <w:tab/>
        <w:t xml:space="preserve">For the purposes of subsection (1)(b), the Treasurer must — </w:t>
      </w:r>
    </w:p>
    <w:p>
      <w:pPr>
        <w:pStyle w:val="Indenta"/>
      </w:pPr>
      <w:r>
        <w:tab/>
        <w:t>(a)</w:t>
      </w:r>
      <w:r>
        <w:tab/>
        <w:t>for each financial year, designate the date by which the accountable authority must submit the draft resource agreement to the Treasurer; and</w:t>
      </w:r>
    </w:p>
    <w:p>
      <w:pPr>
        <w:pStyle w:val="Indenta"/>
      </w:pPr>
      <w:r>
        <w:tab/>
        <w:t>(b)</w:t>
      </w:r>
      <w:r>
        <w:tab/>
        <w:t>make the date known to the accountable authority in a manner that the Treasurer considers appropriate.</w:t>
      </w:r>
    </w:p>
    <w:p>
      <w:pPr>
        <w:pStyle w:val="Footnotesection"/>
      </w:pPr>
      <w:r>
        <w:tab/>
        <w:t>[Section 42 inserted: No. 12 of 2021 s. 11.]</w:t>
      </w:r>
    </w:p>
    <w:p>
      <w:pPr>
        <w:pStyle w:val="Heading5"/>
      </w:pPr>
      <w:bookmarkStart w:id="196" w:name="_Toc117005443"/>
      <w:bookmarkStart w:id="197" w:name="_Toc106874609"/>
      <w:r>
        <w:rPr>
          <w:rStyle w:val="CharSectno"/>
        </w:rPr>
        <w:t>43</w:t>
      </w:r>
      <w:r>
        <w:t>.</w:t>
      </w:r>
      <w:r>
        <w:tab/>
        <w:t>Agreeing on resource agreements</w:t>
      </w:r>
      <w:bookmarkEnd w:id="196"/>
      <w:bookmarkEnd w:id="197"/>
    </w:p>
    <w:p>
      <w:pPr>
        <w:pStyle w:val="Subsection"/>
        <w:keepNext/>
      </w:pPr>
      <w:r>
        <w:tab/>
        <w:t>(1)</w:t>
      </w:r>
      <w:r>
        <w:tab/>
        <w:t xml:space="preserve">After receiving a draft resource agreement submitted by an accountable authority of an agency under section 42(1), the Treasurer must, within the period of 1 month after the submission date for the draft resource agreement, either — </w:t>
      </w:r>
    </w:p>
    <w:p>
      <w:pPr>
        <w:pStyle w:val="Indenta"/>
      </w:pPr>
      <w:r>
        <w:tab/>
        <w:t>(a)</w:t>
      </w:r>
      <w:r>
        <w:tab/>
        <w:t>agree on the draft resource agreement with the accountable authority; or</w:t>
      </w:r>
    </w:p>
    <w:p>
      <w:pPr>
        <w:pStyle w:val="Indenta"/>
      </w:pPr>
      <w:r>
        <w:tab/>
        <w:t>(b)</w:t>
      </w:r>
      <w:r>
        <w:tab/>
        <w:t>present the accountable authority with a resource agreement for the agency for the financial year to which the draft resource agreement relates, and direct that it is to be the resource agreement for the agency for the financial year.</w:t>
      </w:r>
    </w:p>
    <w:p>
      <w:pPr>
        <w:pStyle w:val="Subsection"/>
      </w:pPr>
      <w:r>
        <w:tab/>
        <w:t>(2)</w:t>
      </w:r>
      <w:r>
        <w:tab/>
        <w:t>The accountable authority of an agency must obtain the Minister’s approval before agreeing with the Treasurer on a draft resource agreement for the agency.</w:t>
      </w:r>
    </w:p>
    <w:p>
      <w:pPr>
        <w:pStyle w:val="Subsection"/>
      </w:pPr>
      <w:r>
        <w:tab/>
        <w:t>(3)</w:t>
      </w:r>
      <w:r>
        <w:tab/>
        <w:t>When the Treasurer and an accountable authority of an agency agree on a draft resource agreement under subsection (1)(a), it becomes the resource agreement for the agency for the whole of the financial year to which it relates, unless it is superseded by a modified resource agreement under section 44(3).</w:t>
      </w:r>
    </w:p>
    <w:p>
      <w:pPr>
        <w:pStyle w:val="Subsection"/>
      </w:pPr>
      <w:r>
        <w:tab/>
        <w:t>(4)</w:t>
      </w:r>
      <w:r>
        <w:tab/>
        <w:t>When the Treasurer gives a direction to the accountable authority of an agency under subsection (1)(b) in relation to a resource agreement for the agency, it becomes the resource agreement for the agency for the whole of the financial year to which it relates, unless it is superseded by a modified resource agreement under section 44(3).</w:t>
      </w:r>
    </w:p>
    <w:p>
      <w:pPr>
        <w:pStyle w:val="Subsection"/>
        <w:keepNext/>
      </w:pPr>
      <w:r>
        <w:tab/>
        <w:t>(5)</w:t>
      </w:r>
      <w:r>
        <w:tab/>
        <w:t>Subsections (3) and (4) have effect even if the draft resource agreement was agreed on, or the direction was given, after the start of the financial year.</w:t>
      </w:r>
    </w:p>
    <w:p>
      <w:pPr>
        <w:pStyle w:val="Footnotesection"/>
      </w:pPr>
      <w:r>
        <w:tab/>
        <w:t>[Section 43 inserted: No. 12 of 2021 s. 11.]</w:t>
      </w:r>
    </w:p>
    <w:p>
      <w:pPr>
        <w:pStyle w:val="Heading5"/>
      </w:pPr>
      <w:bookmarkStart w:id="198" w:name="_Toc117005444"/>
      <w:bookmarkStart w:id="199" w:name="_Toc106874610"/>
      <w:r>
        <w:rPr>
          <w:rStyle w:val="CharSectno"/>
        </w:rPr>
        <w:t>44</w:t>
      </w:r>
      <w:r>
        <w:t>.</w:t>
      </w:r>
      <w:r>
        <w:tab/>
        <w:t>Modifying resource agreements</w:t>
      </w:r>
      <w:bookmarkEnd w:id="198"/>
      <w:bookmarkEnd w:id="199"/>
    </w:p>
    <w:p>
      <w:pPr>
        <w:pStyle w:val="Subsection"/>
        <w:keepNext/>
      </w:pPr>
      <w:r>
        <w:tab/>
        <w:t>(1)</w:t>
      </w:r>
      <w:r>
        <w:tab/>
        <w:t xml:space="preserve">The Treasurer may, at any time in a financial year, modify an agency’s resource agreement by giving written notice to the accountable authority of the agency — </w:t>
      </w:r>
    </w:p>
    <w:p>
      <w:pPr>
        <w:pStyle w:val="Indenta"/>
      </w:pPr>
      <w:r>
        <w:tab/>
        <w:t>(a)</w:t>
      </w:r>
      <w:r>
        <w:tab/>
        <w:t>specifying the modification; and</w:t>
      </w:r>
    </w:p>
    <w:p>
      <w:pPr>
        <w:pStyle w:val="Indenta"/>
      </w:pPr>
      <w:r>
        <w:tab/>
        <w:t>(b)</w:t>
      </w:r>
      <w:r>
        <w:tab/>
        <w:t>directing that the resource agreement, with that modification, is to be the resource agreement for the agency for the remainder of the financial year.</w:t>
      </w:r>
    </w:p>
    <w:p>
      <w:pPr>
        <w:pStyle w:val="Subsection"/>
      </w:pPr>
      <w:r>
        <w:tab/>
        <w:t>(2)</w:t>
      </w:r>
      <w:r>
        <w:tab/>
        <w:t>Without limiting subsection (1), a modification to a resource agreement may relate to the expense limit contained in the resource agreement.</w:t>
      </w:r>
    </w:p>
    <w:p>
      <w:pPr>
        <w:pStyle w:val="Subsection"/>
        <w:keepNext/>
      </w:pPr>
      <w:r>
        <w:tab/>
        <w:t>(3)</w:t>
      </w:r>
      <w:r>
        <w:tab/>
        <w:t>When the Treasurer gives the accountable authority of an agency a notice under subsection (1) in relation to the agency’s resource agreement, the resource agreement, with the modification specified in the notice, becomes the resource agreement for the agency for the remainder of the financial year to which it relates.</w:t>
      </w:r>
    </w:p>
    <w:p>
      <w:pPr>
        <w:pStyle w:val="Footnotesection"/>
      </w:pPr>
      <w:r>
        <w:tab/>
        <w:t>[Section 44 inserted: No. 12 of 2021 s. 11.]</w:t>
      </w:r>
    </w:p>
    <w:p>
      <w:pPr>
        <w:pStyle w:val="Ednotesection"/>
      </w:pPr>
      <w:r>
        <w:t>[</w:t>
      </w:r>
      <w:r>
        <w:rPr>
          <w:b/>
        </w:rPr>
        <w:t>45, 46.</w:t>
      </w:r>
      <w:r>
        <w:tab/>
        <w:t>Deleted: No. 12 of 2021 s. 11.]</w:t>
      </w:r>
    </w:p>
    <w:p>
      <w:pPr>
        <w:pStyle w:val="Heading3"/>
      </w:pPr>
      <w:bookmarkStart w:id="200" w:name="_Toc117000561"/>
      <w:bookmarkStart w:id="201" w:name="_Toc117002841"/>
      <w:bookmarkStart w:id="202" w:name="_Toc117005445"/>
      <w:bookmarkStart w:id="203" w:name="_Toc106788682"/>
      <w:bookmarkStart w:id="204" w:name="_Toc106788936"/>
      <w:bookmarkStart w:id="205" w:name="_Toc106790059"/>
      <w:bookmarkStart w:id="206" w:name="_Toc106802564"/>
      <w:bookmarkStart w:id="207" w:name="_Toc106873959"/>
      <w:bookmarkStart w:id="208" w:name="_Toc106874611"/>
      <w:r>
        <w:rPr>
          <w:rStyle w:val="CharDivNo"/>
        </w:rPr>
        <w:t>Division 6</w:t>
      </w:r>
      <w:r>
        <w:t> — </w:t>
      </w:r>
      <w:r>
        <w:rPr>
          <w:rStyle w:val="CharDivText"/>
        </w:rPr>
        <w:t>Write</w:t>
      </w:r>
      <w:r>
        <w:rPr>
          <w:rStyle w:val="CharDivText"/>
        </w:rPr>
        <w:noBreakHyphen/>
        <w:t>offs and recoveries</w:t>
      </w:r>
      <w:bookmarkEnd w:id="200"/>
      <w:bookmarkEnd w:id="201"/>
      <w:bookmarkEnd w:id="202"/>
      <w:bookmarkEnd w:id="203"/>
      <w:bookmarkEnd w:id="204"/>
      <w:bookmarkEnd w:id="205"/>
      <w:bookmarkEnd w:id="206"/>
      <w:bookmarkEnd w:id="207"/>
      <w:bookmarkEnd w:id="208"/>
    </w:p>
    <w:p>
      <w:pPr>
        <w:pStyle w:val="Heading5"/>
        <w:spacing w:before="240"/>
      </w:pPr>
      <w:bookmarkStart w:id="209" w:name="_Toc117005446"/>
      <w:bookmarkStart w:id="210" w:name="_Toc106874612"/>
      <w:r>
        <w:rPr>
          <w:rStyle w:val="CharSectno"/>
        </w:rPr>
        <w:t>47</w:t>
      </w:r>
      <w:r>
        <w:t>.</w:t>
      </w:r>
      <w:r>
        <w:tab/>
        <w:t>Terms used</w:t>
      </w:r>
      <w:bookmarkEnd w:id="209"/>
      <w:bookmarkEnd w:id="210"/>
    </w:p>
    <w:p>
      <w:pPr>
        <w:pStyle w:val="Subsection"/>
        <w:keepNext/>
        <w:spacing w:before="180"/>
      </w:pPr>
      <w:r>
        <w:tab/>
      </w:r>
      <w:r>
        <w:tab/>
        <w:t xml:space="preserve">In this Division — </w:t>
      </w:r>
    </w:p>
    <w:p>
      <w:pPr>
        <w:pStyle w:val="Defstart"/>
        <w:keepNex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keepNex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211" w:name="_Toc117005447"/>
      <w:bookmarkStart w:id="212" w:name="_Toc106874613"/>
      <w:r>
        <w:rPr>
          <w:rStyle w:val="CharSectno"/>
        </w:rPr>
        <w:t>48</w:t>
      </w:r>
      <w:r>
        <w:t>.</w:t>
      </w:r>
      <w:r>
        <w:tab/>
        <w:t>Write</w:t>
      </w:r>
      <w:r>
        <w:noBreakHyphen/>
        <w:t>offs</w:t>
      </w:r>
      <w:bookmarkEnd w:id="211"/>
      <w:bookmarkEnd w:id="212"/>
    </w:p>
    <w:p>
      <w:pPr>
        <w:pStyle w:val="Subsection"/>
        <w:keepNext/>
      </w:pPr>
      <w:r>
        <w:tab/>
        <w:t>(1)</w:t>
      </w:r>
      <w:r>
        <w:tab/>
        <w:t xml:space="preserve">In this section — </w:t>
      </w:r>
    </w:p>
    <w:p>
      <w:pPr>
        <w:pStyle w:val="Defstart"/>
        <w:keepNex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Treasurer,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Footnotesection"/>
      </w:pPr>
      <w:r>
        <w:tab/>
        <w:t>[Section 48 amended: No. 12 of 2021 s. 12.]</w:t>
      </w:r>
    </w:p>
    <w:p>
      <w:pPr>
        <w:pStyle w:val="Heading5"/>
      </w:pPr>
      <w:bookmarkStart w:id="213" w:name="_Toc117005448"/>
      <w:bookmarkStart w:id="214" w:name="_Toc106874614"/>
      <w:r>
        <w:rPr>
          <w:rStyle w:val="CharSectno"/>
        </w:rPr>
        <w:t>49</w:t>
      </w:r>
      <w:r>
        <w:t>.</w:t>
      </w:r>
      <w:r>
        <w:tab/>
        <w:t>Loss of official money or property, liability of officers for</w:t>
      </w:r>
      <w:bookmarkEnd w:id="213"/>
      <w:bookmarkEnd w:id="214"/>
      <w:r>
        <w:t xml:space="preserve"> </w:t>
      </w:r>
    </w:p>
    <w:p>
      <w:pPr>
        <w:pStyle w:val="Subsection"/>
        <w:keepNext/>
      </w:pPr>
      <w:r>
        <w:tab/>
        <w:t>(1)</w:t>
      </w:r>
      <w:r>
        <w:tab/>
        <w:t xml:space="preserve">For the purposes of this section — </w:t>
      </w:r>
    </w:p>
    <w:p>
      <w:pPr>
        <w:pStyle w:val="Indenta"/>
        <w:keepNext/>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keepNext/>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keepNext/>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keepNext/>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215" w:name="_Toc117005449"/>
      <w:bookmarkStart w:id="216" w:name="_Toc106874615"/>
      <w:r>
        <w:rPr>
          <w:rStyle w:val="CharSectno"/>
        </w:rPr>
        <w:t>50</w:t>
      </w:r>
      <w:r>
        <w:t>.</w:t>
      </w:r>
      <w:r>
        <w:tab/>
        <w:t>Recovering amounts from officers liable under s. 49</w:t>
      </w:r>
      <w:bookmarkEnd w:id="215"/>
      <w:bookmarkEnd w:id="216"/>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217" w:name="_Toc117005450"/>
      <w:bookmarkStart w:id="218" w:name="_Toc106874616"/>
      <w:r>
        <w:rPr>
          <w:rStyle w:val="CharSectno"/>
        </w:rPr>
        <w:t>51</w:t>
      </w:r>
      <w:r>
        <w:t>.</w:t>
      </w:r>
      <w:r>
        <w:tab/>
        <w:t>Official losses, investigating</w:t>
      </w:r>
      <w:bookmarkEnd w:id="217"/>
      <w:bookmarkEnd w:id="218"/>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keepNext/>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keepNext/>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keepNext/>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keepNext/>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3"/>
      </w:pPr>
      <w:bookmarkStart w:id="219" w:name="_Toc117000567"/>
      <w:bookmarkStart w:id="220" w:name="_Toc117002847"/>
      <w:bookmarkStart w:id="221" w:name="_Toc117005451"/>
      <w:bookmarkStart w:id="222" w:name="_Toc106788688"/>
      <w:bookmarkStart w:id="223" w:name="_Toc106788942"/>
      <w:bookmarkStart w:id="224" w:name="_Toc106790065"/>
      <w:bookmarkStart w:id="225" w:name="_Toc106802570"/>
      <w:bookmarkStart w:id="226" w:name="_Toc106873965"/>
      <w:bookmarkStart w:id="227" w:name="_Toc106874617"/>
      <w:r>
        <w:rPr>
          <w:rStyle w:val="CharDivNo"/>
        </w:rPr>
        <w:t>Division 7</w:t>
      </w:r>
      <w:r>
        <w:t> — </w:t>
      </w:r>
      <w:r>
        <w:rPr>
          <w:rStyle w:val="CharDivText"/>
        </w:rPr>
        <w:t>Financial difficulty</w:t>
      </w:r>
      <w:bookmarkEnd w:id="219"/>
      <w:bookmarkEnd w:id="220"/>
      <w:bookmarkEnd w:id="221"/>
      <w:bookmarkEnd w:id="222"/>
      <w:bookmarkEnd w:id="223"/>
      <w:bookmarkEnd w:id="224"/>
      <w:bookmarkEnd w:id="225"/>
      <w:bookmarkEnd w:id="226"/>
      <w:bookmarkEnd w:id="227"/>
    </w:p>
    <w:p>
      <w:pPr>
        <w:pStyle w:val="Footnoteheading"/>
        <w:keepNext/>
      </w:pPr>
      <w:r>
        <w:tab/>
        <w:t>[Heading inserted: No. 12 of 2021 s. 13.]</w:t>
      </w:r>
    </w:p>
    <w:p>
      <w:pPr>
        <w:pStyle w:val="Heading5"/>
      </w:pPr>
      <w:bookmarkStart w:id="228" w:name="_Toc117005452"/>
      <w:bookmarkStart w:id="229" w:name="_Toc106874618"/>
      <w:r>
        <w:rPr>
          <w:rStyle w:val="CharSectno"/>
        </w:rPr>
        <w:t>51A</w:t>
      </w:r>
      <w:r>
        <w:t>.</w:t>
      </w:r>
      <w:r>
        <w:tab/>
        <w:t>Notices of financial difficulty</w:t>
      </w:r>
      <w:bookmarkEnd w:id="228"/>
      <w:bookmarkEnd w:id="229"/>
    </w:p>
    <w:p>
      <w:pPr>
        <w:pStyle w:val="Subsection"/>
      </w:pPr>
      <w:r>
        <w:tab/>
        <w:t>(1)</w:t>
      </w:r>
      <w:r>
        <w:tab/>
        <w:t>The accountable authority of an agency must notify the Minister if the accountable authority forms the opinion that the agency is unable to, or will be unlikely to be able to, satisfy any of its financial obligations from the financial resources available, or likely to be available, to it at the time a financial obligation is due.</w:t>
      </w:r>
    </w:p>
    <w:p>
      <w:pPr>
        <w:pStyle w:val="Subsection"/>
      </w:pPr>
      <w:r>
        <w:tab/>
        <w:t>(2)</w:t>
      </w:r>
      <w:r>
        <w:tab/>
        <w:t>Subsection (1) does not apply if the accountable authority is required to give notice to the Minister under another written law that corresponds to subsection (1).</w:t>
      </w:r>
    </w:p>
    <w:p>
      <w:pPr>
        <w:pStyle w:val="Subsection"/>
      </w:pPr>
      <w:r>
        <w:tab/>
        <w:t>(3)</w:t>
      </w:r>
      <w:r>
        <w:tab/>
        <w:t>The notice under subsection (1) must be in writing, giving reasons for the accountable authority’s opinion.</w:t>
      </w:r>
    </w:p>
    <w:p>
      <w:pPr>
        <w:pStyle w:val="Subsection"/>
        <w:keepNext/>
      </w:pPr>
      <w:r>
        <w:tab/>
        <w:t>(4)</w:t>
      </w:r>
      <w:r>
        <w:tab/>
        <w:t>Within 7 days after receipt of the notice, the Minister must confer with the Treasurer and the accountable authority of the agency for the purpose of determining what action is required to ensure that the agency is able to satisfy the relevant financial obligation when it is due.</w:t>
      </w:r>
    </w:p>
    <w:p>
      <w:pPr>
        <w:pStyle w:val="Footnotesection"/>
      </w:pPr>
      <w:r>
        <w:tab/>
        <w:t>[Section 51A inserted: No. 12 of 2021 s. 13.]</w:t>
      </w:r>
    </w:p>
    <w:p>
      <w:pPr>
        <w:pStyle w:val="Heading2"/>
      </w:pPr>
      <w:bookmarkStart w:id="230" w:name="_Toc117000569"/>
      <w:bookmarkStart w:id="231" w:name="_Toc117002849"/>
      <w:bookmarkStart w:id="232" w:name="_Toc117005453"/>
      <w:bookmarkStart w:id="233" w:name="_Toc106788690"/>
      <w:bookmarkStart w:id="234" w:name="_Toc106788944"/>
      <w:bookmarkStart w:id="235" w:name="_Toc106790067"/>
      <w:bookmarkStart w:id="236" w:name="_Toc106802572"/>
      <w:bookmarkStart w:id="237" w:name="_Toc106873967"/>
      <w:bookmarkStart w:id="238" w:name="_Toc106874619"/>
      <w:r>
        <w:rPr>
          <w:rStyle w:val="CharPartNo"/>
        </w:rPr>
        <w:t>Part 4</w:t>
      </w:r>
      <w:r>
        <w:rPr>
          <w:rStyle w:val="CharDivNo"/>
        </w:rPr>
        <w:t> </w:t>
      </w:r>
      <w:r>
        <w:t>—</w:t>
      </w:r>
      <w:r>
        <w:rPr>
          <w:rStyle w:val="CharDivText"/>
        </w:rPr>
        <w:t> </w:t>
      </w:r>
      <w:r>
        <w:rPr>
          <w:rStyle w:val="CharPartText"/>
        </w:rPr>
        <w:t>Accountable authorities</w:t>
      </w:r>
      <w:bookmarkEnd w:id="230"/>
      <w:bookmarkEnd w:id="231"/>
      <w:bookmarkEnd w:id="232"/>
      <w:bookmarkEnd w:id="233"/>
      <w:bookmarkEnd w:id="234"/>
      <w:bookmarkEnd w:id="235"/>
      <w:bookmarkEnd w:id="236"/>
      <w:bookmarkEnd w:id="237"/>
      <w:bookmarkEnd w:id="238"/>
    </w:p>
    <w:p>
      <w:pPr>
        <w:pStyle w:val="Heading5"/>
        <w:spacing w:before="240"/>
      </w:pPr>
      <w:bookmarkStart w:id="239" w:name="_Toc117005454"/>
      <w:bookmarkStart w:id="240" w:name="_Toc106874620"/>
      <w:r>
        <w:rPr>
          <w:rStyle w:val="CharSectno"/>
        </w:rPr>
        <w:t>52</w:t>
      </w:r>
      <w:r>
        <w:t>.</w:t>
      </w:r>
      <w:r>
        <w:tab/>
        <w:t>Each agency to have accountable authority</w:t>
      </w:r>
      <w:bookmarkEnd w:id="239"/>
      <w:bookmarkEnd w:id="240"/>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241" w:name="_Toc117005455"/>
      <w:bookmarkStart w:id="242" w:name="_Toc106874621"/>
      <w:r>
        <w:rPr>
          <w:rStyle w:val="CharSectno"/>
        </w:rPr>
        <w:t>53</w:t>
      </w:r>
      <w:r>
        <w:t>.</w:t>
      </w:r>
      <w:r>
        <w:tab/>
        <w:t>Functions of accountable authorities</w:t>
      </w:r>
      <w:bookmarkEnd w:id="241"/>
      <w:bookmarkEnd w:id="242"/>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(ca)</w:t>
      </w:r>
      <w:r>
        <w:tab/>
        <w:t>ensuring that the agency’s total cost of services in a financial year does not exceed the expense limit for the agency contained in the resource agreement, as modified from time to time, for the agency for the financial year; and</w:t>
      </w:r>
    </w:p>
    <w:p>
      <w:pPr>
        <w:pStyle w:val="Indenta"/>
        <w:keepNext/>
      </w:pPr>
      <w:r>
        <w:tab/>
        <w:t>(cb)</w:t>
      </w:r>
      <w:r>
        <w:tab/>
        <w:t>ensuring that —</w:t>
      </w:r>
    </w:p>
    <w:p>
      <w:pPr>
        <w:pStyle w:val="Indenti"/>
      </w:pPr>
      <w:r>
        <w:tab/>
        <w:t>(i)</w:t>
      </w:r>
      <w:r>
        <w:tab/>
        <w:t>the agency complies with any State government policy prescribed by the Treasurer’s instructions; and</w:t>
      </w:r>
    </w:p>
    <w:p>
      <w:pPr>
        <w:pStyle w:val="Indenti"/>
      </w:pPr>
      <w:r>
        <w:tab/>
        <w:t>(ii)</w:t>
      </w:r>
      <w:r>
        <w:tab/>
        <w:t>in particular, officers of the agency who commit and incur expenditure on behalf of the agency do so in a manner that is not inconsistent with any State government policy prescribed by the Treasurer’s instructions;</w:t>
      </w:r>
    </w:p>
    <w:p>
      <w:pPr>
        <w:pStyle w:val="Indenta"/>
      </w:pPr>
      <w:r>
        <w:tab/>
      </w:r>
      <w:r>
        <w:tab/>
        <w:t>and</w:t>
      </w:r>
    </w:p>
    <w:p>
      <w:pPr>
        <w:pStyle w:val="Indenta"/>
        <w:keepNext/>
      </w:pPr>
      <w:r>
        <w:tab/>
        <w:t>(cc)</w:t>
      </w:r>
      <w:r>
        <w:tab/>
        <w:t>ensuring that the agency has documented policies and procedures relating to —</w:t>
      </w:r>
    </w:p>
    <w:p>
      <w:pPr>
        <w:pStyle w:val="Indenti"/>
      </w:pPr>
      <w:r>
        <w:tab/>
        <w:t>(i)</w:t>
      </w:r>
      <w:r>
        <w:tab/>
        <w:t>making delegations, or giving authorisations, to officers of the agency that authorise them to enter into financial obligations on behalf of the agency or the State; and</w:t>
      </w:r>
    </w:p>
    <w:p>
      <w:pPr>
        <w:pStyle w:val="Indenti"/>
      </w:pPr>
      <w:r>
        <w:tab/>
        <w:t>(ii)</w:t>
      </w:r>
      <w:r>
        <w:tab/>
        <w:t>how officers of the agency exercise the authority to enter into such financial obligations;</w:t>
      </w:r>
    </w:p>
    <w:p>
      <w:pPr>
        <w:pStyle w:val="Indenta"/>
      </w:pPr>
      <w:r>
        <w:tab/>
      </w:r>
      <w:r>
        <w:tab/>
        <w:t>and</w:t>
      </w:r>
    </w:p>
    <w:p>
      <w:pPr>
        <w:pStyle w:val="Indenta"/>
      </w:pPr>
      <w:r>
        <w:tab/>
        <w:t>(cd)</w:t>
      </w:r>
      <w:r>
        <w:tab/>
        <w:t>establishing and maintaining records relating to, and a register of, all delegations made, and authorisations given, to officers of the agency that authorise them to enter into financial obligations on behalf of the agency or the State;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Footnotesection"/>
      </w:pPr>
      <w:r>
        <w:tab/>
        <w:t>[Section 53 amended: No. 12 of 2021 s. 14.]</w:t>
      </w:r>
    </w:p>
    <w:p>
      <w:pPr>
        <w:pStyle w:val="Heading5"/>
        <w:spacing w:before="240"/>
      </w:pPr>
      <w:bookmarkStart w:id="243" w:name="_Toc117005456"/>
      <w:bookmarkStart w:id="244" w:name="_Toc106874622"/>
      <w:r>
        <w:rPr>
          <w:rStyle w:val="CharSectno"/>
        </w:rPr>
        <w:t>54</w:t>
      </w:r>
      <w:r>
        <w:t>.</w:t>
      </w:r>
      <w:r>
        <w:tab/>
        <w:t>Department, who is accountable authority of etc.</w:t>
      </w:r>
      <w:bookmarkEnd w:id="243"/>
      <w:bookmarkEnd w:id="244"/>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245" w:name="_Toc117005457"/>
      <w:bookmarkStart w:id="246" w:name="_Toc106874623"/>
      <w:r>
        <w:rPr>
          <w:rStyle w:val="CharSectno"/>
        </w:rPr>
        <w:t>55</w:t>
      </w:r>
      <w:r>
        <w:t>.</w:t>
      </w:r>
      <w:r>
        <w:tab/>
        <w:t>Statutory authority, who is accountable authority of etc.</w:t>
      </w:r>
      <w:bookmarkEnd w:id="245"/>
      <w:bookmarkEnd w:id="246"/>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247" w:name="_Toc117005458"/>
      <w:bookmarkStart w:id="248" w:name="_Toc106874624"/>
      <w:r>
        <w:rPr>
          <w:rStyle w:val="CharSectno"/>
        </w:rPr>
        <w:t>56</w:t>
      </w:r>
      <w:r>
        <w:t>.</w:t>
      </w:r>
      <w:r>
        <w:tab/>
        <w:t>Sub-departments, entities that are and accountable authorities of</w:t>
      </w:r>
      <w:bookmarkEnd w:id="247"/>
      <w:bookmarkEnd w:id="248"/>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249" w:name="_Toc117005459"/>
      <w:bookmarkStart w:id="250" w:name="_Toc106874625"/>
      <w:r>
        <w:rPr>
          <w:rStyle w:val="CharSectno"/>
        </w:rPr>
        <w:t>57</w:t>
      </w:r>
      <w:r>
        <w:t>.</w:t>
      </w:r>
      <w:r>
        <w:tab/>
        <w:t>Chief finance officers, designation and functions of</w:t>
      </w:r>
      <w:bookmarkEnd w:id="249"/>
      <w:bookmarkEnd w:id="250"/>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251" w:name="_Toc117005460"/>
      <w:bookmarkStart w:id="252" w:name="_Toc106874626"/>
      <w:r>
        <w:rPr>
          <w:rStyle w:val="CharSectno"/>
        </w:rPr>
        <w:t>58</w:t>
      </w:r>
      <w:r>
        <w:t>.</w:t>
      </w:r>
      <w:r>
        <w:tab/>
        <w:t>Financial management system, duties of accountable authorities as to</w:t>
      </w:r>
      <w:bookmarkEnd w:id="251"/>
      <w:bookmarkEnd w:id="252"/>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253" w:name="_Toc117000577"/>
      <w:bookmarkStart w:id="254" w:name="_Toc117002857"/>
      <w:bookmarkStart w:id="255" w:name="_Toc117005461"/>
      <w:bookmarkStart w:id="256" w:name="_Toc106788698"/>
      <w:bookmarkStart w:id="257" w:name="_Toc106788952"/>
      <w:bookmarkStart w:id="258" w:name="_Toc106790075"/>
      <w:bookmarkStart w:id="259" w:name="_Toc106802580"/>
      <w:bookmarkStart w:id="260" w:name="_Toc106873975"/>
      <w:bookmarkStart w:id="261" w:name="_Toc106874627"/>
      <w:r>
        <w:rPr>
          <w:rStyle w:val="CharPartNo"/>
        </w:rPr>
        <w:t>Part 5</w:t>
      </w:r>
      <w:r>
        <w:t> — </w:t>
      </w:r>
      <w:r>
        <w:rPr>
          <w:rStyle w:val="CharPartText"/>
        </w:rPr>
        <w:t>Reports</w:t>
      </w:r>
      <w:bookmarkEnd w:id="253"/>
      <w:bookmarkEnd w:id="254"/>
      <w:bookmarkEnd w:id="255"/>
      <w:bookmarkEnd w:id="256"/>
      <w:bookmarkEnd w:id="257"/>
      <w:bookmarkEnd w:id="258"/>
      <w:bookmarkEnd w:id="259"/>
      <w:bookmarkEnd w:id="260"/>
      <w:bookmarkEnd w:id="261"/>
    </w:p>
    <w:p>
      <w:pPr>
        <w:pStyle w:val="Heading3"/>
      </w:pPr>
      <w:bookmarkStart w:id="262" w:name="_Toc117000578"/>
      <w:bookmarkStart w:id="263" w:name="_Toc117002858"/>
      <w:bookmarkStart w:id="264" w:name="_Toc117005462"/>
      <w:bookmarkStart w:id="265" w:name="_Toc106788699"/>
      <w:bookmarkStart w:id="266" w:name="_Toc106788953"/>
      <w:bookmarkStart w:id="267" w:name="_Toc106790076"/>
      <w:bookmarkStart w:id="268" w:name="_Toc106802581"/>
      <w:bookmarkStart w:id="269" w:name="_Toc106873976"/>
      <w:bookmarkStart w:id="270" w:name="_Toc106874628"/>
      <w:r>
        <w:rPr>
          <w:rStyle w:val="CharDivNo"/>
        </w:rPr>
        <w:t>Division 1</w:t>
      </w:r>
      <w:r>
        <w:t> — </w:t>
      </w:r>
      <w:r>
        <w:rPr>
          <w:rStyle w:val="CharDivText"/>
        </w:rPr>
        <w:t>Treasurer’s reports</w:t>
      </w:r>
      <w:bookmarkEnd w:id="262"/>
      <w:bookmarkEnd w:id="263"/>
      <w:bookmarkEnd w:id="264"/>
      <w:bookmarkEnd w:id="265"/>
      <w:bookmarkEnd w:id="266"/>
      <w:bookmarkEnd w:id="267"/>
      <w:bookmarkEnd w:id="268"/>
      <w:bookmarkEnd w:id="269"/>
      <w:bookmarkEnd w:id="270"/>
    </w:p>
    <w:p>
      <w:pPr>
        <w:pStyle w:val="Heading5"/>
      </w:pPr>
      <w:bookmarkStart w:id="271" w:name="_Toc117005463"/>
      <w:bookmarkStart w:id="272" w:name="_Toc106874629"/>
      <w:r>
        <w:rPr>
          <w:rStyle w:val="CharSectno"/>
        </w:rPr>
        <w:t>59</w:t>
      </w:r>
      <w:r>
        <w:t>.</w:t>
      </w:r>
      <w:r>
        <w:tab/>
        <w:t xml:space="preserve">Financial reports and statements, application of </w:t>
      </w:r>
      <w:r>
        <w:rPr>
          <w:i/>
          <w:iCs/>
        </w:rPr>
        <w:t>Government Financial Responsibility Act 2000</w:t>
      </w:r>
      <w:bookmarkEnd w:id="271"/>
      <w:bookmarkEnd w:id="272"/>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273" w:name="_Toc117000580"/>
      <w:bookmarkStart w:id="274" w:name="_Toc117002860"/>
      <w:bookmarkStart w:id="275" w:name="_Toc117005464"/>
      <w:bookmarkStart w:id="276" w:name="_Toc106788701"/>
      <w:bookmarkStart w:id="277" w:name="_Toc106788955"/>
      <w:bookmarkStart w:id="278" w:name="_Toc106790078"/>
      <w:bookmarkStart w:id="279" w:name="_Toc106802583"/>
      <w:bookmarkStart w:id="280" w:name="_Toc106873978"/>
      <w:bookmarkStart w:id="281" w:name="_Toc106874630"/>
      <w:r>
        <w:rPr>
          <w:rStyle w:val="CharDivNo"/>
        </w:rPr>
        <w:t>Division 2</w:t>
      </w:r>
      <w:r>
        <w:t> — </w:t>
      </w:r>
      <w:r>
        <w:rPr>
          <w:rStyle w:val="CharDivText"/>
        </w:rPr>
        <w:t>Annual reports by agencies</w:t>
      </w:r>
      <w:bookmarkEnd w:id="273"/>
      <w:bookmarkEnd w:id="274"/>
      <w:bookmarkEnd w:id="275"/>
      <w:bookmarkEnd w:id="276"/>
      <w:bookmarkEnd w:id="277"/>
      <w:bookmarkEnd w:id="278"/>
      <w:bookmarkEnd w:id="279"/>
      <w:bookmarkEnd w:id="280"/>
      <w:bookmarkEnd w:id="281"/>
    </w:p>
    <w:p>
      <w:pPr>
        <w:pStyle w:val="Heading5"/>
      </w:pPr>
      <w:bookmarkStart w:id="282" w:name="_Toc117005465"/>
      <w:bookmarkStart w:id="283" w:name="_Toc106874631"/>
      <w:r>
        <w:rPr>
          <w:rStyle w:val="CharSectno"/>
        </w:rPr>
        <w:t>60</w:t>
      </w:r>
      <w:r>
        <w:t>.</w:t>
      </w:r>
      <w:r>
        <w:tab/>
        <w:t>Terms used</w:t>
      </w:r>
      <w:bookmarkEnd w:id="282"/>
      <w:bookmarkEnd w:id="283"/>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284" w:name="_Toc117005466"/>
      <w:bookmarkStart w:id="285" w:name="_Toc106874632"/>
      <w:r>
        <w:rPr>
          <w:rStyle w:val="CharSectno"/>
        </w:rPr>
        <w:t>61</w:t>
      </w:r>
      <w:r>
        <w:t>.</w:t>
      </w:r>
      <w:r>
        <w:tab/>
        <w:t>Annual reports, contents of etc.</w:t>
      </w:r>
      <w:bookmarkEnd w:id="284"/>
      <w:bookmarkEnd w:id="285"/>
    </w:p>
    <w:p>
      <w:pPr>
        <w:pStyle w:val="Subsection"/>
        <w:keepNext/>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unless otherwise directed in writing by the Treasurer, 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targets described in the resource agreement.</w:t>
      </w:r>
    </w:p>
    <w:p>
      <w:pPr>
        <w:pStyle w:val="Subsection"/>
        <w:keepNext/>
      </w:pPr>
      <w:r>
        <w:tab/>
        <w:t>(3)</w:t>
      </w:r>
      <w:r>
        <w:tab/>
        <w:t xml:space="preserve">An agency that — </w:t>
      </w:r>
    </w:p>
    <w:p>
      <w:pPr>
        <w:pStyle w:val="Indenta"/>
      </w:pPr>
      <w:r>
        <w:tab/>
        <w:t>(a)</w:t>
      </w:r>
      <w:r>
        <w:tab/>
        <w:t>is a department or statutory authority; and</w:t>
      </w:r>
    </w:p>
    <w:p>
      <w:pPr>
        <w:pStyle w:val="Indenta"/>
        <w:keepNext/>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Footnotesection"/>
      </w:pPr>
      <w:r>
        <w:tab/>
        <w:t>[Section 61 amended: No. 12 of 2021 s. 15.]</w:t>
      </w:r>
    </w:p>
    <w:p>
      <w:pPr>
        <w:pStyle w:val="Heading5"/>
      </w:pPr>
      <w:bookmarkStart w:id="286" w:name="_Toc117005467"/>
      <w:bookmarkStart w:id="287" w:name="_Toc106874633"/>
      <w:r>
        <w:rPr>
          <w:rStyle w:val="CharSectno"/>
        </w:rPr>
        <w:t>62</w:t>
      </w:r>
      <w:r>
        <w:t>.</w:t>
      </w:r>
      <w:r>
        <w:tab/>
        <w:t>Financial statements for s. 61(1)(a), standards for etc.</w:t>
      </w:r>
      <w:bookmarkEnd w:id="286"/>
      <w:bookmarkEnd w:id="287"/>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keepNext/>
      </w:pPr>
      <w:r>
        <w:tab/>
        <w:t>(2)</w:t>
      </w:r>
      <w:r>
        <w:tab/>
        <w:t xml:space="preserve">Without limiting subsection (1), the financial statements referred to in section 61(1)(a) — </w:t>
      </w:r>
    </w:p>
    <w:p>
      <w:pPr>
        <w:pStyle w:val="Indenta"/>
        <w:keepNext/>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288" w:name="_Toc117005468"/>
      <w:bookmarkStart w:id="289" w:name="_Toc106874634"/>
      <w:r>
        <w:rPr>
          <w:rStyle w:val="CharSectno"/>
        </w:rPr>
        <w:t>63</w:t>
      </w:r>
      <w:r>
        <w:t>.</w:t>
      </w:r>
      <w:r>
        <w:tab/>
        <w:t>Financial reports etc. to be submitted to Auditor General and Minister</w:t>
      </w:r>
      <w:bookmarkEnd w:id="288"/>
      <w:bookmarkEnd w:id="289"/>
    </w:p>
    <w:p>
      <w:pPr>
        <w:pStyle w:val="Subsection"/>
        <w:keepNext/>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keepNext/>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290" w:name="_Toc117005469"/>
      <w:bookmarkStart w:id="291" w:name="_Toc106874635"/>
      <w:r>
        <w:rPr>
          <w:rStyle w:val="CharSectno"/>
        </w:rPr>
        <w:t>64</w:t>
      </w:r>
      <w:r>
        <w:t>.</w:t>
      </w:r>
      <w:r>
        <w:tab/>
        <w:t>Minister to table agency’s annual report etc.</w:t>
      </w:r>
      <w:bookmarkEnd w:id="290"/>
      <w:bookmarkEnd w:id="291"/>
    </w:p>
    <w:p>
      <w:pPr>
        <w:pStyle w:val="Subsection"/>
        <w:keepNext/>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292" w:name="_Toc117005470"/>
      <w:bookmarkStart w:id="293" w:name="_Toc106874636"/>
      <w:r>
        <w:rPr>
          <w:rStyle w:val="CharSectno"/>
        </w:rPr>
        <w:t>65</w:t>
      </w:r>
      <w:r>
        <w:t>.</w:t>
      </w:r>
      <w:r>
        <w:tab/>
        <w:t>Minister to inform Parliament if annual report and Auditor General’s opinion cannot be tabled on time</w:t>
      </w:r>
      <w:bookmarkEnd w:id="292"/>
      <w:bookmarkEnd w:id="293"/>
    </w:p>
    <w:p>
      <w:pPr>
        <w:pStyle w:val="Subsection"/>
        <w:keepNext/>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keepNext/>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294" w:name="_Toc117000587"/>
      <w:bookmarkStart w:id="295" w:name="_Toc117002867"/>
      <w:bookmarkStart w:id="296" w:name="_Toc117005471"/>
      <w:bookmarkStart w:id="297" w:name="_Toc106788708"/>
      <w:bookmarkStart w:id="298" w:name="_Toc106788962"/>
      <w:bookmarkStart w:id="299" w:name="_Toc106790085"/>
      <w:bookmarkStart w:id="300" w:name="_Toc106802590"/>
      <w:bookmarkStart w:id="301" w:name="_Toc106873985"/>
      <w:bookmarkStart w:id="302" w:name="_Toc106874637"/>
      <w:r>
        <w:rPr>
          <w:rStyle w:val="CharDivNo"/>
        </w:rPr>
        <w:t>Division 3</w:t>
      </w:r>
      <w:r>
        <w:t> — </w:t>
      </w:r>
      <w:r>
        <w:rPr>
          <w:rStyle w:val="CharDivText"/>
        </w:rPr>
        <w:t>Reporting on abolition of agencies</w:t>
      </w:r>
      <w:bookmarkEnd w:id="294"/>
      <w:bookmarkEnd w:id="295"/>
      <w:bookmarkEnd w:id="296"/>
      <w:bookmarkEnd w:id="297"/>
      <w:bookmarkEnd w:id="298"/>
      <w:bookmarkEnd w:id="299"/>
      <w:bookmarkEnd w:id="300"/>
      <w:bookmarkEnd w:id="301"/>
      <w:bookmarkEnd w:id="302"/>
    </w:p>
    <w:p>
      <w:pPr>
        <w:pStyle w:val="Heading5"/>
        <w:spacing w:before="180"/>
      </w:pPr>
      <w:bookmarkStart w:id="303" w:name="_Toc117005472"/>
      <w:bookmarkStart w:id="304" w:name="_Toc106874638"/>
      <w:r>
        <w:rPr>
          <w:rStyle w:val="CharSectno"/>
        </w:rPr>
        <w:t>66</w:t>
      </w:r>
      <w:r>
        <w:t>.</w:t>
      </w:r>
      <w:r>
        <w:tab/>
        <w:t>Terms used</w:t>
      </w:r>
      <w:bookmarkEnd w:id="303"/>
      <w:bookmarkEnd w:id="304"/>
    </w:p>
    <w:p>
      <w:pPr>
        <w:pStyle w:val="Subsection"/>
        <w:keepNext/>
        <w:keepLines/>
      </w:pPr>
      <w:r>
        <w:tab/>
      </w:r>
      <w:r>
        <w:tab/>
        <w:t xml:space="preserve">In this Division — </w:t>
      </w:r>
    </w:p>
    <w:p>
      <w:pPr>
        <w:pStyle w:val="Defstart"/>
        <w:keepNex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305" w:name="_Toc117005473"/>
      <w:bookmarkStart w:id="306" w:name="_Toc106874639"/>
      <w:r>
        <w:rPr>
          <w:rStyle w:val="CharSectno"/>
        </w:rPr>
        <w:t>67</w:t>
      </w:r>
      <w:r>
        <w:t>.</w:t>
      </w:r>
      <w:r>
        <w:tab/>
        <w:t>Purpose of this Division</w:t>
      </w:r>
      <w:bookmarkEnd w:id="305"/>
      <w:bookmarkEnd w:id="306"/>
    </w:p>
    <w:p>
      <w:pPr>
        <w:pStyle w:val="Subsection"/>
      </w:pPr>
      <w:r>
        <w:tab/>
      </w:r>
      <w:r>
        <w:tab/>
        <w:t>The purpose of this Division is to secure proper accountability on the abolition of an agency.</w:t>
      </w:r>
    </w:p>
    <w:p>
      <w:pPr>
        <w:pStyle w:val="Heading5"/>
      </w:pPr>
      <w:bookmarkStart w:id="307" w:name="_Toc117005474"/>
      <w:bookmarkStart w:id="308" w:name="_Toc106874640"/>
      <w:r>
        <w:rPr>
          <w:rStyle w:val="CharSectno"/>
        </w:rPr>
        <w:t>68</w:t>
      </w:r>
      <w:r>
        <w:t>.</w:t>
      </w:r>
      <w:r>
        <w:tab/>
        <w:t>Abolition of agency, reporting after</w:t>
      </w:r>
      <w:bookmarkEnd w:id="307"/>
      <w:bookmarkEnd w:id="308"/>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keepNext/>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309" w:name="_Toc117005475"/>
      <w:bookmarkStart w:id="310" w:name="_Toc106874641"/>
      <w:r>
        <w:rPr>
          <w:rStyle w:val="CharSectno"/>
        </w:rPr>
        <w:t>69</w:t>
      </w:r>
      <w:r>
        <w:t>.</w:t>
      </w:r>
      <w:r>
        <w:tab/>
        <w:t>Final report, contents of</w:t>
      </w:r>
      <w:bookmarkEnd w:id="309"/>
      <w:bookmarkEnd w:id="310"/>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311" w:name="_Toc117005476"/>
      <w:bookmarkStart w:id="312" w:name="_Toc106874642"/>
      <w:r>
        <w:rPr>
          <w:rStyle w:val="CharSectno"/>
        </w:rPr>
        <w:t>70</w:t>
      </w:r>
      <w:r>
        <w:t>.</w:t>
      </w:r>
      <w:r>
        <w:tab/>
        <w:t>Directions by Treasurer for this Division</w:t>
      </w:r>
      <w:bookmarkEnd w:id="311"/>
      <w:bookmarkEnd w:id="312"/>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313" w:name="_Toc117005477"/>
      <w:bookmarkStart w:id="314" w:name="_Toc106874643"/>
      <w:r>
        <w:rPr>
          <w:rStyle w:val="CharSectno"/>
        </w:rPr>
        <w:t>71</w:t>
      </w:r>
      <w:r>
        <w:t>.</w:t>
      </w:r>
      <w:r>
        <w:tab/>
        <w:t>Reporting officers entitled to access to accounts etc.</w:t>
      </w:r>
      <w:bookmarkEnd w:id="313"/>
      <w:bookmarkEnd w:id="314"/>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keepNext/>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315" w:name="_Toc117005478"/>
      <w:bookmarkStart w:id="316" w:name="_Toc106874644"/>
      <w:r>
        <w:rPr>
          <w:rStyle w:val="CharSectno"/>
        </w:rPr>
        <w:t>72</w:t>
      </w:r>
      <w:r>
        <w:t>.</w:t>
      </w:r>
      <w:r>
        <w:tab/>
        <w:t>Reporting officers to submit financial statements etc. to Auditor General</w:t>
      </w:r>
      <w:bookmarkEnd w:id="315"/>
      <w:bookmarkEnd w:id="316"/>
    </w:p>
    <w:p>
      <w:pPr>
        <w:pStyle w:val="Subsection"/>
        <w:keepNext/>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keepNext/>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317" w:name="_Toc117000595"/>
      <w:bookmarkStart w:id="318" w:name="_Toc117002875"/>
      <w:bookmarkStart w:id="319" w:name="_Toc117005479"/>
      <w:bookmarkStart w:id="320" w:name="_Toc106788716"/>
      <w:bookmarkStart w:id="321" w:name="_Toc106788970"/>
      <w:bookmarkStart w:id="322" w:name="_Toc106790093"/>
      <w:bookmarkStart w:id="323" w:name="_Toc106802598"/>
      <w:bookmarkStart w:id="324" w:name="_Toc106873993"/>
      <w:bookmarkStart w:id="325" w:name="_Toc106874645"/>
      <w:r>
        <w:rPr>
          <w:rStyle w:val="CharPartNo"/>
        </w:rPr>
        <w:t>Part 6</w:t>
      </w:r>
      <w:r>
        <w:t> — </w:t>
      </w:r>
      <w:r>
        <w:rPr>
          <w:rStyle w:val="CharPartText"/>
        </w:rPr>
        <w:t>Miscellaneous</w:t>
      </w:r>
      <w:bookmarkEnd w:id="317"/>
      <w:bookmarkEnd w:id="318"/>
      <w:bookmarkEnd w:id="319"/>
      <w:bookmarkEnd w:id="320"/>
      <w:bookmarkEnd w:id="321"/>
      <w:bookmarkEnd w:id="322"/>
      <w:bookmarkEnd w:id="323"/>
      <w:bookmarkEnd w:id="324"/>
      <w:bookmarkEnd w:id="325"/>
    </w:p>
    <w:p>
      <w:pPr>
        <w:pStyle w:val="Heading3"/>
      </w:pPr>
      <w:bookmarkStart w:id="326" w:name="_Toc117000596"/>
      <w:bookmarkStart w:id="327" w:name="_Toc117002876"/>
      <w:bookmarkStart w:id="328" w:name="_Toc117005480"/>
      <w:bookmarkStart w:id="329" w:name="_Toc106788717"/>
      <w:bookmarkStart w:id="330" w:name="_Toc106788971"/>
      <w:bookmarkStart w:id="331" w:name="_Toc106790094"/>
      <w:bookmarkStart w:id="332" w:name="_Toc106802599"/>
      <w:bookmarkStart w:id="333" w:name="_Toc106873994"/>
      <w:bookmarkStart w:id="334" w:name="_Toc106874646"/>
      <w:r>
        <w:rPr>
          <w:rStyle w:val="CharDivNo"/>
        </w:rPr>
        <w:t>Division 1</w:t>
      </w:r>
      <w:r>
        <w:t> — </w:t>
      </w:r>
      <w:r>
        <w:rPr>
          <w:rStyle w:val="CharDivText"/>
        </w:rPr>
        <w:t>Delegations and authorisations</w:t>
      </w:r>
      <w:bookmarkEnd w:id="326"/>
      <w:bookmarkEnd w:id="327"/>
      <w:bookmarkEnd w:id="328"/>
      <w:bookmarkEnd w:id="329"/>
      <w:bookmarkEnd w:id="330"/>
      <w:bookmarkEnd w:id="331"/>
      <w:bookmarkEnd w:id="332"/>
      <w:bookmarkEnd w:id="333"/>
      <w:bookmarkEnd w:id="334"/>
    </w:p>
    <w:p>
      <w:pPr>
        <w:pStyle w:val="Heading5"/>
      </w:pPr>
      <w:bookmarkStart w:id="335" w:name="_Toc117005481"/>
      <w:bookmarkStart w:id="336" w:name="_Toc106874647"/>
      <w:r>
        <w:rPr>
          <w:rStyle w:val="CharSectno"/>
        </w:rPr>
        <w:t>73</w:t>
      </w:r>
      <w:r>
        <w:t>.</w:t>
      </w:r>
      <w:r>
        <w:tab/>
        <w:t>Term used: Treasury Corporation official</w:t>
      </w:r>
      <w:bookmarkEnd w:id="335"/>
      <w:bookmarkEnd w:id="336"/>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337" w:name="_Toc117005482"/>
      <w:bookmarkStart w:id="338" w:name="_Toc106874648"/>
      <w:r>
        <w:rPr>
          <w:rStyle w:val="CharSectno"/>
        </w:rPr>
        <w:t>74</w:t>
      </w:r>
      <w:r>
        <w:t>.</w:t>
      </w:r>
      <w:r>
        <w:tab/>
        <w:t>Delegation by Treasurer</w:t>
      </w:r>
      <w:bookmarkEnd w:id="337"/>
      <w:bookmarkEnd w:id="338"/>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339" w:name="_Toc117005483"/>
      <w:bookmarkStart w:id="340" w:name="_Toc106874649"/>
      <w:r>
        <w:rPr>
          <w:rStyle w:val="CharSectno"/>
        </w:rPr>
        <w:t>75</w:t>
      </w:r>
      <w:r>
        <w:t>.</w:t>
      </w:r>
      <w:r>
        <w:tab/>
        <w:t>Delegation by Ministers</w:t>
      </w:r>
      <w:bookmarkEnd w:id="339"/>
      <w:bookmarkEnd w:id="340"/>
    </w:p>
    <w:p>
      <w:pPr>
        <w:pStyle w:val="Subsection"/>
      </w:pPr>
      <w:r>
        <w:tab/>
      </w:r>
      <w:r>
        <w:tab/>
        <w:t>A Minister may delegate to an officer of the Treasury any power or duty delegated to the Minister under section 74(1).</w:t>
      </w:r>
    </w:p>
    <w:p>
      <w:pPr>
        <w:pStyle w:val="Heading5"/>
      </w:pPr>
      <w:bookmarkStart w:id="341" w:name="_Toc117005484"/>
      <w:bookmarkStart w:id="342" w:name="_Toc106874650"/>
      <w:r>
        <w:rPr>
          <w:rStyle w:val="CharSectno"/>
        </w:rPr>
        <w:t>76</w:t>
      </w:r>
      <w:r>
        <w:t>.</w:t>
      </w:r>
      <w:r>
        <w:tab/>
        <w:t>Delegation and authorisation by Under Treasurer</w:t>
      </w:r>
      <w:bookmarkEnd w:id="341"/>
      <w:bookmarkEnd w:id="342"/>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tab/>
        <w:t>(b)</w:t>
      </w:r>
      <w:r>
        <w:tab/>
        <w:t>conferred on the Under Treasurer by the Treasurer’s instructions.</w:t>
      </w:r>
    </w:p>
    <w:p>
      <w:pPr>
        <w:pStyle w:val="Heading5"/>
      </w:pPr>
      <w:bookmarkStart w:id="343" w:name="_Toc117005485"/>
      <w:bookmarkStart w:id="344" w:name="_Toc106874651"/>
      <w:r>
        <w:rPr>
          <w:rStyle w:val="CharSectno"/>
        </w:rPr>
        <w:t>77</w:t>
      </w:r>
      <w:r>
        <w:t>.</w:t>
      </w:r>
      <w:r>
        <w:tab/>
        <w:t>Delegations and authorisations, general provisions about</w:t>
      </w:r>
      <w:bookmarkEnd w:id="343"/>
      <w:bookmarkEnd w:id="344"/>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345" w:name="_Toc117000602"/>
      <w:bookmarkStart w:id="346" w:name="_Toc117002882"/>
      <w:bookmarkStart w:id="347" w:name="_Toc117005486"/>
      <w:bookmarkStart w:id="348" w:name="_Toc106788723"/>
      <w:bookmarkStart w:id="349" w:name="_Toc106788977"/>
      <w:bookmarkStart w:id="350" w:name="_Toc106790100"/>
      <w:bookmarkStart w:id="351" w:name="_Toc106802605"/>
      <w:bookmarkStart w:id="352" w:name="_Toc106874000"/>
      <w:bookmarkStart w:id="353" w:name="_Toc106874652"/>
      <w:r>
        <w:rPr>
          <w:rStyle w:val="CharDivNo"/>
        </w:rPr>
        <w:t>Division 2</w:t>
      </w:r>
      <w:r>
        <w:t> — </w:t>
      </w:r>
      <w:r>
        <w:rPr>
          <w:rStyle w:val="CharDivText"/>
        </w:rPr>
        <w:t>Treasurer’s instructions</w:t>
      </w:r>
      <w:bookmarkEnd w:id="345"/>
      <w:bookmarkEnd w:id="346"/>
      <w:bookmarkEnd w:id="347"/>
      <w:bookmarkEnd w:id="348"/>
      <w:bookmarkEnd w:id="349"/>
      <w:bookmarkEnd w:id="350"/>
      <w:bookmarkEnd w:id="351"/>
      <w:bookmarkEnd w:id="352"/>
      <w:bookmarkEnd w:id="353"/>
    </w:p>
    <w:p>
      <w:pPr>
        <w:pStyle w:val="Heading5"/>
      </w:pPr>
      <w:bookmarkStart w:id="354" w:name="_Toc117005487"/>
      <w:bookmarkStart w:id="355" w:name="_Toc106874653"/>
      <w:r>
        <w:rPr>
          <w:rStyle w:val="CharSectno"/>
        </w:rPr>
        <w:t>78</w:t>
      </w:r>
      <w:r>
        <w:t>.</w:t>
      </w:r>
      <w:r>
        <w:tab/>
        <w:t>Treasurer’s instructions, issue of etc.</w:t>
      </w:r>
      <w:bookmarkEnd w:id="354"/>
      <w:bookmarkEnd w:id="355"/>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356" w:name="_Toc117000604"/>
      <w:bookmarkStart w:id="357" w:name="_Toc117002884"/>
      <w:bookmarkStart w:id="358" w:name="_Toc117005488"/>
      <w:bookmarkStart w:id="359" w:name="_Toc106788725"/>
      <w:bookmarkStart w:id="360" w:name="_Toc106788979"/>
      <w:bookmarkStart w:id="361" w:name="_Toc106790102"/>
      <w:bookmarkStart w:id="362" w:name="_Toc106802607"/>
      <w:bookmarkStart w:id="363" w:name="_Toc106874002"/>
      <w:bookmarkStart w:id="364" w:name="_Toc106874654"/>
      <w:r>
        <w:rPr>
          <w:rStyle w:val="CharDivNo"/>
        </w:rPr>
        <w:t>Division 3</w:t>
      </w:r>
      <w:r>
        <w:t> — </w:t>
      </w:r>
      <w:r>
        <w:rPr>
          <w:rStyle w:val="CharDivText"/>
        </w:rPr>
        <w:t>Miscellaneous powers and duties</w:t>
      </w:r>
      <w:bookmarkEnd w:id="356"/>
      <w:bookmarkEnd w:id="357"/>
      <w:bookmarkEnd w:id="358"/>
      <w:bookmarkEnd w:id="359"/>
      <w:bookmarkEnd w:id="360"/>
      <w:bookmarkEnd w:id="361"/>
      <w:bookmarkEnd w:id="362"/>
      <w:bookmarkEnd w:id="363"/>
      <w:bookmarkEnd w:id="364"/>
    </w:p>
    <w:p>
      <w:pPr>
        <w:pStyle w:val="Heading5"/>
      </w:pPr>
      <w:bookmarkStart w:id="365" w:name="_Toc117005489"/>
      <w:bookmarkStart w:id="366" w:name="_Toc106874655"/>
      <w:r>
        <w:rPr>
          <w:rStyle w:val="CharSectno"/>
        </w:rPr>
        <w:t>79</w:t>
      </w:r>
      <w:r>
        <w:t>.</w:t>
      </w:r>
      <w:r>
        <w:tab/>
        <w:t>Treasurer’s power to require information</w:t>
      </w:r>
      <w:bookmarkEnd w:id="365"/>
      <w:bookmarkEnd w:id="366"/>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367" w:name="_Toc117005490"/>
      <w:bookmarkStart w:id="368" w:name="_Toc106874656"/>
      <w:r>
        <w:rPr>
          <w:rStyle w:val="CharSectno"/>
        </w:rPr>
        <w:t>80</w:t>
      </w:r>
      <w:r>
        <w:t>.</w:t>
      </w:r>
      <w:r>
        <w:tab/>
        <w:t>Act of grace payments</w:t>
      </w:r>
      <w:bookmarkEnd w:id="367"/>
      <w:bookmarkEnd w:id="368"/>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Ednotesubsection"/>
      </w:pPr>
      <w:r>
        <w:tab/>
        <w:t>[(2)</w:t>
      </w:r>
      <w:r>
        <w:tab/>
        <w:t>deleted]</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Ednotesubsection"/>
        <w:keepNext/>
      </w:pPr>
      <w:r>
        <w:tab/>
        <w:t>[(4)</w:t>
      </w:r>
      <w:r>
        <w:tab/>
        <w:t>deleted]</w:t>
      </w:r>
    </w:p>
    <w:p>
      <w:pPr>
        <w:pStyle w:val="Footnotesection"/>
      </w:pPr>
      <w:r>
        <w:tab/>
        <w:t>[Section 80 amended: No. 12 of 2021 s. 16.]</w:t>
      </w:r>
    </w:p>
    <w:p>
      <w:pPr>
        <w:pStyle w:val="Heading5"/>
      </w:pPr>
      <w:bookmarkStart w:id="369" w:name="_Toc117005491"/>
      <w:bookmarkStart w:id="370" w:name="_Toc106874657"/>
      <w:r>
        <w:rPr>
          <w:rStyle w:val="CharSectno"/>
        </w:rPr>
        <w:t>81</w:t>
      </w:r>
      <w:r>
        <w:t>.</w:t>
      </w:r>
      <w:r>
        <w:tab/>
        <w:t>Actions etc. inhibiting etc. Minister’s parliamentary functions prohibited</w:t>
      </w:r>
      <w:bookmarkEnd w:id="369"/>
      <w:bookmarkEnd w:id="370"/>
    </w:p>
    <w:p>
      <w:pPr>
        <w:pStyle w:val="Subsection"/>
        <w:keepNext/>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371" w:name="_Toc117005492"/>
      <w:bookmarkStart w:id="372" w:name="_Toc106874658"/>
      <w:r>
        <w:rPr>
          <w:rStyle w:val="CharSectno"/>
        </w:rPr>
        <w:t>82</w:t>
      </w:r>
      <w:r>
        <w:t>.</w:t>
      </w:r>
      <w:r>
        <w:tab/>
        <w:t>Ministerial decisions not to give Parliament certain information about agency to be reported to Parliament etc.</w:t>
      </w:r>
      <w:bookmarkEnd w:id="371"/>
      <w:bookmarkEnd w:id="372"/>
    </w:p>
    <w:p>
      <w:pPr>
        <w:pStyle w:val="Subsection"/>
        <w:keepNext/>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373" w:name="_Toc117000609"/>
      <w:bookmarkStart w:id="374" w:name="_Toc117002889"/>
      <w:bookmarkStart w:id="375" w:name="_Toc117005493"/>
      <w:bookmarkStart w:id="376" w:name="_Toc106788730"/>
      <w:bookmarkStart w:id="377" w:name="_Toc106788984"/>
      <w:bookmarkStart w:id="378" w:name="_Toc106790107"/>
      <w:bookmarkStart w:id="379" w:name="_Toc106802612"/>
      <w:bookmarkStart w:id="380" w:name="_Toc106874007"/>
      <w:bookmarkStart w:id="381" w:name="_Toc106874659"/>
      <w:r>
        <w:rPr>
          <w:rStyle w:val="CharDivNo"/>
        </w:rPr>
        <w:t>Division 4</w:t>
      </w:r>
      <w:r>
        <w:t> — </w:t>
      </w:r>
      <w:r>
        <w:rPr>
          <w:rStyle w:val="CharDivText"/>
        </w:rPr>
        <w:t>General</w:t>
      </w:r>
      <w:bookmarkEnd w:id="373"/>
      <w:bookmarkEnd w:id="374"/>
      <w:bookmarkEnd w:id="375"/>
      <w:bookmarkEnd w:id="376"/>
      <w:bookmarkEnd w:id="377"/>
      <w:bookmarkEnd w:id="378"/>
      <w:bookmarkEnd w:id="379"/>
      <w:bookmarkEnd w:id="380"/>
      <w:bookmarkEnd w:id="381"/>
    </w:p>
    <w:p>
      <w:pPr>
        <w:pStyle w:val="Heading5"/>
      </w:pPr>
      <w:bookmarkStart w:id="382" w:name="_Toc117005494"/>
      <w:bookmarkStart w:id="383" w:name="_Toc106874660"/>
      <w:r>
        <w:rPr>
          <w:rStyle w:val="CharSectno"/>
        </w:rPr>
        <w:t>83</w:t>
      </w:r>
      <w:r>
        <w:t>.</w:t>
      </w:r>
      <w:r>
        <w:tab/>
        <w:t>Laying documents before Parliament, supplementary provision about</w:t>
      </w:r>
      <w:bookmarkEnd w:id="382"/>
      <w:bookmarkEnd w:id="383"/>
    </w:p>
    <w:p>
      <w:pPr>
        <w:pStyle w:val="Subsection"/>
        <w:keepNext/>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384" w:name="_Toc117005495"/>
      <w:bookmarkStart w:id="385" w:name="_Toc106874661"/>
      <w:r>
        <w:rPr>
          <w:rStyle w:val="CharSectno"/>
        </w:rPr>
        <w:t>84</w:t>
      </w:r>
      <w:r>
        <w:t>.</w:t>
      </w:r>
      <w:r>
        <w:tab/>
        <w:t>Regulations</w:t>
      </w:r>
      <w:bookmarkEnd w:id="384"/>
      <w:bookmarkEnd w:id="38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86" w:name="_Toc117005496"/>
      <w:bookmarkStart w:id="387" w:name="_Toc106874662"/>
      <w:r>
        <w:rPr>
          <w:rStyle w:val="CharSectno"/>
        </w:rPr>
        <w:t>85</w:t>
      </w:r>
      <w:r>
        <w:t>.</w:t>
      </w:r>
      <w:r>
        <w:tab/>
        <w:t>Review of Act</w:t>
      </w:r>
      <w:bookmarkEnd w:id="386"/>
      <w:bookmarkEnd w:id="387"/>
    </w:p>
    <w:p>
      <w:pPr>
        <w:pStyle w:val="Subsection"/>
        <w:keepNext/>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t>the expiry of 10 years after the tabling of each subsequent report on a review under subsection (5).</w:t>
      </w:r>
    </w:p>
    <w:p>
      <w:pPr>
        <w:pStyle w:val="Subsection"/>
        <w:keepNext/>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keepNext/>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keepNext/>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Footnotesection"/>
      </w:pPr>
      <w:r>
        <w:tab/>
        <w:t>[Section 85 amended: No. 12 of 2021 s. 17.]</w:t>
      </w:r>
    </w:p>
    <w:p>
      <w:pPr>
        <w:pStyle w:val="Foot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88" w:name="_Toc117000613"/>
      <w:bookmarkStart w:id="389" w:name="_Toc117002893"/>
      <w:bookmarkStart w:id="390" w:name="_Toc117005497"/>
      <w:bookmarkStart w:id="391" w:name="_Toc106788734"/>
      <w:bookmarkStart w:id="392" w:name="_Toc106788988"/>
      <w:bookmarkStart w:id="393" w:name="_Toc106790111"/>
      <w:bookmarkStart w:id="394" w:name="_Toc106802616"/>
      <w:bookmarkStart w:id="395" w:name="_Toc106874011"/>
      <w:bookmarkStart w:id="396" w:name="_Toc106874663"/>
      <w:r>
        <w:rPr>
          <w:rStyle w:val="CharSchNo"/>
        </w:rPr>
        <w:t>Schedule 1</w:t>
      </w:r>
      <w:r>
        <w:rPr>
          <w:rStyle w:val="CharSDivNo"/>
        </w:rPr>
        <w:t> </w:t>
      </w:r>
      <w:r>
        <w:t>—</w:t>
      </w:r>
      <w:r>
        <w:rPr>
          <w:rStyle w:val="CharSDivText"/>
        </w:rPr>
        <w:t> </w:t>
      </w:r>
      <w:r>
        <w:rPr>
          <w:rStyle w:val="CharSchText"/>
        </w:rPr>
        <w:t>Statutory authorities</w:t>
      </w:r>
      <w:bookmarkEnd w:id="388"/>
      <w:bookmarkEnd w:id="389"/>
      <w:bookmarkEnd w:id="390"/>
      <w:bookmarkEnd w:id="391"/>
      <w:bookmarkEnd w:id="392"/>
      <w:bookmarkEnd w:id="393"/>
      <w:bookmarkEnd w:id="394"/>
      <w:bookmarkEnd w:id="395"/>
      <w:bookmarkEnd w:id="396"/>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t>Arts and Culture Trust</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keepNext/>
        <w:tabs>
          <w:tab w:val="left" w:pos="851"/>
        </w:tabs>
        <w:spacing w:before="0" w:line="260" w:lineRule="atLeast"/>
        <w:ind w:left="851" w:hanging="851"/>
        <w:rPr>
          <w:snapToGrid w:val="0"/>
        </w:rPr>
      </w:pPr>
      <w:r>
        <w:rPr>
          <w:snapToGrid w:val="0"/>
        </w:rPr>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del w:id="397" w:author="Master Repository Process" w:date="2022-10-21T09:06:00Z"/>
          <w:snapToGrid w:val="0"/>
        </w:rPr>
      </w:pPr>
      <w:del w:id="398" w:author="Master Repository Process" w:date="2022-10-21T09:06:00Z">
        <w:r>
          <w:rPr>
            <w:snapToGrid w:val="0"/>
          </w:rPr>
          <w:delText>Legal Contribution Trust</w:delText>
        </w:r>
      </w:del>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Gazette 13 Jul 2007 p. 3454; No. 24 of 2007 s. 36; No. 38 of 2007 s. 195; Gazette 4 Jan 2008 p. 29; 8 Feb 2008 p. 323; No. 28 of 2008 s. 13; No. 16 of 2009 s. 69; Gazette 20 Aug 2010 p. 4072; No. 33 of 2010 s. 56; </w:t>
      </w:r>
      <w:r>
        <w:rPr>
          <w:spacing w:val="-4"/>
        </w:rPr>
        <w:t>No. 45 of 2011 s. 1</w:t>
      </w:r>
      <w:r>
        <w:t>38; No. 54 of 2011 s. 5; No. 37 of 2011 s. 56; No. 22 of 2012 s. 125; No. 25 of 2012 s. 212; Gazette 7 Dec 2012 p. 5998; 9 Jul 2013 p. 3048; No. 23 of 2013 s. 77; Gazette 11 Nov 2014 p. 4262; No. 3 of 2015 s. 16; No. 6 of 2015 s. 55; Gazette 12 May 2015 p. 1641; No. 40 of 2015 s. 55; No. 11 of 2016 s. 289; No. 22 of 2016 s. 15; No. 32 of 2016 s. 181; No. 41 of 2016 s. 22; Gazette 8 Sep 2017 p. 4698; No. 13 of 2019 s. 75(2); No. 24 of 2020 s. 62; No. 15 of 2021 s. 75(2) and (3); No. 19 of 2022 s. 21(2</w:t>
      </w:r>
      <w:del w:id="399" w:author="Master Repository Process" w:date="2022-10-21T09:06:00Z">
        <w:r>
          <w:delText xml:space="preserve">).] </w:delText>
        </w:r>
      </w:del>
      <w:ins w:id="400" w:author="Master Repository Process" w:date="2022-10-21T09:06:00Z">
        <w:r>
          <w:t>); SL 2022/169 r. 4.]</w:t>
        </w:r>
      </w:ins>
    </w:p>
    <w:p>
      <w:pPr>
        <w:pStyle w:val="yScheduleHeading"/>
      </w:pPr>
      <w:bookmarkStart w:id="401" w:name="_Toc117000614"/>
      <w:bookmarkStart w:id="402" w:name="_Toc117002894"/>
      <w:bookmarkStart w:id="403" w:name="_Toc117005498"/>
      <w:bookmarkStart w:id="404" w:name="_Toc106788735"/>
      <w:bookmarkStart w:id="405" w:name="_Toc106788989"/>
      <w:bookmarkStart w:id="406" w:name="_Toc106790112"/>
      <w:bookmarkStart w:id="407" w:name="_Toc106802617"/>
      <w:bookmarkStart w:id="408" w:name="_Toc106874012"/>
      <w:bookmarkStart w:id="409" w:name="_Toc106874664"/>
      <w:r>
        <w:rPr>
          <w:rStyle w:val="CharSchNo"/>
        </w:rPr>
        <w:t>Schedule 2</w:t>
      </w:r>
      <w:r>
        <w:rPr>
          <w:rStyle w:val="CharSDivNo"/>
        </w:rPr>
        <w:t> </w:t>
      </w:r>
      <w:r>
        <w:t>—</w:t>
      </w:r>
      <w:r>
        <w:rPr>
          <w:rStyle w:val="CharSDivText"/>
        </w:rPr>
        <w:t> </w:t>
      </w:r>
      <w:r>
        <w:rPr>
          <w:rStyle w:val="CharSchText"/>
        </w:rPr>
        <w:t>Modifications to the Act as to certain administrations</w:t>
      </w:r>
      <w:bookmarkEnd w:id="401"/>
      <w:bookmarkEnd w:id="402"/>
      <w:bookmarkEnd w:id="403"/>
      <w:bookmarkEnd w:id="404"/>
      <w:bookmarkEnd w:id="405"/>
      <w:bookmarkEnd w:id="406"/>
      <w:bookmarkEnd w:id="407"/>
      <w:bookmarkEnd w:id="408"/>
      <w:bookmarkEnd w:id="409"/>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 xml:space="preserve">The accountable authority of an agency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pPr>
            <w:r>
              <w:rPr>
                <w:bCs/>
              </w:rPr>
              <w:t>64</w:t>
            </w:r>
          </w:p>
        </w:tc>
        <w:tc>
          <w:tcPr>
            <w:tcW w:w="5670" w:type="dxa"/>
          </w:tcPr>
          <w:p>
            <w:pPr>
              <w:pStyle w:val="yTableNAm"/>
              <w:tabs>
                <w:tab w:val="left" w:pos="516"/>
              </w:tabs>
              <w:ind w:left="1106" w:hanging="1106"/>
              <w:rPr>
                <w:bCs/>
              </w:rPr>
            </w:pPr>
            <w:r>
              <w:rPr>
                <w:bCs/>
              </w:rPr>
              <w:t>64.</w:t>
            </w:r>
            <w:r>
              <w:rPr>
                <w:bCs/>
              </w:rPr>
              <w:tab/>
              <w:t>(1)</w:t>
            </w:r>
            <w:r>
              <w:rPr>
                <w:bCs/>
              </w:rPr>
              <w:tab/>
              <w:t xml:space="preserve">The accountable authority of an agency is to transmit to both Houses of Parliament within the prescribed period after the end of a financial year of the agency — </w:t>
            </w:r>
          </w:p>
          <w:p>
            <w:pPr>
              <w:pStyle w:val="yTableNAm"/>
              <w:tabs>
                <w:tab w:val="clear" w:pos="567"/>
                <w:tab w:val="left" w:pos="516"/>
                <w:tab w:val="left" w:pos="1134"/>
              </w:tabs>
              <w:ind w:left="1576" w:hanging="1576"/>
              <w:rPr>
                <w:bCs/>
              </w:rPr>
            </w:pPr>
            <w:r>
              <w:rPr>
                <w:bCs/>
              </w:rPr>
              <w:tab/>
            </w:r>
            <w:r>
              <w:rPr>
                <w:bCs/>
              </w:rPr>
              <w:tab/>
              <w:t>(a)</w:t>
            </w:r>
            <w:r>
              <w:rPr>
                <w:bCs/>
              </w:rPr>
              <w:tab/>
              <w:t>a copy of the annual report for the financial year prepared by the accountable authority under section 61(1); and</w:t>
            </w:r>
          </w:p>
          <w:p>
            <w:pPr>
              <w:pStyle w:val="yTableNAm"/>
              <w:tabs>
                <w:tab w:val="clear" w:pos="567"/>
                <w:tab w:val="left" w:pos="516"/>
                <w:tab w:val="left" w:pos="1134"/>
              </w:tabs>
              <w:ind w:left="1576" w:hanging="1576"/>
              <w:rPr>
                <w:bCs/>
              </w:rPr>
            </w:pPr>
            <w:r>
              <w:rPr>
                <w:bCs/>
              </w:rPr>
              <w:tab/>
            </w:r>
            <w:r>
              <w:rPr>
                <w:bCs/>
              </w:rPr>
              <w:tab/>
              <w:t>(b)</w:t>
            </w:r>
            <w:r>
              <w:rPr>
                <w:bCs/>
              </w:rPr>
              <w:tab/>
              <w:t xml:space="preserve">unless the audit of the agency’s accounts in respect of the financial year has been dispensed with under the </w:t>
            </w:r>
            <w:r>
              <w:rPr>
                <w:bCs/>
                <w:i/>
              </w:rPr>
              <w:t>Auditor General Act 2006</w:t>
            </w:r>
            <w:r>
              <w:rPr>
                <w:bCs/>
              </w:rP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(1A)</w:t>
            </w:r>
            <w:r>
              <w:rPr>
                <w:bCs/>
              </w:rPr>
              <w:tab/>
              <w:t>A copy of an annual report or opinion transmitted to a House of Parliament is to be regarded as having been laid before that House.</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(1B)</w:t>
            </w:r>
            <w:r>
              <w:rPr>
                <w:bCs/>
              </w:rPr>
              <w:tab/>
              <w:t>The laying of a copy of an annual report or opinion that is regarded as having occurred under subsection (1A)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a copy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section 43(2) does not have effect.</w:t>
      </w:r>
    </w:p>
    <w:p>
      <w:pPr>
        <w:pStyle w:val="yFootnotesection"/>
      </w:pPr>
      <w:r>
        <w:tab/>
        <w:t>[Schedule 2 amended: No. 12 of 2021 s. 18.]</w:t>
      </w:r>
    </w:p>
    <w:p>
      <w:pPr>
        <w:pStyle w:val="yScheduleHeading"/>
      </w:pPr>
      <w:bookmarkStart w:id="410" w:name="_Toc117000615"/>
      <w:bookmarkStart w:id="411" w:name="_Toc117002895"/>
      <w:bookmarkStart w:id="412" w:name="_Toc117005499"/>
      <w:bookmarkStart w:id="413" w:name="_Toc106788736"/>
      <w:bookmarkStart w:id="414" w:name="_Toc106788990"/>
      <w:bookmarkStart w:id="415" w:name="_Toc106790113"/>
      <w:bookmarkStart w:id="416" w:name="_Toc106802618"/>
      <w:bookmarkStart w:id="417" w:name="_Toc106874013"/>
      <w:bookmarkStart w:id="418" w:name="_Toc106874665"/>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410"/>
      <w:bookmarkEnd w:id="411"/>
      <w:bookmarkEnd w:id="412"/>
      <w:bookmarkEnd w:id="413"/>
      <w:bookmarkEnd w:id="414"/>
      <w:bookmarkEnd w:id="415"/>
      <w:bookmarkEnd w:id="416"/>
      <w:bookmarkEnd w:id="417"/>
      <w:bookmarkEnd w:id="418"/>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 xml:space="preserve">The accountable authority of the Office of the Auditor General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rPr>
                <w:bCs/>
              </w:rPr>
              <w:t>63</w:t>
            </w:r>
          </w:p>
        </w:tc>
        <w:tc>
          <w:tcPr>
            <w:tcW w:w="5670" w:type="dxa"/>
          </w:tcPr>
          <w:p>
            <w:pPr>
              <w:pStyle w:val="yTableNAm"/>
              <w:tabs>
                <w:tab w:val="left" w:pos="514"/>
              </w:tabs>
              <w:ind w:left="1106" w:hanging="1106"/>
              <w:rPr>
                <w:bCs/>
              </w:rPr>
            </w:pPr>
            <w:r>
              <w:rPr>
                <w:bCs/>
              </w:rPr>
              <w:t>63.</w:t>
            </w:r>
            <w:r>
              <w:rPr>
                <w:bCs/>
              </w:rPr>
              <w:tab/>
              <w:t>(2)</w:t>
            </w:r>
            <w:r>
              <w:rPr>
                <w:bCs/>
              </w:rPr>
              <w:tab/>
              <w:t xml:space="preserve">After receiving the opinion of the independent auditor appointed in accordance with the </w:t>
            </w:r>
            <w:r>
              <w:rPr>
                <w:bCs/>
                <w:i/>
              </w:rPr>
              <w:t>Auditor General Act 2006</w:t>
            </w:r>
            <w:r>
              <w:rPr>
                <w:bCs/>
              </w:rPr>
              <w:t xml:space="preserve"> section 38, the Auditor General is to transmit a copy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c>
          <w:tcPr>
            <w:tcW w:w="1418" w:type="dxa"/>
          </w:tcPr>
          <w:p>
            <w:pPr>
              <w:pStyle w:val="yTableNAm"/>
            </w:pPr>
          </w:p>
        </w:tc>
        <w:tc>
          <w:tcPr>
            <w:tcW w:w="5670" w:type="dxa"/>
          </w:tcPr>
          <w:p>
            <w:pPr>
              <w:pStyle w:val="yTableNAm"/>
              <w:tabs>
                <w:tab w:val="left" w:pos="516"/>
              </w:tabs>
              <w:ind w:left="1106" w:hanging="1106"/>
              <w:rPr>
                <w:bCs/>
              </w:rPr>
            </w:pPr>
            <w:r>
              <w:rPr>
                <w:bCs/>
              </w:rPr>
              <w:t>63.</w:t>
            </w:r>
            <w:r>
              <w:rPr>
                <w:bCs/>
              </w:rPr>
              <w:tab/>
              <w:t>(2A)</w:t>
            </w:r>
            <w:r>
              <w:rPr>
                <w:bCs/>
              </w:rPr>
              <w:tab/>
              <w:t>A copy of an annual report or opinion transmitted to a House of Parliament is to be regarded as having been laid before that House.</w:t>
            </w:r>
          </w:p>
          <w:p>
            <w:pPr>
              <w:pStyle w:val="yTableNAm"/>
              <w:tabs>
                <w:tab w:val="left" w:pos="514"/>
              </w:tabs>
              <w:ind w:left="1106" w:hanging="1106"/>
            </w:pPr>
            <w:r>
              <w:rPr>
                <w:bCs/>
              </w:rPr>
              <w:t>63.</w:t>
            </w:r>
            <w:r>
              <w:rPr>
                <w:bCs/>
              </w:rPr>
              <w:tab/>
              <w:t>(2B)</w:t>
            </w:r>
            <w:r>
              <w:rPr>
                <w:bCs/>
              </w:rPr>
              <w:tab/>
              <w:t>The laying of a copy of an annual report or opinion that is regarded as having occurred under subsection (2A)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a copy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sections 43(2) and 64 do not have effect.</w:t>
      </w:r>
    </w:p>
    <w:p>
      <w:pPr>
        <w:pStyle w:val="yFootnotesection"/>
      </w:pPr>
      <w:r>
        <w:tab/>
        <w:t>[Schedule 3 amended: No. 12 of 2021 s. 19.]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420" w:name="_Toc117000616"/>
      <w:bookmarkStart w:id="421" w:name="_Toc117002896"/>
      <w:bookmarkStart w:id="422" w:name="_Toc117005500"/>
      <w:bookmarkStart w:id="423" w:name="_Toc106788737"/>
      <w:bookmarkStart w:id="424" w:name="_Toc106788991"/>
      <w:bookmarkStart w:id="425" w:name="_Toc106790114"/>
      <w:bookmarkStart w:id="426" w:name="_Toc106802619"/>
      <w:bookmarkStart w:id="427" w:name="_Toc106874014"/>
      <w:bookmarkStart w:id="428" w:name="_Toc106874666"/>
      <w:r>
        <w:t>Notes</w:t>
      </w:r>
      <w:bookmarkEnd w:id="420"/>
      <w:bookmarkEnd w:id="421"/>
      <w:bookmarkEnd w:id="422"/>
      <w:bookmarkEnd w:id="423"/>
      <w:bookmarkEnd w:id="424"/>
      <w:bookmarkEnd w:id="425"/>
      <w:bookmarkEnd w:id="426"/>
      <w:bookmarkEnd w:id="427"/>
      <w:bookmarkEnd w:id="428"/>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429" w:name="_Toc117005501"/>
      <w:bookmarkStart w:id="430" w:name="_Toc106874667"/>
      <w:r>
        <w:t>Compilation table</w:t>
      </w:r>
      <w:bookmarkEnd w:id="429"/>
      <w:bookmarkEnd w:id="430"/>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single" w:sz="4" w:space="0" w:color="auto"/>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right="113"/>
              <w:rPr>
                <w:iCs/>
              </w:rPr>
            </w:pPr>
            <w:r>
              <w:rPr>
                <w:i/>
              </w:rPr>
              <w:t>National Gas Access (WA) Act 2009</w:t>
            </w:r>
            <w:r>
              <w:rPr>
                <w:iCs/>
              </w:rPr>
              <w:t xml:space="preserve"> s. 69</w:t>
            </w:r>
          </w:p>
        </w:tc>
        <w:tc>
          <w:tcPr>
            <w:tcW w:w="1134" w:type="dxa"/>
            <w:gridSpan w:val="2"/>
            <w:tcBorders>
              <w:top w:val="single" w:sz="4" w:space="0" w:color="auto"/>
            </w:tcBorders>
          </w:tcPr>
          <w:p>
            <w:pPr>
              <w:pStyle w:val="nTable"/>
              <w:spacing w:after="40"/>
            </w:pPr>
            <w:r>
              <w:t>16 of 2009</w:t>
            </w:r>
          </w:p>
        </w:tc>
        <w:tc>
          <w:tcPr>
            <w:tcW w:w="1138" w:type="dxa"/>
            <w:gridSpan w:val="2"/>
            <w:tcBorders>
              <w:top w:val="single" w:sz="4" w:space="0" w:color="auto"/>
            </w:tcBorders>
          </w:tcPr>
          <w:p>
            <w:pPr>
              <w:pStyle w:val="nTable"/>
              <w:spacing w:after="40"/>
            </w:pPr>
            <w:r>
              <w:t>1 Sep 2009</w:t>
            </w:r>
          </w:p>
        </w:tc>
        <w:tc>
          <w:tcPr>
            <w:tcW w:w="2552" w:type="dxa"/>
            <w:tcBorders>
              <w:top w:val="single" w:sz="4" w:space="0" w:color="auto"/>
            </w:tcBorders>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nil"/>
              <w:bottom w:val="nil"/>
            </w:tcBorders>
          </w:tcPr>
          <w:p>
            <w:pPr>
              <w:pStyle w:val="nTable"/>
              <w:spacing w:after="40"/>
              <w:ind w:right="113"/>
              <w:rPr>
                <w:i/>
                <w:snapToGrid w:val="0"/>
              </w:rPr>
            </w:pPr>
            <w:r>
              <w:rPr>
                <w:i/>
                <w:snapToGrid w:val="0"/>
              </w:rPr>
              <w:t>Minerals Research Institute of Western Australia Act 2013</w:t>
            </w:r>
            <w:r>
              <w:rPr>
                <w:snapToGrid w:val="0"/>
              </w:rPr>
              <w:t xml:space="preserve"> s. 77</w:t>
            </w:r>
          </w:p>
        </w:tc>
        <w:tc>
          <w:tcPr>
            <w:tcW w:w="1134" w:type="dxa"/>
            <w:gridSpan w:val="2"/>
            <w:tcBorders>
              <w:top w:val="nil"/>
              <w:bottom w:val="nil"/>
            </w:tcBorders>
          </w:tcPr>
          <w:p>
            <w:pPr>
              <w:pStyle w:val="nTable"/>
              <w:spacing w:after="40"/>
              <w:rPr>
                <w:snapToGrid w:val="0"/>
              </w:rPr>
            </w:pPr>
            <w:r>
              <w:t>23 of 2013</w:t>
            </w:r>
          </w:p>
        </w:tc>
        <w:tc>
          <w:tcPr>
            <w:tcW w:w="1138" w:type="dxa"/>
            <w:gridSpan w:val="2"/>
            <w:tcBorders>
              <w:top w:val="nil"/>
              <w:bottom w:val="nil"/>
            </w:tcBorders>
          </w:tcPr>
          <w:p>
            <w:pPr>
              <w:pStyle w:val="nTable"/>
              <w:spacing w:after="40"/>
              <w:rPr>
                <w:snapToGrid w:val="0"/>
              </w:rPr>
            </w:pPr>
            <w:r>
              <w:t>18 Dec 2013</w:t>
            </w:r>
          </w:p>
        </w:tc>
        <w:tc>
          <w:tcPr>
            <w:tcW w:w="2552"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nil"/>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single" w:sz="4" w:space="0" w:color="auto"/>
              <w:bottom w:val="nil"/>
            </w:tcBorders>
            <w:shd w:val="clear" w:color="auto" w:fill="auto"/>
          </w:tcPr>
          <w:p>
            <w:pPr>
              <w:pStyle w:val="nTable"/>
              <w:spacing w:after="40"/>
            </w:pPr>
            <w:r>
              <w:rPr>
                <w:b/>
              </w:rPr>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Procurement Act 2020</w:t>
            </w:r>
            <w:r>
              <w:t xml:space="preserve"> Pt. 10 Div. 3</w:t>
            </w:r>
          </w:p>
        </w:tc>
        <w:tc>
          <w:tcPr>
            <w:tcW w:w="1132" w:type="dxa"/>
            <w:gridSpan w:val="2"/>
            <w:tcBorders>
              <w:top w:val="nil"/>
              <w:bottom w:val="nil"/>
            </w:tcBorders>
          </w:tcPr>
          <w:p>
            <w:pPr>
              <w:pStyle w:val="nTable"/>
              <w:keepNext/>
              <w:spacing w:after="40"/>
            </w:pPr>
            <w:r>
              <w:t>24 of 2020</w:t>
            </w:r>
          </w:p>
        </w:tc>
        <w:tc>
          <w:tcPr>
            <w:tcW w:w="1132" w:type="dxa"/>
            <w:tcBorders>
              <w:top w:val="nil"/>
              <w:bottom w:val="nil"/>
            </w:tcBorders>
          </w:tcPr>
          <w:p>
            <w:pPr>
              <w:pStyle w:val="nTable"/>
              <w:keepNext/>
              <w:spacing w:after="40"/>
            </w:pPr>
            <w:r>
              <w:t>19 Jun 2020</w:t>
            </w:r>
          </w:p>
        </w:tc>
        <w:tc>
          <w:tcPr>
            <w:tcW w:w="2552" w:type="dxa"/>
            <w:tcBorders>
              <w:top w:val="nil"/>
              <w:bottom w:val="nil"/>
            </w:tcBorders>
          </w:tcPr>
          <w:p>
            <w:pPr>
              <w:pStyle w:val="nTable"/>
              <w:keepNext/>
              <w:spacing w:after="40"/>
            </w:pPr>
            <w:r>
              <w:t>1 Jun 2021 (see s. 2(b) and SL 2020/244 cl.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Financial Legislation Amendment Act 2021</w:t>
            </w:r>
            <w:r>
              <w:t xml:space="preserve"> Pt. 2</w:t>
            </w:r>
          </w:p>
        </w:tc>
        <w:tc>
          <w:tcPr>
            <w:tcW w:w="1132" w:type="dxa"/>
            <w:gridSpan w:val="2"/>
            <w:tcBorders>
              <w:top w:val="nil"/>
              <w:bottom w:val="nil"/>
            </w:tcBorders>
          </w:tcPr>
          <w:p>
            <w:pPr>
              <w:pStyle w:val="nTable"/>
              <w:keepNext/>
              <w:spacing w:after="40"/>
            </w:pPr>
            <w:r>
              <w:t>12 of 2021</w:t>
            </w:r>
          </w:p>
        </w:tc>
        <w:tc>
          <w:tcPr>
            <w:tcW w:w="1132" w:type="dxa"/>
            <w:tcBorders>
              <w:top w:val="nil"/>
              <w:bottom w:val="nil"/>
            </w:tcBorders>
          </w:tcPr>
          <w:p>
            <w:pPr>
              <w:pStyle w:val="nTable"/>
              <w:keepNext/>
              <w:spacing w:after="40"/>
            </w:pPr>
            <w:r>
              <w:t>24 Aug 2021</w:t>
            </w:r>
          </w:p>
        </w:tc>
        <w:tc>
          <w:tcPr>
            <w:tcW w:w="2552" w:type="dxa"/>
            <w:tcBorders>
              <w:top w:val="nil"/>
              <w:bottom w:val="nil"/>
            </w:tcBorders>
          </w:tcPr>
          <w:p>
            <w:pPr>
              <w:pStyle w:val="nTable"/>
              <w:keepNext/>
              <w:spacing w:after="40"/>
            </w:pPr>
            <w:r>
              <w:t>21 Sep 2021 (see s. 2(b))</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Arts and Culture Trust Act 2021</w:t>
            </w:r>
            <w:r>
              <w:t xml:space="preserve"> s. 75</w:t>
            </w:r>
          </w:p>
        </w:tc>
        <w:tc>
          <w:tcPr>
            <w:tcW w:w="1132" w:type="dxa"/>
            <w:gridSpan w:val="2"/>
            <w:tcBorders>
              <w:top w:val="nil"/>
              <w:bottom w:val="nil"/>
            </w:tcBorders>
          </w:tcPr>
          <w:p>
            <w:pPr>
              <w:pStyle w:val="nTable"/>
              <w:keepNext/>
              <w:spacing w:after="40"/>
            </w:pPr>
            <w:r>
              <w:t>15 of 2021</w:t>
            </w:r>
          </w:p>
        </w:tc>
        <w:tc>
          <w:tcPr>
            <w:tcW w:w="1132" w:type="dxa"/>
            <w:tcBorders>
              <w:top w:val="nil"/>
              <w:bottom w:val="nil"/>
            </w:tcBorders>
          </w:tcPr>
          <w:p>
            <w:pPr>
              <w:pStyle w:val="nTable"/>
              <w:keepNext/>
              <w:spacing w:after="40"/>
            </w:pPr>
            <w:r>
              <w:t>9 Sep 2021</w:t>
            </w:r>
          </w:p>
        </w:tc>
        <w:tc>
          <w:tcPr>
            <w:tcW w:w="2552" w:type="dxa"/>
            <w:tcBorders>
              <w:top w:val="nil"/>
              <w:bottom w:val="nil"/>
            </w:tcBorders>
          </w:tcPr>
          <w:p>
            <w:pPr>
              <w:pStyle w:val="nTable"/>
              <w:keepNext/>
              <w:spacing w:after="40"/>
            </w:pPr>
            <w:r>
              <w:t>1 Jul 2022 (see s. 2(b) and SL 2022/77 cl. 2)</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Soil and Land Conservation Amendment Act 2022</w:t>
            </w:r>
            <w:r>
              <w:t xml:space="preserve"> s. 21</w:t>
            </w:r>
          </w:p>
        </w:tc>
        <w:tc>
          <w:tcPr>
            <w:tcW w:w="1132" w:type="dxa"/>
            <w:gridSpan w:val="2"/>
            <w:tcBorders>
              <w:top w:val="nil"/>
              <w:bottom w:val="nil"/>
            </w:tcBorders>
          </w:tcPr>
          <w:p>
            <w:pPr>
              <w:pStyle w:val="nTable"/>
              <w:keepNext/>
              <w:spacing w:after="40"/>
            </w:pPr>
            <w:r>
              <w:t>19 of 2022</w:t>
            </w:r>
          </w:p>
        </w:tc>
        <w:tc>
          <w:tcPr>
            <w:tcW w:w="1132" w:type="dxa"/>
            <w:tcBorders>
              <w:top w:val="nil"/>
              <w:bottom w:val="nil"/>
            </w:tcBorders>
          </w:tcPr>
          <w:p>
            <w:pPr>
              <w:pStyle w:val="nTable"/>
              <w:keepNext/>
              <w:spacing w:after="40"/>
            </w:pPr>
            <w:r>
              <w:rPr>
                <w:snapToGrid w:val="0"/>
              </w:rPr>
              <w:t>24 Jun 2022</w:t>
            </w:r>
          </w:p>
        </w:tc>
        <w:tc>
          <w:tcPr>
            <w:tcW w:w="2552" w:type="dxa"/>
            <w:tcBorders>
              <w:top w:val="nil"/>
              <w:bottom w:val="nil"/>
            </w:tcBorders>
          </w:tcPr>
          <w:p>
            <w:pPr>
              <w:pStyle w:val="nTable"/>
              <w:keepNext/>
              <w:spacing w:after="40"/>
            </w:pPr>
            <w:r>
              <w:rPr>
                <w:snapToGrid w:val="0"/>
              </w:rPr>
              <w:t>25 Jun 2022 (see s. 2(b))</w:t>
            </w:r>
          </w:p>
        </w:tc>
      </w:tr>
      <w:tr>
        <w:tblPrEx>
          <w:tblCellMar>
            <w:left w:w="57" w:type="dxa"/>
            <w:right w:w="57" w:type="dxa"/>
          </w:tblCellMar>
        </w:tblPrEx>
        <w:trPr>
          <w:ins w:id="431" w:author="Master Repository Process" w:date="2022-10-21T09:06:00Z"/>
        </w:trPr>
        <w:tc>
          <w:tcPr>
            <w:tcW w:w="4540" w:type="dxa"/>
            <w:gridSpan w:val="5"/>
            <w:tcBorders>
              <w:top w:val="nil"/>
              <w:bottom w:val="single" w:sz="4" w:space="0" w:color="auto"/>
            </w:tcBorders>
          </w:tcPr>
          <w:p>
            <w:pPr>
              <w:pStyle w:val="nTable"/>
              <w:keepNext/>
              <w:spacing w:after="40"/>
              <w:rPr>
                <w:ins w:id="432" w:author="Master Repository Process" w:date="2022-10-21T09:06:00Z"/>
              </w:rPr>
            </w:pPr>
            <w:ins w:id="433" w:author="Master Repository Process" w:date="2022-10-21T09:06:00Z">
              <w:r>
                <w:rPr>
                  <w:i/>
                </w:rPr>
                <w:t xml:space="preserve">Financial Management (Statutory Authorities) Regulations 2022 </w:t>
              </w:r>
              <w:r>
                <w:t>(SL 2022/169)</w:t>
              </w:r>
            </w:ins>
          </w:p>
        </w:tc>
        <w:tc>
          <w:tcPr>
            <w:tcW w:w="2552" w:type="dxa"/>
            <w:tcBorders>
              <w:top w:val="nil"/>
              <w:bottom w:val="single" w:sz="4" w:space="0" w:color="auto"/>
            </w:tcBorders>
          </w:tcPr>
          <w:p>
            <w:pPr>
              <w:pStyle w:val="nTable"/>
              <w:keepNext/>
              <w:spacing w:after="40"/>
              <w:rPr>
                <w:ins w:id="434" w:author="Master Repository Process" w:date="2022-10-21T09:06:00Z"/>
                <w:snapToGrid w:val="0"/>
              </w:rPr>
            </w:pPr>
            <w:ins w:id="435" w:author="Master Repository Process" w:date="2022-10-21T09:06:00Z">
              <w:r>
                <w:rPr>
                  <w:snapToGrid w:val="0"/>
                </w:rPr>
                <w:t>r. 1 and 2: 21 Oct 2022 (see r. 2(b));</w:t>
              </w:r>
              <w:r>
                <w:rPr>
                  <w:snapToGrid w:val="0"/>
                </w:rPr>
                <w:br/>
                <w:t>Regulations other than r. 1 and 2: 22 Oct 2022 (see r. 2(b))</w:t>
              </w:r>
            </w:ins>
          </w:p>
        </w:tc>
      </w:tr>
    </w:tbl>
    <w:p>
      <w:pPr>
        <w:pStyle w:val="nHeading3"/>
      </w:pPr>
      <w:bookmarkStart w:id="436" w:name="_Toc117005502"/>
      <w:bookmarkStart w:id="437" w:name="_Toc106874668"/>
      <w:r>
        <w:t>Uncommenced provisions table</w:t>
      </w:r>
      <w:bookmarkEnd w:id="436"/>
      <w:bookmarkEnd w:id="437"/>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8" w:type="dxa"/>
            <w:gridSpan w:val="2"/>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nil"/>
            </w:tcBorders>
          </w:tcPr>
          <w:p>
            <w:pPr>
              <w:pStyle w:val="nTable"/>
              <w:spacing w:after="40"/>
              <w:rPr>
                <w:i/>
              </w:rPr>
            </w:pPr>
            <w:r>
              <w:rPr>
                <w:i/>
              </w:rPr>
              <w:t>TAB (Disposal) Act 2019</w:t>
            </w:r>
            <w:r>
              <w:t xml:space="preserve"> s. 149</w:t>
            </w:r>
          </w:p>
        </w:tc>
        <w:tc>
          <w:tcPr>
            <w:tcW w:w="1132" w:type="dxa"/>
            <w:gridSpan w:val="2"/>
            <w:tcBorders>
              <w:top w:val="single" w:sz="4" w:space="0" w:color="auto"/>
              <w:bottom w:val="nil"/>
            </w:tcBorders>
          </w:tcPr>
          <w:p>
            <w:pPr>
              <w:pStyle w:val="nTable"/>
              <w:spacing w:after="40"/>
            </w:pPr>
            <w:r>
              <w:t>21 of 2019</w:t>
            </w:r>
          </w:p>
        </w:tc>
        <w:tc>
          <w:tcPr>
            <w:tcW w:w="1132" w:type="dxa"/>
            <w:tcBorders>
              <w:top w:val="single" w:sz="4" w:space="0" w:color="auto"/>
              <w:bottom w:val="nil"/>
            </w:tcBorders>
          </w:tcPr>
          <w:p>
            <w:pPr>
              <w:pStyle w:val="nTable"/>
              <w:spacing w:after="40"/>
            </w:pPr>
            <w:r>
              <w:t>18 Sep 2019</w:t>
            </w:r>
          </w:p>
        </w:tc>
        <w:tc>
          <w:tcPr>
            <w:tcW w:w="2552" w:type="dxa"/>
            <w:tcBorders>
              <w:top w:val="single" w:sz="4" w:space="0" w:color="auto"/>
              <w:bottom w:val="nil"/>
            </w:tcBorders>
          </w:tcPr>
          <w:p>
            <w:pPr>
              <w:pStyle w:val="nTable"/>
              <w:spacing w:after="40"/>
              <w:rPr>
                <w:snapToGrid w:val="0"/>
              </w:rPr>
            </w:pPr>
            <w:r>
              <w:t>To be proclaimed (see s. 2(1)(b)(xiii))</w:t>
            </w:r>
          </w:p>
        </w:tc>
      </w:tr>
      <w:tr>
        <w:tblPrEx>
          <w:tblCellMar>
            <w:left w:w="57" w:type="dxa"/>
            <w:right w:w="57" w:type="dxa"/>
          </w:tblCellMar>
        </w:tblPrEx>
        <w:tc>
          <w:tcPr>
            <w:tcW w:w="2276" w:type="dxa"/>
            <w:gridSpan w:val="2"/>
            <w:tcBorders>
              <w:top w:val="nil"/>
              <w:bottom w:val="single" w:sz="4" w:space="0" w:color="auto"/>
            </w:tcBorders>
          </w:tcPr>
          <w:p>
            <w:pPr>
              <w:pStyle w:val="nTable"/>
              <w:spacing w:after="40"/>
            </w:pPr>
            <w:r>
              <w:rPr>
                <w:i/>
              </w:rPr>
              <w:t>Animal Resources Authority Amendment and Repeal Act 2022</w:t>
            </w:r>
            <w:r>
              <w:t xml:space="preserve"> s. 16</w:t>
            </w:r>
          </w:p>
        </w:tc>
        <w:tc>
          <w:tcPr>
            <w:tcW w:w="1132" w:type="dxa"/>
            <w:gridSpan w:val="2"/>
            <w:tcBorders>
              <w:top w:val="nil"/>
              <w:bottom w:val="single" w:sz="4" w:space="0" w:color="auto"/>
            </w:tcBorders>
          </w:tcPr>
          <w:p>
            <w:pPr>
              <w:pStyle w:val="nTable"/>
              <w:spacing w:after="40"/>
            </w:pPr>
            <w:r>
              <w:t>12 of 2022</w:t>
            </w:r>
          </w:p>
        </w:tc>
        <w:tc>
          <w:tcPr>
            <w:tcW w:w="1132" w:type="dxa"/>
            <w:tcBorders>
              <w:top w:val="nil"/>
              <w:bottom w:val="single" w:sz="4" w:space="0" w:color="auto"/>
            </w:tcBorders>
          </w:tcPr>
          <w:p>
            <w:pPr>
              <w:pStyle w:val="nTable"/>
              <w:spacing w:after="40"/>
            </w:pPr>
            <w:r>
              <w:t>14 Apr 2022</w:t>
            </w:r>
          </w:p>
        </w:tc>
        <w:tc>
          <w:tcPr>
            <w:tcW w:w="2552" w:type="dxa"/>
            <w:tcBorders>
              <w:top w:val="nil"/>
              <w:bottom w:val="single" w:sz="4" w:space="0" w:color="auto"/>
            </w:tcBorders>
          </w:tcPr>
          <w:p>
            <w:pPr>
              <w:pStyle w:val="nTable"/>
              <w:spacing w:after="40"/>
            </w:pPr>
            <w:r>
              <w:t>To be proclaimed (see s. 2(1)(c))</w:t>
            </w:r>
          </w:p>
        </w:tc>
      </w:tr>
    </w:tbl>
    <w:p>
      <w:pPr>
        <w:pStyle w:val="nHeading3"/>
      </w:pPr>
      <w:bookmarkStart w:id="438" w:name="_Toc117005503"/>
      <w:bookmarkStart w:id="439" w:name="_Toc106874669"/>
      <w:r>
        <w:t>Other notes</w:t>
      </w:r>
      <w:bookmarkEnd w:id="438"/>
      <w:bookmarkEnd w:id="439"/>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rPr>
          <w:snapToGrid w:val="0"/>
        </w:rPr>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9" w:name="Schedule"/>
    <w:bookmarkEnd w:id="4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40" w:name="Compilation"/>
    <w:bookmarkEnd w:id="4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1" w:name="Coversheet"/>
    <w:bookmarkEnd w:id="4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1815463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 w:name="WAFER_2021090814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03_GUID" w:val="911b281d-3e35-4672-8d16-b707764371dc"/>
    <w:docVar w:name="WAFER_20210917095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5327_GUID" w:val="6dec846e-f5cc-441e-9cad-1036ccbfa1c2"/>
    <w:docVar w:name="WAFER_202204111031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103_GUID" w:val="d948886f-63a0-4e6e-9775-dae02ddc64f4"/>
    <w:docVar w:name="WAFER_202206101335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554_GUID" w:val="d0ce185b-097e-41b3-8455-391fd55bf90d"/>
    <w:docVar w:name="WAFER_202206221000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054_GUID" w:val="7892acb9-e595-4807-9745-f401cfece021"/>
    <w:docVar w:name="WAFER_20221018154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54639_GUID" w:val="b505505e-9de5-4020-a409-6894e8dfeb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C9646-5872-40BD-9A5B-0A0181D20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17415</Words>
  <Characters>85685</Characters>
  <Application>Microsoft Office Word</Application>
  <DocSecurity>0</DocSecurity>
  <Lines>2448</Lines>
  <Paragraphs>1338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101762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04-n0-00 - 04-o0-00</dc:title>
  <dc:subject/>
  <dc:creator/>
  <cp:keywords/>
  <dc:description/>
  <cp:lastModifiedBy>Master Repository Process</cp:lastModifiedBy>
  <cp:revision>2</cp:revision>
  <cp:lastPrinted>2018-12-05T04:02:00Z</cp:lastPrinted>
  <dcterms:created xsi:type="dcterms:W3CDTF">2022-10-21T01:06:00Z</dcterms:created>
  <dcterms:modified xsi:type="dcterms:W3CDTF">2022-10-21T01:06:00Z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CommencementDate">
    <vt:lpwstr>20221022</vt:lpwstr>
  </property>
  <property fmtid="{D5CDD505-2E9C-101B-9397-08002B2CF9AE}" pid="9" name="FromSuffix">
    <vt:lpwstr>04-n0-00</vt:lpwstr>
  </property>
  <property fmtid="{D5CDD505-2E9C-101B-9397-08002B2CF9AE}" pid="10" name="FromAsAtDate">
    <vt:lpwstr>01 Jul 2022</vt:lpwstr>
  </property>
  <property fmtid="{D5CDD505-2E9C-101B-9397-08002B2CF9AE}" pid="11" name="ToSuffix">
    <vt:lpwstr>04-o0-00</vt:lpwstr>
  </property>
  <property fmtid="{D5CDD505-2E9C-101B-9397-08002B2CF9AE}" pid="12" name="ToAsAtDate">
    <vt:lpwstr>22 Oct 2022</vt:lpwstr>
  </property>
</Properties>
</file>