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03 Dec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(Punmu Restricted Area) Regulations 2010</w:t>
      </w:r>
    </w:p>
    <w:p>
      <w:pPr>
        <w:pStyle w:val="Heading5"/>
      </w:pPr>
      <w:bookmarkStart w:id="1" w:name="_Toc120710605"/>
      <w:bookmarkStart w:id="2" w:name="_Toc25845262"/>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5" w:name="_Toc120710606"/>
      <w:bookmarkStart w:id="6" w:name="_Toc2584526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120710607"/>
      <w:bookmarkStart w:id="8" w:name="_Toc25845264"/>
      <w:r>
        <w:rPr>
          <w:rStyle w:val="CharSectno"/>
        </w:rPr>
        <w:t>3</w:t>
      </w:r>
      <w:r>
        <w:t>.</w:t>
      </w:r>
      <w:r>
        <w:tab/>
        <w:t>Term used: Punmu Aboriginal Community</w:t>
      </w:r>
      <w:bookmarkEnd w:id="7"/>
      <w:bookmarkEnd w:id="8"/>
    </w:p>
    <w:p>
      <w:pPr>
        <w:pStyle w:val="Subsection"/>
        <w:rPr>
          <w:rStyle w:val="CharDefText"/>
          <w:b w:val="0"/>
          <w:i w:val="0"/>
        </w:rPr>
      </w:pPr>
      <w:r>
        <w:tab/>
      </w:r>
      <w:r>
        <w:tab/>
        <w:t xml:space="preserve">In these regulations — </w:t>
      </w:r>
    </w:p>
    <w:p>
      <w:pPr>
        <w:pStyle w:val="Defstart"/>
      </w:pPr>
      <w:r>
        <w:rPr>
          <w:rStyle w:val="CharDefText"/>
          <w:i w:val="0"/>
        </w:rPr>
        <w:tab/>
      </w:r>
      <w:r>
        <w:rPr>
          <w:rStyle w:val="CharDefText"/>
        </w:rPr>
        <w:t>Punmu Aboriginal Community</w:t>
      </w:r>
      <w:r>
        <w:t xml:space="preserve"> means that part of Lot 13 on Deposited Plan 240373 (Record of Qualified Certificate of Crown Land Title Volume LR3124 Folio 556) that is within a radius of 30 km of the telecommunications aerial located at the point with the following Geocentric Datum of Australia 2020 (GDA2020) coordinates — </w:t>
      </w:r>
    </w:p>
    <w:p>
      <w:pPr>
        <w:pStyle w:val="Defpara"/>
      </w:pPr>
      <w:r>
        <w:tab/>
        <w:t>(a)</w:t>
      </w:r>
      <w:r>
        <w:tab/>
        <w:t>22.044618°S;</w:t>
      </w:r>
    </w:p>
    <w:p>
      <w:pPr>
        <w:pStyle w:val="Defpara"/>
      </w:pPr>
      <w:r>
        <w:tab/>
        <w:t>(b)</w:t>
      </w:r>
      <w:r>
        <w:tab/>
        <w:t>123.123040°E.</w:t>
      </w:r>
    </w:p>
    <w:p>
      <w:pPr>
        <w:pStyle w:val="Footnotesection"/>
      </w:pPr>
      <w:r>
        <w:tab/>
        <w:t>[Regulation 3 inserted: Gazette 29 Nov 2019 p. 4107.]</w:t>
      </w:r>
    </w:p>
    <w:p>
      <w:pPr>
        <w:pStyle w:val="Ednotesection"/>
        <w:rPr>
          <w:rStyle w:val="CharSectno"/>
          <w:b/>
        </w:rPr>
      </w:pPr>
      <w:r>
        <w:t>[</w:t>
      </w:r>
      <w:r>
        <w:rPr>
          <w:b/>
        </w:rPr>
        <w:t>4.</w:t>
      </w:r>
      <w:r>
        <w:tab/>
        <w:t>Deleted: Gazette 28 Oct 2016 p. 4918.]</w:t>
      </w:r>
    </w:p>
    <w:p>
      <w:pPr>
        <w:pStyle w:val="Heading5"/>
      </w:pPr>
      <w:bookmarkStart w:id="9" w:name="_Toc120710608"/>
      <w:bookmarkStart w:id="10" w:name="_Toc25845265"/>
      <w:r>
        <w:rPr>
          <w:rStyle w:val="CharSectno"/>
        </w:rPr>
        <w:t>5</w:t>
      </w:r>
      <w:r>
        <w:t>.</w:t>
      </w:r>
      <w:r>
        <w:tab/>
        <w:t>Declaration of restricted area</w:t>
      </w:r>
      <w:bookmarkEnd w:id="9"/>
      <w:bookmarkEnd w:id="10"/>
    </w:p>
    <w:p>
      <w:pPr>
        <w:pStyle w:val="Subsection"/>
      </w:pPr>
      <w:r>
        <w:tab/>
      </w:r>
      <w:r>
        <w:tab/>
        <w:t>The Punmu Aboriginal Community is declared to be a restricted area for the purposes of section 175(1a) of the Act.</w:t>
      </w:r>
    </w:p>
    <w:p>
      <w:pPr>
        <w:pStyle w:val="Heading5"/>
      </w:pPr>
      <w:bookmarkStart w:id="11" w:name="_Toc120710609"/>
      <w:bookmarkStart w:id="12" w:name="_Toc25845266"/>
      <w:r>
        <w:rPr>
          <w:rStyle w:val="CharSectno"/>
        </w:rPr>
        <w:t>6</w:t>
      </w:r>
      <w:r>
        <w:t>.</w:t>
      </w:r>
      <w:r>
        <w:tab/>
        <w:t>Notice of restricted area</w:t>
      </w:r>
      <w:bookmarkEnd w:id="11"/>
      <w:bookmarkEnd w:id="12"/>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13" w:name="_Toc120710610"/>
      <w:bookmarkStart w:id="14" w:name="_Toc25845267"/>
      <w:r>
        <w:rPr>
          <w:rStyle w:val="CharSectno"/>
        </w:rPr>
        <w:t>7</w:t>
      </w:r>
      <w:r>
        <w:t>.</w:t>
      </w:r>
      <w:r>
        <w:tab/>
        <w:t xml:space="preserve">Prohibitions as to liquor in the </w:t>
      </w:r>
      <w:r>
        <w:rPr>
          <w:snapToGrid w:val="0"/>
        </w:rPr>
        <w:t xml:space="preserve">Punmu </w:t>
      </w:r>
      <w:r>
        <w:t>Aboriginal Community</w:t>
      </w:r>
      <w:bookmarkEnd w:id="13"/>
      <w:bookmarkEnd w:id="14"/>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keepNex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15" w:name="_Toc120710611"/>
      <w:bookmarkStart w:id="16" w:name="_Toc25845268"/>
      <w:r>
        <w:rPr>
          <w:rStyle w:val="CharSectno"/>
        </w:rPr>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20710612"/>
      <w:bookmarkStart w:id="18" w:name="_Toc25845269"/>
      <w:r>
        <w:rPr>
          <w:rStyle w:val="CharSectno"/>
        </w:rPr>
        <w:t>9</w:t>
      </w:r>
      <w:r>
        <w:t>.</w:t>
      </w:r>
      <w:r>
        <w:tab/>
        <w:t>Period during which these regulations have effect</w:t>
      </w:r>
      <w:bookmarkEnd w:id="17"/>
      <w:bookmarkEnd w:id="18"/>
    </w:p>
    <w:p>
      <w:pPr>
        <w:pStyle w:val="Subsection"/>
      </w:pPr>
      <w:r>
        <w:tab/>
      </w:r>
      <w:r>
        <w:tab/>
        <w:t>Unless sooner repealed, these regulations have effect for the period that ends at the close of 4 December </w:t>
      </w:r>
      <w:del w:id="19" w:author="Master Repository Process" w:date="2022-12-02T08:37:00Z">
        <w:r>
          <w:delText>2022</w:delText>
        </w:r>
      </w:del>
      <w:ins w:id="20" w:author="Master Repository Process" w:date="2022-12-02T08:37:00Z">
        <w:r>
          <w:t>2032</w:t>
        </w:r>
      </w:ins>
      <w:r>
        <w:t>.</w:t>
      </w:r>
    </w:p>
    <w:p>
      <w:pPr>
        <w:pStyle w:val="Footnotesection"/>
      </w:pPr>
      <w:r>
        <w:tab/>
        <w:t>[Regulation 9 inserted: Gazette 28 Oct 2016 p. 4918; amended: Gazette 29 Nov 2019 p. 4107</w:t>
      </w:r>
      <w:ins w:id="21" w:author="Master Repository Process" w:date="2022-12-02T08:37:00Z">
        <w:r>
          <w:t>; SL 2022/202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rPr>
          <w:del w:id="22" w:author="Master Repository Process" w:date="2022-12-02T08:37: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 w:name="_Toc120631939"/>
      <w:bookmarkStart w:id="24" w:name="_Toc120710613"/>
      <w:bookmarkStart w:id="25" w:name="_Toc25827716"/>
      <w:bookmarkStart w:id="26" w:name="_Toc25828098"/>
      <w:bookmarkStart w:id="27" w:name="_Toc25828160"/>
      <w:bookmarkStart w:id="28" w:name="_Toc25845270"/>
      <w:bookmarkStart w:id="29" w:name="_Toc120630970"/>
      <w:r>
        <w:t>Notes</w:t>
      </w:r>
      <w:bookmarkEnd w:id="23"/>
      <w:bookmarkEnd w:id="24"/>
      <w:bookmarkEnd w:id="25"/>
      <w:bookmarkEnd w:id="26"/>
      <w:bookmarkEnd w:id="27"/>
      <w:bookmarkEnd w:id="28"/>
    </w:p>
    <w:p>
      <w:pPr>
        <w:pStyle w:val="nStatement"/>
      </w:pPr>
      <w:del w:id="30" w:author="Master Repository Process" w:date="2022-12-02T08:37:00Z">
        <w:r>
          <w:rPr>
            <w:snapToGrid w:val="0"/>
            <w:vertAlign w:val="superscript"/>
          </w:rPr>
          <w:delText>1</w:delText>
        </w:r>
        <w:r>
          <w:rPr>
            <w:snapToGrid w:val="0"/>
          </w:rPr>
          <w:tab/>
        </w:r>
      </w:del>
      <w:r>
        <w:t xml:space="preserve">This is a compilation of the </w:t>
      </w:r>
      <w:r>
        <w:rPr>
          <w:i/>
          <w:noProof/>
        </w:rPr>
        <w:t>Liquor Control (Punmu Restricted Area) Regulations 2010</w:t>
      </w:r>
      <w:r>
        <w:t xml:space="preserve"> and includes </w:t>
      </w:r>
      <w:del w:id="31" w:author="Master Repository Process" w:date="2022-12-02T08:37:00Z">
        <w:r>
          <w:rPr>
            <w:snapToGrid w:val="0"/>
          </w:rPr>
          <w:delText xml:space="preserve">the </w:delText>
        </w:r>
      </w:del>
      <w:r>
        <w:t xml:space="preserve">amendments made by </w:t>
      </w:r>
      <w:del w:id="32" w:author="Master Repository Process" w:date="2022-12-02T08:37:00Z">
        <w:r>
          <w:rPr>
            <w:snapToGrid w:val="0"/>
          </w:rPr>
          <w:delText xml:space="preserve">the </w:delText>
        </w:r>
      </w:del>
      <w:r>
        <w:t>other written laws</w:t>
      </w:r>
      <w:del w:id="33" w:author="Master Repository Process" w:date="2022-12-02T08:37:00Z">
        <w:r>
          <w:rPr>
            <w:snapToGrid w:val="0"/>
          </w:rPr>
          <w:delText xml:space="preserve"> referred to in the following</w:delText>
        </w:r>
      </w:del>
      <w:ins w:id="34" w:author="Master Repository Process" w:date="2022-12-02T08:37:00Z">
        <w:r>
          <w:t>. For provisions that have come into operation see the compilation</w:t>
        </w:r>
      </w:ins>
      <w:r>
        <w:t xml:space="preserve"> table</w:t>
      </w:r>
      <w:del w:id="35" w:author="Master Repository Process" w:date="2022-12-02T08:37:00Z">
        <w:r>
          <w:delText> </w:delText>
        </w:r>
        <w:r>
          <w:rPr>
            <w:vertAlign w:val="superscript"/>
          </w:rPr>
          <w:delText>2</w:delText>
        </w:r>
        <w:r>
          <w:rPr>
            <w:snapToGrid w:val="0"/>
          </w:rPr>
          <w:delText xml:space="preserve">. </w:delText>
        </w:r>
      </w:del>
      <w:ins w:id="36" w:author="Master Repository Process" w:date="2022-12-02T08:37:00Z">
        <w:r>
          <w:t>.</w:t>
        </w:r>
      </w:ins>
    </w:p>
    <w:p>
      <w:pPr>
        <w:pStyle w:val="nHeading3"/>
      </w:pPr>
      <w:bookmarkStart w:id="37" w:name="_Toc120710614"/>
      <w:bookmarkStart w:id="38" w:name="_Toc25845271"/>
      <w:r>
        <w:t>Compilation table</w:t>
      </w:r>
      <w:bookmarkEnd w:id="37"/>
      <w:bookmarkEnd w:id="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9" w:author="Master Repository Process" w:date="2022-12-02T08:37:00Z">
              <w:r>
                <w:rPr>
                  <w:b/>
                </w:rPr>
                <w:delText>Gazettal</w:delText>
              </w:r>
            </w:del>
            <w:ins w:id="40" w:author="Master Repository Process" w:date="2022-12-02T08:37:00Z">
              <w:r>
                <w:rPr>
                  <w:b/>
                </w:rPr>
                <w:t>Published</w:t>
              </w:r>
            </w:ins>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bottom w:val="nil"/>
            </w:tcBorders>
          </w:tcPr>
          <w:p>
            <w:pPr>
              <w:pStyle w:val="nTable"/>
              <w:spacing w:after="40"/>
            </w:pPr>
            <w:r>
              <w:rPr>
                <w:i/>
                <w:noProof/>
                <w:snapToGrid w:val="0"/>
              </w:rPr>
              <w:t>Liquor Control (Punmu Restricted Area) Regulations 2010</w:t>
            </w:r>
            <w:ins w:id="41" w:author="Master Repository Process" w:date="2022-12-02T08:37:00Z">
              <w:r>
                <w:rPr>
                  <w:noProof/>
                  <w:snapToGrid w:val="0"/>
                  <w:vertAlign w:val="superscript"/>
                </w:rPr>
                <w:t> 1</w:t>
              </w:r>
            </w:ins>
          </w:p>
        </w:tc>
        <w:tc>
          <w:tcPr>
            <w:tcW w:w="1276" w:type="dxa"/>
            <w:tcBorders>
              <w:bottom w:val="nil"/>
            </w:tcBorders>
          </w:tcPr>
          <w:p>
            <w:pPr>
              <w:pStyle w:val="nTable"/>
              <w:spacing w:after="40"/>
            </w:pPr>
            <w:r>
              <w:t>3 Dec 2010 p. 6060-2</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Liquor Control (Punmu Restricted Area) Amendment Regulations 2013</w:t>
            </w:r>
          </w:p>
        </w:tc>
        <w:tc>
          <w:tcPr>
            <w:tcW w:w="1276" w:type="dxa"/>
            <w:tcBorders>
              <w:top w:val="nil"/>
              <w:bottom w:val="nil"/>
            </w:tcBorders>
          </w:tcPr>
          <w:p>
            <w:pPr>
              <w:pStyle w:val="nTable"/>
              <w:spacing w:after="40"/>
            </w:pPr>
            <w:r>
              <w:t>15 Nov 2013 p. 5266</w:t>
            </w:r>
          </w:p>
        </w:tc>
        <w:tc>
          <w:tcPr>
            <w:tcW w:w="2693" w:type="dxa"/>
            <w:tcBorders>
              <w:top w:val="nil"/>
              <w:bottom w:val="nil"/>
            </w:tcBorders>
          </w:tcPr>
          <w:p>
            <w:pPr>
              <w:pStyle w:val="nTable"/>
              <w:spacing w:after="40"/>
              <w:rPr>
                <w:snapToGrid w:val="0"/>
                <w:spacing w:val="-2"/>
              </w:rPr>
            </w:pPr>
            <w:r>
              <w:rPr>
                <w:snapToGrid w:val="0"/>
                <w:spacing w:val="-2"/>
              </w:rPr>
              <w:t>r. 1 and 2: 15 Nov 2013 (see r. 2(a));</w:t>
            </w:r>
            <w:r>
              <w:rPr>
                <w:snapToGrid w:val="0"/>
                <w:spacing w:val="-2"/>
              </w:rPr>
              <w:br/>
              <w:t>Regulations other than r. 1 and 2: 16 Nov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rPr>
              <w:t>Liquor Control (Punmu Restricted Area) Amendment Regulations 2016</w:t>
            </w:r>
          </w:p>
        </w:tc>
        <w:tc>
          <w:tcPr>
            <w:tcW w:w="1276" w:type="dxa"/>
            <w:tcBorders>
              <w:top w:val="nil"/>
              <w:bottom w:val="nil"/>
            </w:tcBorders>
          </w:tcPr>
          <w:p>
            <w:pPr>
              <w:pStyle w:val="nTable"/>
              <w:spacing w:after="40"/>
            </w:pPr>
            <w:r>
              <w:t>28 Oct 2016 p. 4918</w:t>
            </w:r>
          </w:p>
        </w:tc>
        <w:tc>
          <w:tcPr>
            <w:tcW w:w="2693" w:type="dxa"/>
            <w:tcBorders>
              <w:top w:val="nil"/>
              <w:bottom w:val="nil"/>
            </w:tcBorders>
          </w:tcPr>
          <w:p>
            <w:pPr>
              <w:pStyle w:val="nTable"/>
              <w:spacing w:after="40"/>
              <w:rPr>
                <w:snapToGrid w:val="0"/>
                <w:spacing w:val="-2"/>
              </w:rPr>
            </w:pPr>
            <w:r>
              <w:rPr>
                <w:bCs/>
                <w:snapToGrid w:val="0"/>
                <w:spacing w:val="-2"/>
              </w:rPr>
              <w:t>r. 1 and 2: 28 Oct 2016 (see r. 2(a));</w:t>
            </w:r>
            <w:r>
              <w:rPr>
                <w:bCs/>
                <w:snapToGrid w:val="0"/>
                <w:spacing w:val="-2"/>
              </w:rPr>
              <w:br/>
              <w:t>Regulations other than r. 1 and 2: 29 Oct 2016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Racing and Gaming Regulations Amendment (Liquor Control) Regulations (No. 2) 2019</w:t>
            </w:r>
            <w:r>
              <w:t xml:space="preserve"> Pt. 3</w:t>
            </w:r>
          </w:p>
        </w:tc>
        <w:tc>
          <w:tcPr>
            <w:tcW w:w="1276" w:type="dxa"/>
            <w:tcBorders>
              <w:top w:val="nil"/>
              <w:bottom w:val="nil"/>
            </w:tcBorders>
          </w:tcPr>
          <w:p>
            <w:pPr>
              <w:pStyle w:val="nTable"/>
              <w:spacing w:after="40"/>
            </w:pPr>
            <w:r>
              <w:t>29 Nov 2019 p. 4106-7</w:t>
            </w:r>
          </w:p>
        </w:tc>
        <w:tc>
          <w:tcPr>
            <w:tcW w:w="2693" w:type="dxa"/>
            <w:tcBorders>
              <w:top w:val="nil"/>
              <w:bottom w:val="nil"/>
            </w:tcBorders>
          </w:tcPr>
          <w:p>
            <w:pPr>
              <w:pStyle w:val="nTable"/>
              <w:spacing w:after="40"/>
              <w:rPr>
                <w:bCs/>
                <w:snapToGrid w:val="0"/>
                <w:spacing w:val="-2"/>
              </w:rPr>
            </w:pPr>
            <w:r>
              <w:rPr>
                <w:bCs/>
                <w:snapToGrid w:val="0"/>
                <w:spacing w:val="-2"/>
              </w:rPr>
              <w:t>30 Nov 2019 (see r. 2(b))</w:t>
            </w:r>
          </w:p>
        </w:tc>
      </w:tr>
    </w:tbl>
    <w:p>
      <w:pPr>
        <w:pStyle w:val="nTable"/>
        <w:spacing w:after="40"/>
        <w:rPr>
          <w:del w:id="42" w:author="Master Repository Process" w:date="2022-12-02T08:37:00Z"/>
          <w:i/>
        </w:rPr>
      </w:pPr>
      <w:del w:id="43" w:author="Master Repository Process" w:date="2022-12-02T08:37:00Z">
        <w:r>
          <w:rPr>
            <w:vertAlign w:val="superscript"/>
          </w:rPr>
          <w:delText>2</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4" w:author="Master Repository Process" w:date="2022-12-02T08:37:00Z"/>
        </w:trPr>
        <w:tc>
          <w:tcPr>
            <w:tcW w:w="3118" w:type="dxa"/>
            <w:tcBorders>
              <w:top w:val="nil"/>
            </w:tcBorders>
          </w:tcPr>
          <w:p>
            <w:pPr>
              <w:pStyle w:val="nTable"/>
              <w:spacing w:after="40"/>
              <w:rPr>
                <w:ins w:id="45" w:author="Master Repository Process" w:date="2022-12-02T08:37:00Z"/>
                <w:i/>
              </w:rPr>
            </w:pPr>
            <w:ins w:id="46" w:author="Master Repository Process" w:date="2022-12-02T08:37:00Z">
              <w:r>
                <w:rPr>
                  <w:i/>
                </w:rPr>
                <w:t>Liquor Control (Punmu Restricted Area) Amendment Regulations 2022</w:t>
              </w:r>
            </w:ins>
          </w:p>
        </w:tc>
        <w:tc>
          <w:tcPr>
            <w:tcW w:w="1276" w:type="dxa"/>
            <w:tcBorders>
              <w:top w:val="nil"/>
            </w:tcBorders>
          </w:tcPr>
          <w:p>
            <w:pPr>
              <w:pStyle w:val="nTable"/>
              <w:spacing w:after="40"/>
              <w:rPr>
                <w:ins w:id="47" w:author="Master Repository Process" w:date="2022-12-02T08:37:00Z"/>
              </w:rPr>
            </w:pPr>
            <w:ins w:id="48" w:author="Master Repository Process" w:date="2022-12-02T08:37:00Z">
              <w:r>
                <w:t>SL 2022/202 2 Dec 2022</w:t>
              </w:r>
            </w:ins>
          </w:p>
        </w:tc>
        <w:tc>
          <w:tcPr>
            <w:tcW w:w="2693" w:type="dxa"/>
            <w:tcBorders>
              <w:top w:val="nil"/>
            </w:tcBorders>
          </w:tcPr>
          <w:p>
            <w:pPr>
              <w:pStyle w:val="nTable"/>
              <w:spacing w:after="40"/>
              <w:rPr>
                <w:ins w:id="49" w:author="Master Repository Process" w:date="2022-12-02T08:37:00Z"/>
                <w:bCs/>
                <w:snapToGrid w:val="0"/>
                <w:spacing w:val="-2"/>
              </w:rPr>
            </w:pPr>
            <w:ins w:id="50" w:author="Master Repository Process" w:date="2022-12-02T08:37:00Z">
              <w:r>
                <w:rPr>
                  <w:bCs/>
                  <w:snapToGrid w:val="0"/>
                  <w:spacing w:val="-2"/>
                </w:rPr>
                <w:t>r. 1 and 2: 2 Dec 2022 (see r. 2(a));</w:t>
              </w:r>
              <w:r>
                <w:rPr>
                  <w:bCs/>
                  <w:snapToGrid w:val="0"/>
                  <w:spacing w:val="-2"/>
                </w:rPr>
                <w:br/>
                <w:t>Regulations other than r. 1 and 2: 3 Dec 2022 (see r. 2(b))</w:t>
              </w:r>
            </w:ins>
          </w:p>
        </w:tc>
      </w:tr>
    </w:tbl>
    <w:p>
      <w:pPr>
        <w:pStyle w:val="nHeading3"/>
        <w:rPr>
          <w:ins w:id="51" w:author="Master Repository Process" w:date="2022-12-02T08:37:00Z"/>
        </w:rPr>
      </w:pPr>
      <w:bookmarkStart w:id="52" w:name="_Toc120710615"/>
      <w:ins w:id="53" w:author="Master Repository Process" w:date="2022-12-02T08:37:00Z">
        <w:r>
          <w:t>Other notes</w:t>
        </w:r>
        <w:bookmarkEnd w:id="52"/>
      </w:ins>
    </w:p>
    <w:p>
      <w:pPr>
        <w:pStyle w:val="nNote"/>
      </w:pPr>
      <w:ins w:id="54" w:author="Master Repository Process" w:date="2022-12-02T08:37:00Z">
        <w:r>
          <w:rPr>
            <w:vertAlign w:val="superscript"/>
          </w:rPr>
          <w:t>1</w:t>
        </w:r>
      </w:ins>
      <w:r>
        <w:tab/>
        <w:t>These regulations expire at the close of 4 </w:t>
      </w:r>
      <w:del w:id="55" w:author="Master Repository Process" w:date="2022-12-02T08:37:00Z">
        <w:r>
          <w:delText>Dec 2022</w:delText>
        </w:r>
      </w:del>
      <w:ins w:id="56" w:author="Master Repository Process" w:date="2022-12-02T08:37:00Z">
        <w:r>
          <w:t>December 2032</w:t>
        </w:r>
      </w:ins>
      <w:r>
        <w:t xml:space="preserve"> (see r. 9).</w:t>
      </w:r>
    </w:p>
    <w:p>
      <w:pPr>
        <w:rPr>
          <w:del w:id="57" w:author="Master Repository Process" w:date="2022-12-02T08:37:00Z"/>
        </w:rPr>
      </w:pPr>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29"/>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61412"/>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 w:name="WAFER_20161027173136" w:val="RemoveTocBookmarks,RemoveUnusedBookmarks,RemoveLanguageTags,UpdateStyles,UsedStyles,ResetPageSize"/>
    <w:docVar w:name="WAFER_20161027173136_GUID" w:val="fca7675c-d17d-48b4-9084-51efbb906edf"/>
    <w:docVar w:name="WAFER_20170125154942" w:val="RemoveTocBookmarks,RemoveUnusedBookmarks,RemoveLanguageTags,UsedStyles,ResetPageSize"/>
    <w:docVar w:name="WAFER_20170125154942_GUID" w:val="1cb84087-a7b6-4013-9d79-e4d9a23da662"/>
    <w:docVar w:name="WAFER_20191128100050" w:val="RemoveTocBookmarks,RemoveUnusedBookmarks,RemoveLanguageTags,ResetPageSize,RunningHeaders,UpdateStyles,UsedStyles"/>
    <w:docVar w:name="WAFER_20191128100050_GUID" w:val="c943d91e-d731-4996-a5c5-ad49cc3163c8"/>
    <w:docVar w:name="WAFER_20221129161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9161412_GUID" w:val="9709235d-3504-4400-9b3b-3013ae309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C72A91-A990-47C9-8E6B-A610B485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799</Words>
  <Characters>3880</Characters>
  <Application>Microsoft Office Word</Application>
  <DocSecurity>0</DocSecurity>
  <Lines>138</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00-d0-00 - 00-e0-00</dc:title>
  <dc:subject/>
  <dc:creator/>
  <cp:keywords/>
  <dc:description/>
  <cp:lastModifiedBy>Master Repository Process</cp:lastModifiedBy>
  <cp:revision>2</cp:revision>
  <cp:lastPrinted>2010-11-05T01:22:00Z</cp:lastPrinted>
  <dcterms:created xsi:type="dcterms:W3CDTF">2022-12-02T00:37:00Z</dcterms:created>
  <dcterms:modified xsi:type="dcterms:W3CDTF">2022-12-02T00:38:00Z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OwlsUID">
    <vt:i4>43007</vt:i4>
  </property>
  <property fmtid="{D5CDD505-2E9C-101B-9397-08002B2CF9AE}" pid="4" name="DocumentType">
    <vt:lpwstr>Reg</vt:lpwstr>
  </property>
  <property fmtid="{D5CDD505-2E9C-101B-9397-08002B2CF9AE}" pid="5" name="CommencementDate">
    <vt:lpwstr>20221203</vt:lpwstr>
  </property>
  <property fmtid="{D5CDD505-2E9C-101B-9397-08002B2CF9AE}" pid="6" name="FromSuffix">
    <vt:lpwstr>00-d0-00</vt:lpwstr>
  </property>
  <property fmtid="{D5CDD505-2E9C-101B-9397-08002B2CF9AE}" pid="7" name="FromAsAtDate">
    <vt:lpwstr>30 Nov 2019</vt:lpwstr>
  </property>
  <property fmtid="{D5CDD505-2E9C-101B-9397-08002B2CF9AE}" pid="8" name="ToSuffix">
    <vt:lpwstr>00-e0-00</vt:lpwstr>
  </property>
  <property fmtid="{D5CDD505-2E9C-101B-9397-08002B2CF9AE}" pid="9" name="ToAsAtDate">
    <vt:lpwstr>03 Dec 2022</vt:lpwstr>
  </property>
</Properties>
</file>