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2018</w:t>
      </w:r>
      <w:r>
        <w:fldChar w:fldCharType="end"/>
      </w:r>
      <w:r>
        <w:t xml:space="preserve">, </w:t>
      </w:r>
      <w:r>
        <w:fldChar w:fldCharType="begin"/>
      </w:r>
      <w:r>
        <w:instrText xml:space="preserve"> DocProperty FromSuffix </w:instrText>
      </w:r>
      <w:r>
        <w:fldChar w:fldCharType="separate"/>
      </w:r>
      <w:r>
        <w:t>04-a0-03</w:t>
      </w:r>
      <w:r>
        <w:fldChar w:fldCharType="end"/>
      </w:r>
      <w:r>
        <w:t>] and [</w:t>
      </w:r>
      <w:r>
        <w:fldChar w:fldCharType="begin"/>
      </w:r>
      <w:r>
        <w:instrText xml:space="preserve"> DocProperty ToAsAtDate</w:instrText>
      </w:r>
      <w:r>
        <w:fldChar w:fldCharType="separate"/>
      </w:r>
      <w:r>
        <w:t>13 Apr 2023</w:t>
      </w:r>
      <w:r>
        <w:fldChar w:fldCharType="end"/>
      </w:r>
      <w:r>
        <w:t xml:space="preserve">, </w:t>
      </w:r>
      <w:r>
        <w:fldChar w:fldCharType="begin"/>
      </w:r>
      <w:r>
        <w:instrText xml:space="preserve"> DocProperty ToSuffix</w:instrText>
      </w:r>
      <w:r>
        <w:fldChar w:fldCharType="separate"/>
      </w:r>
      <w:r>
        <w:t>04-b0-00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960" w:after="1440"/>
      </w:pPr>
      <w:r>
        <w:t xml:space="preserve">Criminal Law (Mentally Impaired Accused) Act 1996 </w:t>
      </w:r>
    </w:p>
    <w:p>
      <w:pPr>
        <w:pStyle w:val="LongTitle"/>
        <w:rPr>
          <w:snapToGrid w:val="0"/>
        </w:rPr>
      </w:pPr>
      <w:r>
        <w:rPr>
          <w:snapToGrid w:val="0"/>
        </w:rPr>
        <w:t>A</w:t>
      </w:r>
      <w:bookmarkStart w:id="1" w:name="_GoBack"/>
      <w:bookmarkEnd w:id="1"/>
      <w:r>
        <w:rPr>
          <w:snapToGrid w:val="0"/>
        </w:rPr>
        <w:t xml:space="preserve">n Act relating to criminal proceedings involving mentally impaired people who are charged with offences. </w:t>
      </w:r>
    </w:p>
    <w:p>
      <w:pPr>
        <w:pStyle w:val="Heading2"/>
      </w:pPr>
      <w:bookmarkStart w:id="2" w:name="_Toc132189318"/>
      <w:bookmarkStart w:id="3" w:name="_Toc132189571"/>
      <w:bookmarkStart w:id="4" w:name="_Toc132297514"/>
      <w:bookmarkStart w:id="5" w:name="_Toc501616171"/>
      <w:bookmarkStart w:id="6" w:name="_Toc504050266"/>
      <w:bookmarkStart w:id="7" w:name="_Toc50569333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132297515"/>
      <w:bookmarkStart w:id="9" w:name="_Toc504050267"/>
      <w:bookmarkStart w:id="10" w:name="_Toc505693336"/>
      <w:r>
        <w:rPr>
          <w:rStyle w:val="CharSectno"/>
        </w:rPr>
        <w:t>1</w:t>
      </w:r>
      <w:r>
        <w:rPr>
          <w:snapToGrid w:val="0"/>
        </w:rPr>
        <w:t>.</w:t>
      </w:r>
      <w:r>
        <w:rPr>
          <w:snapToGrid w:val="0"/>
        </w:rPr>
        <w:tab/>
        <w:t>Short title</w:t>
      </w:r>
      <w:bookmarkEnd w:id="8"/>
      <w:bookmarkEnd w:id="9"/>
      <w:bookmarkEnd w:id="10"/>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del w:id="11" w:author="Master Repository Process" w:date="2023-04-14T08:28:00Z">
        <w:r>
          <w:rPr>
            <w:snapToGrid w:val="0"/>
            <w:vertAlign w:val="superscript"/>
          </w:rPr>
          <w:delText> 1</w:delText>
        </w:r>
      </w:del>
      <w:r>
        <w:rPr>
          <w:snapToGrid w:val="0"/>
        </w:rPr>
        <w:t>.</w:t>
      </w:r>
    </w:p>
    <w:p>
      <w:pPr>
        <w:pStyle w:val="Footnotesection"/>
      </w:pPr>
      <w:r>
        <w:tab/>
        <w:t>[Section 1 amended: No. 84 of 2004 s. 82.]</w:t>
      </w:r>
    </w:p>
    <w:p>
      <w:pPr>
        <w:pStyle w:val="Heading5"/>
        <w:rPr>
          <w:snapToGrid w:val="0"/>
        </w:rPr>
      </w:pPr>
      <w:bookmarkStart w:id="12" w:name="_Toc132297516"/>
      <w:bookmarkStart w:id="13" w:name="_Toc504050268"/>
      <w:bookmarkStart w:id="14" w:name="_Toc505693337"/>
      <w:r>
        <w:rPr>
          <w:rStyle w:val="CharSectno"/>
        </w:rPr>
        <w:t>2</w:t>
      </w:r>
      <w:r>
        <w:rPr>
          <w:snapToGrid w:val="0"/>
        </w:rPr>
        <w:t>.</w:t>
      </w:r>
      <w:r>
        <w:rPr>
          <w:snapToGrid w:val="0"/>
        </w:rPr>
        <w:tab/>
        <w:t>Commencement</w:t>
      </w:r>
      <w:bookmarkEnd w:id="12"/>
      <w:bookmarkEnd w:id="13"/>
      <w:bookmarkEnd w:id="14"/>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del w:id="15" w:author="Master Repository Process" w:date="2023-04-14T08:28:00Z">
        <w:r>
          <w:rPr>
            <w:snapToGrid w:val="0"/>
            <w:vertAlign w:val="superscript"/>
          </w:rPr>
          <w:delText> 1</w:delText>
        </w:r>
      </w:del>
      <w:r>
        <w:rPr>
          <w:snapToGrid w:val="0"/>
        </w:rPr>
        <w:t>.</w:t>
      </w:r>
    </w:p>
    <w:p>
      <w:pPr>
        <w:pStyle w:val="Heading5"/>
        <w:rPr>
          <w:snapToGrid w:val="0"/>
        </w:rPr>
      </w:pPr>
      <w:bookmarkStart w:id="16" w:name="_Toc132297517"/>
      <w:bookmarkStart w:id="17" w:name="_Toc504050269"/>
      <w:bookmarkStart w:id="18" w:name="_Toc505693338"/>
      <w:r>
        <w:rPr>
          <w:rStyle w:val="CharSectno"/>
        </w:rPr>
        <w:t>3</w:t>
      </w:r>
      <w:r>
        <w:rPr>
          <w:snapToGrid w:val="0"/>
        </w:rPr>
        <w:t>.</w:t>
      </w:r>
      <w:r>
        <w:rPr>
          <w:snapToGrid w:val="0"/>
        </w:rPr>
        <w:tab/>
        <w:t>Terms used</w:t>
      </w:r>
      <w:bookmarkEnd w:id="16"/>
      <w:bookmarkEnd w:id="17"/>
      <w:bookmarkEnd w:id="18"/>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pPr>
      <w:r>
        <w:tab/>
      </w:r>
      <w:r>
        <w:rPr>
          <w:rStyle w:val="CharDefText"/>
        </w:rPr>
        <w:t>authorised hospital</w:t>
      </w:r>
      <w:r>
        <w:t xml:space="preserve"> has the meaning given in the </w:t>
      </w:r>
      <w:r>
        <w:rPr>
          <w:i/>
        </w:rPr>
        <w:t>Mental Health Act 2014</w:t>
      </w:r>
      <w:r>
        <w:t xml:space="preserve"> section 4;</w:t>
      </w:r>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pPr>
      <w:r>
        <w:tab/>
      </w:r>
      <w:r>
        <w:rPr>
          <w:rStyle w:val="CharDefText"/>
        </w:rPr>
        <w:t>involuntary inpatient</w:t>
      </w:r>
      <w:r>
        <w:t xml:space="preserve"> has the meaning given in the </w:t>
      </w:r>
      <w:r>
        <w:rPr>
          <w:i/>
        </w:rPr>
        <w:t>Mental Health Act 2014</w:t>
      </w:r>
      <w:r>
        <w:t xml:space="preserve"> section 4;</w:t>
      </w:r>
    </w:p>
    <w:p>
      <w:pPr>
        <w:pStyle w:val="Defstart"/>
      </w:pPr>
      <w:r>
        <w:tab/>
      </w:r>
      <w:r>
        <w:rPr>
          <w:rStyle w:val="CharDefText"/>
        </w:rPr>
        <w:t>involuntary patient</w:t>
      </w:r>
      <w:r>
        <w:t xml:space="preserve"> has the meaning given in the </w:t>
      </w:r>
      <w:r>
        <w:rPr>
          <w:i/>
        </w:rPr>
        <w:t>Mental Health Act 2014</w:t>
      </w:r>
      <w:r>
        <w:t xml:space="preserve"> section 4;</w:t>
      </w:r>
    </w:p>
    <w:p>
      <w:pPr>
        <w:pStyle w:val="Defstart"/>
      </w:pPr>
      <w:r>
        <w:tab/>
      </w:r>
      <w:r>
        <w:rPr>
          <w:rStyle w:val="CharDefText"/>
        </w:rPr>
        <w:t>mental illness</w:t>
      </w:r>
      <w:r>
        <w:t xml:space="preserve"> has the meaning given in the </w:t>
      </w:r>
      <w:r>
        <w:rPr>
          <w:i/>
        </w:rPr>
        <w:t>Mental Health Act 2014</w:t>
      </w:r>
      <w:r>
        <w:t xml:space="preserve"> section 4;</w:t>
      </w:r>
    </w:p>
    <w:p>
      <w:pPr>
        <w:pStyle w:val="Defstart"/>
        <w:rPr>
          <w:iCs/>
        </w:rPr>
      </w:pPr>
      <w:r>
        <w:tab/>
      </w:r>
      <w:r>
        <w:rPr>
          <w:rStyle w:val="CharDefText"/>
        </w:rPr>
        <w:t>psychiatrist</w:t>
      </w:r>
      <w:r>
        <w:t xml:space="preserve"> has the meaning given in the </w:t>
      </w:r>
      <w:r>
        <w:rPr>
          <w:i/>
        </w:rPr>
        <w:t>Mental Health Act 2014</w:t>
      </w:r>
      <w:r>
        <w:t xml:space="preserve"> section 4;</w:t>
      </w:r>
    </w:p>
    <w:p>
      <w:pPr>
        <w:pStyle w:val="Defstart"/>
        <w:rPr>
          <w:iCs/>
        </w:rPr>
      </w:pPr>
      <w:r>
        <w:tab/>
      </w:r>
      <w:r>
        <w:rPr>
          <w:rStyle w:val="CharDefText"/>
        </w:rPr>
        <w:t>psychologist</w:t>
      </w:r>
      <w:r>
        <w:t xml:space="preserve"> has the meaning given in the </w:t>
      </w:r>
      <w:r>
        <w:rPr>
          <w:i/>
        </w:rPr>
        <w:t>Mental Health Act 2014</w:t>
      </w:r>
      <w:r>
        <w:t xml:space="preserve"> section 4;</w:t>
      </w:r>
    </w:p>
    <w:p>
      <w:pPr>
        <w:pStyle w:val="Defstart"/>
      </w:pPr>
      <w:r>
        <w:rPr>
          <w:b/>
        </w:rPr>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 xml:space="preserve">[Section 3 amended: No. 59 of 2004 s. 141; No. 84 of 2004 s. 82 and 84; No. 25 of 2014 s. 11.] </w:t>
      </w:r>
    </w:p>
    <w:p>
      <w:pPr>
        <w:pStyle w:val="Footnotesection"/>
      </w:pPr>
      <w:r>
        <w:tab/>
        <w:t>[Section 3. Modifications to be applied in order to give effect to Cross-border Justice Act 2008: section altered 1 Nov 2009. See endnote 1M.]</w:t>
      </w:r>
    </w:p>
    <w:p>
      <w:pPr>
        <w:pStyle w:val="Heading5"/>
        <w:rPr>
          <w:snapToGrid w:val="0"/>
        </w:rPr>
      </w:pPr>
      <w:bookmarkStart w:id="19" w:name="_Toc132297518"/>
      <w:bookmarkStart w:id="20" w:name="_Toc504050270"/>
      <w:bookmarkStart w:id="21" w:name="_Toc505693339"/>
      <w:r>
        <w:rPr>
          <w:rStyle w:val="CharSectno"/>
        </w:rPr>
        <w:t>4</w:t>
      </w:r>
      <w:r>
        <w:rPr>
          <w:snapToGrid w:val="0"/>
        </w:rPr>
        <w:t>.</w:t>
      </w:r>
      <w:r>
        <w:rPr>
          <w:snapToGrid w:val="0"/>
        </w:rPr>
        <w:tab/>
        <w:t>Application to all courts exercising criminal jurisdiction</w:t>
      </w:r>
      <w:bookmarkEnd w:id="19"/>
      <w:bookmarkEnd w:id="20"/>
      <w:bookmarkEnd w:id="21"/>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r>
        <w:tab/>
        <w:t xml:space="preserve">[Section 4 amended: No. 84 of 2004 s. 82.] </w:t>
      </w:r>
    </w:p>
    <w:p>
      <w:pPr>
        <w:pStyle w:val="Heading5"/>
      </w:pPr>
      <w:bookmarkStart w:id="22" w:name="_Toc132297519"/>
      <w:bookmarkStart w:id="23" w:name="_Toc504050271"/>
      <w:bookmarkStart w:id="24" w:name="_Toc505693340"/>
      <w:r>
        <w:rPr>
          <w:rStyle w:val="CharSectno"/>
        </w:rPr>
        <w:t>5AA</w:t>
      </w:r>
      <w:r>
        <w:t>.</w:t>
      </w:r>
      <w:r>
        <w:tab/>
      </w:r>
      <w:r>
        <w:rPr>
          <w:i/>
        </w:rPr>
        <w:t>Courts and Tribunals (Electronic Processes Facilitation) Act 2013</w:t>
      </w:r>
      <w:r>
        <w:t xml:space="preserve"> Part 2 applies</w:t>
      </w:r>
      <w:bookmarkEnd w:id="22"/>
      <w:bookmarkEnd w:id="23"/>
      <w:bookmarkEnd w:id="24"/>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5AA inserted: No. 20 of 2013 s. 45.]</w:t>
      </w:r>
    </w:p>
    <w:p>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25" w:name="_Toc132189324"/>
      <w:bookmarkStart w:id="26" w:name="_Toc132189577"/>
      <w:bookmarkStart w:id="27" w:name="_Toc132297520"/>
      <w:bookmarkStart w:id="28" w:name="_Toc501616177"/>
      <w:bookmarkStart w:id="29" w:name="_Toc504050272"/>
      <w:bookmarkStart w:id="30" w:name="_Toc505693341"/>
      <w:r>
        <w:rPr>
          <w:rStyle w:val="CharPartNo"/>
        </w:rPr>
        <w:t>Part 2</w:t>
      </w:r>
      <w:r>
        <w:rPr>
          <w:rStyle w:val="CharDivNo"/>
        </w:rPr>
        <w:t> </w:t>
      </w:r>
      <w:r>
        <w:t>—</w:t>
      </w:r>
      <w:r>
        <w:rPr>
          <w:rStyle w:val="CharDivText"/>
        </w:rPr>
        <w:t> </w:t>
      </w:r>
      <w:r>
        <w:rPr>
          <w:rStyle w:val="CharPartText"/>
        </w:rPr>
        <w:t>General provisions about mentally ill accused</w:t>
      </w:r>
      <w:bookmarkEnd w:id="25"/>
      <w:bookmarkEnd w:id="26"/>
      <w:bookmarkEnd w:id="27"/>
      <w:bookmarkEnd w:id="28"/>
      <w:bookmarkEnd w:id="29"/>
      <w:bookmarkEnd w:id="30"/>
    </w:p>
    <w:p>
      <w:pPr>
        <w:pStyle w:val="Footnoteheading"/>
      </w:pPr>
      <w:r>
        <w:tab/>
        <w:t xml:space="preserve">[Heading amended: No. 84 of 2004 s. 82.] </w:t>
      </w:r>
    </w:p>
    <w:p>
      <w:pPr>
        <w:pStyle w:val="Heading5"/>
        <w:rPr>
          <w:snapToGrid w:val="0"/>
        </w:rPr>
      </w:pPr>
      <w:bookmarkStart w:id="31" w:name="_Toc132297521"/>
      <w:bookmarkStart w:id="32" w:name="_Toc504050273"/>
      <w:bookmarkStart w:id="33" w:name="_Toc505693342"/>
      <w:r>
        <w:rPr>
          <w:rStyle w:val="CharSectno"/>
        </w:rPr>
        <w:t>5</w:t>
      </w:r>
      <w:r>
        <w:rPr>
          <w:snapToGrid w:val="0"/>
        </w:rPr>
        <w:t>.</w:t>
      </w:r>
      <w:r>
        <w:rPr>
          <w:snapToGrid w:val="0"/>
        </w:rPr>
        <w:tab/>
        <w:t>Accused refused bail may be detained in authorised hospital</w:t>
      </w:r>
      <w:bookmarkEnd w:id="31"/>
      <w:bookmarkEnd w:id="32"/>
      <w:bookmarkEnd w:id="33"/>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pPr>
      <w:r>
        <w:tab/>
        <w:t>(2)</w:t>
      </w:r>
      <w:r>
        <w:tab/>
        <w:t xml:space="preserve">The judicial officer may make a hospital order in respect of the accused if the officer reasonably suspects — </w:t>
      </w:r>
    </w:p>
    <w:p>
      <w:pPr>
        <w:pStyle w:val="Indenta"/>
      </w:pPr>
      <w:r>
        <w:tab/>
        <w:t>(a)</w:t>
      </w:r>
      <w:r>
        <w:tab/>
        <w:t>that the accused has a mental illness for which the accused is in need of treatment; and</w:t>
      </w:r>
    </w:p>
    <w:p>
      <w:pPr>
        <w:pStyle w:val="Indenta"/>
      </w:pPr>
      <w:r>
        <w:tab/>
        <w:t>(b)</w:t>
      </w:r>
      <w:r>
        <w:tab/>
        <w:t xml:space="preserve">that, because of the mental illness, there is — </w:t>
      </w:r>
    </w:p>
    <w:p>
      <w:pPr>
        <w:pStyle w:val="Indenti"/>
      </w:pPr>
      <w:r>
        <w:tab/>
        <w:t>(i)</w:t>
      </w:r>
      <w:r>
        <w:tab/>
        <w:t>a significant risk to the health or safety of the accused or to the safety of another person; or</w:t>
      </w:r>
    </w:p>
    <w:p>
      <w:pPr>
        <w:pStyle w:val="Indenti"/>
      </w:pPr>
      <w:r>
        <w:tab/>
        <w:t>(ii)</w:t>
      </w:r>
      <w:r>
        <w:tab/>
        <w:t>a significant risk of serious harm to the accused or to another person;</w:t>
      </w:r>
    </w:p>
    <w:p>
      <w:pPr>
        <w:pStyle w:val="Indenta"/>
      </w:pPr>
      <w:r>
        <w:tab/>
      </w:r>
      <w:r>
        <w:tab/>
        <w:t>and</w:t>
      </w:r>
    </w:p>
    <w:p>
      <w:pPr>
        <w:pStyle w:val="Indenta"/>
      </w:pPr>
      <w:r>
        <w:tab/>
        <w:t>(c)</w:t>
      </w:r>
      <w:r>
        <w:tab/>
        <w:t>that the accused does not have the capacity to consent to treatment.</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 xml:space="preserve">if he or she is made an </w:t>
      </w:r>
      <w:r>
        <w:t xml:space="preserve">involuntary inpatient, </w:t>
      </w:r>
      <w:r>
        <w:rPr>
          <w:snapToGrid w:val="0"/>
        </w:rPr>
        <w:t>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pPr>
      <w:r>
        <w:tab/>
        <w:t>(4)</w:t>
      </w:r>
      <w:r>
        <w:tab/>
        <w:t xml:space="preserve">Subject to this section, a hospital order has effect as if the accused had been referred under the </w:t>
      </w:r>
      <w:r>
        <w:rPr>
          <w:i/>
        </w:rPr>
        <w:t>Mental Health Act 2014</w:t>
      </w:r>
      <w:r>
        <w:t xml:space="preserve"> section 26(2) for an examination by a psychiatrist at an authorised hospital and that Act applies accordingly.</w:t>
      </w:r>
    </w:p>
    <w:p>
      <w:pPr>
        <w:pStyle w:val="Subsection"/>
        <w:rPr>
          <w:snapToGrid w:val="0"/>
        </w:rPr>
      </w:pPr>
      <w:r>
        <w:rPr>
          <w:snapToGrid w:val="0"/>
        </w:rPr>
        <w:tab/>
        <w:t>(5)</w:t>
      </w:r>
      <w:r>
        <w:rPr>
          <w:snapToGrid w:val="0"/>
        </w:rPr>
        <w:tab/>
        <w:t xml:space="preserve">A hospital order is not to be made if the accused is an </w:t>
      </w:r>
      <w:r>
        <w:t>involuntary inpatient.</w:t>
      </w:r>
    </w:p>
    <w:p>
      <w:pPr>
        <w:pStyle w:val="Footnotesection"/>
      </w:pPr>
      <w:r>
        <w:tab/>
        <w:t>[Section 5 amended: No. 84 of 2004 s. 82; No. 25 of 2014 s. 12.]</w:t>
      </w:r>
    </w:p>
    <w:p>
      <w:pPr>
        <w:pStyle w:val="Footnotesection"/>
      </w:pPr>
      <w:r>
        <w:tab/>
        <w:t>[Section 5. Modifications to be applied in order to give effect to Cross-border Justice Act 2008: section altered 1 Nov 2009. See endnote 1M.]</w:t>
      </w:r>
    </w:p>
    <w:p>
      <w:pPr>
        <w:pStyle w:val="Heading5"/>
        <w:rPr>
          <w:snapToGrid w:val="0"/>
        </w:rPr>
      </w:pPr>
      <w:bookmarkStart w:id="34" w:name="_Toc132297522"/>
      <w:bookmarkStart w:id="35" w:name="_Toc504050274"/>
      <w:bookmarkStart w:id="36" w:name="_Toc505693343"/>
      <w:r>
        <w:rPr>
          <w:rStyle w:val="CharSectno"/>
        </w:rPr>
        <w:t>6</w:t>
      </w:r>
      <w:r>
        <w:rPr>
          <w:snapToGrid w:val="0"/>
        </w:rPr>
        <w:t>.</w:t>
      </w:r>
      <w:r>
        <w:rPr>
          <w:snapToGrid w:val="0"/>
        </w:rPr>
        <w:tab/>
        <w:t xml:space="preserve">Relationship to </w:t>
      </w:r>
      <w:r>
        <w:rPr>
          <w:i/>
          <w:snapToGrid w:val="0"/>
        </w:rPr>
        <w:t>Mental Health Act 2014</w:t>
      </w:r>
      <w:bookmarkEnd w:id="34"/>
      <w:bookmarkEnd w:id="35"/>
      <w:bookmarkEnd w:id="36"/>
    </w:p>
    <w:p>
      <w:pPr>
        <w:pStyle w:val="Subsection"/>
        <w:rPr>
          <w:snapToGrid w:val="0"/>
        </w:rPr>
      </w:pPr>
      <w:r>
        <w:rPr>
          <w:snapToGrid w:val="0"/>
        </w:rPr>
        <w:tab/>
        <w:t>(1)</w:t>
      </w:r>
      <w:r>
        <w:rPr>
          <w:snapToGrid w:val="0"/>
        </w:rPr>
        <w:tab/>
        <w:t xml:space="preserve">Unless the contrary intention appears, the fact that under the </w:t>
      </w:r>
      <w:r>
        <w:rPr>
          <w:i/>
        </w:rPr>
        <w:t xml:space="preserve">Mental Health Act 2014 </w:t>
      </w:r>
      <w:r>
        <w:rPr>
          <w:snapToGrid w:val="0"/>
        </w:rPr>
        <w:t>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rPr>
        <w:t>Mental Health Act 2014</w:t>
      </w:r>
      <w: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r>
        <w:tab/>
        <w:t>[Section 6 amended: No. 84 of 2004 s. 82; No. 25 of 2014 s. 13.]</w:t>
      </w:r>
    </w:p>
    <w:p>
      <w:pPr>
        <w:pStyle w:val="Footnotesection"/>
      </w:pPr>
      <w:r>
        <w:tab/>
        <w:t>[Section 6. Modifications to be applied in order to give effect to Cross-border Justice Act 2008: section altered 1 Nov 2009. See endnote 1M.]</w:t>
      </w:r>
    </w:p>
    <w:p>
      <w:pPr>
        <w:pStyle w:val="Heading5"/>
        <w:rPr>
          <w:snapToGrid w:val="0"/>
        </w:rPr>
      </w:pPr>
      <w:bookmarkStart w:id="37" w:name="_Toc132297523"/>
      <w:bookmarkStart w:id="38" w:name="_Toc504050275"/>
      <w:bookmarkStart w:id="39" w:name="_Toc505693344"/>
      <w:r>
        <w:rPr>
          <w:rStyle w:val="CharSectno"/>
        </w:rPr>
        <w:t>7</w:t>
      </w:r>
      <w:r>
        <w:rPr>
          <w:snapToGrid w:val="0"/>
        </w:rPr>
        <w:t>.</w:t>
      </w:r>
      <w:r>
        <w:rPr>
          <w:snapToGrid w:val="0"/>
        </w:rPr>
        <w:tab/>
        <w:t>Reports to include report of treatment given</w:t>
      </w:r>
      <w:bookmarkEnd w:id="37"/>
      <w:bookmarkEnd w:id="38"/>
      <w:bookmarkEnd w:id="39"/>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 and</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No. 84 of 2004 s. 82.]</w:t>
      </w:r>
    </w:p>
    <w:p>
      <w:pPr>
        <w:pStyle w:val="Heading2"/>
      </w:pPr>
      <w:bookmarkStart w:id="40" w:name="_Toc132189328"/>
      <w:bookmarkStart w:id="41" w:name="_Toc132189581"/>
      <w:bookmarkStart w:id="42" w:name="_Toc132297524"/>
      <w:bookmarkStart w:id="43" w:name="_Toc501616181"/>
      <w:bookmarkStart w:id="44" w:name="_Toc504050276"/>
      <w:bookmarkStart w:id="45" w:name="_Toc505693345"/>
      <w:r>
        <w:rPr>
          <w:rStyle w:val="CharPartNo"/>
        </w:rPr>
        <w:t>Part 3</w:t>
      </w:r>
      <w:r>
        <w:t> — </w:t>
      </w:r>
      <w:r>
        <w:rPr>
          <w:rStyle w:val="CharPartText"/>
        </w:rPr>
        <w:t>Mental unfitness to stand trial</w:t>
      </w:r>
      <w:bookmarkEnd w:id="40"/>
      <w:bookmarkEnd w:id="41"/>
      <w:bookmarkEnd w:id="42"/>
      <w:bookmarkEnd w:id="43"/>
      <w:bookmarkEnd w:id="44"/>
      <w:bookmarkEnd w:id="45"/>
    </w:p>
    <w:p>
      <w:pPr>
        <w:pStyle w:val="Heading3"/>
        <w:rPr>
          <w:snapToGrid w:val="0"/>
        </w:rPr>
      </w:pPr>
      <w:bookmarkStart w:id="46" w:name="_Toc132189329"/>
      <w:bookmarkStart w:id="47" w:name="_Toc132189582"/>
      <w:bookmarkStart w:id="48" w:name="_Toc132297525"/>
      <w:bookmarkStart w:id="49" w:name="_Toc501616182"/>
      <w:bookmarkStart w:id="50" w:name="_Toc504050277"/>
      <w:bookmarkStart w:id="51" w:name="_Toc505693346"/>
      <w:r>
        <w:rPr>
          <w:rStyle w:val="CharDivNo"/>
        </w:rPr>
        <w:t>Division 1</w:t>
      </w:r>
      <w:r>
        <w:rPr>
          <w:snapToGrid w:val="0"/>
        </w:rPr>
        <w:t> — </w:t>
      </w:r>
      <w:r>
        <w:rPr>
          <w:rStyle w:val="CharDivText"/>
        </w:rPr>
        <w:t>General</w:t>
      </w:r>
      <w:bookmarkEnd w:id="46"/>
      <w:bookmarkEnd w:id="47"/>
      <w:bookmarkEnd w:id="48"/>
      <w:bookmarkEnd w:id="49"/>
      <w:bookmarkEnd w:id="50"/>
      <w:bookmarkEnd w:id="51"/>
    </w:p>
    <w:p>
      <w:pPr>
        <w:pStyle w:val="Heading5"/>
        <w:rPr>
          <w:snapToGrid w:val="0"/>
        </w:rPr>
      </w:pPr>
      <w:bookmarkStart w:id="52" w:name="_Toc132297526"/>
      <w:bookmarkStart w:id="53" w:name="_Toc504050278"/>
      <w:bookmarkStart w:id="54" w:name="_Toc505693347"/>
      <w:r>
        <w:rPr>
          <w:rStyle w:val="CharSectno"/>
        </w:rPr>
        <w:t>8</w:t>
      </w:r>
      <w:r>
        <w:rPr>
          <w:snapToGrid w:val="0"/>
        </w:rPr>
        <w:t>.</w:t>
      </w:r>
      <w:r>
        <w:rPr>
          <w:snapToGrid w:val="0"/>
        </w:rPr>
        <w:tab/>
        <w:t>Terms used</w:t>
      </w:r>
      <w:bookmarkEnd w:id="52"/>
      <w:bookmarkEnd w:id="53"/>
      <w:bookmarkEnd w:id="5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55" w:name="_Toc132297527"/>
      <w:bookmarkStart w:id="56" w:name="_Toc504050279"/>
      <w:bookmarkStart w:id="57" w:name="_Toc505693348"/>
      <w:r>
        <w:rPr>
          <w:rStyle w:val="CharSectno"/>
        </w:rPr>
        <w:t>9</w:t>
      </w:r>
      <w:r>
        <w:rPr>
          <w:snapToGrid w:val="0"/>
        </w:rPr>
        <w:t>.</w:t>
      </w:r>
      <w:r>
        <w:rPr>
          <w:snapToGrid w:val="0"/>
        </w:rPr>
        <w:tab/>
        <w:t>Mental unfitness to stand trial, definition</w:t>
      </w:r>
      <w:bookmarkEnd w:id="55"/>
      <w:bookmarkEnd w:id="56"/>
      <w:bookmarkEnd w:id="57"/>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 or</w:t>
      </w:r>
    </w:p>
    <w:p>
      <w:pPr>
        <w:pStyle w:val="Indenta"/>
        <w:rPr>
          <w:snapToGrid w:val="0"/>
        </w:rPr>
      </w:pPr>
      <w:r>
        <w:rPr>
          <w:snapToGrid w:val="0"/>
        </w:rPr>
        <w:tab/>
        <w:t>(b)</w:t>
      </w:r>
      <w:r>
        <w:rPr>
          <w:snapToGrid w:val="0"/>
        </w:rPr>
        <w:tab/>
        <w:t>unable to understand the requirement to plead to the charge or the effect of a plea; or</w:t>
      </w:r>
    </w:p>
    <w:p>
      <w:pPr>
        <w:pStyle w:val="Indenta"/>
        <w:rPr>
          <w:snapToGrid w:val="0"/>
        </w:rPr>
      </w:pPr>
      <w:r>
        <w:rPr>
          <w:snapToGrid w:val="0"/>
        </w:rPr>
        <w:tab/>
        <w:t>(c)</w:t>
      </w:r>
      <w:r>
        <w:rPr>
          <w:snapToGrid w:val="0"/>
        </w:rPr>
        <w:tab/>
        <w:t>unable to understand the purpose of a trial; or</w:t>
      </w:r>
    </w:p>
    <w:p>
      <w:pPr>
        <w:pStyle w:val="Indenta"/>
        <w:rPr>
          <w:snapToGrid w:val="0"/>
        </w:rPr>
      </w:pPr>
      <w:r>
        <w:rPr>
          <w:snapToGrid w:val="0"/>
        </w:rPr>
        <w:tab/>
        <w:t>(d)</w:t>
      </w:r>
      <w:r>
        <w:rPr>
          <w:snapToGrid w:val="0"/>
        </w:rPr>
        <w:tab/>
        <w:t>unable to understand or exercise the right to challenge jurors; or</w:t>
      </w:r>
    </w:p>
    <w:p>
      <w:pPr>
        <w:pStyle w:val="Indenta"/>
        <w:rPr>
          <w:snapToGrid w:val="0"/>
        </w:rPr>
      </w:pPr>
      <w:r>
        <w:rPr>
          <w:snapToGrid w:val="0"/>
        </w:rPr>
        <w:tab/>
        <w:t>(e)</w:t>
      </w:r>
      <w:r>
        <w:rPr>
          <w:snapToGrid w:val="0"/>
        </w:rPr>
        <w:tab/>
        <w:t>unable to follow the course of the trial; or</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No. 84 of 2004 s. 82.]</w:t>
      </w:r>
    </w:p>
    <w:p>
      <w:pPr>
        <w:pStyle w:val="Heading5"/>
        <w:rPr>
          <w:snapToGrid w:val="0"/>
        </w:rPr>
      </w:pPr>
      <w:bookmarkStart w:id="58" w:name="_Toc132297528"/>
      <w:bookmarkStart w:id="59" w:name="_Toc504050280"/>
      <w:bookmarkStart w:id="60" w:name="_Toc505693349"/>
      <w:r>
        <w:rPr>
          <w:rStyle w:val="CharSectno"/>
        </w:rPr>
        <w:t>10</w:t>
      </w:r>
      <w:r>
        <w:rPr>
          <w:snapToGrid w:val="0"/>
        </w:rPr>
        <w:t>.</w:t>
      </w:r>
      <w:r>
        <w:rPr>
          <w:snapToGrid w:val="0"/>
        </w:rPr>
        <w:tab/>
        <w:t>Presumptions as to mental fitness to stand trial</w:t>
      </w:r>
      <w:bookmarkEnd w:id="58"/>
      <w:bookmarkEnd w:id="59"/>
      <w:bookmarkEnd w:id="60"/>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r>
        <w:tab/>
        <w:t>[Section 10 amended: No. 84 of 2004 s. 82.]</w:t>
      </w:r>
    </w:p>
    <w:p>
      <w:pPr>
        <w:pStyle w:val="Heading5"/>
        <w:rPr>
          <w:snapToGrid w:val="0"/>
        </w:rPr>
      </w:pPr>
      <w:bookmarkStart w:id="61" w:name="_Toc132297529"/>
      <w:bookmarkStart w:id="62" w:name="_Toc504050281"/>
      <w:bookmarkStart w:id="63" w:name="_Toc505693350"/>
      <w:r>
        <w:rPr>
          <w:rStyle w:val="CharSectno"/>
        </w:rPr>
        <w:t>11</w:t>
      </w:r>
      <w:r>
        <w:rPr>
          <w:snapToGrid w:val="0"/>
        </w:rPr>
        <w:t>.</w:t>
      </w:r>
      <w:r>
        <w:rPr>
          <w:snapToGrid w:val="0"/>
        </w:rPr>
        <w:tab/>
        <w:t>When the question of mental fitness may be raised</w:t>
      </w:r>
      <w:bookmarkEnd w:id="61"/>
      <w:bookmarkEnd w:id="62"/>
      <w:bookmarkEnd w:id="63"/>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 or</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No. 59 of 2004 s. 141; No. 84 of 2004 s. 82; No. 2 of 2008 s. 60(2).]</w:t>
      </w:r>
    </w:p>
    <w:p>
      <w:pPr>
        <w:pStyle w:val="Heading5"/>
        <w:rPr>
          <w:snapToGrid w:val="0"/>
        </w:rPr>
      </w:pPr>
      <w:bookmarkStart w:id="64" w:name="_Toc132297530"/>
      <w:bookmarkStart w:id="65" w:name="_Toc504050282"/>
      <w:bookmarkStart w:id="66" w:name="_Toc505693351"/>
      <w:r>
        <w:rPr>
          <w:rStyle w:val="CharSectno"/>
        </w:rPr>
        <w:t>12</w:t>
      </w:r>
      <w:r>
        <w:rPr>
          <w:snapToGrid w:val="0"/>
        </w:rPr>
        <w:t>.</w:t>
      </w:r>
      <w:r>
        <w:rPr>
          <w:snapToGrid w:val="0"/>
        </w:rPr>
        <w:tab/>
        <w:t>Deciding the question of mental fitness</w:t>
      </w:r>
      <w:bookmarkEnd w:id="64"/>
      <w:bookmarkEnd w:id="65"/>
      <w:bookmarkEnd w:id="66"/>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r>
        <w:tab/>
        <w:t>[Section 12 amended: No. 84 of 2004 s. 82.]</w:t>
      </w:r>
    </w:p>
    <w:p>
      <w:pPr>
        <w:pStyle w:val="Heading5"/>
        <w:rPr>
          <w:snapToGrid w:val="0"/>
        </w:rPr>
      </w:pPr>
      <w:bookmarkStart w:id="67" w:name="_Toc132297531"/>
      <w:bookmarkStart w:id="68" w:name="_Toc504050283"/>
      <w:bookmarkStart w:id="69" w:name="_Toc505693352"/>
      <w:r>
        <w:rPr>
          <w:rStyle w:val="CharSectno"/>
        </w:rPr>
        <w:t>13</w:t>
      </w:r>
      <w:r>
        <w:rPr>
          <w:snapToGrid w:val="0"/>
        </w:rPr>
        <w:t>.</w:t>
      </w:r>
      <w:r>
        <w:rPr>
          <w:snapToGrid w:val="0"/>
        </w:rPr>
        <w:tab/>
        <w:t>Raising and deciding the question whether an accused has become mentally fit</w:t>
      </w:r>
      <w:bookmarkEnd w:id="67"/>
      <w:bookmarkEnd w:id="68"/>
      <w:bookmarkEnd w:id="69"/>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r>
        <w:tab/>
        <w:t>[Section 13 amended: No. 84 of 2004 s. 82.]</w:t>
      </w:r>
    </w:p>
    <w:p>
      <w:pPr>
        <w:pStyle w:val="Heading5"/>
        <w:rPr>
          <w:snapToGrid w:val="0"/>
        </w:rPr>
      </w:pPr>
      <w:bookmarkStart w:id="70" w:name="_Toc132297532"/>
      <w:bookmarkStart w:id="71" w:name="_Toc504050284"/>
      <w:bookmarkStart w:id="72" w:name="_Toc505693353"/>
      <w:r>
        <w:rPr>
          <w:rStyle w:val="CharSectno"/>
        </w:rPr>
        <w:t>14</w:t>
      </w:r>
      <w:r>
        <w:rPr>
          <w:snapToGrid w:val="0"/>
        </w:rPr>
        <w:t>.</w:t>
      </w:r>
      <w:r>
        <w:rPr>
          <w:snapToGrid w:val="0"/>
        </w:rPr>
        <w:tab/>
        <w:t>Adjournments, courts’ powers on</w:t>
      </w:r>
      <w:bookmarkEnd w:id="70"/>
      <w:bookmarkEnd w:id="71"/>
      <w:bookmarkEnd w:id="72"/>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r>
        <w:tab/>
        <w:t>[Section 14 amended: No. 84 of 2004 s. 82.]</w:t>
      </w:r>
    </w:p>
    <w:p>
      <w:pPr>
        <w:pStyle w:val="Heading3"/>
        <w:rPr>
          <w:snapToGrid w:val="0"/>
        </w:rPr>
      </w:pPr>
      <w:bookmarkStart w:id="73" w:name="_Toc132189337"/>
      <w:bookmarkStart w:id="74" w:name="_Toc132189590"/>
      <w:bookmarkStart w:id="75" w:name="_Toc132297533"/>
      <w:bookmarkStart w:id="76" w:name="_Toc501616190"/>
      <w:bookmarkStart w:id="77" w:name="_Toc504050285"/>
      <w:bookmarkStart w:id="78" w:name="_Toc505693354"/>
      <w:r>
        <w:rPr>
          <w:rStyle w:val="CharDivNo"/>
        </w:rPr>
        <w:t>Division 2</w:t>
      </w:r>
      <w:r>
        <w:rPr>
          <w:snapToGrid w:val="0"/>
        </w:rPr>
        <w:t> — </w:t>
      </w:r>
      <w:r>
        <w:rPr>
          <w:rStyle w:val="CharDivText"/>
        </w:rPr>
        <w:t>Proceedings in courts of summary jurisdiction</w:t>
      </w:r>
      <w:bookmarkEnd w:id="73"/>
      <w:bookmarkEnd w:id="74"/>
      <w:bookmarkEnd w:id="75"/>
      <w:bookmarkEnd w:id="76"/>
      <w:bookmarkEnd w:id="77"/>
      <w:bookmarkEnd w:id="78"/>
    </w:p>
    <w:p>
      <w:pPr>
        <w:pStyle w:val="Heading5"/>
        <w:rPr>
          <w:snapToGrid w:val="0"/>
        </w:rPr>
      </w:pPr>
      <w:bookmarkStart w:id="79" w:name="_Toc132297534"/>
      <w:bookmarkStart w:id="80" w:name="_Toc504050286"/>
      <w:bookmarkStart w:id="81" w:name="_Toc505693355"/>
      <w:r>
        <w:rPr>
          <w:rStyle w:val="CharSectno"/>
        </w:rPr>
        <w:t>15</w:t>
      </w:r>
      <w:r>
        <w:rPr>
          <w:snapToGrid w:val="0"/>
        </w:rPr>
        <w:t>.</w:t>
      </w:r>
      <w:r>
        <w:rPr>
          <w:snapToGrid w:val="0"/>
        </w:rPr>
        <w:tab/>
        <w:t>Application</w:t>
      </w:r>
      <w:bookmarkEnd w:id="79"/>
      <w:bookmarkEnd w:id="80"/>
      <w:bookmarkEnd w:id="81"/>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r>
        <w:tab/>
        <w:t>[Section 15 amended: No. 84 of 2004 s. 82.]</w:t>
      </w:r>
    </w:p>
    <w:p>
      <w:pPr>
        <w:pStyle w:val="Heading5"/>
        <w:rPr>
          <w:snapToGrid w:val="0"/>
        </w:rPr>
      </w:pPr>
      <w:bookmarkStart w:id="82" w:name="_Toc132297535"/>
      <w:bookmarkStart w:id="83" w:name="_Toc504050287"/>
      <w:bookmarkStart w:id="84" w:name="_Toc505693356"/>
      <w:r>
        <w:rPr>
          <w:rStyle w:val="CharSectno"/>
        </w:rPr>
        <w:t>16</w:t>
      </w:r>
      <w:r>
        <w:rPr>
          <w:snapToGrid w:val="0"/>
        </w:rPr>
        <w:t>.</w:t>
      </w:r>
      <w:r>
        <w:rPr>
          <w:snapToGrid w:val="0"/>
        </w:rPr>
        <w:tab/>
        <w:t>Procedure for offences triable summarily</w:t>
      </w:r>
      <w:bookmarkEnd w:id="82"/>
      <w:bookmarkEnd w:id="83"/>
      <w:bookmarkEnd w:id="84"/>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 and</w:t>
      </w:r>
    </w:p>
    <w:p>
      <w:pPr>
        <w:pStyle w:val="Indenta"/>
        <w:rPr>
          <w:snapToGrid w:val="0"/>
        </w:rPr>
      </w:pPr>
      <w:r>
        <w:rPr>
          <w:snapToGrid w:val="0"/>
        </w:rPr>
        <w:tab/>
        <w:t>(b)</w:t>
      </w:r>
      <w:r>
        <w:rPr>
          <w:snapToGrid w:val="0"/>
        </w:rPr>
        <w:tab/>
        <w:t>the nature of the alleged offence and the alleged circumstances of its commission; and</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No. 59 of 2004 s. 141; No. 84 of 2004 s. 80 and 82.]</w:t>
      </w:r>
    </w:p>
    <w:p>
      <w:pPr>
        <w:pStyle w:val="Heading5"/>
      </w:pPr>
      <w:bookmarkStart w:id="85" w:name="_Toc132297536"/>
      <w:bookmarkStart w:id="86" w:name="_Toc504050288"/>
      <w:bookmarkStart w:id="87" w:name="_Toc505693357"/>
      <w:r>
        <w:rPr>
          <w:rStyle w:val="CharSectno"/>
        </w:rPr>
        <w:t>17</w:t>
      </w:r>
      <w:r>
        <w:t>.</w:t>
      </w:r>
      <w:r>
        <w:tab/>
        <w:t>Procedure for indictable offences</w:t>
      </w:r>
      <w:bookmarkEnd w:id="85"/>
      <w:bookmarkEnd w:id="86"/>
      <w:bookmarkEnd w:id="87"/>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spacing w:before="60"/>
      </w:pPr>
      <w:r>
        <w:tab/>
        <w:t>(a)</w:t>
      </w:r>
      <w:r>
        <w:tab/>
        <w:t>that must be dealt with on indictment; or</w:t>
      </w:r>
    </w:p>
    <w:p>
      <w:pPr>
        <w:pStyle w:val="Indenta"/>
        <w:spacing w:before="60"/>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No. 4 of 2004 s. 58; amended: No. 59 of 2004 s. 141; No. 84 of 2004 s. 78 and 82.]</w:t>
      </w:r>
    </w:p>
    <w:p>
      <w:pPr>
        <w:pStyle w:val="Heading3"/>
        <w:rPr>
          <w:snapToGrid w:val="0"/>
        </w:rPr>
      </w:pPr>
      <w:bookmarkStart w:id="88" w:name="_Toc132189341"/>
      <w:bookmarkStart w:id="89" w:name="_Toc132189594"/>
      <w:bookmarkStart w:id="90" w:name="_Toc132297537"/>
      <w:bookmarkStart w:id="91" w:name="_Toc501616194"/>
      <w:bookmarkStart w:id="92" w:name="_Toc504050289"/>
      <w:bookmarkStart w:id="93" w:name="_Toc505693358"/>
      <w:r>
        <w:rPr>
          <w:rStyle w:val="CharDivNo"/>
        </w:rPr>
        <w:t>Division 3</w:t>
      </w:r>
      <w:r>
        <w:rPr>
          <w:snapToGrid w:val="0"/>
        </w:rPr>
        <w:t> — </w:t>
      </w:r>
      <w:r>
        <w:rPr>
          <w:rStyle w:val="CharDivText"/>
        </w:rPr>
        <w:t>Proceedings in the Supreme Court and District Court</w:t>
      </w:r>
      <w:bookmarkEnd w:id="88"/>
      <w:bookmarkEnd w:id="89"/>
      <w:bookmarkEnd w:id="90"/>
      <w:bookmarkEnd w:id="91"/>
      <w:bookmarkEnd w:id="92"/>
      <w:bookmarkEnd w:id="93"/>
    </w:p>
    <w:p>
      <w:pPr>
        <w:pStyle w:val="Footnoteheading"/>
      </w:pPr>
      <w:r>
        <w:tab/>
        <w:t>[Heading amended: No. 59 of 2004 s. 141.]</w:t>
      </w:r>
    </w:p>
    <w:p>
      <w:pPr>
        <w:pStyle w:val="Heading5"/>
        <w:rPr>
          <w:snapToGrid w:val="0"/>
        </w:rPr>
      </w:pPr>
      <w:bookmarkStart w:id="94" w:name="_Toc132297538"/>
      <w:bookmarkStart w:id="95" w:name="_Toc504050290"/>
      <w:bookmarkStart w:id="96" w:name="_Toc505693359"/>
      <w:r>
        <w:rPr>
          <w:rStyle w:val="CharSectno"/>
        </w:rPr>
        <w:t>18</w:t>
      </w:r>
      <w:r>
        <w:rPr>
          <w:snapToGrid w:val="0"/>
        </w:rPr>
        <w:t>.</w:t>
      </w:r>
      <w:r>
        <w:rPr>
          <w:snapToGrid w:val="0"/>
        </w:rPr>
        <w:tab/>
        <w:t>Application</w:t>
      </w:r>
      <w:bookmarkEnd w:id="94"/>
      <w:bookmarkEnd w:id="95"/>
      <w:bookmarkEnd w:id="96"/>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No. 59 of 2004 s. 141; No. 84 of 2004 s. 82.]</w:t>
      </w:r>
    </w:p>
    <w:p>
      <w:pPr>
        <w:pStyle w:val="Heading5"/>
        <w:rPr>
          <w:snapToGrid w:val="0"/>
        </w:rPr>
      </w:pPr>
      <w:bookmarkStart w:id="97" w:name="_Toc132297539"/>
      <w:bookmarkStart w:id="98" w:name="_Toc504050291"/>
      <w:bookmarkStart w:id="99" w:name="_Toc505693360"/>
      <w:r>
        <w:rPr>
          <w:rStyle w:val="CharSectno"/>
        </w:rPr>
        <w:t>19</w:t>
      </w:r>
      <w:r>
        <w:rPr>
          <w:snapToGrid w:val="0"/>
        </w:rPr>
        <w:t>.</w:t>
      </w:r>
      <w:r>
        <w:rPr>
          <w:snapToGrid w:val="0"/>
        </w:rPr>
        <w:tab/>
        <w:t>Procedure</w:t>
      </w:r>
      <w:bookmarkEnd w:id="97"/>
      <w:bookmarkEnd w:id="98"/>
      <w:bookmarkEnd w:id="99"/>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 and</w:t>
      </w:r>
    </w:p>
    <w:p>
      <w:pPr>
        <w:pStyle w:val="Indenta"/>
        <w:rPr>
          <w:snapToGrid w:val="0"/>
        </w:rPr>
      </w:pPr>
      <w:r>
        <w:rPr>
          <w:snapToGrid w:val="0"/>
        </w:rPr>
        <w:tab/>
        <w:t>(b)</w:t>
      </w:r>
      <w:r>
        <w:rPr>
          <w:snapToGrid w:val="0"/>
        </w:rPr>
        <w:tab/>
        <w:t>the nature of the alleged offence and the alleged circumstances of its commission; and</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No. 84 of 2004 s. 80 and 82.]</w:t>
      </w:r>
    </w:p>
    <w:p>
      <w:pPr>
        <w:pStyle w:val="Heading2"/>
      </w:pPr>
      <w:bookmarkStart w:id="100" w:name="_Toc132189344"/>
      <w:bookmarkStart w:id="101" w:name="_Toc132189597"/>
      <w:bookmarkStart w:id="102" w:name="_Toc132297540"/>
      <w:bookmarkStart w:id="103" w:name="_Toc501616197"/>
      <w:bookmarkStart w:id="104" w:name="_Toc504050292"/>
      <w:bookmarkStart w:id="105" w:name="_Toc505693361"/>
      <w:r>
        <w:rPr>
          <w:rStyle w:val="CharPartNo"/>
        </w:rPr>
        <w:t>Part 4</w:t>
      </w:r>
      <w:r>
        <w:rPr>
          <w:rStyle w:val="CharDivNo"/>
        </w:rPr>
        <w:t> </w:t>
      </w:r>
      <w:r>
        <w:t>—</w:t>
      </w:r>
      <w:r>
        <w:rPr>
          <w:rStyle w:val="CharDivText"/>
        </w:rPr>
        <w:t> </w:t>
      </w:r>
      <w:r>
        <w:rPr>
          <w:rStyle w:val="CharPartText"/>
        </w:rPr>
        <w:t>Accused acquitted on account of unsoundness of mind</w:t>
      </w:r>
      <w:bookmarkEnd w:id="100"/>
      <w:bookmarkEnd w:id="101"/>
      <w:bookmarkEnd w:id="102"/>
      <w:bookmarkEnd w:id="103"/>
      <w:bookmarkEnd w:id="104"/>
      <w:bookmarkEnd w:id="105"/>
    </w:p>
    <w:p>
      <w:pPr>
        <w:pStyle w:val="Footnoteheading"/>
        <w:tabs>
          <w:tab w:val="left" w:pos="851"/>
        </w:tabs>
      </w:pPr>
      <w:r>
        <w:tab/>
        <w:t>[Heading amended: No. 84 of 2004 s. 82.]</w:t>
      </w:r>
    </w:p>
    <w:p>
      <w:pPr>
        <w:pStyle w:val="Heading5"/>
        <w:rPr>
          <w:snapToGrid w:val="0"/>
        </w:rPr>
      </w:pPr>
      <w:bookmarkStart w:id="106" w:name="_Toc132297541"/>
      <w:bookmarkStart w:id="107" w:name="_Toc504050293"/>
      <w:bookmarkStart w:id="108" w:name="_Toc505693362"/>
      <w:r>
        <w:rPr>
          <w:rStyle w:val="CharSectno"/>
        </w:rPr>
        <w:t>20</w:t>
      </w:r>
      <w:r>
        <w:rPr>
          <w:snapToGrid w:val="0"/>
        </w:rPr>
        <w:t>.</w:t>
      </w:r>
      <w:r>
        <w:rPr>
          <w:snapToGrid w:val="0"/>
        </w:rPr>
        <w:tab/>
        <w:t>Powers of courts of summary jurisdiction</w:t>
      </w:r>
      <w:bookmarkEnd w:id="106"/>
      <w:bookmarkEnd w:id="107"/>
      <w:bookmarkEnd w:id="108"/>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No. 59 of 2004 s. 141; No. 84 of 2004 s. 78 and 82.]</w:t>
      </w:r>
    </w:p>
    <w:p>
      <w:pPr>
        <w:pStyle w:val="Heading5"/>
        <w:rPr>
          <w:snapToGrid w:val="0"/>
        </w:rPr>
      </w:pPr>
      <w:bookmarkStart w:id="109" w:name="_Toc132297542"/>
      <w:bookmarkStart w:id="110" w:name="_Toc504050294"/>
      <w:bookmarkStart w:id="111" w:name="_Toc505693363"/>
      <w:r>
        <w:rPr>
          <w:rStyle w:val="CharSectno"/>
        </w:rPr>
        <w:t>21</w:t>
      </w:r>
      <w:r>
        <w:rPr>
          <w:snapToGrid w:val="0"/>
        </w:rPr>
        <w:t>.</w:t>
      </w:r>
      <w:r>
        <w:rPr>
          <w:snapToGrid w:val="0"/>
        </w:rPr>
        <w:tab/>
        <w:t>Powers of superior courts</w:t>
      </w:r>
      <w:bookmarkEnd w:id="109"/>
      <w:bookmarkEnd w:id="110"/>
      <w:bookmarkEnd w:id="111"/>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r>
        <w:tab/>
        <w:t>[Section 21 amended: No. 84 of 2004 s. 78; No. 2 of 2008 s. 60(3).]</w:t>
      </w:r>
    </w:p>
    <w:p>
      <w:pPr>
        <w:pStyle w:val="Heading5"/>
        <w:rPr>
          <w:snapToGrid w:val="0"/>
        </w:rPr>
      </w:pPr>
      <w:bookmarkStart w:id="112" w:name="_Toc132297543"/>
      <w:bookmarkStart w:id="113" w:name="_Toc504050295"/>
      <w:bookmarkStart w:id="114" w:name="_Toc505693364"/>
      <w:r>
        <w:rPr>
          <w:rStyle w:val="CharSectno"/>
        </w:rPr>
        <w:t>22</w:t>
      </w:r>
      <w:r>
        <w:rPr>
          <w:snapToGrid w:val="0"/>
        </w:rPr>
        <w:t>.</w:t>
      </w:r>
      <w:r>
        <w:rPr>
          <w:snapToGrid w:val="0"/>
        </w:rPr>
        <w:tab/>
        <w:t>Orders that may be made by courts</w:t>
      </w:r>
      <w:bookmarkEnd w:id="112"/>
      <w:bookmarkEnd w:id="113"/>
      <w:bookmarkEnd w:id="114"/>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 and</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 and</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No. 84 of 2004 s. 82.]</w:t>
      </w:r>
    </w:p>
    <w:p>
      <w:pPr>
        <w:pStyle w:val="Heading2"/>
      </w:pPr>
      <w:bookmarkStart w:id="115" w:name="_Toc132189348"/>
      <w:bookmarkStart w:id="116" w:name="_Toc132189601"/>
      <w:bookmarkStart w:id="117" w:name="_Toc132297544"/>
      <w:bookmarkStart w:id="118" w:name="_Toc501616201"/>
      <w:bookmarkStart w:id="119" w:name="_Toc504050296"/>
      <w:bookmarkStart w:id="120" w:name="_Toc505693365"/>
      <w:r>
        <w:rPr>
          <w:rStyle w:val="CharPartNo"/>
        </w:rPr>
        <w:t>Part 5</w:t>
      </w:r>
      <w:r>
        <w:t> — </w:t>
      </w:r>
      <w:r>
        <w:rPr>
          <w:rStyle w:val="CharPartText"/>
        </w:rPr>
        <w:t>Mentally impaired accused</w:t>
      </w:r>
      <w:bookmarkEnd w:id="115"/>
      <w:bookmarkEnd w:id="116"/>
      <w:bookmarkEnd w:id="117"/>
      <w:bookmarkEnd w:id="118"/>
      <w:bookmarkEnd w:id="119"/>
      <w:bookmarkEnd w:id="120"/>
    </w:p>
    <w:p>
      <w:pPr>
        <w:pStyle w:val="Footnoteheading"/>
        <w:tabs>
          <w:tab w:val="left" w:pos="851"/>
        </w:tabs>
      </w:pPr>
      <w:r>
        <w:tab/>
        <w:t>[Heading amended: No. 84 of 2004 s. 82.]</w:t>
      </w:r>
    </w:p>
    <w:p>
      <w:pPr>
        <w:pStyle w:val="Heading3"/>
        <w:rPr>
          <w:snapToGrid w:val="0"/>
        </w:rPr>
      </w:pPr>
      <w:bookmarkStart w:id="121" w:name="_Toc132189349"/>
      <w:bookmarkStart w:id="122" w:name="_Toc132189602"/>
      <w:bookmarkStart w:id="123" w:name="_Toc132297545"/>
      <w:bookmarkStart w:id="124" w:name="_Toc501616202"/>
      <w:bookmarkStart w:id="125" w:name="_Toc504050297"/>
      <w:bookmarkStart w:id="126" w:name="_Toc505693366"/>
      <w:r>
        <w:rPr>
          <w:rStyle w:val="CharDivNo"/>
        </w:rPr>
        <w:t>Division 1</w:t>
      </w:r>
      <w:r>
        <w:rPr>
          <w:snapToGrid w:val="0"/>
        </w:rPr>
        <w:t> — </w:t>
      </w:r>
      <w:r>
        <w:rPr>
          <w:rStyle w:val="CharDivText"/>
        </w:rPr>
        <w:t>Preliminary</w:t>
      </w:r>
      <w:bookmarkEnd w:id="121"/>
      <w:bookmarkEnd w:id="122"/>
      <w:bookmarkEnd w:id="123"/>
      <w:bookmarkEnd w:id="124"/>
      <w:bookmarkEnd w:id="125"/>
      <w:bookmarkEnd w:id="126"/>
    </w:p>
    <w:p>
      <w:pPr>
        <w:pStyle w:val="Heading5"/>
        <w:rPr>
          <w:snapToGrid w:val="0"/>
        </w:rPr>
      </w:pPr>
      <w:bookmarkStart w:id="127" w:name="_Toc132297546"/>
      <w:bookmarkStart w:id="128" w:name="_Toc504050298"/>
      <w:bookmarkStart w:id="129" w:name="_Toc505693367"/>
      <w:r>
        <w:rPr>
          <w:rStyle w:val="CharSectno"/>
        </w:rPr>
        <w:t>23</w:t>
      </w:r>
      <w:r>
        <w:rPr>
          <w:snapToGrid w:val="0"/>
        </w:rPr>
        <w:t>.</w:t>
      </w:r>
      <w:r>
        <w:rPr>
          <w:snapToGrid w:val="0"/>
        </w:rPr>
        <w:tab/>
        <w:t>Terms used</w:t>
      </w:r>
      <w:bookmarkEnd w:id="127"/>
      <w:bookmarkEnd w:id="128"/>
      <w:bookmarkEnd w:id="12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 No. 84 of 2004 s. 82; No. 25 of  2014 s. 14.]</w:t>
      </w:r>
    </w:p>
    <w:p>
      <w:pPr>
        <w:pStyle w:val="Footnotesection"/>
      </w:pPr>
      <w:r>
        <w:tab/>
        <w:t>[Section 23. Modifications to be applied in order to give effect to Cross-border Justice Act 2008: section altered 1 Nov 2009. See endnote 1M.]</w:t>
      </w:r>
    </w:p>
    <w:p>
      <w:pPr>
        <w:pStyle w:val="Heading3"/>
        <w:rPr>
          <w:snapToGrid w:val="0"/>
        </w:rPr>
      </w:pPr>
      <w:bookmarkStart w:id="130" w:name="_Toc132189351"/>
      <w:bookmarkStart w:id="131" w:name="_Toc132189604"/>
      <w:bookmarkStart w:id="132" w:name="_Toc132297547"/>
      <w:bookmarkStart w:id="133" w:name="_Toc501616204"/>
      <w:bookmarkStart w:id="134" w:name="_Toc504050299"/>
      <w:bookmarkStart w:id="135" w:name="_Toc505693368"/>
      <w:r>
        <w:rPr>
          <w:rStyle w:val="CharDivNo"/>
        </w:rPr>
        <w:t>Division 2</w:t>
      </w:r>
      <w:r>
        <w:rPr>
          <w:snapToGrid w:val="0"/>
        </w:rPr>
        <w:t> — </w:t>
      </w:r>
      <w:r>
        <w:rPr>
          <w:rStyle w:val="CharDivText"/>
        </w:rPr>
        <w:t>Place of custody</w:t>
      </w:r>
      <w:bookmarkEnd w:id="130"/>
      <w:bookmarkEnd w:id="131"/>
      <w:bookmarkEnd w:id="132"/>
      <w:bookmarkEnd w:id="133"/>
      <w:bookmarkEnd w:id="134"/>
      <w:bookmarkEnd w:id="135"/>
    </w:p>
    <w:p>
      <w:pPr>
        <w:pStyle w:val="Heading5"/>
        <w:rPr>
          <w:snapToGrid w:val="0"/>
        </w:rPr>
      </w:pPr>
      <w:bookmarkStart w:id="136" w:name="_Toc132297548"/>
      <w:bookmarkStart w:id="137" w:name="_Toc504050300"/>
      <w:bookmarkStart w:id="138" w:name="_Toc505693369"/>
      <w:r>
        <w:rPr>
          <w:rStyle w:val="CharSectno"/>
        </w:rPr>
        <w:t>24</w:t>
      </w:r>
      <w:r>
        <w:rPr>
          <w:snapToGrid w:val="0"/>
        </w:rPr>
        <w:t>.</w:t>
      </w:r>
      <w:r>
        <w:rPr>
          <w:snapToGrid w:val="0"/>
        </w:rPr>
        <w:tab/>
        <w:t>General effect of custody order</w:t>
      </w:r>
      <w:bookmarkEnd w:id="136"/>
      <w:bookmarkEnd w:id="137"/>
      <w:bookmarkEnd w:id="138"/>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 and</w:t>
      </w:r>
    </w:p>
    <w:p>
      <w:pPr>
        <w:pStyle w:val="Indenta"/>
      </w:pPr>
      <w:r>
        <w:tab/>
        <w:t>(b)</w:t>
      </w:r>
      <w:r>
        <w:tab/>
        <w:t xml:space="preserve">that, because of the mental illness, there is — </w:t>
      </w:r>
    </w:p>
    <w:p>
      <w:pPr>
        <w:pStyle w:val="Indenti"/>
      </w:pPr>
      <w:r>
        <w:tab/>
        <w:t>(i)</w:t>
      </w:r>
      <w:r>
        <w:tab/>
        <w:t>a significant risk to the health or safety of the accused or to the safety of another person; or</w:t>
      </w:r>
    </w:p>
    <w:p>
      <w:pPr>
        <w:pStyle w:val="Indenti"/>
      </w:pPr>
      <w:r>
        <w:tab/>
        <w:t>(ii)</w:t>
      </w:r>
      <w:r>
        <w:tab/>
        <w:t>a significant risk of serious harm to the accused or to another person;</w:t>
      </w:r>
    </w:p>
    <w:p>
      <w:pPr>
        <w:pStyle w:val="Indenta"/>
      </w:pPr>
      <w:r>
        <w:tab/>
      </w:r>
      <w:r>
        <w:tab/>
        <w:t>and</w:t>
      </w:r>
    </w:p>
    <w:p>
      <w:pPr>
        <w:pStyle w:val="Indenta"/>
      </w:pPr>
      <w:r>
        <w:tab/>
        <w:t>(c)</w:t>
      </w:r>
      <w:r>
        <w:tab/>
        <w:t>the accused does not have the capacity to consent to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pPr>
      <w:r>
        <w:tab/>
        <w:t>(5A)</w:t>
      </w:r>
      <w:r>
        <w:tab/>
        <w:t xml:space="preserve">A mentally impaired accused is not to be detained in a declared place that is established by the Disability Services Commission under the </w:t>
      </w:r>
      <w:r>
        <w:rPr>
          <w:i/>
        </w:rPr>
        <w:t>Disability Services Act 1993</w:t>
      </w:r>
      <w:r>
        <w:t xml:space="preserve"> (a </w:t>
      </w:r>
      <w:r>
        <w:rPr>
          <w:rStyle w:val="CharDefText"/>
        </w:rPr>
        <w:t>DSC declared place</w:t>
      </w:r>
      <w:r>
        <w:t>) unless the Board —</w:t>
      </w:r>
    </w:p>
    <w:p>
      <w:pPr>
        <w:pStyle w:val="Indenta"/>
      </w:pPr>
      <w:r>
        <w:tab/>
        <w:t>(a)</w:t>
      </w:r>
      <w:r>
        <w:tab/>
        <w:t xml:space="preserve">is satisfied that the accused is a person with disability as defined in the </w:t>
      </w:r>
      <w:r>
        <w:rPr>
          <w:i/>
        </w:rPr>
        <w:t xml:space="preserve">Disability Services Act 1993 </w:t>
      </w:r>
      <w:r>
        <w:t>section 3 and the predominant reason for the disability is not mental illness; and</w:t>
      </w:r>
    </w:p>
    <w:p>
      <w:pPr>
        <w:pStyle w:val="Indenta"/>
      </w:pPr>
      <w:r>
        <w:tab/>
        <w:t>(b)</w:t>
      </w:r>
      <w:r>
        <w:tab/>
        <w:t>is satisfied that the accused has reached 16 years of age; and</w:t>
      </w:r>
    </w:p>
    <w:p>
      <w:pPr>
        <w:pStyle w:val="Indenta"/>
      </w:pPr>
      <w:r>
        <w:tab/>
        <w:t>(c)</w:t>
      </w:r>
      <w:r>
        <w:tab/>
        <w:t>has regard to the degree of risk that the accused’s detention in the declared place appears to present to the personal safety of people in the community or of any individual in the community.</w:t>
      </w:r>
    </w:p>
    <w:p>
      <w:pPr>
        <w:pStyle w:val="Subsection"/>
      </w:pPr>
      <w:r>
        <w:tab/>
        <w:t>(5B)</w:t>
      </w:r>
      <w:r>
        <w:tab/>
        <w:t>The Board may determine that a mentally impaired accused be detained in a DSC declared place only if the member referred to in section 42(1)(bb) is present at the meeting at which the custody order is made.</w:t>
      </w:r>
    </w:p>
    <w:p>
      <w:pPr>
        <w:pStyle w:val="Subsection"/>
      </w:pPr>
      <w:r>
        <w:tab/>
        <w:t>(5C)</w:t>
      </w:r>
      <w:r>
        <w:tab/>
        <w:t xml:space="preserve">Despite subsection (1), even if the Board determines that a mentally impaired accused should be detained in a DSC declared place, the accused is not to be detained in a DSC declared place without the consent of the Minister to whom the </w:t>
      </w:r>
      <w:r>
        <w:rPr>
          <w:i/>
        </w:rPr>
        <w:t>Disability Services Act 1993</w:t>
      </w:r>
      <w:r>
        <w:t xml:space="preserve"> is for the time being committed.</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No. 84 of 2004 s. 82; No. 25 of 2014 s. 15; No. 4 of 2015 s. 66.]</w:t>
      </w:r>
    </w:p>
    <w:p>
      <w:pPr>
        <w:pStyle w:val="Heading5"/>
        <w:rPr>
          <w:snapToGrid w:val="0"/>
        </w:rPr>
      </w:pPr>
      <w:bookmarkStart w:id="139" w:name="_Toc132297549"/>
      <w:bookmarkStart w:id="140" w:name="_Toc504050301"/>
      <w:bookmarkStart w:id="141" w:name="_Toc505693370"/>
      <w:r>
        <w:rPr>
          <w:rStyle w:val="CharSectno"/>
        </w:rPr>
        <w:t>25</w:t>
      </w:r>
      <w:r>
        <w:rPr>
          <w:snapToGrid w:val="0"/>
        </w:rPr>
        <w:t>.</w:t>
      </w:r>
      <w:r>
        <w:rPr>
          <w:snapToGrid w:val="0"/>
        </w:rPr>
        <w:tab/>
        <w:t>Place of custody to be determined within 5 days of order</w:t>
      </w:r>
      <w:bookmarkEnd w:id="139"/>
      <w:bookmarkEnd w:id="140"/>
      <w:bookmarkEnd w:id="141"/>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 xml:space="preserve">if when the custody order is made the accused is in an authorised hospital having been admitted, whether as an </w:t>
      </w:r>
      <w:r>
        <w:t>involuntary inpatient</w:t>
      </w:r>
      <w:r>
        <w:rPr>
          <w:snapToGrid w:val="0"/>
        </w:rPr>
        <w:t xml:space="preserve">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pPr>
      <w:r>
        <w:tab/>
        <w:t>(a)</w:t>
      </w:r>
      <w:r>
        <w:tab/>
        <w:t xml:space="preserve">if admitted to the authorised hospital as an involuntary inpatient — is not entitled to be released from the hospital under the </w:t>
      </w:r>
      <w:r>
        <w:rPr>
          <w:i/>
        </w:rPr>
        <w:t>Mental Health Act 2014</w:t>
      </w:r>
      <w:r>
        <w:t xml:space="preserve"> Part 7 Division 4 or to be granted leave of absence under Part 7 Division 6 of that Act; or</w:t>
      </w:r>
    </w:p>
    <w:p>
      <w:pPr>
        <w:pStyle w:val="Indenta"/>
        <w:keepNext/>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r>
        <w:tab/>
        <w:t>[Section 25 amended: No. 84 of 2004 s. 82; No. 25 of  2014 s. 16.]</w:t>
      </w:r>
    </w:p>
    <w:p>
      <w:pPr>
        <w:pStyle w:val="Footnotesection"/>
      </w:pPr>
      <w:r>
        <w:tab/>
        <w:t>[Section 25. Modifications to be applied in order to give effect to Cross-border Justice Act 2008: section altered 1 Nov 2009. See endnote 1M.]</w:t>
      </w:r>
    </w:p>
    <w:p>
      <w:pPr>
        <w:pStyle w:val="Heading5"/>
        <w:rPr>
          <w:snapToGrid w:val="0"/>
        </w:rPr>
      </w:pPr>
      <w:bookmarkStart w:id="142" w:name="_Toc132297550"/>
      <w:bookmarkStart w:id="143" w:name="_Toc504050302"/>
      <w:bookmarkStart w:id="144" w:name="_Toc505693371"/>
      <w:r>
        <w:rPr>
          <w:rStyle w:val="CharSectno"/>
        </w:rPr>
        <w:t>26</w:t>
      </w:r>
      <w:r>
        <w:rPr>
          <w:snapToGrid w:val="0"/>
        </w:rPr>
        <w:t>.</w:t>
      </w:r>
      <w:r>
        <w:rPr>
          <w:snapToGrid w:val="0"/>
        </w:rPr>
        <w:tab/>
        <w:t>Place of custody may be changed</w:t>
      </w:r>
      <w:bookmarkEnd w:id="142"/>
      <w:bookmarkEnd w:id="143"/>
      <w:bookmarkEnd w:id="144"/>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No. 84 of 2004 s. 82.]</w:t>
      </w:r>
    </w:p>
    <w:p>
      <w:pPr>
        <w:pStyle w:val="Footnotesection"/>
      </w:pPr>
      <w:r>
        <w:tab/>
        <w:t>[Section 26. Modifications to be applied in order to give effect to Cross-border Justice Act 2008: section altered 1 Nov 2009. See endnote 1M.]</w:t>
      </w:r>
    </w:p>
    <w:p>
      <w:pPr>
        <w:pStyle w:val="Heading3"/>
        <w:rPr>
          <w:snapToGrid w:val="0"/>
        </w:rPr>
      </w:pPr>
      <w:bookmarkStart w:id="145" w:name="_Toc132189355"/>
      <w:bookmarkStart w:id="146" w:name="_Toc132189608"/>
      <w:bookmarkStart w:id="147" w:name="_Toc132297551"/>
      <w:bookmarkStart w:id="148" w:name="_Toc501616208"/>
      <w:bookmarkStart w:id="149" w:name="_Toc504050303"/>
      <w:bookmarkStart w:id="150" w:name="_Toc505693372"/>
      <w:r>
        <w:rPr>
          <w:rStyle w:val="CharDivNo"/>
        </w:rPr>
        <w:t>Division 3</w:t>
      </w:r>
      <w:r>
        <w:rPr>
          <w:snapToGrid w:val="0"/>
        </w:rPr>
        <w:t> — </w:t>
      </w:r>
      <w:r>
        <w:rPr>
          <w:rStyle w:val="CharDivText"/>
        </w:rPr>
        <w:t>Leave of absence</w:t>
      </w:r>
      <w:bookmarkEnd w:id="145"/>
      <w:bookmarkEnd w:id="146"/>
      <w:bookmarkEnd w:id="147"/>
      <w:bookmarkEnd w:id="148"/>
      <w:bookmarkEnd w:id="149"/>
      <w:bookmarkEnd w:id="150"/>
    </w:p>
    <w:p>
      <w:pPr>
        <w:pStyle w:val="Heading5"/>
        <w:rPr>
          <w:snapToGrid w:val="0"/>
        </w:rPr>
      </w:pPr>
      <w:bookmarkStart w:id="151" w:name="_Toc132297552"/>
      <w:bookmarkStart w:id="152" w:name="_Toc504050304"/>
      <w:bookmarkStart w:id="153" w:name="_Toc505693373"/>
      <w:r>
        <w:rPr>
          <w:rStyle w:val="CharSectno"/>
        </w:rPr>
        <w:t>27</w:t>
      </w:r>
      <w:r>
        <w:rPr>
          <w:snapToGrid w:val="0"/>
        </w:rPr>
        <w:t>.</w:t>
      </w:r>
      <w:r>
        <w:rPr>
          <w:snapToGrid w:val="0"/>
        </w:rPr>
        <w:tab/>
        <w:t>Governor may permit Board to allow leave of absence</w:t>
      </w:r>
      <w:bookmarkEnd w:id="151"/>
      <w:bookmarkEnd w:id="152"/>
      <w:bookmarkEnd w:id="153"/>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r>
        <w:tab/>
        <w:t>[Section 27 amended: No. 84 of 2004 s. 82.]</w:t>
      </w:r>
    </w:p>
    <w:p>
      <w:pPr>
        <w:pStyle w:val="Heading5"/>
        <w:rPr>
          <w:snapToGrid w:val="0"/>
        </w:rPr>
      </w:pPr>
      <w:bookmarkStart w:id="154" w:name="_Toc132297553"/>
      <w:bookmarkStart w:id="155" w:name="_Toc504050305"/>
      <w:bookmarkStart w:id="156" w:name="_Toc505693374"/>
      <w:r>
        <w:rPr>
          <w:rStyle w:val="CharSectno"/>
        </w:rPr>
        <w:t>28</w:t>
      </w:r>
      <w:r>
        <w:rPr>
          <w:snapToGrid w:val="0"/>
        </w:rPr>
        <w:t>.</w:t>
      </w:r>
      <w:r>
        <w:rPr>
          <w:snapToGrid w:val="0"/>
        </w:rPr>
        <w:tab/>
        <w:t>If allowed, Board may grant leave of absence</w:t>
      </w:r>
      <w:bookmarkEnd w:id="154"/>
      <w:bookmarkEnd w:id="155"/>
      <w:bookmarkEnd w:id="156"/>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keepNext/>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r>
        <w:tab/>
        <w:t>[Section 28 amended: No. 84 of 2004 s. 82.]</w:t>
      </w:r>
    </w:p>
    <w:p>
      <w:pPr>
        <w:pStyle w:val="Footnotesection"/>
      </w:pPr>
      <w:r>
        <w:tab/>
        <w:t>[Section 28. Modifications to be applied in order to give effect to Cross-border Justice Act 2008: section altered 1 Nov 2009. See endnote 1M.]</w:t>
      </w:r>
    </w:p>
    <w:p>
      <w:pPr>
        <w:pStyle w:val="Heading5"/>
        <w:spacing w:before="120"/>
        <w:rPr>
          <w:snapToGrid w:val="0"/>
        </w:rPr>
      </w:pPr>
      <w:bookmarkStart w:id="157" w:name="_Toc132297554"/>
      <w:bookmarkStart w:id="158" w:name="_Toc504050306"/>
      <w:bookmarkStart w:id="159" w:name="_Toc505693375"/>
      <w:r>
        <w:rPr>
          <w:rStyle w:val="CharSectno"/>
        </w:rPr>
        <w:t>29</w:t>
      </w:r>
      <w:r>
        <w:rPr>
          <w:snapToGrid w:val="0"/>
        </w:rPr>
        <w:t>.</w:t>
      </w:r>
      <w:r>
        <w:rPr>
          <w:snapToGrid w:val="0"/>
        </w:rPr>
        <w:tab/>
        <w:t>Board may cancel leave of absence</w:t>
      </w:r>
      <w:bookmarkEnd w:id="157"/>
      <w:bookmarkEnd w:id="158"/>
      <w:bookmarkEnd w:id="159"/>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160" w:name="_Toc132297555"/>
      <w:bookmarkStart w:id="161" w:name="_Toc504050307"/>
      <w:bookmarkStart w:id="162" w:name="_Toc505693376"/>
      <w:r>
        <w:rPr>
          <w:rStyle w:val="CharSectno"/>
        </w:rPr>
        <w:t>30</w:t>
      </w:r>
      <w:r>
        <w:rPr>
          <w:snapToGrid w:val="0"/>
        </w:rPr>
        <w:t>.</w:t>
      </w:r>
      <w:r>
        <w:rPr>
          <w:snapToGrid w:val="0"/>
        </w:rPr>
        <w:tab/>
        <w:t>Status of mentally impaired accused on leave of absence</w:t>
      </w:r>
      <w:bookmarkEnd w:id="160"/>
      <w:bookmarkEnd w:id="161"/>
      <w:bookmarkEnd w:id="162"/>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r>
        <w:tab/>
        <w:t>[Section 30 amended: No. 84 of 2004 s. 82.]</w:t>
      </w:r>
    </w:p>
    <w:p>
      <w:pPr>
        <w:pStyle w:val="Heading5"/>
        <w:rPr>
          <w:snapToGrid w:val="0"/>
        </w:rPr>
      </w:pPr>
      <w:bookmarkStart w:id="163" w:name="_Toc132297556"/>
      <w:bookmarkStart w:id="164" w:name="_Toc504050308"/>
      <w:bookmarkStart w:id="165" w:name="_Toc505693377"/>
      <w:r>
        <w:rPr>
          <w:rStyle w:val="CharSectno"/>
        </w:rPr>
        <w:t>31</w:t>
      </w:r>
      <w:r>
        <w:rPr>
          <w:snapToGrid w:val="0"/>
        </w:rPr>
        <w:t>.</w:t>
      </w:r>
      <w:r>
        <w:rPr>
          <w:snapToGrid w:val="0"/>
        </w:rPr>
        <w:tab/>
        <w:t>Absence without leave</w:t>
      </w:r>
      <w:bookmarkEnd w:id="163"/>
      <w:bookmarkEnd w:id="164"/>
      <w:bookmarkEnd w:id="165"/>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 xml:space="preserve">is away from a place of detention without </w:t>
      </w:r>
      <w:r>
        <w:t>having been given</w:t>
      </w:r>
      <w:r>
        <w:rPr>
          <w:snapToGrid w:val="0"/>
        </w:rPr>
        <w:t xml:space="preserve">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 or</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r>
        <w:tab/>
        <w:t>[Section 31 amended: No. 84 of 2004 s. 82; No. 25 of 2014 s. 17.]</w:t>
      </w:r>
    </w:p>
    <w:p>
      <w:pPr>
        <w:pStyle w:val="Heading5"/>
        <w:rPr>
          <w:snapToGrid w:val="0"/>
        </w:rPr>
      </w:pPr>
      <w:bookmarkStart w:id="166" w:name="_Toc132297557"/>
      <w:bookmarkStart w:id="167" w:name="_Toc504050309"/>
      <w:bookmarkStart w:id="168" w:name="_Toc505693378"/>
      <w:r>
        <w:rPr>
          <w:rStyle w:val="CharSectno"/>
        </w:rPr>
        <w:t>32</w:t>
      </w:r>
      <w:r>
        <w:rPr>
          <w:snapToGrid w:val="0"/>
        </w:rPr>
        <w:t>.</w:t>
      </w:r>
      <w:r>
        <w:rPr>
          <w:snapToGrid w:val="0"/>
        </w:rPr>
        <w:tab/>
        <w:t>Other Acts do not apply</w:t>
      </w:r>
      <w:bookmarkEnd w:id="166"/>
      <w:bookmarkEnd w:id="167"/>
      <w:bookmarkEnd w:id="168"/>
    </w:p>
    <w:p>
      <w:pPr>
        <w:pStyle w:val="Subsection"/>
      </w:pPr>
      <w:r>
        <w:tab/>
        <w:t>(1)</w:t>
      </w:r>
      <w:r>
        <w:tab/>
        <w:t xml:space="preserve">The </w:t>
      </w:r>
      <w:r>
        <w:rPr>
          <w:i/>
        </w:rPr>
        <w:t>Mental Health Act 2014</w:t>
      </w:r>
      <w:r>
        <w:t xml:space="preserve"> Part 7 Divisions 5 and 6 do not apply in relation to the absence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r>
        <w:tab/>
        <w:t>[Section 32 amended: No. 84 of 2004 s. 82; No. 65 of 2006 s. 60; No. 25 of 2014 s. 18.]</w:t>
      </w:r>
    </w:p>
    <w:p>
      <w:pPr>
        <w:pStyle w:val="Footnotesection"/>
      </w:pPr>
      <w:r>
        <w:tab/>
        <w:t>[Section 32. Modifications to be applied in order to give effect to Cross-border Justice Act 2008: section replaced 1 Nov 2009. See endnote 1M.]</w:t>
      </w:r>
    </w:p>
    <w:p>
      <w:pPr>
        <w:pStyle w:val="Heading3"/>
        <w:rPr>
          <w:snapToGrid w:val="0"/>
        </w:rPr>
      </w:pPr>
      <w:bookmarkStart w:id="169" w:name="_Toc132189362"/>
      <w:bookmarkStart w:id="170" w:name="_Toc132189615"/>
      <w:bookmarkStart w:id="171" w:name="_Toc132297558"/>
      <w:bookmarkStart w:id="172" w:name="_Toc501616215"/>
      <w:bookmarkStart w:id="173" w:name="_Toc504050310"/>
      <w:bookmarkStart w:id="174" w:name="_Toc505693379"/>
      <w:r>
        <w:rPr>
          <w:rStyle w:val="CharDivNo"/>
        </w:rPr>
        <w:t>Division 4</w:t>
      </w:r>
      <w:r>
        <w:rPr>
          <w:snapToGrid w:val="0"/>
        </w:rPr>
        <w:t> — </w:t>
      </w:r>
      <w:r>
        <w:rPr>
          <w:rStyle w:val="CharDivText"/>
        </w:rPr>
        <w:t>Reports about mentally impaired accused</w:t>
      </w:r>
      <w:bookmarkEnd w:id="169"/>
      <w:bookmarkEnd w:id="170"/>
      <w:bookmarkEnd w:id="171"/>
      <w:bookmarkEnd w:id="172"/>
      <w:bookmarkEnd w:id="173"/>
      <w:bookmarkEnd w:id="174"/>
    </w:p>
    <w:p>
      <w:pPr>
        <w:pStyle w:val="Footnoteheading"/>
        <w:tabs>
          <w:tab w:val="left" w:pos="851"/>
        </w:tabs>
      </w:pPr>
      <w:r>
        <w:tab/>
        <w:t>[Heading amended: No. 84 of 2004 s. 82.]</w:t>
      </w:r>
    </w:p>
    <w:p>
      <w:pPr>
        <w:pStyle w:val="Heading5"/>
        <w:rPr>
          <w:snapToGrid w:val="0"/>
        </w:rPr>
      </w:pPr>
      <w:bookmarkStart w:id="175" w:name="_Toc132297559"/>
      <w:bookmarkStart w:id="176" w:name="_Toc504050311"/>
      <w:bookmarkStart w:id="177" w:name="_Toc505693380"/>
      <w:r>
        <w:rPr>
          <w:rStyle w:val="CharSectno"/>
        </w:rPr>
        <w:t>33</w:t>
      </w:r>
      <w:r>
        <w:rPr>
          <w:snapToGrid w:val="0"/>
        </w:rPr>
        <w:t>.</w:t>
      </w:r>
      <w:r>
        <w:rPr>
          <w:snapToGrid w:val="0"/>
        </w:rPr>
        <w:tab/>
        <w:t>Reports to Minister</w:t>
      </w:r>
      <w:bookmarkEnd w:id="175"/>
      <w:bookmarkEnd w:id="176"/>
      <w:bookmarkEnd w:id="177"/>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 and</w:t>
      </w:r>
    </w:p>
    <w:p>
      <w:pPr>
        <w:pStyle w:val="Indenta"/>
        <w:rPr>
          <w:snapToGrid w:val="0"/>
        </w:rPr>
      </w:pPr>
      <w:r>
        <w:rPr>
          <w:snapToGrid w:val="0"/>
        </w:rPr>
        <w:tab/>
        <w:t>(b)</w:t>
      </w:r>
      <w:r>
        <w:rPr>
          <w:snapToGrid w:val="0"/>
        </w:rPr>
        <w:tab/>
        <w:t>whenever it gets a written request to do so from the Minister; and</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spacing w:before="120"/>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r>
        <w:tab/>
        <w:t>(f)</w:t>
      </w:r>
      <w:r>
        <w:tab/>
        <w:t>any statement received from a victim of the alleged offence in respect of which the accused is in custody.</w:t>
      </w:r>
    </w:p>
    <w:p>
      <w:pPr>
        <w:pStyle w:val="Subsection"/>
        <w:spacing w:before="120"/>
      </w:pPr>
      <w:r>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No. 84 of 2004 s. 82; No. 41 of 2006 s. 81.]</w:t>
      </w:r>
    </w:p>
    <w:p>
      <w:pPr>
        <w:pStyle w:val="Heading5"/>
        <w:keepNext w:val="0"/>
        <w:keepLines w:val="0"/>
        <w:spacing w:before="180"/>
        <w:rPr>
          <w:snapToGrid w:val="0"/>
        </w:rPr>
      </w:pPr>
      <w:bookmarkStart w:id="178" w:name="_Toc132297560"/>
      <w:bookmarkStart w:id="179" w:name="_Toc504050312"/>
      <w:bookmarkStart w:id="180" w:name="_Toc505693381"/>
      <w:r>
        <w:rPr>
          <w:rStyle w:val="CharSectno"/>
        </w:rPr>
        <w:t>34</w:t>
      </w:r>
      <w:r>
        <w:rPr>
          <w:snapToGrid w:val="0"/>
        </w:rPr>
        <w:t>.</w:t>
      </w:r>
      <w:r>
        <w:rPr>
          <w:snapToGrid w:val="0"/>
        </w:rPr>
        <w:tab/>
        <w:t>Reports to be given to accused, Police and DPP</w:t>
      </w:r>
      <w:bookmarkEnd w:id="178"/>
      <w:bookmarkEnd w:id="179"/>
      <w:bookmarkEnd w:id="180"/>
    </w:p>
    <w:p>
      <w:pPr>
        <w:pStyle w:val="Subsection"/>
        <w:spacing w:before="120"/>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keepNext/>
        <w:keepLines/>
        <w:spacing w:before="120"/>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r>
        <w:tab/>
        <w:t>[Section 34 amended: No. 84 of 2004 s. 82.]</w:t>
      </w:r>
    </w:p>
    <w:p>
      <w:pPr>
        <w:pStyle w:val="Heading3"/>
        <w:rPr>
          <w:snapToGrid w:val="0"/>
        </w:rPr>
      </w:pPr>
      <w:bookmarkStart w:id="181" w:name="_Toc132189365"/>
      <w:bookmarkStart w:id="182" w:name="_Toc132189618"/>
      <w:bookmarkStart w:id="183" w:name="_Toc132297561"/>
      <w:bookmarkStart w:id="184" w:name="_Toc501616218"/>
      <w:bookmarkStart w:id="185" w:name="_Toc504050313"/>
      <w:bookmarkStart w:id="186" w:name="_Toc505693382"/>
      <w:r>
        <w:rPr>
          <w:rStyle w:val="CharDivNo"/>
        </w:rPr>
        <w:t>Division 5</w:t>
      </w:r>
      <w:r>
        <w:rPr>
          <w:snapToGrid w:val="0"/>
        </w:rPr>
        <w:t> — </w:t>
      </w:r>
      <w:r>
        <w:rPr>
          <w:rStyle w:val="CharDivText"/>
        </w:rPr>
        <w:t>Releasing mentally impaired accused</w:t>
      </w:r>
      <w:bookmarkEnd w:id="181"/>
      <w:bookmarkEnd w:id="182"/>
      <w:bookmarkEnd w:id="183"/>
      <w:bookmarkEnd w:id="184"/>
      <w:bookmarkEnd w:id="185"/>
      <w:bookmarkEnd w:id="186"/>
    </w:p>
    <w:p>
      <w:pPr>
        <w:pStyle w:val="Footnoteheading"/>
        <w:keepNext/>
        <w:tabs>
          <w:tab w:val="left" w:pos="851"/>
        </w:tabs>
      </w:pPr>
      <w:r>
        <w:tab/>
        <w:t>[Heading amended: No. 84 of 2004 s. 82.]</w:t>
      </w:r>
    </w:p>
    <w:p>
      <w:pPr>
        <w:pStyle w:val="Heading5"/>
        <w:spacing w:before="180"/>
        <w:rPr>
          <w:snapToGrid w:val="0"/>
        </w:rPr>
      </w:pPr>
      <w:bookmarkStart w:id="187" w:name="_Toc132297562"/>
      <w:bookmarkStart w:id="188" w:name="_Toc504050314"/>
      <w:bookmarkStart w:id="189" w:name="_Toc505693383"/>
      <w:r>
        <w:rPr>
          <w:rStyle w:val="CharSectno"/>
        </w:rPr>
        <w:t>35</w:t>
      </w:r>
      <w:r>
        <w:rPr>
          <w:snapToGrid w:val="0"/>
        </w:rPr>
        <w:t>.</w:t>
      </w:r>
      <w:r>
        <w:rPr>
          <w:snapToGrid w:val="0"/>
        </w:rPr>
        <w:tab/>
        <w:t>Governor may release mentally impaired accused</w:t>
      </w:r>
      <w:bookmarkEnd w:id="187"/>
      <w:bookmarkEnd w:id="188"/>
      <w:bookmarkEnd w:id="189"/>
    </w:p>
    <w:p>
      <w:pPr>
        <w:pStyle w:val="Subsection"/>
        <w:keepNext/>
        <w:keepLines/>
        <w:spacing w:before="120"/>
        <w:rPr>
          <w:snapToGrid w:val="0"/>
        </w:rPr>
      </w:pPr>
      <w:r>
        <w:rPr>
          <w:snapToGrid w:val="0"/>
        </w:rPr>
        <w:tab/>
        <w:t>(1)</w:t>
      </w:r>
      <w:r>
        <w:rPr>
          <w:snapToGrid w:val="0"/>
        </w:rPr>
        <w:tab/>
        <w:t>The Governor may at any time order that a mentally impaired accused be released by making a release order.</w:t>
      </w:r>
    </w:p>
    <w:p>
      <w:pPr>
        <w:pStyle w:val="Subsection"/>
        <w:keepNext/>
        <w:keepLines/>
        <w:spacing w:before="120"/>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spacing w:before="120"/>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spacing w:before="120"/>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r>
        <w:tab/>
        <w:t>[Section 35 amended: No. 84 of 2004 s. 82.]</w:t>
      </w:r>
    </w:p>
    <w:p>
      <w:pPr>
        <w:pStyle w:val="Footnotesection"/>
      </w:pPr>
      <w:r>
        <w:tab/>
        <w:t>[Section 35. Modifications to be applied in order to give effect to Cross-border Justice Act 2008: section altered 1 Nov 2009. See endnote 1M.]</w:t>
      </w:r>
    </w:p>
    <w:p>
      <w:pPr>
        <w:pStyle w:val="Heading5"/>
        <w:rPr>
          <w:snapToGrid w:val="0"/>
        </w:rPr>
      </w:pPr>
      <w:bookmarkStart w:id="190" w:name="_Toc132297563"/>
      <w:bookmarkStart w:id="191" w:name="_Toc504050315"/>
      <w:bookmarkStart w:id="192" w:name="_Toc505693384"/>
      <w:r>
        <w:rPr>
          <w:rStyle w:val="CharSectno"/>
        </w:rPr>
        <w:t>36</w:t>
      </w:r>
      <w:r>
        <w:rPr>
          <w:snapToGrid w:val="0"/>
        </w:rPr>
        <w:t>.</w:t>
      </w:r>
      <w:r>
        <w:rPr>
          <w:snapToGrid w:val="0"/>
        </w:rPr>
        <w:tab/>
        <w:t>Order to be given to accused, Police and DPP</w:t>
      </w:r>
      <w:bookmarkEnd w:id="190"/>
      <w:bookmarkEnd w:id="191"/>
      <w:bookmarkEnd w:id="192"/>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 and</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r>
        <w:tab/>
        <w:t>[Section 36 amended: No. 84 of 2004 s. 82.]</w:t>
      </w:r>
    </w:p>
    <w:p>
      <w:pPr>
        <w:pStyle w:val="Heading5"/>
        <w:rPr>
          <w:snapToGrid w:val="0"/>
        </w:rPr>
      </w:pPr>
      <w:bookmarkStart w:id="193" w:name="_Toc132297564"/>
      <w:bookmarkStart w:id="194" w:name="_Toc504050316"/>
      <w:bookmarkStart w:id="195" w:name="_Toc505693385"/>
      <w:r>
        <w:rPr>
          <w:rStyle w:val="CharSectno"/>
        </w:rPr>
        <w:t>37</w:t>
      </w:r>
      <w:r>
        <w:rPr>
          <w:snapToGrid w:val="0"/>
        </w:rPr>
        <w:t>.</w:t>
      </w:r>
      <w:r>
        <w:rPr>
          <w:snapToGrid w:val="0"/>
        </w:rPr>
        <w:tab/>
        <w:t>Breach of conditions of release</w:t>
      </w:r>
      <w:bookmarkEnd w:id="193"/>
      <w:bookmarkEnd w:id="194"/>
      <w:bookmarkEnd w:id="195"/>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r>
        <w:tab/>
        <w:t>[Section 37 amended: No. 84 of 2004 s. 82.]</w:t>
      </w:r>
    </w:p>
    <w:p>
      <w:pPr>
        <w:pStyle w:val="Heading3"/>
        <w:rPr>
          <w:snapToGrid w:val="0"/>
        </w:rPr>
      </w:pPr>
      <w:bookmarkStart w:id="196" w:name="_Toc132189369"/>
      <w:bookmarkStart w:id="197" w:name="_Toc132189622"/>
      <w:bookmarkStart w:id="198" w:name="_Toc132297565"/>
      <w:bookmarkStart w:id="199" w:name="_Toc501616222"/>
      <w:bookmarkStart w:id="200" w:name="_Toc504050317"/>
      <w:bookmarkStart w:id="201" w:name="_Toc505693386"/>
      <w:r>
        <w:rPr>
          <w:rStyle w:val="CharDivNo"/>
        </w:rPr>
        <w:t>Division 6</w:t>
      </w:r>
      <w:r>
        <w:rPr>
          <w:snapToGrid w:val="0"/>
        </w:rPr>
        <w:t> — </w:t>
      </w:r>
      <w:r>
        <w:rPr>
          <w:rStyle w:val="CharDivText"/>
        </w:rPr>
        <w:t>Miscellaneous</w:t>
      </w:r>
      <w:bookmarkEnd w:id="196"/>
      <w:bookmarkEnd w:id="197"/>
      <w:bookmarkEnd w:id="198"/>
      <w:bookmarkEnd w:id="199"/>
      <w:bookmarkEnd w:id="200"/>
      <w:bookmarkEnd w:id="201"/>
    </w:p>
    <w:p>
      <w:pPr>
        <w:pStyle w:val="Heading5"/>
        <w:rPr>
          <w:snapToGrid w:val="0"/>
        </w:rPr>
      </w:pPr>
      <w:bookmarkStart w:id="202" w:name="_Toc132297566"/>
      <w:bookmarkStart w:id="203" w:name="_Toc504050318"/>
      <w:bookmarkStart w:id="204" w:name="_Toc505693387"/>
      <w:r>
        <w:rPr>
          <w:rStyle w:val="CharSectno"/>
        </w:rPr>
        <w:t>38</w:t>
      </w:r>
      <w:r>
        <w:rPr>
          <w:snapToGrid w:val="0"/>
        </w:rPr>
        <w:t>.</w:t>
      </w:r>
      <w:r>
        <w:rPr>
          <w:snapToGrid w:val="0"/>
        </w:rPr>
        <w:tab/>
        <w:t>When discharge occurs</w:t>
      </w:r>
      <w:bookmarkEnd w:id="202"/>
      <w:bookmarkEnd w:id="203"/>
      <w:bookmarkEnd w:id="204"/>
    </w:p>
    <w:p>
      <w:pPr>
        <w:pStyle w:val="Subsection"/>
        <w:spacing w:before="120"/>
        <w:rPr>
          <w:snapToGrid w:val="0"/>
        </w:rPr>
      </w:pPr>
      <w:r>
        <w:rPr>
          <w:snapToGrid w:val="0"/>
        </w:rPr>
        <w:tab/>
        <w:t>(1)</w:t>
      </w:r>
      <w:r>
        <w:rPr>
          <w:snapToGrid w:val="0"/>
        </w:rPr>
        <w:tab/>
        <w:t>A mentally impaired accused remains subject to the custody order until discharged from it.</w:t>
      </w:r>
    </w:p>
    <w:p>
      <w:pPr>
        <w:pStyle w:val="Subsection"/>
        <w:spacing w:before="120"/>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r>
        <w:tab/>
        <w:t>[Section 38 amended: No. 84 of 2004 s. 82.]</w:t>
      </w:r>
    </w:p>
    <w:p>
      <w:pPr>
        <w:pStyle w:val="Heading5"/>
        <w:rPr>
          <w:snapToGrid w:val="0"/>
        </w:rPr>
      </w:pPr>
      <w:bookmarkStart w:id="205" w:name="_Toc132297567"/>
      <w:bookmarkStart w:id="206" w:name="_Toc504050319"/>
      <w:bookmarkStart w:id="207" w:name="_Toc505693388"/>
      <w:r>
        <w:rPr>
          <w:rStyle w:val="CharSectno"/>
        </w:rPr>
        <w:t>39</w:t>
      </w:r>
      <w:r>
        <w:rPr>
          <w:snapToGrid w:val="0"/>
        </w:rPr>
        <w:t>.</w:t>
      </w:r>
      <w:r>
        <w:rPr>
          <w:snapToGrid w:val="0"/>
        </w:rPr>
        <w:tab/>
        <w:t>Released mentally impaired accused may be made involuntary patient</w:t>
      </w:r>
      <w:bookmarkEnd w:id="205"/>
      <w:bookmarkEnd w:id="206"/>
      <w:bookmarkEnd w:id="207"/>
    </w:p>
    <w:p>
      <w:pPr>
        <w:pStyle w:val="Subsection"/>
        <w:spacing w:before="120"/>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r>
        <w:tab/>
        <w:t>[Section 39 amended: No. 84 of 2004 s. 82.]</w:t>
      </w:r>
    </w:p>
    <w:p>
      <w:pPr>
        <w:pStyle w:val="Heading5"/>
        <w:rPr>
          <w:snapToGrid w:val="0"/>
        </w:rPr>
      </w:pPr>
      <w:bookmarkStart w:id="208" w:name="_Toc132297568"/>
      <w:bookmarkStart w:id="209" w:name="_Toc504050320"/>
      <w:bookmarkStart w:id="210" w:name="_Toc505693389"/>
      <w:r>
        <w:rPr>
          <w:rStyle w:val="CharSectno"/>
        </w:rPr>
        <w:t>40</w:t>
      </w:r>
      <w:r>
        <w:rPr>
          <w:snapToGrid w:val="0"/>
        </w:rPr>
        <w:t>.</w:t>
      </w:r>
      <w:r>
        <w:rPr>
          <w:snapToGrid w:val="0"/>
        </w:rPr>
        <w:tab/>
        <w:t>Board may require examination etc.</w:t>
      </w:r>
      <w:bookmarkEnd w:id="208"/>
      <w:bookmarkEnd w:id="209"/>
      <w:bookmarkEnd w:id="210"/>
    </w:p>
    <w:p>
      <w:pPr>
        <w:pStyle w:val="Subsection"/>
        <w:spacing w:before="120"/>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spacing w:before="120"/>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r>
        <w:tab/>
        <w:t>[Section 40 amended: No. 84 of 2004 s. 82.]</w:t>
      </w:r>
    </w:p>
    <w:p>
      <w:pPr>
        <w:pStyle w:val="Heading2"/>
      </w:pPr>
      <w:bookmarkStart w:id="211" w:name="_Toc132189373"/>
      <w:bookmarkStart w:id="212" w:name="_Toc132189626"/>
      <w:bookmarkStart w:id="213" w:name="_Toc132297569"/>
      <w:bookmarkStart w:id="214" w:name="_Toc501616226"/>
      <w:bookmarkStart w:id="215" w:name="_Toc504050321"/>
      <w:bookmarkStart w:id="216" w:name="_Toc505693390"/>
      <w:r>
        <w:rPr>
          <w:rStyle w:val="CharPartNo"/>
        </w:rPr>
        <w:t>Part 6</w:t>
      </w:r>
      <w:r>
        <w:rPr>
          <w:rStyle w:val="CharDivNo"/>
        </w:rPr>
        <w:t> </w:t>
      </w:r>
      <w:r>
        <w:t>—</w:t>
      </w:r>
      <w:r>
        <w:rPr>
          <w:rStyle w:val="CharDivText"/>
        </w:rPr>
        <w:t> </w:t>
      </w:r>
      <w:r>
        <w:rPr>
          <w:rStyle w:val="CharPartText"/>
        </w:rPr>
        <w:t>Mentally Impaired Accused Review Board</w:t>
      </w:r>
      <w:bookmarkEnd w:id="211"/>
      <w:bookmarkEnd w:id="212"/>
      <w:bookmarkEnd w:id="213"/>
      <w:bookmarkEnd w:id="214"/>
      <w:bookmarkEnd w:id="215"/>
      <w:bookmarkEnd w:id="216"/>
    </w:p>
    <w:p>
      <w:pPr>
        <w:pStyle w:val="Footnoteheading"/>
        <w:tabs>
          <w:tab w:val="left" w:pos="851"/>
        </w:tabs>
      </w:pPr>
      <w:r>
        <w:tab/>
        <w:t>[Heading amended: No. 84 of 2004 s. 82.]</w:t>
      </w:r>
    </w:p>
    <w:p>
      <w:pPr>
        <w:pStyle w:val="Heading5"/>
        <w:rPr>
          <w:snapToGrid w:val="0"/>
        </w:rPr>
      </w:pPr>
      <w:bookmarkStart w:id="217" w:name="_Toc132297570"/>
      <w:bookmarkStart w:id="218" w:name="_Toc504050322"/>
      <w:bookmarkStart w:id="219" w:name="_Toc505693391"/>
      <w:r>
        <w:rPr>
          <w:rStyle w:val="CharSectno"/>
        </w:rPr>
        <w:t>41</w:t>
      </w:r>
      <w:r>
        <w:rPr>
          <w:snapToGrid w:val="0"/>
        </w:rPr>
        <w:t>.</w:t>
      </w:r>
      <w:r>
        <w:rPr>
          <w:snapToGrid w:val="0"/>
        </w:rPr>
        <w:tab/>
        <w:t>Board established</w:t>
      </w:r>
      <w:bookmarkEnd w:id="217"/>
      <w:bookmarkEnd w:id="218"/>
      <w:bookmarkEnd w:id="219"/>
    </w:p>
    <w:p>
      <w:pPr>
        <w:pStyle w:val="Subsection"/>
        <w:spacing w:before="120"/>
        <w:rPr>
          <w:snapToGrid w:val="0"/>
        </w:rPr>
      </w:pPr>
      <w:r>
        <w:rPr>
          <w:snapToGrid w:val="0"/>
        </w:rPr>
        <w:tab/>
      </w:r>
      <w:r>
        <w:rPr>
          <w:snapToGrid w:val="0"/>
        </w:rPr>
        <w:tab/>
        <w:t>A board called the Mentally Impaired Accused Review Board is established.</w:t>
      </w:r>
    </w:p>
    <w:p>
      <w:pPr>
        <w:pStyle w:val="Footnotesection"/>
        <w:spacing w:before="100"/>
        <w:ind w:left="890" w:hanging="890"/>
      </w:pPr>
      <w:r>
        <w:tab/>
        <w:t>[Section 41 amended: No. 84 of 2004 s. 82.]</w:t>
      </w:r>
    </w:p>
    <w:p>
      <w:pPr>
        <w:pStyle w:val="Heading5"/>
      </w:pPr>
      <w:bookmarkStart w:id="220" w:name="_Toc132297571"/>
      <w:bookmarkStart w:id="221" w:name="_Toc504050323"/>
      <w:bookmarkStart w:id="222" w:name="_Toc505693392"/>
      <w:r>
        <w:rPr>
          <w:rStyle w:val="CharSectno"/>
        </w:rPr>
        <w:t>42</w:t>
      </w:r>
      <w:r>
        <w:t>.</w:t>
      </w:r>
      <w:r>
        <w:tab/>
        <w:t>Members</w:t>
      </w:r>
      <w:bookmarkEnd w:id="220"/>
      <w:bookmarkEnd w:id="221"/>
      <w:bookmarkEnd w:id="222"/>
    </w:p>
    <w:p>
      <w:pPr>
        <w:pStyle w:val="Subsection"/>
        <w:spacing w:before="120"/>
      </w:pPr>
      <w:r>
        <w:tab/>
        <w:t>(1)</w:t>
      </w:r>
      <w:r>
        <w:tab/>
        <w:t>The members of the Board are as follows —</w:t>
      </w:r>
    </w:p>
    <w:p>
      <w:pPr>
        <w:pStyle w:val="Indenta"/>
        <w:spacing w:before="60"/>
      </w:pPr>
      <w:r>
        <w:tab/>
        <w:t>(a)</w:t>
      </w:r>
      <w:r>
        <w:tab/>
        <w:t xml:space="preserve">the person who is the chairperson of the Prisoners Review Board appointed under section 103(1)(a) of the </w:t>
      </w:r>
      <w:r>
        <w:rPr>
          <w:i/>
          <w:iCs/>
        </w:rPr>
        <w:t>Sentence Administration Act 2003</w:t>
      </w:r>
      <w:r>
        <w:t>;</w:t>
      </w:r>
    </w:p>
    <w:p>
      <w:pPr>
        <w:pStyle w:val="Indenta"/>
      </w:pPr>
      <w:r>
        <w:tab/>
        <w:t>(ba)</w:t>
      </w:r>
      <w:r>
        <w:tab/>
        <w:t>a deputy chairperson, to be nominated by the Minister and appointed by the Governor;</w:t>
      </w:r>
    </w:p>
    <w:p>
      <w:pPr>
        <w:pStyle w:val="Indenta"/>
      </w:pPr>
      <w:r>
        <w:tab/>
        <w:t>(bb)</w:t>
      </w:r>
      <w:r>
        <w:tab/>
        <w:t xml:space="preserve">a person who, under the </w:t>
      </w:r>
      <w:r>
        <w:rPr>
          <w:i/>
        </w:rPr>
        <w:t>Disability Services Act 1993</w:t>
      </w:r>
      <w:r>
        <w:t xml:space="preserve"> section 9 or 10, works for the Disability Services Commission, appointed by the Commission;</w:t>
      </w:r>
    </w:p>
    <w:p>
      <w:pPr>
        <w:pStyle w:val="Indenta"/>
        <w:spacing w:before="60"/>
      </w:pPr>
      <w:r>
        <w:tab/>
        <w:t>(b)</w:t>
      </w:r>
      <w:r>
        <w:tab/>
        <w:t xml:space="preserve">the persons who are community members of the Prisoners Review Board appointed under section 103(1)(c) of the </w:t>
      </w:r>
      <w:r>
        <w:rPr>
          <w:i/>
          <w:iCs/>
        </w:rPr>
        <w:t>Sentence Administration Act 2003</w:t>
      </w:r>
      <w:r>
        <w:t>;</w:t>
      </w:r>
    </w:p>
    <w:p>
      <w:pPr>
        <w:pStyle w:val="Indenta"/>
        <w:spacing w:before="60"/>
      </w:pPr>
      <w:r>
        <w:tab/>
        <w:t>(c)</w:t>
      </w:r>
      <w:r>
        <w:tab/>
        <w:t>a psychiatrist appointed by the Governor;</w:t>
      </w:r>
    </w:p>
    <w:p>
      <w:pPr>
        <w:pStyle w:val="Indenta"/>
        <w:spacing w:before="60"/>
      </w:pPr>
      <w:r>
        <w:tab/>
        <w:t>(d)</w:t>
      </w:r>
      <w:r>
        <w:tab/>
        <w:t>a psychologist appointed by the Governor.</w:t>
      </w:r>
    </w:p>
    <w:p>
      <w:pPr>
        <w:pStyle w:val="Subsection"/>
        <w:spacing w:before="120"/>
      </w:pPr>
      <w:r>
        <w:tab/>
        <w:t>(2)</w:t>
      </w:r>
      <w:r>
        <w:tab/>
        <w:t>The Governor may appoint a psychiatrist to be the deputy of the psychiatrist appointed to the Board and a psychologist to be the deputy of the psychologist.</w:t>
      </w:r>
    </w:p>
    <w:p>
      <w:pPr>
        <w:pStyle w:val="Subsection"/>
        <w:spacing w:before="120"/>
      </w:pPr>
      <w:r>
        <w:tab/>
        <w:t>(3)</w:t>
      </w:r>
      <w:r>
        <w:tab/>
        <w:t>The person referred to in subsection (1)(a) is the chairperson of the Board.</w:t>
      </w:r>
    </w:p>
    <w:p>
      <w:pPr>
        <w:pStyle w:val="Subsection"/>
      </w:pPr>
      <w:r>
        <w:tab/>
        <w:t>(4A)</w:t>
      </w:r>
      <w:r>
        <w:tab/>
        <w:t>The Minister must not nominate a person as a deputy chairperson unless the person has, in the Minister’s opinion, extensive or special knowledge of matters involved in the performance of the Board’s functions.</w:t>
      </w:r>
    </w:p>
    <w:p>
      <w:pPr>
        <w:pStyle w:val="Subsection"/>
      </w:pPr>
      <w:r>
        <w:tab/>
        <w:t>(4B)</w:t>
      </w:r>
      <w:r>
        <w:tab/>
        <w:t xml:space="preserve">The deputy chairperson must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(4C)</w:t>
      </w:r>
      <w:r>
        <w:tab/>
        <w:t xml:space="preserve">The member of the Board referred to in subsection (1)(bb) is a member only while the person works for the Disability Services Commission under the </w:t>
      </w:r>
      <w:r>
        <w:rPr>
          <w:i/>
        </w:rPr>
        <w:t>Disability Services Act 1993</w:t>
      </w:r>
      <w:r>
        <w:t xml:space="preserve"> section 9 or 10.</w:t>
      </w:r>
    </w:p>
    <w:p>
      <w:pPr>
        <w:pStyle w:val="Subsection"/>
        <w:spacing w:before="120"/>
      </w:pPr>
      <w:r>
        <w:tab/>
        <w:t>(4)</w:t>
      </w:r>
      <w:r>
        <w:tab/>
        <w:t>Those members of the Board who are also members of the Prisoners Review Board are members of the Board only while they are members of the Prisoners Review Board.</w:t>
      </w:r>
    </w:p>
    <w:p>
      <w:pPr>
        <w:pStyle w:val="Subsection"/>
        <w:spacing w:before="120"/>
      </w:pPr>
      <w:r>
        <w:tab/>
        <w:t>(5)</w:t>
      </w:r>
      <w:r>
        <w:tab/>
        <w:t xml:space="preserve">Schedule 1 to the </w:t>
      </w:r>
      <w:r>
        <w:rPr>
          <w:i/>
          <w:iCs/>
        </w:rPr>
        <w:t xml:space="preserve">Sentence Administration Act 2003 </w:t>
      </w:r>
      <w:r>
        <w:t>(other than clause 5) applies in respect of the deputy chairperson, the psychiatrist and the psychologist appointed as members of the Board as if they were members of the Prisoners Review Board appointed by the Governor.</w:t>
      </w:r>
    </w:p>
    <w:p>
      <w:pPr>
        <w:pStyle w:val="Footnotesection"/>
        <w:spacing w:before="100"/>
        <w:ind w:left="890" w:hanging="890"/>
      </w:pPr>
      <w:r>
        <w:tab/>
        <w:t>[Section 42 inserted: No. 41 of 2006 s. 82; amended: No. 4 of 2015 s. 67.]</w:t>
      </w:r>
    </w:p>
    <w:p>
      <w:pPr>
        <w:pStyle w:val="Heading5"/>
      </w:pPr>
      <w:bookmarkStart w:id="223" w:name="_Toc132297572"/>
      <w:bookmarkStart w:id="224" w:name="_Toc504050324"/>
      <w:bookmarkStart w:id="225" w:name="_Toc505693393"/>
      <w:r>
        <w:rPr>
          <w:rStyle w:val="CharSectno"/>
        </w:rPr>
        <w:t>42A</w:t>
      </w:r>
      <w:r>
        <w:t>.</w:t>
      </w:r>
      <w:r>
        <w:tab/>
        <w:t>Meetings</w:t>
      </w:r>
      <w:bookmarkEnd w:id="223"/>
      <w:bookmarkEnd w:id="224"/>
      <w:bookmarkEnd w:id="225"/>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No. 41 of 2006 s. 82.]</w:t>
      </w:r>
    </w:p>
    <w:p>
      <w:pPr>
        <w:pStyle w:val="Heading5"/>
      </w:pPr>
      <w:bookmarkStart w:id="226" w:name="_Toc132297573"/>
      <w:bookmarkStart w:id="227" w:name="_Toc504050325"/>
      <w:bookmarkStart w:id="228" w:name="_Toc505693394"/>
      <w:r>
        <w:rPr>
          <w:rStyle w:val="CharSectno"/>
        </w:rPr>
        <w:t>43</w:t>
      </w:r>
      <w:r>
        <w:t>.</w:t>
      </w:r>
      <w:r>
        <w:tab/>
        <w:t>Registrar and staff</w:t>
      </w:r>
      <w:bookmarkEnd w:id="226"/>
      <w:bookmarkEnd w:id="227"/>
      <w:bookmarkEnd w:id="228"/>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No. 41 of 2006 s. 83.]</w:t>
      </w:r>
    </w:p>
    <w:p>
      <w:pPr>
        <w:pStyle w:val="Heading5"/>
        <w:rPr>
          <w:snapToGrid w:val="0"/>
        </w:rPr>
      </w:pPr>
      <w:bookmarkStart w:id="229" w:name="_Toc132297574"/>
      <w:bookmarkStart w:id="230" w:name="_Toc504050326"/>
      <w:bookmarkStart w:id="231" w:name="_Toc505693395"/>
      <w:r>
        <w:rPr>
          <w:rStyle w:val="CharSectno"/>
        </w:rPr>
        <w:t>44</w:t>
      </w:r>
      <w:r>
        <w:rPr>
          <w:snapToGrid w:val="0"/>
        </w:rPr>
        <w:t>.</w:t>
      </w:r>
      <w:r>
        <w:rPr>
          <w:snapToGrid w:val="0"/>
        </w:rPr>
        <w:tab/>
        <w:t>Functions</w:t>
      </w:r>
      <w:bookmarkEnd w:id="229"/>
      <w:bookmarkEnd w:id="230"/>
      <w:bookmarkEnd w:id="231"/>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232" w:name="_Toc132297575"/>
      <w:bookmarkStart w:id="233" w:name="_Toc504050327"/>
      <w:bookmarkStart w:id="234" w:name="_Toc505693396"/>
      <w:r>
        <w:rPr>
          <w:rStyle w:val="CharSectno"/>
        </w:rPr>
        <w:t>45</w:t>
      </w:r>
      <w:r>
        <w:rPr>
          <w:snapToGrid w:val="0"/>
        </w:rPr>
        <w:t>.</w:t>
      </w:r>
      <w:r>
        <w:rPr>
          <w:snapToGrid w:val="0"/>
        </w:rPr>
        <w:tab/>
        <w:t>Supervising officers</w:t>
      </w:r>
      <w:bookmarkEnd w:id="232"/>
      <w:bookmarkEnd w:id="233"/>
      <w:bookmarkEnd w:id="234"/>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r>
        <w:tab/>
        <w:t>[Section 45 amended: No. 84 of 2004 s. 82.]</w:t>
      </w:r>
    </w:p>
    <w:p>
      <w:pPr>
        <w:pStyle w:val="Footnotesection"/>
      </w:pPr>
      <w:r>
        <w:tab/>
        <w:t>[Section 45. Modifications to be applied in order to give effect to Cross-border Justice Act 2008: section altered 1 Nov 2009. See endnote 1M.]</w:t>
      </w:r>
    </w:p>
    <w:p>
      <w:pPr>
        <w:pStyle w:val="Heading5"/>
        <w:rPr>
          <w:snapToGrid w:val="0"/>
        </w:rPr>
      </w:pPr>
      <w:bookmarkStart w:id="235" w:name="_Toc132297576"/>
      <w:bookmarkStart w:id="236" w:name="_Toc504050328"/>
      <w:bookmarkStart w:id="237" w:name="_Toc505693397"/>
      <w:r>
        <w:rPr>
          <w:rStyle w:val="CharSectno"/>
        </w:rPr>
        <w:t>46</w:t>
      </w:r>
      <w:r>
        <w:rPr>
          <w:snapToGrid w:val="0"/>
        </w:rPr>
        <w:t>.</w:t>
      </w:r>
      <w:r>
        <w:rPr>
          <w:snapToGrid w:val="0"/>
        </w:rPr>
        <w:tab/>
        <w:t>Decisions, orders and warrants</w:t>
      </w:r>
      <w:bookmarkEnd w:id="235"/>
      <w:bookmarkEnd w:id="236"/>
      <w:bookmarkEnd w:id="237"/>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No. 10 of 1998 s. 26; No. 41 of 2006 s. 84.]</w:t>
      </w:r>
    </w:p>
    <w:p>
      <w:pPr>
        <w:pStyle w:val="Heading5"/>
        <w:rPr>
          <w:snapToGrid w:val="0"/>
        </w:rPr>
      </w:pPr>
      <w:bookmarkStart w:id="238" w:name="_Toc132297577"/>
      <w:bookmarkStart w:id="239" w:name="_Toc504050329"/>
      <w:bookmarkStart w:id="240" w:name="_Toc505693398"/>
      <w:r>
        <w:rPr>
          <w:rStyle w:val="CharSectno"/>
        </w:rPr>
        <w:t>47</w:t>
      </w:r>
      <w:r>
        <w:rPr>
          <w:snapToGrid w:val="0"/>
        </w:rPr>
        <w:t>.</w:t>
      </w:r>
      <w:r>
        <w:rPr>
          <w:snapToGrid w:val="0"/>
        </w:rPr>
        <w:tab/>
        <w:t>Judicial notice of appointment and signature</w:t>
      </w:r>
      <w:bookmarkEnd w:id="238"/>
      <w:bookmarkEnd w:id="239"/>
      <w:bookmarkEnd w:id="240"/>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241" w:name="_Toc132297578"/>
      <w:bookmarkStart w:id="242" w:name="_Toc504050330"/>
      <w:bookmarkStart w:id="243" w:name="_Toc505693399"/>
      <w:r>
        <w:rPr>
          <w:rStyle w:val="CharSectno"/>
        </w:rPr>
        <w:t>48</w:t>
      </w:r>
      <w:r>
        <w:rPr>
          <w:snapToGrid w:val="0"/>
        </w:rPr>
        <w:t>.</w:t>
      </w:r>
      <w:r>
        <w:rPr>
          <w:snapToGrid w:val="0"/>
        </w:rPr>
        <w:tab/>
        <w:t>Annual report to Minister</w:t>
      </w:r>
      <w:bookmarkEnd w:id="241"/>
      <w:bookmarkEnd w:id="242"/>
      <w:bookmarkEnd w:id="243"/>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 and</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r>
        <w:tab/>
        <w:t>[Section 48 amended: No. 84 of 2004 s. 82.]</w:t>
      </w:r>
    </w:p>
    <w:p>
      <w:pPr>
        <w:pStyle w:val="Heading2"/>
      </w:pPr>
      <w:bookmarkStart w:id="244" w:name="_Toc132189383"/>
      <w:bookmarkStart w:id="245" w:name="_Toc132189636"/>
      <w:bookmarkStart w:id="246" w:name="_Toc132297579"/>
      <w:bookmarkStart w:id="247" w:name="_Toc501616236"/>
      <w:bookmarkStart w:id="248" w:name="_Toc504050331"/>
      <w:bookmarkStart w:id="249" w:name="_Toc505693400"/>
      <w:r>
        <w:rPr>
          <w:rStyle w:val="CharPartNo"/>
        </w:rPr>
        <w:t>Part 7</w:t>
      </w:r>
      <w:r>
        <w:rPr>
          <w:rStyle w:val="CharDivNo"/>
        </w:rPr>
        <w:t> </w:t>
      </w:r>
      <w:r>
        <w:t>—</w:t>
      </w:r>
      <w:r>
        <w:rPr>
          <w:rStyle w:val="CharDivText"/>
        </w:rPr>
        <w:t> </w:t>
      </w:r>
      <w:r>
        <w:rPr>
          <w:rStyle w:val="CharPartText"/>
        </w:rPr>
        <w:t>Miscellaneous</w:t>
      </w:r>
      <w:bookmarkEnd w:id="244"/>
      <w:bookmarkEnd w:id="245"/>
      <w:bookmarkEnd w:id="246"/>
      <w:bookmarkEnd w:id="247"/>
      <w:bookmarkEnd w:id="248"/>
      <w:bookmarkEnd w:id="249"/>
    </w:p>
    <w:p>
      <w:pPr>
        <w:pStyle w:val="Heading5"/>
        <w:rPr>
          <w:snapToGrid w:val="0"/>
        </w:rPr>
      </w:pPr>
      <w:bookmarkStart w:id="250" w:name="_Toc132297580"/>
      <w:bookmarkStart w:id="251" w:name="_Toc504050332"/>
      <w:bookmarkStart w:id="252" w:name="_Toc505693401"/>
      <w:r>
        <w:rPr>
          <w:rStyle w:val="CharSectno"/>
        </w:rPr>
        <w:t>49</w:t>
      </w:r>
      <w:r>
        <w:rPr>
          <w:snapToGrid w:val="0"/>
        </w:rPr>
        <w:t>.</w:t>
      </w:r>
      <w:r>
        <w:rPr>
          <w:snapToGrid w:val="0"/>
        </w:rPr>
        <w:tab/>
        <w:t>Issue and execution of warrants</w:t>
      </w:r>
      <w:bookmarkEnd w:id="250"/>
      <w:bookmarkEnd w:id="251"/>
      <w:bookmarkEnd w:id="252"/>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Footnotesection"/>
      </w:pPr>
      <w:r>
        <w:tab/>
        <w:t>[Section 49. Modifications to be applied in order to give effect to Cross-border Justice Act 2008: section altered 1 Nov 2009. See endnote 1M.]</w:t>
      </w:r>
    </w:p>
    <w:p>
      <w:pPr>
        <w:pStyle w:val="Heading5"/>
      </w:pPr>
      <w:bookmarkStart w:id="253" w:name="_Toc132297581"/>
      <w:bookmarkStart w:id="254" w:name="_Toc504050333"/>
      <w:bookmarkStart w:id="255" w:name="_Toc505693402"/>
      <w:r>
        <w:rPr>
          <w:rStyle w:val="CharSectno"/>
        </w:rPr>
        <w:t>50A</w:t>
      </w:r>
      <w:r>
        <w:t>.</w:t>
      </w:r>
      <w:r>
        <w:tab/>
        <w:t>Protection from personal liability</w:t>
      </w:r>
      <w:bookmarkEnd w:id="253"/>
      <w:bookmarkEnd w:id="254"/>
      <w:bookmarkEnd w:id="255"/>
    </w:p>
    <w:p>
      <w:pPr>
        <w:pStyle w:val="Subsection"/>
      </w:pPr>
      <w:r>
        <w:tab/>
        <w:t>(1)</w:t>
      </w:r>
      <w:r>
        <w:tab/>
        <w:t>In this section, a reference to the doing of anything includes a reference to the omission to do anything.</w:t>
      </w:r>
    </w:p>
    <w:p>
      <w:pPr>
        <w:pStyle w:val="Subsection"/>
      </w:pPr>
      <w:r>
        <w:tab/>
        <w:t>(2)</w:t>
      </w:r>
      <w:r>
        <w:tab/>
        <w:t>An action in tort does not lie against a person for anything that the person has done, in good faith —</w:t>
      </w:r>
    </w:p>
    <w:p>
      <w:pPr>
        <w:pStyle w:val="Indenta"/>
      </w:pPr>
      <w:r>
        <w:tab/>
        <w:t>(a)</w:t>
      </w:r>
      <w:r>
        <w:tab/>
        <w:t>when performing or purporting to perform a function under this Act; or</w:t>
      </w:r>
    </w:p>
    <w:p>
      <w:pPr>
        <w:pStyle w:val="Indenta"/>
      </w:pPr>
      <w:r>
        <w:tab/>
        <w:t>(b)</w:t>
      </w:r>
      <w:r>
        <w:tab/>
        <w:t>in assisting a person to perform or purportedly perform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Despite subsection (2), the State is not relieved of any liability that it might have for another person having done something as described in that subsection.</w:t>
      </w:r>
    </w:p>
    <w:p>
      <w:pPr>
        <w:pStyle w:val="Footnotesection"/>
      </w:pPr>
      <w:r>
        <w:tab/>
        <w:t>[Section 50A inserted: No. 4 of 2015 s. 68.]</w:t>
      </w:r>
    </w:p>
    <w:p>
      <w:pPr>
        <w:pStyle w:val="Heading5"/>
        <w:rPr>
          <w:snapToGrid w:val="0"/>
        </w:rPr>
      </w:pPr>
      <w:bookmarkStart w:id="256" w:name="_Toc132297582"/>
      <w:bookmarkStart w:id="257" w:name="_Toc504050334"/>
      <w:bookmarkStart w:id="258" w:name="_Toc505693403"/>
      <w:r>
        <w:rPr>
          <w:rStyle w:val="CharSectno"/>
        </w:rPr>
        <w:t>50</w:t>
      </w:r>
      <w:r>
        <w:rPr>
          <w:snapToGrid w:val="0"/>
        </w:rPr>
        <w:t>.</w:t>
      </w:r>
      <w:r>
        <w:rPr>
          <w:snapToGrid w:val="0"/>
        </w:rPr>
        <w:tab/>
        <w:t>Regulations</w:t>
      </w:r>
      <w:bookmarkEnd w:id="256"/>
      <w:bookmarkEnd w:id="257"/>
      <w:bookmarkEnd w:id="258"/>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259" w:name="_Toc132189387"/>
      <w:bookmarkStart w:id="260" w:name="_Toc132189640"/>
      <w:bookmarkStart w:id="261" w:name="_Toc132297583"/>
      <w:bookmarkStart w:id="262" w:name="_Toc501616240"/>
      <w:bookmarkStart w:id="263" w:name="_Toc504050335"/>
      <w:bookmarkStart w:id="264" w:name="_Toc505693404"/>
      <w:r>
        <w:rPr>
          <w:rStyle w:val="CharSchNo"/>
        </w:rPr>
        <w:t>Schedule 1</w:t>
      </w:r>
      <w:r>
        <w:t> — </w:t>
      </w:r>
      <w:r>
        <w:rPr>
          <w:rStyle w:val="CharSchText"/>
        </w:rPr>
        <w:t>Offences for which a custody order must be made</w:t>
      </w:r>
      <w:bookmarkEnd w:id="259"/>
      <w:bookmarkEnd w:id="260"/>
      <w:bookmarkEnd w:id="261"/>
      <w:bookmarkEnd w:id="262"/>
      <w:bookmarkEnd w:id="263"/>
      <w:bookmarkEnd w:id="264"/>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No. 38 of 1998 s. 4(3); No. 23 of 2001 s. 10(2); No. 4 of 2004 s. 24 and 26; No. 29 of 2008 s. 29; No. 6 of 2017 s. 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nHeading2"/>
      </w:pPr>
      <w:bookmarkStart w:id="266" w:name="_Toc132189641"/>
      <w:bookmarkStart w:id="267" w:name="_Toc132297584"/>
      <w:bookmarkStart w:id="268" w:name="_Toc501616241"/>
      <w:bookmarkStart w:id="269" w:name="_Toc504050336"/>
      <w:bookmarkStart w:id="270" w:name="_Toc505693405"/>
      <w:bookmarkStart w:id="271" w:name="_Toc132189390"/>
      <w:r>
        <w:t>Notes</w:t>
      </w:r>
      <w:bookmarkEnd w:id="266"/>
      <w:bookmarkEnd w:id="267"/>
      <w:bookmarkEnd w:id="268"/>
      <w:bookmarkEnd w:id="269"/>
      <w:bookmarkEnd w:id="270"/>
    </w:p>
    <w:p>
      <w:pPr>
        <w:pStyle w:val="nStatement"/>
      </w:pPr>
      <w:del w:id="272" w:author="Master Repository Process" w:date="2023-04-14T08:28:00Z">
        <w:r>
          <w:rPr>
            <w:vertAlign w:val="superscript"/>
          </w:rPr>
          <w:delText>1</w:delText>
        </w:r>
        <w:r>
          <w:tab/>
        </w:r>
      </w:del>
      <w:r>
        <w:t xml:space="preserve">This is a compilation of the </w:t>
      </w:r>
      <w:r>
        <w:rPr>
          <w:i/>
          <w:noProof/>
        </w:rPr>
        <w:t>Criminal Law (Mentally Impaired Accused) Act</w:t>
      </w:r>
      <w:del w:id="273" w:author="Master Repository Process" w:date="2023-04-14T08:28:00Z">
        <w:r>
          <w:rPr>
            <w:i/>
            <w:noProof/>
          </w:rPr>
          <w:delText xml:space="preserve"> </w:delText>
        </w:r>
      </w:del>
      <w:ins w:id="274" w:author="Master Repository Process" w:date="2023-04-14T08:28:00Z">
        <w:r>
          <w:rPr>
            <w:i/>
            <w:noProof/>
          </w:rPr>
          <w:t> </w:t>
        </w:r>
      </w:ins>
      <w:r>
        <w:rPr>
          <w:i/>
          <w:noProof/>
        </w:rPr>
        <w:t>1996</w:t>
      </w:r>
      <w:r>
        <w:t xml:space="preserve"> and includes </w:t>
      </w:r>
      <w:del w:id="275" w:author="Master Repository Process" w:date="2023-04-14T08:28:00Z">
        <w:r>
          <w:delText xml:space="preserve">the </w:delText>
        </w:r>
      </w:del>
      <w:r>
        <w:t xml:space="preserve">amendments made by </w:t>
      </w:r>
      <w:del w:id="276" w:author="Master Repository Process" w:date="2023-04-14T08:28:00Z">
        <w:r>
          <w:delText xml:space="preserve">the </w:delText>
        </w:r>
      </w:del>
      <w:r>
        <w:t>other written laws</w:t>
      </w:r>
      <w:del w:id="277" w:author="Master Repository Process" w:date="2023-04-14T08:28:00Z">
        <w:r>
          <w:delText xml:space="preserve"> referred to in the following table</w:delText>
        </w:r>
      </w:del>
      <w:r>
        <w:rPr>
          <w:vertAlign w:val="superscript"/>
        </w:rPr>
        <w:t> 1M</w:t>
      </w:r>
      <w:r>
        <w:t xml:space="preserve">. </w:t>
      </w:r>
      <w:del w:id="278" w:author="Master Repository Process" w:date="2023-04-14T08:28:00Z">
        <w:r>
          <w:delText xml:space="preserve"> The table also contains</w:delText>
        </w:r>
      </w:del>
      <w:ins w:id="279" w:author="Master Repository Process" w:date="2023-04-14T08:28:00Z">
        <w:r>
          <w:t>For provisions that have come into operation, and for</w:t>
        </w:r>
      </w:ins>
      <w:r>
        <w:t xml:space="preserve"> information about any </w:t>
      </w:r>
      <w:del w:id="280" w:author="Master Repository Process" w:date="2023-04-14T08:28:00Z">
        <w:r>
          <w:delText>reprint</w:delText>
        </w:r>
      </w:del>
      <w:ins w:id="281" w:author="Master Repository Process" w:date="2023-04-14T08:28:00Z">
        <w:r>
          <w:t>reprints, see the compilation table. For provisions that have not yet come into operation see the uncommenced provisions table</w:t>
        </w:r>
      </w:ins>
      <w:r>
        <w:t>.</w:t>
      </w:r>
    </w:p>
    <w:p>
      <w:pPr>
        <w:pStyle w:val="nHeading3"/>
      </w:pPr>
      <w:bookmarkStart w:id="282" w:name="_Toc132297585"/>
      <w:bookmarkStart w:id="283" w:name="_Toc504050337"/>
      <w:bookmarkStart w:id="284" w:name="_Toc505693406"/>
      <w:r>
        <w:t>Compilation table</w:t>
      </w:r>
      <w:bookmarkEnd w:id="282"/>
      <w:bookmarkEnd w:id="283"/>
      <w:bookmarkEnd w:id="284"/>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285" w:author="Master Repository Process" w:date="2023-04-14T08:28:00Z">
              <w:r>
                <w:rPr>
                  <w:b/>
                </w:rPr>
                <w:delText xml:space="preserve"> </w:delText>
              </w:r>
            </w:del>
            <w:ins w:id="286" w:author="Master Repository Process" w:date="2023-04-14T08:28: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Criminal Law (Mentally Impaired Defendants) Act 1996</w:t>
            </w:r>
            <w:r>
              <w:rPr>
                <w:vertAlign w:val="superscript"/>
              </w:rPr>
              <w:t> </w:t>
            </w:r>
            <w:del w:id="287" w:author="Master Repository Process" w:date="2023-04-14T08:28:00Z">
              <w:r>
                <w:rPr>
                  <w:vertAlign w:val="superscript"/>
                </w:rPr>
                <w:delText>2</w:delText>
              </w:r>
            </w:del>
            <w:ins w:id="288" w:author="Master Repository Process" w:date="2023-04-14T08:28:00Z">
              <w:r>
                <w:rPr>
                  <w:vertAlign w:val="superscript"/>
                </w:rPr>
                <w:t>1</w:t>
              </w:r>
            </w:ins>
          </w:p>
        </w:tc>
        <w:tc>
          <w:tcPr>
            <w:tcW w:w="1134" w:type="dxa"/>
          </w:tcPr>
          <w:p>
            <w:pPr>
              <w:pStyle w:val="nTable"/>
              <w:spacing w:after="40"/>
            </w:pPr>
            <w:r>
              <w:t>70 of 1996</w:t>
            </w:r>
          </w:p>
        </w:tc>
        <w:tc>
          <w:tcPr>
            <w:tcW w:w="1134" w:type="dxa"/>
          </w:tcPr>
          <w:p>
            <w:pPr>
              <w:pStyle w:val="nTable"/>
              <w:spacing w:after="40"/>
            </w:pPr>
            <w:r>
              <w:t>13 Nov 1996</w:t>
            </w:r>
          </w:p>
        </w:tc>
        <w:tc>
          <w:tcPr>
            <w:tcW w:w="2552"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(No. 2) 1998</w:t>
            </w:r>
            <w:r>
              <w:t xml:space="preserve"> s. 26</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(No. 1) 1998</w:t>
            </w:r>
            <w:r>
              <w:t xml:space="preserve"> s. 4(3)</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Criminal Law Amendment Act 2001 </w:t>
            </w:r>
            <w:r>
              <w:t>s. 10(2)</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spacing w:val="-4"/>
              </w:rPr>
              <w:t xml:space="preserve">Reprint of the </w:t>
            </w:r>
            <w:r>
              <w:rPr>
                <w:b/>
                <w:i/>
                <w:spacing w:val="-4"/>
              </w:rPr>
              <w:t>Criminal Law (Mentally Impaired Defendants) Act 1996</w:t>
            </w:r>
            <w:r>
              <w:rPr>
                <w:b/>
                <w:spacing w:val="-4"/>
              </w:rPr>
              <w:t xml:space="preserve"> as at 21 Jun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pacing w:val="-4"/>
              </w:rPr>
            </w:pPr>
            <w:r>
              <w:rPr>
                <w:i/>
                <w:spacing w:val="-4"/>
              </w:rPr>
              <w:t>Criminal Law (Procedure) Amendment Act 2002</w:t>
            </w:r>
            <w:r>
              <w:rPr>
                <w:spacing w:val="-4"/>
              </w:rPr>
              <w:t xml:space="preserve"> Pt. 4 Div. 3</w:t>
            </w:r>
          </w:p>
        </w:tc>
        <w:tc>
          <w:tcPr>
            <w:tcW w:w="1134" w:type="dxa"/>
          </w:tcPr>
          <w:p>
            <w:pPr>
              <w:pStyle w:val="nTable"/>
              <w:spacing w:after="40"/>
              <w:rPr>
                <w:spacing w:val="-4"/>
              </w:rPr>
            </w:pPr>
            <w:r>
              <w:rPr>
                <w:spacing w:val="-4"/>
              </w:rPr>
              <w:t>27 of 2002</w:t>
            </w:r>
          </w:p>
        </w:tc>
        <w:tc>
          <w:tcPr>
            <w:tcW w:w="1134" w:type="dxa"/>
          </w:tcPr>
          <w:p>
            <w:pPr>
              <w:pStyle w:val="nTable"/>
              <w:spacing w:after="40"/>
              <w:rPr>
                <w:spacing w:val="-4"/>
              </w:rPr>
            </w:pPr>
            <w:r>
              <w:rPr>
                <w:spacing w:val="-4"/>
              </w:rPr>
              <w:t>25 Sep 2002</w:t>
            </w:r>
          </w:p>
        </w:tc>
        <w:tc>
          <w:tcPr>
            <w:tcW w:w="2552" w:type="dxa"/>
          </w:tcPr>
          <w:p>
            <w:pPr>
              <w:pStyle w:val="nTable"/>
              <w:spacing w:after="40"/>
              <w:rPr>
                <w:spacing w:val="-4"/>
              </w:rPr>
            </w:pPr>
            <w:r>
              <w:rPr>
                <w:spacing w:val="-4"/>
              </w:rPr>
              <w:t xml:space="preserve">27 Sep 2002 (see s. 2 and </w:t>
            </w:r>
            <w:r>
              <w:rPr>
                <w:i/>
                <w:spacing w:val="-4"/>
              </w:rPr>
              <w:t>Gazette</w:t>
            </w:r>
            <w:r>
              <w:rPr>
                <w:spacing w:val="-4"/>
              </w:rPr>
              <w:t xml:space="preserve"> 27 Sep 2002 p. 4875)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pacing w:val="-4"/>
              </w:rPr>
            </w:pPr>
            <w:r>
              <w:rPr>
                <w:i/>
                <w:spacing w:val="-4"/>
              </w:rPr>
              <w:t>Sentencing Legislation Amendment and Repeal Act 2003</w:t>
            </w:r>
            <w:r>
              <w:rPr>
                <w:spacing w:val="-4"/>
              </w:rPr>
              <w:t xml:space="preserve"> s. 29(3)</w:t>
            </w:r>
          </w:p>
        </w:tc>
        <w:tc>
          <w:tcPr>
            <w:tcW w:w="1134" w:type="dxa"/>
          </w:tcPr>
          <w:p>
            <w:pPr>
              <w:pStyle w:val="nTable"/>
              <w:spacing w:after="40"/>
              <w:rPr>
                <w:spacing w:val="-4"/>
              </w:rPr>
            </w:pPr>
            <w:r>
              <w:rPr>
                <w:spacing w:val="-4"/>
              </w:rPr>
              <w:t>50 of 2003</w:t>
            </w:r>
          </w:p>
        </w:tc>
        <w:tc>
          <w:tcPr>
            <w:tcW w:w="1134" w:type="dxa"/>
          </w:tcPr>
          <w:p>
            <w:pPr>
              <w:pStyle w:val="nTable"/>
              <w:spacing w:after="40"/>
              <w:rPr>
                <w:spacing w:val="-4"/>
              </w:rPr>
            </w:pPr>
            <w:r>
              <w:rPr>
                <w:spacing w:val="-4"/>
              </w:rPr>
              <w:t>9 Jul 2003</w:t>
            </w:r>
          </w:p>
        </w:tc>
        <w:tc>
          <w:tcPr>
            <w:tcW w:w="2552" w:type="dxa"/>
          </w:tcPr>
          <w:p>
            <w:pPr>
              <w:pStyle w:val="nTable"/>
              <w:spacing w:after="40"/>
              <w:rPr>
                <w:spacing w:val="-4"/>
              </w:rPr>
            </w:pPr>
            <w:r>
              <w:rPr>
                <w:spacing w:val="-4"/>
              </w:rPr>
              <w:t xml:space="preserve">31 Aug 2003 (see s. 2 and </w:t>
            </w:r>
            <w:r>
              <w:rPr>
                <w:i/>
                <w:spacing w:val="-4"/>
              </w:rPr>
              <w:t>Gazette</w:t>
            </w:r>
            <w:r>
              <w:rPr>
                <w:spacing w:val="-4"/>
              </w:rPr>
              <w:t xml:space="preserve"> 29 Aug 2003 p. 3833)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Criminal Code Amendment Act 2004</w:t>
            </w:r>
            <w:r>
              <w:t xml:space="preserve"> s. 24, 26 and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78, 80, 82 and 84</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pacing w:val="-4"/>
              </w:rPr>
              <w:t xml:space="preserve">Reprint 2: The </w:t>
            </w:r>
            <w:r>
              <w:rPr>
                <w:b/>
                <w:i/>
                <w:spacing w:val="-4"/>
              </w:rPr>
              <w:t>Criminal Law (Mentally Impaired Accused) Act 1996</w:t>
            </w:r>
            <w:r>
              <w:rPr>
                <w:b/>
                <w:spacing w:val="-4"/>
              </w:rPr>
              <w:t xml:space="preserve"> as at 12 Aug 2005</w:t>
            </w:r>
            <w:r>
              <w:rPr>
                <w:b/>
              </w:rPr>
              <w:br/>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vertAlign w:val="superscript"/>
              </w:rPr>
            </w:pPr>
            <w:r>
              <w:rPr>
                <w:i/>
                <w:snapToGrid w:val="0"/>
              </w:rPr>
              <w:t xml:space="preserve">Parole and Sentencing Legislation Amendment Act 2006 </w:t>
            </w:r>
            <w:r>
              <w:rPr>
                <w:snapToGrid w:val="0"/>
              </w:rPr>
              <w:t>Pt. 4</w:t>
            </w:r>
          </w:p>
        </w:tc>
        <w:tc>
          <w:tcPr>
            <w:tcW w:w="1134" w:type="dxa"/>
            <w:tcBorders>
              <w:top w:val="nil"/>
              <w:bottom w:val="nil"/>
            </w:tcBorders>
          </w:tcPr>
          <w:p>
            <w:pPr>
              <w:pStyle w:val="nTable"/>
              <w:spacing w:after="40"/>
              <w:rPr>
                <w:snapToGrid w:val="0"/>
              </w:rPr>
            </w:pPr>
            <w:r>
              <w:rPr>
                <w:snapToGrid w:val="0"/>
              </w:rPr>
              <w:t>41 of 2006</w:t>
            </w:r>
          </w:p>
        </w:tc>
        <w:tc>
          <w:tcPr>
            <w:tcW w:w="1134" w:type="dxa"/>
            <w:tcBorders>
              <w:top w:val="nil"/>
              <w:bottom w:val="nil"/>
            </w:tcBorders>
          </w:tcPr>
          <w:p>
            <w:pPr>
              <w:pStyle w:val="nTable"/>
              <w:spacing w:after="40"/>
              <w:rPr>
                <w:snapToGrid w:val="0"/>
              </w:rPr>
            </w:pPr>
            <w:r>
              <w:rPr>
                <w:snapToGrid w:val="0"/>
              </w:rPr>
              <w:t>22 Sep 2006</w:t>
            </w:r>
          </w:p>
        </w:tc>
        <w:tc>
          <w:tcPr>
            <w:tcW w:w="2552" w:type="dxa"/>
            <w:tcBorders>
              <w:top w:val="nil"/>
              <w:bottom w:val="nil"/>
            </w:tcBorders>
          </w:tcPr>
          <w:p>
            <w:pPr>
              <w:pStyle w:val="nTable"/>
              <w:spacing w:after="40"/>
              <w:rPr>
                <w:snapToGrid w:val="0"/>
              </w:rPr>
            </w:pPr>
            <w:r>
              <w:rPr>
                <w:snapToGrid w:val="0"/>
              </w:rPr>
              <w:t xml:space="preserve">28 Jan 2007 (see s. 2(1) and </w:t>
            </w:r>
            <w:r>
              <w:rPr>
                <w:i/>
                <w:iCs/>
                <w:snapToGrid w:val="0"/>
              </w:rPr>
              <w:t>Gazette</w:t>
            </w:r>
            <w:r>
              <w:rPr>
                <w:snapToGrid w:val="0"/>
              </w:rPr>
              <w:t xml:space="preserve"> 29 Dec 2006 p. 5867)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7 </w:t>
            </w:r>
          </w:p>
        </w:tc>
        <w:tc>
          <w:tcPr>
            <w:tcW w:w="1134" w:type="dxa"/>
            <w:tcBorders>
              <w:top w:val="nil"/>
              <w:bottom w:val="nil"/>
            </w:tcBorders>
          </w:tcPr>
          <w:p>
            <w:pPr>
              <w:pStyle w:val="nTable"/>
              <w:spacing w:after="40"/>
              <w:rPr>
                <w:snapToGrid w:val="0"/>
              </w:rPr>
            </w:pPr>
            <w:r>
              <w:rPr>
                <w:snapToGrid w:val="0"/>
              </w:rPr>
              <w:t>65 of 2006</w:t>
            </w:r>
          </w:p>
        </w:tc>
        <w:tc>
          <w:tcPr>
            <w:tcW w:w="1134" w:type="dxa"/>
            <w:tcBorders>
              <w:top w:val="nil"/>
              <w:bottom w:val="nil"/>
            </w:tcBorders>
          </w:tcPr>
          <w:p>
            <w:pPr>
              <w:pStyle w:val="nTable"/>
              <w:spacing w:after="40"/>
              <w:rPr>
                <w:snapToGrid w:val="0"/>
              </w:rPr>
            </w:pPr>
            <w:r>
              <w:rPr>
                <w:snapToGrid w:val="0"/>
              </w:rPr>
              <w:t>8 Dec 2006</w:t>
            </w:r>
          </w:p>
        </w:tc>
        <w:tc>
          <w:tcPr>
            <w:tcW w:w="2552" w:type="dxa"/>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60 </w:t>
            </w:r>
          </w:p>
        </w:tc>
        <w:tc>
          <w:tcPr>
            <w:tcW w:w="1134" w:type="dxa"/>
            <w:tcBorders>
              <w:top w:val="nil"/>
              <w:bottom w:val="nil"/>
            </w:tcBorders>
          </w:tcPr>
          <w:p>
            <w:pPr>
              <w:pStyle w:val="nTable"/>
              <w:spacing w:after="40"/>
              <w:rPr>
                <w:snapToGrid w:val="0"/>
              </w:rPr>
            </w:pPr>
            <w:r>
              <w:t>2 of 2008</w:t>
            </w:r>
          </w:p>
        </w:tc>
        <w:tc>
          <w:tcPr>
            <w:tcW w:w="1134" w:type="dxa"/>
            <w:tcBorders>
              <w:top w:val="nil"/>
              <w:bottom w:val="nil"/>
            </w:tcBorders>
          </w:tcPr>
          <w:p>
            <w:pPr>
              <w:pStyle w:val="nTable"/>
              <w:spacing w:after="40"/>
              <w:rPr>
                <w:snapToGrid w:val="0"/>
              </w:rPr>
            </w:pPr>
            <w:r>
              <w:t>12 Mar 2008</w:t>
            </w:r>
          </w:p>
        </w:tc>
        <w:tc>
          <w:tcPr>
            <w:tcW w:w="2552" w:type="dxa"/>
            <w:tcBorders>
              <w:top w:val="nil"/>
              <w:bottom w:val="nil"/>
            </w:tcBorders>
          </w:tcPr>
          <w:p>
            <w:pPr>
              <w:pStyle w:val="nTable"/>
              <w:spacing w:after="40"/>
              <w:rPr>
                <w:snapToGrid w:val="0"/>
                <w:spacing w:val="-2"/>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Law Amendment (Homicide) Act 2008</w:t>
            </w:r>
            <w:r>
              <w:rPr>
                <w:iCs/>
                <w:snapToGrid w:val="0"/>
              </w:rPr>
              <w:t xml:space="preserve"> s. 29 </w:t>
            </w:r>
          </w:p>
        </w:tc>
        <w:tc>
          <w:tcPr>
            <w:tcW w:w="1134" w:type="dxa"/>
            <w:tcBorders>
              <w:top w:val="nil"/>
              <w:bottom w:val="nil"/>
            </w:tcBorders>
          </w:tcPr>
          <w:p>
            <w:pPr>
              <w:pStyle w:val="nTable"/>
              <w:spacing w:after="40"/>
            </w:pPr>
            <w:r>
              <w:t>29 of 2008</w:t>
            </w:r>
          </w:p>
        </w:tc>
        <w:tc>
          <w:tcPr>
            <w:tcW w:w="1134" w:type="dxa"/>
            <w:tcBorders>
              <w:top w:val="nil"/>
              <w:bottom w:val="nil"/>
            </w:tcBorders>
          </w:tcPr>
          <w:p>
            <w:pPr>
              <w:pStyle w:val="nTable"/>
              <w:spacing w:after="40"/>
            </w:pPr>
            <w:r>
              <w:t>27 Jun 2008</w:t>
            </w:r>
          </w:p>
        </w:tc>
        <w:tc>
          <w:tcPr>
            <w:tcW w:w="2552" w:type="dxa"/>
            <w:tcBorders>
              <w:top w:val="nil"/>
              <w:bottom w:val="nil"/>
            </w:tcBorders>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pacing w:val="-4"/>
              </w:rPr>
              <w:t xml:space="preserve">Reprint 3: The </w:t>
            </w:r>
            <w:r>
              <w:rPr>
                <w:b/>
                <w:i/>
                <w:spacing w:val="-4"/>
              </w:rPr>
              <w:t>Criminal Law (Mentally Impaired Accused) Act 1996</w:t>
            </w:r>
            <w:r>
              <w:rPr>
                <w:b/>
                <w:spacing w:val="-4"/>
              </w:rPr>
              <w:t xml:space="preserve"> as at 17 Apr 2009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7</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tcPr>
          <w:p>
            <w:pPr>
              <w:pStyle w:val="nTable"/>
              <w:spacing w:after="40"/>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 xml:space="preserve">Mental Health Legislation Amendment Act 2014 </w:t>
            </w:r>
            <w:r>
              <w:t>Pt. 4 Div. 1</w:t>
            </w:r>
          </w:p>
        </w:tc>
        <w:tc>
          <w:tcPr>
            <w:tcW w:w="1134" w:type="dxa"/>
            <w:shd w:val="clear" w:color="auto" w:fill="auto"/>
          </w:tcPr>
          <w:p>
            <w:pPr>
              <w:pStyle w:val="nTable"/>
              <w:spacing w:after="40"/>
              <w:rPr>
                <w:snapToGrid w:val="0"/>
              </w:rPr>
            </w:pPr>
            <w:r>
              <w:rPr>
                <w:snapToGrid w:val="0"/>
              </w:rPr>
              <w:t>25 of 2014</w:t>
            </w:r>
          </w:p>
        </w:tc>
        <w:tc>
          <w:tcPr>
            <w:tcW w:w="1134" w:type="dxa"/>
            <w:shd w:val="clear" w:color="auto" w:fill="auto"/>
          </w:tcPr>
          <w:p>
            <w:pPr>
              <w:pStyle w:val="nTable"/>
              <w:spacing w:after="40"/>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Declared Places (Mentally Impaired Accused) Act 2015</w:t>
            </w:r>
            <w:r>
              <w:t xml:space="preserve"> Pt. 12 Div. 1</w:t>
            </w:r>
          </w:p>
        </w:tc>
        <w:tc>
          <w:tcPr>
            <w:tcW w:w="1134"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2" w:type="dxa"/>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snapToGrid w:val="0"/>
              </w:rPr>
              <w:t>Statutes (Minor Amendments) Act 2017</w:t>
            </w:r>
            <w:r>
              <w:rPr>
                <w:snapToGrid w:val="0"/>
              </w:rPr>
              <w:t xml:space="preserve"> s. 5</w:t>
            </w:r>
          </w:p>
        </w:tc>
        <w:tc>
          <w:tcPr>
            <w:tcW w:w="1134" w:type="dxa"/>
            <w:shd w:val="clear" w:color="auto" w:fill="auto"/>
          </w:tcPr>
          <w:p>
            <w:pPr>
              <w:pStyle w:val="nTable"/>
              <w:spacing w:after="40"/>
              <w:rPr>
                <w:snapToGrid w:val="0"/>
              </w:rPr>
            </w:pPr>
            <w:r>
              <w:rPr>
                <w:snapToGrid w:val="0"/>
              </w:rPr>
              <w:t>6 of 2017</w:t>
            </w:r>
          </w:p>
        </w:tc>
        <w:tc>
          <w:tcPr>
            <w:tcW w:w="1134" w:type="dxa"/>
            <w:shd w:val="clear" w:color="auto" w:fill="auto"/>
          </w:tcPr>
          <w:p>
            <w:pPr>
              <w:pStyle w:val="nTable"/>
              <w:spacing w:after="40"/>
            </w:pPr>
            <w:r>
              <w:rPr>
                <w:snapToGrid w:val="0"/>
              </w:rPr>
              <w:t>12 Sep 2017</w:t>
            </w:r>
          </w:p>
        </w:tc>
        <w:tc>
          <w:tcPr>
            <w:tcW w:w="2552" w:type="dxa"/>
          </w:tcPr>
          <w:p>
            <w:pPr>
              <w:pStyle w:val="nTable"/>
              <w:spacing w:after="40"/>
              <w:rPr>
                <w:b/>
                <w:snapToGrid w:val="0"/>
              </w:rPr>
            </w:pPr>
            <w:r>
              <w:rPr>
                <w:snapToGrid w:val="0"/>
              </w:rPr>
              <w:t>13 Sep 2017 (see s. 2(b))</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4" w:space="0" w:color="auto"/>
            </w:tcBorders>
            <w:shd w:val="clear" w:color="auto" w:fill="auto"/>
          </w:tcPr>
          <w:p>
            <w:pPr>
              <w:pStyle w:val="nTable"/>
              <w:spacing w:after="40"/>
              <w:rPr>
                <w:snapToGrid w:val="0"/>
              </w:rPr>
            </w:pPr>
            <w:r>
              <w:rPr>
                <w:b/>
                <w:snapToGrid w:val="0"/>
              </w:rPr>
              <w:t xml:space="preserve">Reprint 4: The </w:t>
            </w:r>
            <w:r>
              <w:rPr>
                <w:b/>
                <w:i/>
                <w:noProof/>
                <w:snapToGrid w:val="0"/>
              </w:rPr>
              <w:t>Criminal Law (Mentally Impaired Accused) Act 1996</w:t>
            </w:r>
            <w:r>
              <w:rPr>
                <w:b/>
                <w:snapToGrid w:val="0"/>
              </w:rPr>
              <w:t xml:space="preserve"> as at 19 Jan 2018</w:t>
            </w:r>
            <w:r>
              <w:rPr>
                <w:snapToGrid w:val="0"/>
              </w:rPr>
              <w:t xml:space="preserve"> (includes amendments listed above)</w:t>
            </w:r>
          </w:p>
        </w:tc>
      </w:tr>
    </w:tbl>
    <w:p>
      <w:pPr>
        <w:pStyle w:val="nHeading3"/>
        <w:rPr>
          <w:ins w:id="289" w:author="Master Repository Process" w:date="2023-04-14T08:28:00Z"/>
        </w:rPr>
      </w:pPr>
      <w:bookmarkStart w:id="290" w:name="_Toc132297586"/>
      <w:ins w:id="291" w:author="Master Repository Process" w:date="2023-04-14T08:28:00Z">
        <w:r>
          <w:t>Uncommenced provisions table</w:t>
        </w:r>
        <w:bookmarkEnd w:id="290"/>
      </w:ins>
    </w:p>
    <w:p>
      <w:pPr>
        <w:pStyle w:val="nStatement"/>
        <w:keepNext/>
        <w:spacing w:after="240"/>
        <w:rPr>
          <w:ins w:id="292" w:author="Master Repository Process" w:date="2023-04-14T08:28:00Z"/>
        </w:rPr>
      </w:pPr>
      <w:ins w:id="293" w:author="Master Repository Process" w:date="2023-04-14T08:28: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94" w:author="Master Repository Process" w:date="2023-04-14T08:28:00Z"/>
        </w:trPr>
        <w:tc>
          <w:tcPr>
            <w:tcW w:w="2268" w:type="dxa"/>
          </w:tcPr>
          <w:p>
            <w:pPr>
              <w:pStyle w:val="nTable"/>
              <w:spacing w:after="40"/>
              <w:rPr>
                <w:ins w:id="295" w:author="Master Repository Process" w:date="2023-04-14T08:28:00Z"/>
                <w:b/>
              </w:rPr>
            </w:pPr>
            <w:ins w:id="296" w:author="Master Repository Process" w:date="2023-04-14T08:28:00Z">
              <w:r>
                <w:rPr>
                  <w:b/>
                </w:rPr>
                <w:t>Short title</w:t>
              </w:r>
            </w:ins>
          </w:p>
        </w:tc>
        <w:tc>
          <w:tcPr>
            <w:tcW w:w="1134" w:type="dxa"/>
          </w:tcPr>
          <w:p>
            <w:pPr>
              <w:pStyle w:val="nTable"/>
              <w:spacing w:after="40"/>
              <w:rPr>
                <w:ins w:id="297" w:author="Master Repository Process" w:date="2023-04-14T08:28:00Z"/>
                <w:b/>
              </w:rPr>
            </w:pPr>
            <w:ins w:id="298" w:author="Master Repository Process" w:date="2023-04-14T08:28:00Z">
              <w:r>
                <w:rPr>
                  <w:b/>
                </w:rPr>
                <w:t>Number and year</w:t>
              </w:r>
            </w:ins>
          </w:p>
        </w:tc>
        <w:tc>
          <w:tcPr>
            <w:tcW w:w="1134" w:type="dxa"/>
          </w:tcPr>
          <w:p>
            <w:pPr>
              <w:pStyle w:val="nTable"/>
              <w:spacing w:after="40"/>
              <w:rPr>
                <w:ins w:id="299" w:author="Master Repository Process" w:date="2023-04-14T08:28:00Z"/>
                <w:b/>
              </w:rPr>
            </w:pPr>
            <w:ins w:id="300" w:author="Master Repository Process" w:date="2023-04-14T08:28:00Z">
              <w:r>
                <w:rPr>
                  <w:b/>
                </w:rPr>
                <w:t>Assent</w:t>
              </w:r>
            </w:ins>
          </w:p>
        </w:tc>
        <w:tc>
          <w:tcPr>
            <w:tcW w:w="2552" w:type="dxa"/>
          </w:tcPr>
          <w:p>
            <w:pPr>
              <w:pStyle w:val="nTable"/>
              <w:spacing w:after="40"/>
              <w:rPr>
                <w:ins w:id="301" w:author="Master Repository Process" w:date="2023-04-14T08:28:00Z"/>
                <w:b/>
              </w:rPr>
            </w:pPr>
            <w:ins w:id="302" w:author="Master Repository Process" w:date="2023-04-14T08:28:00Z">
              <w:r>
                <w:rPr>
                  <w:b/>
                </w:rPr>
                <w:t>Commencement</w:t>
              </w:r>
            </w:ins>
          </w:p>
        </w:tc>
      </w:tr>
      <w:tr>
        <w:trPr>
          <w:ins w:id="303" w:author="Master Repository Process" w:date="2023-04-14T08:28:00Z"/>
        </w:trPr>
        <w:tc>
          <w:tcPr>
            <w:tcW w:w="2268" w:type="dxa"/>
          </w:tcPr>
          <w:p>
            <w:pPr>
              <w:pStyle w:val="nTable"/>
              <w:spacing w:after="40"/>
              <w:rPr>
                <w:ins w:id="304" w:author="Master Repository Process" w:date="2023-04-14T08:28:00Z"/>
              </w:rPr>
            </w:pPr>
            <w:ins w:id="305" w:author="Master Repository Process" w:date="2023-04-14T08:28:00Z">
              <w:r>
                <w:rPr>
                  <w:i/>
                </w:rPr>
                <w:t>Criminal Law (Mental Impairment) Act 2023</w:t>
              </w:r>
              <w:r>
                <w:t xml:space="preserve"> s. 235</w:t>
              </w:r>
            </w:ins>
          </w:p>
        </w:tc>
        <w:tc>
          <w:tcPr>
            <w:tcW w:w="1134" w:type="dxa"/>
          </w:tcPr>
          <w:p>
            <w:pPr>
              <w:pStyle w:val="nTable"/>
              <w:spacing w:after="40"/>
              <w:rPr>
                <w:ins w:id="306" w:author="Master Repository Process" w:date="2023-04-14T08:28:00Z"/>
              </w:rPr>
            </w:pPr>
            <w:ins w:id="307" w:author="Master Repository Process" w:date="2023-04-14T08:28:00Z">
              <w:r>
                <w:t>10 of 2023</w:t>
              </w:r>
            </w:ins>
          </w:p>
        </w:tc>
        <w:tc>
          <w:tcPr>
            <w:tcW w:w="1134" w:type="dxa"/>
          </w:tcPr>
          <w:p>
            <w:pPr>
              <w:pStyle w:val="nTable"/>
              <w:spacing w:after="40"/>
              <w:rPr>
                <w:ins w:id="308" w:author="Master Repository Process" w:date="2023-04-14T08:28:00Z"/>
              </w:rPr>
            </w:pPr>
            <w:ins w:id="309" w:author="Master Repository Process" w:date="2023-04-14T08:28:00Z">
              <w:r>
                <w:t>13 Apr 2023</w:t>
              </w:r>
            </w:ins>
          </w:p>
        </w:tc>
        <w:tc>
          <w:tcPr>
            <w:tcW w:w="2552" w:type="dxa"/>
          </w:tcPr>
          <w:p>
            <w:pPr>
              <w:pStyle w:val="nTable"/>
              <w:spacing w:after="40"/>
              <w:rPr>
                <w:ins w:id="310" w:author="Master Repository Process" w:date="2023-04-14T08:28:00Z"/>
              </w:rPr>
            </w:pPr>
            <w:ins w:id="311" w:author="Master Repository Process" w:date="2023-04-14T08:28:00Z">
              <w:r>
                <w:t>To be proclaimed (see s. 2(b))</w:t>
              </w:r>
            </w:ins>
          </w:p>
        </w:tc>
      </w:tr>
    </w:tbl>
    <w:p>
      <w:pPr>
        <w:pStyle w:val="nHeading3"/>
        <w:rPr>
          <w:ins w:id="312" w:author="Master Repository Process" w:date="2023-04-14T08:28:00Z"/>
        </w:rPr>
      </w:pPr>
      <w:bookmarkStart w:id="313" w:name="_Toc132297587"/>
      <w:ins w:id="314" w:author="Master Repository Process" w:date="2023-04-14T08:28:00Z">
        <w:r>
          <w:t>Other notes</w:t>
        </w:r>
        <w:bookmarkEnd w:id="313"/>
      </w:ins>
    </w:p>
    <w:p>
      <w:pPr>
        <w:pStyle w:val="nNote"/>
        <w:spacing w:before="160"/>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rPr>
          <w:snapToGrid w:val="0"/>
        </w:rPr>
      </w:pPr>
      <w:del w:id="315" w:author="Master Repository Process" w:date="2023-04-14T08:28:00Z">
        <w:r>
          <w:rPr>
            <w:snapToGrid w:val="0"/>
            <w:vertAlign w:val="superscript"/>
          </w:rPr>
          <w:delText>2</w:delText>
        </w:r>
      </w:del>
      <w:ins w:id="316" w:author="Master Repository Process" w:date="2023-04-14T08:28:00Z">
        <w:r>
          <w:rPr>
            <w:snapToGrid w:val="0"/>
            <w:vertAlign w:val="superscript"/>
          </w:rPr>
          <w:t>1</w:t>
        </w:r>
      </w:ins>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bookmarkEnd w:id="271"/>
    <w:p>
      <w:del w:id="318" w:author="Master Repository Process" w:date="2023-04-14T08:28:00Z">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bottom</wp:align>
                  </wp:positionV>
                  <wp:extent cx="135466"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546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del w:id="319" w:author="Master Repository Process" w:date="2023-04-14T08:28:00Z"/>
                                  <w:rFonts w:ascii="Arial" w:hAnsi="Arial" w:cs="Arial"/>
                                  <w:sz w:val="12"/>
                                </w:rPr>
                              </w:pPr>
                              <w:del w:id="320" w:author="Master Repository Process" w:date="2023-04-14T08:28:00Z">
                                <w:r>
                                  <w:rPr>
                                    <w:rFonts w:ascii="Arial" w:hAnsi="Arial" w:cs="Arial"/>
                                    <w:sz w:val="12"/>
                                  </w:rPr>
                                  <w:delText>By Authority: KEVIN J. McRAE,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65pt;height:193pt;z-index:25165926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" stroked="f" strokeweight=".5pt">
                  <v:textbox>
                    <w:txbxContent>
                      <w:p>
                        <w:pPr>
                          <w:pBdr>
                            <w:top w:val="double" w:sz="4" w:space="0" w:color="auto"/>
                          </w:pBdr>
                          <w:ind w:left="2381" w:right="2381"/>
                          <w:jc w:val="center"/>
                          <w:rPr>
                            <w:del w:id="321" w:author="Master Repository Process" w:date="2023-04-14T08:28:00Z"/>
                            <w:rFonts w:ascii="Arial" w:hAnsi="Arial" w:cs="Arial"/>
                            <w:sz w:val="12"/>
                          </w:rPr>
                        </w:pPr>
                        <w:del w:id="322" w:author="Master Repository Process" w:date="2023-04-14T08:28:00Z">
                          <w:r>
                            <w:rPr>
                              <w:rFonts w:ascii="Arial" w:hAnsi="Arial" w:cs="Arial"/>
                              <w:sz w:val="12"/>
                            </w:rPr>
                            <w:delText>By Authority: KEVIN J. McRAE, Government Printer</w:delText>
                          </w:r>
                        </w:del>
                      </w:p>
                    </w:txbxContent>
                  </v:textbox>
                  <w10:wrap anchorx="page" anchory="page"/>
                </v:shape>
              </w:pict>
            </mc:Fallback>
          </mc:AlternateContent>
        </w:r>
      </w:del>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65" w:name="Schedule"/>
    <w:bookmarkEnd w:id="2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17" w:name="Compilation"/>
    <w:bookmarkEnd w:id="3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3" w:name="Coversheet"/>
    <w:bookmarkEnd w:id="3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E1E0B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6006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D7A47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5B86E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7DAB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7E87F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2E86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866D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4692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09E6F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59CAC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01355"/>
    <w:docVar w:name="WAFER_20140113101620" w:val="RemoveTocBookmarks,RemoveUnusedBookmarks,RemoveLanguageTags,UsedStyles,ResetPageSize,UpdateArrangement"/>
    <w:docVar w:name="WAFER_20140113101620_GUID" w:val="1c05134a-c99a-4905-bcf1-30baf1b7a810"/>
    <w:docVar w:name="WAFER_20140113101626" w:val="RemoveTocBookmarks,RunningHeaders"/>
    <w:docVar w:name="WAFER_20140113101626_GUID" w:val="cc6b205b-48b6-4cb1-809f-1b03cc36551c"/>
    <w:docVar w:name="WAFER_20141104172731" w:val="RemoveTocBookmarks,RemoveUnusedBookmarks,RemoveLanguageTags,UsedStyles,ResetPageSize,UpdateArrangement"/>
    <w:docVar w:name="WAFER_20141104172731_GUID" w:val="e2c34fd3-78f1-4562-9257-2287453b847c"/>
    <w:docVar w:name="WAFER_20150304144502" w:val="ResetPageSize,UpdateArrangement,UpdateNTable"/>
    <w:docVar w:name="WAFER_20150304144502_GUID" w:val="01dbd46b-4725-452d-aea9-0940d340e3dc"/>
    <w:docVar w:name="WAFER_20151103102821" w:val="UpdateStyles,UsedStyles"/>
    <w:docVar w:name="WAFER_20151103102821_GUID" w:val="2bb1721f-5b26-457a-9039-78a01cbc2803"/>
    <w:docVar w:name="WAFER_20151118153449" w:val="RemoveTocBookmarks,RemoveUnusedBookmarks,RemoveLanguageTags,UsedStyles,ResetPageSize"/>
    <w:docVar w:name="WAFER_20151118153449_GUID" w:val="34c20600-132e-4e8d-82ea-bcc332c9c40a"/>
    <w:docVar w:name="WAFER_20171009092450" w:val="RemoveTocBookmarks,RemoveUnusedBookmarks,RemoveLanguageTags,UsedStyles,ResetPageSize,RemoveCustomizations"/>
    <w:docVar w:name="WAFER_20171009092450_GUID" w:val="b418a079-d12e-439a-8ace-c167efae5071"/>
    <w:docVar w:name="WAFER_20171221103004" w:val="RemoveTocBookmarks,RemoveUnusedBookmarks,RemoveLanguageTags,UsedStyles,RemoveTrackChanges"/>
    <w:docVar w:name="WAFER_20171221103004_GUID" w:val="07597e0c-88ae-469a-a418-b5d5bd7e702a"/>
    <w:docVar w:name="WAFER_20171221103019" w:val="RemoveTocBookmarks,RemoveLanguageTags,RemoveTrackChanges,RunningHeaders"/>
    <w:docVar w:name="WAFER_20171221103019_GUID" w:val="7fa9556a-8ea8-49da-9d35-9896dc45cba6"/>
    <w:docVar w:name="WAFER_20230412101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01355_GUID" w:val="86336e56-2bc2-41d4-9803-fe1e5313b5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3461843-F848-4225-B484-29E50E8E5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8699</Words>
  <Characters>39932</Characters>
  <Application>Microsoft Office Word</Application>
  <DocSecurity>0</DocSecurity>
  <Lines>1210</Lines>
  <Paragraphs>771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47860</CharactersWithSpaces>
  <SharedDoc>false</SharedDoc>
  <HLinks>
    <vt:vector size="12" baseType="variant">
      <vt:variant>
        <vt:i4>3014716</vt:i4>
      </vt:variant>
      <vt:variant>
        <vt:i4>5951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04-a0-03 - 04-b0-00</dc:title>
  <dc:subject/>
  <dc:creator/>
  <cp:keywords/>
  <dc:description/>
  <cp:lastModifiedBy>Master Repository Process</cp:lastModifiedBy>
  <cp:revision>2</cp:revision>
  <cp:lastPrinted>2017-12-20T07:10:00Z</cp:lastPrinted>
  <dcterms:created xsi:type="dcterms:W3CDTF">2023-04-14T00:28:00Z</dcterms:created>
  <dcterms:modified xsi:type="dcterms:W3CDTF">2023-04-14T00:28:00Z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DocumentType">
    <vt:lpwstr>Act</vt:lpwstr>
  </property>
  <property fmtid="{D5CDD505-2E9C-101B-9397-08002B2CF9AE}" pid="4" name="OwlsUID">
    <vt:i4>199</vt:i4>
  </property>
  <property fmtid="{D5CDD505-2E9C-101B-9397-08002B2CF9AE}" pid="5" name="ReprintedAsAt">
    <vt:filetime>2018-01-18T16:00:00Z</vt:filetime>
  </property>
  <property fmtid="{D5CDD505-2E9C-101B-9397-08002B2CF9AE}" pid="6" name="ReprintNo">
    <vt:lpwstr>4</vt:lpwstr>
  </property>
  <property fmtid="{D5CDD505-2E9C-101B-9397-08002B2CF9AE}" pid="7" name="CommencementDate">
    <vt:lpwstr>20230413</vt:lpwstr>
  </property>
  <property fmtid="{D5CDD505-2E9C-101B-9397-08002B2CF9AE}" pid="8" name="FromSuffix">
    <vt:lpwstr>04-a0-03</vt:lpwstr>
  </property>
  <property fmtid="{D5CDD505-2E9C-101B-9397-08002B2CF9AE}" pid="9" name="FromAsAtDate">
    <vt:lpwstr>19 Jan 2018</vt:lpwstr>
  </property>
  <property fmtid="{D5CDD505-2E9C-101B-9397-08002B2CF9AE}" pid="10" name="ToSuffix">
    <vt:lpwstr>04-b0-00</vt:lpwstr>
  </property>
  <property fmtid="{D5CDD505-2E9C-101B-9397-08002B2CF9AE}" pid="11" name="ToAsAtDate">
    <vt:lpwstr>13 Apr 2023</vt:lpwstr>
  </property>
</Properties>
</file>