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2022</w:t>
      </w:r>
      <w:r>
        <w:fldChar w:fldCharType="end"/>
      </w:r>
      <w:r>
        <w:t xml:space="preserve">, </w:t>
      </w:r>
      <w:r>
        <w:fldChar w:fldCharType="begin"/>
      </w:r>
      <w:r>
        <w:instrText xml:space="preserve"> DocProperty FromSuffix </w:instrText>
      </w:r>
      <w:r>
        <w:fldChar w:fldCharType="separate"/>
      </w:r>
      <w:r>
        <w:t>03-m0-00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uppressLineNumbers/>
        <w:spacing w:before="720"/>
        <w:ind w:right="567"/>
      </w:pPr>
      <w:r>
        <w:lastRenderedPageBreak/>
        <w:t>Working with Children (Criminal Record Checking) Act 2004</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32200691"/>
      <w:bookmarkStart w:id="3" w:name="_Toc132200802"/>
      <w:bookmarkStart w:id="4" w:name="_Toc132316218"/>
      <w:bookmarkStart w:id="5" w:name="_Toc121314898"/>
      <w:bookmarkStart w:id="6" w:name="_Toc121315144"/>
      <w:bookmarkStart w:id="7" w:name="_Toc1213182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32316219"/>
      <w:bookmarkStart w:id="9" w:name="_Toc12131829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pPr>
        <w:pStyle w:val="Heading5"/>
      </w:pPr>
      <w:bookmarkStart w:id="10" w:name="_Toc132316220"/>
      <w:bookmarkStart w:id="11" w:name="_Toc121318300"/>
      <w:r>
        <w:rPr>
          <w:rStyle w:val="CharSectno"/>
        </w:rPr>
        <w:t>2</w:t>
      </w:r>
      <w:r>
        <w:t>.</w:t>
      </w:r>
      <w:r>
        <w:tab/>
        <w:t>Commencement</w:t>
      </w:r>
      <w:bookmarkEnd w:id="10"/>
      <w:bookmarkEnd w:id="1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2" w:name="_Toc132316221"/>
      <w:bookmarkStart w:id="13" w:name="_Toc121318301"/>
      <w:r>
        <w:rPr>
          <w:rStyle w:val="CharSectno"/>
        </w:rPr>
        <w:t>3</w:t>
      </w:r>
      <w:r>
        <w:t>.</w:t>
      </w:r>
      <w:r>
        <w:tab/>
        <w:t>Principle that best interests of children are paramount</w:t>
      </w:r>
      <w:bookmarkEnd w:id="12"/>
      <w:bookmarkEnd w:id="1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4" w:name="_Toc132316222"/>
      <w:bookmarkStart w:id="15" w:name="_Toc121318302"/>
      <w:r>
        <w:rPr>
          <w:rStyle w:val="CharSectno"/>
        </w:rPr>
        <w:t>4</w:t>
      </w:r>
      <w:r>
        <w:t>.</w:t>
      </w:r>
      <w:r>
        <w:tab/>
        <w:t>Terms used</w:t>
      </w:r>
      <w:bookmarkEnd w:id="14"/>
      <w:bookmarkEnd w:id="1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No. 19 of 2007 s. 71; No. 7 of 2010 s. 4; No. 11 of 2012 s. 52; No. 20 of 2018 s. 32; No. 48 of 2020 s. 88.]</w:t>
      </w:r>
    </w:p>
    <w:p>
      <w:pPr>
        <w:pStyle w:val="Heading5"/>
      </w:pPr>
      <w:bookmarkStart w:id="16" w:name="_Toc132316223"/>
      <w:bookmarkStart w:id="17" w:name="_Toc121318303"/>
      <w:r>
        <w:rPr>
          <w:rStyle w:val="CharSectno"/>
        </w:rPr>
        <w:t>5</w:t>
      </w:r>
      <w:r>
        <w:t>.</w:t>
      </w:r>
      <w:r>
        <w:tab/>
        <w:t xml:space="preserve">Managerial officers of bodies corporate licensed under </w:t>
      </w:r>
      <w:r>
        <w:rPr>
          <w:i/>
        </w:rPr>
        <w:t>Child Care Service Act 2007</w:t>
      </w:r>
      <w:r>
        <w:t>, status of for this Act</w:t>
      </w:r>
      <w:bookmarkEnd w:id="16"/>
      <w:bookmarkEnd w:id="17"/>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8" w:name="_Toc132316224"/>
      <w:bookmarkStart w:id="19" w:name="_Toc121318304"/>
      <w:r>
        <w:rPr>
          <w:rStyle w:val="CharSectno"/>
        </w:rPr>
        <w:t>6</w:t>
      </w:r>
      <w:r>
        <w:t>.</w:t>
      </w:r>
      <w:r>
        <w:tab/>
        <w:t>Term used: child</w:t>
      </w:r>
      <w:r>
        <w:noBreakHyphen/>
        <w:t>related work</w:t>
      </w:r>
      <w:bookmarkEnd w:id="18"/>
      <w:bookmarkEnd w:id="19"/>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No. 49 of 2010 s. 23.]</w:t>
      </w:r>
    </w:p>
    <w:p>
      <w:pPr>
        <w:pStyle w:val="Heading5"/>
      </w:pPr>
      <w:bookmarkStart w:id="20" w:name="_Toc132316225"/>
      <w:bookmarkStart w:id="21" w:name="_Toc121318305"/>
      <w:r>
        <w:rPr>
          <w:rStyle w:val="CharSectno"/>
        </w:rPr>
        <w:t>7</w:t>
      </w:r>
      <w:r>
        <w:t>.</w:t>
      </w:r>
      <w:r>
        <w:tab/>
        <w:t>Terms used: Class 1 offence, Class 2 offence</w:t>
      </w:r>
      <w:bookmarkEnd w:id="20"/>
      <w:bookmarkEnd w:id="21"/>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2" w:name="_Toc132316226"/>
      <w:bookmarkStart w:id="23" w:name="_Toc121318306"/>
      <w:r>
        <w:rPr>
          <w:rStyle w:val="CharSectno"/>
        </w:rPr>
        <w:t>8</w:t>
      </w:r>
      <w:r>
        <w:t>.</w:t>
      </w:r>
      <w:r>
        <w:tab/>
        <w:t>Term used: conviction</w:t>
      </w:r>
      <w:bookmarkEnd w:id="22"/>
      <w:bookmarkEnd w:id="2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4" w:name="_Toc132316227"/>
      <w:bookmarkStart w:id="25" w:name="_Toc121318307"/>
      <w:r>
        <w:rPr>
          <w:rStyle w:val="CharSectno"/>
        </w:rPr>
        <w:t>8A</w:t>
      </w:r>
      <w:r>
        <w:t>.</w:t>
      </w:r>
      <w:r>
        <w:tab/>
        <w:t>Expunged convictions to be taken to be non</w:t>
      </w:r>
      <w:r>
        <w:noBreakHyphen/>
        <w:t>conviction charges for the purposes of this Act</w:t>
      </w:r>
      <w:bookmarkEnd w:id="24"/>
      <w:bookmarkEnd w:id="25"/>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26" w:name="_Toc132316228"/>
      <w:bookmarkStart w:id="27" w:name="_Toc121318308"/>
      <w:r>
        <w:rPr>
          <w:rStyle w:val="CharSectno"/>
        </w:rPr>
        <w:t>9A</w:t>
      </w:r>
      <w:r>
        <w:t>.</w:t>
      </w:r>
      <w:r>
        <w:tab/>
        <w:t>Students, application of certain provisions to</w:t>
      </w:r>
      <w:bookmarkEnd w:id="26"/>
      <w:bookmarkEnd w:id="27"/>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No. 7 of 2010 s. 5.]</w:t>
      </w:r>
    </w:p>
    <w:p>
      <w:pPr>
        <w:pStyle w:val="Heading5"/>
      </w:pPr>
      <w:bookmarkStart w:id="28" w:name="_Toc132316229"/>
      <w:bookmarkStart w:id="29" w:name="_Toc121318309"/>
      <w:r>
        <w:rPr>
          <w:rStyle w:val="CharSectno"/>
        </w:rPr>
        <w:t>9B</w:t>
      </w:r>
      <w:r>
        <w:t>.</w:t>
      </w:r>
      <w:r>
        <w:tab/>
        <w:t>Education provider not to procure employment for certain students in child</w:t>
      </w:r>
      <w:r>
        <w:noBreakHyphen/>
        <w:t>related employment</w:t>
      </w:r>
      <w:bookmarkEnd w:id="28"/>
      <w:bookmarkEnd w:id="29"/>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w:t>
      </w:r>
    </w:p>
    <w:p>
      <w:pPr>
        <w:pStyle w:val="Heading2"/>
      </w:pPr>
      <w:bookmarkStart w:id="30" w:name="_Toc132200703"/>
      <w:bookmarkStart w:id="31" w:name="_Toc132200814"/>
      <w:bookmarkStart w:id="32" w:name="_Toc132316230"/>
      <w:bookmarkStart w:id="33" w:name="_Toc121314910"/>
      <w:bookmarkStart w:id="34" w:name="_Toc121315156"/>
      <w:bookmarkStart w:id="35" w:name="_Toc121318310"/>
      <w:r>
        <w:rPr>
          <w:rStyle w:val="CharPartNo"/>
        </w:rPr>
        <w:t>Part 2</w:t>
      </w:r>
      <w:r>
        <w:t> — </w:t>
      </w:r>
      <w:r>
        <w:rPr>
          <w:rStyle w:val="CharPartText"/>
        </w:rPr>
        <w:t>Assessment notices and negative notices</w:t>
      </w:r>
      <w:bookmarkEnd w:id="30"/>
      <w:bookmarkEnd w:id="31"/>
      <w:bookmarkEnd w:id="32"/>
      <w:bookmarkEnd w:id="33"/>
      <w:bookmarkEnd w:id="34"/>
      <w:bookmarkEnd w:id="35"/>
    </w:p>
    <w:p>
      <w:pPr>
        <w:pStyle w:val="Heading3"/>
      </w:pPr>
      <w:bookmarkStart w:id="36" w:name="_Toc132200704"/>
      <w:bookmarkStart w:id="37" w:name="_Toc132200815"/>
      <w:bookmarkStart w:id="38" w:name="_Toc132316231"/>
      <w:bookmarkStart w:id="39" w:name="_Toc121314911"/>
      <w:bookmarkStart w:id="40" w:name="_Toc121315157"/>
      <w:bookmarkStart w:id="41" w:name="_Toc121318311"/>
      <w:r>
        <w:rPr>
          <w:rStyle w:val="CharDivNo"/>
        </w:rPr>
        <w:t>Division 1</w:t>
      </w:r>
      <w:r>
        <w:t> — </w:t>
      </w:r>
      <w:r>
        <w:rPr>
          <w:rStyle w:val="CharDivText"/>
        </w:rPr>
        <w:t>Application for assessment notice</w:t>
      </w:r>
      <w:bookmarkEnd w:id="36"/>
      <w:bookmarkEnd w:id="37"/>
      <w:bookmarkEnd w:id="38"/>
      <w:bookmarkEnd w:id="39"/>
      <w:bookmarkEnd w:id="40"/>
      <w:bookmarkEnd w:id="41"/>
    </w:p>
    <w:p>
      <w:pPr>
        <w:pStyle w:val="Heading5"/>
      </w:pPr>
      <w:bookmarkStart w:id="42" w:name="_Toc132316232"/>
      <w:bookmarkStart w:id="43" w:name="_Toc121318312"/>
      <w:r>
        <w:rPr>
          <w:rStyle w:val="CharSectno"/>
        </w:rPr>
        <w:t>9</w:t>
      </w:r>
      <w:r>
        <w:t>.</w:t>
      </w:r>
      <w:r>
        <w:tab/>
        <w:t>Assessment notice (child</w:t>
      </w:r>
      <w:r>
        <w:noBreakHyphen/>
        <w:t>related employment), application for</w:t>
      </w:r>
      <w:bookmarkEnd w:id="42"/>
      <w:bookmarkEnd w:id="43"/>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4" w:name="_Toc132316233"/>
      <w:bookmarkStart w:id="45" w:name="_Toc121318313"/>
      <w:r>
        <w:rPr>
          <w:rStyle w:val="CharSectno"/>
        </w:rPr>
        <w:t>10</w:t>
      </w:r>
      <w:r>
        <w:t>.</w:t>
      </w:r>
      <w:r>
        <w:tab/>
        <w:t>Assessment notice (child</w:t>
      </w:r>
      <w:r>
        <w:noBreakHyphen/>
        <w:t>related business), application for</w:t>
      </w:r>
      <w:bookmarkEnd w:id="44"/>
      <w:bookmarkEnd w:id="4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46" w:name="_Toc132316234"/>
      <w:bookmarkStart w:id="47" w:name="_Toc121318314"/>
      <w:r>
        <w:rPr>
          <w:rStyle w:val="CharSectno"/>
        </w:rPr>
        <w:t>11</w:t>
      </w:r>
      <w:r>
        <w:t>.</w:t>
      </w:r>
      <w:r>
        <w:tab/>
        <w:t>Withdrawal of application for assessment notice</w:t>
      </w:r>
      <w:bookmarkEnd w:id="46"/>
      <w:bookmarkEnd w:id="47"/>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No. 7 of 2010 s. 6.]</w:t>
      </w:r>
    </w:p>
    <w:p>
      <w:pPr>
        <w:pStyle w:val="Heading3"/>
      </w:pPr>
      <w:bookmarkStart w:id="48" w:name="_Toc132200708"/>
      <w:bookmarkStart w:id="49" w:name="_Toc132200819"/>
      <w:bookmarkStart w:id="50" w:name="_Toc132316235"/>
      <w:bookmarkStart w:id="51" w:name="_Toc121314915"/>
      <w:bookmarkStart w:id="52" w:name="_Toc121315161"/>
      <w:bookmarkStart w:id="53" w:name="_Toc121318315"/>
      <w:r>
        <w:rPr>
          <w:rStyle w:val="CharDivNo"/>
        </w:rPr>
        <w:t>Division 2</w:t>
      </w:r>
      <w:r>
        <w:t> — </w:t>
      </w:r>
      <w:r>
        <w:rPr>
          <w:rStyle w:val="CharDivText"/>
        </w:rPr>
        <w:t>Issue of assessment notices and negative notices</w:t>
      </w:r>
      <w:bookmarkEnd w:id="48"/>
      <w:bookmarkEnd w:id="49"/>
      <w:bookmarkEnd w:id="50"/>
      <w:bookmarkEnd w:id="51"/>
      <w:bookmarkEnd w:id="52"/>
      <w:bookmarkEnd w:id="53"/>
    </w:p>
    <w:p>
      <w:pPr>
        <w:pStyle w:val="Heading5"/>
      </w:pPr>
      <w:bookmarkStart w:id="54" w:name="_Toc132316236"/>
      <w:bookmarkStart w:id="55" w:name="_Toc121318316"/>
      <w:r>
        <w:rPr>
          <w:rStyle w:val="CharSectno"/>
        </w:rPr>
        <w:t>12</w:t>
      </w:r>
      <w:r>
        <w:t>.</w:t>
      </w:r>
      <w:r>
        <w:tab/>
        <w:t>Deciding applications for assessment notice</w:t>
      </w:r>
      <w:bookmarkEnd w:id="54"/>
      <w:bookmarkEnd w:id="5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No. 7 of 2010 s. 7.]</w:t>
      </w:r>
    </w:p>
    <w:p>
      <w:pPr>
        <w:pStyle w:val="Heading5"/>
      </w:pPr>
      <w:bookmarkStart w:id="56" w:name="_Toc132316237"/>
      <w:bookmarkStart w:id="57" w:name="_Toc121318317"/>
      <w:r>
        <w:rPr>
          <w:rStyle w:val="CharSectno"/>
        </w:rPr>
        <w:t>13A</w:t>
      </w:r>
      <w:r>
        <w:t>.</w:t>
      </w:r>
      <w:r>
        <w:tab/>
        <w:t>Issue of assessment notices and negative notices</w:t>
      </w:r>
      <w:bookmarkEnd w:id="56"/>
      <w:bookmarkEnd w:id="57"/>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No. 7 of 2010 s. 7.]</w:t>
      </w:r>
    </w:p>
    <w:p>
      <w:pPr>
        <w:pStyle w:val="Heading5"/>
      </w:pPr>
      <w:bookmarkStart w:id="58" w:name="_Toc132316238"/>
      <w:bookmarkStart w:id="59" w:name="_Toc121318318"/>
      <w:r>
        <w:rPr>
          <w:rStyle w:val="CharSectno"/>
        </w:rPr>
        <w:t>13</w:t>
      </w:r>
      <w:r>
        <w:t>.</w:t>
      </w:r>
      <w:r>
        <w:tab/>
        <w:t>Intended issue of negative notice, CEO to notify applicant of etc.; interim negative notices, issue of</w:t>
      </w:r>
      <w:bookmarkEnd w:id="58"/>
      <w:bookmarkEnd w:id="59"/>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No. 7 of 2010 s. 8.]</w:t>
      </w:r>
    </w:p>
    <w:p>
      <w:pPr>
        <w:pStyle w:val="Heading5"/>
      </w:pPr>
      <w:bookmarkStart w:id="60" w:name="_Toc132316239"/>
      <w:bookmarkStart w:id="61" w:name="_Toc121318319"/>
      <w:r>
        <w:rPr>
          <w:rStyle w:val="CharSectno"/>
        </w:rPr>
        <w:t>14</w:t>
      </w:r>
      <w:r>
        <w:t>.</w:t>
      </w:r>
      <w:r>
        <w:tab/>
        <w:t>Duration of assessment notices and negative notices</w:t>
      </w:r>
      <w:bookmarkEnd w:id="60"/>
      <w:bookmarkEnd w:id="6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62" w:name="_Toc132316240"/>
      <w:bookmarkStart w:id="63" w:name="_Toc121318320"/>
      <w:r>
        <w:rPr>
          <w:rStyle w:val="CharSectno"/>
        </w:rPr>
        <w:t>15</w:t>
      </w:r>
      <w:r>
        <w:t>.</w:t>
      </w:r>
      <w:r>
        <w:tab/>
        <w:t>Further assessment notice may be obtained</w:t>
      </w:r>
      <w:bookmarkEnd w:id="62"/>
      <w:bookmarkEnd w:id="6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64" w:name="_Toc132200714"/>
      <w:bookmarkStart w:id="65" w:name="_Toc132200825"/>
      <w:bookmarkStart w:id="66" w:name="_Toc132316241"/>
      <w:bookmarkStart w:id="67" w:name="_Toc121314921"/>
      <w:bookmarkStart w:id="68" w:name="_Toc121315167"/>
      <w:bookmarkStart w:id="69" w:name="_Toc121318321"/>
      <w:r>
        <w:rPr>
          <w:rStyle w:val="CharDivNo"/>
        </w:rPr>
        <w:t>Division 3</w:t>
      </w:r>
      <w:r>
        <w:t> — </w:t>
      </w:r>
      <w:r>
        <w:rPr>
          <w:rStyle w:val="CharDivText"/>
        </w:rPr>
        <w:t>CEO may require assessment notice to be applied for</w:t>
      </w:r>
      <w:bookmarkEnd w:id="64"/>
      <w:bookmarkEnd w:id="65"/>
      <w:bookmarkEnd w:id="66"/>
      <w:bookmarkEnd w:id="67"/>
      <w:bookmarkEnd w:id="68"/>
      <w:bookmarkEnd w:id="69"/>
    </w:p>
    <w:p>
      <w:pPr>
        <w:pStyle w:val="Heading5"/>
      </w:pPr>
      <w:bookmarkStart w:id="70" w:name="_Toc132316242"/>
      <w:bookmarkStart w:id="71" w:name="_Toc121318322"/>
      <w:r>
        <w:rPr>
          <w:rStyle w:val="CharSectno"/>
        </w:rPr>
        <w:t>16</w:t>
      </w:r>
      <w:r>
        <w:t>.</w:t>
      </w:r>
      <w:r>
        <w:tab/>
        <w:t>CEO may require certain employees to apply for assessment notice</w:t>
      </w:r>
      <w:bookmarkEnd w:id="70"/>
      <w:bookmarkEnd w:id="71"/>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72" w:name="_Toc132316243"/>
      <w:bookmarkStart w:id="73" w:name="_Toc121318323"/>
      <w:r>
        <w:rPr>
          <w:rStyle w:val="CharSectno"/>
        </w:rPr>
        <w:t>17</w:t>
      </w:r>
      <w:r>
        <w:t>.</w:t>
      </w:r>
      <w:r>
        <w:tab/>
        <w:t>CEO may require certain people to apply for assessment notice</w:t>
      </w:r>
      <w:bookmarkEnd w:id="72"/>
      <w:bookmarkEnd w:id="73"/>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w:t>
      </w:r>
    </w:p>
    <w:p>
      <w:pPr>
        <w:pStyle w:val="Heading5"/>
      </w:pPr>
      <w:bookmarkStart w:id="74" w:name="_Toc132316244"/>
      <w:bookmarkStart w:id="75" w:name="_Toc121318324"/>
      <w:r>
        <w:rPr>
          <w:rStyle w:val="CharSectno"/>
        </w:rPr>
        <w:t>18</w:t>
      </w:r>
      <w:r>
        <w:t>.</w:t>
      </w:r>
      <w:r>
        <w:tab/>
        <w:t>CEO may issue negative notice if notice issued under s. 16 or 17 not obeyed</w:t>
      </w:r>
      <w:bookmarkEnd w:id="74"/>
      <w:bookmarkEnd w:id="75"/>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No. 7 of 2010 s. 10.]</w:t>
      </w:r>
    </w:p>
    <w:p>
      <w:pPr>
        <w:pStyle w:val="Heading3"/>
      </w:pPr>
      <w:bookmarkStart w:id="76" w:name="_Toc132200718"/>
      <w:bookmarkStart w:id="77" w:name="_Toc132200829"/>
      <w:bookmarkStart w:id="78" w:name="_Toc132316245"/>
      <w:bookmarkStart w:id="79" w:name="_Toc121314925"/>
      <w:bookmarkStart w:id="80" w:name="_Toc121315171"/>
      <w:bookmarkStart w:id="81" w:name="_Toc121318325"/>
      <w:r>
        <w:rPr>
          <w:rStyle w:val="CharDivNo"/>
        </w:rPr>
        <w:t>Division 4</w:t>
      </w:r>
      <w:r>
        <w:t> — </w:t>
      </w:r>
      <w:r>
        <w:rPr>
          <w:rStyle w:val="CharDivText"/>
        </w:rPr>
        <w:t>Cancellation of assessment notices and negative notices</w:t>
      </w:r>
      <w:bookmarkEnd w:id="76"/>
      <w:bookmarkEnd w:id="77"/>
      <w:bookmarkEnd w:id="78"/>
      <w:bookmarkEnd w:id="79"/>
      <w:bookmarkEnd w:id="80"/>
      <w:bookmarkEnd w:id="81"/>
    </w:p>
    <w:p>
      <w:pPr>
        <w:pStyle w:val="Heading5"/>
      </w:pPr>
      <w:bookmarkStart w:id="82" w:name="_Toc132316246"/>
      <w:bookmarkStart w:id="83" w:name="_Toc121318326"/>
      <w:r>
        <w:rPr>
          <w:rStyle w:val="CharSectno"/>
        </w:rPr>
        <w:t>19</w:t>
      </w:r>
      <w:r>
        <w:t>.</w:t>
      </w:r>
      <w:r>
        <w:tab/>
        <w:t>Negative notice, application for cancellation of</w:t>
      </w:r>
      <w:bookmarkEnd w:id="82"/>
      <w:bookmarkEnd w:id="8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No. 7 of 2010 s. 11.]</w:t>
      </w:r>
    </w:p>
    <w:p>
      <w:pPr>
        <w:pStyle w:val="Heading5"/>
      </w:pPr>
      <w:bookmarkStart w:id="84" w:name="_Toc132316247"/>
      <w:bookmarkStart w:id="85" w:name="_Toc121318327"/>
      <w:r>
        <w:rPr>
          <w:rStyle w:val="CharSectno"/>
        </w:rPr>
        <w:t>20</w:t>
      </w:r>
      <w:r>
        <w:t>.</w:t>
      </w:r>
      <w:r>
        <w:tab/>
        <w:t>Assessment notice or negative notice, CEO may cancel if issued on wrong etc. information</w:t>
      </w:r>
      <w:bookmarkEnd w:id="84"/>
      <w:bookmarkEnd w:id="85"/>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86" w:name="_Toc132316248"/>
      <w:bookmarkStart w:id="87" w:name="_Toc121318328"/>
      <w:r>
        <w:rPr>
          <w:rStyle w:val="CharSectno"/>
        </w:rPr>
        <w:t>21A</w:t>
      </w:r>
      <w:r>
        <w:t>.</w:t>
      </w:r>
      <w:r>
        <w:tab/>
        <w:t>Assessment notices of certain people not involved in child</w:t>
      </w:r>
      <w:r>
        <w:noBreakHyphen/>
        <w:t>related work, cancellation of</w:t>
      </w:r>
      <w:bookmarkEnd w:id="86"/>
      <w:bookmarkEnd w:id="87"/>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No. 7 of 2010 s. 12.]</w:t>
      </w:r>
    </w:p>
    <w:p>
      <w:pPr>
        <w:pStyle w:val="Heading5"/>
      </w:pPr>
      <w:bookmarkStart w:id="88" w:name="_Toc132316249"/>
      <w:bookmarkStart w:id="89" w:name="_Toc121318329"/>
      <w:r>
        <w:rPr>
          <w:rStyle w:val="CharSectno"/>
        </w:rPr>
        <w:t>21B</w:t>
      </w:r>
      <w:r>
        <w:t>.</w:t>
      </w:r>
      <w:r>
        <w:tab/>
        <w:t>Assessment notice, cancellation of on person’s request</w:t>
      </w:r>
      <w:bookmarkEnd w:id="88"/>
      <w:bookmarkEnd w:id="8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90" w:name="_Toc132316250"/>
      <w:bookmarkStart w:id="91" w:name="_Toc121318330"/>
      <w:r>
        <w:rPr>
          <w:rStyle w:val="CharSectno"/>
        </w:rPr>
        <w:t>21C</w:t>
      </w:r>
      <w:r>
        <w:t>.</w:t>
      </w:r>
      <w:r>
        <w:tab/>
        <w:t>Assessment notices of certain people to whom s. 32 applies, cancellation of</w:t>
      </w:r>
      <w:bookmarkEnd w:id="90"/>
      <w:bookmarkEnd w:id="91"/>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No. 7 of 2010 s. 12.]</w:t>
      </w:r>
    </w:p>
    <w:p>
      <w:pPr>
        <w:pStyle w:val="Heading5"/>
        <w:spacing w:before="180"/>
      </w:pPr>
      <w:bookmarkStart w:id="92" w:name="_Toc132316251"/>
      <w:bookmarkStart w:id="93" w:name="_Toc121318331"/>
      <w:r>
        <w:rPr>
          <w:rStyle w:val="CharSectno"/>
        </w:rPr>
        <w:t>21</w:t>
      </w:r>
      <w:r>
        <w:t>.</w:t>
      </w:r>
      <w:r>
        <w:tab/>
        <w:t>Issue of notice cancels any previous notice</w:t>
      </w:r>
      <w:bookmarkEnd w:id="92"/>
      <w:bookmarkEnd w:id="9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94" w:name="_Toc132200725"/>
      <w:bookmarkStart w:id="95" w:name="_Toc132200836"/>
      <w:bookmarkStart w:id="96" w:name="_Toc132316252"/>
      <w:bookmarkStart w:id="97" w:name="_Toc121314932"/>
      <w:bookmarkStart w:id="98" w:name="_Toc121315178"/>
      <w:bookmarkStart w:id="99" w:name="_Toc121318332"/>
      <w:r>
        <w:rPr>
          <w:rStyle w:val="CharDivNo"/>
        </w:rPr>
        <w:t>Division 5</w:t>
      </w:r>
      <w:r>
        <w:t> — </w:t>
      </w:r>
      <w:r>
        <w:rPr>
          <w:rStyle w:val="CharDivText"/>
        </w:rPr>
        <w:t>Prohibitions relating to child</w:t>
      </w:r>
      <w:r>
        <w:rPr>
          <w:rStyle w:val="CharDivText"/>
        </w:rPr>
        <w:noBreakHyphen/>
        <w:t>related work</w:t>
      </w:r>
      <w:bookmarkEnd w:id="94"/>
      <w:bookmarkEnd w:id="95"/>
      <w:bookmarkEnd w:id="96"/>
      <w:bookmarkEnd w:id="97"/>
      <w:bookmarkEnd w:id="98"/>
      <w:bookmarkEnd w:id="99"/>
    </w:p>
    <w:p>
      <w:pPr>
        <w:pStyle w:val="Heading5"/>
      </w:pPr>
      <w:bookmarkStart w:id="100" w:name="_Toc132316253"/>
      <w:bookmarkStart w:id="101" w:name="_Toc121318333"/>
      <w:r>
        <w:rPr>
          <w:rStyle w:val="CharSectno"/>
        </w:rPr>
        <w:t>22</w:t>
      </w:r>
      <w:r>
        <w:t>.</w:t>
      </w:r>
      <w:r>
        <w:tab/>
        <w:t>Employers not to employ certain people in child</w:t>
      </w:r>
      <w:r>
        <w:noBreakHyphen/>
        <w:t>related employment</w:t>
      </w:r>
      <w:bookmarkEnd w:id="100"/>
      <w:bookmarkEnd w:id="101"/>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102" w:name="_Toc132316254"/>
      <w:bookmarkStart w:id="103" w:name="_Toc121318334"/>
      <w:r>
        <w:rPr>
          <w:rStyle w:val="CharSectno"/>
        </w:rPr>
        <w:t>23</w:t>
      </w:r>
      <w:r>
        <w:t>.</w:t>
      </w:r>
      <w:r>
        <w:tab/>
        <w:t>People with negative notice or interim negative notice not to carry out child</w:t>
      </w:r>
      <w:r>
        <w:noBreakHyphen/>
        <w:t>related work</w:t>
      </w:r>
      <w:bookmarkEnd w:id="102"/>
      <w:bookmarkEnd w:id="103"/>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104" w:name="_Toc132316255"/>
      <w:bookmarkStart w:id="105" w:name="_Toc121318335"/>
      <w:r>
        <w:rPr>
          <w:rStyle w:val="CharSectno"/>
        </w:rPr>
        <w:t>24</w:t>
      </w:r>
      <w:r>
        <w:t>.</w:t>
      </w:r>
      <w:r>
        <w:tab/>
        <w:t>People without current assessment notice not to carry out child</w:t>
      </w:r>
      <w:r>
        <w:noBreakHyphen/>
        <w:t>related work</w:t>
      </w:r>
      <w:bookmarkEnd w:id="104"/>
      <w:bookmarkEnd w:id="105"/>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106" w:name="_Toc132316256"/>
      <w:bookmarkStart w:id="107" w:name="_Toc121318336"/>
      <w:r>
        <w:rPr>
          <w:rStyle w:val="CharSectno"/>
        </w:rPr>
        <w:t>25</w:t>
      </w:r>
      <w:r>
        <w:t>.</w:t>
      </w:r>
      <w:r>
        <w:tab/>
        <w:t>Defences for s. 24</w:t>
      </w:r>
      <w:bookmarkEnd w:id="106"/>
      <w:bookmarkEnd w:id="107"/>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No. 7 of 2010 s. 13.]</w:t>
      </w:r>
    </w:p>
    <w:p>
      <w:pPr>
        <w:pStyle w:val="Heading3"/>
      </w:pPr>
      <w:bookmarkStart w:id="108" w:name="_Toc132200730"/>
      <w:bookmarkStart w:id="109" w:name="_Toc132200841"/>
      <w:bookmarkStart w:id="110" w:name="_Toc132316257"/>
      <w:bookmarkStart w:id="111" w:name="_Toc121314937"/>
      <w:bookmarkStart w:id="112" w:name="_Toc121315183"/>
      <w:bookmarkStart w:id="113" w:name="_Toc121318337"/>
      <w:r>
        <w:rPr>
          <w:rStyle w:val="CharDivNo"/>
        </w:rPr>
        <w:t>Division 6</w:t>
      </w:r>
      <w:r>
        <w:t> — </w:t>
      </w:r>
      <w:r>
        <w:rPr>
          <w:rStyle w:val="CharDivText"/>
        </w:rPr>
        <w:t>Review by State Administrative Tribunal</w:t>
      </w:r>
      <w:bookmarkEnd w:id="108"/>
      <w:bookmarkEnd w:id="109"/>
      <w:bookmarkEnd w:id="110"/>
      <w:bookmarkEnd w:id="111"/>
      <w:bookmarkEnd w:id="112"/>
      <w:bookmarkEnd w:id="113"/>
    </w:p>
    <w:p>
      <w:pPr>
        <w:pStyle w:val="Heading5"/>
      </w:pPr>
      <w:bookmarkStart w:id="114" w:name="_Toc132316258"/>
      <w:bookmarkStart w:id="115" w:name="_Toc121318338"/>
      <w:r>
        <w:rPr>
          <w:rStyle w:val="CharSectno"/>
        </w:rPr>
        <w:t>26</w:t>
      </w:r>
      <w:r>
        <w:t>.</w:t>
      </w:r>
      <w:r>
        <w:tab/>
        <w:t>Reviewable decisions</w:t>
      </w:r>
      <w:bookmarkEnd w:id="114"/>
      <w:bookmarkEnd w:id="115"/>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No. 7 of 2010 s. 14.]</w:t>
      </w:r>
    </w:p>
    <w:p>
      <w:pPr>
        <w:pStyle w:val="Heading2"/>
      </w:pPr>
      <w:bookmarkStart w:id="116" w:name="_Toc132200732"/>
      <w:bookmarkStart w:id="117" w:name="_Toc132200843"/>
      <w:bookmarkStart w:id="118" w:name="_Toc132316259"/>
      <w:bookmarkStart w:id="119" w:name="_Toc121314939"/>
      <w:bookmarkStart w:id="120" w:name="_Toc121315185"/>
      <w:bookmarkStart w:id="121" w:name="_Toc121318339"/>
      <w:r>
        <w:rPr>
          <w:rStyle w:val="CharPartNo"/>
        </w:rPr>
        <w:t>Part 3</w:t>
      </w:r>
      <w:r>
        <w:t> — </w:t>
      </w:r>
      <w:r>
        <w:rPr>
          <w:rStyle w:val="CharPartText"/>
        </w:rPr>
        <w:t>Changes in criminal record and criminal record checks</w:t>
      </w:r>
      <w:bookmarkEnd w:id="116"/>
      <w:bookmarkEnd w:id="117"/>
      <w:bookmarkEnd w:id="118"/>
      <w:bookmarkEnd w:id="119"/>
      <w:bookmarkEnd w:id="120"/>
      <w:bookmarkEnd w:id="121"/>
    </w:p>
    <w:p>
      <w:pPr>
        <w:pStyle w:val="Heading3"/>
      </w:pPr>
      <w:bookmarkStart w:id="122" w:name="_Toc132200733"/>
      <w:bookmarkStart w:id="123" w:name="_Toc132200844"/>
      <w:bookmarkStart w:id="124" w:name="_Toc132316260"/>
      <w:bookmarkStart w:id="125" w:name="_Toc121314940"/>
      <w:bookmarkStart w:id="126" w:name="_Toc121315186"/>
      <w:bookmarkStart w:id="127" w:name="_Toc121318340"/>
      <w:r>
        <w:rPr>
          <w:rStyle w:val="CharDivNo"/>
        </w:rPr>
        <w:t>Division 1</w:t>
      </w:r>
      <w:r>
        <w:t> — </w:t>
      </w:r>
      <w:r>
        <w:rPr>
          <w:rStyle w:val="CharDivText"/>
        </w:rPr>
        <w:t>Relevant changes in criminal record</w:t>
      </w:r>
      <w:bookmarkEnd w:id="122"/>
      <w:bookmarkEnd w:id="123"/>
      <w:bookmarkEnd w:id="124"/>
      <w:bookmarkEnd w:id="125"/>
      <w:bookmarkEnd w:id="126"/>
      <w:bookmarkEnd w:id="127"/>
    </w:p>
    <w:p>
      <w:pPr>
        <w:pStyle w:val="Heading5"/>
        <w:spacing w:before="180"/>
      </w:pPr>
      <w:bookmarkStart w:id="128" w:name="_Toc132316261"/>
      <w:bookmarkStart w:id="129" w:name="_Toc121318341"/>
      <w:r>
        <w:rPr>
          <w:rStyle w:val="CharSectno"/>
        </w:rPr>
        <w:t>27</w:t>
      </w:r>
      <w:r>
        <w:t>.</w:t>
      </w:r>
      <w:r>
        <w:tab/>
        <w:t>Meaning of relevant change in criminal record and requirement to give notice of that change</w:t>
      </w:r>
      <w:bookmarkEnd w:id="128"/>
      <w:bookmarkEnd w:id="12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130" w:name="_Toc132316262"/>
      <w:bookmarkStart w:id="131" w:name="_Toc121318342"/>
      <w:r>
        <w:rPr>
          <w:rStyle w:val="CharSectno"/>
        </w:rPr>
        <w:t>28</w:t>
      </w:r>
      <w:r>
        <w:t>.</w:t>
      </w:r>
      <w:r>
        <w:tab/>
        <w:t>Pending applications, applicant to notify CEO of relevant change in criminal history</w:t>
      </w:r>
      <w:bookmarkEnd w:id="130"/>
      <w:bookmarkEnd w:id="131"/>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132" w:name="_Toc132316263"/>
      <w:bookmarkStart w:id="133" w:name="_Toc121318343"/>
      <w:r>
        <w:rPr>
          <w:rStyle w:val="CharSectno"/>
        </w:rPr>
        <w:t>29</w:t>
      </w:r>
      <w:r>
        <w:t>.</w:t>
      </w:r>
      <w:r>
        <w:tab/>
        <w:t>People employed in child</w:t>
      </w:r>
      <w:r>
        <w:noBreakHyphen/>
        <w:t>related employment to notify CEO of relevant change in criminal record</w:t>
      </w:r>
      <w:bookmarkEnd w:id="132"/>
      <w:bookmarkEnd w:id="133"/>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No. 7 of 2010 s. 15.]</w:t>
      </w:r>
    </w:p>
    <w:p>
      <w:pPr>
        <w:pStyle w:val="Heading5"/>
        <w:spacing w:before="180"/>
      </w:pPr>
      <w:bookmarkStart w:id="134" w:name="_Toc132316264"/>
      <w:bookmarkStart w:id="135" w:name="_Toc121318344"/>
      <w:r>
        <w:rPr>
          <w:rStyle w:val="CharSectno"/>
        </w:rPr>
        <w:t>30</w:t>
      </w:r>
      <w:r>
        <w:t>.</w:t>
      </w:r>
      <w:r>
        <w:tab/>
        <w:t>People carrying on child</w:t>
      </w:r>
      <w:r>
        <w:noBreakHyphen/>
        <w:t>related business to notify CEO of relevant change in criminal record</w:t>
      </w:r>
      <w:bookmarkEnd w:id="134"/>
      <w:bookmarkEnd w:id="13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136" w:name="_Toc132316265"/>
      <w:bookmarkStart w:id="137" w:name="_Toc121318345"/>
      <w:r>
        <w:rPr>
          <w:rStyle w:val="CharSectno"/>
        </w:rPr>
        <w:t>31</w:t>
      </w:r>
      <w:r>
        <w:t>.</w:t>
      </w:r>
      <w:r>
        <w:tab/>
        <w:t>People with assessment notice who have relevant change in criminal record, duties and employment of</w:t>
      </w:r>
      <w:bookmarkEnd w:id="136"/>
      <w:bookmarkEnd w:id="13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No. 7 of 2010 s. 16.]</w:t>
      </w:r>
    </w:p>
    <w:p>
      <w:pPr>
        <w:pStyle w:val="Heading5"/>
      </w:pPr>
      <w:bookmarkStart w:id="138" w:name="_Toc132316266"/>
      <w:bookmarkStart w:id="139" w:name="_Toc121318346"/>
      <w:r>
        <w:rPr>
          <w:rStyle w:val="CharSectno"/>
        </w:rPr>
        <w:t>32A</w:t>
      </w:r>
      <w:r>
        <w:t>.</w:t>
      </w:r>
      <w:r>
        <w:tab/>
        <w:t>Certain applicants for assessment notice to notify proposed employer of relevant change in criminal record</w:t>
      </w:r>
      <w:bookmarkEnd w:id="138"/>
      <w:bookmarkEnd w:id="13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No. 7 of 2010 s. 17.]</w:t>
      </w:r>
    </w:p>
    <w:p>
      <w:pPr>
        <w:pStyle w:val="Heading5"/>
      </w:pPr>
      <w:bookmarkStart w:id="140" w:name="_Toc132316267"/>
      <w:bookmarkStart w:id="141" w:name="_Toc121318347"/>
      <w:r>
        <w:rPr>
          <w:rStyle w:val="CharSectno"/>
        </w:rPr>
        <w:t>32</w:t>
      </w:r>
      <w:r>
        <w:t>.</w:t>
      </w:r>
      <w:r>
        <w:tab/>
        <w:t>CEO to treat notice of relevant change under s. 29 and 30 as application for assessment notice</w:t>
      </w:r>
      <w:bookmarkEnd w:id="140"/>
      <w:bookmarkEnd w:id="141"/>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142" w:name="_Toc132316268"/>
      <w:bookmarkStart w:id="143" w:name="_Toc121318348"/>
      <w:r>
        <w:rPr>
          <w:rStyle w:val="CharSectno"/>
        </w:rPr>
        <w:t>33</w:t>
      </w:r>
      <w:r>
        <w:t>.</w:t>
      </w:r>
      <w:r>
        <w:tab/>
        <w:t>People convicted of Class 1 offence not to start or continue child</w:t>
      </w:r>
      <w:r>
        <w:noBreakHyphen/>
        <w:t>related work</w:t>
      </w:r>
      <w:bookmarkEnd w:id="142"/>
      <w:bookmarkEnd w:id="143"/>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144" w:name="_Toc132200742"/>
      <w:bookmarkStart w:id="145" w:name="_Toc132200853"/>
      <w:bookmarkStart w:id="146" w:name="_Toc132316269"/>
      <w:bookmarkStart w:id="147" w:name="_Toc121314949"/>
      <w:bookmarkStart w:id="148" w:name="_Toc121315195"/>
      <w:bookmarkStart w:id="149" w:name="_Toc121318349"/>
      <w:r>
        <w:rPr>
          <w:rStyle w:val="CharDivNo"/>
        </w:rPr>
        <w:t>Division 2</w:t>
      </w:r>
      <w:r>
        <w:t> — </w:t>
      </w:r>
      <w:r>
        <w:rPr>
          <w:rStyle w:val="CharDivText"/>
        </w:rPr>
        <w:t>Criminal record checks</w:t>
      </w:r>
      <w:bookmarkEnd w:id="144"/>
      <w:bookmarkEnd w:id="145"/>
      <w:bookmarkEnd w:id="146"/>
      <w:bookmarkEnd w:id="147"/>
      <w:bookmarkEnd w:id="148"/>
      <w:bookmarkEnd w:id="149"/>
    </w:p>
    <w:p>
      <w:pPr>
        <w:pStyle w:val="Heading5"/>
      </w:pPr>
      <w:bookmarkStart w:id="150" w:name="_Toc132316270"/>
      <w:bookmarkStart w:id="151" w:name="_Toc121318350"/>
      <w:r>
        <w:rPr>
          <w:rStyle w:val="CharSectno"/>
        </w:rPr>
        <w:t>34</w:t>
      </w:r>
      <w:r>
        <w:t>.</w:t>
      </w:r>
      <w:r>
        <w:tab/>
        <w:t>CEO may carry out criminal record check</w:t>
      </w:r>
      <w:bookmarkEnd w:id="150"/>
      <w:bookmarkEnd w:id="15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152" w:name="_Toc132200744"/>
      <w:bookmarkStart w:id="153" w:name="_Toc132200855"/>
      <w:bookmarkStart w:id="154" w:name="_Toc132316271"/>
      <w:bookmarkStart w:id="155" w:name="_Toc121314951"/>
      <w:bookmarkStart w:id="156" w:name="_Toc121315197"/>
      <w:bookmarkStart w:id="157" w:name="_Toc121318351"/>
      <w:r>
        <w:rPr>
          <w:rStyle w:val="CharPartNo"/>
        </w:rPr>
        <w:t>Part 4</w:t>
      </w:r>
      <w:r>
        <w:rPr>
          <w:rStyle w:val="CharDivNo"/>
        </w:rPr>
        <w:t> </w:t>
      </w:r>
      <w:r>
        <w:t>—</w:t>
      </w:r>
      <w:r>
        <w:rPr>
          <w:rStyle w:val="CharDivText"/>
        </w:rPr>
        <w:t> </w:t>
      </w:r>
      <w:r>
        <w:rPr>
          <w:rStyle w:val="CharPartText"/>
        </w:rPr>
        <w:t>General</w:t>
      </w:r>
      <w:bookmarkEnd w:id="152"/>
      <w:bookmarkEnd w:id="153"/>
      <w:bookmarkEnd w:id="154"/>
      <w:bookmarkEnd w:id="155"/>
      <w:bookmarkEnd w:id="156"/>
      <w:bookmarkEnd w:id="157"/>
    </w:p>
    <w:p>
      <w:pPr>
        <w:pStyle w:val="Heading5"/>
      </w:pPr>
      <w:bookmarkStart w:id="158" w:name="_Toc132316272"/>
      <w:bookmarkStart w:id="159" w:name="_Toc121318352"/>
      <w:r>
        <w:rPr>
          <w:rStyle w:val="CharSectno"/>
        </w:rPr>
        <w:t>35</w:t>
      </w:r>
      <w:r>
        <w:t>.</w:t>
      </w:r>
      <w:r>
        <w:tab/>
        <w:t>False or misleading information, offence</w:t>
      </w:r>
      <w:bookmarkEnd w:id="158"/>
      <w:bookmarkEnd w:id="159"/>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w:t>
      </w:r>
    </w:p>
    <w:p>
      <w:pPr>
        <w:pStyle w:val="Heading5"/>
      </w:pPr>
      <w:bookmarkStart w:id="160" w:name="_Toc132316273"/>
      <w:bookmarkStart w:id="161" w:name="_Toc121318353"/>
      <w:r>
        <w:rPr>
          <w:rStyle w:val="CharSectno"/>
        </w:rPr>
        <w:t>36</w:t>
      </w:r>
      <w:r>
        <w:t>.</w:t>
      </w:r>
      <w:r>
        <w:tab/>
        <w:t>Assessment notice to be returned to CEO in certain cases</w:t>
      </w:r>
      <w:bookmarkEnd w:id="160"/>
      <w:bookmarkEnd w:id="16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No. 7 of 2010 s. 20.]</w:t>
      </w:r>
    </w:p>
    <w:p>
      <w:pPr>
        <w:pStyle w:val="Heading5"/>
        <w:spacing w:before="180"/>
      </w:pPr>
      <w:bookmarkStart w:id="162" w:name="_Toc132316274"/>
      <w:bookmarkStart w:id="163" w:name="_Toc121318354"/>
      <w:r>
        <w:rPr>
          <w:rStyle w:val="CharSectno"/>
        </w:rPr>
        <w:t>37</w:t>
      </w:r>
      <w:r>
        <w:t>.</w:t>
      </w:r>
      <w:r>
        <w:tab/>
        <w:t>Exchange of information with corresponding authorities</w:t>
      </w:r>
      <w:bookmarkEnd w:id="162"/>
      <w:bookmarkEnd w:id="163"/>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164" w:name="_Toc132316275"/>
      <w:bookmarkStart w:id="165" w:name="_Toc121318355"/>
      <w:r>
        <w:rPr>
          <w:rStyle w:val="CharSectno"/>
        </w:rPr>
        <w:t>37A</w:t>
      </w:r>
      <w:r>
        <w:t>.</w:t>
      </w:r>
      <w:r>
        <w:tab/>
        <w:t xml:space="preserve">Exchange of information under </w:t>
      </w:r>
      <w:r>
        <w:rPr>
          <w:i/>
        </w:rPr>
        <w:t>National Disability Insurance Scheme (Worker Screening) Act 2020</w:t>
      </w:r>
      <w:bookmarkEnd w:id="164"/>
      <w:bookmarkEnd w:id="165"/>
    </w:p>
    <w:p>
      <w:pPr>
        <w:pStyle w:val="Subsection"/>
      </w:pPr>
      <w:r>
        <w:tab/>
      </w:r>
      <w:r>
        <w:rPr>
          <w:rFonts w:eastAsia="Arial Unicode MS"/>
        </w:rPr>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rPr>
        <w:t>High Risk Serious Offenders Act 2020</w:t>
      </w:r>
      <w:r>
        <w:t xml:space="preserve">, the </w:t>
      </w:r>
      <w:r>
        <w:rPr>
          <w:i/>
        </w:rPr>
        <w:t>Prisons Act 1981</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 xml:space="preserve">The CEO may disclose to the CEO or an interstate screening agency (as those terms are defined in the </w:t>
      </w:r>
      <w:r>
        <w:rPr>
          <w:i/>
        </w:rPr>
        <w:t>National Disability Insurance Scheme (Worker Screening) Act 2020</w:t>
      </w:r>
      <w:r>
        <w:t xml:space="preserve"> section 5(1)) information obtained or created under this Act that relates to a person’s criminal record or to an application made by, or a notice issued to, a person under this Act.</w:t>
      </w:r>
    </w:p>
    <w:p>
      <w:pPr>
        <w:pStyle w:val="Subsection"/>
      </w:pPr>
      <w:r>
        <w:tab/>
        <w:t>(3)</w:t>
      </w:r>
      <w:r>
        <w:tab/>
        <w:t xml:space="preserve">The CEO may ask the CEO or an interstate screening agency (as those terms are defined in the </w:t>
      </w:r>
      <w:r>
        <w:rPr>
          <w:i/>
        </w:rPr>
        <w:t xml:space="preserve">National Disability Insurance Scheme (Worker Screening) Act 2020 </w:t>
      </w:r>
      <w:r>
        <w:t xml:space="preserve">section 5(1)) to disclose to the CEO information obtained or created by the CEO or interstate screening agency that — </w:t>
      </w:r>
    </w:p>
    <w:p>
      <w:pPr>
        <w:pStyle w:val="Indenta"/>
      </w:pPr>
      <w:r>
        <w:tab/>
        <w:t>(a)</w:t>
      </w:r>
      <w:r>
        <w:tab/>
        <w:t>corresponds to the information referred to in subsection (2); and</w:t>
      </w:r>
    </w:p>
    <w:p>
      <w:pPr>
        <w:pStyle w:val="Indenta"/>
      </w:pPr>
      <w:r>
        <w:tab/>
        <w:t>(b)</w:t>
      </w:r>
      <w:r>
        <w:tab/>
        <w:t xml:space="preserve">relates to a person who has made an application, or has been issued with a notice, under this Act. </w:t>
      </w:r>
    </w:p>
    <w:p>
      <w:pPr>
        <w:pStyle w:val="Subsection"/>
      </w:pPr>
      <w:r>
        <w:tab/>
        <w:t>(4)</w:t>
      </w:r>
      <w:r>
        <w:tab/>
        <w:t>However, a prescribed report obtained from the CEO (Justice) cannot be disclosed under subsection (2) without the approval of the CEO (Justice).</w:t>
      </w:r>
    </w:p>
    <w:p>
      <w:pPr>
        <w:pStyle w:val="Footnotesection"/>
      </w:pPr>
      <w:r>
        <w:tab/>
        <w:t>[Section 37A inserted: No. 48 of 2020 s. 89.]</w:t>
      </w:r>
    </w:p>
    <w:p>
      <w:pPr>
        <w:pStyle w:val="Heading5"/>
      </w:pPr>
      <w:bookmarkStart w:id="166" w:name="_Toc132316276"/>
      <w:bookmarkStart w:id="167" w:name="_Toc121318356"/>
      <w:r>
        <w:rPr>
          <w:rStyle w:val="CharSectno"/>
        </w:rPr>
        <w:t>38</w:t>
      </w:r>
      <w:r>
        <w:t>.</w:t>
      </w:r>
      <w:r>
        <w:tab/>
        <w:t>Disclosure of information by CEO to certain bodies</w:t>
      </w:r>
      <w:bookmarkEnd w:id="166"/>
      <w:bookmarkEnd w:id="167"/>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keepNext/>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No. 19 of 2007 s. 73; No. 7 of 2010 s. 21; No. 38 of 2011 s. 41; No. 11 of 2012 s. 54; No. 18 of 2018 s. 94.]</w:t>
      </w:r>
    </w:p>
    <w:p>
      <w:pPr>
        <w:pStyle w:val="Heading5"/>
      </w:pPr>
      <w:bookmarkStart w:id="168" w:name="_Toc132316277"/>
      <w:bookmarkStart w:id="169" w:name="_Toc121318357"/>
      <w:r>
        <w:rPr>
          <w:rStyle w:val="CharSectno"/>
        </w:rPr>
        <w:t>39</w:t>
      </w:r>
      <w:r>
        <w:t>.</w:t>
      </w:r>
      <w:r>
        <w:tab/>
        <w:t>Information obtained officially, use and disclosure of</w:t>
      </w:r>
      <w:bookmarkEnd w:id="168"/>
      <w:bookmarkEnd w:id="16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170" w:name="_Toc132316278"/>
      <w:bookmarkStart w:id="171" w:name="_Toc121318358"/>
      <w:r>
        <w:rPr>
          <w:rStyle w:val="CharSectno"/>
        </w:rPr>
        <w:t>39A</w:t>
      </w:r>
      <w:r>
        <w:t>.</w:t>
      </w:r>
      <w:r>
        <w:tab/>
        <w:t>Ability to provide information and protection from liability</w:t>
      </w:r>
      <w:bookmarkEnd w:id="170"/>
      <w:bookmarkEnd w:id="171"/>
      <w:r>
        <w:t xml:space="preserve"> </w:t>
      </w:r>
    </w:p>
    <w:p>
      <w:pPr>
        <w:pStyle w:val="Subsection"/>
      </w:pPr>
      <w:r>
        <w:tab/>
        <w:t>(1)</w:t>
      </w:r>
      <w:r>
        <w:tab/>
        <w:t xml:space="preserve">In this section — </w:t>
      </w:r>
    </w:p>
    <w:p>
      <w:pPr>
        <w:pStyle w:val="Defstart"/>
      </w:pPr>
      <w:r>
        <w:tab/>
      </w:r>
      <w:r>
        <w:rPr>
          <w:rStyle w:val="CharDefText"/>
        </w:rPr>
        <w:t>external government agency</w:t>
      </w:r>
      <w:r>
        <w:t xml:space="preserve"> means — </w:t>
      </w:r>
    </w:p>
    <w:p>
      <w:pPr>
        <w:pStyle w:val="Defpara"/>
      </w:pPr>
      <w:r>
        <w:tab/>
        <w:t>(a)</w:t>
      </w:r>
      <w:r>
        <w:tab/>
        <w:t>a government department established or constituted under a law of another jurisdiction; or</w:t>
      </w:r>
    </w:p>
    <w:p>
      <w:pPr>
        <w:pStyle w:val="Defpara"/>
      </w:pPr>
      <w:r>
        <w:tab/>
        <w:t>(b)</w:t>
      </w:r>
      <w:r>
        <w:tab/>
        <w:t>a body, whether incorporated or not, that is established, constituted or continued for a public purpose under a written law of another jurisdiction and that, under the authority of a written law of another jurisdiction, performs a statutory function on behalf of a government or another jurisdiction;</w:t>
      </w:r>
    </w:p>
    <w:p>
      <w:pPr>
        <w:pStyle w:val="Defstart"/>
      </w:pPr>
      <w:r>
        <w:tab/>
      </w:r>
      <w:r>
        <w:rPr>
          <w:rStyle w:val="CharDefText"/>
        </w:rPr>
        <w:t>law</w:t>
      </w:r>
      <w:r>
        <w:t xml:space="preserve"> includes the common law and any rules of equity.</w:t>
      </w:r>
    </w:p>
    <w:p>
      <w:pPr>
        <w:pStyle w:val="Subsection"/>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Indenta"/>
      </w:pPr>
      <w:r>
        <w:tab/>
        <w:t>(c)</w:t>
      </w:r>
      <w:r>
        <w:tab/>
        <w:t xml:space="preserve">by the CEO to — </w:t>
      </w:r>
    </w:p>
    <w:p>
      <w:pPr>
        <w:pStyle w:val="Indenti"/>
      </w:pPr>
      <w:r>
        <w:tab/>
        <w:t>(i)</w:t>
      </w:r>
      <w:r>
        <w:tab/>
        <w:t xml:space="preserve">the CEO as defined in the </w:t>
      </w:r>
      <w:r>
        <w:rPr>
          <w:i/>
        </w:rPr>
        <w:t>National Disability Insurance Scheme (Worker Screening) Act 2020</w:t>
      </w:r>
      <w:r>
        <w:t xml:space="preserve"> section 5(1); or</w:t>
      </w:r>
    </w:p>
    <w:p>
      <w:pPr>
        <w:pStyle w:val="Indenti"/>
      </w:pPr>
      <w:r>
        <w:tab/>
        <w:t>(ii)</w:t>
      </w:r>
      <w:r>
        <w:tab/>
        <w:t xml:space="preserve">an interstate screening agency as defined in the </w:t>
      </w:r>
      <w:r>
        <w:rPr>
          <w:i/>
        </w:rPr>
        <w:t>National Disability Insurance Scheme (Worker Screening) Act 2020</w:t>
      </w:r>
      <w:r>
        <w:t xml:space="preserve"> section 5(1);</w:t>
      </w:r>
    </w:p>
    <w:p>
      <w:pPr>
        <w:pStyle w:val="Indenta"/>
      </w:pPr>
      <w:r>
        <w:tab/>
      </w:r>
      <w:r>
        <w:tab/>
        <w:t>or</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pPr>
      <w:r>
        <w:tab/>
        <w:t>(4)</w:t>
      </w:r>
      <w:r>
        <w:tab/>
        <w:t>Subsection (3) does not derogate from the operation of —</w:t>
      </w:r>
    </w:p>
    <w:p>
      <w:pPr>
        <w:pStyle w:val="Indenta"/>
      </w:pPr>
      <w:r>
        <w:tab/>
        <w:t>(a)</w:t>
      </w:r>
      <w:r>
        <w:tab/>
        <w:t>section 37A(4);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(6) does not apply to the disclosure of information by an external government agency.</w:t>
      </w:r>
    </w:p>
    <w:p>
      <w:pPr>
        <w:pStyle w:val="Footnotesection"/>
        <w:rPr>
          <w:caps/>
        </w:rPr>
      </w:pPr>
      <w:r>
        <w:tab/>
        <w:t>[Section 39A inserted: No. 48 of 2020 s.</w:t>
      </w:r>
      <w:r>
        <w:rPr>
          <w:caps/>
        </w:rPr>
        <w:t> 90.]</w:t>
      </w:r>
    </w:p>
    <w:p>
      <w:pPr>
        <w:pStyle w:val="Heading5"/>
      </w:pPr>
      <w:bookmarkStart w:id="172" w:name="_Toc132316279"/>
      <w:bookmarkStart w:id="173" w:name="_Toc121318359"/>
      <w:r>
        <w:rPr>
          <w:rStyle w:val="CharSectno"/>
        </w:rPr>
        <w:t>40</w:t>
      </w:r>
      <w:r>
        <w:t>.</w:t>
      </w:r>
      <w:r>
        <w:tab/>
        <w:t>Protection from personal liability</w:t>
      </w:r>
      <w:bookmarkEnd w:id="172"/>
      <w:bookmarkEnd w:id="17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74" w:name="_Toc132316280"/>
      <w:bookmarkStart w:id="175" w:name="_Toc121318360"/>
      <w:r>
        <w:rPr>
          <w:rStyle w:val="CharSectno"/>
        </w:rPr>
        <w:t>41</w:t>
      </w:r>
      <w:r>
        <w:t>.</w:t>
      </w:r>
      <w:r>
        <w:tab/>
        <w:t>Employer to comply with Act despite other laws etc.</w:t>
      </w:r>
      <w:bookmarkEnd w:id="174"/>
      <w:bookmarkEnd w:id="175"/>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176" w:name="_Toc132316281"/>
      <w:bookmarkStart w:id="177" w:name="_Toc121318361"/>
      <w:r>
        <w:rPr>
          <w:rStyle w:val="CharSectno"/>
        </w:rPr>
        <w:t>42</w:t>
      </w:r>
      <w:r>
        <w:t>.</w:t>
      </w:r>
      <w:r>
        <w:tab/>
        <w:t>CEO may require information to confirm compliance with Act</w:t>
      </w:r>
      <w:bookmarkEnd w:id="176"/>
      <w:bookmarkEnd w:id="17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No. 7 of 2010 s. 22.]</w:t>
      </w:r>
    </w:p>
    <w:p>
      <w:pPr>
        <w:pStyle w:val="Heading5"/>
      </w:pPr>
      <w:bookmarkStart w:id="178" w:name="_Toc132316282"/>
      <w:bookmarkStart w:id="179" w:name="_Toc121318362"/>
      <w:r>
        <w:rPr>
          <w:rStyle w:val="CharSectno"/>
        </w:rPr>
        <w:t>43</w:t>
      </w:r>
      <w:r>
        <w:t>.</w:t>
      </w:r>
      <w:r>
        <w:tab/>
        <w:t>Liability of partners for certain offences</w:t>
      </w:r>
      <w:bookmarkEnd w:id="178"/>
      <w:bookmarkEnd w:id="17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80" w:name="_Toc132316283"/>
      <w:bookmarkStart w:id="181" w:name="_Toc121318363"/>
      <w:r>
        <w:rPr>
          <w:rStyle w:val="CharSectno"/>
        </w:rPr>
        <w:t>44</w:t>
      </w:r>
      <w:r>
        <w:t>.</w:t>
      </w:r>
      <w:r>
        <w:tab/>
        <w:t>Evidentiary matters</w:t>
      </w:r>
      <w:bookmarkEnd w:id="180"/>
      <w:bookmarkEnd w:id="181"/>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82" w:name="_Toc132316284"/>
      <w:bookmarkStart w:id="183" w:name="_Toc121318364"/>
      <w:r>
        <w:rPr>
          <w:rStyle w:val="CharSectno"/>
        </w:rPr>
        <w:t>45</w:t>
      </w:r>
      <w:r>
        <w:t>.</w:t>
      </w:r>
      <w:r>
        <w:tab/>
        <w:t>Delegation by CEO etc.</w:t>
      </w:r>
      <w:bookmarkEnd w:id="182"/>
      <w:bookmarkEnd w:id="183"/>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184" w:name="_Toc132316285"/>
      <w:bookmarkStart w:id="185" w:name="_Toc121318365"/>
      <w:r>
        <w:rPr>
          <w:rStyle w:val="CharSectno"/>
        </w:rPr>
        <w:t>46</w:t>
      </w:r>
      <w:r>
        <w:t>.</w:t>
      </w:r>
      <w:r>
        <w:tab/>
        <w:t>Regulations</w:t>
      </w:r>
      <w:bookmarkEnd w:id="184"/>
      <w:bookmarkEnd w:id="18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186" w:name="_Toc132316286"/>
      <w:bookmarkStart w:id="187" w:name="_Toc121318366"/>
      <w:r>
        <w:rPr>
          <w:rStyle w:val="CharSectno"/>
        </w:rPr>
        <w:t>47</w:t>
      </w:r>
      <w:r>
        <w:t>.</w:t>
      </w:r>
      <w:r>
        <w:tab/>
        <w:t>Review of Act</w:t>
      </w:r>
      <w:bookmarkEnd w:id="186"/>
      <w:bookmarkEnd w:id="18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188" w:name="_Toc132200760"/>
      <w:bookmarkStart w:id="189" w:name="_Toc132200871"/>
      <w:bookmarkStart w:id="190" w:name="_Toc132316287"/>
      <w:bookmarkStart w:id="191" w:name="_Toc121314967"/>
      <w:bookmarkStart w:id="192" w:name="_Toc121315213"/>
      <w:bookmarkStart w:id="193" w:name="_Toc121318367"/>
      <w:r>
        <w:rPr>
          <w:rStyle w:val="CharPartNo"/>
        </w:rPr>
        <w:t>Part 6</w:t>
      </w:r>
      <w:r>
        <w:rPr>
          <w:rStyle w:val="CharDivNo"/>
        </w:rPr>
        <w:t> </w:t>
      </w:r>
      <w:r>
        <w:t>—</w:t>
      </w:r>
      <w:r>
        <w:rPr>
          <w:rStyle w:val="CharDivText"/>
        </w:rPr>
        <w:t> </w:t>
      </w:r>
      <w:r>
        <w:rPr>
          <w:rStyle w:val="CharPartText"/>
        </w:rPr>
        <w:t>Transitional provisions</w:t>
      </w:r>
      <w:bookmarkEnd w:id="188"/>
      <w:bookmarkEnd w:id="189"/>
      <w:bookmarkEnd w:id="190"/>
      <w:bookmarkEnd w:id="191"/>
      <w:bookmarkEnd w:id="192"/>
      <w:bookmarkEnd w:id="193"/>
    </w:p>
    <w:p>
      <w:pPr>
        <w:pStyle w:val="Heading5"/>
      </w:pPr>
      <w:bookmarkStart w:id="194" w:name="_Toc132316288"/>
      <w:bookmarkStart w:id="195" w:name="_Toc121318368"/>
      <w:r>
        <w:rPr>
          <w:rStyle w:val="CharSectno"/>
        </w:rPr>
        <w:t>56</w:t>
      </w:r>
      <w:r>
        <w:t>.</w:t>
      </w:r>
      <w:r>
        <w:tab/>
        <w:t>Term used: commencement day</w:t>
      </w:r>
      <w:bookmarkEnd w:id="194"/>
      <w:bookmarkEnd w:id="195"/>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196" w:name="_Toc132316289"/>
      <w:bookmarkStart w:id="197" w:name="_Toc121318369"/>
      <w:r>
        <w:rPr>
          <w:rStyle w:val="CharSectno"/>
        </w:rPr>
        <w:t>57</w:t>
      </w:r>
      <w:r>
        <w:t>.</w:t>
      </w:r>
      <w:r>
        <w:tab/>
        <w:t>People carrying on a child</w:t>
      </w:r>
      <w:r>
        <w:noBreakHyphen/>
        <w:t>related business, when s. 24(b) applies to</w:t>
      </w:r>
      <w:bookmarkEnd w:id="196"/>
      <w:bookmarkEnd w:id="19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198" w:name="_Toc132316290"/>
      <w:bookmarkStart w:id="199" w:name="_Toc121318370"/>
      <w:r>
        <w:rPr>
          <w:rStyle w:val="CharSectno"/>
        </w:rPr>
        <w:t>58</w:t>
      </w:r>
      <w:r>
        <w:t>.</w:t>
      </w:r>
      <w:r>
        <w:tab/>
        <w:t>Volunteers continuing in child</w:t>
      </w:r>
      <w:r>
        <w:noBreakHyphen/>
        <w:t>related employment, when s. 22(6) and 24(a) apply to</w:t>
      </w:r>
      <w:bookmarkEnd w:id="198"/>
      <w:bookmarkEnd w:id="199"/>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00" w:name="_Toc132316291"/>
      <w:bookmarkStart w:id="201" w:name="_Toc121318371"/>
      <w:r>
        <w:rPr>
          <w:rStyle w:val="CharSectno"/>
        </w:rPr>
        <w:t>59</w:t>
      </w:r>
      <w:r>
        <w:t>.</w:t>
      </w:r>
      <w:r>
        <w:tab/>
        <w:t>Ministers of religion etc. continuing in child</w:t>
      </w:r>
      <w:r>
        <w:noBreakHyphen/>
        <w:t>related employment, when s. 22(6) and 24(a) apply to</w:t>
      </w:r>
      <w:bookmarkEnd w:id="200"/>
      <w:bookmarkEnd w:id="201"/>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02" w:name="_Toc132316292"/>
      <w:bookmarkStart w:id="203" w:name="_Toc121318372"/>
      <w:r>
        <w:rPr>
          <w:rStyle w:val="CharSectno"/>
        </w:rPr>
        <w:t>60</w:t>
      </w:r>
      <w:r>
        <w:t>.</w:t>
      </w:r>
      <w:r>
        <w:tab/>
        <w:t>Other people in child</w:t>
      </w:r>
      <w:r>
        <w:noBreakHyphen/>
        <w:t>related employment, when s. 22(6) and 24(a) apply to</w:t>
      </w:r>
      <w:bookmarkEnd w:id="202"/>
      <w:bookmarkEnd w:id="203"/>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04" w:name="_Toc132316293"/>
      <w:bookmarkStart w:id="205" w:name="_Toc121318373"/>
      <w:r>
        <w:rPr>
          <w:rStyle w:val="CharSectno"/>
        </w:rPr>
        <w:t>60A</w:t>
      </w:r>
      <w:r>
        <w:t>.</w:t>
      </w:r>
      <w:r>
        <w:tab/>
        <w:t>Wilful murder charges and convictions between 1 Jan 2006 and 2 Jul 2008 taken to be relevant changes in criminal record</w:t>
      </w:r>
      <w:bookmarkEnd w:id="204"/>
      <w:bookmarkEnd w:id="20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06" w:name="_Toc132316294"/>
      <w:bookmarkStart w:id="207" w:name="_Toc121318374"/>
      <w:r>
        <w:rPr>
          <w:rStyle w:val="CharSectno"/>
        </w:rPr>
        <w:t>61</w:t>
      </w:r>
      <w:r>
        <w:t>.</w:t>
      </w:r>
      <w:r>
        <w:tab/>
        <w:t>Transitional regulations</w:t>
      </w:r>
      <w:bookmarkEnd w:id="206"/>
      <w:bookmarkEnd w:id="20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8" w:name="_Toc132200768"/>
      <w:bookmarkStart w:id="209" w:name="_Toc132200879"/>
      <w:bookmarkStart w:id="210" w:name="_Toc132316295"/>
      <w:bookmarkStart w:id="211" w:name="_Toc121314975"/>
      <w:bookmarkStart w:id="212" w:name="_Toc121315221"/>
      <w:bookmarkStart w:id="213" w:name="_Toc121318375"/>
      <w:r>
        <w:rPr>
          <w:rStyle w:val="CharSchNo"/>
        </w:rPr>
        <w:t>Schedule 1</w:t>
      </w:r>
      <w:r>
        <w:t xml:space="preserve"> — </w:t>
      </w:r>
      <w:r>
        <w:rPr>
          <w:rStyle w:val="CharSchText"/>
        </w:rPr>
        <w:t>Class 1 offences</w:t>
      </w:r>
      <w:bookmarkEnd w:id="208"/>
      <w:bookmarkEnd w:id="209"/>
      <w:bookmarkEnd w:id="210"/>
      <w:bookmarkEnd w:id="211"/>
      <w:bookmarkEnd w:id="212"/>
      <w:bookmarkEnd w:id="213"/>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No. 2 of 2008 s. 74; No. 8 of 2009 s. 140(2); No. 7 of 2010 s. 24.]</w:t>
      </w:r>
    </w:p>
    <w:p>
      <w:pPr>
        <w:pStyle w:val="yScheduleHeading"/>
      </w:pPr>
      <w:bookmarkStart w:id="214" w:name="_Toc132200769"/>
      <w:bookmarkStart w:id="215" w:name="_Toc132200880"/>
      <w:bookmarkStart w:id="216" w:name="_Toc132316296"/>
      <w:bookmarkStart w:id="217" w:name="_Toc121314976"/>
      <w:bookmarkStart w:id="218" w:name="_Toc121315222"/>
      <w:bookmarkStart w:id="219" w:name="_Toc121318376"/>
      <w:r>
        <w:rPr>
          <w:rStyle w:val="CharSchNo"/>
        </w:rPr>
        <w:t>Schedule 2</w:t>
      </w:r>
      <w:r>
        <w:t> — </w:t>
      </w:r>
      <w:r>
        <w:rPr>
          <w:rStyle w:val="CharSchText"/>
        </w:rPr>
        <w:t>Class 2 offences</w:t>
      </w:r>
      <w:bookmarkEnd w:id="214"/>
      <w:bookmarkEnd w:id="215"/>
      <w:bookmarkEnd w:id="216"/>
      <w:bookmarkEnd w:id="217"/>
      <w:bookmarkEnd w:id="218"/>
      <w:bookmarkEnd w:id="219"/>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rPr>
                <w:szCs w:val="22"/>
              </w:rPr>
              <w:t>s. 221BD</w:t>
            </w:r>
          </w:p>
        </w:tc>
        <w:tc>
          <w:tcPr>
            <w:tcW w:w="4246" w:type="dxa"/>
          </w:tcPr>
          <w:p>
            <w:pPr>
              <w:pStyle w:val="yTableNAm"/>
              <w:ind w:left="-70"/>
            </w:pPr>
            <w:r>
              <w:rPr>
                <w:szCs w:val="22"/>
              </w:rPr>
              <w:t>Distribution of intimate image where image is of a child</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nHeading2"/>
      </w:pPr>
      <w:bookmarkStart w:id="221" w:name="_Toc132200770"/>
      <w:bookmarkStart w:id="222" w:name="_Toc132200881"/>
      <w:bookmarkStart w:id="223" w:name="_Toc132316297"/>
      <w:bookmarkStart w:id="224" w:name="_Toc121314977"/>
      <w:bookmarkStart w:id="225" w:name="_Toc121315223"/>
      <w:bookmarkStart w:id="226" w:name="_Toc121318377"/>
      <w:r>
        <w:t>Notes</w:t>
      </w:r>
      <w:bookmarkEnd w:id="221"/>
      <w:bookmarkEnd w:id="222"/>
      <w:bookmarkEnd w:id="223"/>
      <w:bookmarkEnd w:id="224"/>
      <w:bookmarkEnd w:id="225"/>
      <w:bookmarkEnd w:id="226"/>
    </w:p>
    <w:p>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27" w:name="_Toc132316298"/>
      <w:bookmarkStart w:id="228" w:name="_Toc121318378"/>
      <w:r>
        <w:t>Compilation table</w:t>
      </w:r>
      <w:bookmarkEnd w:id="227"/>
      <w:bookmarkEnd w:id="228"/>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single" w:sz="4" w:space="0" w:color="auto"/>
            </w:tcBorders>
            <w:shd w:val="clear" w:color="auto" w:fill="auto"/>
          </w:tcPr>
          <w:p>
            <w:pPr>
              <w:pStyle w:val="nTable"/>
              <w:spacing w:after="40"/>
            </w:pPr>
            <w:r>
              <w:t>48 of 2020</w:t>
            </w:r>
          </w:p>
        </w:tc>
        <w:tc>
          <w:tcPr>
            <w:tcW w:w="1134" w:type="dxa"/>
            <w:gridSpan w:val="2"/>
            <w:tcBorders>
              <w:top w:val="nil"/>
              <w:bottom w:val="single" w:sz="4" w:space="0" w:color="auto"/>
            </w:tcBorders>
            <w:shd w:val="clear" w:color="auto" w:fill="auto"/>
          </w:tcPr>
          <w:p>
            <w:pPr>
              <w:pStyle w:val="nTable"/>
              <w:spacing w:after="40"/>
            </w:pPr>
            <w:r>
              <w:t>9 Dec 2020</w:t>
            </w:r>
          </w:p>
        </w:tc>
        <w:tc>
          <w:tcPr>
            <w:tcW w:w="2566" w:type="dxa"/>
            <w:gridSpan w:val="2"/>
            <w:tcBorders>
              <w:top w:val="nil"/>
              <w:bottom w:val="single" w:sz="4" w:space="0" w:color="auto"/>
            </w:tcBorders>
            <w:shd w:val="clear" w:color="auto" w:fill="auto"/>
          </w:tcPr>
          <w:p>
            <w:pPr>
              <w:pStyle w:val="nTable"/>
              <w:spacing w:after="40"/>
            </w:pPr>
            <w:r>
              <w:t>1 Feb 2021 (see s. 2(1)(b) and SL 2021/4 cl. 2)</w:t>
            </w:r>
          </w:p>
        </w:tc>
      </w:tr>
    </w:tbl>
    <w:p>
      <w:pPr>
        <w:pStyle w:val="nHeading3"/>
      </w:pPr>
      <w:bookmarkStart w:id="229" w:name="_Toc132316299"/>
      <w:bookmarkStart w:id="230" w:name="_Toc121318379"/>
      <w:r>
        <w:t>Uncommenced provisions table</w:t>
      </w:r>
      <w:bookmarkEnd w:id="229"/>
      <w:bookmarkEnd w:id="230"/>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snapToGrid w:val="0"/>
              </w:rPr>
              <w:t xml:space="preserve">Working with Children (Criminal Record Checking) Amendment Act 2022 </w:t>
            </w:r>
            <w:r>
              <w:rPr>
                <w:snapToGrid w:val="0"/>
              </w:rPr>
              <w:t>Pt. 2</w:t>
            </w:r>
          </w:p>
        </w:tc>
        <w:tc>
          <w:tcPr>
            <w:tcW w:w="1121" w:type="dxa"/>
            <w:tcBorders>
              <w:top w:val="nil"/>
              <w:bottom w:val="nil"/>
            </w:tcBorders>
          </w:tcPr>
          <w:p>
            <w:pPr>
              <w:pStyle w:val="nTable"/>
              <w:spacing w:after="40"/>
            </w:pPr>
            <w:r>
              <w:t>47 of 2022</w:t>
            </w:r>
          </w:p>
        </w:tc>
        <w:tc>
          <w:tcPr>
            <w:tcW w:w="1121" w:type="dxa"/>
            <w:tcBorders>
              <w:top w:val="nil"/>
              <w:bottom w:val="nil"/>
            </w:tcBorders>
          </w:tcPr>
          <w:p>
            <w:pPr>
              <w:pStyle w:val="nTable"/>
              <w:spacing w:after="40"/>
            </w:pPr>
            <w:r>
              <w:t>7 Dec 2022</w:t>
            </w:r>
          </w:p>
        </w:tc>
        <w:tc>
          <w:tcPr>
            <w:tcW w:w="2580" w:type="dxa"/>
            <w:tcBorders>
              <w:top w:val="nil"/>
              <w:bottom w:val="nil"/>
            </w:tcBorders>
          </w:tcPr>
          <w:p>
            <w:pPr>
              <w:pStyle w:val="nTable"/>
              <w:spacing w:after="40"/>
              <w:rPr>
                <w:snapToGrid w:val="0"/>
              </w:rPr>
            </w:pPr>
            <w:r>
              <w:rPr>
                <w:snapToGrid w:val="0"/>
              </w:rPr>
              <w:t>To be proclaimed (see s. 2(b))</w:t>
            </w:r>
          </w:p>
        </w:tc>
      </w:tr>
      <w:tr>
        <w:trPr>
          <w:ins w:id="231" w:author="Master Repository Process" w:date="2023-04-14T09:40:00Z"/>
        </w:trPr>
        <w:tc>
          <w:tcPr>
            <w:tcW w:w="2267" w:type="dxa"/>
            <w:tcBorders>
              <w:top w:val="nil"/>
              <w:bottom w:val="single" w:sz="4" w:space="0" w:color="auto"/>
            </w:tcBorders>
          </w:tcPr>
          <w:p>
            <w:pPr>
              <w:pStyle w:val="nTable"/>
              <w:spacing w:after="40"/>
              <w:ind w:right="113"/>
              <w:rPr>
                <w:ins w:id="232" w:author="Master Repository Process" w:date="2023-04-14T09:40:00Z"/>
                <w:snapToGrid w:val="0"/>
              </w:rPr>
            </w:pPr>
            <w:ins w:id="233" w:author="Master Repository Process" w:date="2023-04-14T09:40:00Z">
              <w:r>
                <w:rPr>
                  <w:i/>
                  <w:snapToGrid w:val="0"/>
                </w:rPr>
                <w:t>Criminal Law (Mental Impairment) Act 2023</w:t>
              </w:r>
              <w:r>
                <w:rPr>
                  <w:snapToGrid w:val="0"/>
                </w:rPr>
                <w:t xml:space="preserve"> Pt. 15 Div. 28 and s. 412</w:t>
              </w:r>
            </w:ins>
          </w:p>
        </w:tc>
        <w:tc>
          <w:tcPr>
            <w:tcW w:w="1121" w:type="dxa"/>
            <w:tcBorders>
              <w:top w:val="nil"/>
              <w:bottom w:val="single" w:sz="4" w:space="0" w:color="auto"/>
            </w:tcBorders>
          </w:tcPr>
          <w:p>
            <w:pPr>
              <w:pStyle w:val="nTable"/>
              <w:spacing w:after="40"/>
              <w:rPr>
                <w:ins w:id="234" w:author="Master Repository Process" w:date="2023-04-14T09:40:00Z"/>
              </w:rPr>
            </w:pPr>
            <w:ins w:id="235" w:author="Master Repository Process" w:date="2023-04-14T09:40:00Z">
              <w:r>
                <w:t>10 of 2023</w:t>
              </w:r>
            </w:ins>
          </w:p>
        </w:tc>
        <w:tc>
          <w:tcPr>
            <w:tcW w:w="1121" w:type="dxa"/>
            <w:tcBorders>
              <w:top w:val="nil"/>
              <w:bottom w:val="single" w:sz="4" w:space="0" w:color="auto"/>
            </w:tcBorders>
          </w:tcPr>
          <w:p>
            <w:pPr>
              <w:pStyle w:val="nTable"/>
              <w:spacing w:after="40"/>
              <w:rPr>
                <w:ins w:id="236" w:author="Master Repository Process" w:date="2023-04-14T09:40:00Z"/>
              </w:rPr>
            </w:pPr>
            <w:ins w:id="237" w:author="Master Repository Process" w:date="2023-04-14T09:40:00Z">
              <w:r>
                <w:t>13 Apr 2023</w:t>
              </w:r>
            </w:ins>
          </w:p>
        </w:tc>
        <w:tc>
          <w:tcPr>
            <w:tcW w:w="2580" w:type="dxa"/>
            <w:tcBorders>
              <w:top w:val="nil"/>
              <w:bottom w:val="single" w:sz="4" w:space="0" w:color="auto"/>
            </w:tcBorders>
          </w:tcPr>
          <w:p>
            <w:pPr>
              <w:pStyle w:val="nTable"/>
              <w:spacing w:after="40"/>
              <w:rPr>
                <w:ins w:id="238" w:author="Master Repository Process" w:date="2023-04-14T09:40:00Z"/>
                <w:snapToGrid w:val="0"/>
              </w:rPr>
            </w:pPr>
            <w:ins w:id="239" w:author="Master Repository Process" w:date="2023-04-14T09:40:00Z">
              <w:r>
                <w:rPr>
                  <w:snapToGrid w:val="0"/>
                </w:rPr>
                <w:t>To be proclaimed (see s. 2(b))</w:t>
              </w:r>
            </w:ins>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20" w:name="Schedule"/>
    <w:bookmarkEnd w:id="2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0" w:name="Compilation"/>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1" w:name="Coversheet"/>
    <w:bookmarkEnd w:id="2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43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16044</Words>
  <Characters>76371</Characters>
  <Application>Microsoft Office Word</Application>
  <DocSecurity>0</DocSecurity>
  <Lines>2314</Lines>
  <Paragraphs>1339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91076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03-m0-00 - 03-n0-00</dc:title>
  <dc:subject/>
  <dc:creator/>
  <cp:keywords/>
  <dc:description/>
  <cp:lastModifiedBy>Master Repository Process</cp:lastModifiedBy>
  <cp:revision>2</cp:revision>
  <cp:lastPrinted>2012-11-09T01:36:00Z</cp:lastPrinted>
  <dcterms:created xsi:type="dcterms:W3CDTF">2023-04-14T01:40:00Z</dcterms:created>
  <dcterms:modified xsi:type="dcterms:W3CDTF">2023-04-14T01:40:00Z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20230413</vt:lpwstr>
  </property>
  <property fmtid="{D5CDD505-2E9C-101B-9397-08002B2CF9AE}" pid="9" name="FromSuffix">
    <vt:lpwstr>03-m0-00</vt:lpwstr>
  </property>
  <property fmtid="{D5CDD505-2E9C-101B-9397-08002B2CF9AE}" pid="10" name="FromAsAtDate">
    <vt:lpwstr>07 Dec 2022</vt:lpwstr>
  </property>
  <property fmtid="{D5CDD505-2E9C-101B-9397-08002B2CF9AE}" pid="11" name="ToSuffix">
    <vt:lpwstr>03-n0-00</vt:lpwstr>
  </property>
  <property fmtid="{D5CDD505-2E9C-101B-9397-08002B2CF9AE}" pid="12" name="ToAsAtDate">
    <vt:lpwstr>13 Apr 2023</vt:lpwstr>
  </property>
</Properties>
</file>