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05 May 2023</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1" w:name="_Toc133934973"/>
      <w:bookmarkStart w:id="2" w:name="_Toc10689508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4" w:name="_Toc133934974"/>
      <w:bookmarkStart w:id="5" w:name="_Toc106895082"/>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6" w:name="_Toc133934975"/>
      <w:bookmarkStart w:id="7" w:name="_Toc106895083"/>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8" w:name="_Toc133934976"/>
      <w:bookmarkStart w:id="9" w:name="_Toc106895084"/>
      <w:r>
        <w:rPr>
          <w:rStyle w:val="CharSectno"/>
        </w:rPr>
        <w:t>3</w:t>
      </w:r>
      <w:r>
        <w:rPr>
          <w:snapToGrid w:val="0"/>
        </w:rPr>
        <w:t>.</w:t>
      </w:r>
      <w:r>
        <w:rPr>
          <w:snapToGrid w:val="0"/>
        </w:rPr>
        <w:tab/>
        <w:t>Prescribed fees, rates and sums</w:t>
      </w:r>
      <w:bookmarkEnd w:id="8"/>
      <w:bookmarkEnd w:id="9"/>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10" w:name="_Toc133934977"/>
      <w:bookmarkStart w:id="11" w:name="_Toc106895085"/>
      <w:r>
        <w:rPr>
          <w:rStyle w:val="CharSectno"/>
        </w:rPr>
        <w:t>4</w:t>
      </w:r>
      <w:r>
        <w:rPr>
          <w:snapToGrid w:val="0"/>
        </w:rPr>
        <w:t>.</w:t>
      </w:r>
      <w:r>
        <w:rPr>
          <w:snapToGrid w:val="0"/>
        </w:rPr>
        <w:tab/>
        <w:t>Form of instrument of transfer</w:t>
      </w:r>
      <w:bookmarkEnd w:id="10"/>
      <w:bookmarkEnd w:id="11"/>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2" w:name="_Toc133934978"/>
      <w:bookmarkStart w:id="13" w:name="_Toc106895086"/>
      <w:r>
        <w:rPr>
          <w:rStyle w:val="CharSectno"/>
        </w:rPr>
        <w:t>5</w:t>
      </w:r>
      <w:r>
        <w:rPr>
          <w:snapToGrid w:val="0"/>
        </w:rPr>
        <w:t>.</w:t>
      </w:r>
      <w:r>
        <w:rPr>
          <w:snapToGrid w:val="0"/>
        </w:rPr>
        <w:tab/>
        <w:t>Instrument under Act s. 81(4)(b)</w:t>
      </w:r>
      <w:bookmarkEnd w:id="12"/>
      <w:bookmarkEnd w:id="13"/>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14" w:name="_Toc133934979"/>
      <w:bookmarkStart w:id="15" w:name="_Toc106895087"/>
      <w:r>
        <w:rPr>
          <w:rStyle w:val="CharSectno"/>
        </w:rPr>
        <w:t>8</w:t>
      </w:r>
      <w:r>
        <w:rPr>
          <w:snapToGrid w:val="0"/>
        </w:rPr>
        <w:t>.</w:t>
      </w:r>
      <w:r>
        <w:rPr>
          <w:snapToGrid w:val="0"/>
        </w:rPr>
        <w:tab/>
        <w:t>Royalty value — deductible imposts</w:t>
      </w:r>
      <w:bookmarkEnd w:id="14"/>
      <w:bookmarkEnd w:id="15"/>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6" w:name="_Toc133934980"/>
      <w:bookmarkStart w:id="17" w:name="_Toc106895088"/>
      <w:r>
        <w:rPr>
          <w:rStyle w:val="CharSectno"/>
        </w:rPr>
        <w:t>9</w:t>
      </w:r>
      <w:r>
        <w:t>.</w:t>
      </w:r>
      <w:r>
        <w:tab/>
        <w:t>Application of Geocentric Datum of Australia</w:t>
      </w:r>
      <w:bookmarkEnd w:id="16"/>
      <w:bookmarkEnd w:id="17"/>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8" w:name="_Toc133934981"/>
      <w:bookmarkStart w:id="19" w:name="_Toc106895089"/>
      <w:r>
        <w:rPr>
          <w:rStyle w:val="CharSectno"/>
        </w:rPr>
        <w:t>10</w:t>
      </w:r>
      <w:r>
        <w:t>.</w:t>
      </w:r>
      <w:r>
        <w:tab/>
        <w:t>Application of GDA to certain instruments</w:t>
      </w:r>
      <w:bookmarkEnd w:id="18"/>
      <w:bookmarkEnd w:id="19"/>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20" w:name="_Toc133934982"/>
      <w:bookmarkStart w:id="21" w:name="_Toc106895090"/>
      <w:r>
        <w:rPr>
          <w:rStyle w:val="CharSectno"/>
        </w:rPr>
        <w:t>11</w:t>
      </w:r>
      <w:r>
        <w:t>.</w:t>
      </w:r>
      <w:r>
        <w:tab/>
        <w:t>Application of Australian Geodetic Datum</w:t>
      </w:r>
      <w:bookmarkEnd w:id="20"/>
      <w:bookmarkEnd w:id="21"/>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22" w:name="_Toc133934983"/>
      <w:bookmarkStart w:id="23" w:name="_Toc106895091"/>
      <w:r>
        <w:rPr>
          <w:rStyle w:val="CharSectno"/>
        </w:rPr>
        <w:t>12</w:t>
      </w:r>
      <w:r>
        <w:t>.</w:t>
      </w:r>
      <w:r>
        <w:tab/>
        <w:t>Transitional provision: operation of r. 3</w:t>
      </w:r>
      <w:bookmarkEnd w:id="22"/>
      <w:bookmarkEnd w:id="23"/>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4" w:name="_Toc133934501"/>
      <w:bookmarkStart w:id="25" w:name="_Toc133934579"/>
      <w:bookmarkStart w:id="26" w:name="_Toc133934984"/>
      <w:bookmarkStart w:id="27" w:name="_Toc102117063"/>
      <w:bookmarkStart w:id="28" w:name="_Toc102119743"/>
      <w:bookmarkStart w:id="29" w:name="_Toc102119989"/>
      <w:bookmarkStart w:id="30" w:name="_Toc102120062"/>
      <w:bookmarkStart w:id="31" w:name="_Toc103680129"/>
      <w:bookmarkStart w:id="32" w:name="_Toc106874746"/>
      <w:bookmarkStart w:id="33" w:name="_Toc106895092"/>
      <w:bookmarkStart w:id="34" w:name="_Toc106874521"/>
      <w:r>
        <w:rPr>
          <w:rStyle w:val="CharSchNo"/>
        </w:rPr>
        <w:t>Schedule 1</w:t>
      </w:r>
      <w:r>
        <w:t> — </w:t>
      </w:r>
      <w:r>
        <w:rPr>
          <w:rStyle w:val="CharSchText"/>
        </w:rPr>
        <w:t>Prescribed fees</w:t>
      </w:r>
      <w:bookmarkEnd w:id="24"/>
      <w:bookmarkEnd w:id="25"/>
      <w:bookmarkEnd w:id="26"/>
      <w:bookmarkEnd w:id="27"/>
      <w:bookmarkEnd w:id="28"/>
      <w:bookmarkEnd w:id="29"/>
      <w:bookmarkEnd w:id="30"/>
      <w:bookmarkEnd w:id="31"/>
      <w:bookmarkEnd w:id="32"/>
      <w:bookmarkEnd w:id="33"/>
    </w:p>
    <w:p>
      <w:pPr>
        <w:pStyle w:val="yShoulderClause"/>
      </w:pPr>
      <w:r>
        <w:t>[r. 3(1)]</w:t>
      </w:r>
    </w:p>
    <w:p>
      <w:pPr>
        <w:pStyle w:val="yFootnoteheading"/>
        <w:spacing w:after="60"/>
      </w:pPr>
      <w:r>
        <w:tab/>
        <w:t>[Heading inserted: SL 2022/58 r.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cantSplit/>
          <w:tblHeader/>
          <w:jc w:val="center"/>
        </w:trPr>
        <w:tc>
          <w:tcPr>
            <w:tcW w:w="1276" w:type="dxa"/>
            <w:noWrap/>
          </w:tcPr>
          <w:p>
            <w:pPr>
              <w:pStyle w:val="yTableNAm"/>
              <w:jc w:val="center"/>
              <w:rPr>
                <w:b/>
                <w:szCs w:val="22"/>
              </w:rPr>
            </w:pPr>
            <w:r>
              <w:rPr>
                <w:b/>
                <w:szCs w:val="22"/>
              </w:rPr>
              <w:t>Column 1</w:t>
            </w:r>
            <w:r>
              <w:rPr>
                <w:b/>
                <w:szCs w:val="22"/>
              </w:rPr>
              <w:br/>
              <w:t>Item</w:t>
            </w:r>
          </w:p>
        </w:tc>
        <w:tc>
          <w:tcPr>
            <w:tcW w:w="2126" w:type="dxa"/>
            <w:noWrap/>
          </w:tcPr>
          <w:p>
            <w:pPr>
              <w:pStyle w:val="yTableNAm"/>
              <w:jc w:val="center"/>
              <w:rPr>
                <w:b/>
                <w:szCs w:val="22"/>
              </w:rPr>
            </w:pPr>
            <w:r>
              <w:rPr>
                <w:b/>
                <w:szCs w:val="22"/>
              </w:rPr>
              <w:t>Column 2</w:t>
            </w:r>
            <w:r>
              <w:rPr>
                <w:b/>
                <w:szCs w:val="22"/>
              </w:rPr>
              <w:br/>
              <w:t>Provision of Act</w:t>
            </w:r>
          </w:p>
        </w:tc>
        <w:tc>
          <w:tcPr>
            <w:tcW w:w="2835" w:type="dxa"/>
            <w:noWrap/>
          </w:tcPr>
          <w:p>
            <w:pPr>
              <w:pStyle w:val="yTableNAm"/>
              <w:jc w:val="center"/>
              <w:rPr>
                <w:b/>
                <w:szCs w:val="22"/>
              </w:rPr>
            </w:pPr>
            <w:r>
              <w:rPr>
                <w:b/>
                <w:szCs w:val="22"/>
              </w:rPr>
              <w:t>Column 3</w:t>
            </w:r>
            <w:r>
              <w:rPr>
                <w:b/>
                <w:szCs w:val="22"/>
              </w:rPr>
              <w:br/>
              <w:t>Amount of prescribed fee</w:t>
            </w:r>
            <w:r>
              <w:rPr>
                <w:b/>
                <w:szCs w:val="22"/>
              </w:rPr>
              <w:br/>
              <w:t>($)</w:t>
            </w:r>
          </w:p>
        </w:tc>
      </w:tr>
      <w:tr>
        <w:trPr>
          <w:cantSplit/>
          <w:jc w:val="center"/>
        </w:trPr>
        <w:tc>
          <w:tcPr>
            <w:tcW w:w="1276" w:type="dxa"/>
            <w:noWrap/>
          </w:tcPr>
          <w:p>
            <w:pPr>
              <w:pStyle w:val="yTableNAm"/>
              <w:rPr>
                <w:szCs w:val="22"/>
              </w:rPr>
            </w:pPr>
            <w:r>
              <w:rPr>
                <w:szCs w:val="22"/>
              </w:rPr>
              <w:t>1.</w:t>
            </w:r>
          </w:p>
        </w:tc>
        <w:tc>
          <w:tcPr>
            <w:tcW w:w="2126" w:type="dxa"/>
            <w:noWrap/>
          </w:tcPr>
          <w:p>
            <w:pPr>
              <w:pStyle w:val="yTableNAm"/>
              <w:rPr>
                <w:szCs w:val="22"/>
              </w:rPr>
            </w:pPr>
            <w:r>
              <w:rPr>
                <w:szCs w:val="22"/>
              </w:rPr>
              <w:t>s. 21(1)(f)</w:t>
            </w:r>
          </w:p>
        </w:tc>
        <w:tc>
          <w:tcPr>
            <w:tcW w:w="2835" w:type="dxa"/>
            <w:noWrap/>
          </w:tcPr>
          <w:p>
            <w:pPr>
              <w:pStyle w:val="yTableNAm"/>
              <w:ind w:right="1033"/>
              <w:jc w:val="right"/>
              <w:rPr>
                <w:szCs w:val="22"/>
              </w:rPr>
            </w:pPr>
            <w:r>
              <w:t>7 928.00</w:t>
            </w:r>
          </w:p>
        </w:tc>
      </w:tr>
      <w:tr>
        <w:trPr>
          <w:cantSplit/>
          <w:jc w:val="center"/>
        </w:trPr>
        <w:tc>
          <w:tcPr>
            <w:tcW w:w="1276" w:type="dxa"/>
            <w:noWrap/>
          </w:tcPr>
          <w:p>
            <w:pPr>
              <w:pStyle w:val="yTableNAm"/>
              <w:rPr>
                <w:szCs w:val="22"/>
              </w:rPr>
            </w:pPr>
            <w:r>
              <w:rPr>
                <w:szCs w:val="22"/>
              </w:rPr>
              <w:t>2.</w:t>
            </w:r>
          </w:p>
        </w:tc>
        <w:tc>
          <w:tcPr>
            <w:tcW w:w="2126" w:type="dxa"/>
            <w:noWrap/>
          </w:tcPr>
          <w:p>
            <w:pPr>
              <w:pStyle w:val="yTableNAm"/>
              <w:rPr>
                <w:szCs w:val="22"/>
              </w:rPr>
            </w:pPr>
            <w:r>
              <w:rPr>
                <w:szCs w:val="22"/>
              </w:rPr>
              <w:t>s. 24(1)(a)</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3.</w:t>
            </w:r>
          </w:p>
        </w:tc>
        <w:tc>
          <w:tcPr>
            <w:tcW w:w="2126" w:type="dxa"/>
            <w:noWrap/>
          </w:tcPr>
          <w:p>
            <w:pPr>
              <w:pStyle w:val="yTableNAm"/>
              <w:rPr>
                <w:szCs w:val="22"/>
              </w:rPr>
            </w:pPr>
            <w:r>
              <w:rPr>
                <w:szCs w:val="22"/>
              </w:rPr>
              <w:t>s. 30(2)(c)</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4.</w:t>
            </w:r>
          </w:p>
        </w:tc>
        <w:tc>
          <w:tcPr>
            <w:tcW w:w="2126" w:type="dxa"/>
            <w:noWrap/>
          </w:tcPr>
          <w:p>
            <w:pPr>
              <w:pStyle w:val="yTableNAm"/>
              <w:rPr>
                <w:szCs w:val="22"/>
              </w:rPr>
            </w:pPr>
            <w:r>
              <w:rPr>
                <w:szCs w:val="22"/>
              </w:rPr>
              <w:t>s. 38A(2)(e)</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5.</w:t>
            </w:r>
          </w:p>
        </w:tc>
        <w:tc>
          <w:tcPr>
            <w:tcW w:w="2126" w:type="dxa"/>
            <w:noWrap/>
          </w:tcPr>
          <w:p>
            <w:pPr>
              <w:pStyle w:val="yTableNAm"/>
              <w:rPr>
                <w:szCs w:val="22"/>
              </w:rPr>
            </w:pPr>
            <w:r>
              <w:rPr>
                <w:szCs w:val="22"/>
              </w:rPr>
              <w:t>s. 38CA(2)(d)</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6.</w:t>
            </w:r>
          </w:p>
        </w:tc>
        <w:tc>
          <w:tcPr>
            <w:tcW w:w="2126" w:type="dxa"/>
            <w:noWrap/>
          </w:tcPr>
          <w:p>
            <w:pPr>
              <w:pStyle w:val="yTableNAm"/>
              <w:rPr>
                <w:szCs w:val="22"/>
              </w:rPr>
            </w:pPr>
            <w:r>
              <w:rPr>
                <w:szCs w:val="22"/>
              </w:rPr>
              <w:t>s. 38F(2)(d)</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7.</w:t>
            </w:r>
          </w:p>
        </w:tc>
        <w:tc>
          <w:tcPr>
            <w:tcW w:w="2126" w:type="dxa"/>
            <w:noWrap/>
          </w:tcPr>
          <w:p>
            <w:pPr>
              <w:pStyle w:val="yTableNAm"/>
              <w:rPr>
                <w:szCs w:val="22"/>
              </w:rPr>
            </w:pPr>
            <w:r>
              <w:rPr>
                <w:szCs w:val="22"/>
              </w:rPr>
              <w:t>s. 41(1)(e)</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8.</w:t>
            </w:r>
          </w:p>
        </w:tc>
        <w:tc>
          <w:tcPr>
            <w:tcW w:w="2126" w:type="dxa"/>
            <w:noWrap/>
          </w:tcPr>
          <w:p>
            <w:pPr>
              <w:pStyle w:val="yTableNAm"/>
              <w:rPr>
                <w:szCs w:val="22"/>
              </w:rPr>
            </w:pPr>
            <w:r>
              <w:rPr>
                <w:szCs w:val="22"/>
              </w:rPr>
              <w:t>s. 48(1)(a)</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9.</w:t>
            </w:r>
          </w:p>
        </w:tc>
        <w:tc>
          <w:tcPr>
            <w:tcW w:w="2126" w:type="dxa"/>
            <w:noWrap/>
          </w:tcPr>
          <w:p>
            <w:pPr>
              <w:pStyle w:val="yTableNAm"/>
              <w:rPr>
                <w:szCs w:val="22"/>
              </w:rPr>
            </w:pPr>
            <w:r>
              <w:rPr>
                <w:szCs w:val="22"/>
              </w:rPr>
              <w:t>s. 51(2)(e)</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10.</w:t>
            </w:r>
          </w:p>
        </w:tc>
        <w:tc>
          <w:tcPr>
            <w:tcW w:w="2126" w:type="dxa"/>
            <w:noWrap/>
          </w:tcPr>
          <w:p>
            <w:pPr>
              <w:pStyle w:val="yTableNAm"/>
              <w:rPr>
                <w:szCs w:val="22"/>
              </w:rPr>
            </w:pPr>
            <w:r>
              <w:rPr>
                <w:szCs w:val="22"/>
              </w:rPr>
              <w:t>s. 54(2)(d)</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11.</w:t>
            </w:r>
          </w:p>
        </w:tc>
        <w:tc>
          <w:tcPr>
            <w:tcW w:w="2126" w:type="dxa"/>
            <w:noWrap/>
          </w:tcPr>
          <w:p>
            <w:pPr>
              <w:pStyle w:val="yTableNAm"/>
              <w:rPr>
                <w:szCs w:val="22"/>
              </w:rPr>
            </w:pPr>
            <w:r>
              <w:rPr>
                <w:szCs w:val="22"/>
              </w:rPr>
              <w:t>s. 60B(2)(d)</w:t>
            </w:r>
          </w:p>
        </w:tc>
        <w:tc>
          <w:tcPr>
            <w:tcW w:w="2835" w:type="dxa"/>
            <w:noWrap/>
          </w:tcPr>
          <w:p>
            <w:pPr>
              <w:pStyle w:val="yTableNAm"/>
              <w:ind w:right="1037"/>
              <w:jc w:val="right"/>
              <w:rPr>
                <w:szCs w:val="22"/>
              </w:rPr>
            </w:pPr>
            <w:r>
              <w:rPr>
                <w:szCs w:val="22"/>
              </w:rPr>
              <w:t>7 550.00</w:t>
            </w:r>
          </w:p>
        </w:tc>
      </w:tr>
      <w:tr>
        <w:trPr>
          <w:cantSplit/>
          <w:jc w:val="center"/>
        </w:trPr>
        <w:tc>
          <w:tcPr>
            <w:tcW w:w="1276" w:type="dxa"/>
            <w:noWrap/>
          </w:tcPr>
          <w:p>
            <w:pPr>
              <w:pStyle w:val="yTableNAm"/>
              <w:rPr>
                <w:szCs w:val="22"/>
              </w:rPr>
            </w:pPr>
            <w:r>
              <w:rPr>
                <w:szCs w:val="22"/>
              </w:rPr>
              <w:t>12.</w:t>
            </w:r>
          </w:p>
        </w:tc>
        <w:tc>
          <w:tcPr>
            <w:tcW w:w="2126" w:type="dxa"/>
            <w:noWrap/>
          </w:tcPr>
          <w:p>
            <w:pPr>
              <w:pStyle w:val="yTableNAm"/>
              <w:rPr>
                <w:szCs w:val="22"/>
              </w:rPr>
            </w:pPr>
            <w:r>
              <w:rPr>
                <w:szCs w:val="22"/>
              </w:rPr>
              <w:t>s. 60J(2)(d)</w:t>
            </w:r>
          </w:p>
        </w:tc>
        <w:tc>
          <w:tcPr>
            <w:tcW w:w="2835" w:type="dxa"/>
            <w:noWrap/>
          </w:tcPr>
          <w:p>
            <w:pPr>
              <w:pStyle w:val="yTableNAm"/>
              <w:ind w:right="1037"/>
              <w:jc w:val="right"/>
              <w:rPr>
                <w:szCs w:val="22"/>
              </w:rPr>
            </w:pPr>
            <w:r>
              <w:rPr>
                <w:szCs w:val="22"/>
              </w:rPr>
              <w:t>7 550.00</w:t>
            </w:r>
          </w:p>
        </w:tc>
      </w:tr>
      <w:tr>
        <w:trPr>
          <w:cantSplit/>
          <w:jc w:val="center"/>
        </w:trPr>
        <w:tc>
          <w:tcPr>
            <w:tcW w:w="1276" w:type="dxa"/>
            <w:noWrap/>
          </w:tcPr>
          <w:p>
            <w:pPr>
              <w:pStyle w:val="yTableNAm"/>
              <w:rPr>
                <w:szCs w:val="22"/>
              </w:rPr>
            </w:pPr>
            <w:r>
              <w:rPr>
                <w:szCs w:val="22"/>
              </w:rPr>
              <w:t>13.</w:t>
            </w:r>
          </w:p>
        </w:tc>
        <w:tc>
          <w:tcPr>
            <w:tcW w:w="2126" w:type="dxa"/>
            <w:noWrap/>
          </w:tcPr>
          <w:p>
            <w:pPr>
              <w:pStyle w:val="yTableNAm"/>
              <w:rPr>
                <w:szCs w:val="22"/>
              </w:rPr>
            </w:pPr>
            <w:r>
              <w:rPr>
                <w:szCs w:val="22"/>
              </w:rPr>
              <w:t>s. 64(1)(f)</w:t>
            </w:r>
          </w:p>
        </w:tc>
        <w:tc>
          <w:tcPr>
            <w:tcW w:w="2835" w:type="dxa"/>
            <w:noWrap/>
          </w:tcPr>
          <w:p>
            <w:pPr>
              <w:pStyle w:val="yTableNAm"/>
              <w:ind w:right="1037"/>
              <w:jc w:val="right"/>
              <w:rPr>
                <w:szCs w:val="22"/>
              </w:rPr>
            </w:pPr>
            <w:r>
              <w:rPr>
                <w:szCs w:val="22"/>
              </w:rPr>
              <w:t>7 928.00</w:t>
            </w:r>
          </w:p>
        </w:tc>
      </w:tr>
      <w:tr>
        <w:trPr>
          <w:cantSplit/>
          <w:jc w:val="center"/>
        </w:trPr>
        <w:tc>
          <w:tcPr>
            <w:tcW w:w="1276" w:type="dxa"/>
            <w:noWrap/>
          </w:tcPr>
          <w:p>
            <w:pPr>
              <w:pStyle w:val="yTableNAm"/>
              <w:rPr>
                <w:szCs w:val="22"/>
              </w:rPr>
            </w:pPr>
            <w:r>
              <w:rPr>
                <w:szCs w:val="22"/>
              </w:rPr>
              <w:t>14.</w:t>
            </w:r>
          </w:p>
        </w:tc>
        <w:tc>
          <w:tcPr>
            <w:tcW w:w="2126" w:type="dxa"/>
            <w:noWrap/>
          </w:tcPr>
          <w:p>
            <w:pPr>
              <w:pStyle w:val="yTableNAm"/>
              <w:rPr>
                <w:szCs w:val="22"/>
              </w:rPr>
            </w:pPr>
            <w:r>
              <w:rPr>
                <w:szCs w:val="22"/>
              </w:rPr>
              <w:t>s. 71(2)(e)</w:t>
            </w:r>
          </w:p>
        </w:tc>
        <w:tc>
          <w:tcPr>
            <w:tcW w:w="2835" w:type="dxa"/>
            <w:noWrap/>
          </w:tcPr>
          <w:p>
            <w:pPr>
              <w:pStyle w:val="yTableNAm"/>
              <w:ind w:right="1037"/>
              <w:jc w:val="right"/>
              <w:rPr>
                <w:szCs w:val="22"/>
              </w:rPr>
            </w:pPr>
            <w:r>
              <w:rPr>
                <w:szCs w:val="22"/>
              </w:rPr>
              <w:t>7 928.00</w:t>
            </w:r>
          </w:p>
        </w:tc>
      </w:tr>
      <w:tr>
        <w:trPr>
          <w:cantSplit/>
          <w:jc w:val="center"/>
        </w:trPr>
        <w:tc>
          <w:tcPr>
            <w:tcW w:w="1276" w:type="dxa"/>
            <w:noWrap/>
          </w:tcPr>
          <w:p>
            <w:pPr>
              <w:pStyle w:val="yTableNAm"/>
              <w:rPr>
                <w:szCs w:val="22"/>
              </w:rPr>
            </w:pPr>
            <w:r>
              <w:rPr>
                <w:szCs w:val="22"/>
              </w:rPr>
              <w:t>15.</w:t>
            </w:r>
          </w:p>
        </w:tc>
        <w:tc>
          <w:tcPr>
            <w:tcW w:w="2126" w:type="dxa"/>
            <w:noWrap/>
          </w:tcPr>
          <w:p>
            <w:pPr>
              <w:pStyle w:val="yTableNAm"/>
              <w:rPr>
                <w:szCs w:val="22"/>
              </w:rPr>
            </w:pPr>
            <w:r>
              <w:rPr>
                <w:szCs w:val="22"/>
              </w:rPr>
              <w:t>s. 79(2)</w:t>
            </w:r>
          </w:p>
        </w:tc>
        <w:tc>
          <w:tcPr>
            <w:tcW w:w="2835" w:type="dxa"/>
            <w:noWrap/>
          </w:tcPr>
          <w:p>
            <w:pPr>
              <w:pStyle w:val="yTableNAm"/>
              <w:ind w:right="1037"/>
              <w:jc w:val="right"/>
              <w:rPr>
                <w:szCs w:val="22"/>
              </w:rPr>
            </w:pPr>
            <w:r>
              <w:rPr>
                <w:szCs w:val="22"/>
              </w:rPr>
              <w:t>149.00</w:t>
            </w:r>
          </w:p>
        </w:tc>
      </w:tr>
      <w:tr>
        <w:trPr>
          <w:cantSplit/>
          <w:jc w:val="center"/>
        </w:trPr>
        <w:tc>
          <w:tcPr>
            <w:tcW w:w="1276" w:type="dxa"/>
            <w:noWrap/>
          </w:tcPr>
          <w:p>
            <w:pPr>
              <w:pStyle w:val="yTableNAm"/>
              <w:rPr>
                <w:szCs w:val="22"/>
              </w:rPr>
            </w:pPr>
            <w:r>
              <w:rPr>
                <w:szCs w:val="22"/>
              </w:rPr>
              <w:t>16.</w:t>
            </w:r>
          </w:p>
        </w:tc>
        <w:tc>
          <w:tcPr>
            <w:tcW w:w="2126" w:type="dxa"/>
            <w:noWrap/>
          </w:tcPr>
          <w:p>
            <w:pPr>
              <w:pStyle w:val="yTableNAm"/>
              <w:rPr>
                <w:szCs w:val="22"/>
              </w:rPr>
            </w:pPr>
            <w:r>
              <w:rPr>
                <w:szCs w:val="22"/>
              </w:rPr>
              <w:t>s. 79(3)(b)</w:t>
            </w:r>
          </w:p>
        </w:tc>
        <w:tc>
          <w:tcPr>
            <w:tcW w:w="2835" w:type="dxa"/>
            <w:noWrap/>
          </w:tcPr>
          <w:p>
            <w:pPr>
              <w:pStyle w:val="yTableNAm"/>
              <w:ind w:right="1037"/>
              <w:jc w:val="right"/>
              <w:rPr>
                <w:szCs w:val="22"/>
              </w:rPr>
            </w:pPr>
            <w:r>
              <w:rPr>
                <w:szCs w:val="22"/>
              </w:rPr>
              <w:t>142.00</w:t>
            </w:r>
          </w:p>
        </w:tc>
      </w:tr>
      <w:tr>
        <w:trPr>
          <w:cantSplit/>
          <w:jc w:val="center"/>
        </w:trPr>
        <w:tc>
          <w:tcPr>
            <w:tcW w:w="1276" w:type="dxa"/>
            <w:noWrap/>
          </w:tcPr>
          <w:p>
            <w:pPr>
              <w:pStyle w:val="yTableNAm"/>
              <w:rPr>
                <w:szCs w:val="22"/>
              </w:rPr>
            </w:pPr>
            <w:r>
              <w:rPr>
                <w:szCs w:val="22"/>
              </w:rPr>
              <w:t>17.</w:t>
            </w:r>
          </w:p>
        </w:tc>
        <w:tc>
          <w:tcPr>
            <w:tcW w:w="2126" w:type="dxa"/>
            <w:noWrap/>
          </w:tcPr>
          <w:p>
            <w:pPr>
              <w:pStyle w:val="yTableNAm"/>
              <w:rPr>
                <w:szCs w:val="22"/>
              </w:rPr>
            </w:pPr>
            <w:r>
              <w:rPr>
                <w:szCs w:val="22"/>
              </w:rPr>
              <w:t>s. 86(1)</w:t>
            </w:r>
          </w:p>
        </w:tc>
        <w:tc>
          <w:tcPr>
            <w:tcW w:w="2835" w:type="dxa"/>
            <w:noWrap/>
          </w:tcPr>
          <w:p>
            <w:pPr>
              <w:pStyle w:val="yTableNAm"/>
              <w:ind w:right="1037"/>
              <w:jc w:val="right"/>
              <w:rPr>
                <w:szCs w:val="22"/>
              </w:rPr>
            </w:pPr>
            <w:r>
              <w:rPr>
                <w:szCs w:val="22"/>
              </w:rPr>
              <w:t>142.00</w:t>
            </w:r>
          </w:p>
        </w:tc>
      </w:tr>
      <w:tr>
        <w:trPr>
          <w:cantSplit/>
          <w:jc w:val="center"/>
        </w:trPr>
        <w:tc>
          <w:tcPr>
            <w:tcW w:w="1276" w:type="dxa"/>
            <w:noWrap/>
          </w:tcPr>
          <w:p>
            <w:pPr>
              <w:pStyle w:val="yTableNAm"/>
              <w:rPr>
                <w:szCs w:val="22"/>
              </w:rPr>
            </w:pPr>
            <w:r>
              <w:rPr>
                <w:szCs w:val="22"/>
              </w:rPr>
              <w:t>18.</w:t>
            </w:r>
          </w:p>
        </w:tc>
        <w:tc>
          <w:tcPr>
            <w:tcW w:w="2126" w:type="dxa"/>
            <w:noWrap/>
          </w:tcPr>
          <w:p>
            <w:pPr>
              <w:pStyle w:val="yTableNAm"/>
              <w:rPr>
                <w:szCs w:val="22"/>
              </w:rPr>
            </w:pPr>
            <w:r>
              <w:rPr>
                <w:szCs w:val="22"/>
              </w:rPr>
              <w:t>s. 87(3)</w:t>
            </w:r>
          </w:p>
        </w:tc>
        <w:tc>
          <w:tcPr>
            <w:tcW w:w="2835" w:type="dxa"/>
            <w:noWrap/>
          </w:tcPr>
          <w:p>
            <w:pPr>
              <w:pStyle w:val="yTableNAm"/>
              <w:ind w:right="1037"/>
              <w:jc w:val="right"/>
              <w:rPr>
                <w:szCs w:val="22"/>
              </w:rPr>
            </w:pPr>
            <w:r>
              <w:rPr>
                <w:szCs w:val="22"/>
              </w:rPr>
              <w:t>142.00</w:t>
            </w:r>
          </w:p>
        </w:tc>
      </w:tr>
      <w:tr>
        <w:trPr>
          <w:cantSplit/>
          <w:jc w:val="center"/>
        </w:trPr>
        <w:tc>
          <w:tcPr>
            <w:tcW w:w="1276" w:type="dxa"/>
            <w:noWrap/>
          </w:tcPr>
          <w:p>
            <w:pPr>
              <w:pStyle w:val="yTableNAm"/>
              <w:rPr>
                <w:szCs w:val="22"/>
              </w:rPr>
            </w:pPr>
            <w:r>
              <w:rPr>
                <w:szCs w:val="22"/>
              </w:rPr>
              <w:t>19.</w:t>
            </w:r>
          </w:p>
        </w:tc>
        <w:tc>
          <w:tcPr>
            <w:tcW w:w="2126" w:type="dxa"/>
            <w:noWrap/>
          </w:tcPr>
          <w:p>
            <w:pPr>
              <w:pStyle w:val="yTableNAm"/>
              <w:rPr>
                <w:szCs w:val="22"/>
              </w:rPr>
            </w:pPr>
            <w:r>
              <w:rPr>
                <w:szCs w:val="22"/>
              </w:rPr>
              <w:t>s. 111(2)(d)</w:t>
            </w:r>
          </w:p>
        </w:tc>
        <w:tc>
          <w:tcPr>
            <w:tcW w:w="2835" w:type="dxa"/>
            <w:noWrap/>
          </w:tcPr>
          <w:p>
            <w:pPr>
              <w:pStyle w:val="yTableNAm"/>
              <w:ind w:right="1037"/>
              <w:jc w:val="right"/>
              <w:rPr>
                <w:szCs w:val="22"/>
              </w:rPr>
            </w:pPr>
            <w:r>
              <w:rPr>
                <w:szCs w:val="22"/>
              </w:rPr>
              <w:t>7 928.00</w:t>
            </w:r>
          </w:p>
        </w:tc>
      </w:tr>
      <w:tr>
        <w:trPr>
          <w:cantSplit/>
          <w:jc w:val="center"/>
        </w:trPr>
        <w:tc>
          <w:tcPr>
            <w:tcW w:w="1276" w:type="dxa"/>
            <w:noWrap/>
          </w:tcPr>
          <w:p>
            <w:pPr>
              <w:pStyle w:val="yTableNAm"/>
              <w:rPr>
                <w:szCs w:val="22"/>
              </w:rPr>
            </w:pPr>
            <w:r>
              <w:rPr>
                <w:szCs w:val="22"/>
              </w:rPr>
              <w:t>20.</w:t>
            </w:r>
          </w:p>
        </w:tc>
        <w:tc>
          <w:tcPr>
            <w:tcW w:w="2126" w:type="dxa"/>
            <w:noWrap/>
          </w:tcPr>
          <w:p>
            <w:pPr>
              <w:pStyle w:val="yTableNAm"/>
              <w:rPr>
                <w:szCs w:val="22"/>
              </w:rPr>
            </w:pPr>
            <w:r>
              <w:rPr>
                <w:szCs w:val="22"/>
              </w:rPr>
              <w:t>s. 141</w:t>
            </w:r>
          </w:p>
        </w:tc>
        <w:tc>
          <w:tcPr>
            <w:tcW w:w="2835" w:type="dxa"/>
            <w:noWrap/>
          </w:tcPr>
          <w:p>
            <w:pPr>
              <w:pStyle w:val="yTableNAm"/>
              <w:ind w:right="1037"/>
              <w:jc w:val="right"/>
              <w:rPr>
                <w:szCs w:val="22"/>
              </w:rPr>
            </w:pPr>
            <w:r>
              <w:rPr>
                <w:szCs w:val="22"/>
              </w:rPr>
              <w:t>228.00</w:t>
            </w:r>
          </w:p>
        </w:tc>
      </w:tr>
    </w:tbl>
    <w:p>
      <w:pPr>
        <w:pStyle w:val="yFootnotesection"/>
      </w:pPr>
      <w:r>
        <w:tab/>
        <w:t>[Schedule 1 inserted: SL 2022/58 r. 27.]</w:t>
      </w:r>
    </w:p>
    <w:bookmarkEnd w:id="34"/>
    <w:p>
      <w:pPr>
        <w:pStyle w:val="yFootnotesection"/>
      </w:pP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36" w:name="_Toc133934502"/>
      <w:bookmarkStart w:id="37" w:name="_Toc133934580"/>
      <w:bookmarkStart w:id="38" w:name="_Toc133934985"/>
      <w:bookmarkStart w:id="39" w:name="_Toc106874522"/>
      <w:bookmarkStart w:id="40" w:name="_Toc106874747"/>
      <w:bookmarkStart w:id="41" w:name="_Toc106895093"/>
      <w:r>
        <w:rPr>
          <w:rStyle w:val="CharSchNo"/>
        </w:rPr>
        <w:t>Schedule 2</w:t>
      </w:r>
      <w:bookmarkEnd w:id="36"/>
      <w:bookmarkEnd w:id="37"/>
      <w:bookmarkEnd w:id="38"/>
      <w:bookmarkEnd w:id="39"/>
      <w:bookmarkEnd w:id="40"/>
      <w:bookmarkEnd w:id="41"/>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544" w:gutter="0"/>
          <w:cols w:space="720"/>
          <w:noEndnote/>
          <w:docGrid w:linePitch="326"/>
        </w:sectPr>
      </w:pPr>
    </w:p>
    <w:p>
      <w:pPr>
        <w:pStyle w:val="nHeading2"/>
      </w:pPr>
      <w:bookmarkStart w:id="42" w:name="_Toc133934503"/>
      <w:bookmarkStart w:id="43" w:name="_Toc133934581"/>
      <w:bookmarkStart w:id="44" w:name="_Toc133934986"/>
      <w:bookmarkStart w:id="45" w:name="_Toc106874523"/>
      <w:bookmarkStart w:id="46" w:name="_Toc106874748"/>
      <w:bookmarkStart w:id="47" w:name="_Toc106895094"/>
      <w:r>
        <w:t>Notes</w:t>
      </w:r>
      <w:bookmarkEnd w:id="42"/>
      <w:bookmarkEnd w:id="43"/>
      <w:bookmarkEnd w:id="44"/>
      <w:bookmarkEnd w:id="45"/>
      <w:bookmarkEnd w:id="46"/>
      <w:bookmarkEnd w:id="47"/>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w:t>
      </w:r>
      <w:ins w:id="48" w:author="Master Repository Process" w:date="2023-05-05T06:48:00Z">
        <w:r>
          <w:t xml:space="preserve"> For provisions that have not yet come into operation see the uncommenced provisions table.</w:t>
        </w:r>
      </w:ins>
    </w:p>
    <w:p>
      <w:pPr>
        <w:pStyle w:val="nHeading3"/>
      </w:pPr>
      <w:bookmarkStart w:id="49" w:name="_Toc133934987"/>
      <w:bookmarkStart w:id="50" w:name="_Toc106895095"/>
      <w:r>
        <w:t>Compilation table</w:t>
      </w:r>
      <w:bookmarkEnd w:id="49"/>
      <w:bookmarkEnd w:id="50"/>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2022</w:t>
            </w:r>
            <w:r>
              <w:t xml:space="preserve"> Pt. 11</w:t>
            </w:r>
          </w:p>
        </w:tc>
        <w:tc>
          <w:tcPr>
            <w:tcW w:w="1276" w:type="dxa"/>
            <w:tcBorders>
              <w:top w:val="nil"/>
              <w:bottom w:val="single" w:sz="4" w:space="0" w:color="auto"/>
            </w:tcBorders>
          </w:tcPr>
          <w:p>
            <w:pPr>
              <w:pStyle w:val="nTable"/>
              <w:spacing w:after="40"/>
            </w:pPr>
            <w:r>
              <w:t>SL 2022/58 20 May 2022</w:t>
            </w:r>
          </w:p>
        </w:tc>
        <w:tc>
          <w:tcPr>
            <w:tcW w:w="2730" w:type="dxa"/>
            <w:gridSpan w:val="2"/>
            <w:tcBorders>
              <w:top w:val="nil"/>
              <w:bottom w:val="single" w:sz="4" w:space="0" w:color="auto"/>
            </w:tcBorders>
          </w:tcPr>
          <w:p>
            <w:pPr>
              <w:pStyle w:val="nTable"/>
              <w:spacing w:after="40"/>
            </w:pPr>
            <w:r>
              <w:t>1 Jul 2022 (see r. 2(b))</w:t>
            </w:r>
          </w:p>
        </w:tc>
      </w:tr>
    </w:tbl>
    <w:p>
      <w:pPr>
        <w:pStyle w:val="nHeading3"/>
        <w:rPr>
          <w:ins w:id="51" w:author="Master Repository Process" w:date="2023-05-05T06:48:00Z"/>
        </w:rPr>
      </w:pPr>
      <w:bookmarkStart w:id="52" w:name="_Toc133934988"/>
      <w:ins w:id="53" w:author="Master Repository Process" w:date="2023-05-05T06:48:00Z">
        <w:r>
          <w:t>Uncommenced provisions table</w:t>
        </w:r>
        <w:bookmarkEnd w:id="52"/>
      </w:ins>
    </w:p>
    <w:p>
      <w:pPr>
        <w:pStyle w:val="nStatement"/>
        <w:keepNext/>
        <w:spacing w:after="240"/>
        <w:rPr>
          <w:ins w:id="54" w:author="Master Repository Process" w:date="2023-05-05T06:48:00Z"/>
        </w:rPr>
      </w:pPr>
      <w:ins w:id="55" w:author="Master Repository Process" w:date="2023-05-05T06:4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6" w:author="Master Repository Process" w:date="2023-05-05T06:48:00Z"/>
        </w:trPr>
        <w:tc>
          <w:tcPr>
            <w:tcW w:w="3118" w:type="dxa"/>
          </w:tcPr>
          <w:p>
            <w:pPr>
              <w:pStyle w:val="nTable"/>
              <w:spacing w:after="40"/>
              <w:rPr>
                <w:ins w:id="57" w:author="Master Repository Process" w:date="2023-05-05T06:48:00Z"/>
                <w:b/>
              </w:rPr>
            </w:pPr>
            <w:ins w:id="58" w:author="Master Repository Process" w:date="2023-05-05T06:48:00Z">
              <w:r>
                <w:rPr>
                  <w:b/>
                </w:rPr>
                <w:t>Citation</w:t>
              </w:r>
            </w:ins>
          </w:p>
        </w:tc>
        <w:tc>
          <w:tcPr>
            <w:tcW w:w="1276" w:type="dxa"/>
          </w:tcPr>
          <w:p>
            <w:pPr>
              <w:pStyle w:val="nTable"/>
              <w:spacing w:after="40"/>
              <w:rPr>
                <w:ins w:id="59" w:author="Master Repository Process" w:date="2023-05-05T06:48:00Z"/>
                <w:b/>
              </w:rPr>
            </w:pPr>
            <w:ins w:id="60" w:author="Master Repository Process" w:date="2023-05-05T06:48:00Z">
              <w:r>
                <w:rPr>
                  <w:b/>
                </w:rPr>
                <w:t>Published</w:t>
              </w:r>
            </w:ins>
          </w:p>
        </w:tc>
        <w:tc>
          <w:tcPr>
            <w:tcW w:w="2693" w:type="dxa"/>
          </w:tcPr>
          <w:p>
            <w:pPr>
              <w:pStyle w:val="nTable"/>
              <w:spacing w:after="40"/>
              <w:rPr>
                <w:ins w:id="61" w:author="Master Repository Process" w:date="2023-05-05T06:48:00Z"/>
                <w:b/>
              </w:rPr>
            </w:pPr>
            <w:ins w:id="62" w:author="Master Repository Process" w:date="2023-05-05T06:48:00Z">
              <w:r>
                <w:rPr>
                  <w:b/>
                </w:rPr>
                <w:t>Commencement</w:t>
              </w:r>
            </w:ins>
          </w:p>
        </w:tc>
      </w:tr>
      <w:tr>
        <w:trPr>
          <w:ins w:id="63" w:author="Master Repository Process" w:date="2023-05-05T06:48:00Z"/>
        </w:trPr>
        <w:tc>
          <w:tcPr>
            <w:tcW w:w="3118" w:type="dxa"/>
          </w:tcPr>
          <w:p>
            <w:pPr>
              <w:pStyle w:val="nTable"/>
              <w:spacing w:after="40"/>
              <w:rPr>
                <w:ins w:id="64" w:author="Master Repository Process" w:date="2023-05-05T06:48:00Z"/>
              </w:rPr>
            </w:pPr>
            <w:ins w:id="65" w:author="Master Repository Process" w:date="2023-05-05T06:48:00Z">
              <w:r>
                <w:rPr>
                  <w:i/>
                </w:rPr>
                <w:t>Mines and Petroleum Regulations Amendment (Fees and Charges) Regulations 2023</w:t>
              </w:r>
              <w:r>
                <w:t xml:space="preserve"> Pt. 13</w:t>
              </w:r>
            </w:ins>
          </w:p>
        </w:tc>
        <w:tc>
          <w:tcPr>
            <w:tcW w:w="1276" w:type="dxa"/>
          </w:tcPr>
          <w:p>
            <w:pPr>
              <w:pStyle w:val="nTable"/>
              <w:spacing w:after="40"/>
              <w:rPr>
                <w:ins w:id="66" w:author="Master Repository Process" w:date="2023-05-05T06:48:00Z"/>
              </w:rPr>
            </w:pPr>
            <w:ins w:id="67" w:author="Master Repository Process" w:date="2023-05-05T06:48:00Z">
              <w:r>
                <w:t>SL 2023/36 5 May 2023</w:t>
              </w:r>
            </w:ins>
          </w:p>
        </w:tc>
        <w:tc>
          <w:tcPr>
            <w:tcW w:w="2693" w:type="dxa"/>
          </w:tcPr>
          <w:p>
            <w:pPr>
              <w:pStyle w:val="nTable"/>
              <w:spacing w:after="40"/>
              <w:rPr>
                <w:ins w:id="68" w:author="Master Repository Process" w:date="2023-05-05T06:48:00Z"/>
              </w:rPr>
            </w:pPr>
            <w:ins w:id="69" w:author="Master Repository Process" w:date="2023-05-05T06:48:00Z">
              <w:r>
                <w:t>1 Jul 2023 (see r. 2(b))</w:t>
              </w:r>
            </w:ins>
          </w:p>
        </w:tc>
      </w:tr>
    </w:tbl>
    <w:p>
      <w:pPr>
        <w:pStyle w:val="nHeading3"/>
      </w:pPr>
      <w:bookmarkStart w:id="70" w:name="_Toc133934989"/>
      <w:bookmarkStart w:id="71" w:name="_Toc106895096"/>
      <w:r>
        <w:t>Other notes</w:t>
      </w:r>
      <w:bookmarkEnd w:id="70"/>
      <w:bookmarkEnd w:id="71"/>
    </w:p>
    <w:p>
      <w:pPr>
        <w:pStyle w:val="nNote"/>
        <w:spacing w:before="160"/>
      </w:pPr>
      <w:r>
        <w:rPr>
          <w:vertAlign w:val="superscript"/>
        </w:rPr>
        <w:t>1</w:t>
      </w:r>
      <w:r>
        <w:tab/>
        <w:t xml:space="preserve">Commencement day was 16 December 2000 (see </w:t>
      </w:r>
      <w:r>
        <w:rPr>
          <w:i/>
        </w:rPr>
        <w:t>Gazette</w:t>
      </w:r>
      <w:r>
        <w:t xml:space="preserve"> 15 Dec 2000 p. 7201).</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52733"/>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7D466-E23C-4CB0-8257-FA16B929E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3223</Words>
  <Characters>15729</Characters>
  <Application>Microsoft Office Word</Application>
  <DocSecurity>0</DocSecurity>
  <Lines>604</Lines>
  <Paragraphs>394</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03-l0-00 - 03-m0-00</dc:title>
  <dc:subject/>
  <dc:creator/>
  <cp:keywords/>
  <dc:description/>
  <cp:lastModifiedBy>Master Repository Process</cp:lastModifiedBy>
  <cp:revision>2</cp:revision>
  <cp:lastPrinted>2014-11-25T02:07:00Z</cp:lastPrinted>
  <dcterms:created xsi:type="dcterms:W3CDTF">2023-05-04T22:48:00Z</dcterms:created>
  <dcterms:modified xsi:type="dcterms:W3CDTF">2023-05-04T22:48:00Z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20230505</vt:lpwstr>
  </property>
  <property fmtid="{D5CDD505-2E9C-101B-9397-08002B2CF9AE}" pid="8" name="FromSuffix">
    <vt:lpwstr>03-l0-00</vt:lpwstr>
  </property>
  <property fmtid="{D5CDD505-2E9C-101B-9397-08002B2CF9AE}" pid="9" name="FromAsAtDate">
    <vt:lpwstr>01 Jul 2022</vt:lpwstr>
  </property>
  <property fmtid="{D5CDD505-2E9C-101B-9397-08002B2CF9AE}" pid="10" name="ToSuffix">
    <vt:lpwstr>03-m0-00</vt:lpwstr>
  </property>
  <property fmtid="{D5CDD505-2E9C-101B-9397-08002B2CF9AE}" pid="11" name="ToAsAtDate">
    <vt:lpwstr>05 May 2023</vt:lpwstr>
  </property>
</Properties>
</file>