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2021</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1" w:name="_Toc135138480"/>
      <w:bookmarkStart w:id="2" w:name="_Toc135138627"/>
      <w:bookmarkStart w:id="3" w:name="_Toc135213589"/>
      <w:bookmarkStart w:id="4" w:name="_Toc85612847"/>
      <w:bookmarkStart w:id="5" w:name="_Toc85621226"/>
      <w:r>
        <w:rPr>
          <w:rStyle w:val="CharPartNo"/>
        </w:rPr>
        <w:t>P</w:t>
      </w:r>
      <w:bookmarkStart w:id="6" w:name="_GoBack"/>
      <w:bookmarkEnd w:id="6"/>
      <w:r>
        <w:rPr>
          <w:rStyle w:val="CharPartNo"/>
        </w:rPr>
        <w:t>art 1</w:t>
      </w:r>
      <w:r>
        <w:t> — </w:t>
      </w:r>
      <w:r>
        <w:rPr>
          <w:rStyle w:val="CharPartText"/>
        </w:rPr>
        <w:t>Preliminary</w:t>
      </w:r>
      <w:bookmarkEnd w:id="1"/>
      <w:bookmarkEnd w:id="2"/>
      <w:bookmarkEnd w:id="3"/>
      <w:bookmarkEnd w:id="4"/>
      <w:bookmarkEnd w:id="5"/>
    </w:p>
    <w:p>
      <w:pPr>
        <w:pStyle w:val="Footnoteheading"/>
      </w:pPr>
      <w:r>
        <w:tab/>
        <w:t>[Heading inserted: SL 2021/178 r. 4.]</w:t>
      </w:r>
    </w:p>
    <w:p>
      <w:pPr>
        <w:pStyle w:val="Heading5"/>
      </w:pPr>
      <w:bookmarkStart w:id="7" w:name="_Toc135213590"/>
      <w:bookmarkStart w:id="8" w:name="_Toc85621227"/>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9" w:name="_Toc135213591"/>
      <w:bookmarkStart w:id="10" w:name="_Toc85621228"/>
      <w:r>
        <w:rPr>
          <w:rStyle w:val="CharSectno"/>
        </w:rPr>
        <w:t>2</w:t>
      </w:r>
      <w:r>
        <w:rPr>
          <w:spacing w:val="-2"/>
        </w:rPr>
        <w:t>.</w:t>
      </w:r>
      <w:r>
        <w:rPr>
          <w:spacing w:val="-2"/>
        </w:rPr>
        <w:tab/>
        <w:t>Commencement</w:t>
      </w:r>
      <w:bookmarkEnd w:id="9"/>
      <w:bookmarkEnd w:id="10"/>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11" w:name="_Toc135213592"/>
      <w:bookmarkStart w:id="12" w:name="_Toc85621229"/>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13" w:name="_Toc135138484"/>
      <w:bookmarkStart w:id="14" w:name="_Toc135138631"/>
      <w:bookmarkStart w:id="15" w:name="_Toc135213593"/>
      <w:bookmarkStart w:id="16" w:name="_Toc85612851"/>
      <w:bookmarkStart w:id="17" w:name="_Toc85621230"/>
      <w:r>
        <w:rPr>
          <w:rStyle w:val="CharPartNo"/>
        </w:rPr>
        <w:t>Part 2</w:t>
      </w:r>
      <w:r>
        <w:t> — </w:t>
      </w:r>
      <w:r>
        <w:rPr>
          <w:rStyle w:val="CharPartText"/>
        </w:rPr>
        <w:t>General matters</w:t>
      </w:r>
      <w:bookmarkEnd w:id="13"/>
      <w:bookmarkEnd w:id="14"/>
      <w:bookmarkEnd w:id="15"/>
      <w:bookmarkEnd w:id="16"/>
      <w:bookmarkEnd w:id="17"/>
    </w:p>
    <w:p>
      <w:pPr>
        <w:pStyle w:val="Footnoteheading"/>
      </w:pPr>
      <w:r>
        <w:tab/>
        <w:t>[Heading inserted: SL 2021/178 r. 5.]</w:t>
      </w:r>
    </w:p>
    <w:p>
      <w:pPr>
        <w:pStyle w:val="Heading5"/>
      </w:pPr>
      <w:bookmarkStart w:id="18" w:name="_Toc135213594"/>
      <w:bookmarkStart w:id="19" w:name="_Toc85621231"/>
      <w:r>
        <w:rPr>
          <w:rStyle w:val="CharSectno"/>
        </w:rPr>
        <w:t>4</w:t>
      </w:r>
      <w:r>
        <w:t>.</w:t>
      </w:r>
      <w:r>
        <w:tab/>
        <w:t>Intentionally sown, planted or propagated vegetation (s. 51A)</w:t>
      </w:r>
      <w:bookmarkEnd w:id="18"/>
      <w:bookmarkEnd w:id="19"/>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20" w:name="_Toc135213595"/>
      <w:bookmarkStart w:id="21" w:name="_Toc85621232"/>
      <w:r>
        <w:rPr>
          <w:rStyle w:val="CharSectno"/>
        </w:rPr>
        <w:t>5</w:t>
      </w:r>
      <w:r>
        <w:t>.</w:t>
      </w:r>
      <w:r>
        <w:tab/>
        <w:t>Prescribed clearing (s. 51C)</w:t>
      </w:r>
      <w:bookmarkEnd w:id="20"/>
      <w:bookmarkEnd w:id="21"/>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The owner of the land on which the 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pPr>
            <w:r>
              <w:t>5</w:t>
            </w:r>
          </w:p>
        </w:tc>
        <w:tc>
          <w:tcPr>
            <w:tcW w:w="3827" w:type="dxa"/>
            <w:tcBorders>
              <w:top w:val="dotted" w:sz="4" w:space="0" w:color="auto"/>
            </w:tcBorders>
          </w:tcPr>
          <w:p>
            <w:pPr>
              <w:pStyle w:val="TableNAm"/>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pPr>
          </w:p>
        </w:tc>
        <w:tc>
          <w:tcPr>
            <w:tcW w:w="3827" w:type="dxa"/>
          </w:tcPr>
          <w:p>
            <w:pPr>
              <w:pStyle w:val="TableNAm"/>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pPr>
          </w:p>
        </w:tc>
        <w:tc>
          <w:tcPr>
            <w:tcW w:w="3827" w:type="dxa"/>
          </w:tcPr>
          <w:p>
            <w:pPr>
              <w:pStyle w:val="TableNAm"/>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10</w:t>
            </w:r>
          </w:p>
        </w:tc>
        <w:tc>
          <w:tcPr>
            <w:tcW w:w="3827" w:type="dxa"/>
            <w:tcBorders>
              <w:top w:val="dotted" w:sz="4" w:space="0" w:color="auto"/>
            </w:tcBorders>
          </w:tcPr>
          <w:p>
            <w:pPr>
              <w:pStyle w:val="TableNAm"/>
              <w:rPr>
                <w:b/>
              </w:rPr>
            </w:pPr>
            <w:r>
              <w:rPr>
                <w:b/>
              </w:rPr>
              <w:t>Clearing along a fence line – alienated land</w:t>
            </w:r>
          </w:p>
        </w:tc>
        <w:tc>
          <w:tcPr>
            <w:tcW w:w="2160" w:type="dxa"/>
            <w:tcBorders>
              <w:top w:val="dotted" w:sz="4" w:space="0" w:color="auto"/>
            </w:tcBorders>
          </w:tcPr>
          <w:p>
            <w:pPr>
              <w:pStyle w:val="TableNAm"/>
            </w:pPr>
          </w:p>
        </w:tc>
      </w:tr>
      <w:tr>
        <w:trPr>
          <w:trHeight w:val="856"/>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keepNext/>
            </w:pPr>
            <w:r>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12</w:t>
            </w:r>
          </w:p>
        </w:tc>
        <w:tc>
          <w:tcPr>
            <w:tcW w:w="3827" w:type="dxa"/>
            <w:tcBorders>
              <w:top w:val="dotted" w:sz="4" w:space="0" w:color="auto"/>
            </w:tcBorders>
          </w:tcPr>
          <w:p>
            <w:pPr>
              <w:pStyle w:val="TableNAm"/>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pPr>
          </w:p>
        </w:tc>
        <w:tc>
          <w:tcPr>
            <w:tcW w:w="3827" w:type="dxa"/>
          </w:tcPr>
          <w:p>
            <w:pPr>
              <w:pStyle w:val="TableNAm"/>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14</w:t>
            </w:r>
          </w:p>
        </w:tc>
        <w:tc>
          <w:tcPr>
            <w:tcW w:w="3827" w:type="dxa"/>
            <w:tcBorders>
              <w:top w:val="dotted" w:sz="4" w:space="0" w:color="auto"/>
            </w:tcBorders>
          </w:tcPr>
          <w:p>
            <w:pPr>
              <w:pStyle w:val="TableNAm"/>
              <w:rPr>
                <w:b/>
              </w:rPr>
            </w:pPr>
            <w:r>
              <w:rPr>
                <w:b/>
              </w:rPr>
              <w:t>Clearing to maintain existing cleared areas for pasture, cultivation or forestry</w:t>
            </w:r>
          </w:p>
        </w:tc>
        <w:tc>
          <w:tcPr>
            <w:tcW w:w="2160" w:type="dxa"/>
            <w:tcBorders>
              <w:top w:val="dotted" w:sz="4" w:space="0" w:color="auto"/>
            </w:tcBorders>
          </w:tcPr>
          <w:p>
            <w:pPr>
              <w:pStyle w:val="TableNAm"/>
            </w:pPr>
          </w:p>
        </w:tc>
      </w:tr>
      <w:tr>
        <w:trPr>
          <w:cantSplit/>
          <w:trHeight w:val="1680"/>
        </w:trPr>
        <w:tc>
          <w:tcPr>
            <w:tcW w:w="709" w:type="dxa"/>
            <w:tcBorders>
              <w:bottom w:val="nil"/>
            </w:tcBorders>
          </w:tcPr>
          <w:p>
            <w:pPr>
              <w:pStyle w:val="TableNAm"/>
            </w:pPr>
          </w:p>
        </w:tc>
        <w:tc>
          <w:tcPr>
            <w:tcW w:w="3827" w:type="dxa"/>
            <w:tcBorders>
              <w:bottom w:val="nil"/>
            </w:tcBorders>
          </w:tcPr>
          <w:p>
            <w:pPr>
              <w:pStyle w:val="TableNAm"/>
            </w:pPr>
            <w:r>
              <w:t xml:space="preserve">Clearing of land that was lawfully cleared within the 20 years prior to the clearing if — </w:t>
            </w:r>
          </w:p>
          <w:p>
            <w:pPr>
              <w:pStyle w:val="TableNAm"/>
              <w:ind w:left="567" w:hanging="567"/>
            </w:pPr>
            <w:r>
              <w:t>(a)</w:t>
            </w:r>
            <w:r>
              <w:tab/>
              <w:t>the land has been used as pasture or for cultivation or forestry within those 20 years; and</w:t>
            </w:r>
          </w:p>
        </w:tc>
        <w:tc>
          <w:tcPr>
            <w:tcW w:w="2160" w:type="dxa"/>
            <w:tcBorders>
              <w:bottom w:val="nil"/>
            </w:tcBorders>
          </w:tcPr>
          <w:p>
            <w:pPr>
              <w:pStyle w:val="TableNAm"/>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pPr>
            <w:r>
              <w:t>16</w:t>
            </w:r>
          </w:p>
        </w:tc>
        <w:tc>
          <w:tcPr>
            <w:tcW w:w="3827" w:type="dxa"/>
            <w:tcBorders>
              <w:top w:val="dotted" w:sz="4" w:space="0" w:color="auto"/>
            </w:tcBorders>
          </w:tcPr>
          <w:p>
            <w:pPr>
              <w:pStyle w:val="TableNAm"/>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pPr>
            <w:r>
              <w:t>26</w:t>
            </w:r>
          </w:p>
        </w:tc>
        <w:tc>
          <w:tcPr>
            <w:tcW w:w="3827" w:type="dxa"/>
            <w:tcBorders>
              <w:top w:val="dotted" w:sz="4" w:space="0" w:color="auto"/>
            </w:tcBorders>
          </w:tcPr>
          <w:p>
            <w:pPr>
              <w:pStyle w:val="TableNAm"/>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the result of carrying out an activity — </w:t>
            </w:r>
          </w:p>
        </w:tc>
        <w:tc>
          <w:tcPr>
            <w:tcW w:w="2160" w:type="dxa"/>
          </w:tcPr>
          <w:p>
            <w:pPr>
              <w:pStyle w:val="TableNAm"/>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22" w:name="_Toc135213596"/>
      <w:bookmarkStart w:id="23" w:name="_Toc85621233"/>
      <w:r>
        <w:rPr>
          <w:rStyle w:val="CharSectno"/>
        </w:rPr>
        <w:t>7</w:t>
      </w:r>
      <w:r>
        <w:t>.</w:t>
      </w:r>
      <w:r>
        <w:tab/>
        <w:t>Fees</w:t>
      </w:r>
      <w:bookmarkEnd w:id="22"/>
      <w:bookmarkEnd w:id="23"/>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24" w:name="_Toc135213597"/>
      <w:bookmarkStart w:id="25" w:name="_Toc85621234"/>
      <w:r>
        <w:rPr>
          <w:rStyle w:val="CharSectno"/>
        </w:rPr>
        <w:t>8</w:t>
      </w:r>
      <w:r>
        <w:t>.</w:t>
      </w:r>
      <w:r>
        <w:tab/>
        <w:t>Public records of particulars to be kept by CEO (s. 51Q(a))</w:t>
      </w:r>
      <w:bookmarkEnd w:id="24"/>
      <w:bookmarkEnd w:id="25"/>
    </w:p>
    <w:p>
      <w:pPr>
        <w:pStyle w:val="Subsection"/>
      </w:pPr>
      <w:r>
        <w:tab/>
        <w:t>(1)</w:t>
      </w:r>
      <w:r>
        <w:tab/>
        <w:t>For the purposes of section 51Q(a) of the Act, the particulars are set out in subregulations (2) to (8).</w:t>
      </w:r>
    </w:p>
    <w:p>
      <w:pPr>
        <w:pStyle w:val="Subsection"/>
        <w:keepNext/>
      </w:pPr>
      <w:r>
        <w:tab/>
        <w:t>(2)</w:t>
      </w:r>
      <w:r>
        <w:tab/>
        <w:t>The particulars of applications for clearing permits under section 51E(1) of the Act are as follows —</w:t>
      </w:r>
    </w:p>
    <w:p>
      <w:pPr>
        <w:pStyle w:val="Indenta"/>
      </w:pPr>
      <w:r>
        <w:tab/>
        <w:t>(a)</w:t>
      </w:r>
      <w:r>
        <w:tab/>
        <w:t>the name of the applicant;</w:t>
      </w:r>
    </w:p>
    <w:p>
      <w:pPr>
        <w:pStyle w:val="Indenta"/>
      </w:pPr>
      <w:r>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tab/>
        <w:t>(g)</w:t>
      </w:r>
      <w:r>
        <w:tab/>
        <w:t>the period during which the permit is in force.</w:t>
      </w:r>
    </w:p>
    <w:p>
      <w:pPr>
        <w:pStyle w:val="Subsection"/>
        <w:keepNext/>
      </w:pPr>
      <w:r>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26" w:name="_Toc135213598"/>
      <w:bookmarkStart w:id="27" w:name="_Toc85621235"/>
      <w:r>
        <w:rPr>
          <w:rStyle w:val="CharSectno"/>
        </w:rPr>
        <w:t>8A</w:t>
      </w:r>
      <w:r>
        <w:t>.</w:t>
      </w:r>
      <w:r>
        <w:tab/>
        <w:t>Public records of other information and documents to be kept by CEO (s. 51Q(b))</w:t>
      </w:r>
      <w:bookmarkEnd w:id="26"/>
      <w:bookmarkEnd w:id="27"/>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28" w:name="_Toc135213599"/>
      <w:bookmarkStart w:id="29" w:name="_Toc85621236"/>
      <w:r>
        <w:rPr>
          <w:rStyle w:val="CharSectno"/>
        </w:rPr>
        <w:t>9</w:t>
      </w:r>
      <w:r>
        <w:t>.</w:t>
      </w:r>
      <w:r>
        <w:tab/>
        <w:t>Expiry of certain provisions</w:t>
      </w:r>
      <w:bookmarkEnd w:id="28"/>
      <w:bookmarkEnd w:id="29"/>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30" w:name="_Toc135138491"/>
      <w:bookmarkStart w:id="31" w:name="_Toc135138638"/>
      <w:bookmarkStart w:id="32" w:name="_Toc135213600"/>
      <w:bookmarkStart w:id="33" w:name="_Toc85612858"/>
      <w:bookmarkStart w:id="34" w:name="_Toc85621237"/>
      <w:r>
        <w:rPr>
          <w:rStyle w:val="CharPartNo"/>
        </w:rPr>
        <w:t>Part 3</w:t>
      </w:r>
      <w:r>
        <w:t> — </w:t>
      </w:r>
      <w:r>
        <w:rPr>
          <w:rStyle w:val="CharPartText"/>
        </w:rPr>
        <w:t>Publication and confidentiality</w:t>
      </w:r>
      <w:bookmarkEnd w:id="30"/>
      <w:bookmarkEnd w:id="31"/>
      <w:bookmarkEnd w:id="32"/>
      <w:bookmarkEnd w:id="33"/>
      <w:bookmarkEnd w:id="34"/>
    </w:p>
    <w:p>
      <w:pPr>
        <w:pStyle w:val="Footnoteheading"/>
      </w:pPr>
      <w:r>
        <w:tab/>
        <w:t>[Heading inserted: SL 2021/178 r. 7.]</w:t>
      </w:r>
    </w:p>
    <w:p>
      <w:pPr>
        <w:pStyle w:val="Heading5"/>
      </w:pPr>
      <w:bookmarkStart w:id="35" w:name="_Toc135213601"/>
      <w:bookmarkStart w:id="36" w:name="_Toc85621238"/>
      <w:r>
        <w:rPr>
          <w:rStyle w:val="CharSectno"/>
        </w:rPr>
        <w:t>10</w:t>
      </w:r>
      <w:r>
        <w:t>.</w:t>
      </w:r>
      <w:r>
        <w:tab/>
        <w:t>Terms used</w:t>
      </w:r>
      <w:bookmarkEnd w:id="35"/>
      <w:bookmarkEnd w:id="36"/>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37" w:name="_Toc135213602"/>
      <w:bookmarkStart w:id="38" w:name="_Toc85621239"/>
      <w:r>
        <w:rPr>
          <w:rStyle w:val="CharSectno"/>
        </w:rPr>
        <w:t>11</w:t>
      </w:r>
      <w:r>
        <w:t>.</w:t>
      </w:r>
      <w:r>
        <w:tab/>
        <w:t>CEO may keep documentation confidential on request</w:t>
      </w:r>
      <w:bookmarkEnd w:id="37"/>
      <w:bookmarkEnd w:id="38"/>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39" w:name="_Toc135213603"/>
      <w:bookmarkStart w:id="40" w:name="_Toc85621240"/>
      <w:r>
        <w:rPr>
          <w:rStyle w:val="CharSectno"/>
        </w:rPr>
        <w:t>12</w:t>
      </w:r>
      <w:r>
        <w:t>.</w:t>
      </w:r>
      <w:r>
        <w:tab/>
        <w:t>CEO must keep certain matters confidential</w:t>
      </w:r>
      <w:bookmarkEnd w:id="39"/>
      <w:bookmarkEnd w:id="40"/>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41" w:name="_Toc135213604"/>
      <w:bookmarkStart w:id="42" w:name="_Toc85621241"/>
      <w:r>
        <w:rPr>
          <w:rStyle w:val="CharSectno"/>
        </w:rPr>
        <w:t>13</w:t>
      </w:r>
      <w:r>
        <w:t>.</w:t>
      </w:r>
      <w:r>
        <w:tab/>
        <w:t>CEO may keep certain matters confidential</w:t>
      </w:r>
      <w:bookmarkEnd w:id="41"/>
      <w:bookmarkEnd w:id="42"/>
    </w:p>
    <w:p>
      <w:pPr>
        <w:pStyle w:val="Subsection"/>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pPr>
      <w:r>
        <w:tab/>
        <w:t>(d)</w:t>
      </w:r>
      <w:r>
        <w:tab/>
        <w:t>the precise location of an Aboriginal site, if the precise location of that site is identified in documentation provided to the CEO in relation to a clearing referral (as defined in regulation 11(1)) or a clearing permit.</w:t>
      </w:r>
    </w:p>
    <w:p>
      <w:pPr>
        <w:pStyle w:val="Footnotesection"/>
      </w:pPr>
      <w:r>
        <w:tab/>
        <w:t>[Regulation 13 inserted: SL 2021/178 r. 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3" w:name="_Toc135138496"/>
      <w:bookmarkStart w:id="44" w:name="_Toc135138643"/>
      <w:bookmarkStart w:id="45" w:name="_Toc135213605"/>
      <w:bookmarkStart w:id="46" w:name="_Toc85554650"/>
      <w:bookmarkStart w:id="47" w:name="_Toc85554682"/>
      <w:bookmarkStart w:id="48" w:name="_Toc85612863"/>
      <w:bookmarkStart w:id="49" w:name="_Toc85621242"/>
      <w:r>
        <w:rPr>
          <w:rStyle w:val="CharSchNo"/>
        </w:rPr>
        <w:t>Schedule 1</w:t>
      </w:r>
      <w:r>
        <w:t> — </w:t>
      </w:r>
      <w:r>
        <w:rPr>
          <w:rStyle w:val="CharSchText"/>
        </w:rPr>
        <w:t>Low impact or other mineral or petroleum activities</w:t>
      </w:r>
      <w:bookmarkEnd w:id="43"/>
      <w:bookmarkEnd w:id="44"/>
      <w:bookmarkEnd w:id="45"/>
      <w:bookmarkEnd w:id="46"/>
      <w:bookmarkEnd w:id="47"/>
      <w:bookmarkEnd w:id="48"/>
      <w:bookmarkEnd w:id="49"/>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pPr>
      <w:bookmarkStart w:id="50" w:name="_Toc135213606"/>
      <w:bookmarkStart w:id="51" w:name="_Toc85621243"/>
      <w:r>
        <w:rPr>
          <w:rStyle w:val="CharSClsNo"/>
        </w:rPr>
        <w:t>1</w:t>
      </w:r>
      <w:r>
        <w:t>.</w:t>
      </w:r>
      <w:r>
        <w:tab/>
        <w:t>Terms used</w:t>
      </w:r>
      <w:bookmarkEnd w:id="50"/>
      <w:bookmarkEnd w:id="51"/>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pPr>
      <w:bookmarkStart w:id="52" w:name="_Toc135213607"/>
      <w:bookmarkStart w:id="53" w:name="_Toc85621244"/>
      <w:r>
        <w:rPr>
          <w:rStyle w:val="CharSClsNo"/>
        </w:rPr>
        <w:t>2</w:t>
      </w:r>
      <w:r>
        <w:t>.</w:t>
      </w:r>
      <w:r>
        <w:tab/>
        <w:t>Low impact mineral and petroleum activities</w:t>
      </w:r>
      <w:bookmarkEnd w:id="52"/>
      <w:bookmarkEnd w:id="53"/>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pPr>
      <w:bookmarkStart w:id="54" w:name="_Toc135213608"/>
      <w:bookmarkStart w:id="55" w:name="_Toc85621245"/>
      <w:r>
        <w:rPr>
          <w:rStyle w:val="CharSClsNo"/>
        </w:rPr>
        <w:t>3</w:t>
      </w:r>
      <w:r>
        <w:t>.</w:t>
      </w:r>
      <w:r>
        <w:tab/>
        <w:t>How the activity is to be carried out</w:t>
      </w:r>
      <w:bookmarkEnd w:id="54"/>
      <w:bookmarkEnd w:id="55"/>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56" w:name="_Toc135213609"/>
      <w:bookmarkStart w:id="57" w:name="_Toc85621246"/>
      <w:r>
        <w:rPr>
          <w:rStyle w:val="CharSClsNo"/>
        </w:rPr>
        <w:t>4</w:t>
      </w:r>
      <w:r>
        <w:t>.</w:t>
      </w:r>
      <w:r>
        <w:tab/>
        <w:t>Non</w:t>
      </w:r>
      <w:r>
        <w:noBreakHyphen/>
        <w:t>permitted areas</w:t>
      </w:r>
      <w:bookmarkEnd w:id="56"/>
      <w:bookmarkEnd w:id="57"/>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58" w:name="_Toc135138501"/>
      <w:bookmarkStart w:id="59" w:name="_Toc135138648"/>
      <w:bookmarkStart w:id="60" w:name="_Toc135213610"/>
      <w:bookmarkStart w:id="61" w:name="_Toc85554655"/>
      <w:bookmarkStart w:id="62" w:name="_Toc85554687"/>
      <w:bookmarkStart w:id="63" w:name="_Toc85612868"/>
      <w:bookmarkStart w:id="64" w:name="_Toc85621247"/>
      <w:r>
        <w:rPr>
          <w:rStyle w:val="CharSchNo"/>
        </w:rPr>
        <w:t>Schedule 2</w:t>
      </w:r>
      <w:r>
        <w:t> — </w:t>
      </w:r>
      <w:r>
        <w:rPr>
          <w:rStyle w:val="CharSchText"/>
        </w:rPr>
        <w:t>Clearing for maintenance in existing transport corridors</w:t>
      </w:r>
      <w:bookmarkEnd w:id="58"/>
      <w:bookmarkEnd w:id="59"/>
      <w:bookmarkEnd w:id="60"/>
      <w:bookmarkEnd w:id="61"/>
      <w:bookmarkEnd w:id="62"/>
      <w:bookmarkEnd w:id="63"/>
      <w:bookmarkEnd w:id="64"/>
    </w:p>
    <w:p>
      <w:pPr>
        <w:pStyle w:val="yShoulderClause"/>
      </w:pPr>
      <w:r>
        <w:t>[r. 5(1) item 22]</w:t>
      </w:r>
    </w:p>
    <w:p>
      <w:pPr>
        <w:pStyle w:val="yFootnoteheading"/>
      </w:pPr>
      <w:r>
        <w:tab/>
        <w:t>[Heading amended: Gazette 7 Jul 2006 p. 2500.]</w:t>
      </w:r>
    </w:p>
    <w:p>
      <w:pPr>
        <w:pStyle w:val="yHeading5"/>
        <w:spacing w:before="240"/>
      </w:pPr>
      <w:bookmarkStart w:id="65" w:name="_Toc135213611"/>
      <w:bookmarkStart w:id="66" w:name="_Toc85621248"/>
      <w:r>
        <w:rPr>
          <w:rStyle w:val="CharSClsNo"/>
        </w:rPr>
        <w:t>1</w:t>
      </w:r>
      <w:r>
        <w:t>.</w:t>
      </w:r>
      <w:r>
        <w:tab/>
        <w:t>Terms used</w:t>
      </w:r>
      <w:bookmarkEnd w:id="65"/>
      <w:bookmarkEnd w:id="66"/>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pPr>
      <w:bookmarkStart w:id="67" w:name="_Toc135213612"/>
      <w:bookmarkStart w:id="68" w:name="_Toc85621249"/>
      <w:r>
        <w:rPr>
          <w:rStyle w:val="CharSClsNo"/>
        </w:rPr>
        <w:t>2</w:t>
      </w:r>
      <w:r>
        <w:t>.</w:t>
      </w:r>
      <w:r>
        <w:tab/>
        <w:t>Extent of clearing for an area or purpose in relation to a road or railway</w:t>
      </w:r>
      <w:bookmarkEnd w:id="67"/>
      <w:bookmarkEnd w:id="68"/>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pPr>
      <w:bookmarkStart w:id="69" w:name="_Toc135213613"/>
      <w:bookmarkStart w:id="70" w:name="_Toc85621250"/>
      <w:r>
        <w:rPr>
          <w:rStyle w:val="CharSClsNo"/>
        </w:rPr>
        <w:t>3</w:t>
      </w:r>
      <w:r>
        <w:t>.</w:t>
      </w:r>
      <w:r>
        <w:tab/>
        <w:t>How the clearing is to be carried out</w:t>
      </w:r>
      <w:bookmarkEnd w:id="69"/>
      <w:bookmarkEnd w:id="70"/>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71" w:name="_Toc135138505"/>
      <w:bookmarkStart w:id="72" w:name="_Toc135138652"/>
      <w:bookmarkStart w:id="73" w:name="_Toc135213614"/>
      <w:bookmarkStart w:id="74" w:name="_Toc85554659"/>
      <w:bookmarkStart w:id="75" w:name="_Toc85554691"/>
      <w:bookmarkStart w:id="76" w:name="_Toc85612872"/>
      <w:bookmarkStart w:id="77" w:name="_Toc85621251"/>
      <w:r>
        <w:rPr>
          <w:rStyle w:val="CharSchNo"/>
        </w:rPr>
        <w:t>Schedule 3</w:t>
      </w:r>
      <w:r>
        <w:t> — </w:t>
      </w:r>
      <w:r>
        <w:rPr>
          <w:rStyle w:val="CharSchText"/>
        </w:rPr>
        <w:t>Infrastructure maintenance activities</w:t>
      </w:r>
      <w:bookmarkEnd w:id="71"/>
      <w:bookmarkEnd w:id="72"/>
      <w:bookmarkEnd w:id="73"/>
      <w:bookmarkEnd w:id="74"/>
      <w:bookmarkEnd w:id="75"/>
      <w:bookmarkEnd w:id="76"/>
      <w:bookmarkEnd w:id="77"/>
    </w:p>
    <w:p>
      <w:pPr>
        <w:pStyle w:val="yShoulderClause"/>
      </w:pPr>
      <w:r>
        <w:t>[r. 5(1) item 23]</w:t>
      </w:r>
    </w:p>
    <w:p>
      <w:pPr>
        <w:pStyle w:val="yHeading5"/>
        <w:spacing w:before="120"/>
      </w:pPr>
      <w:bookmarkStart w:id="78" w:name="_Toc135213615"/>
      <w:bookmarkStart w:id="79" w:name="_Toc85621252"/>
      <w:r>
        <w:rPr>
          <w:rStyle w:val="CharSClsNo"/>
        </w:rPr>
        <w:t>1</w:t>
      </w:r>
      <w:r>
        <w:t>.</w:t>
      </w:r>
      <w:r>
        <w:tab/>
        <w:t>Infrastructure maintenance activities</w:t>
      </w:r>
      <w:bookmarkEnd w:id="78"/>
      <w:bookmarkEnd w:id="79"/>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80" w:name="_Toc135213616"/>
      <w:bookmarkStart w:id="81" w:name="_Toc85621253"/>
      <w:r>
        <w:rPr>
          <w:rStyle w:val="CharSClsNo"/>
        </w:rPr>
        <w:t>2</w:t>
      </w:r>
      <w:r>
        <w:t>.</w:t>
      </w:r>
      <w:r>
        <w:tab/>
        <w:t>How the activity is to be carried out</w:t>
      </w:r>
      <w:bookmarkEnd w:id="80"/>
      <w:bookmarkEnd w:id="81"/>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83" w:name="_Toc135138508"/>
      <w:bookmarkStart w:id="84" w:name="_Toc135138655"/>
      <w:bookmarkStart w:id="85" w:name="_Toc135213617"/>
      <w:bookmarkStart w:id="86" w:name="_Toc85612875"/>
      <w:bookmarkStart w:id="87" w:name="_Toc85621254"/>
      <w:bookmarkStart w:id="88" w:name="_Toc85554664"/>
      <w:bookmarkStart w:id="89" w:name="_Toc85554696"/>
      <w:r>
        <w:t>Notes</w:t>
      </w:r>
      <w:bookmarkEnd w:id="83"/>
      <w:bookmarkEnd w:id="84"/>
      <w:bookmarkEnd w:id="85"/>
      <w:bookmarkEnd w:id="86"/>
      <w:bookmarkEnd w:id="87"/>
    </w:p>
    <w:p>
      <w:pPr>
        <w:pStyle w:val="nStatement"/>
      </w:pPr>
      <w:r>
        <w:t xml:space="preserve">This is a compilation of the </w:t>
      </w:r>
      <w:r>
        <w:rPr>
          <w:i/>
          <w:noProof/>
        </w:rPr>
        <w:t>Environmental Protection (Clearing of Native Vegetation) Regulations</w:t>
      </w:r>
      <w:del w:id="90" w:author="Master Repository Process" w:date="2023-05-19T06:12:00Z">
        <w:r>
          <w:rPr>
            <w:i/>
            <w:noProof/>
          </w:rPr>
          <w:delText> </w:delText>
        </w:r>
      </w:del>
      <w:ins w:id="91" w:author="Master Repository Process" w:date="2023-05-19T06:12: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w:t>
      </w:r>
      <w:ins w:id="92" w:author="Master Repository Process" w:date="2023-05-19T06:12:00Z">
        <w:r>
          <w:t xml:space="preserve"> For provisions that have not yet come into operation see the uncommenced provisions table.</w:t>
        </w:r>
      </w:ins>
    </w:p>
    <w:p>
      <w:pPr>
        <w:pStyle w:val="nHeading3"/>
      </w:pPr>
      <w:bookmarkStart w:id="93" w:name="_Toc135213618"/>
      <w:bookmarkStart w:id="94" w:name="_Toc85621255"/>
      <w:r>
        <w:t>Compilation table</w:t>
      </w:r>
      <w:bookmarkEnd w:id="93"/>
      <w:bookmarkEnd w:id="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single" w:sz="4" w:space="0" w:color="auto"/>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single" w:sz="4" w:space="0" w:color="auto"/>
            </w:tcBorders>
          </w:tcPr>
          <w:p>
            <w:pPr>
              <w:pStyle w:val="nTable"/>
              <w:spacing w:after="40"/>
            </w:pPr>
            <w:r>
              <w:t>SL 2021/178 22 Oct 2021</w:t>
            </w:r>
          </w:p>
        </w:tc>
        <w:tc>
          <w:tcPr>
            <w:tcW w:w="2693" w:type="dxa"/>
            <w:tcBorders>
              <w:top w:val="nil"/>
              <w:bottom w:val="single" w:sz="4" w:space="0" w:color="auto"/>
            </w:tcBorders>
          </w:tcPr>
          <w:p>
            <w:pPr>
              <w:pStyle w:val="nTable"/>
              <w:spacing w:after="40"/>
            </w:pPr>
            <w:r>
              <w:t>23 Oct 2021 (see r. 2(b) and SL 2021/176 cl. 2)</w:t>
            </w:r>
          </w:p>
        </w:tc>
      </w:tr>
    </w:tbl>
    <w:p>
      <w:pPr>
        <w:pStyle w:val="nHeading3"/>
        <w:rPr>
          <w:ins w:id="95" w:author="Master Repository Process" w:date="2023-05-19T06:12:00Z"/>
        </w:rPr>
      </w:pPr>
      <w:bookmarkStart w:id="96" w:name="_Toc135213619"/>
      <w:ins w:id="97" w:author="Master Repository Process" w:date="2023-05-19T06:12:00Z">
        <w:r>
          <w:t>Uncommenced provisions table</w:t>
        </w:r>
        <w:bookmarkEnd w:id="96"/>
      </w:ins>
    </w:p>
    <w:p>
      <w:pPr>
        <w:pStyle w:val="nStatement"/>
        <w:keepNext/>
        <w:spacing w:after="240"/>
        <w:rPr>
          <w:ins w:id="98" w:author="Master Repository Process" w:date="2023-05-19T06:12:00Z"/>
        </w:rPr>
      </w:pPr>
      <w:ins w:id="99" w:author="Master Repository Process" w:date="2023-05-19T06:1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0" w:author="Master Repository Process" w:date="2023-05-19T06:12:00Z"/>
        </w:trPr>
        <w:tc>
          <w:tcPr>
            <w:tcW w:w="3118" w:type="dxa"/>
          </w:tcPr>
          <w:p>
            <w:pPr>
              <w:pStyle w:val="nTable"/>
              <w:spacing w:after="40"/>
              <w:rPr>
                <w:ins w:id="101" w:author="Master Repository Process" w:date="2023-05-19T06:12:00Z"/>
                <w:b/>
              </w:rPr>
            </w:pPr>
            <w:ins w:id="102" w:author="Master Repository Process" w:date="2023-05-19T06:12:00Z">
              <w:r>
                <w:rPr>
                  <w:b/>
                </w:rPr>
                <w:t>Citation</w:t>
              </w:r>
            </w:ins>
          </w:p>
        </w:tc>
        <w:tc>
          <w:tcPr>
            <w:tcW w:w="1276" w:type="dxa"/>
          </w:tcPr>
          <w:p>
            <w:pPr>
              <w:pStyle w:val="nTable"/>
              <w:spacing w:after="40"/>
              <w:rPr>
                <w:ins w:id="103" w:author="Master Repository Process" w:date="2023-05-19T06:12:00Z"/>
                <w:b/>
              </w:rPr>
            </w:pPr>
            <w:ins w:id="104" w:author="Master Repository Process" w:date="2023-05-19T06:12:00Z">
              <w:r>
                <w:rPr>
                  <w:b/>
                </w:rPr>
                <w:t>Published</w:t>
              </w:r>
            </w:ins>
          </w:p>
        </w:tc>
        <w:tc>
          <w:tcPr>
            <w:tcW w:w="2693" w:type="dxa"/>
          </w:tcPr>
          <w:p>
            <w:pPr>
              <w:pStyle w:val="nTable"/>
              <w:spacing w:after="40"/>
              <w:rPr>
                <w:ins w:id="105" w:author="Master Repository Process" w:date="2023-05-19T06:12:00Z"/>
                <w:b/>
              </w:rPr>
            </w:pPr>
            <w:ins w:id="106" w:author="Master Repository Process" w:date="2023-05-19T06:12:00Z">
              <w:r>
                <w:rPr>
                  <w:b/>
                </w:rPr>
                <w:t>Commencement</w:t>
              </w:r>
            </w:ins>
          </w:p>
        </w:tc>
      </w:tr>
      <w:tr>
        <w:trPr>
          <w:ins w:id="107" w:author="Master Repository Process" w:date="2023-05-19T06:12:00Z"/>
        </w:trPr>
        <w:tc>
          <w:tcPr>
            <w:tcW w:w="3118" w:type="dxa"/>
          </w:tcPr>
          <w:p>
            <w:pPr>
              <w:pStyle w:val="nTable"/>
              <w:spacing w:after="40"/>
              <w:rPr>
                <w:ins w:id="108" w:author="Master Repository Process" w:date="2023-05-19T06:12:00Z"/>
              </w:rPr>
            </w:pPr>
            <w:ins w:id="109" w:author="Master Repository Process" w:date="2023-05-19T06:12:00Z">
              <w:r>
                <w:rPr>
                  <w:i/>
                </w:rPr>
                <w:t>Environment Regulations Amendment (Aboriginal Cultural Heritage) Regulations 2023</w:t>
              </w:r>
              <w:r>
                <w:t xml:space="preserve"> Pt. 3</w:t>
              </w:r>
            </w:ins>
          </w:p>
        </w:tc>
        <w:tc>
          <w:tcPr>
            <w:tcW w:w="1276" w:type="dxa"/>
          </w:tcPr>
          <w:p>
            <w:pPr>
              <w:pStyle w:val="nTable"/>
              <w:spacing w:after="40"/>
              <w:rPr>
                <w:ins w:id="110" w:author="Master Repository Process" w:date="2023-05-19T06:12:00Z"/>
              </w:rPr>
            </w:pPr>
            <w:ins w:id="111" w:author="Master Repository Process" w:date="2023-05-19T06:12:00Z">
              <w:r>
                <w:t>SL 2023/50 19 May 2023</w:t>
              </w:r>
            </w:ins>
          </w:p>
        </w:tc>
        <w:tc>
          <w:tcPr>
            <w:tcW w:w="2693" w:type="dxa"/>
          </w:tcPr>
          <w:p>
            <w:pPr>
              <w:pStyle w:val="nTable"/>
              <w:spacing w:after="40"/>
              <w:rPr>
                <w:ins w:id="112" w:author="Master Repository Process" w:date="2023-05-19T06:12:00Z"/>
              </w:rPr>
            </w:pPr>
            <w:ins w:id="113" w:author="Master Repository Process" w:date="2023-05-19T06:12:00Z">
              <w:r>
                <w:t>1 Jul 2023 (see r. 2(b))</w:t>
              </w:r>
            </w:ins>
          </w:p>
        </w:tc>
      </w:tr>
    </w:tbl>
    <w:p>
      <w:pPr>
        <w:pStyle w:val="nHeading3"/>
      </w:pPr>
      <w:bookmarkStart w:id="114" w:name="_Toc135213620"/>
      <w:bookmarkStart w:id="115" w:name="_Toc85621256"/>
      <w:r>
        <w:t>Other notes</w:t>
      </w:r>
      <w:bookmarkEnd w:id="114"/>
      <w:bookmarkEnd w:id="115"/>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bookmarkEnd w:id="88"/>
    <w:bookmarkEnd w:id="89"/>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 w:name="Schedule"/>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0609"/>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A12D8-BA15-435A-BF4C-DCBC9215B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8238</Words>
  <Characters>39462</Characters>
  <Application>Microsoft Office Word</Application>
  <DocSecurity>0</DocSecurity>
  <Lines>1644</Lines>
  <Paragraphs>769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46931</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02-f0-01 - 02-g0-00</dc:title>
  <dc:subject/>
  <dc:creator/>
  <cp:keywords/>
  <dc:description/>
  <cp:lastModifiedBy>Master Repository Process</cp:lastModifiedBy>
  <cp:revision>2</cp:revision>
  <cp:lastPrinted>2009-05-12T01:47:00Z</cp:lastPrinted>
  <dcterms:created xsi:type="dcterms:W3CDTF">2023-05-18T22:12:00Z</dcterms:created>
  <dcterms:modified xsi:type="dcterms:W3CDTF">2023-05-18T22:12:00Z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CommencementDate">
    <vt:lpwstr>20230519</vt:lpwstr>
  </property>
  <property fmtid="{D5CDD505-2E9C-101B-9397-08002B2CF9AE}" pid="8" name="FromSuffix">
    <vt:lpwstr>02-f0-01</vt:lpwstr>
  </property>
  <property fmtid="{D5CDD505-2E9C-101B-9397-08002B2CF9AE}" pid="9" name="FromAsAtDate">
    <vt:lpwstr>23 Oct 2021</vt:lpwstr>
  </property>
  <property fmtid="{D5CDD505-2E9C-101B-9397-08002B2CF9AE}" pid="10" name="ToSuffix">
    <vt:lpwstr>02-g0-00</vt:lpwstr>
  </property>
  <property fmtid="{D5CDD505-2E9C-101B-9397-08002B2CF9AE}" pid="11" name="ToAsAtDate">
    <vt:lpwstr>19 May 2023</vt:lpwstr>
  </property>
</Properties>
</file>