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(Fees and Charges)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00-j0-00</w:t>
      </w:r>
      <w:r>
        <w:fldChar w:fldCharType="end"/>
      </w:r>
      <w:r>
        <w:t>] and [</w:t>
      </w:r>
      <w:r>
        <w:fldChar w:fldCharType="begin"/>
      </w:r>
      <w:r>
        <w:instrText xml:space="preserve"> DocProperty ToAsAtDate</w:instrText>
      </w:r>
      <w:r>
        <w:fldChar w:fldCharType="separate"/>
      </w:r>
      <w:r>
        <w:t>16 Jun 2023</w:t>
      </w:r>
      <w:r>
        <w:fldChar w:fldCharType="end"/>
      </w:r>
      <w:r>
        <w:t xml:space="preserve">, </w:t>
      </w:r>
      <w:r>
        <w:fldChar w:fldCharType="begin"/>
      </w:r>
      <w:r>
        <w:instrText xml:space="preserve"> DocProperty ToSuffix</w:instrText>
      </w:r>
      <w:r>
        <w:fldChar w:fldCharType="separate"/>
      </w:r>
      <w:r>
        <w:t>00-k0-00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Police Act 1892</w:t>
      </w:r>
    </w:p>
    <w:p>
      <w:pPr>
        <w:pStyle w:val="NameofActReg"/>
      </w:pPr>
      <w:r>
        <w:t>Police (Fees and Charges) Regulations 2018</w:t>
      </w:r>
    </w:p>
    <w:p>
      <w:pPr>
        <w:pStyle w:val="Heading5"/>
      </w:pPr>
      <w:bookmarkStart w:id="1" w:name="_Toc137628181"/>
      <w:bookmarkStart w:id="2" w:name="_Toc107403332"/>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These </w:t>
      </w:r>
      <w:r>
        <w:rPr>
          <w:spacing w:val="-2"/>
        </w:rPr>
        <w:t>regulations</w:t>
      </w:r>
      <w:r>
        <w:t xml:space="preserve"> are the </w:t>
      </w:r>
      <w:r>
        <w:rPr>
          <w:i/>
        </w:rPr>
        <w:t>Police (Fees and Charges) Regulations 2018</w:t>
      </w:r>
      <w:r>
        <w:t>.</w:t>
      </w:r>
    </w:p>
    <w:p>
      <w:pPr>
        <w:pStyle w:val="Heading5"/>
        <w:rPr>
          <w:spacing w:val="-2"/>
        </w:rPr>
      </w:pPr>
      <w:bookmarkStart w:id="5" w:name="_Toc137628182"/>
      <w:bookmarkStart w:id="6" w:name="_Toc107403333"/>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pPr>
        <w:pStyle w:val="Heading5"/>
      </w:pPr>
      <w:bookmarkStart w:id="7" w:name="_Toc137628183"/>
      <w:bookmarkStart w:id="8" w:name="_Toc107403334"/>
      <w:r>
        <w:rPr>
          <w:rStyle w:val="CharSectno"/>
        </w:rPr>
        <w:t>3</w:t>
      </w:r>
      <w:r>
        <w:t>.</w:t>
      </w:r>
      <w:r>
        <w:tab/>
        <w:t>Terms used</w:t>
      </w:r>
      <w:bookmarkEnd w:id="7"/>
      <w:bookmarkEnd w:id="8"/>
    </w:p>
    <w:p>
      <w:pPr>
        <w:pStyle w:val="Subsection"/>
      </w:pPr>
      <w:r>
        <w:tab/>
      </w:r>
      <w:r>
        <w:tab/>
        <w:t xml:space="preserve">In these regulations — </w:t>
      </w:r>
    </w:p>
    <w:p>
      <w:pPr>
        <w:pStyle w:val="Defstart"/>
      </w:pPr>
      <w:r>
        <w:tab/>
      </w:r>
      <w:r>
        <w:rPr>
          <w:rStyle w:val="CharDefText"/>
        </w:rPr>
        <w:t>attendance rate</w:t>
      </w:r>
      <w:r>
        <w:t xml:space="preserve"> means the total of — </w:t>
      </w:r>
    </w:p>
    <w:p>
      <w:pPr>
        <w:pStyle w:val="Defpara"/>
      </w:pPr>
      <w:r>
        <w:tab/>
        <w:t>(a)</w:t>
      </w:r>
      <w:r>
        <w:tab/>
        <w:t>the hourly attendance rate specified in Schedule 2; and</w:t>
      </w:r>
    </w:p>
    <w:p>
      <w:pPr>
        <w:pStyle w:val="Defpara"/>
      </w:pPr>
      <w:r>
        <w:tab/>
        <w:t>(b)</w:t>
      </w:r>
      <w:r>
        <w:tab/>
        <w:t>the hourly general overhead expenses rate specified in that Schedule;</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planning rate</w:t>
      </w:r>
      <w:r>
        <w:t xml:space="preserve"> means the total of — </w:t>
      </w:r>
    </w:p>
    <w:p>
      <w:pPr>
        <w:pStyle w:val="Defpara"/>
      </w:pPr>
      <w:r>
        <w:tab/>
        <w:t>(a)</w:t>
      </w:r>
      <w:r>
        <w:tab/>
        <w:t>the hourly planning rate specified in Schedule 2; and</w:t>
      </w:r>
    </w:p>
    <w:p>
      <w:pPr>
        <w:pStyle w:val="Defpara"/>
      </w:pPr>
      <w:r>
        <w:tab/>
        <w:t>(b)</w:t>
      </w:r>
      <w:r>
        <w:tab/>
        <w:t>the hourly general overhead expenses rate specified in that Schedule;</w:t>
      </w:r>
    </w:p>
    <w:p>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section 79.</w:t>
      </w:r>
    </w:p>
    <w:p>
      <w:pPr>
        <w:pStyle w:val="Heading5"/>
      </w:pPr>
      <w:bookmarkStart w:id="9" w:name="_Toc137628184"/>
      <w:bookmarkStart w:id="10" w:name="_Toc107403335"/>
      <w:r>
        <w:rPr>
          <w:rStyle w:val="CharSectno"/>
        </w:rPr>
        <w:t>4</w:t>
      </w:r>
      <w:r>
        <w:t>.</w:t>
      </w:r>
      <w:r>
        <w:tab/>
        <w:t>Fees</w:t>
      </w:r>
      <w:bookmarkEnd w:id="9"/>
      <w:bookmarkEnd w:id="10"/>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 fee payable under this regulation.</w:t>
      </w:r>
    </w:p>
    <w:p>
      <w:pPr>
        <w:pStyle w:val="Heading5"/>
      </w:pPr>
      <w:bookmarkStart w:id="11" w:name="_Toc137628185"/>
      <w:bookmarkStart w:id="12" w:name="_Toc107403336"/>
      <w:r>
        <w:rPr>
          <w:rStyle w:val="CharSectno"/>
        </w:rPr>
        <w:t>5</w:t>
      </w:r>
      <w:r>
        <w:t>.</w:t>
      </w:r>
      <w:r>
        <w:tab/>
        <w:t>Exempt events</w:t>
      </w:r>
      <w:bookmarkEnd w:id="11"/>
      <w:bookmarkEnd w:id="12"/>
    </w:p>
    <w:p>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pPr>
        <w:pStyle w:val="Indenta"/>
      </w:pPr>
      <w:r>
        <w:tab/>
        <w:t>(a)</w:t>
      </w:r>
      <w:r>
        <w:tab/>
        <w:t>the Perth Royal Show;</w:t>
      </w:r>
    </w:p>
    <w:p>
      <w:pPr>
        <w:pStyle w:val="Indenta"/>
      </w:pPr>
      <w:r>
        <w:tab/>
        <w:t>(b)</w:t>
      </w:r>
      <w:r>
        <w:tab/>
        <w:t>the Perth Gay and Lesbian Pride Parade;</w:t>
      </w:r>
    </w:p>
    <w:p>
      <w:pPr>
        <w:pStyle w:val="Indenta"/>
      </w:pPr>
      <w:r>
        <w:tab/>
        <w:t>(c)</w:t>
      </w:r>
      <w:r>
        <w:tab/>
        <w:t>the Perth Pride Fair Day.</w:t>
      </w:r>
    </w:p>
    <w:p>
      <w:pPr>
        <w:pStyle w:val="Heading5"/>
      </w:pPr>
      <w:bookmarkStart w:id="13" w:name="_Toc137628186"/>
      <w:bookmarkStart w:id="14" w:name="_Toc107403337"/>
      <w:r>
        <w:rPr>
          <w:rStyle w:val="CharSectno"/>
        </w:rPr>
        <w:t>6</w:t>
      </w:r>
      <w:r>
        <w:t>.</w:t>
      </w:r>
      <w:r>
        <w:tab/>
        <w:t>Charges for police services at major event</w:t>
      </w:r>
      <w:bookmarkEnd w:id="13"/>
      <w:bookmarkEnd w:id="14"/>
    </w:p>
    <w:p>
      <w:pPr>
        <w:pStyle w:val="Subsection"/>
      </w:pPr>
      <w:r>
        <w:tab/>
        <w:t>(1)</w:t>
      </w:r>
      <w:r>
        <w:tab/>
        <w:t>The amount chargeable for personnel costs associated with the police officers who attend a major event to provide police services is the total of —</w:t>
      </w:r>
    </w:p>
    <w:p>
      <w:pPr>
        <w:pStyle w:val="Indenta"/>
      </w:pPr>
      <w:r>
        <w:tab/>
        <w:t>(a)</w:t>
      </w:r>
      <w:r>
        <w:tab/>
        <w:t>for each police officer who spends time in planning the deployment of police officers for the major event — one</w:t>
      </w:r>
      <w:r>
        <w:noBreakHyphen/>
        <w:t>tenth of the planning rate for each 6 minutes that the police officer spends; and</w:t>
      </w:r>
    </w:p>
    <w:p>
      <w:pPr>
        <w:pStyle w:val="Indenta"/>
      </w:pPr>
      <w:r>
        <w:tab/>
        <w:t>(b)</w:t>
      </w:r>
      <w:r>
        <w:tab/>
        <w:t>for each police officer who spends time in attending the major event to provide police services — one</w:t>
      </w:r>
      <w:r>
        <w:noBreakHyphen/>
        <w:t>tenth of the attendance rate for each 6 minutes that the police officer spends.</w:t>
      </w:r>
    </w:p>
    <w:p>
      <w:pPr>
        <w:pStyle w:val="Subsection"/>
      </w:pPr>
      <w:r>
        <w:tab/>
        <w:t>(2)</w:t>
      </w:r>
      <w:r>
        <w:tab/>
        <w:t xml:space="preserve">Subregulation (3) applies if — </w:t>
      </w:r>
    </w:p>
    <w:p>
      <w:pPr>
        <w:pStyle w:val="Indenta"/>
      </w:pPr>
      <w:r>
        <w:tab/>
        <w:t>(a)</w:t>
      </w:r>
      <w:r>
        <w:tab/>
        <w:t>the promoter or organiser of a major event requests the Commissioner of Police to provide police services in the air (</w:t>
      </w:r>
      <w:r>
        <w:rPr>
          <w:rStyle w:val="CharDefText"/>
        </w:rPr>
        <w:t>air support</w:t>
      </w:r>
      <w:r>
        <w:t>) at the major event; and</w:t>
      </w:r>
    </w:p>
    <w:p>
      <w:pPr>
        <w:pStyle w:val="Indenta"/>
      </w:pPr>
      <w:r>
        <w:tab/>
        <w:t>(b)</w:t>
      </w:r>
      <w:r>
        <w:tab/>
        <w:t>the Commissioner, having regard to the security requirements of the major event, agrees to provide the air support.</w:t>
      </w:r>
    </w:p>
    <w:p>
      <w:pPr>
        <w:pStyle w:val="Subsection"/>
      </w:pPr>
      <w:r>
        <w:tab/>
        <w:t>(3)</w:t>
      </w:r>
      <w:r>
        <w:tab/>
        <w:t>The amount chargeable for overhead expenses associated with the provision of air support for the major event is, for each 6 minutes that the air support is provided, one</w:t>
      </w:r>
      <w:r>
        <w:noBreakHyphen/>
        <w:t>tenth of the hourly overhead expenses rate for air support specified in Schedule 2 for the type of air support provided.</w:t>
      </w:r>
    </w:p>
    <w:p>
      <w:pPr>
        <w:pStyle w:val="Footnotesection"/>
      </w:pPr>
      <w:r>
        <w:tab/>
        <w:t>[Regulation 6 amended: Gazette 17 Aug 2018 p. 2897</w:t>
      </w:r>
      <w:r>
        <w:noBreakHyphen/>
        <w:t>8.]</w:t>
      </w:r>
    </w:p>
    <w:p>
      <w:pPr>
        <w:pStyle w:val="Heading5"/>
      </w:pPr>
      <w:bookmarkStart w:id="15" w:name="_Toc137628187"/>
      <w:bookmarkStart w:id="16" w:name="_Toc107403338"/>
      <w:r>
        <w:rPr>
          <w:rStyle w:val="CharSectno"/>
        </w:rPr>
        <w:t>7</w:t>
      </w:r>
      <w:r>
        <w:t>.</w:t>
      </w:r>
      <w:r>
        <w:tab/>
        <w:t>Charges for police services if major event cancelled</w:t>
      </w:r>
      <w:bookmarkEnd w:id="15"/>
      <w:bookmarkEnd w:id="16"/>
    </w:p>
    <w:p>
      <w:pPr>
        <w:pStyle w:val="Subsection"/>
      </w:pPr>
      <w:r>
        <w:tab/>
        <w:t>(1)</w:t>
      </w:r>
      <w:r>
        <w:tab/>
        <w:t xml:space="preserve">If, after the promoter or organiser of a major event has requested the Commissioner of Police to provide police services for the event, the major event is cancelled — </w:t>
      </w:r>
    </w:p>
    <w:p>
      <w:pPr>
        <w:pStyle w:val="Indenta"/>
      </w:pPr>
      <w:r>
        <w:tab/>
        <w:t>(a)</w:t>
      </w:r>
      <w:r>
        <w:tab/>
        <w:t>the promoter or organiser must, as soon as practicable, give the Commissioner written notice of the cancellation; and</w:t>
      </w:r>
    </w:p>
    <w:p>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pPr>
        <w:pStyle w:val="Heading5"/>
      </w:pPr>
      <w:bookmarkStart w:id="17" w:name="_Toc137628188"/>
      <w:bookmarkStart w:id="18" w:name="_Toc107403339"/>
      <w:r>
        <w:rPr>
          <w:rStyle w:val="CharSectno"/>
        </w:rPr>
        <w:t>8</w:t>
      </w:r>
      <w:r>
        <w:t>.</w:t>
      </w:r>
      <w:r>
        <w:tab/>
        <w:t>Amounts inclusive of GST</w:t>
      </w:r>
      <w:bookmarkEnd w:id="17"/>
      <w:bookmarkEnd w:id="18"/>
    </w:p>
    <w:p>
      <w:pPr>
        <w:pStyle w:val="Subsection"/>
        <w:keepNext/>
      </w:pPr>
      <w:r>
        <w:tab/>
      </w:r>
      <w:r>
        <w:tab/>
        <w:t>The amounts specified in Schedule 2 are inclusive of GST.</w:t>
      </w:r>
    </w:p>
    <w:p>
      <w:pPr>
        <w:pStyle w:val="Heading5"/>
      </w:pPr>
      <w:bookmarkStart w:id="19" w:name="_Toc137628189"/>
      <w:bookmarkStart w:id="20" w:name="_Toc107403340"/>
      <w:r>
        <w:rPr>
          <w:rStyle w:val="CharSectno"/>
        </w:rPr>
        <w:t>9</w:t>
      </w:r>
      <w:r>
        <w:t>.</w:t>
      </w:r>
      <w:r>
        <w:tab/>
      </w:r>
      <w:r>
        <w:rPr>
          <w:i/>
        </w:rPr>
        <w:t xml:space="preserve">Police (Fees) Regulations 1981 </w:t>
      </w:r>
      <w:r>
        <w:t>repealed</w:t>
      </w:r>
      <w:bookmarkEnd w:id="19"/>
      <w:bookmarkEnd w:id="20"/>
    </w:p>
    <w:p>
      <w:pPr>
        <w:pStyle w:val="Subsection"/>
      </w:pPr>
      <w:r>
        <w:tab/>
      </w:r>
      <w:r>
        <w:tab/>
        <w:t xml:space="preserve">The </w:t>
      </w:r>
      <w:r>
        <w:rPr>
          <w:i/>
        </w:rPr>
        <w:t xml:space="preserve">Police (Fees) Regulations 1981 </w:t>
      </w:r>
      <w:r>
        <w:t>are repealed.</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1" w:name="_Toc137565264"/>
      <w:bookmarkStart w:id="22" w:name="_Toc137565544"/>
      <w:bookmarkStart w:id="23" w:name="_Toc137628190"/>
      <w:bookmarkStart w:id="24" w:name="_Toc104890601"/>
      <w:bookmarkStart w:id="25" w:name="_Toc101532966"/>
      <w:bookmarkStart w:id="26" w:name="_Toc101531655"/>
      <w:bookmarkStart w:id="27" w:name="_Toc101529305"/>
      <w:bookmarkStart w:id="28" w:name="_Toc106963773"/>
      <w:bookmarkStart w:id="29" w:name="_Toc107403341"/>
      <w:bookmarkStart w:id="30" w:name="_Toc106963448"/>
      <w:r>
        <w:rPr>
          <w:rStyle w:val="CharSchNo"/>
        </w:rPr>
        <w:t>Schedule 1</w:t>
      </w:r>
      <w:r>
        <w:t> — </w:t>
      </w:r>
      <w:r>
        <w:rPr>
          <w:rStyle w:val="CharSchText"/>
        </w:rPr>
        <w:t>Fees</w:t>
      </w:r>
      <w:bookmarkEnd w:id="21"/>
      <w:bookmarkEnd w:id="22"/>
      <w:bookmarkEnd w:id="23"/>
      <w:bookmarkEnd w:id="24"/>
      <w:bookmarkEnd w:id="25"/>
      <w:bookmarkEnd w:id="26"/>
      <w:bookmarkEnd w:id="27"/>
      <w:bookmarkEnd w:id="28"/>
      <w:bookmarkEnd w:id="29"/>
    </w:p>
    <w:p>
      <w:pPr>
        <w:pStyle w:val="yShoulderClause"/>
      </w:pPr>
      <w:r>
        <w:t>[r. 4(1)]</w:t>
      </w:r>
    </w:p>
    <w:p>
      <w:pPr>
        <w:pStyle w:val="yFootnoteheading"/>
        <w:spacing w:after="60"/>
      </w:pPr>
      <w:r>
        <w:tab/>
        <w:t>[Heading inserted: SL 2022/65 r. 9.]</w:t>
      </w:r>
    </w:p>
    <w:tbl>
      <w:tblPr>
        <w:tblW w:w="591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850"/>
        <w:gridCol w:w="3964"/>
        <w:gridCol w:w="1096"/>
      </w:tblGrid>
      <w:tr>
        <w:trPr>
          <w:cantSplit/>
          <w:tblHeader/>
        </w:trPr>
        <w:tc>
          <w:tcPr>
            <w:tcW w:w="850" w:type="dxa"/>
            <w:tcBorders>
              <w:top w:val="single" w:sz="4" w:space="0" w:color="auto"/>
              <w:left w:val="single" w:sz="4" w:space="0" w:color="auto"/>
              <w:bottom w:val="single" w:sz="4" w:space="0" w:color="auto"/>
              <w:right w:val="single" w:sz="4" w:space="0" w:color="auto"/>
            </w:tcBorders>
            <w:noWrap/>
          </w:tcPr>
          <w:p>
            <w:pPr>
              <w:pStyle w:val="yTableNAm"/>
            </w:pPr>
          </w:p>
        </w:tc>
        <w:tc>
          <w:tcPr>
            <w:tcW w:w="3964" w:type="dxa"/>
            <w:tcBorders>
              <w:top w:val="single" w:sz="4" w:space="0" w:color="auto"/>
              <w:left w:val="single" w:sz="4" w:space="0" w:color="auto"/>
              <w:bottom w:val="single" w:sz="4" w:space="0" w:color="auto"/>
              <w:right w:val="single" w:sz="4" w:space="0" w:color="auto"/>
            </w:tcBorders>
            <w:noWrap/>
            <w:hideMark/>
          </w:tcPr>
          <w:p>
            <w:pPr>
              <w:pStyle w:val="yTableNAm"/>
              <w:rPr>
                <w:b/>
              </w:rPr>
            </w:pPr>
            <w:r>
              <w:rPr>
                <w:b/>
              </w:rPr>
              <w:t>Purpose</w:t>
            </w:r>
          </w:p>
        </w:tc>
        <w:tc>
          <w:tcPr>
            <w:tcW w:w="1096" w:type="dxa"/>
            <w:tcBorders>
              <w:top w:val="single" w:sz="4" w:space="0" w:color="auto"/>
              <w:left w:val="single" w:sz="4" w:space="0" w:color="auto"/>
              <w:bottom w:val="single" w:sz="4" w:space="0" w:color="auto"/>
              <w:right w:val="single" w:sz="4" w:space="0" w:color="auto"/>
            </w:tcBorders>
            <w:noWrap/>
            <w:hideMark/>
          </w:tcPr>
          <w:p>
            <w:pPr>
              <w:pStyle w:val="yTableNAm"/>
            </w:pPr>
            <w:r>
              <w:rPr>
                <w:b/>
              </w:rPr>
              <w:t>Fee</w:t>
            </w:r>
          </w:p>
        </w:tc>
      </w:tr>
      <w:tr>
        <w:trPr>
          <w:cantSplit/>
        </w:trP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1.</w:t>
            </w:r>
          </w:p>
        </w:tc>
        <w:tc>
          <w:tcPr>
            <w:tcW w:w="3964" w:type="dxa"/>
            <w:tcBorders>
              <w:top w:val="single" w:sz="4" w:space="0" w:color="auto"/>
              <w:left w:val="single" w:sz="4" w:space="0" w:color="auto"/>
              <w:bottom w:val="single" w:sz="4" w:space="0" w:color="auto"/>
              <w:right w:val="single" w:sz="4" w:space="0" w:color="auto"/>
            </w:tcBorders>
            <w:noWrap/>
            <w:hideMark/>
          </w:tcPr>
          <w:p>
            <w:pPr>
              <w:pStyle w:val="yTableNAm"/>
            </w:pPr>
            <w:r>
              <w:t>Copy of traffic infringement notice record</w:t>
            </w:r>
          </w:p>
        </w:tc>
        <w:tc>
          <w:tcPr>
            <w:tcW w:w="109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61"/>
              <w:jc w:val="right"/>
            </w:pPr>
            <w:r>
              <w:t>$31.60</w:t>
            </w:r>
          </w:p>
        </w:tc>
      </w:tr>
      <w:tr>
        <w:trPr>
          <w:cantSplit/>
        </w:trP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2.</w:t>
            </w:r>
          </w:p>
        </w:tc>
        <w:tc>
          <w:tcPr>
            <w:tcW w:w="3964" w:type="dxa"/>
            <w:tcBorders>
              <w:top w:val="single" w:sz="4" w:space="0" w:color="auto"/>
              <w:left w:val="single" w:sz="4" w:space="0" w:color="auto"/>
              <w:bottom w:val="single" w:sz="4" w:space="0" w:color="auto"/>
              <w:right w:val="single" w:sz="4" w:space="0" w:color="auto"/>
            </w:tcBorders>
            <w:noWrap/>
            <w:hideMark/>
          </w:tcPr>
          <w:p>
            <w:pPr>
              <w:pStyle w:val="yTableNAm"/>
            </w:pPr>
            <w:r>
              <w:t xml:space="preserve">Escorts and guards — each person provided per hour and part of an hour for high risk escorts carried out by TRG </w:t>
            </w:r>
          </w:p>
        </w:tc>
        <w:tc>
          <w:tcPr>
            <w:tcW w:w="109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61"/>
              <w:jc w:val="right"/>
            </w:pPr>
            <w:r>
              <w:t>$151.30</w:t>
            </w:r>
          </w:p>
        </w:tc>
      </w:tr>
      <w:tr>
        <w:trPr>
          <w:cantSplit/>
        </w:trP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3.</w:t>
            </w:r>
          </w:p>
        </w:tc>
        <w:tc>
          <w:tcPr>
            <w:tcW w:w="3964" w:type="dxa"/>
            <w:tcBorders>
              <w:top w:val="single" w:sz="4" w:space="0" w:color="auto"/>
              <w:left w:val="single" w:sz="4" w:space="0" w:color="auto"/>
              <w:bottom w:val="single" w:sz="4" w:space="0" w:color="auto"/>
              <w:right w:val="single" w:sz="4" w:space="0" w:color="auto"/>
            </w:tcBorders>
            <w:noWrap/>
            <w:hideMark/>
          </w:tcPr>
          <w:p>
            <w:pPr>
              <w:pStyle w:val="yTableNAm"/>
            </w:pPr>
            <w:r>
              <w:t>Authorised copy of a photograph</w:t>
            </w:r>
          </w:p>
        </w:tc>
        <w:tc>
          <w:tcPr>
            <w:tcW w:w="109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61"/>
              <w:jc w:val="right"/>
            </w:pPr>
            <w:r>
              <w:t>$11.20</w:t>
            </w:r>
          </w:p>
        </w:tc>
      </w:tr>
      <w:tr>
        <w:trPr>
          <w:cantSplit/>
        </w:trPr>
        <w:tc>
          <w:tcPr>
            <w:tcW w:w="850" w:type="dxa"/>
            <w:tcBorders>
              <w:top w:val="single" w:sz="4" w:space="0" w:color="auto"/>
              <w:left w:val="single" w:sz="4" w:space="0" w:color="auto"/>
              <w:bottom w:val="nil"/>
              <w:right w:val="single" w:sz="4" w:space="0" w:color="auto"/>
            </w:tcBorders>
            <w:noWrap/>
            <w:hideMark/>
          </w:tcPr>
          <w:p>
            <w:pPr>
              <w:pStyle w:val="yTableNAm"/>
            </w:pPr>
            <w:r>
              <w:t>4.</w:t>
            </w:r>
          </w:p>
        </w:tc>
        <w:tc>
          <w:tcPr>
            <w:tcW w:w="3964" w:type="dxa"/>
            <w:tcBorders>
              <w:top w:val="single" w:sz="4" w:space="0" w:color="auto"/>
              <w:left w:val="single" w:sz="4" w:space="0" w:color="auto"/>
              <w:bottom w:val="nil"/>
              <w:right w:val="single" w:sz="4" w:space="0" w:color="auto"/>
            </w:tcBorders>
            <w:noWrap/>
            <w:hideMark/>
          </w:tcPr>
          <w:p>
            <w:pPr>
              <w:pStyle w:val="yTableNAm"/>
            </w:pPr>
            <w:r>
              <w:t xml:space="preserve">National criminal history record check — </w:t>
            </w:r>
          </w:p>
        </w:tc>
        <w:tc>
          <w:tcPr>
            <w:tcW w:w="1096" w:type="dxa"/>
            <w:tcBorders>
              <w:top w:val="single" w:sz="4" w:space="0" w:color="auto"/>
              <w:left w:val="single" w:sz="4" w:space="0" w:color="auto"/>
              <w:bottom w:val="nil"/>
              <w:right w:val="single" w:sz="4" w:space="0" w:color="auto"/>
            </w:tcBorders>
            <w:noWrap/>
          </w:tcPr>
          <w:p>
            <w:pPr>
              <w:pStyle w:val="yTableNAm"/>
            </w:pPr>
          </w:p>
        </w:tc>
      </w:tr>
      <w:tr>
        <w:trPr>
          <w:cantSplit/>
        </w:trPr>
        <w:tc>
          <w:tcPr>
            <w:tcW w:w="850" w:type="dxa"/>
            <w:tcBorders>
              <w:top w:val="nil"/>
              <w:left w:val="single" w:sz="4" w:space="0" w:color="auto"/>
              <w:bottom w:val="nil"/>
              <w:right w:val="single" w:sz="4" w:space="0" w:color="auto"/>
            </w:tcBorders>
            <w:noWrap/>
          </w:tcPr>
          <w:p>
            <w:pPr>
              <w:pStyle w:val="yTableNAm"/>
            </w:pPr>
          </w:p>
        </w:tc>
        <w:tc>
          <w:tcPr>
            <w:tcW w:w="3964" w:type="dxa"/>
            <w:tcBorders>
              <w:top w:val="nil"/>
              <w:left w:val="single" w:sz="4" w:space="0" w:color="auto"/>
              <w:bottom w:val="nil"/>
              <w:right w:val="single" w:sz="4" w:space="0" w:color="auto"/>
            </w:tcBorders>
            <w:noWrap/>
            <w:hideMark/>
          </w:tcPr>
          <w:p>
            <w:pPr>
              <w:pStyle w:val="yTableNAm"/>
              <w:tabs>
                <w:tab w:val="clear" w:pos="567"/>
                <w:tab w:val="left" w:pos="720"/>
              </w:tabs>
              <w:ind w:left="487" w:hanging="487"/>
            </w:pPr>
            <w:r>
              <w:t>(a)</w:t>
            </w:r>
            <w:r>
              <w:tab/>
              <w:t>issued to a volunteer organisation</w:t>
            </w:r>
          </w:p>
        </w:tc>
        <w:tc>
          <w:tcPr>
            <w:tcW w:w="1096" w:type="dxa"/>
            <w:tcBorders>
              <w:top w:val="nil"/>
              <w:left w:val="single" w:sz="4" w:space="0" w:color="auto"/>
              <w:bottom w:val="nil"/>
              <w:right w:val="single" w:sz="4" w:space="0" w:color="auto"/>
            </w:tcBorders>
            <w:noWrap/>
            <w:hideMark/>
          </w:tcPr>
          <w:p>
            <w:pPr>
              <w:pStyle w:val="yTableNAm"/>
              <w:ind w:right="61"/>
              <w:jc w:val="right"/>
            </w:pPr>
            <w:r>
              <w:t>$17.00</w:t>
            </w:r>
          </w:p>
        </w:tc>
      </w:tr>
      <w:tr>
        <w:trPr>
          <w:cantSplit/>
        </w:trPr>
        <w:tc>
          <w:tcPr>
            <w:tcW w:w="850" w:type="dxa"/>
            <w:tcBorders>
              <w:top w:val="nil"/>
              <w:left w:val="single" w:sz="4" w:space="0" w:color="auto"/>
              <w:bottom w:val="single" w:sz="4" w:space="0" w:color="auto"/>
              <w:right w:val="single" w:sz="4" w:space="0" w:color="auto"/>
            </w:tcBorders>
            <w:noWrap/>
          </w:tcPr>
          <w:p>
            <w:pPr>
              <w:pStyle w:val="yTableNAm"/>
            </w:pPr>
          </w:p>
        </w:tc>
        <w:tc>
          <w:tcPr>
            <w:tcW w:w="3964" w:type="dxa"/>
            <w:tcBorders>
              <w:top w:val="nil"/>
              <w:left w:val="single" w:sz="4" w:space="0" w:color="auto"/>
              <w:bottom w:val="single" w:sz="4" w:space="0" w:color="auto"/>
              <w:right w:val="single" w:sz="4" w:space="0" w:color="auto"/>
            </w:tcBorders>
            <w:noWrap/>
            <w:hideMark/>
          </w:tcPr>
          <w:p>
            <w:pPr>
              <w:pStyle w:val="yTableNAm"/>
              <w:tabs>
                <w:tab w:val="clear" w:pos="567"/>
                <w:tab w:val="left" w:pos="720"/>
              </w:tabs>
              <w:ind w:left="487" w:hanging="487"/>
            </w:pPr>
            <w:r>
              <w:t>(b)</w:t>
            </w:r>
            <w:r>
              <w:tab/>
              <w:t>issued to a public sector body</w:t>
            </w:r>
          </w:p>
        </w:tc>
        <w:tc>
          <w:tcPr>
            <w:tcW w:w="1096" w:type="dxa"/>
            <w:tcBorders>
              <w:top w:val="nil"/>
              <w:left w:val="single" w:sz="4" w:space="0" w:color="auto"/>
              <w:bottom w:val="single" w:sz="4" w:space="0" w:color="auto"/>
              <w:right w:val="single" w:sz="4" w:space="0" w:color="auto"/>
            </w:tcBorders>
            <w:noWrap/>
            <w:hideMark/>
          </w:tcPr>
          <w:p>
            <w:pPr>
              <w:pStyle w:val="yTableNAm"/>
              <w:ind w:right="61"/>
              <w:jc w:val="right"/>
            </w:pPr>
            <w:r>
              <w:t>$34.50</w:t>
            </w:r>
          </w:p>
        </w:tc>
      </w:tr>
      <w:tr>
        <w:trPr>
          <w:cantSplit/>
        </w:trP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5.</w:t>
            </w:r>
          </w:p>
        </w:tc>
        <w:tc>
          <w:tcPr>
            <w:tcW w:w="3964" w:type="dxa"/>
            <w:tcBorders>
              <w:top w:val="single" w:sz="4" w:space="0" w:color="auto"/>
              <w:left w:val="single" w:sz="4" w:space="0" w:color="auto"/>
              <w:bottom w:val="single" w:sz="4" w:space="0" w:color="auto"/>
              <w:right w:val="single" w:sz="4" w:space="0" w:color="auto"/>
            </w:tcBorders>
            <w:noWrap/>
            <w:hideMark/>
          </w:tcPr>
          <w:p>
            <w:pPr>
              <w:pStyle w:val="yTableNAm"/>
            </w:pPr>
            <w:r>
              <w:t>National police certificate</w:t>
            </w:r>
          </w:p>
        </w:tc>
        <w:tc>
          <w:tcPr>
            <w:tcW w:w="1096" w:type="dxa"/>
            <w:tcBorders>
              <w:top w:val="single" w:sz="4" w:space="0" w:color="auto"/>
              <w:left w:val="single" w:sz="4" w:space="0" w:color="auto"/>
              <w:bottom w:val="single" w:sz="4" w:space="0" w:color="auto"/>
              <w:right w:val="single" w:sz="4" w:space="0" w:color="auto"/>
            </w:tcBorders>
            <w:noWrap/>
            <w:hideMark/>
          </w:tcPr>
          <w:p>
            <w:pPr>
              <w:pStyle w:val="yTableNAm"/>
              <w:ind w:right="61"/>
              <w:jc w:val="right"/>
            </w:pPr>
            <w:r>
              <w:t>$58.70</w:t>
            </w:r>
          </w:p>
        </w:tc>
      </w:tr>
      <w:tr>
        <w:trPr>
          <w:cantSplit/>
        </w:trPr>
        <w:tc>
          <w:tcPr>
            <w:tcW w:w="850" w:type="dxa"/>
            <w:tcBorders>
              <w:top w:val="single" w:sz="4" w:space="0" w:color="auto"/>
              <w:left w:val="single" w:sz="4" w:space="0" w:color="auto"/>
              <w:bottom w:val="nil"/>
              <w:right w:val="single" w:sz="4" w:space="0" w:color="auto"/>
            </w:tcBorders>
            <w:noWrap/>
            <w:hideMark/>
          </w:tcPr>
          <w:p>
            <w:pPr>
              <w:pStyle w:val="yTableNAm"/>
              <w:keepNext/>
            </w:pPr>
            <w:r>
              <w:t>6.</w:t>
            </w:r>
          </w:p>
        </w:tc>
        <w:tc>
          <w:tcPr>
            <w:tcW w:w="3964" w:type="dxa"/>
            <w:tcBorders>
              <w:top w:val="single" w:sz="4" w:space="0" w:color="auto"/>
              <w:left w:val="single" w:sz="4" w:space="0" w:color="auto"/>
              <w:bottom w:val="nil"/>
              <w:right w:val="single" w:sz="4" w:space="0" w:color="auto"/>
            </w:tcBorders>
            <w:noWrap/>
            <w:hideMark/>
          </w:tcPr>
          <w:p>
            <w:pPr>
              <w:pStyle w:val="yTableNAm"/>
              <w:keepNext/>
            </w:pPr>
            <w:r>
              <w:t xml:space="preserve">Provision of incident information as defined in the </w:t>
            </w:r>
            <w:r>
              <w:rPr>
                <w:i/>
              </w:rPr>
              <w:t xml:space="preserve">Road Traffic (Administration) Act 2008 </w:t>
            </w:r>
            <w:r>
              <w:t>section 12(1) —</w:t>
            </w:r>
          </w:p>
        </w:tc>
        <w:tc>
          <w:tcPr>
            <w:tcW w:w="1096" w:type="dxa"/>
            <w:tcBorders>
              <w:top w:val="single" w:sz="4" w:space="0" w:color="auto"/>
              <w:left w:val="single" w:sz="4" w:space="0" w:color="auto"/>
              <w:bottom w:val="nil"/>
              <w:right w:val="single" w:sz="4" w:space="0" w:color="auto"/>
            </w:tcBorders>
            <w:noWrap/>
          </w:tcPr>
          <w:p>
            <w:pPr>
              <w:pStyle w:val="yTableNAm"/>
              <w:keepNext/>
            </w:pPr>
          </w:p>
        </w:tc>
      </w:tr>
      <w:tr>
        <w:trPr>
          <w:cantSplit/>
        </w:trPr>
        <w:tc>
          <w:tcPr>
            <w:tcW w:w="850" w:type="dxa"/>
            <w:tcBorders>
              <w:top w:val="nil"/>
              <w:left w:val="single" w:sz="4" w:space="0" w:color="auto"/>
              <w:bottom w:val="nil"/>
              <w:right w:val="single" w:sz="4" w:space="0" w:color="auto"/>
            </w:tcBorders>
            <w:noWrap/>
          </w:tcPr>
          <w:p>
            <w:pPr>
              <w:pStyle w:val="yTableNAm"/>
            </w:pPr>
          </w:p>
        </w:tc>
        <w:tc>
          <w:tcPr>
            <w:tcW w:w="3964" w:type="dxa"/>
            <w:tcBorders>
              <w:top w:val="nil"/>
              <w:left w:val="single" w:sz="4" w:space="0" w:color="auto"/>
              <w:bottom w:val="nil"/>
              <w:right w:val="single" w:sz="4" w:space="0" w:color="auto"/>
            </w:tcBorders>
            <w:noWrap/>
            <w:hideMark/>
          </w:tcPr>
          <w:p>
            <w:pPr>
              <w:pStyle w:val="yTableNAm"/>
              <w:tabs>
                <w:tab w:val="clear" w:pos="567"/>
                <w:tab w:val="left" w:pos="720"/>
              </w:tabs>
              <w:ind w:left="487" w:hanging="487"/>
            </w:pPr>
            <w:r>
              <w:t>(a)</w:t>
            </w:r>
            <w:r>
              <w:tab/>
              <w:t>to those involved or their representatives (outlining certain accident details)</w:t>
            </w:r>
          </w:p>
        </w:tc>
        <w:tc>
          <w:tcPr>
            <w:tcW w:w="1096" w:type="dxa"/>
            <w:tcBorders>
              <w:top w:val="nil"/>
              <w:left w:val="single" w:sz="4" w:space="0" w:color="auto"/>
              <w:bottom w:val="nil"/>
              <w:right w:val="single" w:sz="4" w:space="0" w:color="auto"/>
            </w:tcBorders>
            <w:noWrap/>
            <w:vAlign w:val="bottom"/>
            <w:hideMark/>
          </w:tcPr>
          <w:p>
            <w:pPr>
              <w:pStyle w:val="yTableNAm"/>
              <w:ind w:right="61"/>
              <w:jc w:val="right"/>
            </w:pPr>
            <w:r>
              <w:t>$49.20</w:t>
            </w:r>
          </w:p>
        </w:tc>
      </w:tr>
      <w:tr>
        <w:trPr>
          <w:cantSplit/>
        </w:trPr>
        <w:tc>
          <w:tcPr>
            <w:tcW w:w="850" w:type="dxa"/>
            <w:tcBorders>
              <w:top w:val="nil"/>
              <w:left w:val="single" w:sz="4" w:space="0" w:color="auto"/>
              <w:bottom w:val="single" w:sz="4" w:space="0" w:color="auto"/>
              <w:right w:val="single" w:sz="4" w:space="0" w:color="auto"/>
            </w:tcBorders>
            <w:noWrap/>
          </w:tcPr>
          <w:p>
            <w:pPr>
              <w:pStyle w:val="yTableNAm"/>
            </w:pPr>
          </w:p>
        </w:tc>
        <w:tc>
          <w:tcPr>
            <w:tcW w:w="3964" w:type="dxa"/>
            <w:tcBorders>
              <w:top w:val="nil"/>
              <w:left w:val="single" w:sz="4" w:space="0" w:color="auto"/>
              <w:bottom w:val="single" w:sz="4" w:space="0" w:color="auto"/>
              <w:right w:val="single" w:sz="4" w:space="0" w:color="auto"/>
            </w:tcBorders>
            <w:noWrap/>
            <w:hideMark/>
          </w:tcPr>
          <w:p>
            <w:pPr>
              <w:pStyle w:val="yTableNAm"/>
              <w:tabs>
                <w:tab w:val="clear" w:pos="567"/>
                <w:tab w:val="left" w:pos="720"/>
              </w:tabs>
              <w:ind w:left="487" w:hanging="487"/>
            </w:pPr>
            <w:r>
              <w:t>(b)</w:t>
            </w:r>
            <w:r>
              <w:tab/>
              <w:t>to the Insurance Commission of Western Australia for third party insurance purposes</w:t>
            </w:r>
          </w:p>
        </w:tc>
        <w:tc>
          <w:tcPr>
            <w:tcW w:w="1096" w:type="dxa"/>
            <w:tcBorders>
              <w:top w:val="nil"/>
              <w:left w:val="single" w:sz="4" w:space="0" w:color="auto"/>
              <w:bottom w:val="single" w:sz="4" w:space="0" w:color="auto"/>
              <w:right w:val="single" w:sz="4" w:space="0" w:color="auto"/>
            </w:tcBorders>
            <w:noWrap/>
            <w:vAlign w:val="bottom"/>
            <w:hideMark/>
          </w:tcPr>
          <w:p>
            <w:pPr>
              <w:pStyle w:val="yTableNAm"/>
              <w:ind w:right="61"/>
              <w:jc w:val="right"/>
            </w:pPr>
            <w:r>
              <w:t>$49.20</w:t>
            </w:r>
          </w:p>
        </w:tc>
      </w:tr>
      <w:tr>
        <w:trPr>
          <w:cantSplit/>
        </w:trP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7.</w:t>
            </w:r>
          </w:p>
        </w:tc>
        <w:tc>
          <w:tcPr>
            <w:tcW w:w="3964" w:type="dxa"/>
            <w:tcBorders>
              <w:top w:val="single" w:sz="4" w:space="0" w:color="auto"/>
              <w:left w:val="single" w:sz="4" w:space="0" w:color="auto"/>
              <w:bottom w:val="single" w:sz="4" w:space="0" w:color="auto"/>
              <w:right w:val="single" w:sz="4" w:space="0" w:color="auto"/>
            </w:tcBorders>
            <w:noWrap/>
            <w:hideMark/>
          </w:tcPr>
          <w:p>
            <w:pPr>
              <w:pStyle w:val="yTableNAm"/>
            </w:pPr>
            <w:r>
              <w:t xml:space="preserve">Provision of information about a reported incident, other than incident information as defined in the </w:t>
            </w:r>
            <w:r>
              <w:rPr>
                <w:i/>
              </w:rPr>
              <w:t xml:space="preserve">Road Traffic (Administration) Act 2008 </w:t>
            </w:r>
            <w:r>
              <w:t>section 12(1), to those involved or their representatives (outlining certain incident details)</w:t>
            </w:r>
          </w:p>
        </w:tc>
        <w:tc>
          <w:tcPr>
            <w:tcW w:w="109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61"/>
              <w:jc w:val="right"/>
            </w:pPr>
            <w:r>
              <w:t>$49.10</w:t>
            </w:r>
          </w:p>
        </w:tc>
      </w:tr>
      <w:tr>
        <w:trPr>
          <w:cantSplit/>
        </w:trPr>
        <w:tc>
          <w:tcPr>
            <w:tcW w:w="850" w:type="dxa"/>
            <w:tcBorders>
              <w:top w:val="single" w:sz="4" w:space="0" w:color="auto"/>
              <w:left w:val="single" w:sz="4" w:space="0" w:color="auto"/>
              <w:bottom w:val="nil"/>
              <w:right w:val="single" w:sz="4" w:space="0" w:color="auto"/>
            </w:tcBorders>
            <w:noWrap/>
            <w:hideMark/>
          </w:tcPr>
          <w:p>
            <w:pPr>
              <w:pStyle w:val="yTableNAm"/>
            </w:pPr>
            <w:r>
              <w:t>8.</w:t>
            </w:r>
          </w:p>
        </w:tc>
        <w:tc>
          <w:tcPr>
            <w:tcW w:w="3964" w:type="dxa"/>
            <w:tcBorders>
              <w:top w:val="single" w:sz="4" w:space="0" w:color="auto"/>
              <w:left w:val="single" w:sz="4" w:space="0" w:color="auto"/>
              <w:bottom w:val="nil"/>
              <w:right w:val="single" w:sz="4" w:space="0" w:color="auto"/>
            </w:tcBorders>
            <w:noWrap/>
            <w:hideMark/>
          </w:tcPr>
          <w:p>
            <w:pPr>
              <w:pStyle w:val="yTableNAm"/>
            </w:pPr>
            <w:r>
              <w:t xml:space="preserve">Replacement of prosecution documents — </w:t>
            </w:r>
          </w:p>
        </w:tc>
        <w:tc>
          <w:tcPr>
            <w:tcW w:w="1096" w:type="dxa"/>
            <w:tcBorders>
              <w:top w:val="single" w:sz="4" w:space="0" w:color="auto"/>
              <w:left w:val="single" w:sz="4" w:space="0" w:color="auto"/>
              <w:bottom w:val="nil"/>
              <w:right w:val="single" w:sz="4" w:space="0" w:color="auto"/>
            </w:tcBorders>
            <w:noWrap/>
          </w:tcPr>
          <w:p>
            <w:pPr>
              <w:pStyle w:val="yTableNAm"/>
            </w:pPr>
          </w:p>
        </w:tc>
      </w:tr>
      <w:tr>
        <w:trPr>
          <w:cantSplit/>
        </w:trPr>
        <w:tc>
          <w:tcPr>
            <w:tcW w:w="850" w:type="dxa"/>
            <w:tcBorders>
              <w:top w:val="nil"/>
              <w:left w:val="single" w:sz="4" w:space="0" w:color="auto"/>
              <w:bottom w:val="nil"/>
              <w:right w:val="single" w:sz="4" w:space="0" w:color="auto"/>
            </w:tcBorders>
            <w:noWrap/>
          </w:tcPr>
          <w:p>
            <w:pPr>
              <w:pStyle w:val="yTableNAm"/>
            </w:pPr>
          </w:p>
        </w:tc>
        <w:tc>
          <w:tcPr>
            <w:tcW w:w="3964" w:type="dxa"/>
            <w:tcBorders>
              <w:top w:val="nil"/>
              <w:left w:val="single" w:sz="4" w:space="0" w:color="auto"/>
              <w:bottom w:val="nil"/>
              <w:right w:val="single" w:sz="4" w:space="0" w:color="auto"/>
            </w:tcBorders>
            <w:noWrap/>
            <w:hideMark/>
          </w:tcPr>
          <w:p>
            <w:pPr>
              <w:pStyle w:val="yTableNAm"/>
              <w:tabs>
                <w:tab w:val="clear" w:pos="567"/>
                <w:tab w:val="left" w:pos="720"/>
              </w:tabs>
              <w:ind w:left="487" w:hanging="487"/>
            </w:pPr>
            <w:r>
              <w:t>(a)</w:t>
            </w:r>
            <w:r>
              <w:tab/>
              <w:t>a statement of the material facts of a charge, which has already been served (per hour or part of an hour)</w:t>
            </w:r>
          </w:p>
        </w:tc>
        <w:tc>
          <w:tcPr>
            <w:tcW w:w="1096" w:type="dxa"/>
            <w:tcBorders>
              <w:top w:val="nil"/>
              <w:left w:val="single" w:sz="4" w:space="0" w:color="auto"/>
              <w:bottom w:val="nil"/>
              <w:right w:val="single" w:sz="4" w:space="0" w:color="auto"/>
            </w:tcBorders>
            <w:noWrap/>
            <w:vAlign w:val="bottom"/>
            <w:hideMark/>
          </w:tcPr>
          <w:p>
            <w:pPr>
              <w:pStyle w:val="yTableNAm"/>
              <w:ind w:right="61"/>
              <w:jc w:val="right"/>
            </w:pPr>
            <w:r>
              <w:t>$98.00</w:t>
            </w:r>
          </w:p>
        </w:tc>
      </w:tr>
      <w:tr>
        <w:trPr>
          <w:cantSplit/>
        </w:trPr>
        <w:tc>
          <w:tcPr>
            <w:tcW w:w="850" w:type="dxa"/>
            <w:tcBorders>
              <w:top w:val="nil"/>
              <w:left w:val="single" w:sz="4" w:space="0" w:color="auto"/>
              <w:bottom w:val="single" w:sz="4" w:space="0" w:color="auto"/>
              <w:right w:val="single" w:sz="4" w:space="0" w:color="auto"/>
            </w:tcBorders>
            <w:noWrap/>
          </w:tcPr>
          <w:p>
            <w:pPr>
              <w:pStyle w:val="yTableNAm"/>
            </w:pPr>
          </w:p>
        </w:tc>
        <w:tc>
          <w:tcPr>
            <w:tcW w:w="3964" w:type="dxa"/>
            <w:tcBorders>
              <w:top w:val="nil"/>
              <w:left w:val="single" w:sz="4" w:space="0" w:color="auto"/>
              <w:bottom w:val="single" w:sz="4" w:space="0" w:color="auto"/>
              <w:right w:val="single" w:sz="4" w:space="0" w:color="auto"/>
            </w:tcBorders>
            <w:noWrap/>
            <w:hideMark/>
          </w:tcPr>
          <w:p>
            <w:pPr>
              <w:pStyle w:val="yTableNAm"/>
              <w:tabs>
                <w:tab w:val="clear" w:pos="567"/>
                <w:tab w:val="left" w:pos="720"/>
              </w:tabs>
              <w:ind w:left="487" w:hanging="487"/>
            </w:pPr>
            <w:r>
              <w:t>(b)</w:t>
            </w:r>
            <w:r>
              <w:tab/>
              <w:t>additional copy of documents already disclosed (per hour or part of an hour)</w:t>
            </w:r>
          </w:p>
        </w:tc>
        <w:tc>
          <w:tcPr>
            <w:tcW w:w="1096" w:type="dxa"/>
            <w:tcBorders>
              <w:top w:val="nil"/>
              <w:left w:val="single" w:sz="4" w:space="0" w:color="auto"/>
              <w:bottom w:val="single" w:sz="4" w:space="0" w:color="auto"/>
              <w:right w:val="single" w:sz="4" w:space="0" w:color="auto"/>
            </w:tcBorders>
            <w:noWrap/>
            <w:vAlign w:val="bottom"/>
            <w:hideMark/>
          </w:tcPr>
          <w:p>
            <w:pPr>
              <w:pStyle w:val="yTableNAm"/>
              <w:ind w:right="61"/>
              <w:jc w:val="right"/>
            </w:pPr>
            <w:r>
              <w:t>$98.00</w:t>
            </w:r>
          </w:p>
        </w:tc>
      </w:tr>
    </w:tbl>
    <w:p>
      <w:pPr>
        <w:pStyle w:val="yFootnotesection"/>
      </w:pPr>
      <w:bookmarkStart w:id="31" w:name="_Toc104890602"/>
      <w:bookmarkStart w:id="32" w:name="_Toc101532967"/>
      <w:bookmarkStart w:id="33" w:name="_Toc101531656"/>
      <w:bookmarkStart w:id="34" w:name="_Toc101529306"/>
      <w:r>
        <w:tab/>
        <w:t>[Schedule 1 inserted: SL 2022/65 r. 9.]</w:t>
      </w:r>
    </w:p>
    <w:p>
      <w:pPr>
        <w:pStyle w:val="yScheduleHeading"/>
      </w:pPr>
      <w:bookmarkStart w:id="35" w:name="_Toc137565265"/>
      <w:bookmarkStart w:id="36" w:name="_Toc137565545"/>
      <w:bookmarkStart w:id="37" w:name="_Toc137628191"/>
      <w:bookmarkStart w:id="38" w:name="_Toc106963774"/>
      <w:bookmarkStart w:id="39" w:name="_Toc107403342"/>
      <w:r>
        <w:rPr>
          <w:rStyle w:val="CharSchNo"/>
        </w:rPr>
        <w:t>Schedule 2</w:t>
      </w:r>
      <w:r>
        <w:t> — </w:t>
      </w:r>
      <w:r>
        <w:rPr>
          <w:rStyle w:val="CharSchText"/>
        </w:rPr>
        <w:t>Charges for major events</w:t>
      </w:r>
      <w:bookmarkEnd w:id="35"/>
      <w:bookmarkEnd w:id="36"/>
      <w:bookmarkEnd w:id="37"/>
      <w:bookmarkEnd w:id="31"/>
      <w:bookmarkEnd w:id="32"/>
      <w:bookmarkEnd w:id="33"/>
      <w:bookmarkEnd w:id="34"/>
      <w:bookmarkEnd w:id="38"/>
      <w:bookmarkEnd w:id="39"/>
    </w:p>
    <w:p>
      <w:pPr>
        <w:pStyle w:val="yShoulderClause"/>
      </w:pPr>
      <w:r>
        <w:t>[r. 6 and 8]</w:t>
      </w:r>
    </w:p>
    <w:p>
      <w:pPr>
        <w:pStyle w:val="yFootnoteheading"/>
        <w:spacing w:after="60"/>
      </w:pPr>
      <w:r>
        <w:tab/>
        <w:t>[Heading inserted: SL 2022/65 r. 9.]</w:t>
      </w:r>
    </w:p>
    <w:tbl>
      <w:tblPr>
        <w:tblW w:w="591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850"/>
        <w:gridCol w:w="3822"/>
        <w:gridCol w:w="1238"/>
      </w:tblGrid>
      <w:tr>
        <w:trPr>
          <w:tblHeader/>
        </w:trPr>
        <w:tc>
          <w:tcPr>
            <w:tcW w:w="850" w:type="dxa"/>
            <w:tcBorders>
              <w:top w:val="single" w:sz="4" w:space="0" w:color="auto"/>
              <w:left w:val="single" w:sz="4" w:space="0" w:color="auto"/>
              <w:bottom w:val="single" w:sz="4" w:space="0" w:color="auto"/>
              <w:right w:val="single" w:sz="4" w:space="0" w:color="auto"/>
            </w:tcBorders>
            <w:noWrap/>
          </w:tcPr>
          <w:p>
            <w:pPr>
              <w:pStyle w:val="yTableNAm"/>
            </w:pPr>
          </w:p>
        </w:tc>
        <w:tc>
          <w:tcPr>
            <w:tcW w:w="3822" w:type="dxa"/>
            <w:tcBorders>
              <w:top w:val="single" w:sz="4" w:space="0" w:color="auto"/>
              <w:left w:val="single" w:sz="4" w:space="0" w:color="auto"/>
              <w:bottom w:val="single" w:sz="4" w:space="0" w:color="auto"/>
              <w:right w:val="single" w:sz="4" w:space="0" w:color="auto"/>
            </w:tcBorders>
            <w:noWrap/>
            <w:hideMark/>
          </w:tcPr>
          <w:p>
            <w:pPr>
              <w:pStyle w:val="yTableNAm"/>
              <w:rPr>
                <w:b/>
              </w:rPr>
            </w:pPr>
            <w:r>
              <w:rPr>
                <w:b/>
              </w:rPr>
              <w:t>Charge</w:t>
            </w:r>
          </w:p>
        </w:tc>
        <w:tc>
          <w:tcPr>
            <w:tcW w:w="1238" w:type="dxa"/>
            <w:tcBorders>
              <w:top w:val="single" w:sz="4" w:space="0" w:color="auto"/>
              <w:left w:val="single" w:sz="4" w:space="0" w:color="auto"/>
              <w:bottom w:val="single" w:sz="4" w:space="0" w:color="auto"/>
              <w:right w:val="single" w:sz="4" w:space="0" w:color="auto"/>
            </w:tcBorders>
            <w:noWrap/>
            <w:hideMark/>
          </w:tcPr>
          <w:p>
            <w:pPr>
              <w:pStyle w:val="yTableNAm"/>
              <w:rPr>
                <w:b/>
              </w:rPr>
            </w:pPr>
            <w:r>
              <w:rPr>
                <w:b/>
              </w:rPr>
              <w:t>Rate/hour</w:t>
            </w:r>
          </w:p>
        </w:tc>
      </w:tr>
      <w:t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1.</w:t>
            </w:r>
          </w:p>
        </w:tc>
        <w:tc>
          <w:tcPr>
            <w:tcW w:w="3822" w:type="dxa"/>
            <w:tcBorders>
              <w:top w:val="single" w:sz="4" w:space="0" w:color="auto"/>
              <w:left w:val="single" w:sz="4" w:space="0" w:color="auto"/>
              <w:bottom w:val="single" w:sz="4" w:space="0" w:color="auto"/>
              <w:right w:val="single" w:sz="4" w:space="0" w:color="auto"/>
            </w:tcBorders>
            <w:noWrap/>
            <w:hideMark/>
          </w:tcPr>
          <w:p>
            <w:pPr>
              <w:pStyle w:val="yTableNAm"/>
            </w:pPr>
            <w:r>
              <w:t>Planning rate</w:t>
            </w:r>
          </w:p>
        </w:tc>
        <w:tc>
          <w:tcPr>
            <w:tcW w:w="1238" w:type="dxa"/>
            <w:tcBorders>
              <w:top w:val="single" w:sz="4" w:space="0" w:color="auto"/>
              <w:left w:val="single" w:sz="4" w:space="0" w:color="auto"/>
              <w:bottom w:val="single" w:sz="4" w:space="0" w:color="auto"/>
              <w:right w:val="single" w:sz="4" w:space="0" w:color="auto"/>
            </w:tcBorders>
            <w:noWrap/>
            <w:hideMark/>
          </w:tcPr>
          <w:p>
            <w:pPr>
              <w:pStyle w:val="yTableNAm"/>
              <w:ind w:right="61"/>
              <w:jc w:val="right"/>
            </w:pPr>
            <w:r>
              <w:t>$63.00</w:t>
            </w:r>
          </w:p>
        </w:tc>
      </w:tr>
      <w:t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2.</w:t>
            </w:r>
          </w:p>
        </w:tc>
        <w:tc>
          <w:tcPr>
            <w:tcW w:w="3822" w:type="dxa"/>
            <w:tcBorders>
              <w:top w:val="single" w:sz="4" w:space="0" w:color="auto"/>
              <w:left w:val="single" w:sz="4" w:space="0" w:color="auto"/>
              <w:bottom w:val="single" w:sz="4" w:space="0" w:color="auto"/>
              <w:right w:val="single" w:sz="4" w:space="0" w:color="auto"/>
            </w:tcBorders>
            <w:noWrap/>
            <w:hideMark/>
          </w:tcPr>
          <w:p>
            <w:pPr>
              <w:pStyle w:val="yTableNAm"/>
            </w:pPr>
            <w:r>
              <w:t>Attendance rate</w:t>
            </w:r>
          </w:p>
        </w:tc>
        <w:tc>
          <w:tcPr>
            <w:tcW w:w="1238" w:type="dxa"/>
            <w:tcBorders>
              <w:top w:val="single" w:sz="4" w:space="0" w:color="auto"/>
              <w:left w:val="single" w:sz="4" w:space="0" w:color="auto"/>
              <w:bottom w:val="single" w:sz="4" w:space="0" w:color="auto"/>
              <w:right w:val="single" w:sz="4" w:space="0" w:color="auto"/>
            </w:tcBorders>
            <w:noWrap/>
            <w:hideMark/>
          </w:tcPr>
          <w:p>
            <w:pPr>
              <w:pStyle w:val="yTableNAm"/>
              <w:ind w:right="61"/>
              <w:jc w:val="right"/>
            </w:pPr>
            <w:r>
              <w:t>$113.00</w:t>
            </w:r>
          </w:p>
        </w:tc>
      </w:tr>
      <w:t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3.</w:t>
            </w:r>
          </w:p>
        </w:tc>
        <w:tc>
          <w:tcPr>
            <w:tcW w:w="3822" w:type="dxa"/>
            <w:tcBorders>
              <w:top w:val="single" w:sz="4" w:space="0" w:color="auto"/>
              <w:left w:val="single" w:sz="4" w:space="0" w:color="auto"/>
              <w:bottom w:val="single" w:sz="4" w:space="0" w:color="auto"/>
              <w:right w:val="single" w:sz="4" w:space="0" w:color="auto"/>
            </w:tcBorders>
            <w:noWrap/>
            <w:hideMark/>
          </w:tcPr>
          <w:p>
            <w:pPr>
              <w:pStyle w:val="yTableNAm"/>
            </w:pPr>
            <w:r>
              <w:t>General overhead expenses rate</w:t>
            </w:r>
          </w:p>
        </w:tc>
        <w:tc>
          <w:tcPr>
            <w:tcW w:w="1238" w:type="dxa"/>
            <w:tcBorders>
              <w:top w:val="single" w:sz="4" w:space="0" w:color="auto"/>
              <w:left w:val="single" w:sz="4" w:space="0" w:color="auto"/>
              <w:bottom w:val="single" w:sz="4" w:space="0" w:color="auto"/>
              <w:right w:val="single" w:sz="4" w:space="0" w:color="auto"/>
            </w:tcBorders>
            <w:noWrap/>
            <w:hideMark/>
          </w:tcPr>
          <w:p>
            <w:pPr>
              <w:pStyle w:val="yTableNAm"/>
              <w:ind w:right="61"/>
              <w:jc w:val="right"/>
            </w:pPr>
            <w:r>
              <w:t>$20.00</w:t>
            </w:r>
          </w:p>
        </w:tc>
      </w:tr>
      <w:t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4.</w:t>
            </w:r>
          </w:p>
        </w:tc>
        <w:tc>
          <w:tcPr>
            <w:tcW w:w="3822" w:type="dxa"/>
            <w:tcBorders>
              <w:top w:val="single" w:sz="4" w:space="0" w:color="auto"/>
              <w:left w:val="single" w:sz="4" w:space="0" w:color="auto"/>
              <w:bottom w:val="single" w:sz="4" w:space="0" w:color="auto"/>
              <w:right w:val="single" w:sz="4" w:space="0" w:color="auto"/>
            </w:tcBorders>
            <w:noWrap/>
            <w:hideMark/>
          </w:tcPr>
          <w:p>
            <w:pPr>
              <w:pStyle w:val="yTableNAm"/>
            </w:pPr>
            <w:r>
              <w:t>Overhead expenses rate for air support — helicopter</w:t>
            </w:r>
          </w:p>
        </w:tc>
        <w:tc>
          <w:tcPr>
            <w:tcW w:w="1238"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61"/>
              <w:jc w:val="right"/>
            </w:pPr>
            <w:r>
              <w:t>$3 196.00</w:t>
            </w:r>
          </w:p>
        </w:tc>
      </w:tr>
      <w:t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5.</w:t>
            </w:r>
          </w:p>
        </w:tc>
        <w:tc>
          <w:tcPr>
            <w:tcW w:w="3822" w:type="dxa"/>
            <w:tcBorders>
              <w:top w:val="single" w:sz="4" w:space="0" w:color="auto"/>
              <w:left w:val="single" w:sz="4" w:space="0" w:color="auto"/>
              <w:bottom w:val="single" w:sz="4" w:space="0" w:color="auto"/>
              <w:right w:val="single" w:sz="4" w:space="0" w:color="auto"/>
            </w:tcBorders>
            <w:noWrap/>
            <w:hideMark/>
          </w:tcPr>
          <w:p>
            <w:pPr>
              <w:pStyle w:val="yTableNAm"/>
            </w:pPr>
            <w:r>
              <w:t>Overhead expenses rate for air support — fixed wing aircraft</w:t>
            </w:r>
          </w:p>
        </w:tc>
        <w:tc>
          <w:tcPr>
            <w:tcW w:w="1238"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61"/>
              <w:jc w:val="right"/>
            </w:pPr>
            <w:r>
              <w:t>$2 155.00</w:t>
            </w:r>
          </w:p>
        </w:tc>
      </w:tr>
    </w:tbl>
    <w:p>
      <w:pPr>
        <w:pStyle w:val="yFootnotesection"/>
      </w:pPr>
      <w:r>
        <w:tab/>
        <w:t>[Schedule 2 inserted: SL 2022/65 r. 9.]</w:t>
      </w:r>
    </w:p>
    <w:bookmarkEnd w:id="30"/>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41" w:name="_Toc137565266"/>
      <w:bookmarkStart w:id="42" w:name="_Toc137565546"/>
      <w:bookmarkStart w:id="43" w:name="_Toc137628192"/>
      <w:bookmarkStart w:id="44" w:name="_Toc106963450"/>
      <w:bookmarkStart w:id="45" w:name="_Toc106963775"/>
      <w:bookmarkStart w:id="46" w:name="_Toc107403343"/>
      <w:r>
        <w:t>Notes</w:t>
      </w:r>
      <w:bookmarkEnd w:id="41"/>
      <w:bookmarkEnd w:id="42"/>
      <w:bookmarkEnd w:id="43"/>
      <w:bookmarkEnd w:id="44"/>
      <w:bookmarkEnd w:id="45"/>
      <w:bookmarkEnd w:id="46"/>
    </w:p>
    <w:p>
      <w:pPr>
        <w:pStyle w:val="nStatement"/>
      </w:pPr>
      <w:r>
        <w:t xml:space="preserve">This is a compilation of the </w:t>
      </w:r>
      <w:r>
        <w:rPr>
          <w:i/>
          <w:noProof/>
        </w:rPr>
        <w:t>Police (Fees and Charges) Regulations 2018</w:t>
      </w:r>
      <w:r>
        <w:t xml:space="preserve"> and includes amendments made by other written laws. For provisions that have come into operation see the compilation table.</w:t>
      </w:r>
      <w:ins w:id="47" w:author="Master Repository Process" w:date="2023-06-16T07:27:00Z">
        <w:r>
          <w:t xml:space="preserve"> For provisions that have not yet come into operation see the uncommenced provisions table.</w:t>
        </w:r>
      </w:ins>
    </w:p>
    <w:p>
      <w:pPr>
        <w:pStyle w:val="nHeading3"/>
      </w:pPr>
      <w:bookmarkStart w:id="48" w:name="_Toc137628193"/>
      <w:bookmarkStart w:id="49" w:name="_Toc107403344"/>
      <w:r>
        <w:t>Compilation table</w:t>
      </w:r>
      <w:bookmarkEnd w:id="48"/>
      <w:bookmarkEnd w:id="4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(Fees and Charges) Regulations 2018</w:t>
            </w:r>
          </w:p>
        </w:tc>
        <w:tc>
          <w:tcPr>
            <w:tcW w:w="1276" w:type="dxa"/>
            <w:tcBorders>
              <w:bottom w:val="nil"/>
            </w:tcBorders>
          </w:tcPr>
          <w:p>
            <w:pPr>
              <w:pStyle w:val="nTable"/>
              <w:spacing w:after="40"/>
            </w:pPr>
            <w:r>
              <w:t>12 Jan 2018 p. 137</w:t>
            </w:r>
            <w:r>
              <w:noBreakHyphen/>
              <w:t>146</w:t>
            </w:r>
          </w:p>
        </w:tc>
        <w:tc>
          <w:tcPr>
            <w:tcW w:w="2693" w:type="dxa"/>
            <w:tcBorders>
              <w:bottom w:val="nil"/>
            </w:tcBorders>
          </w:tcPr>
          <w:p>
            <w:pPr>
              <w:pStyle w:val="nTable"/>
              <w:spacing w:after="40"/>
            </w:pPr>
            <w:r>
              <w:t>r. 1 and 2: 12 Jan 2018 (see r. 2(a));</w:t>
            </w:r>
            <w:r>
              <w:br/>
              <w:t xml:space="preserve">Regulations other than r. 1 and 2: 13 Jan 2018 (see r 2(b) and </w:t>
            </w:r>
            <w:r>
              <w:rPr>
                <w:i/>
              </w:rPr>
              <w:t>Gazette</w:t>
            </w:r>
            <w:r>
              <w:t xml:space="preserve"> 12 Jan 2018 p. 115)</w:t>
            </w:r>
          </w:p>
        </w:tc>
      </w:tr>
      <w:tr>
        <w:tc>
          <w:tcPr>
            <w:tcW w:w="3118" w:type="dxa"/>
            <w:tcBorders>
              <w:top w:val="nil"/>
              <w:bottom w:val="nil"/>
            </w:tcBorders>
          </w:tcPr>
          <w:p>
            <w:pPr>
              <w:pStyle w:val="nTable"/>
              <w:spacing w:after="40"/>
              <w:rPr>
                <w:noProof/>
              </w:rPr>
            </w:pPr>
            <w:r>
              <w:rPr>
                <w:i/>
              </w:rPr>
              <w:t>Police Regulations Amendment (Fees and Charges) Regulations 2018</w:t>
            </w:r>
            <w:r>
              <w:t xml:space="preserve"> Pt. 4</w:t>
            </w:r>
          </w:p>
        </w:tc>
        <w:tc>
          <w:tcPr>
            <w:tcW w:w="1276" w:type="dxa"/>
            <w:tcBorders>
              <w:top w:val="nil"/>
              <w:bottom w:val="nil"/>
            </w:tcBorders>
          </w:tcPr>
          <w:p>
            <w:pPr>
              <w:pStyle w:val="nTable"/>
              <w:spacing w:after="40"/>
            </w:pPr>
            <w:r>
              <w:t>26 Jun 2018 p. 2392</w:t>
            </w:r>
            <w:r>
              <w:noBreakHyphen/>
              <w:t>400</w:t>
            </w:r>
          </w:p>
        </w:tc>
        <w:tc>
          <w:tcPr>
            <w:tcW w:w="2693" w:type="dxa"/>
            <w:tcBorders>
              <w:top w:val="nil"/>
              <w:bottom w:val="nil"/>
            </w:tcBorders>
          </w:tcPr>
          <w:p>
            <w:pPr>
              <w:pStyle w:val="nTable"/>
              <w:spacing w:after="40"/>
            </w:pPr>
            <w:r>
              <w:t>1 Jul 2018 (see r. 2(b))</w:t>
            </w:r>
          </w:p>
        </w:tc>
      </w:tr>
      <w:tr>
        <w:tc>
          <w:tcPr>
            <w:tcW w:w="3118" w:type="dxa"/>
            <w:tcBorders>
              <w:top w:val="nil"/>
              <w:bottom w:val="nil"/>
            </w:tcBorders>
          </w:tcPr>
          <w:p>
            <w:pPr>
              <w:pStyle w:val="nTable"/>
              <w:spacing w:after="40"/>
              <w:rPr>
                <w:i/>
              </w:rPr>
            </w:pPr>
            <w:r>
              <w:rPr>
                <w:i/>
              </w:rPr>
              <w:t>Police (Fees and Charges) Amendment Regulations 2018</w:t>
            </w:r>
          </w:p>
        </w:tc>
        <w:tc>
          <w:tcPr>
            <w:tcW w:w="1276" w:type="dxa"/>
            <w:tcBorders>
              <w:top w:val="nil"/>
              <w:bottom w:val="nil"/>
            </w:tcBorders>
          </w:tcPr>
          <w:p>
            <w:pPr>
              <w:pStyle w:val="nTable"/>
              <w:spacing w:after="40"/>
            </w:pPr>
            <w:r>
              <w:t>17 Aug 2018 p. 2897</w:t>
            </w:r>
            <w:r>
              <w:noBreakHyphen/>
              <w:t>8</w:t>
            </w:r>
          </w:p>
        </w:tc>
        <w:tc>
          <w:tcPr>
            <w:tcW w:w="2693" w:type="dxa"/>
            <w:tcBorders>
              <w:top w:val="nil"/>
              <w:bottom w:val="nil"/>
            </w:tcBorders>
          </w:tcPr>
          <w:p>
            <w:pPr>
              <w:pStyle w:val="nTable"/>
              <w:spacing w:after="40"/>
            </w:pPr>
            <w:r>
              <w:t>r. 1 and 2: 17 Aug 2018 (see r. 2(a));</w:t>
            </w:r>
            <w:r>
              <w:br/>
              <w:t>Regulations other than r. 1 and 2: 18 Aug 2018 (see r 2(b))</w:t>
            </w:r>
          </w:p>
        </w:tc>
      </w:tr>
      <w:tr>
        <w:tc>
          <w:tcPr>
            <w:tcW w:w="3118" w:type="dxa"/>
            <w:tcBorders>
              <w:top w:val="nil"/>
              <w:bottom w:val="nil"/>
            </w:tcBorders>
          </w:tcPr>
          <w:p>
            <w:pPr>
              <w:pStyle w:val="nTable"/>
              <w:spacing w:after="40"/>
              <w:rPr>
                <w:i/>
              </w:rPr>
            </w:pPr>
            <w:r>
              <w:rPr>
                <w:i/>
              </w:rPr>
              <w:t>Police Regulations Amendment (Fees and Charges) Regulations 2019</w:t>
            </w:r>
            <w:r>
              <w:t xml:space="preserve"> Pt. 4</w:t>
            </w:r>
          </w:p>
        </w:tc>
        <w:tc>
          <w:tcPr>
            <w:tcW w:w="1276" w:type="dxa"/>
            <w:tcBorders>
              <w:top w:val="nil"/>
              <w:bottom w:val="nil"/>
            </w:tcBorders>
          </w:tcPr>
          <w:p>
            <w:pPr>
              <w:pStyle w:val="nTable"/>
              <w:spacing w:after="40"/>
            </w:pPr>
            <w:r>
              <w:t>21 Jun 2019 p. 2141</w:t>
            </w:r>
            <w:r>
              <w:noBreakHyphen/>
              <w:t>50</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Police Regulations Amendment (Fees and Charges) Regulations 2020</w:t>
            </w:r>
            <w:r>
              <w:t xml:space="preserve"> Pt. 4</w:t>
            </w:r>
          </w:p>
        </w:tc>
        <w:tc>
          <w:tcPr>
            <w:tcW w:w="1276" w:type="dxa"/>
            <w:tcBorders>
              <w:top w:val="nil"/>
              <w:bottom w:val="nil"/>
            </w:tcBorders>
          </w:tcPr>
          <w:p>
            <w:pPr>
              <w:pStyle w:val="nTable"/>
              <w:spacing w:after="40"/>
            </w:pPr>
            <w:r>
              <w:t xml:space="preserve">SL 2020/82 19 Jun 2020 </w:t>
            </w:r>
          </w:p>
        </w:tc>
        <w:tc>
          <w:tcPr>
            <w:tcW w:w="2693" w:type="dxa"/>
            <w:tcBorders>
              <w:top w:val="nil"/>
              <w:bottom w:val="nil"/>
            </w:tcBorders>
          </w:tcPr>
          <w:p>
            <w:pPr>
              <w:pStyle w:val="nTable"/>
              <w:spacing w:after="40"/>
            </w:pPr>
            <w:r>
              <w:t>1 Jul 2020 (see r. 2(b))</w:t>
            </w:r>
          </w:p>
        </w:tc>
      </w:tr>
      <w:tr>
        <w:tc>
          <w:tcPr>
            <w:tcW w:w="3118" w:type="dxa"/>
            <w:tcBorders>
              <w:top w:val="nil"/>
              <w:bottom w:val="nil"/>
            </w:tcBorders>
          </w:tcPr>
          <w:p>
            <w:pPr>
              <w:pStyle w:val="nTable"/>
              <w:spacing w:after="40"/>
              <w:rPr>
                <w:i/>
              </w:rPr>
            </w:pPr>
            <w:r>
              <w:rPr>
                <w:i/>
              </w:rPr>
              <w:t>Police Regulations Amendment (Fees and Charges) Regulations 2021</w:t>
            </w:r>
            <w:r>
              <w:t xml:space="preserve"> Pt. 4</w:t>
            </w:r>
          </w:p>
        </w:tc>
        <w:tc>
          <w:tcPr>
            <w:tcW w:w="1276" w:type="dxa"/>
            <w:tcBorders>
              <w:top w:val="nil"/>
              <w:bottom w:val="nil"/>
            </w:tcBorders>
          </w:tcPr>
          <w:p>
            <w:pPr>
              <w:pStyle w:val="nTable"/>
              <w:spacing w:after="40"/>
            </w:pPr>
            <w:r>
              <w:t xml:space="preserve">SL 2021/106 29 Jun 2021 </w:t>
            </w:r>
          </w:p>
        </w:tc>
        <w:tc>
          <w:tcPr>
            <w:tcW w:w="2693" w:type="dxa"/>
            <w:tcBorders>
              <w:top w:val="nil"/>
              <w:bottom w:val="nil"/>
            </w:tcBorders>
          </w:tcPr>
          <w:p>
            <w:pPr>
              <w:pStyle w:val="nTable"/>
              <w:spacing w:after="40"/>
            </w:pPr>
            <w:r>
              <w:t>1 Jul 2021 (see r. 2(b))</w:t>
            </w:r>
          </w:p>
        </w:tc>
      </w:tr>
      <w:tr>
        <w:tc>
          <w:tcPr>
            <w:tcW w:w="3118" w:type="dxa"/>
            <w:tcBorders>
              <w:top w:val="nil"/>
              <w:bottom w:val="single" w:sz="4" w:space="0" w:color="auto"/>
            </w:tcBorders>
          </w:tcPr>
          <w:p>
            <w:pPr>
              <w:pStyle w:val="nTable"/>
              <w:spacing w:after="40"/>
              <w:rPr>
                <w:i/>
              </w:rPr>
            </w:pPr>
            <w:r>
              <w:rPr>
                <w:i/>
              </w:rPr>
              <w:t>Police Regulations Amendment (Fees and Charges) Regulations 2022</w:t>
            </w:r>
            <w:r>
              <w:t xml:space="preserve"> Pt. 4</w:t>
            </w:r>
          </w:p>
        </w:tc>
        <w:tc>
          <w:tcPr>
            <w:tcW w:w="1276" w:type="dxa"/>
            <w:tcBorders>
              <w:top w:val="nil"/>
              <w:bottom w:val="single" w:sz="4" w:space="0" w:color="auto"/>
            </w:tcBorders>
          </w:tcPr>
          <w:p>
            <w:pPr>
              <w:pStyle w:val="nTable"/>
              <w:spacing w:after="40"/>
            </w:pPr>
            <w:r>
              <w:t>SL 2022/65 3 Jun 2022</w:t>
            </w:r>
          </w:p>
        </w:tc>
        <w:tc>
          <w:tcPr>
            <w:tcW w:w="2693" w:type="dxa"/>
            <w:tcBorders>
              <w:top w:val="nil"/>
              <w:bottom w:val="single" w:sz="4" w:space="0" w:color="auto"/>
            </w:tcBorders>
          </w:tcPr>
          <w:p>
            <w:pPr>
              <w:pStyle w:val="nTable"/>
              <w:spacing w:after="40"/>
            </w:pPr>
            <w:r>
              <w:t>1 Jul 2022 (see r. 2(b))</w:t>
            </w:r>
          </w:p>
        </w:tc>
      </w:tr>
    </w:tbl>
    <w:p>
      <w:pPr>
        <w:rPr>
          <w:del w:id="50" w:author="Master Repository Process" w:date="2023-06-16T07:27:00Z"/>
        </w:rPr>
      </w:pPr>
      <w:bookmarkStart w:id="51" w:name="_Toc137628194"/>
    </w:p>
    <w:p>
      <w:pPr>
        <w:rPr>
          <w:del w:id="52" w:author="Master Repository Process" w:date="2023-06-16T07:27:00Z"/>
        </w:r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3"/>
        <w:rPr>
          <w:ins w:id="53" w:author="Master Repository Process" w:date="2023-06-16T07:27:00Z"/>
        </w:rPr>
      </w:pPr>
      <w:ins w:id="54" w:author="Master Repository Process" w:date="2023-06-16T07:27:00Z">
        <w:r>
          <w:t>Uncommenced provisions table</w:t>
        </w:r>
        <w:bookmarkEnd w:id="51"/>
      </w:ins>
    </w:p>
    <w:p>
      <w:pPr>
        <w:pStyle w:val="nStatement"/>
        <w:keepNext/>
        <w:spacing w:after="240"/>
        <w:rPr>
          <w:ins w:id="55" w:author="Master Repository Process" w:date="2023-06-16T07:27:00Z"/>
        </w:rPr>
      </w:pPr>
      <w:ins w:id="56" w:author="Master Repository Process" w:date="2023-06-16T07:27: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7" w:author="Master Repository Process" w:date="2023-06-16T07:27:00Z"/>
        </w:trPr>
        <w:tc>
          <w:tcPr>
            <w:tcW w:w="3118" w:type="dxa"/>
          </w:tcPr>
          <w:p>
            <w:pPr>
              <w:pStyle w:val="nTable"/>
              <w:spacing w:after="40"/>
              <w:rPr>
                <w:ins w:id="58" w:author="Master Repository Process" w:date="2023-06-16T07:27:00Z"/>
                <w:b/>
              </w:rPr>
            </w:pPr>
            <w:ins w:id="59" w:author="Master Repository Process" w:date="2023-06-16T07:27:00Z">
              <w:r>
                <w:rPr>
                  <w:b/>
                </w:rPr>
                <w:t>Citation</w:t>
              </w:r>
            </w:ins>
          </w:p>
        </w:tc>
        <w:tc>
          <w:tcPr>
            <w:tcW w:w="1276" w:type="dxa"/>
          </w:tcPr>
          <w:p>
            <w:pPr>
              <w:pStyle w:val="nTable"/>
              <w:spacing w:after="40"/>
              <w:rPr>
                <w:ins w:id="60" w:author="Master Repository Process" w:date="2023-06-16T07:27:00Z"/>
                <w:b/>
              </w:rPr>
            </w:pPr>
            <w:ins w:id="61" w:author="Master Repository Process" w:date="2023-06-16T07:27:00Z">
              <w:r>
                <w:rPr>
                  <w:b/>
                </w:rPr>
                <w:t>Published</w:t>
              </w:r>
            </w:ins>
          </w:p>
        </w:tc>
        <w:tc>
          <w:tcPr>
            <w:tcW w:w="2693" w:type="dxa"/>
          </w:tcPr>
          <w:p>
            <w:pPr>
              <w:pStyle w:val="nTable"/>
              <w:spacing w:after="40"/>
              <w:rPr>
                <w:ins w:id="62" w:author="Master Repository Process" w:date="2023-06-16T07:27:00Z"/>
                <w:b/>
              </w:rPr>
            </w:pPr>
            <w:ins w:id="63" w:author="Master Repository Process" w:date="2023-06-16T07:27:00Z">
              <w:r>
                <w:rPr>
                  <w:b/>
                </w:rPr>
                <w:t>Commencement</w:t>
              </w:r>
            </w:ins>
          </w:p>
        </w:tc>
      </w:tr>
      <w:tr>
        <w:trPr>
          <w:ins w:id="64" w:author="Master Repository Process" w:date="2023-06-16T07:27:00Z"/>
        </w:trPr>
        <w:tc>
          <w:tcPr>
            <w:tcW w:w="3118" w:type="dxa"/>
          </w:tcPr>
          <w:p>
            <w:pPr>
              <w:pStyle w:val="nTable"/>
              <w:spacing w:after="40"/>
              <w:rPr>
                <w:ins w:id="65" w:author="Master Repository Process" w:date="2023-06-16T07:27:00Z"/>
              </w:rPr>
            </w:pPr>
            <w:ins w:id="66" w:author="Master Repository Process" w:date="2023-06-16T07:27:00Z">
              <w:r>
                <w:rPr>
                  <w:i/>
                </w:rPr>
                <w:t xml:space="preserve">Police Regulations Amendment (Fees and Charges) Regulations 2023 </w:t>
              </w:r>
              <w:r>
                <w:t>Pt. 4</w:t>
              </w:r>
            </w:ins>
          </w:p>
        </w:tc>
        <w:tc>
          <w:tcPr>
            <w:tcW w:w="1276" w:type="dxa"/>
          </w:tcPr>
          <w:p>
            <w:pPr>
              <w:pStyle w:val="nTable"/>
              <w:spacing w:after="40"/>
              <w:rPr>
                <w:ins w:id="67" w:author="Master Repository Process" w:date="2023-06-16T07:27:00Z"/>
              </w:rPr>
            </w:pPr>
            <w:ins w:id="68" w:author="Master Repository Process" w:date="2023-06-16T07:27:00Z">
              <w:r>
                <w:t>SL 2023/74 16 Jun 2023</w:t>
              </w:r>
            </w:ins>
          </w:p>
        </w:tc>
        <w:tc>
          <w:tcPr>
            <w:tcW w:w="2693" w:type="dxa"/>
          </w:tcPr>
          <w:p>
            <w:pPr>
              <w:pStyle w:val="nTable"/>
              <w:spacing w:after="40"/>
              <w:rPr>
                <w:ins w:id="69" w:author="Master Repository Process" w:date="2023-06-16T07:27:00Z"/>
              </w:rPr>
            </w:pPr>
            <w:ins w:id="70" w:author="Master Repository Process" w:date="2023-06-16T07:27:00Z">
              <w:r>
                <w:t>1 Jul 2023 (see r. 2(b))</w:t>
              </w:r>
            </w:ins>
          </w:p>
        </w:tc>
      </w:tr>
    </w:tbl>
    <w:p>
      <w:pPr>
        <w:rPr>
          <w:ins w:id="71" w:author="Master Repository Process" w:date="2023-06-16T07:27:00Z"/>
        </w:rPr>
        <w:sectPr>
          <w:headerReference w:type="even" r:id="rId26"/>
          <w:headerReference w:type="default" r:id="rId27"/>
          <w:pgSz w:w="11907" w:h="16840" w:code="9"/>
          <w:pgMar w:top="2376" w:right="2404" w:bottom="3544" w:left="2404" w:header="720" w:footer="3544"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0" w:name="Schedule"/>
    <w:bookmarkEnd w:id="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3" w:name="Coversheet"/>
    <w:bookmarkEnd w:id="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5585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 w:name="WAFER_20200618145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5941_GUID" w:val="bc64d1ba-6103-4783-a418-c27f9fee1e93"/>
    <w:docVar w:name="WAFER_20200623095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3095209_GUID" w:val="c08f2dbe-6936-4614-a6be-d3234056987e"/>
    <w:docVar w:name="WAFER_202106281036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3605_GUID" w:val="3413e03f-809f-4d42-b61b-b2f325f484b9"/>
    <w:docVar w:name="WAFER_202206010908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57_GUID" w:val="5084c08b-8951-45c9-a5c4-c6c051460557"/>
    <w:docVar w:name="WAFER_20220624111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22_GUID" w:val="a80f7253-9b38-4140-ab48-677e20386e4d"/>
    <w:docVar w:name="WAFER_20230613155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851_GUID" w:val="85c9443d-7344-4f64-b024-10e36a586e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857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CCD104-E774-469A-9215-A22229F1A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1277</Words>
  <Characters>6399</Characters>
  <Application>Microsoft Office Word</Application>
  <DocSecurity>0</DocSecurity>
  <Lines>266</Lines>
  <Paragraphs>174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00-j0-00 - 00-k0-00</dc:title>
  <dc:subject/>
  <dc:creator/>
  <cp:keywords/>
  <dc:description/>
  <cp:lastModifiedBy>Master Repository Process</cp:lastModifiedBy>
  <cp:revision>2</cp:revision>
  <cp:lastPrinted>2019-06-25T00:38:00Z</cp:lastPrinted>
  <dcterms:created xsi:type="dcterms:W3CDTF">2023-06-15T23:27:00Z</dcterms:created>
  <dcterms:modified xsi:type="dcterms:W3CDTF">2023-06-15T23:27:00Z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20230616</vt:lpwstr>
  </property>
  <property fmtid="{D5CDD505-2E9C-101B-9397-08002B2CF9AE}" pid="4" name="FromSuffix">
    <vt:lpwstr>00-j0-00</vt:lpwstr>
  </property>
  <property fmtid="{D5CDD505-2E9C-101B-9397-08002B2CF9AE}" pid="5" name="FromAsAtDate">
    <vt:lpwstr>01 Jul 2022</vt:lpwstr>
  </property>
  <property fmtid="{D5CDD505-2E9C-101B-9397-08002B2CF9AE}" pid="6" name="ToSuffix">
    <vt:lpwstr>00-k0-00</vt:lpwstr>
  </property>
  <property fmtid="{D5CDD505-2E9C-101B-9397-08002B2CF9AE}" pid="7" name="ToAsAtDate">
    <vt:lpwstr>16 Jun 2023</vt:lpwstr>
  </property>
</Properties>
</file>