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(Juwurlinji Restricted Area)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May 2020</w:t>
      </w:r>
      <w:r>
        <w:fldChar w:fldCharType="end"/>
      </w:r>
      <w:r>
        <w:t xml:space="preserve">, </w:t>
      </w:r>
      <w:r>
        <w:fldChar w:fldCharType="begin"/>
      </w:r>
      <w:r>
        <w:instrText xml:space="preserve"> DocProperty FromSuffix </w:instrText>
      </w:r>
      <w:r>
        <w:fldChar w:fldCharType="separate"/>
      </w:r>
      <w:r>
        <w:t>00-e0-00</w:t>
      </w:r>
      <w:r>
        <w:fldChar w:fldCharType="end"/>
      </w:r>
      <w:r>
        <w:t>] and [</w:t>
      </w:r>
      <w:r>
        <w:fldChar w:fldCharType="begin"/>
      </w:r>
      <w:r>
        <w:instrText xml:space="preserve"> DocProperty ToAsAtDate</w:instrText>
      </w:r>
      <w:r>
        <w:fldChar w:fldCharType="separate"/>
      </w:r>
      <w:r>
        <w:t>21 Jun 2023</w:t>
      </w:r>
      <w:r>
        <w:fldChar w:fldCharType="end"/>
      </w:r>
      <w:r>
        <w:t xml:space="preserve">, </w:t>
      </w:r>
      <w:r>
        <w:fldChar w:fldCharType="begin"/>
      </w:r>
      <w:r>
        <w:instrText xml:space="preserve"> DocProperty ToSuffix</w:instrText>
      </w:r>
      <w:r>
        <w:fldChar w:fldCharType="separate"/>
      </w:r>
      <w:r>
        <w:t>00-f0-00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Liquor Control Act 1988</w:t>
      </w:r>
    </w:p>
    <w:p>
      <w:pPr>
        <w:pStyle w:val="NameofActReg"/>
      </w:pPr>
      <w:r>
        <w:t>Liquor Control (Juwurlinji Restricted Area) Regulations 2009</w:t>
      </w:r>
    </w:p>
    <w:p>
      <w:pPr>
        <w:pStyle w:val="Heading5"/>
      </w:pPr>
      <w:bookmarkStart w:id="1" w:name="_Toc138154904"/>
      <w:bookmarkStart w:id="2" w:name="_Toc41047088"/>
      <w:r>
        <w:rPr>
          <w:rStyle w:val="CharSectno"/>
        </w:rPr>
        <w:t>1</w:t>
      </w:r>
      <w:bookmarkStart w:id="3" w:name="_GoBack"/>
      <w:bookmarkEnd w:id="3"/>
      <w:r>
        <w:t>.</w:t>
      </w:r>
      <w:r>
        <w:tab/>
        <w:t>Citation</w:t>
      </w:r>
      <w:bookmarkEnd w:id="1"/>
      <w:bookmarkEnd w:id="2"/>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Liquor Control (Juwurlinji Restricted Area) Regulations 2009</w:t>
      </w:r>
      <w:r>
        <w:t>.</w:t>
      </w:r>
    </w:p>
    <w:p>
      <w:pPr>
        <w:pStyle w:val="Heading5"/>
        <w:rPr>
          <w:spacing w:val="-2"/>
        </w:rPr>
      </w:pPr>
      <w:bookmarkStart w:id="5" w:name="_Toc138154905"/>
      <w:bookmarkStart w:id="6" w:name="_Toc41047089"/>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7" w:name="_Toc138154906"/>
      <w:bookmarkStart w:id="8" w:name="_Toc41047090"/>
      <w:r>
        <w:rPr>
          <w:rStyle w:val="CharSectno"/>
        </w:rPr>
        <w:t>3</w:t>
      </w:r>
      <w:r>
        <w:t>.</w:t>
      </w:r>
      <w:r>
        <w:tab/>
        <w:t>Term used: Juwurlinji Aboriginal Community</w:t>
      </w:r>
      <w:bookmarkEnd w:id="7"/>
      <w:bookmarkEnd w:id="8"/>
    </w:p>
    <w:p>
      <w:pPr>
        <w:pStyle w:val="Subsection"/>
      </w:pPr>
      <w:r>
        <w:tab/>
      </w:r>
      <w:r>
        <w:tab/>
        <w:t xml:space="preserve">In these regulations — </w:t>
      </w:r>
    </w:p>
    <w:p>
      <w:pPr>
        <w:pStyle w:val="Defstart"/>
      </w:pPr>
      <w:r>
        <w:tab/>
      </w:r>
      <w:r>
        <w:rPr>
          <w:rStyle w:val="CharDefText"/>
        </w:rPr>
        <w:t>Juwurlinji Aboriginal Community</w:t>
      </w:r>
      <w:r>
        <w:t xml:space="preserve"> means the area of land, being part of Pastoral Lease N049619 (Lot 65), that — </w:t>
      </w:r>
    </w:p>
    <w:p>
      <w:pPr>
        <w:pStyle w:val="Defpara"/>
      </w:pPr>
      <w:r>
        <w:tab/>
        <w:t>(a)</w:t>
      </w:r>
      <w:r>
        <w:tab/>
        <w:t xml:space="preserve">is within 5 km of the public phone box located at the point with the following Geocentric Datum of Australia 2020 (GDA2020) coordinates — </w:t>
      </w:r>
    </w:p>
    <w:p>
      <w:pPr>
        <w:pStyle w:val="Defsubpara"/>
      </w:pPr>
      <w:r>
        <w:tab/>
        <w:t>(i)</w:t>
      </w:r>
      <w:r>
        <w:tab/>
        <w:t>16.869986°S;</w:t>
      </w:r>
    </w:p>
    <w:p>
      <w:pPr>
        <w:pStyle w:val="Defsubpara"/>
      </w:pPr>
      <w:r>
        <w:tab/>
        <w:t>(ii)</w:t>
      </w:r>
      <w:r>
        <w:tab/>
        <w:t>128.185841°E;</w:t>
      </w:r>
    </w:p>
    <w:p>
      <w:pPr>
        <w:pStyle w:val="Defpara"/>
      </w:pPr>
      <w:r>
        <w:tab/>
      </w:r>
      <w:r>
        <w:tab/>
        <w:t>but</w:t>
      </w:r>
    </w:p>
    <w:p>
      <w:pPr>
        <w:pStyle w:val="Defpara"/>
      </w:pPr>
      <w:r>
        <w:tab/>
        <w:t>(b)</w:t>
      </w:r>
      <w:r>
        <w:tab/>
        <w:t>excludes the area that is part of Pastoral Lease N050126.</w:t>
      </w:r>
    </w:p>
    <w:p>
      <w:pPr>
        <w:pStyle w:val="Footnotesection"/>
      </w:pPr>
      <w:r>
        <w:tab/>
        <w:t>[Regulation 3 inserted: SL 2020/62 r. 7.]</w:t>
      </w:r>
    </w:p>
    <w:p>
      <w:pPr>
        <w:pStyle w:val="Ednotesection"/>
      </w:pPr>
      <w:r>
        <w:t>[</w:t>
      </w:r>
      <w:r>
        <w:rPr>
          <w:b/>
        </w:rPr>
        <w:t>4.</w:t>
      </w:r>
      <w:r>
        <w:tab/>
        <w:t>Deleted: SL 2020/62 r. 7.]</w:t>
      </w:r>
    </w:p>
    <w:p>
      <w:pPr>
        <w:pStyle w:val="Heading5"/>
      </w:pPr>
      <w:bookmarkStart w:id="9" w:name="_Toc138154907"/>
      <w:bookmarkStart w:id="10" w:name="_Toc41047091"/>
      <w:r>
        <w:rPr>
          <w:rStyle w:val="CharSectno"/>
        </w:rPr>
        <w:lastRenderedPageBreak/>
        <w:t>5</w:t>
      </w:r>
      <w:r>
        <w:t>.</w:t>
      </w:r>
      <w:r>
        <w:tab/>
        <w:t>Declaration of restricted area</w:t>
      </w:r>
      <w:bookmarkEnd w:id="9"/>
      <w:bookmarkEnd w:id="10"/>
    </w:p>
    <w:p>
      <w:pPr>
        <w:pStyle w:val="Subsection"/>
      </w:pPr>
      <w:r>
        <w:tab/>
      </w:r>
      <w:r>
        <w:tab/>
        <w:t>The Juwurlinji Aboriginal Community is declared to be a restricted area for the purposes of section 175(1a) of the Act.</w:t>
      </w:r>
    </w:p>
    <w:p>
      <w:pPr>
        <w:pStyle w:val="Heading5"/>
      </w:pPr>
      <w:bookmarkStart w:id="11" w:name="_Toc138154908"/>
      <w:bookmarkStart w:id="12" w:name="_Toc41047092"/>
      <w:r>
        <w:rPr>
          <w:rStyle w:val="CharSectno"/>
        </w:rPr>
        <w:t>6</w:t>
      </w:r>
      <w:r>
        <w:t>.</w:t>
      </w:r>
      <w:r>
        <w:tab/>
        <w:t>Notice of restricted area</w:t>
      </w:r>
      <w:bookmarkEnd w:id="11"/>
      <w:bookmarkEnd w:id="12"/>
    </w:p>
    <w:p>
      <w:pPr>
        <w:pStyle w:val="Subsection"/>
      </w:pPr>
      <w:r>
        <w:tab/>
        <w:t>(1)</w:t>
      </w:r>
      <w:r>
        <w:tab/>
        <w:t xml:space="preserve">The Director of Liquor Licensing must take all reasonable steps to cause to be posted, and while the Juwurlinji Aboriginal Community continues to be a restricted area by operation of regulation 5 to be kept posted, at each place where a customary access route enters the Juwurlinji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13" w:name="_Toc138154909"/>
      <w:bookmarkStart w:id="14" w:name="_Toc41047093"/>
      <w:r>
        <w:rPr>
          <w:rStyle w:val="CharSectno"/>
        </w:rPr>
        <w:t>7</w:t>
      </w:r>
      <w:r>
        <w:t>.</w:t>
      </w:r>
      <w:r>
        <w:tab/>
        <w:t>Prohibitions as to liquor in Juwurlinji Aboriginal Community</w:t>
      </w:r>
      <w:bookmarkEnd w:id="13"/>
      <w:bookmarkEnd w:id="14"/>
    </w:p>
    <w:p>
      <w:pPr>
        <w:pStyle w:val="Subsection"/>
      </w:pPr>
      <w:r>
        <w:tab/>
        <w:t>(1)</w:t>
      </w:r>
      <w:r>
        <w:tab/>
        <w:t xml:space="preserve">A person who — </w:t>
      </w:r>
    </w:p>
    <w:p>
      <w:pPr>
        <w:pStyle w:val="Indenta"/>
      </w:pPr>
      <w:r>
        <w:tab/>
        <w:t>(a)</w:t>
      </w:r>
      <w:r>
        <w:tab/>
        <w:t>brings liquor into, or causes liquor to be brought into, the Juwurlinji Aboriginal Community; or</w:t>
      </w:r>
    </w:p>
    <w:p>
      <w:pPr>
        <w:pStyle w:val="Indenta"/>
      </w:pPr>
      <w:r>
        <w:tab/>
        <w:t>(b)</w:t>
      </w:r>
      <w:r>
        <w:tab/>
        <w:t>has liquor in his or her possession in the Juwurlinji Aboriginal Community,</w:t>
      </w:r>
    </w:p>
    <w:p>
      <w:pPr>
        <w:pStyle w:val="Subsection"/>
      </w:pPr>
      <w:r>
        <w:tab/>
      </w:r>
      <w:r>
        <w:tab/>
        <w:t>commits an offence.</w:t>
      </w:r>
    </w:p>
    <w:p>
      <w:pPr>
        <w:pStyle w:val="Penstart"/>
      </w:pPr>
      <w:r>
        <w:tab/>
        <w:t xml:space="preserve">Penalty: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15" w:name="_Toc138154910"/>
      <w:bookmarkStart w:id="16" w:name="_Toc41047094"/>
      <w:r>
        <w:rPr>
          <w:rStyle w:val="CharSectno"/>
        </w:rPr>
        <w:lastRenderedPageBreak/>
        <w:t>8</w:t>
      </w:r>
      <w:r>
        <w:t>.</w:t>
      </w:r>
      <w:r>
        <w:tab/>
        <w:t>Seizure and disposal of containers of liquor</w:t>
      </w:r>
      <w:bookmarkEnd w:id="15"/>
      <w:bookmarkEnd w:id="16"/>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17" w:name="_Toc138154911"/>
      <w:bookmarkStart w:id="18" w:name="_Toc41047095"/>
      <w:r>
        <w:rPr>
          <w:rStyle w:val="CharSectno"/>
        </w:rPr>
        <w:t>9</w:t>
      </w:r>
      <w:r>
        <w:t>.</w:t>
      </w:r>
      <w:r>
        <w:tab/>
        <w:t>Period during which these regulations have effect</w:t>
      </w:r>
      <w:bookmarkEnd w:id="17"/>
      <w:bookmarkEnd w:id="18"/>
    </w:p>
    <w:p>
      <w:pPr>
        <w:pStyle w:val="Subsection"/>
      </w:pPr>
      <w:r>
        <w:tab/>
      </w:r>
      <w:r>
        <w:tab/>
        <w:t>Unless sooner repealed, these regulations have effect for the period that ends at the close of 24 July </w:t>
      </w:r>
      <w:del w:id="19" w:author="Master Repository Process" w:date="2023-06-20T12:24:00Z">
        <w:r>
          <w:delText>2023</w:delText>
        </w:r>
      </w:del>
      <w:ins w:id="20" w:author="Master Repository Process" w:date="2023-06-20T12:24:00Z">
        <w:r>
          <w:t>2028</w:t>
        </w:r>
      </w:ins>
      <w:r>
        <w:t>.</w:t>
      </w:r>
    </w:p>
    <w:p>
      <w:pPr>
        <w:pStyle w:val="Footnotesection"/>
      </w:pPr>
      <w:r>
        <w:tab/>
        <w:t>[Regulation 9 inserted: SL 2020/62 r. </w:t>
      </w:r>
      <w:del w:id="21" w:author="Master Repository Process" w:date="2023-06-20T12:24:00Z">
        <w:r>
          <w:delText>8</w:delText>
        </w:r>
      </w:del>
      <w:ins w:id="22" w:author="Master Repository Process" w:date="2023-06-20T12:24:00Z">
        <w:r>
          <w:t>8; amended: SL 2023/78 r. 6</w:t>
        </w:r>
      </w:ins>
      <w:r>
        <w: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3" w:name="_Toc41037759"/>
      <w:bookmarkStart w:id="24" w:name="_Toc41046337"/>
      <w:bookmarkStart w:id="25" w:name="_Toc41047096"/>
      <w:bookmarkStart w:id="26" w:name="_Toc138062855"/>
      <w:bookmarkStart w:id="27" w:name="_Toc138063156"/>
      <w:bookmarkStart w:id="28" w:name="_Toc138154912"/>
      <w:bookmarkStart w:id="29" w:name="_Toc41037082"/>
      <w:r>
        <w:t>Notes</w:t>
      </w:r>
      <w:bookmarkEnd w:id="23"/>
      <w:bookmarkEnd w:id="24"/>
      <w:bookmarkEnd w:id="25"/>
      <w:bookmarkEnd w:id="26"/>
      <w:bookmarkEnd w:id="27"/>
      <w:bookmarkEnd w:id="28"/>
    </w:p>
    <w:p>
      <w:pPr>
        <w:pStyle w:val="nStatement"/>
      </w:pPr>
      <w:r>
        <w:t xml:space="preserve">This is a compilation of the </w:t>
      </w:r>
      <w:r>
        <w:rPr>
          <w:i/>
          <w:noProof/>
        </w:rPr>
        <w:t>Liquor Control (Juwurlinji Restricted Area) Regulations</w:t>
      </w:r>
      <w:del w:id="30" w:author="Master Repository Process" w:date="2023-06-20T12:24:00Z">
        <w:r>
          <w:rPr>
            <w:i/>
            <w:noProof/>
          </w:rPr>
          <w:delText xml:space="preserve"> </w:delText>
        </w:r>
      </w:del>
      <w:ins w:id="31" w:author="Master Repository Process" w:date="2023-06-20T12:24:00Z">
        <w:r>
          <w:rPr>
            <w:i/>
            <w:noProof/>
          </w:rPr>
          <w:t> </w:t>
        </w:r>
      </w:ins>
      <w:r>
        <w:rPr>
          <w:i/>
          <w:noProof/>
        </w:rPr>
        <w:t>2009</w:t>
      </w:r>
      <w:r>
        <w:t xml:space="preserve"> and includes amendments made by other written laws</w:t>
      </w:r>
      <w:del w:id="32" w:author="Master Repository Process" w:date="2023-06-20T12:24:00Z">
        <w:r>
          <w:rPr>
            <w:vertAlign w:val="superscript"/>
          </w:rPr>
          <w:delText> 1</w:delText>
        </w:r>
      </w:del>
      <w:r>
        <w:t>. For provisions that have come into operation see the compilation table.</w:t>
      </w:r>
    </w:p>
    <w:p>
      <w:pPr>
        <w:pStyle w:val="nHeading3"/>
      </w:pPr>
      <w:bookmarkStart w:id="33" w:name="_Toc138154913"/>
      <w:bookmarkStart w:id="34" w:name="_Toc41047097"/>
      <w:r>
        <w:t>Compilation table</w:t>
      </w:r>
      <w:bookmarkEnd w:id="33"/>
      <w:bookmarkEnd w:id="3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rPr>
                <w:i/>
                <w:iCs/>
              </w:rPr>
            </w:pPr>
            <w:r>
              <w:rPr>
                <w:i/>
                <w:iCs/>
              </w:rPr>
              <w:t>Liquor Control (Juwurlinji Restricted Area) Regulations 2009</w:t>
            </w:r>
            <w:ins w:id="35" w:author="Master Repository Process" w:date="2023-06-20T12:24:00Z">
              <w:r>
                <w:rPr>
                  <w:iCs/>
                  <w:vertAlign w:val="superscript"/>
                </w:rPr>
                <w:t> 1</w:t>
              </w:r>
            </w:ins>
          </w:p>
        </w:tc>
        <w:tc>
          <w:tcPr>
            <w:tcW w:w="1276" w:type="dxa"/>
            <w:tcBorders>
              <w:bottom w:val="nil"/>
            </w:tcBorders>
          </w:tcPr>
          <w:p>
            <w:pPr>
              <w:pStyle w:val="nTable"/>
              <w:spacing w:after="40"/>
            </w:pPr>
            <w:r>
              <w:t>24 Jul 2009 p. 2947-8</w:t>
            </w:r>
          </w:p>
        </w:tc>
        <w:tc>
          <w:tcPr>
            <w:tcW w:w="2693" w:type="dxa"/>
            <w:tcBorders>
              <w:bottom w:val="nil"/>
            </w:tcBorders>
          </w:tcPr>
          <w:p>
            <w:pPr>
              <w:pStyle w:val="nTable"/>
              <w:spacing w:after="40"/>
            </w:pPr>
            <w:r>
              <w:rPr>
                <w:snapToGrid w:val="0"/>
                <w:spacing w:val="-2"/>
              </w:rPr>
              <w:t xml:space="preserve">r. 1 and 2: </w:t>
            </w:r>
            <w:r>
              <w:t>24 Jul 2009</w:t>
            </w:r>
            <w:r>
              <w:rPr>
                <w:snapToGrid w:val="0"/>
                <w:spacing w:val="-2"/>
              </w:rPr>
              <w:t xml:space="preserve"> (see r. 2(a));</w:t>
            </w:r>
            <w:r>
              <w:rPr>
                <w:snapToGrid w:val="0"/>
                <w:spacing w:val="-2"/>
              </w:rPr>
              <w:br/>
              <w:t xml:space="preserve">Regulations other than r. 1 and 2: </w:t>
            </w:r>
            <w:r>
              <w:t>25 Jul 2009</w:t>
            </w:r>
            <w:r>
              <w:rPr>
                <w:snapToGrid w:val="0"/>
                <w:spacing w:val="-2"/>
              </w:rPr>
              <w:t xml:space="preserve"> (see r. 2(b))</w:t>
            </w:r>
          </w:p>
        </w:tc>
      </w:tr>
      <w:tr>
        <w:tc>
          <w:tcPr>
            <w:tcW w:w="3118" w:type="dxa"/>
            <w:tcBorders>
              <w:top w:val="nil"/>
              <w:bottom w:val="nil"/>
            </w:tcBorders>
          </w:tcPr>
          <w:p>
            <w:pPr>
              <w:pStyle w:val="nTable"/>
              <w:spacing w:after="40"/>
              <w:rPr>
                <w:i/>
                <w:iCs/>
              </w:rPr>
            </w:pPr>
            <w:r>
              <w:rPr>
                <w:i/>
                <w:iCs/>
              </w:rPr>
              <w:t>Liquor Control (Juwurlinji Restricted Area) Amendment Regulations 2011</w:t>
            </w:r>
          </w:p>
        </w:tc>
        <w:tc>
          <w:tcPr>
            <w:tcW w:w="1276" w:type="dxa"/>
            <w:tcBorders>
              <w:top w:val="nil"/>
              <w:bottom w:val="nil"/>
            </w:tcBorders>
          </w:tcPr>
          <w:p>
            <w:pPr>
              <w:pStyle w:val="nTable"/>
              <w:spacing w:after="40"/>
            </w:pPr>
            <w:r>
              <w:t>22 Jul 2011 p. 3027</w:t>
            </w:r>
          </w:p>
        </w:tc>
        <w:tc>
          <w:tcPr>
            <w:tcW w:w="2693" w:type="dxa"/>
            <w:tcBorders>
              <w:top w:val="nil"/>
              <w:bottom w:val="nil"/>
            </w:tcBorders>
          </w:tcPr>
          <w:p>
            <w:pPr>
              <w:pStyle w:val="nTable"/>
              <w:spacing w:after="40"/>
              <w:rPr>
                <w:snapToGrid w:val="0"/>
                <w:spacing w:val="-2"/>
              </w:rPr>
            </w:pPr>
            <w:r>
              <w:rPr>
                <w:snapToGrid w:val="0"/>
                <w:spacing w:val="-2"/>
              </w:rPr>
              <w:t>r. 1 and 2: 22 Jul 2011 (see r. 2(a));</w:t>
            </w:r>
            <w:r>
              <w:rPr>
                <w:snapToGrid w:val="0"/>
                <w:spacing w:val="-2"/>
              </w:rPr>
              <w:br/>
              <w:t>Regulations other than r. 1 and 2: 23 Jul 2011 (see r. 2(b))</w:t>
            </w:r>
          </w:p>
        </w:tc>
      </w:tr>
      <w:tr>
        <w:tc>
          <w:tcPr>
            <w:tcW w:w="3118" w:type="dxa"/>
            <w:tcBorders>
              <w:top w:val="nil"/>
              <w:bottom w:val="nil"/>
            </w:tcBorders>
          </w:tcPr>
          <w:p>
            <w:pPr>
              <w:pStyle w:val="nTable"/>
              <w:spacing w:after="40"/>
              <w:rPr>
                <w:i/>
                <w:iCs/>
              </w:rPr>
            </w:pPr>
            <w:r>
              <w:rPr>
                <w:i/>
                <w:iCs/>
              </w:rPr>
              <w:t>Liquor Control (Juwurlinji Restricted Area) Amendment Regulations 2014</w:t>
            </w:r>
          </w:p>
        </w:tc>
        <w:tc>
          <w:tcPr>
            <w:tcW w:w="1276" w:type="dxa"/>
            <w:tcBorders>
              <w:top w:val="nil"/>
              <w:bottom w:val="nil"/>
            </w:tcBorders>
          </w:tcPr>
          <w:p>
            <w:pPr>
              <w:pStyle w:val="nTable"/>
              <w:spacing w:after="40"/>
            </w:pPr>
            <w:r>
              <w:t>11 Jul 2014 p. 2438</w:t>
            </w:r>
            <w:r>
              <w:noBreakHyphen/>
              <w:t>9</w:t>
            </w:r>
          </w:p>
        </w:tc>
        <w:tc>
          <w:tcPr>
            <w:tcW w:w="2693" w:type="dxa"/>
            <w:tcBorders>
              <w:top w:val="nil"/>
              <w:bottom w:val="nil"/>
            </w:tcBorders>
          </w:tcPr>
          <w:p>
            <w:pPr>
              <w:pStyle w:val="nTable"/>
              <w:spacing w:after="40"/>
              <w:rPr>
                <w:snapToGrid w:val="0"/>
                <w:spacing w:val="-2"/>
              </w:rPr>
            </w:pPr>
            <w:r>
              <w:rPr>
                <w:snapToGrid w:val="0"/>
                <w:spacing w:val="-2"/>
              </w:rPr>
              <w:t>r. 1 and 2: 11 Jul 2014 (see r. 2(a));</w:t>
            </w:r>
            <w:r>
              <w:rPr>
                <w:snapToGrid w:val="0"/>
                <w:spacing w:val="-2"/>
              </w:rPr>
              <w:br/>
              <w:t>Regulations other than r. 1 and 2: 12 Jul 2014 (see r. 2(b))</w:t>
            </w:r>
          </w:p>
        </w:tc>
      </w:tr>
      <w:tr>
        <w:tc>
          <w:tcPr>
            <w:tcW w:w="3118" w:type="dxa"/>
            <w:tcBorders>
              <w:top w:val="nil"/>
              <w:bottom w:val="nil"/>
            </w:tcBorders>
          </w:tcPr>
          <w:p>
            <w:pPr>
              <w:pStyle w:val="nTable"/>
              <w:spacing w:after="40"/>
              <w:rPr>
                <w:i/>
                <w:iCs/>
              </w:rPr>
            </w:pPr>
            <w:r>
              <w:rPr>
                <w:i/>
              </w:rPr>
              <w:t>Liquor Control (Juwurlinji Restricted Area) Amendment Regulations 2017</w:t>
            </w:r>
          </w:p>
        </w:tc>
        <w:tc>
          <w:tcPr>
            <w:tcW w:w="1276" w:type="dxa"/>
            <w:tcBorders>
              <w:top w:val="nil"/>
              <w:bottom w:val="nil"/>
            </w:tcBorders>
          </w:tcPr>
          <w:p>
            <w:pPr>
              <w:pStyle w:val="nTable"/>
              <w:spacing w:after="40"/>
            </w:pPr>
            <w:r>
              <w:t>30 Jun 2017 p. 3593</w:t>
            </w:r>
          </w:p>
        </w:tc>
        <w:tc>
          <w:tcPr>
            <w:tcW w:w="2693" w:type="dxa"/>
            <w:tcBorders>
              <w:top w:val="nil"/>
              <w:bottom w:val="nil"/>
            </w:tcBorders>
          </w:tcPr>
          <w:p>
            <w:pPr>
              <w:pStyle w:val="nTable"/>
              <w:spacing w:after="40"/>
              <w:rPr>
                <w:snapToGrid w:val="0"/>
                <w:spacing w:val="-2"/>
              </w:rPr>
            </w:pPr>
            <w:r>
              <w:rPr>
                <w:bCs/>
                <w:snapToGrid w:val="0"/>
                <w:spacing w:val="-2"/>
              </w:rPr>
              <w:t>r. 1 and 2: 30 Jun 2017 (see r. 2(a));</w:t>
            </w:r>
            <w:r>
              <w:rPr>
                <w:bCs/>
                <w:snapToGrid w:val="0"/>
                <w:spacing w:val="-2"/>
              </w:rPr>
              <w:br/>
              <w:t>Regulations other than r. 1 and 2: 1 Jul 2017 (see r. 2(b))</w:t>
            </w:r>
          </w:p>
        </w:tc>
      </w:tr>
      <w:tr>
        <w:tc>
          <w:tcPr>
            <w:tcW w:w="3118" w:type="dxa"/>
            <w:tcBorders>
              <w:top w:val="nil"/>
              <w:bottom w:val="nil"/>
            </w:tcBorders>
          </w:tcPr>
          <w:p>
            <w:pPr>
              <w:pStyle w:val="nTable"/>
              <w:spacing w:after="40"/>
              <w:rPr>
                <w:i/>
              </w:rPr>
            </w:pPr>
            <w:r>
              <w:rPr>
                <w:i/>
              </w:rPr>
              <w:t>Racing and Gaming Regulations Amendment (Liquor Control) Regulations 2020</w:t>
            </w:r>
            <w:r>
              <w:t xml:space="preserve"> Pt. 3</w:t>
            </w:r>
          </w:p>
        </w:tc>
        <w:tc>
          <w:tcPr>
            <w:tcW w:w="1276" w:type="dxa"/>
            <w:tcBorders>
              <w:top w:val="nil"/>
              <w:bottom w:val="nil"/>
            </w:tcBorders>
          </w:tcPr>
          <w:p>
            <w:pPr>
              <w:pStyle w:val="nTable"/>
              <w:spacing w:after="40"/>
            </w:pPr>
            <w:r>
              <w:t>SL 2020/62 22 May 2020</w:t>
            </w:r>
          </w:p>
        </w:tc>
        <w:tc>
          <w:tcPr>
            <w:tcW w:w="2693" w:type="dxa"/>
            <w:tcBorders>
              <w:top w:val="nil"/>
              <w:bottom w:val="nil"/>
            </w:tcBorders>
          </w:tcPr>
          <w:p>
            <w:pPr>
              <w:pStyle w:val="nTable"/>
              <w:spacing w:after="40"/>
              <w:rPr>
                <w:bCs/>
                <w:snapToGrid w:val="0"/>
                <w:spacing w:val="-2"/>
              </w:rPr>
            </w:pPr>
            <w:r>
              <w:t>23 May 2020 (see r. 2(b))</w:t>
            </w:r>
          </w:p>
        </w:tc>
      </w:tr>
      <w:tr>
        <w:trPr>
          <w:ins w:id="36" w:author="Master Repository Process" w:date="2023-06-20T12:24:00Z"/>
        </w:trPr>
        <w:tc>
          <w:tcPr>
            <w:tcW w:w="3118" w:type="dxa"/>
            <w:tcBorders>
              <w:top w:val="nil"/>
              <w:bottom w:val="single" w:sz="4" w:space="0" w:color="auto"/>
            </w:tcBorders>
          </w:tcPr>
          <w:p>
            <w:pPr>
              <w:pStyle w:val="nTable"/>
              <w:spacing w:after="40"/>
              <w:rPr>
                <w:ins w:id="37" w:author="Master Repository Process" w:date="2023-06-20T12:24:00Z"/>
                <w:i/>
              </w:rPr>
            </w:pPr>
            <w:ins w:id="38" w:author="Master Repository Process" w:date="2023-06-20T12:24:00Z">
              <w:r>
                <w:rPr>
                  <w:i/>
                </w:rPr>
                <w:t>Racing and Gaming Regulations Amendment (Liquor Control) Regulations (No. 3) 2023</w:t>
              </w:r>
              <w:r>
                <w:t xml:space="preserve"> Pt. 3</w:t>
              </w:r>
            </w:ins>
          </w:p>
        </w:tc>
        <w:tc>
          <w:tcPr>
            <w:tcW w:w="1276" w:type="dxa"/>
            <w:tcBorders>
              <w:top w:val="nil"/>
              <w:bottom w:val="single" w:sz="4" w:space="0" w:color="auto"/>
            </w:tcBorders>
          </w:tcPr>
          <w:p>
            <w:pPr>
              <w:pStyle w:val="nTable"/>
              <w:spacing w:after="40"/>
              <w:rPr>
                <w:ins w:id="39" w:author="Master Repository Process" w:date="2023-06-20T12:24:00Z"/>
              </w:rPr>
            </w:pPr>
            <w:ins w:id="40" w:author="Master Repository Process" w:date="2023-06-20T12:24:00Z">
              <w:r>
                <w:t>SL 2023/78 20 Jun 2023</w:t>
              </w:r>
            </w:ins>
          </w:p>
        </w:tc>
        <w:tc>
          <w:tcPr>
            <w:tcW w:w="2693" w:type="dxa"/>
            <w:tcBorders>
              <w:top w:val="nil"/>
              <w:bottom w:val="single" w:sz="4" w:space="0" w:color="auto"/>
            </w:tcBorders>
          </w:tcPr>
          <w:p>
            <w:pPr>
              <w:pStyle w:val="nTable"/>
              <w:spacing w:after="40"/>
              <w:rPr>
                <w:ins w:id="41" w:author="Master Repository Process" w:date="2023-06-20T12:24:00Z"/>
              </w:rPr>
            </w:pPr>
            <w:ins w:id="42" w:author="Master Repository Process" w:date="2023-06-20T12:24:00Z">
              <w:r>
                <w:t>21 Jun 2023 (see r. 2(b))</w:t>
              </w:r>
            </w:ins>
          </w:p>
        </w:tc>
      </w:tr>
    </w:tbl>
    <w:p>
      <w:pPr>
        <w:pStyle w:val="nHeading3"/>
      </w:pPr>
      <w:bookmarkStart w:id="43" w:name="_Toc138154914"/>
      <w:bookmarkStart w:id="44" w:name="_Toc41047098"/>
      <w:r>
        <w:t>Other notes</w:t>
      </w:r>
      <w:bookmarkEnd w:id="43"/>
      <w:bookmarkEnd w:id="44"/>
    </w:p>
    <w:p>
      <w:pPr>
        <w:pStyle w:val="nNote"/>
      </w:pPr>
      <w:r>
        <w:rPr>
          <w:vertAlign w:val="superscript"/>
        </w:rPr>
        <w:t>1</w:t>
      </w:r>
      <w:r>
        <w:tab/>
        <w:t>These regulations expire at the close of 24 July </w:t>
      </w:r>
      <w:del w:id="45" w:author="Master Repository Process" w:date="2023-06-20T12:24:00Z">
        <w:r>
          <w:delText>2023</w:delText>
        </w:r>
      </w:del>
      <w:ins w:id="46" w:author="Master Repository Process" w:date="2023-06-20T12:24:00Z">
        <w:r>
          <w:t>2028</w:t>
        </w:r>
      </w:ins>
      <w:r>
        <w:t xml:space="preserve"> (see r. 9).</w:t>
      </w:r>
    </w:p>
    <w:p/>
    <w:p>
      <w:pPr>
        <w:sectPr>
          <w:headerReference w:type="even" r:id="rId21"/>
          <w:headerReference w:type="default" r:id="rId22"/>
          <w:pgSz w:w="11907" w:h="16840" w:code="9"/>
          <w:pgMar w:top="2376" w:right="2404" w:bottom="3544" w:left="2404" w:header="720" w:footer="3380" w:gutter="0"/>
          <w:cols w:space="720"/>
          <w:noEndnote/>
          <w:docGrid w:linePitch="326"/>
        </w:sectPr>
      </w:pPr>
    </w:p>
    <w:bookmarkEnd w:id="29"/>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(Juwurlinji Restricted Area)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(Juwurlinji Restricted Area)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(Juwurlinji Restricted Area)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(Juwurlinji Restricted Area)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7" w:name="Compilation"/>
    <w:bookmarkEnd w:id="4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8" w:name="Coversheet"/>
    <w:bookmarkEnd w:id="4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00522104820"/>
    <w:docVar w:name="WAFER_20140710142534" w:val="UpdateArrangement"/>
    <w:docVar w:name="WAFER_20140710142534_GUID" w:val="f7d7ba8f-56fe-4dc3-b496-c3a0b95fa54d"/>
    <w:docVar w:name="WAFER_20150602092456" w:val="ResetPageSize,UpdateArrangement,UpdateNTable"/>
    <w:docVar w:name="WAFER_20150602092456_GUID" w:val="82de7f23-24c9-4279-81fa-a8321f714a2a"/>
    <w:docVar w:name="WAFER_20151125150938" w:val="UpdateStyles"/>
    <w:docVar w:name="WAFER_20151125150938_GUID" w:val="5dc5645b-7d6b-42bb-b749-14a6633f73e8"/>
    <w:docVar w:name="WAFER_20151125152433" w:val="UsedStyles"/>
    <w:docVar w:name="WAFER_20151125152433_GUID" w:val="9b6d8b2a-22a8-44c7-80fb-5e3ced3bee68"/>
    <w:docVar w:name="WAFER_202005221048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04820_GUID" w:val="73dbf88e-c897-464c-ad84-d0e5049ed0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B211185-8F60-46B1-9B7C-6245E71C2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751</Words>
  <Characters>3697</Characters>
  <Application>Microsoft Office Word</Application>
  <DocSecurity>0</DocSecurity>
  <Lines>136</Lines>
  <Paragraphs>83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(Juwurlinji Restricted Area) Regulations 2009 00-e0-00 - 00-f0-00</dc:title>
  <dc:subject/>
  <dc:creator/>
  <cp:keywords/>
  <dc:description/>
  <cp:lastModifiedBy>Master Repository Process</cp:lastModifiedBy>
  <cp:revision>2</cp:revision>
  <cp:lastPrinted>2009-03-16T03:32:00Z</cp:lastPrinted>
  <dcterms:created xsi:type="dcterms:W3CDTF">2023-06-20T04:24:00Z</dcterms:created>
  <dcterms:modified xsi:type="dcterms:W3CDTF">2023-06-20T04:24:00Z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Jul 2009 p 2947-8</vt:lpwstr>
  </property>
  <property fmtid="{D5CDD505-2E9C-101B-9397-08002B2CF9AE}" pid="3" name="OwlsUID">
    <vt:i4>41417</vt:i4>
  </property>
  <property fmtid="{D5CDD505-2E9C-101B-9397-08002B2CF9AE}" pid="4" name="DocumentType">
    <vt:lpwstr>Reg</vt:lpwstr>
  </property>
  <property fmtid="{D5CDD505-2E9C-101B-9397-08002B2CF9AE}" pid="5" name="CommencementDate">
    <vt:lpwstr>20230621</vt:lpwstr>
  </property>
  <property fmtid="{D5CDD505-2E9C-101B-9397-08002B2CF9AE}" pid="6" name="FromSuffix">
    <vt:lpwstr>00-e0-00</vt:lpwstr>
  </property>
  <property fmtid="{D5CDD505-2E9C-101B-9397-08002B2CF9AE}" pid="7" name="FromAsAtDate">
    <vt:lpwstr>23 May 2020</vt:lpwstr>
  </property>
  <property fmtid="{D5CDD505-2E9C-101B-9397-08002B2CF9AE}" pid="8" name="ToSuffix">
    <vt:lpwstr>00-f0-00</vt:lpwstr>
  </property>
  <property fmtid="{D5CDD505-2E9C-101B-9397-08002B2CF9AE}" pid="9" name="ToAsAtDate">
    <vt:lpwstr>21 Jun 2023</vt:lpwstr>
  </property>
</Properties>
</file>