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2020</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21 Jun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(Woolah Restricted Area) Regulations 2017</w:t>
      </w:r>
    </w:p>
    <w:p>
      <w:pPr>
        <w:pStyle w:val="Heading5"/>
      </w:pPr>
      <w:bookmarkStart w:id="1" w:name="_Toc138155617"/>
      <w:bookmarkStart w:id="2" w:name="_Toc41048173"/>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5" w:name="_Toc138155618"/>
      <w:bookmarkStart w:id="6" w:name="_Toc41048174"/>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rPr>
          <w:snapToGrid w:val="0"/>
        </w:rPr>
      </w:pPr>
      <w:bookmarkStart w:id="7" w:name="_Toc138155619"/>
      <w:bookmarkStart w:id="8" w:name="_Toc41048175"/>
      <w:r>
        <w:rPr>
          <w:rStyle w:val="CharSectno"/>
        </w:rPr>
        <w:t>3</w:t>
      </w:r>
      <w:r>
        <w:rPr>
          <w:snapToGrid w:val="0"/>
        </w:rPr>
        <w:t>.</w:t>
      </w:r>
      <w:r>
        <w:rPr>
          <w:snapToGrid w:val="0"/>
        </w:rPr>
        <w:tab/>
        <w:t>Term used</w:t>
      </w:r>
      <w:r>
        <w:t>: Woolah Aboriginal Community</w:t>
      </w:r>
      <w:bookmarkEnd w:id="7"/>
      <w:bookmarkEnd w:id="8"/>
    </w:p>
    <w:p>
      <w:pPr>
        <w:pStyle w:val="Subsection"/>
      </w:pPr>
      <w:r>
        <w:tab/>
      </w:r>
      <w:r>
        <w:tab/>
        <w:t xml:space="preserve">In these regulations — </w:t>
      </w:r>
    </w:p>
    <w:p>
      <w:pPr>
        <w:pStyle w:val="Defstart"/>
      </w:pPr>
      <w:r>
        <w:tab/>
      </w:r>
      <w:r>
        <w:rPr>
          <w:rStyle w:val="CharDefText"/>
        </w:rPr>
        <w:t>Woolah Aboriginal Community</w:t>
      </w:r>
      <w:r>
        <w:t xml:space="preserve"> means the area of land comprising Lot 815, other than the area comprised in Lots 53 and 72, on Deposited Plan 219580 (Crown Lease H081623).</w:t>
      </w:r>
    </w:p>
    <w:p>
      <w:pPr>
        <w:pStyle w:val="Footnotesection"/>
      </w:pPr>
      <w:r>
        <w:tab/>
        <w:t>[Regulation 3 amended: SL 2020/62 r. 22.]</w:t>
      </w:r>
    </w:p>
    <w:p>
      <w:pPr>
        <w:pStyle w:val="Ednotesection"/>
      </w:pPr>
      <w:r>
        <w:t>[</w:t>
      </w:r>
      <w:r>
        <w:rPr>
          <w:b/>
        </w:rPr>
        <w:t>4.</w:t>
      </w:r>
      <w:r>
        <w:tab/>
        <w:t>Deleted: SL 2020/62 r. 23.]</w:t>
      </w:r>
    </w:p>
    <w:p>
      <w:pPr>
        <w:pStyle w:val="Heading5"/>
      </w:pPr>
      <w:bookmarkStart w:id="9" w:name="_Toc138155620"/>
      <w:bookmarkStart w:id="10" w:name="_Toc41048176"/>
      <w:r>
        <w:rPr>
          <w:rStyle w:val="CharSectno"/>
        </w:rPr>
        <w:t>5</w:t>
      </w:r>
      <w:r>
        <w:t>.</w:t>
      </w:r>
      <w:r>
        <w:tab/>
        <w:t>Declaration of restricted area</w:t>
      </w:r>
      <w:bookmarkEnd w:id="9"/>
      <w:bookmarkEnd w:id="10"/>
    </w:p>
    <w:p>
      <w:pPr>
        <w:pStyle w:val="Subsection"/>
      </w:pPr>
      <w:r>
        <w:tab/>
      </w:r>
      <w:r>
        <w:tab/>
        <w:t>The Woolah Aboriginal Community is declared to be a restricted area for the purposes of section 175(1a) of the Act.</w:t>
      </w:r>
    </w:p>
    <w:p>
      <w:pPr>
        <w:pStyle w:val="Heading5"/>
      </w:pPr>
      <w:bookmarkStart w:id="11" w:name="_Toc138155621"/>
      <w:bookmarkStart w:id="12" w:name="_Toc41048177"/>
      <w:r>
        <w:rPr>
          <w:rStyle w:val="CharSectno"/>
        </w:rPr>
        <w:t>6</w:t>
      </w:r>
      <w:r>
        <w:t>.</w:t>
      </w:r>
      <w:r>
        <w:tab/>
        <w:t>Notice of restricted area</w:t>
      </w:r>
      <w:bookmarkEnd w:id="11"/>
      <w:bookmarkEnd w:id="12"/>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3" w:name="_Toc138155622"/>
      <w:bookmarkStart w:id="14" w:name="_Toc41048178"/>
      <w:r>
        <w:rPr>
          <w:rStyle w:val="CharSectno"/>
        </w:rPr>
        <w:t>7</w:t>
      </w:r>
      <w:r>
        <w:t>.</w:t>
      </w:r>
      <w:r>
        <w:tab/>
        <w:t>Prohibitions as to liquor in the Woolah Aboriginal Community</w:t>
      </w:r>
      <w:bookmarkEnd w:id="13"/>
      <w:bookmarkEnd w:id="14"/>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5" w:name="_Toc138155623"/>
      <w:bookmarkStart w:id="16" w:name="_Toc41048179"/>
      <w:r>
        <w:rPr>
          <w:rStyle w:val="CharSectno"/>
        </w:rPr>
        <w:t>8</w:t>
      </w:r>
      <w:r>
        <w:t>.</w:t>
      </w:r>
      <w:r>
        <w:tab/>
        <w:t>Seizure and disposal of containers of liquor</w:t>
      </w:r>
      <w:bookmarkEnd w:id="15"/>
      <w:bookmarkEnd w:id="1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7" w:name="_Toc138155624"/>
      <w:bookmarkStart w:id="18" w:name="_Toc41048180"/>
      <w:r>
        <w:rPr>
          <w:rStyle w:val="CharSectno"/>
        </w:rPr>
        <w:t>9</w:t>
      </w:r>
      <w:r>
        <w:t>.</w:t>
      </w:r>
      <w:r>
        <w:tab/>
        <w:t>Period during which these regulations have effect</w:t>
      </w:r>
      <w:bookmarkEnd w:id="17"/>
      <w:bookmarkEnd w:id="18"/>
    </w:p>
    <w:p>
      <w:pPr>
        <w:pStyle w:val="Subsection"/>
      </w:pPr>
      <w:r>
        <w:tab/>
      </w:r>
      <w:r>
        <w:tab/>
        <w:t>Unless sooner repealed, these regulations have effect for the period that ends at the close of 19 August </w:t>
      </w:r>
      <w:del w:id="19" w:author="Master Repository Process" w:date="2023-06-20T12:25:00Z">
        <w:r>
          <w:delText>2023</w:delText>
        </w:r>
      </w:del>
      <w:ins w:id="20" w:author="Master Repository Process" w:date="2023-06-20T12:25:00Z">
        <w:r>
          <w:t>2024</w:t>
        </w:r>
      </w:ins>
      <w:r>
        <w:t>.</w:t>
      </w:r>
    </w:p>
    <w:p>
      <w:pPr>
        <w:pStyle w:val="Footnotesection"/>
      </w:pPr>
      <w:r>
        <w:tab/>
        <w:t>[Regulation 9 inserted: SL 2020/62 r. </w:t>
      </w:r>
      <w:del w:id="21" w:author="Master Repository Process" w:date="2023-06-20T12:25:00Z">
        <w:r>
          <w:delText>24</w:delText>
        </w:r>
      </w:del>
      <w:ins w:id="22" w:author="Master Repository Process" w:date="2023-06-20T12:25:00Z">
        <w:r>
          <w:t>24; amended: SL 2023/78 r. 12</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23" w:name="_Toc138063890"/>
      <w:bookmarkStart w:id="24" w:name="_Toc138064127"/>
      <w:bookmarkStart w:id="25" w:name="_Toc138155625"/>
      <w:bookmarkStart w:id="26" w:name="_Toc41044193"/>
      <w:bookmarkStart w:id="27" w:name="_Toc41048181"/>
      <w:bookmarkStart w:id="28" w:name="_Toc41043609"/>
      <w:r>
        <w:t>Notes</w:t>
      </w:r>
      <w:bookmarkEnd w:id="23"/>
      <w:bookmarkEnd w:id="24"/>
      <w:bookmarkEnd w:id="25"/>
      <w:bookmarkEnd w:id="26"/>
      <w:bookmarkEnd w:id="27"/>
    </w:p>
    <w:p>
      <w:pPr>
        <w:pStyle w:val="nStatement"/>
      </w:pPr>
      <w:r>
        <w:t xml:space="preserve">This is a compilation of the </w:t>
      </w:r>
      <w:r>
        <w:rPr>
          <w:i/>
          <w:noProof/>
        </w:rPr>
        <w:t>Liquor Control (Woolah Restricted Area) Regulations 2017</w:t>
      </w:r>
      <w:r>
        <w:t xml:space="preserve"> and includes amendments made by other written laws</w:t>
      </w:r>
      <w:del w:id="29" w:author="Master Repository Process" w:date="2023-06-20T12:25:00Z">
        <w:r>
          <w:rPr>
            <w:vertAlign w:val="superscript"/>
          </w:rPr>
          <w:delText> 1</w:delText>
        </w:r>
      </w:del>
      <w:r>
        <w:t>. For provisions that have come into operation see the compilation table.</w:t>
      </w:r>
    </w:p>
    <w:p>
      <w:pPr>
        <w:pStyle w:val="nHeading3"/>
      </w:pPr>
      <w:bookmarkStart w:id="30" w:name="_Toc138155626"/>
      <w:bookmarkStart w:id="31" w:name="_Toc41048182"/>
      <w:r>
        <w:t>Compilation table</w:t>
      </w:r>
      <w:bookmarkEnd w:id="30"/>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ins w:id="32" w:author="Master Repository Process" w:date="2023-06-20T12:25:00Z">
              <w:r>
                <w:rPr>
                  <w:vertAlign w:val="superscript"/>
                </w:rPr>
                <w:t> 1</w:t>
              </w:r>
            </w:ins>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rPr>
          <w:ins w:id="33" w:author="Master Repository Process" w:date="2023-06-20T12:25:00Z"/>
        </w:trPr>
        <w:tc>
          <w:tcPr>
            <w:tcW w:w="3118" w:type="dxa"/>
            <w:tcBorders>
              <w:top w:val="nil"/>
              <w:bottom w:val="single" w:sz="4" w:space="0" w:color="auto"/>
            </w:tcBorders>
          </w:tcPr>
          <w:p>
            <w:pPr>
              <w:pStyle w:val="nTable"/>
              <w:spacing w:after="40"/>
              <w:rPr>
                <w:ins w:id="34" w:author="Master Repository Process" w:date="2023-06-20T12:25:00Z"/>
                <w:i/>
              </w:rPr>
            </w:pPr>
            <w:ins w:id="35" w:author="Master Repository Process" w:date="2023-06-20T12:25:00Z">
              <w:r>
                <w:rPr>
                  <w:i/>
                </w:rPr>
                <w:t>Racing and Gaming Regulations Amendment (Liquor Control) Regulations (No. 3) 2023</w:t>
              </w:r>
              <w:r>
                <w:t xml:space="preserve"> Pt. 6</w:t>
              </w:r>
            </w:ins>
          </w:p>
        </w:tc>
        <w:tc>
          <w:tcPr>
            <w:tcW w:w="1276" w:type="dxa"/>
            <w:tcBorders>
              <w:top w:val="nil"/>
              <w:bottom w:val="single" w:sz="4" w:space="0" w:color="auto"/>
            </w:tcBorders>
          </w:tcPr>
          <w:p>
            <w:pPr>
              <w:pStyle w:val="nTable"/>
              <w:spacing w:after="40"/>
              <w:rPr>
                <w:ins w:id="36" w:author="Master Repository Process" w:date="2023-06-20T12:25:00Z"/>
              </w:rPr>
            </w:pPr>
            <w:ins w:id="37" w:author="Master Repository Process" w:date="2023-06-20T12:25:00Z">
              <w:r>
                <w:t>SL 2023/78 20 Jun 2023</w:t>
              </w:r>
            </w:ins>
          </w:p>
        </w:tc>
        <w:tc>
          <w:tcPr>
            <w:tcW w:w="2693" w:type="dxa"/>
            <w:tcBorders>
              <w:top w:val="nil"/>
              <w:bottom w:val="single" w:sz="4" w:space="0" w:color="auto"/>
            </w:tcBorders>
          </w:tcPr>
          <w:p>
            <w:pPr>
              <w:pStyle w:val="nTable"/>
              <w:spacing w:after="40"/>
              <w:rPr>
                <w:ins w:id="38" w:author="Master Repository Process" w:date="2023-06-20T12:25:00Z"/>
              </w:rPr>
            </w:pPr>
            <w:ins w:id="39" w:author="Master Repository Process" w:date="2023-06-20T12:25:00Z">
              <w:r>
                <w:t>21 Jun 2023 (see r. 2(b))</w:t>
              </w:r>
            </w:ins>
          </w:p>
        </w:tc>
      </w:tr>
    </w:tbl>
    <w:p>
      <w:pPr>
        <w:pStyle w:val="nHeading3"/>
      </w:pPr>
      <w:bookmarkStart w:id="40" w:name="_Toc138155627"/>
      <w:bookmarkStart w:id="41" w:name="_Toc41048183"/>
      <w:r>
        <w:t>Other notes</w:t>
      </w:r>
      <w:bookmarkEnd w:id="40"/>
      <w:bookmarkEnd w:id="41"/>
    </w:p>
    <w:p>
      <w:pPr>
        <w:pStyle w:val="nNote"/>
      </w:pPr>
      <w:r>
        <w:rPr>
          <w:vertAlign w:val="superscript"/>
        </w:rPr>
        <w:t>1</w:t>
      </w:r>
      <w:r>
        <w:tab/>
        <w:t>These regulations expire at the close of 19 August </w:t>
      </w:r>
      <w:del w:id="42" w:author="Master Repository Process" w:date="2023-06-20T12:25:00Z">
        <w:r>
          <w:delText>2023</w:delText>
        </w:r>
      </w:del>
      <w:ins w:id="43" w:author="Master Repository Process" w:date="2023-06-20T12:25:00Z">
        <w:r>
          <w:t>2024</w:t>
        </w:r>
      </w:ins>
      <w:r>
        <w:t xml:space="preserve"> (see r. 9).</w:t>
      </w:r>
    </w:p>
    <w:p/>
    <w:p>
      <w:pPr>
        <w:sectPr>
          <w:headerReference w:type="even" r:id="rId21"/>
          <w:headerReference w:type="default" r:id="rId22"/>
          <w:pgSz w:w="11907" w:h="16840" w:code="9"/>
          <w:pgMar w:top="2376" w:right="2404" w:bottom="3544" w:left="2404" w:header="720" w:footer="3544" w:gutter="0"/>
          <w:cols w:space="720"/>
          <w:noEndnote/>
          <w:docGrid w:linePitch="326"/>
        </w:sectPr>
      </w:pPr>
    </w:p>
    <w:bookmarkEnd w:id="28"/>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 w:name="Coversheet"/>
    <w:bookmarkEnd w:id="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1017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7215B-59B2-43E2-A1AE-4DA38420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611</Words>
  <Characters>3042</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00-b0-00 - 00-c0-00</dc:title>
  <dc:subject/>
  <dc:creator/>
  <cp:keywords/>
  <dc:description/>
  <cp:lastModifiedBy>Master Repository Process</cp:lastModifiedBy>
  <cp:revision>2</cp:revision>
  <cp:lastPrinted>2017-08-17T07:30:00Z</cp:lastPrinted>
  <dcterms:created xsi:type="dcterms:W3CDTF">2023-06-20T04:25:00Z</dcterms:created>
  <dcterms:modified xsi:type="dcterms:W3CDTF">2023-06-20T04:25:00Z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20230621</vt:lpwstr>
  </property>
  <property fmtid="{D5CDD505-2E9C-101B-9397-08002B2CF9AE}" pid="4" name="FromSuffix">
    <vt:lpwstr>00-b0-00</vt:lpwstr>
  </property>
  <property fmtid="{D5CDD505-2E9C-101B-9397-08002B2CF9AE}" pid="5" name="FromAsAtDate">
    <vt:lpwstr>23 May 2020</vt:lpwstr>
  </property>
  <property fmtid="{D5CDD505-2E9C-101B-9397-08002B2CF9AE}" pid="6" name="ToSuffix">
    <vt:lpwstr>00-c0-00</vt:lpwstr>
  </property>
  <property fmtid="{D5CDD505-2E9C-101B-9397-08002B2CF9AE}" pid="7" name="ToAsAtDate">
    <vt:lpwstr>21 Jun 2023</vt:lpwstr>
  </property>
</Properties>
</file>