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2019</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22 Jun 2023</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pPr>
      <w:r>
        <w:t>A</w:t>
      </w:r>
      <w:bookmarkStart w:id="1" w:name="_GoBack"/>
      <w:bookmarkEnd w:id="1"/>
      <w: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138408747"/>
      <w:bookmarkStart w:id="3" w:name="_Toc138408945"/>
      <w:bookmarkStart w:id="4" w:name="_Toc138411822"/>
      <w:bookmarkStart w:id="5" w:name="_Toc32419840"/>
      <w:bookmarkStart w:id="6" w:name="_Toc3242003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138411823"/>
      <w:bookmarkStart w:id="8" w:name="_Toc3242003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9" w:name="_Toc138411824"/>
      <w:bookmarkStart w:id="10" w:name="_Toc32420040"/>
      <w:r>
        <w:rPr>
          <w:rStyle w:val="CharSectno"/>
        </w:rPr>
        <w:t>2</w:t>
      </w:r>
      <w:r>
        <w:t>.</w:t>
      </w:r>
      <w:r>
        <w:tab/>
      </w:r>
      <w:r>
        <w:rPr>
          <w:snapToGrid w:val="0"/>
        </w:rPr>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138411825"/>
      <w:bookmarkStart w:id="12" w:name="_Toc32420041"/>
      <w:r>
        <w:rPr>
          <w:rStyle w:val="CharSectno"/>
        </w:rPr>
        <w:t>3</w:t>
      </w:r>
      <w:r>
        <w:t>.</w:t>
      </w:r>
      <w:r>
        <w:tab/>
        <w:t>Terms used in this Act</w:t>
      </w:r>
      <w:bookmarkEnd w:id="11"/>
      <w:bookmarkEnd w:id="12"/>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Harness Racing Australia,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Infrastructure Fund</w:t>
      </w:r>
      <w:r>
        <w:t xml:space="preserve"> means the Racing Infrastructure Fund established by the</w:t>
      </w:r>
      <w:r>
        <w:rPr>
          <w:i/>
        </w:rPr>
        <w:t xml:space="preserve"> TAB (Disposal) Act 2019</w:t>
      </w:r>
      <w:r>
        <w:t xml:space="preserve"> section 27;</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rPr>
          <w:b/>
        </w:rPr>
        <w:tab/>
      </w:r>
      <w:r>
        <w:rPr>
          <w:rStyle w:val="CharDefText"/>
        </w:rPr>
        <w:t>wagering licensee</w:t>
      </w:r>
      <w:r>
        <w:t xml:space="preserve"> has the meaning given in the </w:t>
      </w:r>
      <w:r>
        <w:rPr>
          <w:i/>
        </w:rPr>
        <w:t>Betting Control Act 1954</w:t>
      </w:r>
      <w:r>
        <w:t xml:space="preserve"> section 4(1).</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 No. 21 of 2019 s. 106.]</w:t>
      </w:r>
    </w:p>
    <w:p>
      <w:pPr>
        <w:pStyle w:val="Heading2"/>
      </w:pPr>
      <w:bookmarkStart w:id="13" w:name="_Toc138408751"/>
      <w:bookmarkStart w:id="14" w:name="_Toc138408949"/>
      <w:bookmarkStart w:id="15" w:name="_Toc138411826"/>
      <w:bookmarkStart w:id="16" w:name="_Toc32419844"/>
      <w:bookmarkStart w:id="17" w:name="_Toc32420042"/>
      <w:r>
        <w:rPr>
          <w:rStyle w:val="CharPartNo"/>
        </w:rPr>
        <w:t>Part 2</w:t>
      </w:r>
      <w:r>
        <w:t xml:space="preserve"> — </w:t>
      </w:r>
      <w:r>
        <w:rPr>
          <w:rStyle w:val="CharPartText"/>
        </w:rPr>
        <w:t>Racing and Wagering Western Australia</w:t>
      </w:r>
      <w:bookmarkEnd w:id="13"/>
      <w:bookmarkEnd w:id="14"/>
      <w:bookmarkEnd w:id="15"/>
      <w:bookmarkEnd w:id="16"/>
      <w:bookmarkEnd w:id="17"/>
    </w:p>
    <w:p>
      <w:pPr>
        <w:pStyle w:val="Heading3"/>
      </w:pPr>
      <w:bookmarkStart w:id="18" w:name="_Toc138408752"/>
      <w:bookmarkStart w:id="19" w:name="_Toc138408950"/>
      <w:bookmarkStart w:id="20" w:name="_Toc138411827"/>
      <w:bookmarkStart w:id="21" w:name="_Toc32419845"/>
      <w:bookmarkStart w:id="22" w:name="_Toc32420043"/>
      <w:r>
        <w:rPr>
          <w:rStyle w:val="CharDivNo"/>
        </w:rPr>
        <w:t>Division 1</w:t>
      </w:r>
      <w:r>
        <w:t xml:space="preserve"> — </w:t>
      </w:r>
      <w:r>
        <w:rPr>
          <w:rStyle w:val="CharDivText"/>
        </w:rPr>
        <w:t>Establishment</w:t>
      </w:r>
      <w:bookmarkEnd w:id="18"/>
      <w:bookmarkEnd w:id="19"/>
      <w:bookmarkEnd w:id="20"/>
      <w:bookmarkEnd w:id="21"/>
      <w:bookmarkEnd w:id="22"/>
    </w:p>
    <w:p>
      <w:pPr>
        <w:pStyle w:val="Heading5"/>
      </w:pPr>
      <w:bookmarkStart w:id="23" w:name="_Toc138411828"/>
      <w:bookmarkStart w:id="24" w:name="_Toc32420044"/>
      <w:r>
        <w:rPr>
          <w:rStyle w:val="CharSectno"/>
        </w:rPr>
        <w:t>4</w:t>
      </w:r>
      <w:r>
        <w:t>.</w:t>
      </w:r>
      <w:r>
        <w:tab/>
        <w:t>Racing and Wagering Western Australia established</w:t>
      </w:r>
      <w:bookmarkEnd w:id="23"/>
      <w:bookmarkEnd w:id="24"/>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5" w:name="_Toc138411829"/>
      <w:bookmarkStart w:id="26" w:name="_Toc32420045"/>
      <w:r>
        <w:rPr>
          <w:rStyle w:val="CharSectno"/>
        </w:rPr>
        <w:t>5</w:t>
      </w:r>
      <w:r>
        <w:t>.</w:t>
      </w:r>
      <w:r>
        <w:tab/>
        <w:t>RWWA not an agent of the Crown</w:t>
      </w:r>
      <w:bookmarkEnd w:id="25"/>
      <w:bookmarkEnd w:id="26"/>
    </w:p>
    <w:p>
      <w:pPr>
        <w:pStyle w:val="Subsection"/>
      </w:pPr>
      <w:r>
        <w:tab/>
      </w:r>
      <w:r>
        <w:tab/>
        <w:t>RWWA is not an agent of the Crown and does not have the status, immunity, and privileges of the Crown.</w:t>
      </w:r>
    </w:p>
    <w:p>
      <w:pPr>
        <w:pStyle w:val="Heading5"/>
        <w:spacing w:before="180"/>
      </w:pPr>
      <w:bookmarkStart w:id="27" w:name="_Toc138411830"/>
      <w:bookmarkStart w:id="28" w:name="_Toc32420046"/>
      <w:r>
        <w:rPr>
          <w:rStyle w:val="CharSectno"/>
        </w:rPr>
        <w:t>6</w:t>
      </w:r>
      <w:r>
        <w:t>.</w:t>
      </w:r>
      <w:r>
        <w:tab/>
        <w:t>RWWA and officers not part of public sector</w:t>
      </w:r>
      <w:bookmarkEnd w:id="27"/>
      <w:bookmarkEnd w:id="28"/>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29" w:name="_Toc138408756"/>
      <w:bookmarkStart w:id="30" w:name="_Toc138408954"/>
      <w:bookmarkStart w:id="31" w:name="_Toc138411831"/>
      <w:bookmarkStart w:id="32" w:name="_Toc32419849"/>
      <w:bookmarkStart w:id="33" w:name="_Toc32420047"/>
      <w:r>
        <w:rPr>
          <w:rStyle w:val="CharDivNo"/>
        </w:rPr>
        <w:t>Division 2</w:t>
      </w:r>
      <w:r>
        <w:t xml:space="preserve"> — </w:t>
      </w:r>
      <w:r>
        <w:rPr>
          <w:rStyle w:val="CharDivText"/>
        </w:rPr>
        <w:t>Board of directors</w:t>
      </w:r>
      <w:bookmarkEnd w:id="29"/>
      <w:bookmarkEnd w:id="30"/>
      <w:bookmarkEnd w:id="31"/>
      <w:bookmarkEnd w:id="32"/>
      <w:bookmarkEnd w:id="33"/>
    </w:p>
    <w:p>
      <w:pPr>
        <w:pStyle w:val="Heading5"/>
        <w:spacing w:before="180"/>
      </w:pPr>
      <w:bookmarkStart w:id="34" w:name="_Toc138411832"/>
      <w:bookmarkStart w:id="35" w:name="_Toc32420048"/>
      <w:r>
        <w:rPr>
          <w:rStyle w:val="CharSectno"/>
        </w:rPr>
        <w:t>7</w:t>
      </w:r>
      <w:r>
        <w:t>.</w:t>
      </w:r>
      <w:r>
        <w:tab/>
        <w:t>Board of directors</w:t>
      </w:r>
      <w:bookmarkEnd w:id="34"/>
      <w:bookmarkEnd w:id="35"/>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36" w:name="_Toc138411833"/>
      <w:bookmarkStart w:id="37" w:name="_Toc32420049"/>
      <w:r>
        <w:rPr>
          <w:rStyle w:val="CharSectno"/>
        </w:rPr>
        <w:t>8</w:t>
      </w:r>
      <w:r>
        <w:t>.</w:t>
      </w:r>
      <w:r>
        <w:tab/>
        <w:t>How the board of directors is constituted</w:t>
      </w:r>
      <w:bookmarkEnd w:id="36"/>
      <w:bookmarkEnd w:id="37"/>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38" w:name="_Toc138411834"/>
      <w:bookmarkStart w:id="39" w:name="_Toc32420050"/>
      <w:r>
        <w:rPr>
          <w:rStyle w:val="CharSectno"/>
        </w:rPr>
        <w:t>9</w:t>
      </w:r>
      <w:r>
        <w:t>.</w:t>
      </w:r>
      <w:r>
        <w:tab/>
        <w:t>Nomination and selection procedure</w:t>
      </w:r>
      <w:bookmarkEnd w:id="38"/>
      <w:bookmarkEnd w:id="39"/>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40" w:name="_Toc138411835"/>
      <w:bookmarkStart w:id="41" w:name="_Toc32420051"/>
      <w:r>
        <w:rPr>
          <w:rStyle w:val="CharSectno"/>
        </w:rPr>
        <w:t>10</w:t>
      </w:r>
      <w:r>
        <w:t>.</w:t>
      </w:r>
      <w:r>
        <w:tab/>
        <w:t>Certain persons not eligible to be a director or a member of a selection panel</w:t>
      </w:r>
      <w:bookmarkEnd w:id="40"/>
      <w:bookmarkEnd w:id="41"/>
    </w:p>
    <w:p>
      <w:pPr>
        <w:pStyle w:val="Subsection"/>
      </w:pPr>
      <w:r>
        <w:tab/>
        <w:t>(1)</w:t>
      </w:r>
      <w:r>
        <w:tab/>
        <w:t>A person is not eligible to be appointed, nominated or selected as a director under section 8, or as a member of a selection panel under section 11, if the person is any of the following —</w:t>
      </w:r>
    </w:p>
    <w:p>
      <w:pPr>
        <w:pStyle w:val="Indenta"/>
      </w:pPr>
      <w:r>
        <w:tab/>
        <w:t>(a)</w:t>
      </w:r>
      <w:r>
        <w:tab/>
        <w:t>under the age of 18 years; or</w:t>
      </w:r>
    </w:p>
    <w:p>
      <w:pPr>
        <w:pStyle w:val="Indenta"/>
      </w:pPr>
      <w:r>
        <w:tab/>
        <w:t>(b)</w:t>
      </w:r>
      <w:r>
        <w:tab/>
        <w:t>a member of staff of RWWA (not including the CEO); or</w:t>
      </w:r>
    </w:p>
    <w:p>
      <w:pPr>
        <w:pStyle w:val="Indenta"/>
      </w:pPr>
      <w:r>
        <w:tab/>
        <w:t>(c)</w:t>
      </w:r>
      <w:r>
        <w:tab/>
        <w:t>a RWWA agent or a person employed in a RWWA</w:t>
      </w:r>
      <w:r>
        <w:rPr>
          <w:i/>
        </w:rPr>
        <w:t xml:space="preserve"> </w:t>
      </w:r>
      <w:r>
        <w:t>agency; or</w:t>
      </w:r>
    </w:p>
    <w:p>
      <w:pPr>
        <w:pStyle w:val="Indenta"/>
      </w:pPr>
      <w:r>
        <w:tab/>
        <w:t>(ca)</w:t>
      </w:r>
      <w:r>
        <w:tab/>
        <w:t xml:space="preserve">a wagering licensee, officer, employee, agent or associate of a wagering licensee, or a person employed in a betting agency, as those terms are defined in the </w:t>
      </w:r>
      <w:r>
        <w:rPr>
          <w:i/>
        </w:rPr>
        <w:t>Betting Control Act 1954</w:t>
      </w:r>
      <w:r>
        <w:t xml:space="preserve"> section 4(1);</w:t>
      </w:r>
    </w:p>
    <w:p>
      <w:pPr>
        <w:pStyle w:val="Indenta"/>
      </w:pPr>
      <w:r>
        <w:tab/>
        <w:t>(d)</w:t>
      </w:r>
      <w:r>
        <w:tab/>
        <w:t>an employee or officer of a racing club; or</w:t>
      </w:r>
    </w:p>
    <w:p>
      <w:pPr>
        <w:pStyle w:val="Indenta"/>
      </w:pPr>
      <w:r>
        <w:tab/>
        <w:t>(e)</w:t>
      </w:r>
      <w:r>
        <w:tab/>
        <w:t>an employee or officer of a body declared to be an eligible body under section 12; or</w:t>
      </w:r>
    </w:p>
    <w:p>
      <w:pPr>
        <w:pStyle w:val="Indenta"/>
      </w:pPr>
      <w:r>
        <w:tab/>
        <w:t>(f)</w:t>
      </w:r>
      <w:r>
        <w:tab/>
        <w:t xml:space="preserve">licensed under the </w:t>
      </w:r>
      <w:r>
        <w:rPr>
          <w:i/>
        </w:rPr>
        <w:t>Betting Control Act 1954</w:t>
      </w:r>
      <w:r>
        <w:t>; or</w:t>
      </w:r>
    </w:p>
    <w:p>
      <w:pPr>
        <w:pStyle w:val="Indenta"/>
      </w:pPr>
      <w:r>
        <w:tab/>
        <w:t>(g)</w:t>
      </w:r>
      <w:r>
        <w:tab/>
        <w:t>currently warned off or disqualified under this Act; or</w:t>
      </w:r>
    </w:p>
    <w:p>
      <w:pPr>
        <w:pStyle w:val="Indenta"/>
      </w:pPr>
      <w:r>
        <w:tab/>
        <w:t>(h)</w:t>
      </w:r>
      <w:r>
        <w:tab/>
        <w:t>a person whose name is currently on the Forfeits List under the Australian Rules of Racing or the Unpaid Forfeits List under the Rules of Harness Racing or who is currently declared a defaulter under the Rules of Greyhound Racing; or</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disqualified from managing corporations under Part 2D.6 of the Corporations Act.</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 No. 21 of 2019 s. 107.]</w:t>
      </w:r>
    </w:p>
    <w:p>
      <w:pPr>
        <w:pStyle w:val="Heading5"/>
      </w:pPr>
      <w:bookmarkStart w:id="42" w:name="_Toc138411836"/>
      <w:bookmarkStart w:id="43" w:name="_Toc32420052"/>
      <w:r>
        <w:rPr>
          <w:rStyle w:val="CharSectno"/>
        </w:rPr>
        <w:t>11</w:t>
      </w:r>
      <w:r>
        <w:t>.</w:t>
      </w:r>
      <w:r>
        <w:tab/>
        <w:t>Selection panel</w:t>
      </w:r>
      <w:bookmarkEnd w:id="42"/>
      <w:bookmarkEnd w:id="43"/>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44" w:name="_Toc138411837"/>
      <w:bookmarkStart w:id="45" w:name="_Toc32420053"/>
      <w:r>
        <w:rPr>
          <w:rStyle w:val="CharSectno"/>
        </w:rPr>
        <w:t>12</w:t>
      </w:r>
      <w:r>
        <w:t>.</w:t>
      </w:r>
      <w:r>
        <w:tab/>
        <w:t>Eligible bodies</w:t>
      </w:r>
      <w:bookmarkEnd w:id="44"/>
      <w:bookmarkEnd w:id="45"/>
    </w:p>
    <w:p>
      <w:pPr>
        <w:pStyle w:val="Subsection"/>
        <w:keepNext/>
        <w:keepLines/>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46" w:name="_Toc138411838"/>
      <w:bookmarkStart w:id="47" w:name="_Toc32420054"/>
      <w:r>
        <w:rPr>
          <w:rStyle w:val="CharSectno"/>
        </w:rPr>
        <w:t>13</w:t>
      </w:r>
      <w:r>
        <w:t>.</w:t>
      </w:r>
      <w:r>
        <w:tab/>
        <w:t>Failure to nominate, appoint or resign office</w:t>
      </w:r>
      <w:bookmarkEnd w:id="46"/>
      <w:bookmarkEnd w:id="47"/>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48" w:name="_Toc138411839"/>
      <w:bookmarkStart w:id="49" w:name="_Toc32420055"/>
      <w:r>
        <w:rPr>
          <w:rStyle w:val="CharSectno"/>
        </w:rPr>
        <w:t>14</w:t>
      </w:r>
      <w:r>
        <w:t>.</w:t>
      </w:r>
      <w:r>
        <w:tab/>
        <w:t>Licensing of directors</w:t>
      </w:r>
      <w:bookmarkEnd w:id="48"/>
      <w:bookmarkEnd w:id="49"/>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50" w:name="_Toc138411840"/>
      <w:bookmarkStart w:id="51" w:name="_Toc32420056"/>
      <w:r>
        <w:rPr>
          <w:rStyle w:val="CharSectno"/>
        </w:rPr>
        <w:t>15</w:t>
      </w:r>
      <w:r>
        <w:t>.</w:t>
      </w:r>
      <w:r>
        <w:tab/>
        <w:t>Certain provisions about the board of directors</w:t>
      </w:r>
      <w:bookmarkEnd w:id="50"/>
      <w:bookmarkEnd w:id="51"/>
    </w:p>
    <w:p>
      <w:pPr>
        <w:pStyle w:val="Subsection"/>
      </w:pPr>
      <w:r>
        <w:tab/>
      </w:r>
      <w:r>
        <w:tab/>
        <w:t>Schedule 1 applies in relation to the board of directors.</w:t>
      </w:r>
    </w:p>
    <w:p>
      <w:pPr>
        <w:pStyle w:val="Heading5"/>
      </w:pPr>
      <w:bookmarkStart w:id="52" w:name="_Toc138411841"/>
      <w:bookmarkStart w:id="53" w:name="_Toc32420057"/>
      <w:r>
        <w:rPr>
          <w:rStyle w:val="CharSectno"/>
        </w:rPr>
        <w:t>16</w:t>
      </w:r>
      <w:r>
        <w:t>.</w:t>
      </w:r>
      <w:r>
        <w:tab/>
        <w:t>Committees</w:t>
      </w:r>
      <w:bookmarkEnd w:id="52"/>
      <w:bookmarkEnd w:id="53"/>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54" w:name="_Toc138411842"/>
      <w:bookmarkStart w:id="55" w:name="_Toc32420058"/>
      <w:r>
        <w:rPr>
          <w:rStyle w:val="CharSectno"/>
        </w:rPr>
        <w:t>17</w:t>
      </w:r>
      <w:r>
        <w:t>.</w:t>
      </w:r>
      <w:r>
        <w:tab/>
        <w:t>Remuneration and allowances</w:t>
      </w:r>
      <w:bookmarkEnd w:id="54"/>
      <w:bookmarkEnd w:id="55"/>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 and</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56" w:name="_Toc138411843"/>
      <w:bookmarkStart w:id="57" w:name="_Toc32420059"/>
      <w:r>
        <w:rPr>
          <w:rStyle w:val="CharSectno"/>
        </w:rPr>
        <w:t>18</w:t>
      </w:r>
      <w:r>
        <w:t>.</w:t>
      </w:r>
      <w:r>
        <w:tab/>
        <w:t>Conflict of duties</w:t>
      </w:r>
      <w:bookmarkEnd w:id="56"/>
      <w:bookmarkEnd w:id="57"/>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58" w:name="_Toc138411844"/>
      <w:bookmarkStart w:id="59" w:name="_Toc32420060"/>
      <w:r>
        <w:rPr>
          <w:rStyle w:val="CharSectno"/>
        </w:rPr>
        <w:t>19</w:t>
      </w:r>
      <w:r>
        <w:t>.</w:t>
      </w:r>
      <w:r>
        <w:tab/>
        <w:t>Disclosure of material personal interests</w:t>
      </w:r>
      <w:bookmarkEnd w:id="58"/>
      <w:bookmarkEnd w:id="59"/>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for this subsection: a fine of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Footnotesection"/>
        <w:rPr>
          <w:iCs/>
        </w:rPr>
      </w:pPr>
      <w:r>
        <w:rPr>
          <w:iCs/>
        </w:rPr>
        <w:tab/>
        <w:t>[Section 19 amended: No. 21 of 2019 s. 108.]</w:t>
      </w:r>
    </w:p>
    <w:p>
      <w:pPr>
        <w:pStyle w:val="Heading3"/>
      </w:pPr>
      <w:bookmarkStart w:id="60" w:name="_Toc138408770"/>
      <w:bookmarkStart w:id="61" w:name="_Toc138408968"/>
      <w:bookmarkStart w:id="62" w:name="_Toc138411845"/>
      <w:bookmarkStart w:id="63" w:name="_Toc32419863"/>
      <w:bookmarkStart w:id="64" w:name="_Toc32420061"/>
      <w:r>
        <w:rPr>
          <w:rStyle w:val="CharDivNo"/>
        </w:rPr>
        <w:t>Division 3</w:t>
      </w:r>
      <w:r>
        <w:t xml:space="preserve"> — </w:t>
      </w:r>
      <w:r>
        <w:rPr>
          <w:rStyle w:val="CharDivText"/>
        </w:rPr>
        <w:t>Staff</w:t>
      </w:r>
      <w:bookmarkEnd w:id="60"/>
      <w:bookmarkEnd w:id="61"/>
      <w:bookmarkEnd w:id="62"/>
      <w:bookmarkEnd w:id="63"/>
      <w:bookmarkEnd w:id="64"/>
    </w:p>
    <w:p>
      <w:pPr>
        <w:pStyle w:val="Heading5"/>
      </w:pPr>
      <w:bookmarkStart w:id="65" w:name="_Toc138411846"/>
      <w:bookmarkStart w:id="66" w:name="_Toc32420062"/>
      <w:r>
        <w:rPr>
          <w:rStyle w:val="CharSectno"/>
        </w:rPr>
        <w:t>20</w:t>
      </w:r>
      <w:r>
        <w:t>.</w:t>
      </w:r>
      <w:r>
        <w:tab/>
        <w:t>Chief executive officer</w:t>
      </w:r>
      <w:bookmarkEnd w:id="65"/>
      <w:bookmarkEnd w:id="66"/>
    </w:p>
    <w:p>
      <w:pPr>
        <w:pStyle w:val="Subsection"/>
        <w:keepNext/>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67" w:name="_Toc138411847"/>
      <w:bookmarkStart w:id="68" w:name="_Toc32420063"/>
      <w:r>
        <w:rPr>
          <w:rStyle w:val="CharSectno"/>
        </w:rPr>
        <w:t>21A</w:t>
      </w:r>
      <w:r>
        <w:t>.</w:t>
      </w:r>
      <w:r>
        <w:tab/>
        <w:t>Remuneration of CEO while RWWA is not a Government entity</w:t>
      </w:r>
      <w:bookmarkEnd w:id="67"/>
      <w:bookmarkEnd w:id="6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w:t>
      </w:r>
    </w:p>
    <w:p>
      <w:pPr>
        <w:pStyle w:val="Heading5"/>
      </w:pPr>
      <w:bookmarkStart w:id="69" w:name="_Toc138411848"/>
      <w:bookmarkStart w:id="70" w:name="_Toc32420064"/>
      <w:r>
        <w:rPr>
          <w:rStyle w:val="CharSectno"/>
        </w:rPr>
        <w:t>21B</w:t>
      </w:r>
      <w:r>
        <w:t>.</w:t>
      </w:r>
      <w:r>
        <w:tab/>
        <w:t>Remuneration of CEO while RWWA is a Government entity</w:t>
      </w:r>
      <w:bookmarkEnd w:id="69"/>
      <w:bookmarkEnd w:id="7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w:t>
      </w:r>
    </w:p>
    <w:p>
      <w:pPr>
        <w:pStyle w:val="Heading5"/>
      </w:pPr>
      <w:bookmarkStart w:id="71" w:name="_Toc138411849"/>
      <w:bookmarkStart w:id="72" w:name="_Toc32420065"/>
      <w:r>
        <w:rPr>
          <w:rStyle w:val="CharSectno"/>
        </w:rPr>
        <w:t>21</w:t>
      </w:r>
      <w:r>
        <w:t>.</w:t>
      </w:r>
      <w:r>
        <w:tab/>
        <w:t>Role of CEO</w:t>
      </w:r>
      <w:bookmarkEnd w:id="71"/>
      <w:bookmarkEnd w:id="72"/>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73" w:name="_Toc138411850"/>
      <w:bookmarkStart w:id="74" w:name="_Toc32420066"/>
      <w:r>
        <w:rPr>
          <w:rStyle w:val="CharSectno"/>
        </w:rPr>
        <w:t>22</w:t>
      </w:r>
      <w:r>
        <w:t>.</w:t>
      </w:r>
      <w:r>
        <w:tab/>
        <w:t>Staff</w:t>
      </w:r>
      <w:bookmarkEnd w:id="73"/>
      <w:bookmarkEnd w:id="74"/>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75" w:name="_Toc138411851"/>
      <w:bookmarkStart w:id="76" w:name="_Toc32420067"/>
      <w:r>
        <w:rPr>
          <w:rStyle w:val="CharSectno"/>
        </w:rPr>
        <w:t>23</w:t>
      </w:r>
      <w:r>
        <w:t>.</w:t>
      </w:r>
      <w:r>
        <w:tab/>
        <w:t>Superannuation</w:t>
      </w:r>
      <w:bookmarkEnd w:id="75"/>
      <w:bookmarkEnd w:id="76"/>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77" w:name="_Toc138408777"/>
      <w:bookmarkStart w:id="78" w:name="_Toc138408975"/>
      <w:bookmarkStart w:id="79" w:name="_Toc138411852"/>
      <w:bookmarkStart w:id="80" w:name="_Toc32419870"/>
      <w:bookmarkStart w:id="81" w:name="_Toc32420068"/>
      <w:r>
        <w:rPr>
          <w:rStyle w:val="CharDivNo"/>
        </w:rPr>
        <w:t>Division 4</w:t>
      </w:r>
      <w:r>
        <w:t xml:space="preserve"> — </w:t>
      </w:r>
      <w:r>
        <w:rPr>
          <w:rStyle w:val="CharDivText"/>
        </w:rPr>
        <w:t>Conduct and integrity of staff</w:t>
      </w:r>
      <w:bookmarkEnd w:id="77"/>
      <w:bookmarkEnd w:id="78"/>
      <w:bookmarkEnd w:id="79"/>
      <w:bookmarkEnd w:id="80"/>
      <w:bookmarkEnd w:id="81"/>
    </w:p>
    <w:p>
      <w:pPr>
        <w:pStyle w:val="Heading5"/>
      </w:pPr>
      <w:bookmarkStart w:id="82" w:name="_Toc138411853"/>
      <w:bookmarkStart w:id="83" w:name="_Toc32420069"/>
      <w:r>
        <w:rPr>
          <w:rStyle w:val="CharSectno"/>
        </w:rPr>
        <w:t>24</w:t>
      </w:r>
      <w:r>
        <w:t>.</w:t>
      </w:r>
      <w:r>
        <w:tab/>
        <w:t>Licensing of key employees</w:t>
      </w:r>
      <w:bookmarkEnd w:id="82"/>
      <w:bookmarkEnd w:id="83"/>
    </w:p>
    <w:p>
      <w:pPr>
        <w:pStyle w:val="Subsection"/>
      </w:pPr>
      <w:r>
        <w:tab/>
        <w:t>(1)</w:t>
      </w:r>
      <w:r>
        <w:tab/>
        <w:t xml:space="preserve">The regulations may — </w:t>
      </w:r>
    </w:p>
    <w:p>
      <w:pPr>
        <w:pStyle w:val="Indenta"/>
      </w:pPr>
      <w:r>
        <w:tab/>
        <w:t>(a)</w:t>
      </w:r>
      <w:r>
        <w:tab/>
        <w:t>require RWWA key employees to be persons who are licensed, provisionally or otherwise, by the Commission; and</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84" w:name="_Toc138411854"/>
      <w:bookmarkStart w:id="85" w:name="_Toc32420070"/>
      <w:r>
        <w:rPr>
          <w:rStyle w:val="CharSectno"/>
        </w:rPr>
        <w:t>25</w:t>
      </w:r>
      <w:r>
        <w:t>.</w:t>
      </w:r>
      <w:r>
        <w:tab/>
        <w:t>Duties of CEO and staff</w:t>
      </w:r>
      <w:bookmarkEnd w:id="84"/>
      <w:bookmarkEnd w:id="85"/>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86" w:name="_Toc138408780"/>
      <w:bookmarkStart w:id="87" w:name="_Toc138408978"/>
      <w:bookmarkStart w:id="88" w:name="_Toc138411855"/>
      <w:bookmarkStart w:id="89" w:name="_Toc32419873"/>
      <w:bookmarkStart w:id="90" w:name="_Toc32420071"/>
      <w:r>
        <w:rPr>
          <w:rStyle w:val="CharPartNo"/>
        </w:rPr>
        <w:t>Part 3</w:t>
      </w:r>
      <w:r>
        <w:t xml:space="preserve"> — </w:t>
      </w:r>
      <w:r>
        <w:rPr>
          <w:rStyle w:val="CharPartText"/>
        </w:rPr>
        <w:t>Functions of RWWA</w:t>
      </w:r>
      <w:bookmarkEnd w:id="86"/>
      <w:bookmarkEnd w:id="87"/>
      <w:bookmarkEnd w:id="88"/>
      <w:bookmarkEnd w:id="89"/>
      <w:bookmarkEnd w:id="90"/>
    </w:p>
    <w:p>
      <w:pPr>
        <w:pStyle w:val="Heading3"/>
      </w:pPr>
      <w:bookmarkStart w:id="91" w:name="_Toc138408781"/>
      <w:bookmarkStart w:id="92" w:name="_Toc138408979"/>
      <w:bookmarkStart w:id="93" w:name="_Toc138411856"/>
      <w:bookmarkStart w:id="94" w:name="_Toc32419874"/>
      <w:bookmarkStart w:id="95" w:name="_Toc32420072"/>
      <w:r>
        <w:rPr>
          <w:rStyle w:val="CharDivNo"/>
        </w:rPr>
        <w:t>Division 1</w:t>
      </w:r>
      <w:r>
        <w:t xml:space="preserve"> — </w:t>
      </w:r>
      <w:r>
        <w:rPr>
          <w:rStyle w:val="CharDivText"/>
        </w:rPr>
        <w:t>General provisions</w:t>
      </w:r>
      <w:bookmarkEnd w:id="91"/>
      <w:bookmarkEnd w:id="92"/>
      <w:bookmarkEnd w:id="93"/>
      <w:bookmarkEnd w:id="94"/>
      <w:bookmarkEnd w:id="95"/>
    </w:p>
    <w:p>
      <w:pPr>
        <w:pStyle w:val="Heading5"/>
      </w:pPr>
      <w:bookmarkStart w:id="96" w:name="_Toc138411857"/>
      <w:bookmarkStart w:id="97" w:name="_Toc32420073"/>
      <w:r>
        <w:rPr>
          <w:rStyle w:val="CharSectno"/>
        </w:rPr>
        <w:t>26</w:t>
      </w:r>
      <w:r>
        <w:t>.</w:t>
      </w:r>
      <w:r>
        <w:tab/>
        <w:t>General functions</w:t>
      </w:r>
      <w:bookmarkEnd w:id="96"/>
      <w:bookmarkEnd w:id="97"/>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98" w:name="_Toc138411858"/>
      <w:bookmarkStart w:id="99" w:name="_Toc32420074"/>
      <w:r>
        <w:rPr>
          <w:rStyle w:val="CharSectno"/>
        </w:rPr>
        <w:t>27</w:t>
      </w:r>
      <w:r>
        <w:t>.</w:t>
      </w:r>
      <w:r>
        <w:tab/>
        <w:t>RWWA can act at its discretion</w:t>
      </w:r>
      <w:bookmarkEnd w:id="98"/>
      <w:bookmarkEnd w:id="99"/>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00" w:name="_Toc138411859"/>
      <w:bookmarkStart w:id="101" w:name="_Toc32420075"/>
      <w:r>
        <w:rPr>
          <w:rStyle w:val="CharSectno"/>
        </w:rPr>
        <w:t>28</w:t>
      </w:r>
      <w:r>
        <w:t>.</w:t>
      </w:r>
      <w:r>
        <w:tab/>
        <w:t>Duty to observe policy instruments</w:t>
      </w:r>
      <w:bookmarkEnd w:id="100"/>
      <w:bookmarkEnd w:id="101"/>
    </w:p>
    <w:p>
      <w:pPr>
        <w:pStyle w:val="Subsection"/>
      </w:pPr>
      <w:r>
        <w:tab/>
      </w:r>
      <w:r>
        <w:tab/>
        <w:t>RWWA is to perform its functions in accordance with its strategic development plan and its statement of corporate intent as existing from time to time.</w:t>
      </w:r>
    </w:p>
    <w:p>
      <w:pPr>
        <w:pStyle w:val="Heading5"/>
      </w:pPr>
      <w:bookmarkStart w:id="102" w:name="_Toc138411860"/>
      <w:bookmarkStart w:id="103" w:name="_Toc32420076"/>
      <w:r>
        <w:rPr>
          <w:rStyle w:val="CharSectno"/>
        </w:rPr>
        <w:t>29</w:t>
      </w:r>
      <w:r>
        <w:t>.</w:t>
      </w:r>
      <w:r>
        <w:tab/>
        <w:t>Duty to act on commercial principles</w:t>
      </w:r>
      <w:bookmarkEnd w:id="102"/>
      <w:bookmarkEnd w:id="103"/>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104" w:name="_Toc138408786"/>
      <w:bookmarkStart w:id="105" w:name="_Toc138408984"/>
      <w:bookmarkStart w:id="106" w:name="_Toc138411861"/>
      <w:bookmarkStart w:id="107" w:name="_Toc32419879"/>
      <w:bookmarkStart w:id="108" w:name="_Toc32420077"/>
      <w:r>
        <w:rPr>
          <w:rStyle w:val="CharDivNo"/>
        </w:rPr>
        <w:t>Division 2</w:t>
      </w:r>
      <w:r>
        <w:t xml:space="preserve"> — </w:t>
      </w:r>
      <w:r>
        <w:rPr>
          <w:rStyle w:val="CharDivText"/>
        </w:rPr>
        <w:t>General powers and related provisions</w:t>
      </w:r>
      <w:bookmarkEnd w:id="104"/>
      <w:bookmarkEnd w:id="105"/>
      <w:bookmarkEnd w:id="106"/>
      <w:bookmarkEnd w:id="107"/>
      <w:bookmarkEnd w:id="108"/>
    </w:p>
    <w:p>
      <w:pPr>
        <w:pStyle w:val="Heading5"/>
      </w:pPr>
      <w:bookmarkStart w:id="109" w:name="_Toc138411862"/>
      <w:bookmarkStart w:id="110" w:name="_Toc32420078"/>
      <w:r>
        <w:rPr>
          <w:rStyle w:val="CharSectno"/>
        </w:rPr>
        <w:t>30</w:t>
      </w:r>
      <w:r>
        <w:t>.</w:t>
      </w:r>
      <w:r>
        <w:tab/>
        <w:t>Powers generally</w:t>
      </w:r>
      <w:bookmarkEnd w:id="109"/>
      <w:bookmarkEnd w:id="110"/>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 and</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111" w:name="_Toc138411863"/>
      <w:bookmarkStart w:id="112" w:name="_Toc32420079"/>
      <w:r>
        <w:rPr>
          <w:rStyle w:val="CharSectno"/>
        </w:rPr>
        <w:t>31</w:t>
      </w:r>
      <w:r>
        <w:t>.</w:t>
      </w:r>
      <w:r>
        <w:tab/>
        <w:t>Use of names for RWWA and its operations</w:t>
      </w:r>
      <w:bookmarkEnd w:id="111"/>
      <w:bookmarkEnd w:id="112"/>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113" w:name="_Toc138411864"/>
      <w:bookmarkStart w:id="114" w:name="_Toc32420080"/>
      <w:r>
        <w:rPr>
          <w:rStyle w:val="CharSectno"/>
        </w:rPr>
        <w:t>32</w:t>
      </w:r>
      <w:r>
        <w:t>.</w:t>
      </w:r>
      <w:r>
        <w:tab/>
        <w:t>Subsidiaries</w:t>
      </w:r>
      <w:bookmarkEnd w:id="113"/>
      <w:bookmarkEnd w:id="114"/>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115" w:name="_Toc138411865"/>
      <w:bookmarkStart w:id="116" w:name="_Toc32420081"/>
      <w:r>
        <w:rPr>
          <w:rStyle w:val="CharSectno"/>
        </w:rPr>
        <w:t>33</w:t>
      </w:r>
      <w:r>
        <w:t>.</w:t>
      </w:r>
      <w:r>
        <w:tab/>
        <w:t>Delegation</w:t>
      </w:r>
      <w:bookmarkEnd w:id="115"/>
      <w:bookmarkEnd w:id="116"/>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CEO; or</w:t>
      </w:r>
    </w:p>
    <w:p>
      <w:pPr>
        <w:pStyle w:val="Indenta"/>
      </w:pPr>
      <w:r>
        <w:tab/>
        <w:t>(c)</w:t>
      </w:r>
      <w:r>
        <w:tab/>
        <w:t>a member of staff; or</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17" w:name="_Toc138408791"/>
      <w:bookmarkStart w:id="118" w:name="_Toc138408989"/>
      <w:bookmarkStart w:id="119" w:name="_Toc138411866"/>
      <w:bookmarkStart w:id="120" w:name="_Toc32419884"/>
      <w:bookmarkStart w:id="121" w:name="_Toc32420082"/>
      <w:r>
        <w:rPr>
          <w:rStyle w:val="CharPartNo"/>
        </w:rPr>
        <w:t>Part 4</w:t>
      </w:r>
      <w:r>
        <w:t xml:space="preserve"> — </w:t>
      </w:r>
      <w:r>
        <w:rPr>
          <w:rStyle w:val="CharPartText"/>
        </w:rPr>
        <w:t>Specialised functions in relation to racing</w:t>
      </w:r>
      <w:bookmarkEnd w:id="117"/>
      <w:bookmarkEnd w:id="118"/>
      <w:bookmarkEnd w:id="119"/>
      <w:bookmarkEnd w:id="120"/>
      <w:bookmarkEnd w:id="121"/>
    </w:p>
    <w:p>
      <w:pPr>
        <w:pStyle w:val="Heading3"/>
      </w:pPr>
      <w:bookmarkStart w:id="122" w:name="_Toc138408792"/>
      <w:bookmarkStart w:id="123" w:name="_Toc138408990"/>
      <w:bookmarkStart w:id="124" w:name="_Toc138411867"/>
      <w:bookmarkStart w:id="125" w:name="_Toc32419885"/>
      <w:bookmarkStart w:id="126" w:name="_Toc32420083"/>
      <w:r>
        <w:rPr>
          <w:rStyle w:val="CharDivNo"/>
        </w:rPr>
        <w:t>Division 1</w:t>
      </w:r>
      <w:r>
        <w:t> — </w:t>
      </w:r>
      <w:r>
        <w:rPr>
          <w:rStyle w:val="CharDivText"/>
        </w:rPr>
        <w:t>General</w:t>
      </w:r>
      <w:bookmarkEnd w:id="122"/>
      <w:bookmarkEnd w:id="123"/>
      <w:bookmarkEnd w:id="124"/>
      <w:bookmarkEnd w:id="125"/>
      <w:bookmarkEnd w:id="126"/>
    </w:p>
    <w:p>
      <w:pPr>
        <w:pStyle w:val="Heading5"/>
      </w:pPr>
      <w:bookmarkStart w:id="127" w:name="_Toc138411868"/>
      <w:bookmarkStart w:id="128" w:name="_Toc32420084"/>
      <w:r>
        <w:rPr>
          <w:rStyle w:val="CharSectno"/>
        </w:rPr>
        <w:t>34</w:t>
      </w:r>
      <w:r>
        <w:t>.</w:t>
      </w:r>
      <w:r>
        <w:tab/>
        <w:t>Terms used in this Part</w:t>
      </w:r>
      <w:bookmarkEnd w:id="127"/>
      <w:bookmarkEnd w:id="128"/>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29" w:name="_Toc138411869"/>
      <w:bookmarkStart w:id="130" w:name="_Toc32420085"/>
      <w:r>
        <w:rPr>
          <w:rStyle w:val="CharSectno"/>
        </w:rPr>
        <w:t>35</w:t>
      </w:r>
      <w:r>
        <w:t>.</w:t>
      </w:r>
      <w:r>
        <w:tab/>
        <w:t>Functions in relation to racing in general</w:t>
      </w:r>
      <w:bookmarkEnd w:id="129"/>
      <w:bookmarkEnd w:id="130"/>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(bb)</w:t>
      </w:r>
      <w:r>
        <w:tab/>
        <w:t xml:space="preserve">to enter into a racing industry arrangement, as defined in the </w:t>
      </w:r>
      <w:r>
        <w:rPr>
          <w:i/>
        </w:rPr>
        <w:t>Betting Control Act 1954</w:t>
      </w:r>
      <w:r>
        <w:t xml:space="preserve"> section 10H(1), with the wagering licensee;</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(fa)</w:t>
      </w:r>
      <w:r>
        <w:tab/>
        <w:t>to coordinate an annual programme of race meetings; and</w:t>
      </w:r>
    </w:p>
    <w:p>
      <w:pPr>
        <w:pStyle w:val="Indenta"/>
      </w:pPr>
      <w:r>
        <w:tab/>
        <w:t>(fb)</w:t>
      </w:r>
      <w:r>
        <w:tab/>
        <w:t>to administer the Racing Infrastructure Fund;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r>
        <w:tab/>
        <w:t>[Section 35 amended: No. 70 of 2006 s. 15; No. 21 of 2019 s. 109.]</w:t>
      </w:r>
    </w:p>
    <w:p>
      <w:pPr>
        <w:pStyle w:val="Heading5"/>
      </w:pPr>
      <w:bookmarkStart w:id="131" w:name="_Toc138411870"/>
      <w:bookmarkStart w:id="132" w:name="_Toc32420086"/>
      <w:r>
        <w:rPr>
          <w:rStyle w:val="CharSectno"/>
        </w:rPr>
        <w:t>36</w:t>
      </w:r>
      <w:r>
        <w:t>.</w:t>
      </w:r>
      <w:r>
        <w:tab/>
        <w:t>Thoroughbred racing</w:t>
      </w:r>
      <w:bookmarkEnd w:id="131"/>
      <w:bookmarkEnd w:id="132"/>
    </w:p>
    <w:p>
      <w:pPr>
        <w:pStyle w:val="Subsection"/>
        <w:keepNext/>
      </w:pPr>
      <w:r>
        <w:tab/>
        <w:t>(1)</w:t>
      </w:r>
      <w:r>
        <w:tab/>
        <w:t>Subject to this Act, RWWA has all the functions of the principal club for Western Australia and committee of the principal club for Western Australia under the Australian Rules of Racing.</w:t>
      </w:r>
    </w:p>
    <w:p>
      <w:pPr>
        <w:pStyle w:val="Subsection"/>
        <w:keepNext/>
      </w:pPr>
      <w:r>
        <w:tab/>
        <w:t>(2)</w:t>
      </w:r>
      <w:r>
        <w:tab/>
        <w:t>The functions of RWWA in relation to thoroughbred racing are not limited by the Australian Rules of Racing.</w:t>
      </w:r>
    </w:p>
    <w:p>
      <w:pPr>
        <w:pStyle w:val="Subsection"/>
        <w:keepNext/>
      </w:pPr>
      <w:r>
        <w:tab/>
        <w:t>(3)</w:t>
      </w:r>
      <w:r>
        <w:tab/>
        <w:t>The body known as The Western Australian Turf Club ceases to have the functions that are solely the functions of the principal club for Western Australia or committee of the principal club for Western Australia under the Australian Rules of Racing.</w:t>
      </w:r>
    </w:p>
    <w:p>
      <w:pPr>
        <w:pStyle w:val="Footnotesection"/>
      </w:pPr>
      <w:r>
        <w:tab/>
        <w:t>[Section 36 amended: No. 21 of 2019 s. 110.]</w:t>
      </w:r>
    </w:p>
    <w:p>
      <w:pPr>
        <w:pStyle w:val="Heading5"/>
      </w:pPr>
      <w:bookmarkStart w:id="133" w:name="_Toc138411871"/>
      <w:bookmarkStart w:id="134" w:name="_Toc32420087"/>
      <w:r>
        <w:rPr>
          <w:rStyle w:val="CharSectno"/>
        </w:rPr>
        <w:t>37</w:t>
      </w:r>
      <w:r>
        <w:t>.</w:t>
      </w:r>
      <w:r>
        <w:tab/>
        <w:t>Harness racing</w:t>
      </w:r>
      <w:bookmarkEnd w:id="133"/>
      <w:bookmarkEnd w:id="134"/>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The Western Australian Trotting Association constituted under the </w:t>
      </w:r>
      <w:r>
        <w:rPr>
          <w:i/>
        </w:rPr>
        <w:t>Western Australian Trotting Association Act 1946</w:t>
      </w:r>
      <w:r>
        <w:t xml:space="preserve"> ceases to have the functions that are solely the functions of the controlling body for Western Australia under the Australian Rules of Harness Racing.</w:t>
      </w:r>
    </w:p>
    <w:p>
      <w:pPr>
        <w:pStyle w:val="Footnotesection"/>
      </w:pPr>
      <w:r>
        <w:tab/>
        <w:t>[Section 37 amended: No. 21 of 2019 s. 111.]</w:t>
      </w:r>
    </w:p>
    <w:p>
      <w:pPr>
        <w:pStyle w:val="Heading5"/>
      </w:pPr>
      <w:bookmarkStart w:id="135" w:name="_Toc138411872"/>
      <w:bookmarkStart w:id="136" w:name="_Toc32420088"/>
      <w:r>
        <w:rPr>
          <w:rStyle w:val="CharSectno"/>
        </w:rPr>
        <w:t>38</w:t>
      </w:r>
      <w:r>
        <w:t>.</w:t>
      </w:r>
      <w:r>
        <w:tab/>
        <w:t>Greyhound racing</w:t>
      </w:r>
      <w:bookmarkEnd w:id="135"/>
      <w:bookmarkEnd w:id="136"/>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The Western Australian Greyhound Racing Association established under the </w:t>
      </w:r>
      <w:r>
        <w:rPr>
          <w:i/>
        </w:rPr>
        <w:t>Western Australian Greyhound Racing Association Act 1981</w:t>
      </w:r>
      <w:r>
        <w:t xml:space="preserve"> ceases to have the functions that are solely the functions of the racing authority and registration authority for Western Australia under the Australian Greyhound Racing Rules.</w:t>
      </w:r>
    </w:p>
    <w:p>
      <w:pPr>
        <w:pStyle w:val="Footnotesection"/>
      </w:pPr>
      <w:r>
        <w:tab/>
        <w:t>[Section 38 amended: No. 21 of 2019 s. 112.]</w:t>
      </w:r>
    </w:p>
    <w:p>
      <w:pPr>
        <w:pStyle w:val="Heading5"/>
      </w:pPr>
      <w:bookmarkStart w:id="137" w:name="_Toc138411873"/>
      <w:bookmarkStart w:id="138" w:name="_Toc32420089"/>
      <w:r>
        <w:rPr>
          <w:rStyle w:val="CharSectno"/>
        </w:rPr>
        <w:t>39</w:t>
      </w:r>
      <w:r>
        <w:t>.</w:t>
      </w:r>
      <w:r>
        <w:tab/>
        <w:t>Licensing of racecourses, race meetings, races and tracks</w:t>
      </w:r>
      <w:bookmarkEnd w:id="137"/>
      <w:bookmarkEnd w:id="138"/>
    </w:p>
    <w:p>
      <w:pPr>
        <w:pStyle w:val="Subsection"/>
      </w:pPr>
      <w:r>
        <w:tab/>
        <w:t>(1)</w:t>
      </w:r>
      <w:r>
        <w:tab/>
        <w:t xml:space="preserve">RWWA may, in accordance with the rules of racing and the regulations, license or refuse to license — </w:t>
      </w:r>
    </w:p>
    <w:p>
      <w:pPr>
        <w:pStyle w:val="Indenta"/>
      </w:pPr>
      <w:r>
        <w:tab/>
        <w:t>(a)</w:t>
      </w:r>
      <w:r>
        <w:tab/>
        <w:t>a racecourse; and</w:t>
      </w:r>
    </w:p>
    <w:p>
      <w:pPr>
        <w:pStyle w:val="Indenta"/>
      </w:pPr>
      <w:r>
        <w:tab/>
        <w:t>(b)</w:t>
      </w:r>
      <w:r>
        <w:tab/>
        <w:t>a race meeting; and</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39" w:name="_Toc138411874"/>
      <w:bookmarkStart w:id="140" w:name="_Toc32420090"/>
      <w:r>
        <w:rPr>
          <w:rStyle w:val="CharSectno"/>
        </w:rPr>
        <w:t>40</w:t>
      </w:r>
      <w:r>
        <w:t>.</w:t>
      </w:r>
      <w:r>
        <w:tab/>
        <w:t>Registration of racing clubs</w:t>
      </w:r>
      <w:bookmarkEnd w:id="139"/>
      <w:bookmarkEnd w:id="140"/>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41" w:name="_Toc138411875"/>
      <w:bookmarkStart w:id="142" w:name="_Toc32420091"/>
      <w:r>
        <w:rPr>
          <w:rStyle w:val="CharSectno"/>
        </w:rPr>
        <w:t>41</w:t>
      </w:r>
      <w:r>
        <w:t>.</w:t>
      </w:r>
      <w:r>
        <w:tab/>
        <w:t>Registration of horses and greyhounds</w:t>
      </w:r>
      <w:bookmarkEnd w:id="141"/>
      <w:bookmarkEnd w:id="142"/>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 or</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143" w:name="_Toc138411876"/>
      <w:bookmarkStart w:id="144" w:name="_Toc32420092"/>
      <w:r>
        <w:rPr>
          <w:rStyle w:val="CharSectno"/>
        </w:rPr>
        <w:t>42</w:t>
      </w:r>
      <w:r>
        <w:t>.</w:t>
      </w:r>
      <w:r>
        <w:tab/>
        <w:t>Licensing of owners, trainers, jockeys, drivers and associated persons</w:t>
      </w:r>
      <w:bookmarkEnd w:id="143"/>
      <w:bookmarkEnd w:id="144"/>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 or</w:t>
      </w:r>
    </w:p>
    <w:p>
      <w:pPr>
        <w:pStyle w:val="Indenta"/>
      </w:pPr>
      <w:r>
        <w:tab/>
        <w:t>(b)</w:t>
      </w:r>
      <w:r>
        <w:tab/>
        <w:t>any jockey, apprentice jockey or track work rider; or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45" w:name="_Toc138411877"/>
      <w:bookmarkStart w:id="146" w:name="_Toc32420093"/>
      <w:r>
        <w:rPr>
          <w:rStyle w:val="CharSectno"/>
        </w:rPr>
        <w:t>43</w:t>
      </w:r>
      <w:r>
        <w:t>.</w:t>
      </w:r>
      <w:r>
        <w:tab/>
        <w:t>Directions by RWWA</w:t>
      </w:r>
      <w:bookmarkEnd w:id="145"/>
      <w:bookmarkEnd w:id="146"/>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47" w:name="_Toc138411878"/>
      <w:bookmarkStart w:id="148" w:name="_Toc32420094"/>
      <w:r>
        <w:rPr>
          <w:rStyle w:val="CharSectno"/>
        </w:rPr>
        <w:t>44</w:t>
      </w:r>
      <w:r>
        <w:t>.</w:t>
      </w:r>
      <w:r>
        <w:tab/>
        <w:t>Other disciplinary action that may be taken by RWWA</w:t>
      </w:r>
      <w:bookmarkEnd w:id="147"/>
      <w:bookmarkEnd w:id="148"/>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 or</w:t>
      </w:r>
    </w:p>
    <w:p>
      <w:pPr>
        <w:pStyle w:val="Indenti"/>
      </w:pPr>
      <w:r>
        <w:tab/>
        <w:t>(ii)</w:t>
      </w:r>
      <w:r>
        <w:tab/>
        <w:t>any jockey; or</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49" w:name="_Toc138411879"/>
      <w:bookmarkStart w:id="150" w:name="_Toc32420095"/>
      <w:r>
        <w:rPr>
          <w:rStyle w:val="CharSectno"/>
        </w:rPr>
        <w:t>45</w:t>
      </w:r>
      <w:r>
        <w:t>.</w:t>
      </w:r>
      <w:r>
        <w:tab/>
        <w:t>Rules of racing</w:t>
      </w:r>
      <w:bookmarkEnd w:id="149"/>
      <w:bookmarkEnd w:id="150"/>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 and</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 and</w:t>
      </w:r>
    </w:p>
    <w:p>
      <w:pPr>
        <w:pStyle w:val="Indenta"/>
      </w:pPr>
      <w:r>
        <w:tab/>
        <w:t>(b)</w:t>
      </w:r>
      <w:r>
        <w:tab/>
        <w:t>the effect of a disqualification of, or other penalty imposed on, a person, horse or greyhound under section 44(1)(a); and</w:t>
      </w:r>
    </w:p>
    <w:p>
      <w:pPr>
        <w:pStyle w:val="Indenta"/>
      </w:pPr>
      <w:r>
        <w:tab/>
        <w:t>(c)</w:t>
      </w:r>
      <w:r>
        <w:tab/>
        <w:t>the holding and conduct of race meetings and of races at any such meeting; and</w:t>
      </w:r>
    </w:p>
    <w:p>
      <w:pPr>
        <w:pStyle w:val="Indenta"/>
      </w:pPr>
      <w:r>
        <w:tab/>
        <w:t>(d)</w:t>
      </w:r>
      <w:r>
        <w:tab/>
        <w:t>the holding and conduct of trials and jump</w:t>
      </w:r>
      <w:r>
        <w:noBreakHyphen/>
        <w:t>outs at a racecourse or a training or trial track; and</w:t>
      </w:r>
    </w:p>
    <w:p>
      <w:pPr>
        <w:pStyle w:val="Indenta"/>
      </w:pPr>
      <w:r>
        <w:tab/>
        <w:t>(e)</w:t>
      </w:r>
      <w:r>
        <w:tab/>
        <w:t>the keeping of horses and greyhounds which are in the care or custody of persons licensed under this Act; and</w:t>
      </w:r>
    </w:p>
    <w:p>
      <w:pPr>
        <w:pStyle w:val="Indenta"/>
      </w:pPr>
      <w:r>
        <w:tab/>
        <w:t>(f)</w:t>
      </w:r>
      <w:r>
        <w:tab/>
        <w:t>the breeding of thoroughbred racing horses, harness racing horses and greyhounds; and</w:t>
      </w:r>
    </w:p>
    <w:p>
      <w:pPr>
        <w:pStyle w:val="Indenta"/>
      </w:pPr>
      <w:r>
        <w:tab/>
        <w:t>(g)</w:t>
      </w:r>
      <w:r>
        <w:tab/>
        <w:t>the naming and identification of thoroughbred racing horses, harness racing horses and greyhounds; and</w:t>
      </w:r>
    </w:p>
    <w:p>
      <w:pPr>
        <w:pStyle w:val="Indenta"/>
      </w:pPr>
      <w:r>
        <w:tab/>
        <w:t>(h)</w:t>
      </w:r>
      <w:r>
        <w:tab/>
        <w:t>prizes for races; and</w:t>
      </w:r>
    </w:p>
    <w:p>
      <w:pPr>
        <w:pStyle w:val="Indenta"/>
      </w:pPr>
      <w:r>
        <w:tab/>
        <w:t>(i)</w:t>
      </w:r>
      <w:r>
        <w:tab/>
        <w:t>fees and charges to be paid to RWWA in respect of licensing, registration, the services of stewards and other matters under this Act, and the recovery of fees and charges; and</w:t>
      </w:r>
    </w:p>
    <w:p>
      <w:pPr>
        <w:pStyle w:val="Indenta"/>
      </w:pPr>
      <w:r>
        <w:tab/>
        <w:t>(j)</w:t>
      </w:r>
      <w:r>
        <w:tab/>
        <w:t>the appointment of stewards; and</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persons having the management and control of racecourses or trial tracks and their employees and agents; and</w:t>
      </w:r>
    </w:p>
    <w:p>
      <w:pPr>
        <w:pStyle w:val="Indenta"/>
      </w:pPr>
      <w:r>
        <w:tab/>
        <w:t>(d)</w:t>
      </w:r>
      <w:r>
        <w:tab/>
        <w:t>trainers, owners and lessees of horses or greyhounds and their employees and agents; and</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 and</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51" w:name="_Toc138411880"/>
      <w:bookmarkStart w:id="152" w:name="_Toc32420096"/>
      <w:r>
        <w:rPr>
          <w:rStyle w:val="CharSectno"/>
        </w:rPr>
        <w:t>46</w:t>
      </w:r>
      <w:r>
        <w:t>.</w:t>
      </w:r>
      <w:r>
        <w:tab/>
        <w:t>Production of racing club records to RWWA</w:t>
      </w:r>
      <w:bookmarkEnd w:id="151"/>
      <w:bookmarkEnd w:id="152"/>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for this subsection: a fine of $5 000.</w:t>
      </w:r>
    </w:p>
    <w:p>
      <w:pPr>
        <w:pStyle w:val="Subsection"/>
      </w:pPr>
      <w:r>
        <w:tab/>
        <w:t>(4)</w:t>
      </w:r>
      <w:r>
        <w:tab/>
        <w:t>A reference in this section to the affairs of a racing club is a reference to the affairs of the club that relate, directly or indirectly, to racing.</w:t>
      </w:r>
    </w:p>
    <w:p>
      <w:pPr>
        <w:pStyle w:val="Footnotesection"/>
      </w:pPr>
      <w:r>
        <w:tab/>
        <w:t>[Section 46 amended: No. 21 of 2019 s. 113.]</w:t>
      </w:r>
    </w:p>
    <w:p>
      <w:pPr>
        <w:pStyle w:val="Heading3"/>
      </w:pPr>
      <w:bookmarkStart w:id="153" w:name="_Toc138408806"/>
      <w:bookmarkStart w:id="154" w:name="_Toc138409004"/>
      <w:bookmarkStart w:id="155" w:name="_Toc138411881"/>
      <w:bookmarkStart w:id="156" w:name="_Toc32419899"/>
      <w:bookmarkStart w:id="157" w:name="_Toc32420097"/>
      <w:r>
        <w:rPr>
          <w:rStyle w:val="CharDivNo"/>
        </w:rPr>
        <w:t>Division 2</w:t>
      </w:r>
      <w:r>
        <w:t> — </w:t>
      </w:r>
      <w:r>
        <w:rPr>
          <w:rStyle w:val="CharDivText"/>
        </w:rPr>
        <w:t>Integrity Assurance Committee</w:t>
      </w:r>
      <w:bookmarkEnd w:id="153"/>
      <w:bookmarkEnd w:id="154"/>
      <w:bookmarkEnd w:id="155"/>
      <w:bookmarkEnd w:id="156"/>
      <w:bookmarkEnd w:id="157"/>
    </w:p>
    <w:p>
      <w:pPr>
        <w:pStyle w:val="Heading5"/>
      </w:pPr>
      <w:bookmarkStart w:id="158" w:name="_Toc138411882"/>
      <w:bookmarkStart w:id="159" w:name="_Toc32420098"/>
      <w:r>
        <w:rPr>
          <w:rStyle w:val="CharSectno"/>
        </w:rPr>
        <w:t>47</w:t>
      </w:r>
      <w:r>
        <w:t>.</w:t>
      </w:r>
      <w:r>
        <w:tab/>
        <w:t>Integrity Assurance Committee</w:t>
      </w:r>
      <w:bookmarkEnd w:id="158"/>
      <w:bookmarkEnd w:id="159"/>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160" w:name="_Toc138411883"/>
      <w:bookmarkStart w:id="161" w:name="_Toc32420099"/>
      <w:r>
        <w:rPr>
          <w:rStyle w:val="CharSectno"/>
        </w:rPr>
        <w:t>48</w:t>
      </w:r>
      <w:r>
        <w:t>.</w:t>
      </w:r>
      <w:r>
        <w:tab/>
        <w:t>Constitution of IAC</w:t>
      </w:r>
      <w:bookmarkEnd w:id="160"/>
      <w:bookmarkEnd w:id="161"/>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 or</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62" w:name="_Toc138411884"/>
      <w:bookmarkStart w:id="163" w:name="_Toc32420100"/>
      <w:r>
        <w:rPr>
          <w:rStyle w:val="CharSectno"/>
        </w:rPr>
        <w:t>49</w:t>
      </w:r>
      <w:r>
        <w:t>.</w:t>
      </w:r>
      <w:r>
        <w:tab/>
        <w:t>Functions of IAC</w:t>
      </w:r>
      <w:bookmarkEnd w:id="162"/>
      <w:bookmarkEnd w:id="163"/>
    </w:p>
    <w:p>
      <w:pPr>
        <w:pStyle w:val="Subsection"/>
      </w:pPr>
      <w:r>
        <w:tab/>
        <w:t>(1)</w:t>
      </w:r>
      <w:r>
        <w:tab/>
        <w:t xml:space="preserve">The IAC has primary oversight of those aspects of RWWA’s functions that relate to — </w:t>
      </w:r>
    </w:p>
    <w:p>
      <w:pPr>
        <w:pStyle w:val="Indenta"/>
      </w:pPr>
      <w:r>
        <w:tab/>
        <w:t>(a)</w:t>
      </w:r>
      <w:r>
        <w:tab/>
        <w:t>stewards; and</w:t>
      </w:r>
    </w:p>
    <w:p>
      <w:pPr>
        <w:pStyle w:val="Indenta"/>
      </w:pPr>
      <w:r>
        <w:tab/>
        <w:t>(b)</w:t>
      </w:r>
      <w:r>
        <w:tab/>
        <w:t>drug testing and control; and</w:t>
      </w:r>
    </w:p>
    <w:p>
      <w:pPr>
        <w:pStyle w:val="Indenta"/>
      </w:pPr>
      <w:r>
        <w:tab/>
        <w:t>(c)</w:t>
      </w:r>
      <w:r>
        <w:tab/>
        <w:t>licensing and registration; and</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64" w:name="_Toc138408810"/>
      <w:bookmarkStart w:id="165" w:name="_Toc138409008"/>
      <w:bookmarkStart w:id="166" w:name="_Toc138411885"/>
      <w:bookmarkStart w:id="167" w:name="_Toc32419903"/>
      <w:bookmarkStart w:id="168" w:name="_Toc32420101"/>
      <w:r>
        <w:rPr>
          <w:rStyle w:val="CharPartNo"/>
        </w:rPr>
        <w:t>Part 5</w:t>
      </w:r>
      <w:r>
        <w:t> — </w:t>
      </w:r>
      <w:r>
        <w:rPr>
          <w:rStyle w:val="CharPartText"/>
        </w:rPr>
        <w:t>Specialised functions in relation to gambling</w:t>
      </w:r>
      <w:bookmarkEnd w:id="164"/>
      <w:bookmarkEnd w:id="165"/>
      <w:bookmarkEnd w:id="166"/>
      <w:bookmarkEnd w:id="167"/>
      <w:bookmarkEnd w:id="168"/>
    </w:p>
    <w:p>
      <w:pPr>
        <w:pStyle w:val="Heading3"/>
      </w:pPr>
      <w:bookmarkStart w:id="169" w:name="_Toc138408811"/>
      <w:bookmarkStart w:id="170" w:name="_Toc138409009"/>
      <w:bookmarkStart w:id="171" w:name="_Toc138411886"/>
      <w:bookmarkStart w:id="172" w:name="_Toc32419904"/>
      <w:bookmarkStart w:id="173" w:name="_Toc32420102"/>
      <w:r>
        <w:rPr>
          <w:rStyle w:val="CharDivNo"/>
        </w:rPr>
        <w:t>Division 1</w:t>
      </w:r>
      <w:r>
        <w:t> — </w:t>
      </w:r>
      <w:r>
        <w:rPr>
          <w:rStyle w:val="CharDivText"/>
        </w:rPr>
        <w:t>General</w:t>
      </w:r>
      <w:bookmarkEnd w:id="169"/>
      <w:bookmarkEnd w:id="170"/>
      <w:bookmarkEnd w:id="171"/>
      <w:bookmarkEnd w:id="172"/>
      <w:bookmarkEnd w:id="173"/>
    </w:p>
    <w:p>
      <w:pPr>
        <w:pStyle w:val="Heading5"/>
      </w:pPr>
      <w:bookmarkStart w:id="174" w:name="_Toc138411887"/>
      <w:bookmarkStart w:id="175" w:name="_Toc32420103"/>
      <w:r>
        <w:rPr>
          <w:rStyle w:val="CharSectno"/>
        </w:rPr>
        <w:t>50</w:t>
      </w:r>
      <w:r>
        <w:t>.</w:t>
      </w:r>
      <w:r>
        <w:tab/>
        <w:t>Functions of RWWA in relation to gambling</w:t>
      </w:r>
      <w:bookmarkEnd w:id="174"/>
      <w:bookmarkEnd w:id="175"/>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176" w:name="_Toc138411888"/>
      <w:bookmarkStart w:id="177" w:name="_Toc32420104"/>
      <w:r>
        <w:rPr>
          <w:rStyle w:val="CharSectno"/>
        </w:rPr>
        <w:t>51</w:t>
      </w:r>
      <w:r>
        <w:t>.</w:t>
      </w:r>
      <w:r>
        <w:tab/>
        <w:t>Establishment of offices and agencies</w:t>
      </w:r>
      <w:bookmarkEnd w:id="176"/>
      <w:bookmarkEnd w:id="177"/>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r>
      <w:r>
        <w:tab/>
        <w:t>and</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178" w:name="_Toc138411889"/>
      <w:bookmarkStart w:id="179" w:name="_Toc32420105"/>
      <w:r>
        <w:rPr>
          <w:rStyle w:val="CharSectno"/>
        </w:rPr>
        <w:t>52</w:t>
      </w:r>
      <w:r>
        <w:t>.</w:t>
      </w:r>
      <w:r>
        <w:tab/>
        <w:t>Commission may direct RWWA not to establish agency</w:t>
      </w:r>
      <w:bookmarkEnd w:id="178"/>
      <w:bookmarkEnd w:id="179"/>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180" w:name="_Toc138411890"/>
      <w:bookmarkStart w:id="181" w:name="_Toc32420106"/>
      <w:r>
        <w:rPr>
          <w:rStyle w:val="CharSectno"/>
        </w:rPr>
        <w:t>53</w:t>
      </w:r>
      <w:r>
        <w:t>.</w:t>
      </w:r>
      <w:r>
        <w:tab/>
        <w:t>Payments to Commission</w:t>
      </w:r>
      <w:bookmarkEnd w:id="180"/>
      <w:bookmarkEnd w:id="181"/>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82" w:name="_Toc138408816"/>
      <w:bookmarkStart w:id="183" w:name="_Toc138409014"/>
      <w:bookmarkStart w:id="184" w:name="_Toc138411891"/>
      <w:bookmarkStart w:id="185" w:name="_Toc32419909"/>
      <w:bookmarkStart w:id="186" w:name="_Toc32420107"/>
      <w:r>
        <w:rPr>
          <w:rStyle w:val="CharDivNo"/>
        </w:rPr>
        <w:t>Division 2</w:t>
      </w:r>
      <w:r>
        <w:t> — </w:t>
      </w:r>
      <w:r>
        <w:rPr>
          <w:rStyle w:val="CharDivText"/>
        </w:rPr>
        <w:t>Conduct of wagering</w:t>
      </w:r>
      <w:bookmarkEnd w:id="182"/>
      <w:bookmarkEnd w:id="183"/>
      <w:bookmarkEnd w:id="184"/>
      <w:bookmarkEnd w:id="185"/>
      <w:bookmarkEnd w:id="186"/>
    </w:p>
    <w:p>
      <w:pPr>
        <w:pStyle w:val="Heading5"/>
      </w:pPr>
      <w:bookmarkStart w:id="187" w:name="_Toc138411892"/>
      <w:bookmarkStart w:id="188" w:name="_Toc32420108"/>
      <w:r>
        <w:rPr>
          <w:rStyle w:val="CharSectno"/>
        </w:rPr>
        <w:t>54</w:t>
      </w:r>
      <w:r>
        <w:t>.</w:t>
      </w:r>
      <w:r>
        <w:tab/>
        <w:t>RWWA may conduct wagering</w:t>
      </w:r>
      <w:bookmarkEnd w:id="187"/>
      <w:bookmarkEnd w:id="188"/>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 and</w:t>
      </w:r>
    </w:p>
    <w:p>
      <w:pPr>
        <w:pStyle w:val="Indenti"/>
      </w:pPr>
      <w:r>
        <w:tab/>
        <w:t>(ii)</w:t>
      </w:r>
      <w:r>
        <w:tab/>
        <w:t>any sporting event or series of sporting events, whether conducted in Western Australia or elsewhere; and</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89" w:name="_Toc138411893"/>
      <w:bookmarkStart w:id="190" w:name="_Toc32420109"/>
      <w:r>
        <w:rPr>
          <w:rStyle w:val="CharSectno"/>
        </w:rPr>
        <w:t>55</w:t>
      </w:r>
      <w:r>
        <w:t>.</w:t>
      </w:r>
      <w:r>
        <w:tab/>
        <w:t>Totalisator and fixed odds wagers authorised</w:t>
      </w:r>
      <w:bookmarkEnd w:id="189"/>
      <w:bookmarkEnd w:id="190"/>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91" w:name="_Toc138411894"/>
      <w:bookmarkStart w:id="192" w:name="_Toc32420110"/>
      <w:r>
        <w:rPr>
          <w:rStyle w:val="CharSectno"/>
        </w:rPr>
        <w:t>56</w:t>
      </w:r>
      <w:r>
        <w:t>.</w:t>
      </w:r>
      <w:r>
        <w:tab/>
        <w:t>Wagering on RWWA totalisator or with RWWA is not an offence</w:t>
      </w:r>
      <w:bookmarkEnd w:id="191"/>
      <w:bookmarkEnd w:id="192"/>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93" w:name="_Toc138411895"/>
      <w:bookmarkStart w:id="194" w:name="_Toc32420111"/>
      <w:r>
        <w:rPr>
          <w:rStyle w:val="CharSectno"/>
        </w:rPr>
        <w:t>57</w:t>
      </w:r>
      <w:r>
        <w:t>.</w:t>
      </w:r>
      <w:r>
        <w:tab/>
        <w:t>RWWA not precluded from not accepting, or from refunding, wagers</w:t>
      </w:r>
      <w:bookmarkEnd w:id="193"/>
      <w:bookmarkEnd w:id="194"/>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 or</w:t>
      </w:r>
    </w:p>
    <w:p>
      <w:pPr>
        <w:pStyle w:val="Indenti"/>
      </w:pPr>
      <w:r>
        <w:tab/>
        <w:t>(ii)</w:t>
      </w:r>
      <w:r>
        <w:tab/>
        <w:t>any sporting event or series of events; or</w:t>
      </w:r>
    </w:p>
    <w:p>
      <w:pPr>
        <w:pStyle w:val="Indenti"/>
      </w:pPr>
      <w:r>
        <w:tab/>
        <w:t>(iii)</w:t>
      </w:r>
      <w:r>
        <w:tab/>
        <w:t>any other event or type of event; or</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95" w:name="_Toc138408821"/>
      <w:bookmarkStart w:id="196" w:name="_Toc138409019"/>
      <w:bookmarkStart w:id="197" w:name="_Toc138411896"/>
      <w:bookmarkStart w:id="198" w:name="_Toc32419914"/>
      <w:bookmarkStart w:id="199" w:name="_Toc32420112"/>
      <w:r>
        <w:rPr>
          <w:rStyle w:val="CharDivNo"/>
        </w:rPr>
        <w:t>Division 3</w:t>
      </w:r>
      <w:r>
        <w:t> — </w:t>
      </w:r>
      <w:r>
        <w:rPr>
          <w:rStyle w:val="CharDivText"/>
        </w:rPr>
        <w:t>Totalisator wagering</w:t>
      </w:r>
      <w:bookmarkEnd w:id="195"/>
      <w:bookmarkEnd w:id="196"/>
      <w:bookmarkEnd w:id="197"/>
      <w:bookmarkEnd w:id="198"/>
      <w:bookmarkEnd w:id="199"/>
    </w:p>
    <w:p>
      <w:pPr>
        <w:pStyle w:val="Heading5"/>
      </w:pPr>
      <w:bookmarkStart w:id="200" w:name="_Toc138411897"/>
      <w:bookmarkStart w:id="201" w:name="_Toc32420113"/>
      <w:r>
        <w:rPr>
          <w:rStyle w:val="CharSectno"/>
        </w:rPr>
        <w:t>58</w:t>
      </w:r>
      <w:r>
        <w:t>.</w:t>
      </w:r>
      <w:r>
        <w:tab/>
        <w:t>Wagers transmitted from racing club to RWWA</w:t>
      </w:r>
      <w:bookmarkEnd w:id="200"/>
      <w:bookmarkEnd w:id="201"/>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202" w:name="_Toc138411898"/>
      <w:bookmarkStart w:id="203" w:name="_Toc32420114"/>
      <w:r>
        <w:rPr>
          <w:rStyle w:val="CharSectno"/>
        </w:rPr>
        <w:t>59</w:t>
      </w:r>
      <w:r>
        <w:t>.</w:t>
      </w:r>
      <w:r>
        <w:tab/>
        <w:t>Combined totalisator pool schemes</w:t>
      </w:r>
      <w:bookmarkEnd w:id="202"/>
      <w:bookmarkEnd w:id="203"/>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204" w:name="_Toc138411899"/>
      <w:bookmarkStart w:id="205" w:name="_Toc32420115"/>
      <w:r>
        <w:rPr>
          <w:rStyle w:val="CharSectno"/>
        </w:rPr>
        <w:t>60</w:t>
      </w:r>
      <w:r>
        <w:t>.</w:t>
      </w:r>
      <w:r>
        <w:tab/>
        <w:t>Payment of refunds and dividends by RWWA</w:t>
      </w:r>
      <w:bookmarkEnd w:id="204"/>
      <w:bookmarkEnd w:id="205"/>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206" w:name="_Toc138408825"/>
      <w:bookmarkStart w:id="207" w:name="_Toc138409023"/>
      <w:bookmarkStart w:id="208" w:name="_Toc138411900"/>
      <w:bookmarkStart w:id="209" w:name="_Toc32419918"/>
      <w:bookmarkStart w:id="210" w:name="_Toc32420116"/>
      <w:r>
        <w:rPr>
          <w:rStyle w:val="CharDivNo"/>
        </w:rPr>
        <w:t>Division 4</w:t>
      </w:r>
      <w:r>
        <w:t> — </w:t>
      </w:r>
      <w:r>
        <w:rPr>
          <w:rStyle w:val="CharDivText"/>
        </w:rPr>
        <w:t>Fixed odds wagering</w:t>
      </w:r>
      <w:bookmarkEnd w:id="206"/>
      <w:bookmarkEnd w:id="207"/>
      <w:bookmarkEnd w:id="208"/>
      <w:bookmarkEnd w:id="209"/>
      <w:bookmarkEnd w:id="210"/>
    </w:p>
    <w:p>
      <w:pPr>
        <w:pStyle w:val="Heading5"/>
      </w:pPr>
      <w:bookmarkStart w:id="211" w:name="_Toc138411901"/>
      <w:bookmarkStart w:id="212" w:name="_Toc32420117"/>
      <w:r>
        <w:rPr>
          <w:rStyle w:val="CharSectno"/>
        </w:rPr>
        <w:t>61</w:t>
      </w:r>
      <w:r>
        <w:t>.</w:t>
      </w:r>
      <w:r>
        <w:tab/>
        <w:t>Fixed odds wagering arrangements with other persons</w:t>
      </w:r>
      <w:bookmarkEnd w:id="211"/>
      <w:bookmarkEnd w:id="212"/>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213" w:name="_Toc138411902"/>
      <w:bookmarkStart w:id="214" w:name="_Toc32420118"/>
      <w:r>
        <w:rPr>
          <w:rStyle w:val="CharSectno"/>
        </w:rPr>
        <w:t>62</w:t>
      </w:r>
      <w:r>
        <w:t>.</w:t>
      </w:r>
      <w:r>
        <w:tab/>
        <w:t>Payment of fixed odds winning by RWWA</w:t>
      </w:r>
      <w:bookmarkEnd w:id="213"/>
      <w:bookmarkEnd w:id="214"/>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15" w:name="_Toc138408828"/>
      <w:bookmarkStart w:id="216" w:name="_Toc138409026"/>
      <w:bookmarkStart w:id="217" w:name="_Toc138411903"/>
      <w:bookmarkStart w:id="218" w:name="_Toc32419921"/>
      <w:bookmarkStart w:id="219" w:name="_Toc32420119"/>
      <w:r>
        <w:rPr>
          <w:rStyle w:val="CharDivNo"/>
        </w:rPr>
        <w:t>Division 5</w:t>
      </w:r>
      <w:r>
        <w:t> — </w:t>
      </w:r>
      <w:r>
        <w:rPr>
          <w:rStyle w:val="CharDivText"/>
        </w:rPr>
        <w:t>Miscellaneous</w:t>
      </w:r>
      <w:bookmarkEnd w:id="215"/>
      <w:bookmarkEnd w:id="216"/>
      <w:bookmarkEnd w:id="217"/>
      <w:bookmarkEnd w:id="218"/>
      <w:bookmarkEnd w:id="219"/>
    </w:p>
    <w:p>
      <w:pPr>
        <w:pStyle w:val="Heading5"/>
        <w:spacing w:before="240"/>
      </w:pPr>
      <w:bookmarkStart w:id="220" w:name="_Toc138411904"/>
      <w:bookmarkStart w:id="221" w:name="_Toc32420120"/>
      <w:r>
        <w:rPr>
          <w:rStyle w:val="CharSectno"/>
        </w:rPr>
        <w:t>63</w:t>
      </w:r>
      <w:r>
        <w:t>.</w:t>
      </w:r>
      <w:r>
        <w:tab/>
        <w:t>Provisions relating to wagers through RWWA</w:t>
      </w:r>
      <w:bookmarkEnd w:id="220"/>
      <w:bookmarkEnd w:id="221"/>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 or</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222" w:name="_Toc138411905"/>
      <w:bookmarkStart w:id="223" w:name="_Toc32420121"/>
      <w:r>
        <w:rPr>
          <w:rStyle w:val="CharSectno"/>
        </w:rPr>
        <w:t>64</w:t>
      </w:r>
      <w:r>
        <w:t>.</w:t>
      </w:r>
      <w:r>
        <w:tab/>
        <w:t>Wagering accounts</w:t>
      </w:r>
      <w:bookmarkEnd w:id="222"/>
      <w:bookmarkEnd w:id="223"/>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24" w:name="_Toc138411906"/>
      <w:bookmarkStart w:id="225" w:name="_Toc32420122"/>
      <w:r>
        <w:rPr>
          <w:rStyle w:val="CharSectno"/>
        </w:rPr>
        <w:t>65</w:t>
      </w:r>
      <w:r>
        <w:t>.</w:t>
      </w:r>
      <w:r>
        <w:tab/>
        <w:t>Minimum amount of a wager</w:t>
      </w:r>
      <w:bookmarkEnd w:id="224"/>
      <w:bookmarkEnd w:id="225"/>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26" w:name="_Toc138408832"/>
      <w:bookmarkStart w:id="227" w:name="_Toc138409030"/>
      <w:bookmarkStart w:id="228" w:name="_Toc138411907"/>
      <w:bookmarkStart w:id="229" w:name="_Toc32419925"/>
      <w:bookmarkStart w:id="230" w:name="_Toc32420123"/>
      <w:r>
        <w:rPr>
          <w:rStyle w:val="CharPartNo"/>
        </w:rPr>
        <w:t>Part 6</w:t>
      </w:r>
      <w:r>
        <w:t xml:space="preserve"> — </w:t>
      </w:r>
      <w:r>
        <w:rPr>
          <w:rStyle w:val="CharPartText"/>
        </w:rPr>
        <w:t>Accountability</w:t>
      </w:r>
      <w:bookmarkEnd w:id="226"/>
      <w:bookmarkEnd w:id="227"/>
      <w:bookmarkEnd w:id="228"/>
      <w:bookmarkEnd w:id="229"/>
      <w:bookmarkEnd w:id="230"/>
    </w:p>
    <w:p>
      <w:pPr>
        <w:pStyle w:val="Heading3"/>
      </w:pPr>
      <w:bookmarkStart w:id="231" w:name="_Toc138408833"/>
      <w:bookmarkStart w:id="232" w:name="_Toc138409031"/>
      <w:bookmarkStart w:id="233" w:name="_Toc138411908"/>
      <w:bookmarkStart w:id="234" w:name="_Toc32419926"/>
      <w:bookmarkStart w:id="235" w:name="_Toc32420124"/>
      <w:r>
        <w:rPr>
          <w:rStyle w:val="CharDivNo"/>
        </w:rPr>
        <w:t>Division 1</w:t>
      </w:r>
      <w:r>
        <w:t xml:space="preserve"> — </w:t>
      </w:r>
      <w:r>
        <w:rPr>
          <w:rStyle w:val="CharDivText"/>
        </w:rPr>
        <w:t>Strategic development plans</w:t>
      </w:r>
      <w:bookmarkEnd w:id="231"/>
      <w:bookmarkEnd w:id="232"/>
      <w:bookmarkEnd w:id="233"/>
      <w:bookmarkEnd w:id="234"/>
      <w:bookmarkEnd w:id="235"/>
      <w:r>
        <w:rPr>
          <w:rStyle w:val="CharDivText"/>
        </w:rPr>
        <w:t xml:space="preserve"> </w:t>
      </w:r>
    </w:p>
    <w:p>
      <w:pPr>
        <w:pStyle w:val="Heading5"/>
        <w:spacing w:before="240"/>
      </w:pPr>
      <w:bookmarkStart w:id="236" w:name="_Toc138411909"/>
      <w:bookmarkStart w:id="237" w:name="_Toc32420125"/>
      <w:r>
        <w:rPr>
          <w:rStyle w:val="CharSectno"/>
        </w:rPr>
        <w:t>66</w:t>
      </w:r>
      <w:r>
        <w:t>.</w:t>
      </w:r>
      <w:r>
        <w:tab/>
        <w:t>Draft strategic development plan to be submitted to Minister</w:t>
      </w:r>
      <w:bookmarkEnd w:id="236"/>
      <w:bookmarkEnd w:id="237"/>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238" w:name="_Toc138411910"/>
      <w:bookmarkStart w:id="239" w:name="_Toc32420126"/>
      <w:r>
        <w:rPr>
          <w:rStyle w:val="CharSectno"/>
        </w:rPr>
        <w:t>67</w:t>
      </w:r>
      <w:r>
        <w:t>.</w:t>
      </w:r>
      <w:r>
        <w:tab/>
        <w:t>Period to which strategic development plan relates</w:t>
      </w:r>
      <w:bookmarkEnd w:id="238"/>
      <w:bookmarkEnd w:id="239"/>
    </w:p>
    <w:p>
      <w:pPr>
        <w:pStyle w:val="Subsection"/>
        <w:spacing w:before="180"/>
      </w:pPr>
      <w:r>
        <w:tab/>
      </w:r>
      <w:r>
        <w:tab/>
        <w:t>A strategic development plan is to cover a forecast period of 5 years or a lesser period agreed with the Minister.</w:t>
      </w:r>
    </w:p>
    <w:p>
      <w:pPr>
        <w:pStyle w:val="Heading5"/>
        <w:spacing w:before="240"/>
      </w:pPr>
      <w:bookmarkStart w:id="240" w:name="_Toc138411911"/>
      <w:bookmarkStart w:id="241" w:name="_Toc32420127"/>
      <w:r>
        <w:rPr>
          <w:rStyle w:val="CharSectno"/>
        </w:rPr>
        <w:t>68</w:t>
      </w:r>
      <w:r>
        <w:t>.</w:t>
      </w:r>
      <w:r>
        <w:tab/>
        <w:t>Matters to be included in strategic development plan</w:t>
      </w:r>
      <w:bookmarkEnd w:id="240"/>
      <w:bookmarkEnd w:id="241"/>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competitive strategies, pricing of products, productivity levels, financial requirements, capital expenditure and personnel requirements; and</w:t>
      </w:r>
    </w:p>
    <w:p>
      <w:pPr>
        <w:pStyle w:val="Indenta"/>
      </w:pPr>
      <w:r>
        <w:tab/>
        <w:t>(aa)</w:t>
      </w:r>
      <w:r>
        <w:tab/>
        <w:t>investment strategies and planned allocations from the Racing Infrastructure Fund;</w:t>
      </w:r>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 No. 21 of 2019 s. 114.]</w:t>
      </w:r>
    </w:p>
    <w:p>
      <w:pPr>
        <w:pStyle w:val="Heading5"/>
      </w:pPr>
      <w:bookmarkStart w:id="242" w:name="_Toc138411912"/>
      <w:bookmarkStart w:id="243" w:name="_Toc32420128"/>
      <w:r>
        <w:rPr>
          <w:rStyle w:val="CharSectno"/>
        </w:rPr>
        <w:t>69</w:t>
      </w:r>
      <w:r>
        <w:t>.</w:t>
      </w:r>
      <w:r>
        <w:tab/>
        <w:t>Strategic development plan to be agreed if possible</w:t>
      </w:r>
      <w:bookmarkEnd w:id="242"/>
      <w:bookmarkEnd w:id="243"/>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44" w:name="_Toc138411913"/>
      <w:bookmarkStart w:id="245" w:name="_Toc32420129"/>
      <w:r>
        <w:rPr>
          <w:rStyle w:val="CharSectno"/>
        </w:rPr>
        <w:t>70</w:t>
      </w:r>
      <w:r>
        <w:t>.</w:t>
      </w:r>
      <w:r>
        <w:tab/>
        <w:t>Minister’s powers in relation to draft strategic development plan</w:t>
      </w:r>
      <w:bookmarkEnd w:id="244"/>
      <w:bookmarkEnd w:id="245"/>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46" w:name="_Toc138411914"/>
      <w:bookmarkStart w:id="247" w:name="_Toc32420130"/>
      <w:r>
        <w:rPr>
          <w:rStyle w:val="CharSectno"/>
        </w:rPr>
        <w:t>71</w:t>
      </w:r>
      <w:r>
        <w:t>.</w:t>
      </w:r>
      <w:r>
        <w:tab/>
        <w:t>Strategic development plan pending agreement</w:t>
      </w:r>
      <w:bookmarkEnd w:id="246"/>
      <w:bookmarkEnd w:id="247"/>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48" w:name="_Toc138411915"/>
      <w:bookmarkStart w:id="249" w:name="_Toc32420131"/>
      <w:r>
        <w:rPr>
          <w:rStyle w:val="CharSectno"/>
        </w:rPr>
        <w:t>72</w:t>
      </w:r>
      <w:r>
        <w:t>.</w:t>
      </w:r>
      <w:r>
        <w:tab/>
        <w:t>Minister’s agreement to draft strategic development plan</w:t>
      </w:r>
      <w:bookmarkEnd w:id="248"/>
      <w:bookmarkEnd w:id="249"/>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50" w:name="_Toc138411916"/>
      <w:bookmarkStart w:id="251" w:name="_Toc32420132"/>
      <w:r>
        <w:rPr>
          <w:rStyle w:val="CharSectno"/>
        </w:rPr>
        <w:t>73</w:t>
      </w:r>
      <w:r>
        <w:t>.</w:t>
      </w:r>
      <w:r>
        <w:tab/>
        <w:t>Modifications of strategic development plan</w:t>
      </w:r>
      <w:bookmarkEnd w:id="250"/>
      <w:bookmarkEnd w:id="251"/>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52" w:name="_Toc138411917"/>
      <w:bookmarkStart w:id="253" w:name="_Toc32420133"/>
      <w:r>
        <w:rPr>
          <w:rStyle w:val="CharSectno"/>
        </w:rPr>
        <w:t>74</w:t>
      </w:r>
      <w:r>
        <w:t>.</w:t>
      </w:r>
      <w:r>
        <w:tab/>
        <w:t>Concurrence of Treasurer</w:t>
      </w:r>
      <w:bookmarkEnd w:id="252"/>
      <w:bookmarkEnd w:id="253"/>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54" w:name="_Toc138408843"/>
      <w:bookmarkStart w:id="255" w:name="_Toc138409041"/>
      <w:bookmarkStart w:id="256" w:name="_Toc138411918"/>
      <w:bookmarkStart w:id="257" w:name="_Toc32419936"/>
      <w:bookmarkStart w:id="258" w:name="_Toc32420134"/>
      <w:r>
        <w:rPr>
          <w:rStyle w:val="CharDivNo"/>
        </w:rPr>
        <w:t>Division 2</w:t>
      </w:r>
      <w:r>
        <w:t xml:space="preserve"> — </w:t>
      </w:r>
      <w:r>
        <w:rPr>
          <w:rStyle w:val="CharDivText"/>
        </w:rPr>
        <w:t>Statement of corporate intent</w:t>
      </w:r>
      <w:bookmarkEnd w:id="254"/>
      <w:bookmarkEnd w:id="255"/>
      <w:bookmarkEnd w:id="256"/>
      <w:bookmarkEnd w:id="257"/>
      <w:bookmarkEnd w:id="258"/>
    </w:p>
    <w:p>
      <w:pPr>
        <w:pStyle w:val="Heading5"/>
      </w:pPr>
      <w:bookmarkStart w:id="259" w:name="_Toc138411919"/>
      <w:bookmarkStart w:id="260" w:name="_Toc32420135"/>
      <w:r>
        <w:rPr>
          <w:rStyle w:val="CharSectno"/>
        </w:rPr>
        <w:t>75</w:t>
      </w:r>
      <w:r>
        <w:t>.</w:t>
      </w:r>
      <w:r>
        <w:tab/>
        <w:t>Statement of corporate intent to be submitted to Minister</w:t>
      </w:r>
      <w:bookmarkEnd w:id="259"/>
      <w:bookmarkEnd w:id="260"/>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261" w:name="_Toc138411920"/>
      <w:bookmarkStart w:id="262" w:name="_Toc32420136"/>
      <w:r>
        <w:rPr>
          <w:rStyle w:val="CharSectno"/>
        </w:rPr>
        <w:t>76</w:t>
      </w:r>
      <w:r>
        <w:t>.</w:t>
      </w:r>
      <w:r>
        <w:tab/>
        <w:t>Period to which statement of corporate intent relates</w:t>
      </w:r>
      <w:bookmarkEnd w:id="261"/>
      <w:bookmarkEnd w:id="262"/>
    </w:p>
    <w:p>
      <w:pPr>
        <w:pStyle w:val="Subsection"/>
      </w:pPr>
      <w:r>
        <w:tab/>
      </w:r>
      <w:r>
        <w:tab/>
        <w:t>A statement of corporate intent is to cover a financial year.</w:t>
      </w:r>
    </w:p>
    <w:p>
      <w:pPr>
        <w:pStyle w:val="Heading5"/>
      </w:pPr>
      <w:bookmarkStart w:id="263" w:name="_Toc138411921"/>
      <w:bookmarkStart w:id="264" w:name="_Toc32420137"/>
      <w:r>
        <w:rPr>
          <w:rStyle w:val="CharSectno"/>
        </w:rPr>
        <w:t>77</w:t>
      </w:r>
      <w:r>
        <w:t>.</w:t>
      </w:r>
      <w:r>
        <w:tab/>
        <w:t>Matters to be included in statement of corporate intent</w:t>
      </w:r>
      <w:bookmarkEnd w:id="263"/>
      <w:bookmarkEnd w:id="264"/>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(ba)</w:t>
      </w:r>
      <w:r>
        <w:tab/>
        <w:t>planned fund allocations from the Racing Infrastructure Fund;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 No. 21 of 2019 s. 115.]</w:t>
      </w:r>
    </w:p>
    <w:p>
      <w:pPr>
        <w:pStyle w:val="Heading5"/>
      </w:pPr>
      <w:bookmarkStart w:id="265" w:name="_Toc138411922"/>
      <w:bookmarkStart w:id="266" w:name="_Toc32420138"/>
      <w:r>
        <w:rPr>
          <w:rStyle w:val="CharSectno"/>
        </w:rPr>
        <w:t>78</w:t>
      </w:r>
      <w:r>
        <w:t>.</w:t>
      </w:r>
      <w:r>
        <w:tab/>
        <w:t>Minister may request revision of statement of corporate intent</w:t>
      </w:r>
      <w:bookmarkEnd w:id="265"/>
      <w:bookmarkEnd w:id="266"/>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267" w:name="_Toc138411923"/>
      <w:bookmarkStart w:id="268" w:name="_Toc32420139"/>
      <w:r>
        <w:rPr>
          <w:rStyle w:val="CharSectno"/>
        </w:rPr>
        <w:t>79</w:t>
      </w:r>
      <w:r>
        <w:t>.</w:t>
      </w:r>
      <w:r>
        <w:tab/>
        <w:t>Statement of corporate intent laid before Parliament</w:t>
      </w:r>
      <w:bookmarkEnd w:id="267"/>
      <w:bookmarkEnd w:id="268"/>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69" w:name="_Toc138411924"/>
      <w:bookmarkStart w:id="270" w:name="_Toc32420140"/>
      <w:r>
        <w:rPr>
          <w:rStyle w:val="CharSectno"/>
        </w:rPr>
        <w:t>80</w:t>
      </w:r>
      <w:r>
        <w:t>.</w:t>
      </w:r>
      <w:r>
        <w:tab/>
        <w:t>Modifications of statement of corporate intent</w:t>
      </w:r>
      <w:bookmarkEnd w:id="269"/>
      <w:bookmarkEnd w:id="270"/>
    </w:p>
    <w:p>
      <w:pPr>
        <w:pStyle w:val="Subsection"/>
      </w:pPr>
      <w:r>
        <w:tab/>
      </w:r>
      <w:r>
        <w:tab/>
        <w:t>A statement of corporate intent may be modified by the board.</w:t>
      </w:r>
    </w:p>
    <w:p>
      <w:pPr>
        <w:pStyle w:val="Heading3"/>
      </w:pPr>
      <w:bookmarkStart w:id="271" w:name="_Toc138408850"/>
      <w:bookmarkStart w:id="272" w:name="_Toc138409048"/>
      <w:bookmarkStart w:id="273" w:name="_Toc138411925"/>
      <w:bookmarkStart w:id="274" w:name="_Toc32419943"/>
      <w:bookmarkStart w:id="275" w:name="_Toc32420141"/>
      <w:r>
        <w:rPr>
          <w:rStyle w:val="CharDivNo"/>
        </w:rPr>
        <w:t>Division 3</w:t>
      </w:r>
      <w:r>
        <w:t> — </w:t>
      </w:r>
      <w:r>
        <w:rPr>
          <w:rStyle w:val="CharDivText"/>
        </w:rPr>
        <w:t>Directions, consultation and provision of information</w:t>
      </w:r>
      <w:bookmarkEnd w:id="271"/>
      <w:bookmarkEnd w:id="272"/>
      <w:bookmarkEnd w:id="273"/>
      <w:bookmarkEnd w:id="274"/>
      <w:bookmarkEnd w:id="275"/>
    </w:p>
    <w:p>
      <w:pPr>
        <w:pStyle w:val="Heading5"/>
      </w:pPr>
      <w:bookmarkStart w:id="276" w:name="_Toc138411926"/>
      <w:bookmarkStart w:id="277" w:name="_Toc32420142"/>
      <w:r>
        <w:rPr>
          <w:rStyle w:val="CharSectno"/>
        </w:rPr>
        <w:t>81</w:t>
      </w:r>
      <w:r>
        <w:t>.</w:t>
      </w:r>
      <w:r>
        <w:tab/>
        <w:t>Directions to RWWA</w:t>
      </w:r>
      <w:bookmarkEnd w:id="276"/>
      <w:bookmarkEnd w:id="277"/>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278" w:name="_Toc138411927"/>
      <w:bookmarkStart w:id="279" w:name="_Toc32420143"/>
      <w:r>
        <w:rPr>
          <w:rStyle w:val="CharSectno"/>
        </w:rPr>
        <w:t>82</w:t>
      </w:r>
      <w:r>
        <w:t>.</w:t>
      </w:r>
      <w:r>
        <w:tab/>
        <w:t>Consultation</w:t>
      </w:r>
      <w:bookmarkEnd w:id="278"/>
      <w:bookmarkEnd w:id="279"/>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280" w:name="_Toc138411928"/>
      <w:bookmarkStart w:id="281" w:name="_Toc32420144"/>
      <w:r>
        <w:rPr>
          <w:rStyle w:val="CharSectno"/>
        </w:rPr>
        <w:t>83</w:t>
      </w:r>
      <w:r>
        <w:t>.</w:t>
      </w:r>
      <w:r>
        <w:tab/>
        <w:t>Minister to have access to information</w:t>
      </w:r>
      <w:bookmarkEnd w:id="280"/>
      <w:bookmarkEnd w:id="281"/>
    </w:p>
    <w:p>
      <w:pPr>
        <w:pStyle w:val="Subsection"/>
        <w:keepNext/>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282" w:name="_Toc138411929"/>
      <w:bookmarkStart w:id="283" w:name="_Toc32420145"/>
      <w:r>
        <w:rPr>
          <w:rStyle w:val="CharSectno"/>
        </w:rPr>
        <w:t>84</w:t>
      </w:r>
      <w:r>
        <w:t>.</w:t>
      </w:r>
      <w:r>
        <w:tab/>
        <w:t>Minister to be kept informed</w:t>
      </w:r>
      <w:bookmarkEnd w:id="282"/>
      <w:bookmarkEnd w:id="283"/>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284" w:name="_Toc138411930"/>
      <w:bookmarkStart w:id="285" w:name="_Toc32420146"/>
      <w:r>
        <w:rPr>
          <w:rStyle w:val="CharSectno"/>
        </w:rPr>
        <w:t>85</w:t>
      </w:r>
      <w:r>
        <w:t>.</w:t>
      </w:r>
      <w:r>
        <w:tab/>
        <w:t>Notice of financial difficulty</w:t>
      </w:r>
      <w:bookmarkEnd w:id="284"/>
      <w:bookmarkEnd w:id="285"/>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 and</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286" w:name="_Toc138411931"/>
      <w:bookmarkStart w:id="287" w:name="_Toc32420147"/>
      <w:r>
        <w:rPr>
          <w:rStyle w:val="CharSectno"/>
        </w:rPr>
        <w:t>86</w:t>
      </w:r>
      <w:r>
        <w:t>.</w:t>
      </w:r>
      <w:r>
        <w:tab/>
        <w:t>RWWA records</w:t>
      </w:r>
      <w:bookmarkEnd w:id="286"/>
      <w:bookmarkEnd w:id="287"/>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keepLines/>
      </w:pPr>
      <w:bookmarkStart w:id="288" w:name="_Toc138408857"/>
      <w:bookmarkStart w:id="289" w:name="_Toc138409055"/>
      <w:bookmarkStart w:id="290" w:name="_Toc138411932"/>
      <w:bookmarkStart w:id="291" w:name="_Toc32419950"/>
      <w:bookmarkStart w:id="292" w:name="_Toc32420148"/>
      <w:r>
        <w:rPr>
          <w:rStyle w:val="CharDivNo"/>
        </w:rPr>
        <w:t>Division 4</w:t>
      </w:r>
      <w:r>
        <w:t xml:space="preserve"> — </w:t>
      </w:r>
      <w:r>
        <w:rPr>
          <w:rStyle w:val="CharDivText"/>
        </w:rPr>
        <w:t>Protection from liability</w:t>
      </w:r>
      <w:bookmarkEnd w:id="288"/>
      <w:bookmarkEnd w:id="289"/>
      <w:bookmarkEnd w:id="290"/>
      <w:bookmarkEnd w:id="291"/>
      <w:bookmarkEnd w:id="292"/>
    </w:p>
    <w:p>
      <w:pPr>
        <w:pStyle w:val="Heading5"/>
      </w:pPr>
      <w:bookmarkStart w:id="293" w:name="_Toc138411933"/>
      <w:bookmarkStart w:id="294" w:name="_Toc32420149"/>
      <w:r>
        <w:rPr>
          <w:rStyle w:val="CharSectno"/>
        </w:rPr>
        <w:t>87</w:t>
      </w:r>
      <w:r>
        <w:t>.</w:t>
      </w:r>
      <w:r>
        <w:tab/>
        <w:t>Protection for disclosure</w:t>
      </w:r>
      <w:bookmarkEnd w:id="293"/>
      <w:bookmarkEnd w:id="294"/>
    </w:p>
    <w:p>
      <w:pPr>
        <w:pStyle w:val="Subsection"/>
        <w:keepNext/>
        <w:keepLines/>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295" w:name="_Toc138408859"/>
      <w:bookmarkStart w:id="296" w:name="_Toc138409057"/>
      <w:bookmarkStart w:id="297" w:name="_Toc138411934"/>
      <w:bookmarkStart w:id="298" w:name="_Toc32419952"/>
      <w:bookmarkStart w:id="299" w:name="_Toc32420150"/>
      <w:r>
        <w:rPr>
          <w:rStyle w:val="CharPartNo"/>
        </w:rPr>
        <w:t>Part 7</w:t>
      </w:r>
      <w:r>
        <w:t xml:space="preserve"> — </w:t>
      </w:r>
      <w:r>
        <w:rPr>
          <w:rStyle w:val="CharPartText"/>
        </w:rPr>
        <w:t>Financial provisions</w:t>
      </w:r>
      <w:bookmarkEnd w:id="295"/>
      <w:bookmarkEnd w:id="296"/>
      <w:bookmarkEnd w:id="297"/>
      <w:bookmarkEnd w:id="298"/>
      <w:bookmarkEnd w:id="299"/>
    </w:p>
    <w:p>
      <w:pPr>
        <w:pStyle w:val="Heading3"/>
      </w:pPr>
      <w:bookmarkStart w:id="300" w:name="_Toc138408860"/>
      <w:bookmarkStart w:id="301" w:name="_Toc138409058"/>
      <w:bookmarkStart w:id="302" w:name="_Toc138411935"/>
      <w:bookmarkStart w:id="303" w:name="_Toc32419953"/>
      <w:bookmarkStart w:id="304" w:name="_Toc32420151"/>
      <w:r>
        <w:rPr>
          <w:rStyle w:val="CharDivNo"/>
        </w:rPr>
        <w:t>Division 1</w:t>
      </w:r>
      <w:r>
        <w:t xml:space="preserve"> — </w:t>
      </w:r>
      <w:r>
        <w:rPr>
          <w:rStyle w:val="CharDivText"/>
        </w:rPr>
        <w:t>General</w:t>
      </w:r>
      <w:bookmarkEnd w:id="300"/>
      <w:bookmarkEnd w:id="301"/>
      <w:bookmarkEnd w:id="302"/>
      <w:bookmarkEnd w:id="303"/>
      <w:bookmarkEnd w:id="304"/>
    </w:p>
    <w:p>
      <w:pPr>
        <w:pStyle w:val="Heading5"/>
      </w:pPr>
      <w:bookmarkStart w:id="305" w:name="_Toc138411936"/>
      <w:bookmarkStart w:id="306" w:name="_Toc32420152"/>
      <w:r>
        <w:rPr>
          <w:rStyle w:val="CharSectno"/>
        </w:rPr>
        <w:t>88</w:t>
      </w:r>
      <w:r>
        <w:t>.</w:t>
      </w:r>
      <w:r>
        <w:tab/>
        <w:t>Bank account</w:t>
      </w:r>
      <w:bookmarkEnd w:id="305"/>
      <w:bookmarkEnd w:id="306"/>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Sch. 1 cl. 142.]</w:t>
      </w:r>
    </w:p>
    <w:p>
      <w:pPr>
        <w:pStyle w:val="Heading5"/>
      </w:pPr>
      <w:bookmarkStart w:id="307" w:name="_Toc138411937"/>
      <w:bookmarkStart w:id="308" w:name="_Toc32420153"/>
      <w:r>
        <w:rPr>
          <w:rStyle w:val="CharSectno"/>
        </w:rPr>
        <w:t>89</w:t>
      </w:r>
      <w:r>
        <w:t>.</w:t>
      </w:r>
      <w:r>
        <w:tab/>
        <w:t>Investment</w:t>
      </w:r>
      <w:bookmarkEnd w:id="307"/>
      <w:bookmarkEnd w:id="308"/>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309" w:name="_Toc138411938"/>
      <w:bookmarkStart w:id="310" w:name="_Toc32420154"/>
      <w:r>
        <w:rPr>
          <w:rStyle w:val="CharSectno"/>
        </w:rPr>
        <w:t>90</w:t>
      </w:r>
      <w:r>
        <w:t>.</w:t>
      </w:r>
      <w:r>
        <w:tab/>
        <w:t>Reserve accounts</w:t>
      </w:r>
      <w:bookmarkEnd w:id="309"/>
      <w:bookmarkEnd w:id="310"/>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Sch. 1 cl. 142.]</w:t>
      </w:r>
    </w:p>
    <w:p>
      <w:pPr>
        <w:pStyle w:val="Heading5"/>
        <w:pageBreakBefore/>
        <w:spacing w:before="0"/>
      </w:pPr>
      <w:bookmarkStart w:id="311" w:name="_Toc138411939"/>
      <w:bookmarkStart w:id="312" w:name="_Toc32420155"/>
      <w:r>
        <w:rPr>
          <w:rStyle w:val="CharSectno"/>
        </w:rPr>
        <w:t>91</w:t>
      </w:r>
      <w:r>
        <w:t>.</w:t>
      </w:r>
      <w:r>
        <w:tab/>
        <w:t>Payment of outgoings and expenses</w:t>
      </w:r>
      <w:bookmarkEnd w:id="311"/>
      <w:bookmarkEnd w:id="312"/>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313" w:name="_Toc138408865"/>
      <w:bookmarkStart w:id="314" w:name="_Toc138409063"/>
      <w:bookmarkStart w:id="315" w:name="_Toc138411940"/>
      <w:bookmarkStart w:id="316" w:name="_Toc32419958"/>
      <w:bookmarkStart w:id="317" w:name="_Toc32420156"/>
      <w:r>
        <w:rPr>
          <w:rStyle w:val="CharDivNo"/>
        </w:rPr>
        <w:t>Division 2</w:t>
      </w:r>
      <w:r>
        <w:t> — </w:t>
      </w:r>
      <w:r>
        <w:rPr>
          <w:rStyle w:val="CharDivText"/>
        </w:rPr>
        <w:t>Loans and grants</w:t>
      </w:r>
      <w:bookmarkEnd w:id="313"/>
      <w:bookmarkEnd w:id="314"/>
      <w:bookmarkEnd w:id="315"/>
      <w:bookmarkEnd w:id="316"/>
      <w:bookmarkEnd w:id="317"/>
    </w:p>
    <w:p>
      <w:pPr>
        <w:pStyle w:val="Heading5"/>
      </w:pPr>
      <w:bookmarkStart w:id="318" w:name="_Toc138411941"/>
      <w:bookmarkStart w:id="319" w:name="_Toc32420157"/>
      <w:r>
        <w:rPr>
          <w:rStyle w:val="CharSectno"/>
        </w:rPr>
        <w:t>92</w:t>
      </w:r>
      <w:r>
        <w:t>.</w:t>
      </w:r>
      <w:r>
        <w:tab/>
        <w:t>RWWA may lend or grant money to racing clubs and allied bodies</w:t>
      </w:r>
      <w:bookmarkEnd w:id="318"/>
      <w:bookmarkEnd w:id="319"/>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 or</w:t>
      </w:r>
    </w:p>
    <w:p>
      <w:pPr>
        <w:pStyle w:val="Indenti"/>
      </w:pPr>
      <w:r>
        <w:tab/>
        <w:t>(ii)</w:t>
      </w:r>
      <w:r>
        <w:tab/>
        <w:t>establish a new racecourse or training track; or</w:t>
      </w:r>
    </w:p>
    <w:p>
      <w:pPr>
        <w:pStyle w:val="Indenti"/>
      </w:pPr>
      <w:r>
        <w:tab/>
        <w:t>(iii)</w:t>
      </w:r>
      <w:r>
        <w:tab/>
        <w:t>discharge or reduce an existing loan previously obtained by the racing club or allied body; or</w:t>
      </w:r>
    </w:p>
    <w:p>
      <w:pPr>
        <w:pStyle w:val="Indenti"/>
      </w:pPr>
      <w:r>
        <w:tab/>
        <w:t>(iv)</w:t>
      </w:r>
      <w:r>
        <w:tab/>
        <w:t>conduct its affairs during a period of financial difficulty; or</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320" w:name="_Toc138411942"/>
      <w:bookmarkStart w:id="321" w:name="_Toc32420158"/>
      <w:r>
        <w:rPr>
          <w:rStyle w:val="CharSectno"/>
        </w:rPr>
        <w:t>93</w:t>
      </w:r>
      <w:r>
        <w:t>.</w:t>
      </w:r>
      <w:r>
        <w:tab/>
        <w:t>Terms and conditions of loan</w:t>
      </w:r>
      <w:bookmarkEnd w:id="320"/>
      <w:bookmarkEnd w:id="321"/>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322" w:name="_Toc138411943"/>
      <w:bookmarkStart w:id="323" w:name="_Toc32420159"/>
      <w:r>
        <w:rPr>
          <w:rStyle w:val="CharSectno"/>
        </w:rPr>
        <w:t>94</w:t>
      </w:r>
      <w:r>
        <w:t>.</w:t>
      </w:r>
      <w:r>
        <w:tab/>
        <w:t>Failure to comply with terms and conditions</w:t>
      </w:r>
      <w:bookmarkEnd w:id="322"/>
      <w:bookmarkEnd w:id="323"/>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324" w:name="_Toc138411944"/>
      <w:bookmarkStart w:id="325" w:name="_Toc32420160"/>
      <w:r>
        <w:rPr>
          <w:rStyle w:val="CharSectno"/>
        </w:rPr>
        <w:t>95</w:t>
      </w:r>
      <w:r>
        <w:t>.</w:t>
      </w:r>
      <w:r>
        <w:tab/>
        <w:t>Application and security for loan or grant</w:t>
      </w:r>
      <w:bookmarkEnd w:id="324"/>
      <w:bookmarkEnd w:id="325"/>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 and</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326" w:name="_Toc138411945"/>
      <w:bookmarkStart w:id="327" w:name="_Toc32420161"/>
      <w:r>
        <w:rPr>
          <w:rStyle w:val="CharSectno"/>
        </w:rPr>
        <w:t>96</w:t>
      </w:r>
      <w:r>
        <w:t>.</w:t>
      </w:r>
      <w:r>
        <w:tab/>
        <w:t>Club or allied body may make representations to board</w:t>
      </w:r>
      <w:bookmarkEnd w:id="326"/>
      <w:bookmarkEnd w:id="327"/>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328" w:name="_Toc138408871"/>
      <w:bookmarkStart w:id="329" w:name="_Toc138409069"/>
      <w:bookmarkStart w:id="330" w:name="_Toc138411946"/>
      <w:bookmarkStart w:id="331" w:name="_Toc32419964"/>
      <w:bookmarkStart w:id="332" w:name="_Toc32420162"/>
      <w:r>
        <w:rPr>
          <w:rStyle w:val="CharDivNo"/>
        </w:rPr>
        <w:t>Division 3</w:t>
      </w:r>
      <w:r>
        <w:t xml:space="preserve"> — </w:t>
      </w:r>
      <w:r>
        <w:rPr>
          <w:rStyle w:val="CharDivText"/>
        </w:rPr>
        <w:t>Borrowing</w:t>
      </w:r>
      <w:bookmarkEnd w:id="328"/>
      <w:bookmarkEnd w:id="329"/>
      <w:bookmarkEnd w:id="330"/>
      <w:bookmarkEnd w:id="331"/>
      <w:bookmarkEnd w:id="332"/>
    </w:p>
    <w:p>
      <w:pPr>
        <w:pStyle w:val="Heading5"/>
      </w:pPr>
      <w:bookmarkStart w:id="333" w:name="_Toc138411947"/>
      <w:bookmarkStart w:id="334" w:name="_Toc32420163"/>
      <w:r>
        <w:rPr>
          <w:rStyle w:val="CharSectno"/>
        </w:rPr>
        <w:t>97</w:t>
      </w:r>
      <w:r>
        <w:t>.</w:t>
      </w:r>
      <w:r>
        <w:tab/>
        <w:t>Borrowing</w:t>
      </w:r>
      <w:bookmarkEnd w:id="333"/>
      <w:bookmarkEnd w:id="334"/>
    </w:p>
    <w:p>
      <w:pPr>
        <w:pStyle w:val="Subsection"/>
      </w:pPr>
      <w:r>
        <w:tab/>
        <w:t>(1)</w:t>
      </w:r>
      <w:r>
        <w:tab/>
        <w:t xml:space="preserve">RWWA may, subject to section 98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335" w:name="_Toc138411948"/>
      <w:bookmarkStart w:id="336" w:name="_Toc32420164"/>
      <w:r>
        <w:rPr>
          <w:rStyle w:val="CharSectno"/>
        </w:rPr>
        <w:t>98</w:t>
      </w:r>
      <w:r>
        <w:t>.</w:t>
      </w:r>
      <w:r>
        <w:tab/>
        <w:t>Borrowing restrictions</w:t>
      </w:r>
      <w:bookmarkEnd w:id="335"/>
      <w:bookmarkEnd w:id="336"/>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337" w:name="_Toc138411949"/>
      <w:bookmarkStart w:id="338" w:name="_Toc32420165"/>
      <w:r>
        <w:rPr>
          <w:rStyle w:val="CharSectno"/>
        </w:rPr>
        <w:t>99</w:t>
      </w:r>
      <w:r>
        <w:t>.</w:t>
      </w:r>
      <w:r>
        <w:tab/>
        <w:t>Hedging transactions</w:t>
      </w:r>
      <w:bookmarkEnd w:id="337"/>
      <w:bookmarkEnd w:id="338"/>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339" w:name="_Toc138408875"/>
      <w:bookmarkStart w:id="340" w:name="_Toc138409073"/>
      <w:bookmarkStart w:id="341" w:name="_Toc138411950"/>
      <w:bookmarkStart w:id="342" w:name="_Toc32419968"/>
      <w:bookmarkStart w:id="343" w:name="_Toc32420166"/>
      <w:r>
        <w:rPr>
          <w:rStyle w:val="CharDivNo"/>
        </w:rPr>
        <w:t>Division 4</w:t>
      </w:r>
      <w:r>
        <w:t> — </w:t>
      </w:r>
      <w:r>
        <w:rPr>
          <w:rStyle w:val="CharDivText"/>
        </w:rPr>
        <w:t>Guarantees</w:t>
      </w:r>
      <w:bookmarkEnd w:id="339"/>
      <w:bookmarkEnd w:id="340"/>
      <w:bookmarkEnd w:id="341"/>
      <w:bookmarkEnd w:id="342"/>
      <w:bookmarkEnd w:id="343"/>
    </w:p>
    <w:p>
      <w:pPr>
        <w:pStyle w:val="Heading5"/>
      </w:pPr>
      <w:bookmarkStart w:id="344" w:name="_Toc138411951"/>
      <w:bookmarkStart w:id="345" w:name="_Toc32420167"/>
      <w:r>
        <w:rPr>
          <w:rStyle w:val="CharSectno"/>
        </w:rPr>
        <w:t>100</w:t>
      </w:r>
      <w:r>
        <w:t>.</w:t>
      </w:r>
      <w:r>
        <w:tab/>
        <w:t>Guarantees</w:t>
      </w:r>
      <w:bookmarkEnd w:id="344"/>
      <w:bookmarkEnd w:id="345"/>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346" w:name="_Toc138411952"/>
      <w:bookmarkStart w:id="347" w:name="_Toc32420168"/>
      <w:r>
        <w:rPr>
          <w:rStyle w:val="CharSectno"/>
        </w:rPr>
        <w:t>101</w:t>
      </w:r>
      <w:r>
        <w:t>.</w:t>
      </w:r>
      <w:r>
        <w:tab/>
        <w:t>Charges for guarantee</w:t>
      </w:r>
      <w:bookmarkEnd w:id="346"/>
      <w:bookmarkEnd w:id="347"/>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348" w:name="_Toc138408878"/>
      <w:bookmarkStart w:id="349" w:name="_Toc138409076"/>
      <w:bookmarkStart w:id="350" w:name="_Toc138411953"/>
      <w:bookmarkStart w:id="351" w:name="_Toc32419971"/>
      <w:bookmarkStart w:id="352" w:name="_Toc32420169"/>
      <w:r>
        <w:rPr>
          <w:rStyle w:val="CharDivNo"/>
        </w:rPr>
        <w:t>Division 5</w:t>
      </w:r>
      <w:r>
        <w:t> — </w:t>
      </w:r>
      <w:r>
        <w:rPr>
          <w:rStyle w:val="CharDivText"/>
        </w:rPr>
        <w:t>Financial provisions in relation to wagering</w:t>
      </w:r>
      <w:bookmarkEnd w:id="348"/>
      <w:bookmarkEnd w:id="349"/>
      <w:bookmarkEnd w:id="350"/>
      <w:bookmarkEnd w:id="351"/>
      <w:bookmarkEnd w:id="352"/>
    </w:p>
    <w:p>
      <w:pPr>
        <w:pStyle w:val="Ednotesection"/>
      </w:pPr>
      <w:r>
        <w:t>[</w:t>
      </w:r>
      <w:r>
        <w:rPr>
          <w:b/>
        </w:rPr>
        <w:t>102.</w:t>
      </w:r>
      <w:r>
        <w:tab/>
        <w:t>Deleted: No. 37 of 2018 s. 70.]</w:t>
      </w:r>
    </w:p>
    <w:p>
      <w:pPr>
        <w:pStyle w:val="Heading5"/>
      </w:pPr>
      <w:bookmarkStart w:id="353" w:name="_Toc138411954"/>
      <w:bookmarkStart w:id="354" w:name="_Toc32420170"/>
      <w:r>
        <w:rPr>
          <w:rStyle w:val="CharSectno"/>
        </w:rPr>
        <w:t>103</w:t>
      </w:r>
      <w:r>
        <w:t>.</w:t>
      </w:r>
      <w:r>
        <w:tab/>
        <w:t>Supplementary pool schemes</w:t>
      </w:r>
      <w:bookmarkEnd w:id="353"/>
      <w:bookmarkEnd w:id="354"/>
    </w:p>
    <w:p>
      <w:pPr>
        <w:pStyle w:val="Subsection"/>
      </w:pPr>
      <w:r>
        <w:tab/>
      </w:r>
      <w:r>
        <w:tab/>
        <w:t>RWWA may supplement the amount in any totalisator pool using moneys set aside for that purpose.</w:t>
      </w:r>
    </w:p>
    <w:p>
      <w:pPr>
        <w:pStyle w:val="Heading5"/>
      </w:pPr>
      <w:bookmarkStart w:id="355" w:name="_Toc138411955"/>
      <w:bookmarkStart w:id="356" w:name="_Toc32420171"/>
      <w:r>
        <w:rPr>
          <w:rStyle w:val="CharSectno"/>
        </w:rPr>
        <w:t>104</w:t>
      </w:r>
      <w:r>
        <w:t>.</w:t>
      </w:r>
      <w:r>
        <w:tab/>
        <w:t>Unclaimed dividends, fixed odds winnings and refunds</w:t>
      </w:r>
      <w:bookmarkEnd w:id="355"/>
      <w:bookmarkEnd w:id="356"/>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r>
        <w:t>[</w:t>
      </w:r>
      <w:r>
        <w:rPr>
          <w:b/>
        </w:rPr>
        <w:t>105.</w:t>
      </w:r>
      <w:r>
        <w:tab/>
        <w:t>Deleted: No. 37 of 2018 s. 71.]</w:t>
      </w:r>
    </w:p>
    <w:p>
      <w:pPr>
        <w:pStyle w:val="Heading5"/>
      </w:pPr>
      <w:bookmarkStart w:id="357" w:name="_Toc138411956"/>
      <w:bookmarkStart w:id="358" w:name="_Toc32420172"/>
      <w:r>
        <w:rPr>
          <w:rStyle w:val="CharSectno"/>
        </w:rPr>
        <w:t>106</w:t>
      </w:r>
      <w:r>
        <w:t>.</w:t>
      </w:r>
      <w:r>
        <w:tab/>
        <w:t>Allocation of RWWA’s funds after 31 July 2006</w:t>
      </w:r>
      <w:bookmarkEnd w:id="357"/>
      <w:bookmarkEnd w:id="358"/>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 and</w:t>
      </w:r>
    </w:p>
    <w:p>
      <w:pPr>
        <w:pStyle w:val="Indenta"/>
      </w:pPr>
      <w:r>
        <w:tab/>
        <w:t>(b)</w:t>
      </w:r>
      <w:r>
        <w:tab/>
        <w:t>all moneys payable by way of dividends, winnings and refunds in respect of wagers made through or with RWWA; and</w:t>
      </w:r>
    </w:p>
    <w:p>
      <w:pPr>
        <w:pStyle w:val="Indenta"/>
      </w:pPr>
      <w:r>
        <w:tab/>
        <w:t>(c)</w:t>
      </w:r>
      <w:r>
        <w:tab/>
        <w:t>any amount required to be paid under section 53 to the Commission; and</w:t>
      </w:r>
    </w:p>
    <w:p>
      <w:pPr>
        <w:pStyle w:val="Indenta"/>
      </w:pPr>
      <w:r>
        <w:tab/>
        <w:t>(d)</w:t>
      </w:r>
      <w:r>
        <w:tab/>
        <w:t>the respective amounts, required for the time being, to a reserve account opened under section 90; and</w:t>
      </w:r>
    </w:p>
    <w:p>
      <w:pPr>
        <w:pStyle w:val="Indenta"/>
      </w:pPr>
      <w:r>
        <w:tab/>
        <w:t>(e)</w:t>
      </w:r>
      <w:r>
        <w:tab/>
        <w:t>any grants or loans payable to racing clubs under section 92; and</w:t>
      </w:r>
    </w:p>
    <w:p>
      <w:pPr>
        <w:pStyle w:val="Ednotepara"/>
      </w:pPr>
      <w:r>
        <w:tab/>
        <w:t>[(f)</w:t>
      </w:r>
      <w:r>
        <w:tab/>
        <w:t>deleted]</w:t>
      </w:r>
    </w:p>
    <w:p>
      <w:pPr>
        <w:pStyle w:val="Indenta"/>
      </w:pPr>
      <w:r>
        <w:tab/>
        <w:t>(g)</w:t>
      </w:r>
      <w:r>
        <w:tab/>
        <w:t>any amount required to be paid under section 104 to the Sports Wagering Account; and</w:t>
      </w:r>
    </w:p>
    <w:p>
      <w:pPr>
        <w:pStyle w:val="Indenta"/>
      </w:pPr>
      <w:r>
        <w:tab/>
        <w:t>(ga)</w:t>
      </w:r>
      <w:r>
        <w:tab/>
        <w:t xml:space="preserve">any amount of betting tax payable under the </w:t>
      </w:r>
      <w:r>
        <w:rPr>
          <w:i/>
        </w:rPr>
        <w:t>Betting Tax Assessment Act 2018</w:t>
      </w:r>
      <w:r>
        <w:t xml:space="preserve"> section 15; and</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359" w:name="_Toc138411957"/>
      <w:bookmarkStart w:id="360" w:name="_Toc32420173"/>
      <w:r>
        <w:rPr>
          <w:rStyle w:val="CharSectno"/>
        </w:rPr>
        <w:t>107A</w:t>
      </w:r>
      <w:r>
        <w:t>.</w:t>
      </w:r>
      <w:r>
        <w:tab/>
        <w:t>Distribution of funds from the racing bets levy</w:t>
      </w:r>
      <w:bookmarkEnd w:id="359"/>
      <w:bookmarkEnd w:id="360"/>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361" w:name="_Toc138411958"/>
      <w:bookmarkStart w:id="362" w:name="_Toc32420174"/>
      <w:r>
        <w:rPr>
          <w:rStyle w:val="CharSectno"/>
        </w:rPr>
        <w:t>107B</w:t>
      </w:r>
      <w:r>
        <w:t>.</w:t>
      </w:r>
      <w:r>
        <w:tab/>
        <w:t>Allocation and distribution of proportion of funds from betting tax</w:t>
      </w:r>
      <w:bookmarkEnd w:id="361"/>
      <w:bookmarkEnd w:id="362"/>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363" w:name="_Toc138408884"/>
      <w:bookmarkStart w:id="364" w:name="_Toc138409082"/>
      <w:bookmarkStart w:id="365" w:name="_Toc138411959"/>
      <w:bookmarkStart w:id="366" w:name="_Toc32419977"/>
      <w:bookmarkStart w:id="367" w:name="_Toc32420175"/>
      <w:r>
        <w:rPr>
          <w:rStyle w:val="CharDivNo"/>
        </w:rPr>
        <w:t>Division 6</w:t>
      </w:r>
      <w:r>
        <w:t> — </w:t>
      </w:r>
      <w:r>
        <w:rPr>
          <w:rStyle w:val="CharDivText"/>
        </w:rPr>
        <w:t>General</w:t>
      </w:r>
      <w:bookmarkEnd w:id="363"/>
      <w:bookmarkEnd w:id="364"/>
      <w:bookmarkEnd w:id="365"/>
      <w:bookmarkEnd w:id="366"/>
      <w:bookmarkEnd w:id="367"/>
    </w:p>
    <w:p>
      <w:pPr>
        <w:pStyle w:val="Heading5"/>
        <w:rPr>
          <w:i/>
        </w:rPr>
      </w:pPr>
      <w:bookmarkStart w:id="368" w:name="_Toc138411960"/>
      <w:bookmarkStart w:id="369" w:name="_Toc32420176"/>
      <w:r>
        <w:rPr>
          <w:rStyle w:val="CharSectno"/>
        </w:rPr>
        <w:t>108</w:t>
      </w:r>
      <w:r>
        <w:t>.</w:t>
      </w:r>
      <w:r>
        <w:tab/>
        <w:t xml:space="preserve">Application of </w:t>
      </w:r>
      <w:r>
        <w:rPr>
          <w:i/>
          <w:iCs/>
        </w:rPr>
        <w:t>Financial Management Act 2006</w:t>
      </w:r>
      <w:r>
        <w:t xml:space="preserve"> and </w:t>
      </w:r>
      <w:r>
        <w:rPr>
          <w:i/>
          <w:iCs/>
        </w:rPr>
        <w:t>Auditor General Act 2006</w:t>
      </w:r>
      <w:bookmarkEnd w:id="368"/>
      <w:bookmarkEnd w:id="36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Sch. 1 cl. 142.]</w:t>
      </w:r>
    </w:p>
    <w:p>
      <w:pPr>
        <w:pStyle w:val="Heading2"/>
      </w:pPr>
      <w:bookmarkStart w:id="370" w:name="_Toc138408886"/>
      <w:bookmarkStart w:id="371" w:name="_Toc138409084"/>
      <w:bookmarkStart w:id="372" w:name="_Toc138411961"/>
      <w:bookmarkStart w:id="373" w:name="_Toc32419979"/>
      <w:bookmarkStart w:id="374" w:name="_Toc32420177"/>
      <w:r>
        <w:rPr>
          <w:rStyle w:val="CharPartNo"/>
        </w:rPr>
        <w:t>Part 8</w:t>
      </w:r>
      <w:r>
        <w:t xml:space="preserve"> — </w:t>
      </w:r>
      <w:r>
        <w:rPr>
          <w:rStyle w:val="CharPartText"/>
        </w:rPr>
        <w:t>Miscellaneous</w:t>
      </w:r>
      <w:bookmarkEnd w:id="370"/>
      <w:bookmarkEnd w:id="371"/>
      <w:bookmarkEnd w:id="372"/>
      <w:bookmarkEnd w:id="373"/>
      <w:bookmarkEnd w:id="374"/>
    </w:p>
    <w:p>
      <w:pPr>
        <w:pStyle w:val="Heading3"/>
      </w:pPr>
      <w:bookmarkStart w:id="375" w:name="_Toc138408887"/>
      <w:bookmarkStart w:id="376" w:name="_Toc138409085"/>
      <w:bookmarkStart w:id="377" w:name="_Toc138411962"/>
      <w:bookmarkStart w:id="378" w:name="_Toc32419980"/>
      <w:bookmarkStart w:id="379" w:name="_Toc32420178"/>
      <w:r>
        <w:rPr>
          <w:rStyle w:val="CharDivNo"/>
        </w:rPr>
        <w:t>Division 1</w:t>
      </w:r>
      <w:r>
        <w:t xml:space="preserve"> — </w:t>
      </w:r>
      <w:r>
        <w:rPr>
          <w:rStyle w:val="CharDivText"/>
        </w:rPr>
        <w:t>Protection of people dealing with RWWA</w:t>
      </w:r>
      <w:bookmarkEnd w:id="375"/>
      <w:bookmarkEnd w:id="376"/>
      <w:bookmarkEnd w:id="377"/>
      <w:bookmarkEnd w:id="378"/>
      <w:bookmarkEnd w:id="379"/>
    </w:p>
    <w:p>
      <w:pPr>
        <w:pStyle w:val="Heading5"/>
      </w:pPr>
      <w:bookmarkStart w:id="380" w:name="_Toc138411963"/>
      <w:bookmarkStart w:id="381" w:name="_Toc32420179"/>
      <w:r>
        <w:rPr>
          <w:rStyle w:val="CharSectno"/>
        </w:rPr>
        <w:t>109</w:t>
      </w:r>
      <w:r>
        <w:t>.</w:t>
      </w:r>
      <w:r>
        <w:tab/>
        <w:t>People dealing with RWWA may make assumptions</w:t>
      </w:r>
      <w:bookmarkEnd w:id="380"/>
      <w:bookmarkEnd w:id="381"/>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382" w:name="_Toc138411964"/>
      <w:bookmarkStart w:id="383" w:name="_Toc32420180"/>
      <w:r>
        <w:rPr>
          <w:rStyle w:val="CharSectno"/>
        </w:rPr>
        <w:t>110</w:t>
      </w:r>
      <w:r>
        <w:t>.</w:t>
      </w:r>
      <w:r>
        <w:tab/>
        <w:t>Third parties may make assumptions</w:t>
      </w:r>
      <w:bookmarkEnd w:id="382"/>
      <w:bookmarkEnd w:id="383"/>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384" w:name="_Toc138411965"/>
      <w:bookmarkStart w:id="385" w:name="_Toc32420181"/>
      <w:r>
        <w:rPr>
          <w:rStyle w:val="CharSectno"/>
        </w:rPr>
        <w:t>111</w:t>
      </w:r>
      <w:r>
        <w:t>.</w:t>
      </w:r>
      <w:r>
        <w:tab/>
        <w:t>Things that can be assumed</w:t>
      </w:r>
      <w:bookmarkEnd w:id="384"/>
      <w:bookmarkEnd w:id="385"/>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pPr>
      <w:r>
        <w:rPr>
          <w:snapToGrid w:val="0"/>
        </w:rPr>
        <w:tab/>
      </w:r>
      <w:r>
        <w:tab/>
        <w:t>and</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 and</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 and</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386" w:name="_Toc138411966"/>
      <w:bookmarkStart w:id="387" w:name="_Toc32420182"/>
      <w:r>
        <w:rPr>
          <w:rStyle w:val="CharSectno"/>
        </w:rPr>
        <w:t>112</w:t>
      </w:r>
      <w:r>
        <w:t>.</w:t>
      </w:r>
      <w:r>
        <w:tab/>
        <w:t>When those things cannot be assumed</w:t>
      </w:r>
      <w:bookmarkEnd w:id="386"/>
      <w:bookmarkEnd w:id="387"/>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keepNext/>
        <w:keepLines/>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388" w:name="_Toc138408892"/>
      <w:bookmarkStart w:id="389" w:name="_Toc138409090"/>
      <w:bookmarkStart w:id="390" w:name="_Toc138411967"/>
      <w:bookmarkStart w:id="391" w:name="_Toc32419985"/>
      <w:bookmarkStart w:id="392" w:name="_Toc32420183"/>
      <w:r>
        <w:rPr>
          <w:rStyle w:val="CharDivNo"/>
        </w:rPr>
        <w:t>Division 2</w:t>
      </w:r>
      <w:r>
        <w:t xml:space="preserve"> — </w:t>
      </w:r>
      <w:r>
        <w:rPr>
          <w:rStyle w:val="CharDivText"/>
        </w:rPr>
        <w:t>Other provisions</w:t>
      </w:r>
      <w:bookmarkEnd w:id="388"/>
      <w:bookmarkEnd w:id="389"/>
      <w:bookmarkEnd w:id="390"/>
      <w:bookmarkEnd w:id="391"/>
      <w:bookmarkEnd w:id="392"/>
    </w:p>
    <w:p>
      <w:pPr>
        <w:pStyle w:val="Heading5"/>
      </w:pPr>
      <w:bookmarkStart w:id="393" w:name="_Toc138411968"/>
      <w:bookmarkStart w:id="394" w:name="_Toc32420184"/>
      <w:r>
        <w:rPr>
          <w:rStyle w:val="CharSectno"/>
        </w:rPr>
        <w:t>113</w:t>
      </w:r>
      <w:r>
        <w:t>.</w:t>
      </w:r>
      <w:r>
        <w:tab/>
        <w:t>Entry and inspection of premises</w:t>
      </w:r>
      <w:bookmarkEnd w:id="393"/>
      <w:bookmarkEnd w:id="39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 or</w:t>
      </w:r>
    </w:p>
    <w:p>
      <w:pPr>
        <w:pStyle w:val="Indenta"/>
      </w:pPr>
      <w:r>
        <w:tab/>
        <w:t>(b)</w:t>
      </w:r>
      <w:r>
        <w:tab/>
        <w:t>a racecourse; or</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r>
        <w:rPr>
          <w:snapToGrid w:val="0"/>
        </w:rPr>
        <w:t xml:space="preserve"> and</w:t>
      </w:r>
    </w:p>
    <w:p>
      <w:pPr>
        <w:pStyle w:val="Indenti"/>
      </w:pPr>
      <w:r>
        <w:tab/>
        <w:t>(ii)</w:t>
      </w:r>
      <w:r>
        <w:tab/>
        <w:t>to answer (orally or in writing) questions put by the authorised person that are relevant to the investigation;</w:t>
      </w:r>
      <w:r>
        <w:rPr>
          <w:snapToGrid w:val="0"/>
        </w:rPr>
        <w:t xml:space="preserve"> and</w:t>
      </w:r>
    </w:p>
    <w:p>
      <w:pPr>
        <w:pStyle w:val="Indenti"/>
      </w:pPr>
      <w:r>
        <w:tab/>
        <w:t>(iii)</w:t>
      </w:r>
      <w:r>
        <w:tab/>
        <w:t>to give the authorised person any information in the person’s possession or control that is relevant to the inspection;</w:t>
      </w:r>
      <w:r>
        <w:rPr>
          <w:snapToGrid w:val="0"/>
        </w:rPr>
        <w:t xml:space="preserve"> and</w:t>
      </w:r>
    </w:p>
    <w:p>
      <w:pPr>
        <w:pStyle w:val="Indenti"/>
      </w:pPr>
      <w:r>
        <w:tab/>
        <w:t>(iv)</w:t>
      </w:r>
      <w:r>
        <w:tab/>
        <w:t>to operate or allow the authorised person to operate equipment or facilities on the premises for inspection purposes;</w:t>
      </w:r>
      <w:r>
        <w:rPr>
          <w:snapToGrid w:val="0"/>
        </w:rPr>
        <w:t xml:space="preserve"> and</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(6)</w:t>
      </w:r>
      <w:r>
        <w:tab/>
        <w:t>Nothing in this section derogates from the powers of an authorised person who is a police officer.</w:t>
      </w:r>
    </w:p>
    <w:p>
      <w:pPr>
        <w:pStyle w:val="Footnotesection"/>
      </w:pPr>
      <w:r>
        <w:tab/>
        <w:t>[Section 113 amended: No. 21 of 2019 s. 116.]</w:t>
      </w:r>
    </w:p>
    <w:p>
      <w:pPr>
        <w:pStyle w:val="Ednotesection"/>
      </w:pPr>
      <w:r>
        <w:t>[</w:t>
      </w:r>
      <w:r>
        <w:rPr>
          <w:b/>
        </w:rPr>
        <w:t>114.</w:t>
      </w:r>
      <w:r>
        <w:tab/>
        <w:t>Deleted: No. 37 of 2018 s. 74.]</w:t>
      </w:r>
    </w:p>
    <w:p>
      <w:pPr>
        <w:pStyle w:val="Heading5"/>
      </w:pPr>
      <w:bookmarkStart w:id="395" w:name="_Toc138411969"/>
      <w:bookmarkStart w:id="396" w:name="_Toc32420185"/>
      <w:r>
        <w:rPr>
          <w:rStyle w:val="CharSectno"/>
        </w:rPr>
        <w:t>115</w:t>
      </w:r>
      <w:r>
        <w:t>.</w:t>
      </w:r>
      <w:r>
        <w:tab/>
        <w:t>Miscellaneous offences</w:t>
      </w:r>
      <w:bookmarkEnd w:id="395"/>
      <w:bookmarkEnd w:id="39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a fine of $5 000.</w:t>
      </w:r>
    </w:p>
    <w:p>
      <w:pPr>
        <w:pStyle w:val="Footnotesection"/>
      </w:pPr>
      <w:r>
        <w:tab/>
        <w:t>[Section 115 amended: No. 21 of 2019 s. 117.]</w:t>
      </w:r>
    </w:p>
    <w:p>
      <w:pPr>
        <w:pStyle w:val="Heading5"/>
      </w:pPr>
      <w:bookmarkStart w:id="397" w:name="_Toc138411970"/>
      <w:bookmarkStart w:id="398" w:name="_Toc32420186"/>
      <w:r>
        <w:rPr>
          <w:rStyle w:val="CharSectno"/>
        </w:rPr>
        <w:t>116</w:t>
      </w:r>
      <w:r>
        <w:t>.</w:t>
      </w:r>
      <w:r>
        <w:tab/>
        <w:t>Immunity from certain claims</w:t>
      </w:r>
      <w:bookmarkEnd w:id="397"/>
      <w:bookmarkEnd w:id="398"/>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399" w:name="_Toc138411971"/>
      <w:bookmarkStart w:id="400" w:name="_Toc32420187"/>
      <w:r>
        <w:rPr>
          <w:rStyle w:val="CharSectno"/>
        </w:rPr>
        <w:t>117</w:t>
      </w:r>
      <w:r>
        <w:t>.</w:t>
      </w:r>
      <w:r>
        <w:tab/>
        <w:t>Laying documents before House of Parliament that is not sitting</w:t>
      </w:r>
      <w:bookmarkEnd w:id="399"/>
      <w:bookmarkEnd w:id="400"/>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401" w:name="_Toc138411972"/>
      <w:bookmarkStart w:id="402" w:name="_Toc32420188"/>
      <w:r>
        <w:rPr>
          <w:rStyle w:val="CharSectno"/>
        </w:rPr>
        <w:t>118</w:t>
      </w:r>
      <w:r>
        <w:t>.</w:t>
      </w:r>
      <w:r>
        <w:tab/>
        <w:t>Execution of documents by RWWA</w:t>
      </w:r>
      <w:bookmarkEnd w:id="401"/>
      <w:bookmarkEnd w:id="402"/>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403" w:name="_Toc138411973"/>
      <w:bookmarkStart w:id="404" w:name="_Toc32420189"/>
      <w:r>
        <w:rPr>
          <w:rStyle w:val="CharSectno"/>
        </w:rPr>
        <w:t>119</w:t>
      </w:r>
      <w:r>
        <w:t>.</w:t>
      </w:r>
      <w:r>
        <w:tab/>
        <w:t>Contract formalities</w:t>
      </w:r>
      <w:bookmarkEnd w:id="403"/>
      <w:bookmarkEnd w:id="404"/>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405" w:name="_Toc138411974"/>
      <w:bookmarkStart w:id="406" w:name="_Toc32420190"/>
      <w:r>
        <w:rPr>
          <w:rStyle w:val="CharSectno"/>
        </w:rPr>
        <w:t>120</w:t>
      </w:r>
      <w:r>
        <w:t>.</w:t>
      </w:r>
      <w:r>
        <w:tab/>
        <w:t>Rules of wagering</w:t>
      </w:r>
      <w:bookmarkEnd w:id="405"/>
      <w:bookmarkEnd w:id="406"/>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r>
        <w:rPr>
          <w:snapToGrid w:val="0"/>
        </w:rPr>
        <w:t xml:space="preserve"> and</w:t>
      </w:r>
    </w:p>
    <w:p>
      <w:pPr>
        <w:pStyle w:val="Indenta"/>
      </w:pPr>
      <w:r>
        <w:tab/>
        <w:t>(b)</w:t>
      </w:r>
      <w:r>
        <w:tab/>
        <w:t xml:space="preserve">prescribing the powers and duties of stewards in relation to totalisators on racecourses and persons licensed under the </w:t>
      </w:r>
      <w:r>
        <w:rPr>
          <w:i/>
        </w:rPr>
        <w:t>Betting Control Act 1954</w:t>
      </w:r>
      <w:r>
        <w:t>;</w:t>
      </w:r>
      <w:r>
        <w:rPr>
          <w:snapToGrid w:val="0"/>
        </w:rPr>
        <w:t xml:space="preserve"> and</w:t>
      </w:r>
    </w:p>
    <w:p>
      <w:pPr>
        <w:pStyle w:val="Indenta"/>
      </w:pPr>
      <w:r>
        <w:tab/>
        <w:t>(c)</w:t>
      </w:r>
      <w:r>
        <w:tab/>
        <w:t>in relation to off</w:t>
      </w:r>
      <w:r>
        <w:noBreakHyphen/>
        <w:t>course wagering;</w:t>
      </w:r>
      <w:r>
        <w:rPr>
          <w:snapToGrid w:val="0"/>
        </w:rPr>
        <w:t xml:space="preserve"> and</w:t>
      </w:r>
    </w:p>
    <w:p>
      <w:pPr>
        <w:pStyle w:val="Indenta"/>
      </w:pPr>
      <w:r>
        <w:tab/>
        <w:t>(d)</w:t>
      </w:r>
      <w:r>
        <w:tab/>
        <w:t>in relation to fixed odds wagering;</w:t>
      </w:r>
      <w:r>
        <w:rPr>
          <w:snapToGrid w:val="0"/>
        </w:rPr>
        <w:t xml:space="preserve"> and</w:t>
      </w:r>
    </w:p>
    <w:p>
      <w:pPr>
        <w:pStyle w:val="Indenta"/>
      </w:pPr>
      <w:r>
        <w:tab/>
        <w:t>(e)</w:t>
      </w:r>
      <w:r>
        <w:tab/>
        <w:t>providing for the custody of its property;</w:t>
      </w:r>
      <w:r>
        <w:rPr>
          <w:snapToGrid w:val="0"/>
        </w:rPr>
        <w:t xml:space="preserve"> and</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407" w:name="_Toc138411975"/>
      <w:bookmarkStart w:id="408" w:name="_Toc32420191"/>
      <w:r>
        <w:rPr>
          <w:rStyle w:val="CharSectno"/>
        </w:rPr>
        <w:t>121</w:t>
      </w:r>
      <w:r>
        <w:t>.</w:t>
      </w:r>
      <w:r>
        <w:tab/>
        <w:t>Regulations</w:t>
      </w:r>
      <w:bookmarkEnd w:id="407"/>
      <w:bookmarkEnd w:id="4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 xml:space="preserve">the licensing of RWWA key employees as defined in section 24, and the conditions and fees applicable to the licensing; </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 or</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 xml:space="preserve">the application for, and the issue, refusal, suspension or cancellation of, licences for racecourses, race meetings, races and training and trial tracks under section 39; </w:t>
      </w:r>
    </w:p>
    <w:p>
      <w:pPr>
        <w:pStyle w:val="Indenta"/>
      </w:pPr>
      <w:r>
        <w:tab/>
        <w:t>(d)</w:t>
      </w:r>
      <w:r>
        <w:tab/>
        <w:t xml:space="preserve">the application for, and the issue, refusal, suspension or cancellation of, the registration of a racing club under section 40; </w:t>
      </w:r>
    </w:p>
    <w:p>
      <w:pPr>
        <w:pStyle w:val="Indenta"/>
      </w:pPr>
      <w:r>
        <w:tab/>
        <w:t>(e)</w:t>
      </w:r>
      <w:r>
        <w:tab/>
        <w:t xml:space="preserve">the application for, and the issue, refusal, suspension or cancellation of, the registration of a horse or greyhound under section 41; </w:t>
      </w:r>
    </w:p>
    <w:p>
      <w:pPr>
        <w:pStyle w:val="Indenta"/>
      </w:pPr>
      <w:r>
        <w:tab/>
        <w:t>(f)</w:t>
      </w:r>
      <w:r>
        <w:tab/>
        <w:t xml:space="preserve">the application for, and the issue, refusal, suspension or cancellation of a licence under section 42; </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409" w:name="_Toc138411976"/>
      <w:bookmarkStart w:id="410" w:name="_Toc32420192"/>
      <w:r>
        <w:rPr>
          <w:rStyle w:val="CharSectno"/>
        </w:rPr>
        <w:t>122</w:t>
      </w:r>
      <w:r>
        <w:t>.</w:t>
      </w:r>
      <w:r>
        <w:tab/>
        <w:t>Review of Act</w:t>
      </w:r>
      <w:bookmarkEnd w:id="409"/>
      <w:bookmarkEnd w:id="410"/>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 and</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r>
        <w:t>[Part 9 deleted: No. 37 of 2018 s. 75.]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11" w:name="_Toc138408902"/>
      <w:bookmarkStart w:id="412" w:name="_Toc138409100"/>
      <w:bookmarkStart w:id="413" w:name="_Toc138411977"/>
      <w:bookmarkStart w:id="414" w:name="_Toc32419995"/>
      <w:bookmarkStart w:id="415" w:name="_Toc32420193"/>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411"/>
      <w:bookmarkEnd w:id="412"/>
      <w:bookmarkEnd w:id="413"/>
      <w:bookmarkEnd w:id="414"/>
      <w:bookmarkEnd w:id="415"/>
    </w:p>
    <w:p>
      <w:pPr>
        <w:pStyle w:val="yShoulderClause"/>
      </w:pPr>
      <w:r>
        <w:t>[s. 15]</w:t>
      </w:r>
    </w:p>
    <w:p>
      <w:pPr>
        <w:pStyle w:val="yHeading5"/>
      </w:pPr>
      <w:bookmarkStart w:id="416" w:name="_Toc138411978"/>
      <w:bookmarkStart w:id="417" w:name="_Toc32420194"/>
      <w:r>
        <w:rPr>
          <w:rStyle w:val="CharSClsNo"/>
        </w:rPr>
        <w:t>1</w:t>
      </w:r>
      <w:r>
        <w:t>.</w:t>
      </w:r>
      <w:r>
        <w:tab/>
        <w:t>Term of office</w:t>
      </w:r>
      <w:bookmarkEnd w:id="416"/>
      <w:bookmarkEnd w:id="417"/>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pPr>
      <w:bookmarkStart w:id="418" w:name="_Toc138411979"/>
      <w:bookmarkStart w:id="419" w:name="_Toc32420195"/>
      <w:r>
        <w:rPr>
          <w:rStyle w:val="CharSClsNo"/>
        </w:rPr>
        <w:t>2</w:t>
      </w:r>
      <w:r>
        <w:t>.</w:t>
      </w:r>
      <w:r>
        <w:tab/>
        <w:t>Casual vacancies</w:t>
      </w:r>
      <w:bookmarkEnd w:id="418"/>
      <w:bookmarkEnd w:id="419"/>
    </w:p>
    <w:p>
      <w:pPr>
        <w:pStyle w:val="ySubsection"/>
      </w:pPr>
      <w:r>
        <w:tab/>
        <w:t>(1)</w:t>
      </w:r>
      <w:r>
        <w:tab/>
        <w:t xml:space="preserve">The office of a director becomes vacant if the director — </w:t>
      </w:r>
    </w:p>
    <w:p>
      <w:pPr>
        <w:pStyle w:val="yIndenta"/>
      </w:pPr>
      <w:r>
        <w:tab/>
        <w:t>(a)</w:t>
      </w:r>
      <w:r>
        <w:tab/>
        <w:t>dies; or</w:t>
      </w:r>
    </w:p>
    <w:p>
      <w:pPr>
        <w:pStyle w:val="yIndenta"/>
      </w:pPr>
      <w:r>
        <w:tab/>
        <w:t>(b)</w:t>
      </w:r>
      <w:r>
        <w:tab/>
        <w:t>resigns the office by instrument in writing addressed to the Minister; or</w:t>
      </w:r>
    </w:p>
    <w:p>
      <w:pPr>
        <w:pStyle w:val="yIndenta"/>
      </w:pPr>
      <w:r>
        <w:tab/>
        <w:t>(c)</w:t>
      </w:r>
      <w:r>
        <w:tab/>
        <w:t>is absent from 4 consecutive meetings of RWWA of which reasonable notice had been given to the director, except on leave granted by RWWA; or</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 or</w:t>
      </w:r>
    </w:p>
    <w:p>
      <w:pPr>
        <w:pStyle w:val="yIndenta"/>
      </w:pPr>
      <w:r>
        <w:tab/>
        <w:t>(e)</w:t>
      </w:r>
      <w:r>
        <w:tab/>
        <w:t xml:space="preserve">is refused a licence under section 14 of this Act or has the licence revoked under section 109K(3) of the </w:t>
      </w:r>
      <w:r>
        <w:rPr>
          <w:i/>
        </w:rPr>
        <w:t>Gaming and Wagering Commission Act 1987</w:t>
      </w:r>
      <w:r>
        <w:t>; or</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pPr>
      <w:bookmarkStart w:id="420" w:name="_Toc138411980"/>
      <w:bookmarkStart w:id="421" w:name="_Toc32420196"/>
      <w:r>
        <w:rPr>
          <w:rStyle w:val="CharSClsNo"/>
        </w:rPr>
        <w:t>3</w:t>
      </w:r>
      <w:r>
        <w:t>.</w:t>
      </w:r>
      <w:r>
        <w:tab/>
        <w:t>Deputy chairperson</w:t>
      </w:r>
      <w:bookmarkEnd w:id="420"/>
      <w:bookmarkEnd w:id="421"/>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pPr>
      <w:bookmarkStart w:id="422" w:name="_Toc138411981"/>
      <w:bookmarkStart w:id="423" w:name="_Toc32420197"/>
      <w:r>
        <w:rPr>
          <w:rStyle w:val="CharSClsNo"/>
        </w:rPr>
        <w:t>4</w:t>
      </w:r>
      <w:r>
        <w:t>.</w:t>
      </w:r>
      <w:r>
        <w:tab/>
        <w:t>Alternate directors</w:t>
      </w:r>
      <w:bookmarkEnd w:id="422"/>
      <w:bookmarkEnd w:id="423"/>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pageBreakBefore/>
        <w:spacing w:before="0"/>
      </w:pPr>
      <w:bookmarkStart w:id="424" w:name="_Toc138411982"/>
      <w:bookmarkStart w:id="425" w:name="_Toc32420198"/>
      <w:r>
        <w:rPr>
          <w:rStyle w:val="CharSClsNo"/>
        </w:rPr>
        <w:t>5</w:t>
      </w:r>
      <w:r>
        <w:t>.</w:t>
      </w:r>
      <w:r>
        <w:tab/>
        <w:t>Meetings</w:t>
      </w:r>
      <w:bookmarkEnd w:id="424"/>
      <w:bookmarkEnd w:id="425"/>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pPr>
      <w:bookmarkStart w:id="426" w:name="_Toc138411983"/>
      <w:bookmarkStart w:id="427" w:name="_Toc32420199"/>
      <w:r>
        <w:rPr>
          <w:rStyle w:val="CharSClsNo"/>
        </w:rPr>
        <w:t>6</w:t>
      </w:r>
      <w:r>
        <w:t>.</w:t>
      </w:r>
      <w:r>
        <w:tab/>
        <w:t>Telephone and video meetings</w:t>
      </w:r>
      <w:bookmarkEnd w:id="426"/>
      <w:bookmarkEnd w:id="427"/>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pPr>
      <w:bookmarkStart w:id="428" w:name="_Toc138411984"/>
      <w:bookmarkStart w:id="429" w:name="_Toc32420200"/>
      <w:r>
        <w:rPr>
          <w:rStyle w:val="CharSClsNo"/>
        </w:rPr>
        <w:t>7</w:t>
      </w:r>
      <w:r>
        <w:t>.</w:t>
      </w:r>
      <w:r>
        <w:tab/>
        <w:t>Resolution may be passed without meeting</w:t>
      </w:r>
      <w:bookmarkEnd w:id="428"/>
      <w:bookmarkEnd w:id="429"/>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pPr>
      <w:r>
        <w:rPr>
          <w:snapToGrid w:val="0"/>
        </w:rPr>
        <w:tab/>
      </w:r>
      <w:r>
        <w:rPr>
          <w:snapToGrid w:val="0"/>
        </w:rPr>
        <w:tab/>
      </w:r>
      <w:r>
        <w:t>and</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pPr>
      <w:bookmarkStart w:id="430" w:name="_Toc138411985"/>
      <w:bookmarkStart w:id="431" w:name="_Toc32420201"/>
      <w:r>
        <w:rPr>
          <w:rStyle w:val="CharSClsNo"/>
        </w:rPr>
        <w:t>8</w:t>
      </w:r>
      <w:r>
        <w:t>.</w:t>
      </w:r>
      <w:r>
        <w:tab/>
        <w:t>Voting by interested directors</w:t>
      </w:r>
      <w:bookmarkEnd w:id="430"/>
      <w:bookmarkEnd w:id="431"/>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pPr>
      <w:bookmarkStart w:id="432" w:name="_Toc138411986"/>
      <w:bookmarkStart w:id="433" w:name="_Toc32420202"/>
      <w:r>
        <w:rPr>
          <w:rStyle w:val="CharSClsNo"/>
        </w:rPr>
        <w:t>9</w:t>
      </w:r>
      <w:r>
        <w:t>.</w:t>
      </w:r>
      <w:r>
        <w:tab/>
        <w:t>Minutes of meetings and resolutions</w:t>
      </w:r>
      <w:bookmarkEnd w:id="432"/>
      <w:bookmarkEnd w:id="433"/>
    </w:p>
    <w:p>
      <w:pPr>
        <w:pStyle w:val="ySubsection"/>
      </w:pPr>
      <w:r>
        <w:tab/>
      </w:r>
      <w:r>
        <w:tab/>
        <w:t>The board is to ensure that an accurate record is kept and preserved of the proceedings at each meeting of the board and of each resolution passed under clause 7.</w:t>
      </w:r>
    </w:p>
    <w:p>
      <w:pPr>
        <w:pStyle w:val="yHeading5"/>
        <w:pageBreakBefore/>
        <w:spacing w:before="0"/>
      </w:pPr>
      <w:bookmarkStart w:id="434" w:name="_Toc138411987"/>
      <w:bookmarkStart w:id="435" w:name="_Toc32420203"/>
      <w:r>
        <w:rPr>
          <w:rStyle w:val="CharSClsNo"/>
        </w:rPr>
        <w:t>10</w:t>
      </w:r>
      <w:r>
        <w:t>.</w:t>
      </w:r>
      <w:r>
        <w:tab/>
        <w:t>Leave of absence</w:t>
      </w:r>
      <w:bookmarkEnd w:id="434"/>
      <w:bookmarkEnd w:id="435"/>
    </w:p>
    <w:p>
      <w:pPr>
        <w:pStyle w:val="ySubsection"/>
      </w:pPr>
      <w:r>
        <w:tab/>
      </w:r>
      <w:r>
        <w:tab/>
        <w:t>The board may, on such terms and conditions as it thinks fit, grant to a director leave of absence from a meeting, including the meeting at which it is intended to grant the leave.</w:t>
      </w:r>
    </w:p>
    <w:p>
      <w:pPr>
        <w:pStyle w:val="yHeading5"/>
      </w:pPr>
      <w:bookmarkStart w:id="436" w:name="_Toc138411988"/>
      <w:bookmarkStart w:id="437" w:name="_Toc32420204"/>
      <w:r>
        <w:rPr>
          <w:rStyle w:val="CharSClsNo"/>
        </w:rPr>
        <w:t>11</w:t>
      </w:r>
      <w:r>
        <w:t>.</w:t>
      </w:r>
      <w:r>
        <w:tab/>
        <w:t>Board to determine own procedures</w:t>
      </w:r>
      <w:bookmarkEnd w:id="436"/>
      <w:bookmarkEnd w:id="437"/>
    </w:p>
    <w:p>
      <w:pPr>
        <w:pStyle w:val="ySubsection"/>
      </w:pPr>
      <w:r>
        <w:tab/>
      </w:r>
      <w:r>
        <w:tab/>
        <w:t>Subject to this Act, the board may determine its own procedures.</w:t>
      </w:r>
    </w:p>
    <w:p>
      <w:pPr>
        <w:pStyle w:val="yScheduleHeading"/>
      </w:pPr>
      <w:bookmarkStart w:id="438" w:name="_Toc138408914"/>
      <w:bookmarkStart w:id="439" w:name="_Toc138409112"/>
      <w:bookmarkStart w:id="440" w:name="_Toc138411989"/>
      <w:bookmarkStart w:id="441" w:name="_Toc32420007"/>
      <w:bookmarkStart w:id="442" w:name="_Toc32420205"/>
      <w:r>
        <w:rPr>
          <w:rStyle w:val="CharSchNo"/>
        </w:rPr>
        <w:t>Schedule 2</w:t>
      </w:r>
      <w:r>
        <w:t> — </w:t>
      </w:r>
      <w:r>
        <w:rPr>
          <w:rStyle w:val="CharSchText"/>
        </w:rPr>
        <w:t>Provisions about CEO and staff</w:t>
      </w:r>
      <w:bookmarkEnd w:id="438"/>
      <w:bookmarkEnd w:id="439"/>
      <w:bookmarkEnd w:id="440"/>
      <w:bookmarkEnd w:id="441"/>
      <w:bookmarkEnd w:id="442"/>
    </w:p>
    <w:p>
      <w:pPr>
        <w:pStyle w:val="yShoulderClause"/>
      </w:pPr>
      <w:r>
        <w:t>[s. 25]</w:t>
      </w:r>
    </w:p>
    <w:p>
      <w:pPr>
        <w:pStyle w:val="yHeading3"/>
      </w:pPr>
      <w:bookmarkStart w:id="443" w:name="_Toc138408915"/>
      <w:bookmarkStart w:id="444" w:name="_Toc138409113"/>
      <w:bookmarkStart w:id="445" w:name="_Toc138411990"/>
      <w:bookmarkStart w:id="446" w:name="_Toc32420008"/>
      <w:bookmarkStart w:id="447" w:name="_Toc32420206"/>
      <w:r>
        <w:rPr>
          <w:rStyle w:val="CharSDivNo"/>
        </w:rPr>
        <w:t>Division 1</w:t>
      </w:r>
      <w:r>
        <w:rPr>
          <w:b w:val="0"/>
        </w:rPr>
        <w:t> — </w:t>
      </w:r>
      <w:r>
        <w:rPr>
          <w:rStyle w:val="CharSDivText"/>
        </w:rPr>
        <w:t>General duties of CEO</w:t>
      </w:r>
      <w:bookmarkEnd w:id="443"/>
      <w:bookmarkEnd w:id="444"/>
      <w:bookmarkEnd w:id="445"/>
      <w:bookmarkEnd w:id="446"/>
      <w:bookmarkEnd w:id="447"/>
    </w:p>
    <w:p>
      <w:pPr>
        <w:pStyle w:val="yHeading5"/>
      </w:pPr>
      <w:bookmarkStart w:id="448" w:name="_Toc138411991"/>
      <w:bookmarkStart w:id="449" w:name="_Toc32420207"/>
      <w:r>
        <w:rPr>
          <w:rStyle w:val="CharSClsNo"/>
        </w:rPr>
        <w:t>1</w:t>
      </w:r>
      <w:r>
        <w:t>.</w:t>
      </w:r>
      <w:r>
        <w:tab/>
        <w:t>Duties of CEO</w:t>
      </w:r>
      <w:bookmarkEnd w:id="448"/>
      <w:bookmarkEnd w:id="449"/>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450" w:name="_Toc138408917"/>
      <w:bookmarkStart w:id="451" w:name="_Toc138409115"/>
      <w:bookmarkStart w:id="452" w:name="_Toc138411992"/>
      <w:bookmarkStart w:id="453" w:name="_Toc32420010"/>
      <w:bookmarkStart w:id="454" w:name="_Toc32420208"/>
      <w:r>
        <w:rPr>
          <w:rStyle w:val="CharSDivNo"/>
        </w:rPr>
        <w:t>Division 2</w:t>
      </w:r>
      <w:r>
        <w:rPr>
          <w:b w:val="0"/>
        </w:rPr>
        <w:t> — </w:t>
      </w:r>
      <w:r>
        <w:rPr>
          <w:rStyle w:val="CharDivText"/>
        </w:rPr>
        <w:t>Particular duties stated</w:t>
      </w:r>
      <w:bookmarkEnd w:id="450"/>
      <w:bookmarkEnd w:id="451"/>
      <w:bookmarkEnd w:id="452"/>
      <w:bookmarkEnd w:id="453"/>
      <w:bookmarkEnd w:id="454"/>
    </w:p>
    <w:p>
      <w:pPr>
        <w:pStyle w:val="yHeading5"/>
      </w:pPr>
      <w:bookmarkStart w:id="455" w:name="_Toc138411993"/>
      <w:bookmarkStart w:id="456" w:name="_Toc32420209"/>
      <w:r>
        <w:rPr>
          <w:rStyle w:val="CharSClsNo"/>
        </w:rPr>
        <w:t>2</w:t>
      </w:r>
      <w:r>
        <w:t>.</w:t>
      </w:r>
      <w:r>
        <w:tab/>
        <w:t>Terms used in this Division</w:t>
      </w:r>
      <w:bookmarkEnd w:id="455"/>
      <w:bookmarkEnd w:id="456"/>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pPr>
      <w:bookmarkStart w:id="457" w:name="_Toc138411994"/>
      <w:bookmarkStart w:id="458" w:name="_Toc32420210"/>
      <w:r>
        <w:rPr>
          <w:rStyle w:val="CharSClsNo"/>
        </w:rPr>
        <w:t>3</w:t>
      </w:r>
      <w:r>
        <w:t>.</w:t>
      </w:r>
      <w:r>
        <w:tab/>
        <w:t>Duty to act honestly</w:t>
      </w:r>
      <w:bookmarkEnd w:id="457"/>
      <w:bookmarkEnd w:id="458"/>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pPr>
      <w:bookmarkStart w:id="459" w:name="_Toc138411995"/>
      <w:bookmarkStart w:id="460" w:name="_Toc32420211"/>
      <w:r>
        <w:rPr>
          <w:rStyle w:val="CharSClsNo"/>
        </w:rPr>
        <w:t>4</w:t>
      </w:r>
      <w:r>
        <w:t>.</w:t>
      </w:r>
      <w:r>
        <w:tab/>
        <w:t>Duty to exercise reasonable care and diligence</w:t>
      </w:r>
      <w:bookmarkEnd w:id="459"/>
      <w:bookmarkEnd w:id="460"/>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r>
      <w:r>
        <w:t xml:space="preserve">Penalty: a fine of </w:t>
      </w:r>
      <w:r>
        <w:rPr>
          <w:snapToGrid w:val="0"/>
        </w:rPr>
        <w:t>$5 000.</w:t>
      </w:r>
    </w:p>
    <w:p>
      <w:pPr>
        <w:pStyle w:val="Footnotesection"/>
      </w:pPr>
      <w:r>
        <w:tab/>
        <w:t>[Clause 4 amended: No. 21 of 2019 s. 118.]</w:t>
      </w:r>
    </w:p>
    <w:p>
      <w:pPr>
        <w:pStyle w:val="yHeading5"/>
      </w:pPr>
      <w:bookmarkStart w:id="461" w:name="_Toc138411996"/>
      <w:bookmarkStart w:id="462" w:name="_Toc32420212"/>
      <w:r>
        <w:rPr>
          <w:rStyle w:val="CharSClsNo"/>
        </w:rPr>
        <w:t>5</w:t>
      </w:r>
      <w:r>
        <w:t>.</w:t>
      </w:r>
      <w:r>
        <w:tab/>
        <w:t>Duty not to make improper use of information</w:t>
      </w:r>
      <w:bookmarkEnd w:id="461"/>
      <w:bookmarkEnd w:id="462"/>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pPr>
      <w:bookmarkStart w:id="463" w:name="_Toc138411997"/>
      <w:bookmarkStart w:id="464" w:name="_Toc32420213"/>
      <w:r>
        <w:rPr>
          <w:rStyle w:val="CharSClsNo"/>
        </w:rPr>
        <w:t>6</w:t>
      </w:r>
      <w:r>
        <w:t>.</w:t>
      </w:r>
      <w:r>
        <w:tab/>
        <w:t>Duty not to make improper use of position</w:t>
      </w:r>
      <w:bookmarkEnd w:id="463"/>
      <w:bookmarkEnd w:id="464"/>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465" w:name="_Toc138408923"/>
      <w:bookmarkStart w:id="466" w:name="_Toc138409121"/>
      <w:bookmarkStart w:id="467" w:name="_Toc138411998"/>
      <w:bookmarkStart w:id="468" w:name="_Toc32420016"/>
      <w:bookmarkStart w:id="469" w:name="_Toc32420214"/>
      <w:r>
        <w:rPr>
          <w:rStyle w:val="CharSDivNo"/>
        </w:rPr>
        <w:t>Division 3 </w:t>
      </w:r>
      <w:r>
        <w:rPr>
          <w:b w:val="0"/>
        </w:rPr>
        <w:t>— </w:t>
      </w:r>
      <w:r>
        <w:rPr>
          <w:rStyle w:val="CharSDivText"/>
        </w:rPr>
        <w:t>Compensation</w:t>
      </w:r>
      <w:bookmarkEnd w:id="465"/>
      <w:bookmarkEnd w:id="466"/>
      <w:bookmarkEnd w:id="467"/>
      <w:bookmarkEnd w:id="468"/>
      <w:bookmarkEnd w:id="469"/>
    </w:p>
    <w:p>
      <w:pPr>
        <w:pStyle w:val="yHeading5"/>
        <w:spacing w:before="200"/>
      </w:pPr>
      <w:bookmarkStart w:id="470" w:name="_Toc138411999"/>
      <w:bookmarkStart w:id="471" w:name="_Toc32420215"/>
      <w:r>
        <w:rPr>
          <w:rStyle w:val="CharSClsNo"/>
        </w:rPr>
        <w:t>7</w:t>
      </w:r>
      <w:r>
        <w:t>.</w:t>
      </w:r>
      <w:r>
        <w:tab/>
        <w:t>Payment of compensation may be ordered</w:t>
      </w:r>
      <w:bookmarkEnd w:id="470"/>
      <w:bookmarkEnd w:id="471"/>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pPr>
      <w:bookmarkStart w:id="472" w:name="_Toc138412000"/>
      <w:bookmarkStart w:id="473" w:name="_Toc32420216"/>
      <w:r>
        <w:rPr>
          <w:rStyle w:val="CharSClsNo"/>
        </w:rPr>
        <w:t>8</w:t>
      </w:r>
      <w:r>
        <w:t>.</w:t>
      </w:r>
      <w:r>
        <w:tab/>
        <w:t>Civil proceedings for recovery</w:t>
      </w:r>
      <w:bookmarkEnd w:id="472"/>
      <w:bookmarkEnd w:id="473"/>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474" w:name="_Toc138408926"/>
      <w:bookmarkStart w:id="475" w:name="_Toc138409124"/>
      <w:bookmarkStart w:id="476" w:name="_Toc138412001"/>
      <w:bookmarkStart w:id="477" w:name="_Toc32420019"/>
      <w:bookmarkStart w:id="478" w:name="_Toc32420217"/>
      <w:r>
        <w:rPr>
          <w:rStyle w:val="CharSDivNo"/>
        </w:rPr>
        <w:t>Division 4</w:t>
      </w:r>
      <w:r>
        <w:rPr>
          <w:b w:val="0"/>
        </w:rPr>
        <w:t> — </w:t>
      </w:r>
      <w:r>
        <w:rPr>
          <w:rStyle w:val="CharSDivText"/>
        </w:rPr>
        <w:t>Relief from liability</w:t>
      </w:r>
      <w:bookmarkEnd w:id="474"/>
      <w:bookmarkEnd w:id="475"/>
      <w:bookmarkEnd w:id="476"/>
      <w:bookmarkEnd w:id="477"/>
      <w:bookmarkEnd w:id="478"/>
    </w:p>
    <w:p>
      <w:pPr>
        <w:pStyle w:val="yHeading5"/>
      </w:pPr>
      <w:bookmarkStart w:id="479" w:name="_Toc138412002"/>
      <w:bookmarkStart w:id="480" w:name="_Toc32420218"/>
      <w:r>
        <w:rPr>
          <w:rStyle w:val="CharSClsNo"/>
        </w:rPr>
        <w:t>9</w:t>
      </w:r>
      <w:r>
        <w:t>.</w:t>
      </w:r>
      <w:r>
        <w:tab/>
        <w:t>Relief from liability</w:t>
      </w:r>
      <w:bookmarkEnd w:id="479"/>
      <w:bookmarkEnd w:id="480"/>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481" w:name="_Toc138412003"/>
      <w:bookmarkStart w:id="482" w:name="_Toc32420219"/>
      <w:r>
        <w:rPr>
          <w:rStyle w:val="CharSClsNo"/>
        </w:rPr>
        <w:t>10</w:t>
      </w:r>
      <w:r>
        <w:t>.</w:t>
      </w:r>
      <w:r>
        <w:tab/>
        <w:t>Application for relief</w:t>
      </w:r>
      <w:bookmarkEnd w:id="481"/>
      <w:bookmarkEnd w:id="482"/>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pPr>
      <w:bookmarkStart w:id="483" w:name="_Toc138412004"/>
      <w:bookmarkStart w:id="484" w:name="_Toc32420220"/>
      <w:r>
        <w:rPr>
          <w:rStyle w:val="CharSClsNo"/>
        </w:rPr>
        <w:t>11</w:t>
      </w:r>
      <w:r>
        <w:t>.</w:t>
      </w:r>
      <w:r>
        <w:tab/>
        <w:t>Case may be withdrawn from jury</w:t>
      </w:r>
      <w:bookmarkEnd w:id="483"/>
      <w:bookmarkEnd w:id="484"/>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pPr>
      <w:bookmarkStart w:id="485" w:name="_Toc138412005"/>
      <w:bookmarkStart w:id="486" w:name="_Toc32420221"/>
      <w:r>
        <w:rPr>
          <w:rStyle w:val="CharSClsNo"/>
        </w:rPr>
        <w:t>12</w:t>
      </w:r>
      <w:r>
        <w:t>.</w:t>
      </w:r>
      <w:r>
        <w:tab/>
        <w:t>Compliance with directions</w:t>
      </w:r>
      <w:bookmarkEnd w:id="485"/>
      <w:bookmarkEnd w:id="486"/>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rPr>
          <w:rStyle w:val="CharDivText"/>
        </w:rPr>
      </w:pPr>
      <w:bookmarkStart w:id="487" w:name="_Toc138408931"/>
      <w:bookmarkStart w:id="488" w:name="_Toc138409129"/>
      <w:bookmarkStart w:id="489" w:name="_Toc138412006"/>
      <w:bookmarkStart w:id="490" w:name="_Toc32420024"/>
      <w:bookmarkStart w:id="491" w:name="_Toc32420222"/>
      <w:r>
        <w:rPr>
          <w:rStyle w:val="CharSDivNo"/>
        </w:rPr>
        <w:t>Division 5</w:t>
      </w:r>
      <w:r>
        <w:rPr>
          <w:b w:val="0"/>
        </w:rPr>
        <w:t> — </w:t>
      </w:r>
      <w:r>
        <w:rPr>
          <w:rStyle w:val="CharSDivNo"/>
        </w:rPr>
        <w:t>Restrictions</w:t>
      </w:r>
      <w:r>
        <w:rPr>
          <w:rStyle w:val="CharSDivText"/>
        </w:rPr>
        <w:t xml:space="preserve"> on indemnities and exemptions</w:t>
      </w:r>
      <w:bookmarkEnd w:id="487"/>
      <w:bookmarkEnd w:id="488"/>
      <w:bookmarkEnd w:id="489"/>
      <w:bookmarkEnd w:id="490"/>
      <w:bookmarkEnd w:id="491"/>
    </w:p>
    <w:p>
      <w:pPr>
        <w:pStyle w:val="yHeading5"/>
      </w:pPr>
      <w:bookmarkStart w:id="492" w:name="_Toc138412007"/>
      <w:bookmarkStart w:id="493" w:name="_Toc32420223"/>
      <w:r>
        <w:rPr>
          <w:rStyle w:val="CharSClsNo"/>
        </w:rPr>
        <w:t>13</w:t>
      </w:r>
      <w:r>
        <w:t>.</w:t>
      </w:r>
      <w:r>
        <w:tab/>
        <w:t>Indemnification and exemption of CEO and executive officers</w:t>
      </w:r>
      <w:bookmarkEnd w:id="492"/>
      <w:bookmarkEnd w:id="493"/>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ageBreakBefore/>
        <w:spacing w:before="0"/>
      </w:pPr>
      <w:bookmarkStart w:id="494" w:name="_Toc138412008"/>
      <w:bookmarkStart w:id="495" w:name="_Toc32420224"/>
      <w:r>
        <w:rPr>
          <w:rStyle w:val="CharSClsNo"/>
        </w:rPr>
        <w:t>14</w:t>
      </w:r>
      <w:r>
        <w:t>.</w:t>
      </w:r>
      <w:r>
        <w:tab/>
        <w:t>Insurance premiums for certain liabilities of CEO and executive officers</w:t>
      </w:r>
      <w:bookmarkEnd w:id="494"/>
      <w:bookmarkEnd w:id="495"/>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pPr>
      <w:bookmarkStart w:id="496" w:name="_Toc138412009"/>
      <w:bookmarkStart w:id="497" w:name="_Toc32420225"/>
      <w:r>
        <w:rPr>
          <w:rStyle w:val="CharSClsNo"/>
        </w:rPr>
        <w:t>15</w:t>
      </w:r>
      <w:r>
        <w:t>.</w:t>
      </w:r>
      <w:r>
        <w:tab/>
        <w:t>Certain indemnities, exemptions, payments and agreements not authorised and certain documents void</w:t>
      </w:r>
      <w:bookmarkEnd w:id="496"/>
      <w:bookmarkEnd w:id="49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498" w:name="_Toc138408935"/>
      <w:bookmarkStart w:id="499" w:name="_Toc138409133"/>
      <w:bookmarkStart w:id="500" w:name="_Toc138412010"/>
      <w:bookmarkStart w:id="501" w:name="_Toc32420028"/>
      <w:bookmarkStart w:id="502" w:name="_Toc32420226"/>
      <w:r>
        <w:rPr>
          <w:rStyle w:val="CharSchNo"/>
        </w:rPr>
        <w:t>Schedule 3</w:t>
      </w:r>
      <w:r>
        <w:rPr>
          <w:rStyle w:val="CharSDivNo"/>
        </w:rPr>
        <w:t> </w:t>
      </w:r>
      <w:r>
        <w:t>—</w:t>
      </w:r>
      <w:r>
        <w:rPr>
          <w:rStyle w:val="CharSDivText"/>
        </w:rPr>
        <w:t> </w:t>
      </w:r>
      <w:r>
        <w:rPr>
          <w:rStyle w:val="CharSchText"/>
        </w:rPr>
        <w:t>Provisions to be included in constitution of subsidiaries</w:t>
      </w:r>
      <w:bookmarkEnd w:id="498"/>
      <w:bookmarkEnd w:id="499"/>
      <w:bookmarkEnd w:id="500"/>
      <w:bookmarkEnd w:id="501"/>
      <w:bookmarkEnd w:id="502"/>
    </w:p>
    <w:p>
      <w:pPr>
        <w:pStyle w:val="yShoulderClause"/>
      </w:pPr>
      <w:r>
        <w:t>[s. 32]</w:t>
      </w:r>
    </w:p>
    <w:p>
      <w:pPr>
        <w:pStyle w:val="yHeading5"/>
        <w:spacing w:before="120"/>
      </w:pPr>
      <w:bookmarkStart w:id="503" w:name="_Toc138412011"/>
      <w:bookmarkStart w:id="504" w:name="_Toc32420227"/>
      <w:r>
        <w:rPr>
          <w:rStyle w:val="CharSClsNo"/>
        </w:rPr>
        <w:t>1</w:t>
      </w:r>
      <w:r>
        <w:t>.</w:t>
      </w:r>
      <w:r>
        <w:tab/>
        <w:t>Disposal of shares</w:t>
      </w:r>
      <w:bookmarkEnd w:id="503"/>
      <w:bookmarkEnd w:id="504"/>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pPr>
      <w:bookmarkStart w:id="505" w:name="_Toc138412012"/>
      <w:bookmarkStart w:id="506" w:name="_Toc32420228"/>
      <w:r>
        <w:rPr>
          <w:rStyle w:val="CharSClsNo"/>
        </w:rPr>
        <w:t>2</w:t>
      </w:r>
      <w:r>
        <w:t>.</w:t>
      </w:r>
      <w:r>
        <w:tab/>
        <w:t>Directors</w:t>
      </w:r>
      <w:bookmarkEnd w:id="505"/>
      <w:bookmarkEnd w:id="506"/>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pPr>
      <w:bookmarkStart w:id="507" w:name="_Toc138412013"/>
      <w:bookmarkStart w:id="508" w:name="_Toc32420229"/>
      <w:r>
        <w:rPr>
          <w:rStyle w:val="CharSClsNo"/>
        </w:rPr>
        <w:t>3</w:t>
      </w:r>
      <w:r>
        <w:t>.</w:t>
      </w:r>
      <w:r>
        <w:tab/>
        <w:t>Further shares</w:t>
      </w:r>
      <w:bookmarkEnd w:id="507"/>
      <w:bookmarkEnd w:id="508"/>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pPr>
      <w:bookmarkStart w:id="509" w:name="_Toc138412014"/>
      <w:bookmarkStart w:id="510" w:name="_Toc32420230"/>
      <w:r>
        <w:rPr>
          <w:rStyle w:val="CharSClsNo"/>
        </w:rPr>
        <w:t>4</w:t>
      </w:r>
      <w:r>
        <w:t>.</w:t>
      </w:r>
      <w:r>
        <w:tab/>
        <w:t>Subsidiaries of subsidiary</w:t>
      </w:r>
      <w:bookmarkEnd w:id="509"/>
      <w:bookmarkEnd w:id="510"/>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512" w:name="_Toc138408940"/>
      <w:bookmarkStart w:id="513" w:name="_Toc138409138"/>
      <w:bookmarkStart w:id="514" w:name="_Toc138412015"/>
      <w:bookmarkStart w:id="515" w:name="_Toc32420033"/>
      <w:bookmarkStart w:id="516" w:name="_Toc32420231"/>
      <w:r>
        <w:t>Notes</w:t>
      </w:r>
      <w:bookmarkEnd w:id="512"/>
      <w:bookmarkEnd w:id="513"/>
      <w:bookmarkEnd w:id="514"/>
      <w:bookmarkEnd w:id="515"/>
      <w:bookmarkEnd w:id="516"/>
    </w:p>
    <w:p>
      <w:pPr>
        <w:pStyle w:val="nStatement"/>
      </w:pPr>
      <w:r>
        <w:t xml:space="preserve">This is a compilation of the </w:t>
      </w:r>
      <w:r>
        <w:rPr>
          <w:i/>
          <w:noProof/>
        </w:rPr>
        <w:t>Racing and Wagering Western Australia Act 2003</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517" w:name="_Toc138412016"/>
      <w:bookmarkStart w:id="518" w:name="_Toc32420232"/>
      <w:r>
        <w:t>Compilation table</w:t>
      </w:r>
      <w:bookmarkEnd w:id="517"/>
      <w:bookmarkEnd w:id="5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Racing and Wagering Western Australia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Western Australia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Sch. 1 cl. 142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t xml:space="preserve">Reprint 2:  The </w:t>
            </w:r>
            <w:r>
              <w:rPr>
                <w:b/>
                <w:bCs/>
                <w:i/>
                <w:snapToGrid w:val="0"/>
              </w:rPr>
              <w:t xml:space="preserve">Racing and Wagering Western Australia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2268" w:type="dxa"/>
          </w:tcPr>
          <w:p>
            <w:pPr>
              <w:pStyle w:val="nTable"/>
              <w:spacing w:after="40"/>
              <w:ind w:right="113"/>
              <w:rPr>
                <w:i/>
                <w:iCs/>
                <w:snapToGrid w:val="0"/>
              </w:rPr>
            </w:pPr>
            <w:r>
              <w:rPr>
                <w:i/>
                <w:noProof/>
              </w:rPr>
              <w:t xml:space="preserve">Associations Incorporation Act 2015 </w:t>
            </w:r>
            <w:r>
              <w:rPr>
                <w:noProof/>
              </w:rPr>
              <w:t>s. 227</w:t>
            </w:r>
          </w:p>
        </w:tc>
        <w:tc>
          <w:tcPr>
            <w:tcW w:w="1134" w:type="dxa"/>
          </w:tcPr>
          <w:p>
            <w:pPr>
              <w:pStyle w:val="nTable"/>
              <w:spacing w:after="40"/>
            </w:pPr>
            <w:r>
              <w:t>30 of 2015</w:t>
            </w:r>
          </w:p>
        </w:tc>
        <w:tc>
          <w:tcPr>
            <w:tcW w:w="1134" w:type="dxa"/>
          </w:tcPr>
          <w:p>
            <w:pPr>
              <w:pStyle w:val="nTable"/>
              <w:spacing w:after="40"/>
              <w:rPr>
                <w:snapToGrid w:val="0"/>
              </w:rPr>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2268" w:type="dxa"/>
          </w:tcPr>
          <w:p>
            <w:pPr>
              <w:pStyle w:val="nTable"/>
              <w:spacing w:after="40"/>
              <w:ind w:right="113"/>
              <w:rPr>
                <w:i/>
                <w:noProof/>
              </w:rPr>
            </w:pPr>
            <w:r>
              <w:rPr>
                <w:i/>
                <w:noProof/>
              </w:rPr>
              <w:t>Executive Officer Remuneration (Government Entities) Legislation Amendment Act 2016</w:t>
            </w:r>
            <w:r>
              <w:rPr>
                <w:noProof/>
              </w:rPr>
              <w:t xml:space="preserve"> Pt. 3 Div 5</w:t>
            </w:r>
          </w:p>
        </w:tc>
        <w:tc>
          <w:tcPr>
            <w:tcW w:w="1134" w:type="dxa"/>
          </w:tcPr>
          <w:p>
            <w:pPr>
              <w:pStyle w:val="nTable"/>
              <w:spacing w:after="40"/>
            </w:pPr>
            <w:r>
              <w:t>46 of 2016</w:t>
            </w:r>
          </w:p>
        </w:tc>
        <w:tc>
          <w:tcPr>
            <w:tcW w:w="1134" w:type="dxa"/>
          </w:tcPr>
          <w:p>
            <w:pPr>
              <w:pStyle w:val="nTable"/>
              <w:spacing w:after="40"/>
            </w:pPr>
            <w:r>
              <w:t>7 Dec 2016</w:t>
            </w:r>
          </w:p>
        </w:tc>
        <w:tc>
          <w:tcPr>
            <w:tcW w:w="2551" w:type="dxa"/>
          </w:tcPr>
          <w:p>
            <w:pPr>
              <w:pStyle w:val="nTable"/>
              <w:spacing w:after="40"/>
            </w:pPr>
            <w:r>
              <w:t>8 Dec 2016 (see s. 2(b))</w:t>
            </w:r>
          </w:p>
        </w:tc>
      </w:tr>
      <w:tr>
        <w:trPr>
          <w:cantSplit/>
        </w:trPr>
        <w:tc>
          <w:tcPr>
            <w:tcW w:w="2268" w:type="dxa"/>
          </w:tcPr>
          <w:p>
            <w:pPr>
              <w:pStyle w:val="nTable"/>
              <w:spacing w:after="40"/>
              <w:ind w:right="113"/>
              <w:rPr>
                <w:i/>
                <w:noProof/>
              </w:rPr>
            </w:pPr>
            <w:r>
              <w:rPr>
                <w:i/>
              </w:rPr>
              <w:t>Betting Tax Assessment Act 2018</w:t>
            </w:r>
            <w:r>
              <w:t xml:space="preserve"> Pt. 8 Div. 1 Subdiv. 2 and Div. 2 Subdiv. 3</w:t>
            </w:r>
          </w:p>
        </w:tc>
        <w:tc>
          <w:tcPr>
            <w:tcW w:w="1134" w:type="dxa"/>
          </w:tcPr>
          <w:p>
            <w:pPr>
              <w:pStyle w:val="nTable"/>
              <w:spacing w:after="40"/>
            </w:pPr>
            <w:r>
              <w:t>37 of 2018</w:t>
            </w:r>
          </w:p>
        </w:tc>
        <w:tc>
          <w:tcPr>
            <w:tcW w:w="1134" w:type="dxa"/>
          </w:tcPr>
          <w:p>
            <w:pPr>
              <w:pStyle w:val="nTable"/>
              <w:spacing w:after="40"/>
            </w:pPr>
            <w:r>
              <w:t>12 Dec 2018</w:t>
            </w:r>
          </w:p>
        </w:tc>
        <w:tc>
          <w:tcPr>
            <w:tcW w:w="2551" w:type="dxa"/>
          </w:tcPr>
          <w:p>
            <w:pPr>
              <w:pStyle w:val="nTable"/>
              <w:spacing w:after="40"/>
            </w:pPr>
            <w:r>
              <w:t>Pt. 8 Div. 1 Subdiv. 2: 1 Jan 2019 (see s. 2(c));</w:t>
            </w:r>
            <w:r>
              <w:br/>
              <w:t xml:space="preserve">Pt. 8 Div. 2 Subdiv. 3: </w:t>
            </w:r>
            <w:r>
              <w:br/>
              <w:t xml:space="preserve">1 Feb 2019 (see s. 2(b) and </w:t>
            </w:r>
            <w:r>
              <w:rPr>
                <w:i/>
              </w:rPr>
              <w:t>Gazette</w:t>
            </w:r>
            <w:r>
              <w:t xml:space="preserve"> 25 Jan 2019 p. 193)</w:t>
            </w:r>
          </w:p>
        </w:tc>
      </w:tr>
      <w:tr>
        <w:trPr>
          <w:cantSplit/>
        </w:trPr>
        <w:tc>
          <w:tcPr>
            <w:tcW w:w="7087" w:type="dxa"/>
            <w:gridSpan w:val="4"/>
            <w:shd w:val="clear" w:color="auto" w:fill="auto"/>
          </w:tcPr>
          <w:p>
            <w:pPr>
              <w:pStyle w:val="nTable"/>
              <w:spacing w:after="40"/>
            </w:pPr>
            <w:r>
              <w:rPr>
                <w:b/>
              </w:rPr>
              <w:t xml:space="preserve">Reprint 3: The </w:t>
            </w:r>
            <w:r>
              <w:rPr>
                <w:b/>
                <w:i/>
                <w:noProof/>
              </w:rPr>
              <w:t>Racing and Wagering Western Australia Act 2003</w:t>
            </w:r>
            <w:r>
              <w:rPr>
                <w:b/>
              </w:rPr>
              <w:t xml:space="preserve"> as at 3 May 2019</w:t>
            </w:r>
            <w:r>
              <w:t xml:space="preserve"> (includes amendments listed above)</w:t>
            </w:r>
          </w:p>
        </w:tc>
      </w:tr>
      <w:tr>
        <w:trPr>
          <w:cantSplit/>
        </w:trPr>
        <w:tc>
          <w:tcPr>
            <w:tcW w:w="2268" w:type="dxa"/>
            <w:tcBorders>
              <w:bottom w:val="single" w:sz="4" w:space="0" w:color="auto"/>
            </w:tcBorders>
          </w:tcPr>
          <w:p>
            <w:pPr>
              <w:pStyle w:val="nTable"/>
              <w:spacing w:after="40"/>
              <w:ind w:right="113"/>
              <w:rPr>
                <w:i/>
                <w:noProof/>
              </w:rPr>
            </w:pPr>
            <w:r>
              <w:rPr>
                <w:i/>
              </w:rPr>
              <w:t>TAB (Disposal) Act 2019</w:t>
            </w:r>
            <w:r>
              <w:t xml:space="preserve"> Pt. 9 Div. 1 and 2</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1" w:type="dxa"/>
            <w:tcBorders>
              <w:bottom w:val="single" w:sz="4" w:space="0" w:color="auto"/>
            </w:tcBorders>
          </w:tcPr>
          <w:p>
            <w:pPr>
              <w:pStyle w:val="nTable"/>
              <w:spacing w:after="40"/>
            </w:pPr>
            <w:r>
              <w:t>19 Sep 2019 (see s. 2(1)(c))</w:t>
            </w:r>
          </w:p>
        </w:tc>
      </w:tr>
    </w:tbl>
    <w:p>
      <w:pPr>
        <w:pStyle w:val="nHeading3"/>
      </w:pPr>
      <w:bookmarkStart w:id="519" w:name="_Toc138412017"/>
      <w:bookmarkStart w:id="520" w:name="_Toc32420233"/>
      <w:r>
        <w:t>Uncommenced provisions table</w:t>
      </w:r>
      <w:bookmarkEnd w:id="519"/>
      <w:bookmarkEnd w:id="52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TAB (Disposal) Act 2019</w:t>
            </w:r>
            <w:r>
              <w:t xml:space="preserve"> Pt. 9 Div. 3 and 4</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rPr>
          <w:cantSplit/>
          <w:ins w:id="521" w:author="Master Repository Process" w:date="2023-06-23T11:35:00Z"/>
        </w:trPr>
        <w:tc>
          <w:tcPr>
            <w:tcW w:w="2268" w:type="dxa"/>
            <w:tcBorders>
              <w:top w:val="nil"/>
            </w:tcBorders>
          </w:tcPr>
          <w:p>
            <w:pPr>
              <w:pStyle w:val="nTable"/>
              <w:spacing w:after="40"/>
              <w:rPr>
                <w:ins w:id="522" w:author="Master Repository Process" w:date="2023-06-23T11:35:00Z"/>
              </w:rPr>
            </w:pPr>
            <w:ins w:id="523" w:author="Master Repository Process" w:date="2023-06-23T11:35:00Z">
              <w:r>
                <w:rPr>
                  <w:i/>
                </w:rPr>
                <w:t>Government Trading Enterprises Act 2023</w:t>
              </w:r>
              <w:r>
                <w:t xml:space="preserve"> Pt. 12 Div. 6</w:t>
              </w:r>
            </w:ins>
          </w:p>
        </w:tc>
        <w:tc>
          <w:tcPr>
            <w:tcW w:w="1134" w:type="dxa"/>
            <w:tcBorders>
              <w:top w:val="nil"/>
            </w:tcBorders>
          </w:tcPr>
          <w:p>
            <w:pPr>
              <w:pStyle w:val="nTable"/>
              <w:spacing w:after="40"/>
              <w:rPr>
                <w:ins w:id="524" w:author="Master Repository Process" w:date="2023-06-23T11:35:00Z"/>
              </w:rPr>
            </w:pPr>
            <w:ins w:id="525" w:author="Master Repository Process" w:date="2023-06-23T11:35:00Z">
              <w:r>
                <w:t>13 of 2023</w:t>
              </w:r>
            </w:ins>
          </w:p>
        </w:tc>
        <w:tc>
          <w:tcPr>
            <w:tcW w:w="1134" w:type="dxa"/>
            <w:tcBorders>
              <w:top w:val="nil"/>
            </w:tcBorders>
          </w:tcPr>
          <w:p>
            <w:pPr>
              <w:pStyle w:val="nTable"/>
              <w:spacing w:after="40"/>
              <w:rPr>
                <w:ins w:id="526" w:author="Master Repository Process" w:date="2023-06-23T11:35:00Z"/>
              </w:rPr>
            </w:pPr>
            <w:ins w:id="527" w:author="Master Repository Process" w:date="2023-06-23T11:35:00Z">
              <w:r>
                <w:t>22 Jun 2023</w:t>
              </w:r>
            </w:ins>
          </w:p>
        </w:tc>
        <w:tc>
          <w:tcPr>
            <w:tcW w:w="2552" w:type="dxa"/>
            <w:tcBorders>
              <w:top w:val="nil"/>
            </w:tcBorders>
          </w:tcPr>
          <w:p>
            <w:pPr>
              <w:pStyle w:val="nTable"/>
              <w:spacing w:after="40"/>
              <w:rPr>
                <w:ins w:id="528" w:author="Master Repository Process" w:date="2023-06-23T11:35:00Z"/>
              </w:rPr>
            </w:pPr>
            <w:ins w:id="529" w:author="Master Repository Process" w:date="2023-06-23T11:35:00Z">
              <w:r>
                <w:t>To be proclaimed (see s. 2(b))</w:t>
              </w:r>
            </w:ins>
          </w:p>
        </w:tc>
      </w:tr>
    </w:tbl>
    <w:p>
      <w:pPr>
        <w:pStyle w:val="nHeading3"/>
      </w:pPr>
      <w:bookmarkStart w:id="530" w:name="_Toc138412018"/>
      <w:bookmarkStart w:id="531" w:name="_Toc32420234"/>
      <w:r>
        <w:t>Other notes</w:t>
      </w:r>
      <w:bookmarkEnd w:id="530"/>
      <w:bookmarkEnd w:id="531"/>
    </w:p>
    <w:p>
      <w:pPr>
        <w:pStyle w:val="nNote"/>
        <w:spacing w:before="160"/>
        <w:rPr>
          <w:snapToGrid w:val="0"/>
        </w:rPr>
      </w:pPr>
      <w:r>
        <w:rPr>
          <w:vertAlign w:val="superscript"/>
        </w:rPr>
        <w:t>1</w:t>
      </w:r>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commenced.</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1" w:name="Schedule"/>
    <w:bookmarkEnd w:id="5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2" w:name="Compilation"/>
    <w:bookmarkEnd w:id="5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3" w:name="Coversheet"/>
    <w:bookmarkEnd w:id="5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09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 w:name="WAFER_20190919112336" w:val="RemoveTocBookmarks,RemoveUnusedBookmarks,RemoveLanguageTags,ResetPageSize,RunningHeaders,UpdateStyles,UsedStyles"/>
    <w:docVar w:name="WAFER_20190919112336_GUID" w:val="5eb9cf86-7f9a-41eb-9ac5-5edf646cc8a2"/>
    <w:docVar w:name="WAFER_20190919160832" w:val="RemoveTocBookmarks,RemoveUnusedBookmarks,RemoveLanguageTags,ResetPageSize,RunningHeaders,UpdateStyles,UsedStyles"/>
    <w:docVar w:name="WAFER_20190919160832_GUID" w:val="8b5c9086-6ba4-4c5e-a17d-a191f88cd956"/>
    <w:docVar w:name="WAFER_202002121708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0804_GUID" w:val="9ebe29cf-143e-4e6a-8c77-145fd0ad8173"/>
    <w:docVar w:name="WAFER_2023062310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0942_GUID" w:val="350f6be7-bebc-4a57-8d39-b5326d4f7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C8EDB-0A5D-4873-BD08-5033F1042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22680</Words>
  <Characters>107507</Characters>
  <Application>Microsoft Office Word</Application>
  <DocSecurity>0</DocSecurity>
  <Lines>2905</Lines>
  <Paragraphs>1690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03-b0-01 - 03-c0-00</dc:title>
  <dc:subject/>
  <dc:creator/>
  <cp:keywords/>
  <dc:description/>
  <cp:lastModifiedBy>Master Repository Process</cp:lastModifiedBy>
  <cp:revision>2</cp:revision>
  <cp:lastPrinted>2019-05-06T01:07:00Z</cp:lastPrinted>
  <dcterms:created xsi:type="dcterms:W3CDTF">2023-06-23T03:34:00Z</dcterms:created>
  <dcterms:modified xsi:type="dcterms:W3CDTF">2023-06-23T03:35:00Z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edAsAt">
    <vt:filetime>2019-05-02T16:00:00Z</vt:filetime>
  </property>
  <property fmtid="{D5CDD505-2E9C-101B-9397-08002B2CF9AE}" pid="6" name="ReprintNo">
    <vt:lpwstr>3</vt:lpwstr>
  </property>
  <property fmtid="{D5CDD505-2E9C-101B-9397-08002B2CF9AE}" pid="7" name="CommencementDate">
    <vt:lpwstr>20230622</vt:lpwstr>
  </property>
  <property fmtid="{D5CDD505-2E9C-101B-9397-08002B2CF9AE}" pid="8" name="FromSuffix">
    <vt:lpwstr>03-b0-01</vt:lpwstr>
  </property>
  <property fmtid="{D5CDD505-2E9C-101B-9397-08002B2CF9AE}" pid="9" name="FromAsAtDate">
    <vt:lpwstr>19 Sep 2019</vt:lpwstr>
  </property>
  <property fmtid="{D5CDD505-2E9C-101B-9397-08002B2CF9AE}" pid="10" name="ToSuffix">
    <vt:lpwstr>03-c0-00</vt:lpwstr>
  </property>
  <property fmtid="{D5CDD505-2E9C-101B-9397-08002B2CF9AE}" pid="11" name="ToAsAtDate">
    <vt:lpwstr>22 Jun 2023</vt:lpwstr>
  </property>
</Properties>
</file>